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asciiTheme="minorEastAsia" w:hAnsiTheme="minorEastAsia" w:eastAsiaTheme="minorEastAsia" w:cstheme="minorEastAsia"/>
          <w:b/>
          <w:color w:val="auto"/>
          <w:sz w:val="24"/>
          <w:highlight w:val="none"/>
        </w:rPr>
      </w:pPr>
    </w:p>
    <w:p>
      <w:pPr>
        <w:spacing w:line="360" w:lineRule="auto"/>
        <w:jc w:val="center"/>
        <w:rPr>
          <w:rFonts w:hint="eastAsia" w:asciiTheme="minorEastAsia" w:hAnsiTheme="minorEastAsia" w:eastAsiaTheme="minorEastAsia" w:cstheme="minorEastAsia"/>
          <w:b/>
          <w:color w:val="auto"/>
          <w:sz w:val="24"/>
          <w:highlight w:val="none"/>
        </w:rPr>
      </w:pPr>
    </w:p>
    <w:p>
      <w:pPr>
        <w:adjustRightInd/>
        <w:spacing w:line="360" w:lineRule="auto"/>
        <w:jc w:val="center"/>
        <w:rPr>
          <w:rFonts w:hint="eastAsia" w:asciiTheme="minorEastAsia" w:hAnsiTheme="minorEastAsia" w:eastAsiaTheme="minorEastAsia" w:cstheme="minorEastAsia"/>
          <w:b/>
          <w:color w:val="auto"/>
          <w:sz w:val="44"/>
          <w:szCs w:val="44"/>
          <w:highlight w:val="none"/>
        </w:rPr>
      </w:pPr>
    </w:p>
    <w:p>
      <w:pPr>
        <w:spacing w:line="360" w:lineRule="auto"/>
        <w:jc w:val="center"/>
        <w:rPr>
          <w:rFonts w:hint="eastAsia" w:asciiTheme="minorEastAsia" w:hAnsiTheme="minorEastAsia" w:eastAsiaTheme="minorEastAsia" w:cstheme="minorEastAsia"/>
          <w:b/>
          <w:color w:val="auto"/>
          <w:spacing w:val="-6"/>
          <w:sz w:val="52"/>
          <w:szCs w:val="72"/>
          <w:highlight w:val="none"/>
        </w:rPr>
      </w:pPr>
      <w:r>
        <w:rPr>
          <w:rFonts w:hint="eastAsia" w:asciiTheme="minorEastAsia" w:hAnsiTheme="minorEastAsia" w:eastAsiaTheme="minorEastAsia" w:cstheme="minorEastAsia"/>
          <w:b/>
          <w:color w:val="auto"/>
          <w:spacing w:val="-6"/>
          <w:sz w:val="52"/>
          <w:szCs w:val="72"/>
          <w:highlight w:val="none"/>
        </w:rPr>
        <w:t>浙江药科职业大学</w:t>
      </w:r>
    </w:p>
    <w:p>
      <w:pPr>
        <w:spacing w:line="360" w:lineRule="auto"/>
        <w:jc w:val="center"/>
        <w:rPr>
          <w:rFonts w:hint="eastAsia" w:asciiTheme="minorEastAsia" w:hAnsiTheme="minorEastAsia" w:eastAsiaTheme="minorEastAsia" w:cstheme="minorEastAsia"/>
          <w:b/>
          <w:color w:val="auto"/>
          <w:sz w:val="72"/>
          <w:szCs w:val="72"/>
          <w:highlight w:val="none"/>
        </w:rPr>
      </w:pPr>
    </w:p>
    <w:p>
      <w:pPr>
        <w:pStyle w:val="3"/>
        <w:rPr>
          <w:rFonts w:hint="eastAsia" w:asciiTheme="minorEastAsia" w:hAnsiTheme="minorEastAsia" w:eastAsiaTheme="minorEastAsia" w:cstheme="minorEastAsia"/>
          <w:color w:val="auto"/>
          <w:highlight w:val="none"/>
        </w:rPr>
      </w:pPr>
    </w:p>
    <w:p>
      <w:pPr>
        <w:spacing w:line="360" w:lineRule="auto"/>
        <w:jc w:val="center"/>
        <w:rPr>
          <w:rFonts w:hint="eastAsia" w:asciiTheme="minorEastAsia" w:hAnsiTheme="minorEastAsia" w:eastAsiaTheme="minorEastAsia" w:cstheme="minorEastAsia"/>
          <w:b/>
          <w:color w:val="auto"/>
          <w:spacing w:val="-6"/>
          <w:sz w:val="72"/>
          <w:szCs w:val="72"/>
          <w:highlight w:val="none"/>
        </w:rPr>
      </w:pPr>
      <w:r>
        <w:rPr>
          <w:rFonts w:hint="eastAsia" w:asciiTheme="minorEastAsia" w:hAnsiTheme="minorEastAsia" w:eastAsiaTheme="minorEastAsia" w:cstheme="minorEastAsia"/>
          <w:b/>
          <w:color w:val="auto"/>
          <w:spacing w:val="-6"/>
          <w:sz w:val="72"/>
          <w:szCs w:val="72"/>
          <w:highlight w:val="none"/>
        </w:rPr>
        <w:t>公开招标文件</w:t>
      </w:r>
    </w:p>
    <w:p>
      <w:pPr>
        <w:spacing w:line="360" w:lineRule="auto"/>
        <w:jc w:val="cente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(电子交易)</w:t>
      </w:r>
    </w:p>
    <w:p>
      <w:pPr>
        <w:pStyle w:val="3"/>
        <w:rPr>
          <w:rFonts w:hint="eastAsia" w:asciiTheme="minorEastAsia" w:hAnsiTheme="minorEastAsia" w:eastAsiaTheme="minorEastAsia" w:cstheme="minorEastAsia"/>
          <w:color w:val="auto"/>
          <w:sz w:val="44"/>
          <w:szCs w:val="44"/>
          <w:highlight w:val="none"/>
        </w:rPr>
      </w:pPr>
    </w:p>
    <w:p>
      <w:pPr>
        <w:pStyle w:val="237"/>
        <w:rPr>
          <w:rFonts w:hint="eastAsia" w:asciiTheme="minorEastAsia" w:hAnsiTheme="minorEastAsia" w:eastAsiaTheme="minorEastAsia" w:cstheme="minorEastAsia"/>
          <w:color w:val="auto"/>
          <w:highlight w:val="none"/>
        </w:rPr>
      </w:pPr>
    </w:p>
    <w:p>
      <w:pPr>
        <w:spacing w:line="360" w:lineRule="auto"/>
        <w:jc w:val="center"/>
        <w:rPr>
          <w:rFonts w:hint="eastAsia" w:asciiTheme="minorEastAsia" w:hAnsiTheme="minorEastAsia" w:eastAsiaTheme="minorEastAsia" w:cstheme="minorEastAsia"/>
          <w:color w:val="auto"/>
          <w:sz w:val="44"/>
          <w:szCs w:val="44"/>
          <w:highlight w:val="none"/>
        </w:rPr>
      </w:pPr>
    </w:p>
    <w:p>
      <w:pPr>
        <w:snapToGrid w:val="0"/>
        <w:spacing w:line="360" w:lineRule="auto"/>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项目名称：浙江药科职业大学</w:t>
      </w:r>
      <w:r>
        <w:rPr>
          <w:rFonts w:hint="eastAsia" w:asciiTheme="minorEastAsia" w:hAnsiTheme="minorEastAsia" w:eastAsiaTheme="minorEastAsia" w:cstheme="minorEastAsia"/>
          <w:b/>
          <w:bCs/>
          <w:color w:val="auto"/>
          <w:sz w:val="30"/>
          <w:szCs w:val="30"/>
          <w:highlight w:val="none"/>
        </w:rPr>
        <w:t>合成生物技术教赛融通实验平台建设</w:t>
      </w:r>
    </w:p>
    <w:p>
      <w:pPr>
        <w:snapToGrid w:val="0"/>
        <w:spacing w:line="360" w:lineRule="auto"/>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项目编号：ZJZX-2025023G</w:t>
      </w:r>
    </w:p>
    <w:p>
      <w:pPr>
        <w:snapToGrid w:val="0"/>
        <w:spacing w:line="360" w:lineRule="auto"/>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采购人：浙江药科职业大学</w:t>
      </w:r>
    </w:p>
    <w:p>
      <w:pPr>
        <w:snapToGrid w:val="0"/>
        <w:spacing w:line="360" w:lineRule="auto"/>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采购代理机构：浙江致信招标代理有限公司</w:t>
      </w:r>
    </w:p>
    <w:p>
      <w:pPr>
        <w:snapToGrid w:val="0"/>
        <w:spacing w:line="360" w:lineRule="auto"/>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时间：二〇二五年六月</w:t>
      </w:r>
    </w:p>
    <w:p>
      <w:pPr>
        <w:spacing w:line="360" w:lineRule="auto"/>
        <w:jc w:val="center"/>
        <w:rPr>
          <w:rFonts w:hint="eastAsia" w:asciiTheme="minorEastAsia" w:hAnsiTheme="minorEastAsia" w:eastAsiaTheme="minorEastAsia" w:cstheme="minorEastAsia"/>
          <w:b/>
          <w:color w:val="auto"/>
          <w:sz w:val="44"/>
          <w:szCs w:val="44"/>
          <w:highlight w:val="none"/>
        </w:rPr>
      </w:pPr>
    </w:p>
    <w:p>
      <w:pPr>
        <w:adjustRightInd/>
        <w:spacing w:line="360" w:lineRule="auto"/>
        <w:jc w:val="center"/>
        <w:rPr>
          <w:rFonts w:hint="eastAsia" w:asciiTheme="minorEastAsia" w:hAnsiTheme="minorEastAsia" w:eastAsiaTheme="minorEastAsia" w:cstheme="minorEastAsia"/>
          <w:b/>
          <w:color w:val="auto"/>
          <w:sz w:val="48"/>
          <w:szCs w:val="48"/>
          <w:highlight w:val="none"/>
        </w:rPr>
      </w:pPr>
    </w:p>
    <w:p>
      <w:pPr>
        <w:adjustRightInd/>
        <w:spacing w:line="360" w:lineRule="auto"/>
        <w:jc w:val="center"/>
        <w:rPr>
          <w:rFonts w:hint="eastAsia" w:asciiTheme="minorEastAsia" w:hAnsiTheme="minorEastAsia" w:eastAsiaTheme="minorEastAsia" w:cstheme="minorEastAsia"/>
          <w:color w:val="auto"/>
          <w:sz w:val="48"/>
          <w:szCs w:val="48"/>
          <w:highlight w:val="none"/>
        </w:rPr>
      </w:pPr>
    </w:p>
    <w:p>
      <w:pPr>
        <w:spacing w:line="360" w:lineRule="auto"/>
        <w:jc w:val="center"/>
        <w:rPr>
          <w:rFonts w:hint="eastAsia" w:asciiTheme="minorEastAsia" w:hAnsiTheme="minorEastAsia" w:eastAsiaTheme="minorEastAsia" w:cstheme="minorEastAsia"/>
          <w:color w:val="auto"/>
          <w:sz w:val="24"/>
          <w:highlight w:val="none"/>
        </w:rPr>
      </w:pPr>
      <w:bookmarkStart w:id="0" w:name="_Hlt67893495"/>
      <w:bookmarkEnd w:id="0"/>
    </w:p>
    <w:p>
      <w:pPr>
        <w:spacing w:line="360" w:lineRule="auto"/>
        <w:jc w:val="center"/>
        <w:rPr>
          <w:rFonts w:hint="eastAsia" w:asciiTheme="minorEastAsia" w:hAnsiTheme="minorEastAsia" w:eastAsiaTheme="minorEastAsia" w:cstheme="minorEastAsia"/>
          <w:color w:val="auto"/>
          <w:sz w:val="24"/>
          <w:highlight w:val="none"/>
        </w:rPr>
      </w:pPr>
    </w:p>
    <w:p>
      <w:pPr>
        <w:spacing w:line="360" w:lineRule="auto"/>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目录</w:t>
      </w:r>
    </w:p>
    <w:p>
      <w:pPr>
        <w:spacing w:line="360" w:lineRule="auto"/>
        <w:rPr>
          <w:rFonts w:hint="eastAsia" w:asciiTheme="minorEastAsia" w:hAnsiTheme="minorEastAsia" w:eastAsiaTheme="minorEastAsia" w:cstheme="minorEastAsia"/>
          <w:color w:val="auto"/>
          <w:sz w:val="32"/>
          <w:szCs w:val="32"/>
          <w:highlight w:val="none"/>
        </w:rPr>
      </w:pPr>
    </w:p>
    <w:p>
      <w:pPr>
        <w:pStyle w:val="47"/>
        <w:tabs>
          <w:tab w:val="right" w:leader="dot" w:pos="9070"/>
        </w:tabs>
        <w:spacing w:line="48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TOC \o "1-1" \h \u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"_Toc1090"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8"/>
          <w:szCs w:val="28"/>
          <w:highlight w:val="none"/>
        </w:rPr>
        <w:t>第一部分招标公告</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_Toc1090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47"/>
        <w:tabs>
          <w:tab w:val="right" w:leader="dot" w:pos="9070"/>
        </w:tabs>
        <w:spacing w:line="48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"_Toc4678"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8"/>
          <w:szCs w:val="28"/>
          <w:highlight w:val="none"/>
        </w:rPr>
        <w:t>第二部分投标人须知</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_Toc4678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7</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47"/>
        <w:tabs>
          <w:tab w:val="right" w:leader="dot" w:pos="9070"/>
        </w:tabs>
        <w:spacing w:line="48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"_Toc16032"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8"/>
          <w:szCs w:val="28"/>
          <w:highlight w:val="none"/>
        </w:rPr>
        <w:t>第三部分采购需求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_Toc16032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47"/>
        <w:tabs>
          <w:tab w:val="right" w:leader="dot" w:pos="9070"/>
        </w:tabs>
        <w:spacing w:line="48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"_Toc20244"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8"/>
          <w:szCs w:val="28"/>
          <w:highlight w:val="none"/>
        </w:rPr>
        <w:t>第四部分评标办法</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_Toc20244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36</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47"/>
        <w:tabs>
          <w:tab w:val="right" w:leader="dot" w:pos="9070"/>
        </w:tabs>
        <w:spacing w:line="48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"_Toc8900"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8"/>
          <w:szCs w:val="28"/>
          <w:highlight w:val="none"/>
        </w:rPr>
        <w:t>第五部分拟签订的合同文本</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_Toc8900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45</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47"/>
        <w:tabs>
          <w:tab w:val="right" w:leader="dot" w:pos="9070"/>
        </w:tabs>
        <w:spacing w:line="48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"_Toc10980"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8"/>
          <w:szCs w:val="28"/>
          <w:highlight w:val="none"/>
        </w:rPr>
        <w:t>第六部分应提交的有关格式范例</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_Toc10980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50</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spacing w:line="48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28"/>
          <w:szCs w:val="28"/>
          <w:highlight w:val="none"/>
        </w:rPr>
        <w:fldChar w:fldCharType="end"/>
      </w:r>
    </w:p>
    <w:p>
      <w:pPr>
        <w:spacing w:line="360" w:lineRule="auto"/>
        <w:ind w:firstLine="549" w:firstLineChars="229"/>
        <w:rPr>
          <w:rFonts w:hint="eastAsia" w:asciiTheme="minorEastAsia" w:hAnsiTheme="minorEastAsia" w:eastAsiaTheme="minorEastAsia" w:cstheme="minorEastAsia"/>
          <w:color w:val="auto"/>
          <w:sz w:val="24"/>
          <w:highlight w:val="none"/>
        </w:rPr>
      </w:pPr>
      <w:bookmarkStart w:id="1" w:name="_Hlt91233176"/>
      <w:bookmarkEnd w:id="1"/>
      <w:bookmarkStart w:id="2" w:name="_Toc91899869"/>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p>
    <w:p>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bookmarkStart w:id="3" w:name="第一部分"/>
      <w:r>
        <w:rPr>
          <w:rFonts w:hint="eastAsia" w:asciiTheme="minorEastAsia" w:hAnsiTheme="minorEastAsia" w:eastAsiaTheme="minorEastAsia" w:cstheme="minorEastAsia"/>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_Toc1090"/>
      <w:bookmarkStart w:id="9" w:name="第二部分"/>
      <w:bookmarkStart w:id="10" w:name="_Toc91899870"/>
      <w:bookmarkStart w:id="11" w:name="_Toc91899871"/>
      <w:r>
        <w:rPr>
          <w:rFonts w:hint="eastAsia" w:asciiTheme="minorEastAsia" w:hAnsiTheme="minorEastAsia" w:eastAsiaTheme="minorEastAsia" w:cstheme="minorEastAsia"/>
          <w:b/>
          <w:color w:val="auto"/>
          <w:sz w:val="36"/>
          <w:szCs w:val="20"/>
          <w:highlight w:val="none"/>
        </w:rPr>
        <w:t>第一部分招标公告</w:t>
      </w:r>
      <w:bookmarkEnd w:id="8"/>
    </w:p>
    <w:p>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浙江药科职业大学合成生物技术教赛融通实验平台建设</w:t>
      </w:r>
      <w:r>
        <w:rPr>
          <w:rFonts w:hint="eastAsia" w:asciiTheme="minorEastAsia" w:hAnsiTheme="minorEastAsia" w:eastAsiaTheme="minorEastAsia" w:cstheme="minorEastAsia"/>
          <w:color w:val="auto"/>
          <w:sz w:val="24"/>
          <w:highlight w:val="none"/>
        </w:rPr>
        <w:t>招标项目的潜在投标人应在政采云平</w:t>
      </w:r>
      <w:r>
        <w:rPr>
          <w:rFonts w:hint="eastAsia" w:asciiTheme="minorEastAsia" w:hAnsiTheme="minorEastAsia" w:eastAsiaTheme="minorEastAsia" w:cstheme="minorEastAsia"/>
          <w:bCs/>
          <w:color w:val="auto"/>
          <w:sz w:val="24"/>
          <w:highlight w:val="none"/>
        </w:rPr>
        <w:t>台（</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"https://www.zcygov.cn/）获取（下载）招标文件，并于202%20年%20月%20日%20点%20分00秒"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sz w:val="24"/>
          <w:highlight w:val="none"/>
        </w:rPr>
        <w:t>https://www.zcygov.cn/）获取（下载）招标文件，并于2025年</w:t>
      </w:r>
      <w:r>
        <w:rPr>
          <w:rFonts w:hint="eastAsia" w:asciiTheme="minorEastAsia" w:hAnsiTheme="minorEastAsia" w:eastAsiaTheme="minorEastAsia" w:cstheme="minorEastAsia"/>
          <w:bCs/>
          <w:color w:val="auto"/>
          <w:sz w:val="24"/>
          <w:highlight w:val="none"/>
          <w:lang w:val="en-US" w:eastAsia="zh-CN"/>
        </w:rPr>
        <w:t>7</w:t>
      </w:r>
      <w:r>
        <w:rPr>
          <w:rFonts w:hint="eastAsia" w:asciiTheme="minorEastAsia" w:hAnsiTheme="minorEastAsia" w:eastAsiaTheme="minorEastAsia" w:cstheme="minorEastAsia"/>
          <w:bCs/>
          <w:color w:val="auto"/>
          <w:sz w:val="24"/>
          <w:highlight w:val="none"/>
        </w:rPr>
        <w:t>月</w:t>
      </w:r>
      <w:r>
        <w:rPr>
          <w:rFonts w:hint="eastAsia" w:asciiTheme="minorEastAsia" w:hAnsiTheme="minorEastAsia" w:eastAsiaTheme="minorEastAsia" w:cstheme="minorEastAsia"/>
          <w:bCs/>
          <w:color w:val="auto"/>
          <w:sz w:val="24"/>
          <w:highlight w:val="none"/>
          <w:lang w:val="en-US" w:eastAsia="zh-CN"/>
        </w:rPr>
        <w:t>11</w:t>
      </w:r>
      <w:r>
        <w:rPr>
          <w:rFonts w:hint="eastAsia" w:asciiTheme="minorEastAsia" w:hAnsiTheme="minorEastAsia" w:eastAsiaTheme="minorEastAsia" w:cstheme="minorEastAsia"/>
          <w:bCs/>
          <w:color w:val="auto"/>
          <w:sz w:val="24"/>
          <w:highlight w:val="none"/>
        </w:rPr>
        <w:t>日09时15分</w:t>
      </w:r>
      <w:r>
        <w:rPr>
          <w:rFonts w:hint="eastAsia" w:asciiTheme="minorEastAsia" w:hAnsiTheme="minorEastAsia" w:eastAsiaTheme="minorEastAsia" w:cstheme="minorEastAsia"/>
          <w:bCs/>
          <w:color w:val="auto"/>
          <w:sz w:val="24"/>
          <w:highlight w:val="none"/>
        </w:rPr>
        <w:fldChar w:fldCharType="end"/>
      </w:r>
      <w:r>
        <w:rPr>
          <w:rFonts w:hint="eastAsia" w:asciiTheme="minorEastAsia" w:hAnsiTheme="minorEastAsia" w:eastAsiaTheme="minorEastAsia" w:cstheme="minorEastAsia"/>
          <w:bCs/>
          <w:color w:val="auto"/>
          <w:sz w:val="24"/>
          <w:highlight w:val="none"/>
        </w:rPr>
        <w:t>（北京时间）前</w:t>
      </w:r>
      <w:r>
        <w:rPr>
          <w:rFonts w:hint="eastAsia" w:asciiTheme="minorEastAsia" w:hAnsiTheme="minorEastAsia" w:eastAsiaTheme="minorEastAsia" w:cstheme="minorEastAsia"/>
          <w:color w:val="auto"/>
          <w:sz w:val="24"/>
          <w:highlight w:val="none"/>
        </w:rPr>
        <w:t>递交（上传）投标文件。</w:t>
      </w: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一、项目基本情况</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项目编号：</w:t>
      </w:r>
      <w:r>
        <w:rPr>
          <w:rFonts w:hint="eastAsia" w:asciiTheme="minorEastAsia" w:hAnsiTheme="minorEastAsia" w:eastAsiaTheme="minorEastAsia" w:cstheme="minorEastAsia"/>
          <w:bCs/>
          <w:color w:val="auto"/>
          <w:sz w:val="24"/>
          <w:highlight w:val="none"/>
        </w:rPr>
        <w:t>ZJZX-2025023G</w:t>
      </w:r>
    </w:p>
    <w:p>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项目名称：</w:t>
      </w:r>
      <w:r>
        <w:rPr>
          <w:rFonts w:hint="eastAsia" w:asciiTheme="minorEastAsia" w:hAnsiTheme="minorEastAsia" w:eastAsiaTheme="minorEastAsia" w:cstheme="minorEastAsia"/>
          <w:bCs/>
          <w:color w:val="auto"/>
          <w:sz w:val="24"/>
          <w:highlight w:val="none"/>
        </w:rPr>
        <w:t>浙江药科职业大学合成生物技术教赛融通实验平台建设</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预算金额（元）：784500</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最高限价（元）：/</w:t>
      </w:r>
    </w:p>
    <w:p>
      <w:pPr>
        <w:spacing w:line="360" w:lineRule="auto"/>
        <w:ind w:firstLine="48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采购需求：</w:t>
      </w:r>
    </w:p>
    <w:p>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标项名称:合成生物技术教赛融通实验平台建设</w:t>
      </w:r>
    </w:p>
    <w:p>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数量: 1  </w:t>
      </w:r>
    </w:p>
    <w:p>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预算金额（元）:784500</w:t>
      </w:r>
    </w:p>
    <w:p>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简要规格描述或项目基本概况介绍、用途：详见“第三部分采购需求”。 </w:t>
      </w:r>
    </w:p>
    <w:p>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备注：/ </w:t>
      </w:r>
    </w:p>
    <w:p>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合同履约期限：签订合同后60日内交付。</w:t>
      </w:r>
    </w:p>
    <w:p>
      <w:pPr>
        <w:spacing w:line="360" w:lineRule="auto"/>
        <w:ind w:firstLine="72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本项目（是）接受联合体投标。</w:t>
      </w: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w:t>
      </w:r>
      <w:bookmarkStart w:id="12" w:name="_Hlk101132948"/>
      <w:r>
        <w:rPr>
          <w:rFonts w:hint="eastAsia" w:asciiTheme="minorEastAsia" w:hAnsiTheme="minorEastAsia" w:eastAsiaTheme="minorEastAsia" w:cstheme="minorEastAsia"/>
          <w:b/>
          <w:color w:val="auto"/>
          <w:sz w:val="24"/>
          <w:highlight w:val="none"/>
        </w:rPr>
        <w:t>申请人的资格要求</w:t>
      </w:r>
      <w:bookmarkEnd w:id="12"/>
      <w:r>
        <w:rPr>
          <w:rFonts w:hint="eastAsia" w:asciiTheme="minorEastAsia" w:hAnsiTheme="minorEastAsia" w:eastAsiaTheme="minorEastAsia" w:cstheme="minorEastAsia"/>
          <w:b/>
          <w:color w:val="auto"/>
          <w:sz w:val="24"/>
          <w:highlight w:val="none"/>
        </w:rPr>
        <w:t>：</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1.满足《中华人民共和国政府采购法》第二十二条规定；未被“信用中国”（</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"http://www.creditchina" </w:instrText>
      </w:r>
      <w:r>
        <w:rPr>
          <w:rFonts w:hint="eastAsia" w:asciiTheme="minorEastAsia" w:hAnsiTheme="minorEastAsia" w:eastAsiaTheme="minorEastAsia" w:cstheme="minorEastAsia"/>
          <w:color w:val="auto"/>
          <w:highlight w:val="none"/>
        </w:rPr>
        <w:fldChar w:fldCharType="separate"/>
      </w:r>
      <w:r>
        <w:rPr>
          <w:rStyle w:val="71"/>
          <w:rFonts w:hint="eastAsia" w:asciiTheme="minorEastAsia" w:hAnsiTheme="minorEastAsia" w:eastAsiaTheme="minorEastAsia" w:cstheme="minorEastAsia"/>
          <w:snapToGrid/>
          <w:color w:val="auto"/>
          <w:kern w:val="2"/>
          <w:sz w:val="24"/>
          <w:szCs w:val="24"/>
          <w:highlight w:val="none"/>
        </w:rPr>
        <w:t>www.creditchina</w:t>
      </w:r>
      <w:r>
        <w:rPr>
          <w:rStyle w:val="71"/>
          <w:rFonts w:hint="eastAsia" w:asciiTheme="minorEastAsia" w:hAnsiTheme="minorEastAsia" w:eastAsiaTheme="minorEastAsia" w:cstheme="minorEastAsia"/>
          <w:snapToGrid/>
          <w:color w:val="auto"/>
          <w:kern w:val="2"/>
          <w:sz w:val="24"/>
          <w:szCs w:val="24"/>
          <w:highlight w:val="none"/>
        </w:rPr>
        <w:fldChar w:fldCharType="end"/>
      </w:r>
      <w:r>
        <w:rPr>
          <w:rFonts w:hint="eastAsia" w:asciiTheme="minorEastAsia" w:hAnsiTheme="minorEastAsia" w:eastAsiaTheme="minorEastAsia" w:cstheme="minorEastAsia"/>
          <w:color w:val="auto"/>
          <w:sz w:val="24"/>
          <w:highlight w:val="none"/>
        </w:rPr>
        <w:t>.gov.cn）、中国政府采购网（</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"http://www.ccgp" </w:instrText>
      </w:r>
      <w:r>
        <w:rPr>
          <w:rFonts w:hint="eastAsia" w:asciiTheme="minorEastAsia" w:hAnsiTheme="minorEastAsia" w:eastAsiaTheme="minorEastAsia" w:cstheme="minorEastAsia"/>
          <w:color w:val="auto"/>
          <w:highlight w:val="none"/>
        </w:rPr>
        <w:fldChar w:fldCharType="separate"/>
      </w:r>
      <w:r>
        <w:rPr>
          <w:rStyle w:val="71"/>
          <w:rFonts w:hint="eastAsia" w:asciiTheme="minorEastAsia" w:hAnsiTheme="minorEastAsia" w:eastAsiaTheme="minorEastAsia" w:cstheme="minorEastAsia"/>
          <w:snapToGrid/>
          <w:color w:val="auto"/>
          <w:kern w:val="2"/>
          <w:sz w:val="24"/>
          <w:szCs w:val="24"/>
          <w:highlight w:val="none"/>
        </w:rPr>
        <w:t>www.ccgp</w:t>
      </w:r>
      <w:r>
        <w:rPr>
          <w:rStyle w:val="71"/>
          <w:rFonts w:hint="eastAsia" w:asciiTheme="minorEastAsia" w:hAnsiTheme="minorEastAsia" w:eastAsiaTheme="minorEastAsia" w:cstheme="minorEastAsia"/>
          <w:snapToGrid/>
          <w:color w:val="auto"/>
          <w:kern w:val="2"/>
          <w:sz w:val="24"/>
          <w:szCs w:val="24"/>
          <w:highlight w:val="none"/>
        </w:rPr>
        <w:fldChar w:fldCharType="end"/>
      </w:r>
      <w:r>
        <w:rPr>
          <w:rFonts w:hint="eastAsia" w:asciiTheme="minorEastAsia" w:hAnsiTheme="minorEastAsia" w:eastAsiaTheme="minorEastAsia" w:cstheme="minorEastAsia"/>
          <w:color w:val="auto"/>
          <w:sz w:val="24"/>
          <w:highlight w:val="none"/>
        </w:rPr>
        <w:t>.gov.cn）列入失信被执行人、重大税收违法失信主体、政府采购严重违法失信行为记录名单。</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2.落实政府采购政策需满足的资格要求：本项目专门面向中小企业采购，投标产品制造商应为中小微企业或监狱企业或残疾人福利性单位。 </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3.本项目的特定资格要求：无</w:t>
      </w: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三、获取招标文件</w:t>
      </w:r>
    </w:p>
    <w:p>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时间：</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至</w:t>
      </w:r>
      <w:r>
        <w:rPr>
          <w:rFonts w:hint="eastAsia" w:asciiTheme="minorEastAsia" w:hAnsiTheme="minorEastAsia" w:eastAsiaTheme="minorEastAsia" w:cstheme="minorEastAsia"/>
          <w:color w:val="auto"/>
          <w:sz w:val="24"/>
          <w:highlight w:val="none"/>
          <w:u w:val="single"/>
        </w:rPr>
        <w:t>2025年</w:t>
      </w:r>
      <w:r>
        <w:rPr>
          <w:rFonts w:hint="eastAsia" w:asciiTheme="minorEastAsia" w:hAnsiTheme="minorEastAsia" w:eastAsiaTheme="minorEastAsia" w:cstheme="minorEastAsia"/>
          <w:color w:val="auto"/>
          <w:sz w:val="24"/>
          <w:highlight w:val="none"/>
          <w:u w:val="single"/>
          <w:lang w:val="en-US" w:eastAsia="zh-CN"/>
        </w:rPr>
        <w:t>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11</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rPr>
        <w:t>政采云平台（</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"https://www" </w:instrText>
      </w:r>
      <w:r>
        <w:rPr>
          <w:rFonts w:hint="eastAsia" w:asciiTheme="minorEastAsia" w:hAnsiTheme="minorEastAsia" w:eastAsiaTheme="minorEastAsia" w:cstheme="minorEastAsia"/>
          <w:color w:val="auto"/>
          <w:highlight w:val="none"/>
        </w:rPr>
        <w:fldChar w:fldCharType="separate"/>
      </w:r>
      <w:r>
        <w:rPr>
          <w:rStyle w:val="71"/>
          <w:rFonts w:hint="eastAsia" w:asciiTheme="minorEastAsia" w:hAnsiTheme="minorEastAsia" w:eastAsiaTheme="minorEastAsia" w:cstheme="minorEastAsia"/>
          <w:snapToGrid/>
          <w:color w:val="auto"/>
          <w:kern w:val="2"/>
          <w:sz w:val="24"/>
          <w:szCs w:val="24"/>
          <w:highlight w:val="none"/>
        </w:rPr>
        <w:t>https://www</w:t>
      </w:r>
      <w:r>
        <w:rPr>
          <w:rStyle w:val="71"/>
          <w:rFonts w:hint="eastAsia" w:asciiTheme="minorEastAsia" w:hAnsiTheme="minorEastAsia" w:eastAsiaTheme="minorEastAsia" w:cstheme="minorEastAsia"/>
          <w:snapToGrid/>
          <w:color w:val="auto"/>
          <w:kern w:val="2"/>
          <w:sz w:val="24"/>
          <w:szCs w:val="24"/>
          <w:highlight w:val="none"/>
        </w:rPr>
        <w:fldChar w:fldCharType="end"/>
      </w:r>
      <w:r>
        <w:rPr>
          <w:rFonts w:hint="eastAsia" w:asciiTheme="minorEastAsia" w:hAnsiTheme="minorEastAsia" w:eastAsiaTheme="minorEastAsia" w:cstheme="minorEastAsia"/>
          <w:color w:val="auto"/>
          <w:sz w:val="24"/>
          <w:highlight w:val="none"/>
        </w:rPr>
        <w:t>.zcygov.cn/）</w:t>
      </w:r>
    </w:p>
    <w:p>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方式：</w:t>
      </w:r>
      <w:r>
        <w:rPr>
          <w:rFonts w:hint="eastAsia" w:asciiTheme="minorEastAsia" w:hAnsiTheme="minorEastAsia" w:eastAsiaTheme="minorEastAsia" w:cstheme="minorEastAsia"/>
          <w:color w:val="auto"/>
          <w:sz w:val="24"/>
          <w:highlight w:val="none"/>
        </w:rPr>
        <w:t>供应商登录政采云平台</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"https://www" </w:instrText>
      </w:r>
      <w:r>
        <w:rPr>
          <w:rFonts w:hint="eastAsia" w:asciiTheme="minorEastAsia" w:hAnsiTheme="minorEastAsia" w:eastAsiaTheme="minorEastAsia" w:cstheme="minorEastAsia"/>
          <w:color w:val="auto"/>
          <w:highlight w:val="none"/>
        </w:rPr>
        <w:fldChar w:fldCharType="separate"/>
      </w:r>
      <w:r>
        <w:rPr>
          <w:rStyle w:val="71"/>
          <w:rFonts w:hint="eastAsia" w:asciiTheme="minorEastAsia" w:hAnsiTheme="minorEastAsia" w:eastAsiaTheme="minorEastAsia" w:cstheme="minorEastAsia"/>
          <w:snapToGrid/>
          <w:color w:val="auto"/>
          <w:kern w:val="2"/>
          <w:sz w:val="24"/>
          <w:szCs w:val="24"/>
          <w:highlight w:val="none"/>
        </w:rPr>
        <w:t>https://www</w:t>
      </w:r>
      <w:r>
        <w:rPr>
          <w:rStyle w:val="71"/>
          <w:rFonts w:hint="eastAsia" w:asciiTheme="minorEastAsia" w:hAnsiTheme="minorEastAsia" w:eastAsiaTheme="minorEastAsia" w:cstheme="minorEastAsia"/>
          <w:snapToGrid/>
          <w:color w:val="auto"/>
          <w:kern w:val="2"/>
          <w:sz w:val="24"/>
          <w:szCs w:val="24"/>
          <w:highlight w:val="none"/>
        </w:rPr>
        <w:fldChar w:fldCharType="end"/>
      </w:r>
      <w:r>
        <w:rPr>
          <w:rFonts w:hint="eastAsia" w:asciiTheme="minorEastAsia" w:hAnsiTheme="minorEastAsia" w:eastAsiaTheme="minorEastAsia" w:cstheme="minorEastAsia"/>
          <w:color w:val="auto"/>
          <w:sz w:val="24"/>
          <w:highlight w:val="none"/>
        </w:rPr>
        <w:t>.zcygov.cn/在线申请获取采购文件（进入“项目采购”应用，在获取采购文件菜单中选择项目，申请获取采购文件）。</w:t>
      </w:r>
    </w:p>
    <w:p>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售价（元）：</w:t>
      </w:r>
      <w:r>
        <w:rPr>
          <w:rFonts w:hint="eastAsia" w:asciiTheme="minorEastAsia" w:hAnsiTheme="minorEastAsia" w:eastAsiaTheme="minorEastAsia" w:cstheme="minorEastAsia"/>
          <w:color w:val="auto"/>
          <w:sz w:val="24"/>
          <w:highlight w:val="none"/>
        </w:rPr>
        <w:t xml:space="preserve">0 </w:t>
      </w:r>
      <w:r>
        <w:rPr>
          <w:rFonts w:hint="eastAsia" w:asciiTheme="minorEastAsia" w:hAnsiTheme="minorEastAsia" w:eastAsiaTheme="minorEastAsia" w:cstheme="minorEastAsia"/>
          <w:color w:val="auto"/>
          <w:sz w:val="24"/>
          <w:highlight w:val="none"/>
        </w:rPr>
        <w:tab/>
      </w: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w:t>
      </w:r>
      <w:bookmarkStart w:id="13" w:name="_Hlk167277333"/>
      <w:r>
        <w:rPr>
          <w:rFonts w:hint="eastAsia" w:asciiTheme="minorEastAsia" w:hAnsiTheme="minorEastAsia" w:eastAsiaTheme="minorEastAsia" w:cstheme="minorEastAsia"/>
          <w:b/>
          <w:color w:val="auto"/>
          <w:sz w:val="24"/>
          <w:highlight w:val="none"/>
        </w:rPr>
        <w:t>提交投标文件截止时间、开标时间和地点</w:t>
      </w:r>
    </w:p>
    <w:p>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提交投标文件截止时间：</w:t>
      </w:r>
      <w:r>
        <w:rPr>
          <w:rFonts w:hint="eastAsia" w:asciiTheme="minorEastAsia" w:hAnsiTheme="minorEastAsia" w:eastAsiaTheme="minorEastAsia" w:cstheme="minorEastAsia"/>
          <w:color w:val="auto"/>
          <w:sz w:val="24"/>
          <w:highlight w:val="none"/>
          <w:u w:val="single"/>
        </w:rPr>
        <w:t xml:space="preserve"> 2025年</w:t>
      </w:r>
      <w:r>
        <w:rPr>
          <w:rFonts w:hint="eastAsia" w:asciiTheme="minorEastAsia" w:hAnsiTheme="minorEastAsia" w:eastAsiaTheme="minorEastAsia" w:cstheme="minorEastAsia"/>
          <w:color w:val="auto"/>
          <w:sz w:val="24"/>
          <w:highlight w:val="none"/>
          <w:u w:val="single"/>
          <w:lang w:val="en-US" w:eastAsia="zh-CN"/>
        </w:rPr>
        <w:t>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11</w:t>
      </w:r>
      <w:r>
        <w:rPr>
          <w:rFonts w:hint="eastAsia" w:asciiTheme="minorEastAsia" w:hAnsiTheme="minorEastAsia" w:eastAsiaTheme="minorEastAsia" w:cstheme="minorEastAsia"/>
          <w:color w:val="auto"/>
          <w:sz w:val="24"/>
          <w:highlight w:val="none"/>
          <w:u w:val="single"/>
        </w:rPr>
        <w:t>日09时15分</w:t>
      </w:r>
      <w:r>
        <w:rPr>
          <w:rFonts w:hint="eastAsia" w:asciiTheme="minorEastAsia" w:hAnsiTheme="minorEastAsia" w:eastAsiaTheme="minorEastAsia" w:cstheme="minorEastAsia"/>
          <w:color w:val="auto"/>
          <w:sz w:val="24"/>
          <w:highlight w:val="none"/>
        </w:rPr>
        <w:t>（北京时间）</w:t>
      </w:r>
    </w:p>
    <w:p>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投标地点（网址）：</w:t>
      </w:r>
      <w:r>
        <w:rPr>
          <w:rFonts w:hint="eastAsia" w:asciiTheme="minorEastAsia" w:hAnsiTheme="minorEastAsia" w:eastAsiaTheme="minorEastAsia" w:cstheme="minorEastAsia"/>
          <w:color w:val="auto"/>
          <w:sz w:val="24"/>
          <w:highlight w:val="none"/>
        </w:rPr>
        <w:t>政采云平台（</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"https://www" </w:instrText>
      </w:r>
      <w:r>
        <w:rPr>
          <w:rFonts w:hint="eastAsia" w:asciiTheme="minorEastAsia" w:hAnsiTheme="minorEastAsia" w:eastAsiaTheme="minorEastAsia" w:cstheme="minorEastAsia"/>
          <w:color w:val="auto"/>
          <w:highlight w:val="none"/>
        </w:rPr>
        <w:fldChar w:fldCharType="separate"/>
      </w:r>
      <w:r>
        <w:rPr>
          <w:rStyle w:val="71"/>
          <w:rFonts w:hint="eastAsia" w:asciiTheme="minorEastAsia" w:hAnsiTheme="minorEastAsia" w:eastAsiaTheme="minorEastAsia" w:cstheme="minorEastAsia"/>
          <w:snapToGrid/>
          <w:color w:val="auto"/>
          <w:kern w:val="2"/>
          <w:sz w:val="24"/>
          <w:szCs w:val="24"/>
          <w:highlight w:val="none"/>
        </w:rPr>
        <w:t>https://www</w:t>
      </w:r>
      <w:r>
        <w:rPr>
          <w:rStyle w:val="71"/>
          <w:rFonts w:hint="eastAsia" w:asciiTheme="minorEastAsia" w:hAnsiTheme="minorEastAsia" w:eastAsiaTheme="minorEastAsia" w:cstheme="minorEastAsia"/>
          <w:snapToGrid/>
          <w:color w:val="auto"/>
          <w:kern w:val="2"/>
          <w:sz w:val="24"/>
          <w:szCs w:val="24"/>
          <w:highlight w:val="none"/>
        </w:rPr>
        <w:fldChar w:fldCharType="end"/>
      </w:r>
      <w:r>
        <w:rPr>
          <w:rFonts w:hint="eastAsia" w:asciiTheme="minorEastAsia" w:hAnsiTheme="minorEastAsia" w:eastAsiaTheme="minorEastAsia" w:cstheme="minorEastAsia"/>
          <w:color w:val="auto"/>
          <w:sz w:val="24"/>
          <w:highlight w:val="none"/>
        </w:rPr>
        <w:t>.zcygov.cn/）</w:t>
      </w:r>
    </w:p>
    <w:p>
      <w:pPr>
        <w:spacing w:line="360" w:lineRule="auto"/>
        <w:ind w:firstLine="482" w:firstLineChars="200"/>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
          <w:color w:val="auto"/>
          <w:sz w:val="24"/>
          <w:highlight w:val="none"/>
        </w:rPr>
        <w:t>开标时间：</w:t>
      </w:r>
      <w:r>
        <w:rPr>
          <w:rFonts w:hint="eastAsia" w:asciiTheme="minorEastAsia" w:hAnsiTheme="minorEastAsia" w:eastAsiaTheme="minorEastAsia" w:cstheme="minorEastAsia"/>
          <w:color w:val="auto"/>
          <w:sz w:val="24"/>
          <w:highlight w:val="none"/>
          <w:u w:val="single"/>
        </w:rPr>
        <w:t>2025年</w:t>
      </w:r>
      <w:r>
        <w:rPr>
          <w:rFonts w:hint="eastAsia" w:asciiTheme="minorEastAsia" w:hAnsiTheme="minorEastAsia" w:eastAsiaTheme="minorEastAsia" w:cstheme="minorEastAsia"/>
          <w:color w:val="auto"/>
          <w:sz w:val="24"/>
          <w:highlight w:val="none"/>
          <w:u w:val="single"/>
          <w:lang w:val="en-US" w:eastAsia="zh-CN"/>
        </w:rPr>
        <w:t>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11</w:t>
      </w:r>
      <w:r>
        <w:rPr>
          <w:rFonts w:hint="eastAsia" w:asciiTheme="minorEastAsia" w:hAnsiTheme="minorEastAsia" w:eastAsiaTheme="minorEastAsia" w:cstheme="minorEastAsia"/>
          <w:color w:val="auto"/>
          <w:sz w:val="24"/>
          <w:highlight w:val="none"/>
          <w:u w:val="single"/>
        </w:rPr>
        <w:t>日09时15分</w:t>
      </w:r>
    </w:p>
    <w:p>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开标地点（网址）：</w:t>
      </w:r>
      <w:r>
        <w:rPr>
          <w:rFonts w:hint="eastAsia" w:asciiTheme="minorEastAsia" w:hAnsiTheme="minorEastAsia" w:eastAsiaTheme="minorEastAsia" w:cstheme="minorEastAsia"/>
          <w:color w:val="auto"/>
          <w:sz w:val="24"/>
          <w:highlight w:val="none"/>
        </w:rPr>
        <w:t>政采云平台（</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"https://www" </w:instrText>
      </w:r>
      <w:r>
        <w:rPr>
          <w:rFonts w:hint="eastAsia" w:asciiTheme="minorEastAsia" w:hAnsiTheme="minorEastAsia" w:eastAsiaTheme="minorEastAsia" w:cstheme="minorEastAsia"/>
          <w:color w:val="auto"/>
          <w:highlight w:val="none"/>
        </w:rPr>
        <w:fldChar w:fldCharType="separate"/>
      </w:r>
      <w:r>
        <w:rPr>
          <w:rStyle w:val="71"/>
          <w:rFonts w:hint="eastAsia" w:asciiTheme="minorEastAsia" w:hAnsiTheme="minorEastAsia" w:eastAsiaTheme="minorEastAsia" w:cstheme="minorEastAsia"/>
          <w:snapToGrid/>
          <w:color w:val="auto"/>
          <w:kern w:val="2"/>
          <w:sz w:val="24"/>
          <w:szCs w:val="24"/>
          <w:highlight w:val="none"/>
        </w:rPr>
        <w:t>https://www</w:t>
      </w:r>
      <w:r>
        <w:rPr>
          <w:rStyle w:val="71"/>
          <w:rFonts w:hint="eastAsia" w:asciiTheme="minorEastAsia" w:hAnsiTheme="minorEastAsia" w:eastAsiaTheme="minorEastAsia" w:cstheme="minorEastAsia"/>
          <w:snapToGrid/>
          <w:color w:val="auto"/>
          <w:kern w:val="2"/>
          <w:sz w:val="24"/>
          <w:szCs w:val="24"/>
          <w:highlight w:val="none"/>
        </w:rPr>
        <w:fldChar w:fldCharType="end"/>
      </w:r>
      <w:r>
        <w:rPr>
          <w:rFonts w:hint="eastAsia" w:asciiTheme="minorEastAsia" w:hAnsiTheme="minorEastAsia" w:eastAsiaTheme="minorEastAsia" w:cstheme="minorEastAsia"/>
          <w:color w:val="auto"/>
          <w:sz w:val="24"/>
          <w:highlight w:val="none"/>
        </w:rPr>
        <w:t>.zcygov.cn/）</w:t>
      </w:r>
      <w:bookmarkEnd w:id="13"/>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五、公告期限</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自本公告发布之日起5个工作日。</w:t>
      </w: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六、其他补充事宜</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其他事项：（1）采购项目需要落实的政府采购政策：《政府采购促进中小企业发展管理办法》、《关于促进残疾人就业政府采购政策的通知》（财库〔2017〕141号）、《关于政府采购支持监狱企业发展有关问题的通知》（财库[2014]68号）、《关于调整优化节能产品环境标志产品政府采购执行机制的通知》（财库[2019]9号）。</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（2）本项目采取电子招投标，电子招投标有关事项说明：</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A.本项目通过“浙江政府采购网（</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"http://zfcg" </w:instrText>
      </w:r>
      <w:r>
        <w:rPr>
          <w:rFonts w:hint="eastAsia" w:asciiTheme="minorEastAsia" w:hAnsiTheme="minorEastAsia" w:eastAsiaTheme="minorEastAsia" w:cstheme="minorEastAsia"/>
          <w:color w:val="auto"/>
          <w:highlight w:val="none"/>
        </w:rPr>
        <w:fldChar w:fldCharType="separate"/>
      </w:r>
      <w:r>
        <w:rPr>
          <w:rStyle w:val="71"/>
          <w:rFonts w:hint="eastAsia" w:asciiTheme="minorEastAsia" w:hAnsiTheme="minorEastAsia" w:eastAsiaTheme="minorEastAsia" w:cstheme="minorEastAsia"/>
          <w:snapToGrid/>
          <w:color w:val="auto"/>
          <w:kern w:val="2"/>
          <w:sz w:val="24"/>
          <w:szCs w:val="24"/>
          <w:highlight w:val="none"/>
        </w:rPr>
        <w:t>http://zfcg</w:t>
      </w:r>
      <w:r>
        <w:rPr>
          <w:rStyle w:val="71"/>
          <w:rFonts w:hint="eastAsia" w:asciiTheme="minorEastAsia" w:hAnsiTheme="minorEastAsia" w:eastAsiaTheme="minorEastAsia" w:cstheme="minorEastAsia"/>
          <w:snapToGrid/>
          <w:color w:val="auto"/>
          <w:kern w:val="2"/>
          <w:sz w:val="24"/>
          <w:szCs w:val="24"/>
          <w:highlight w:val="none"/>
        </w:rPr>
        <w:fldChar w:fldCharType="end"/>
      </w:r>
      <w:r>
        <w:rPr>
          <w:rFonts w:hint="eastAsia" w:asciiTheme="minorEastAsia" w:hAnsiTheme="minorEastAsia" w:eastAsiaTheme="minorEastAsia" w:cstheme="minorEastAsia"/>
          <w:color w:val="auto"/>
          <w:sz w:val="24"/>
          <w:highlight w:val="none"/>
        </w:rPr>
        <w:t>.czt.zj.gov.cn）”实行电子投标，供应商须安装客户端软件，并按照招标文件和电子交易平台的要求制作投标文件。</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客户端软件下载方式：供应商可通过“浙江政府采购网-下载专区-电子交易客户端”进行下载。</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B.供应商须申领CA，并在浙江政府采购网完成绑定方可进行投标文件的编制，CA相关操作可参考“浙江政府采购网-下载专区-电子交易客户端-CA驱动和申领流程”。</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（3）单位负责人为同一人或者存在直接控股、管理关系的不同供应商，不得同时参加同一合同项下的投标。</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（4）为项目提供整体设计、规范编制或者项目管理、监理、检测等服务的供应商，不得参加该项目的投标</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依据《政府采购质疑和投诉办法》第十条第二款规定，本项目要求投标人在法定质疑期内一次性提出针对同一采购程序环节的质疑。投标人在法定质疑期内多次提出针对同一采购程序环节的质疑的，采购人或采购代理机构只受理该投标人的第一次有效质疑。 </w:t>
      </w: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七、对本次采购提出询问、质疑、投诉，请按以下方式联系</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1.采购人信息</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名称：浙江药科职业大学</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地址：浙江省宁波市奉化区四明路666号</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项目联系人（询问）:黎晶晶</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联系方式（询问）：0574-88227271</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项目质疑联系人：周老师</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联系电话：0574-88839057 </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2.采购代理机构信息</w:t>
      </w:r>
    </w:p>
    <w:p>
      <w:pPr>
        <w:spacing w:line="360" w:lineRule="auto"/>
        <w:ind w:firstLine="480" w:firstLineChars="200"/>
        <w:rPr>
          <w:rFonts w:hint="eastAsia" w:asciiTheme="minorEastAsia" w:hAnsiTheme="minorEastAsia" w:eastAsiaTheme="minorEastAsia" w:cstheme="minorEastAsia"/>
          <w:color w:val="auto"/>
          <w:sz w:val="24"/>
          <w:highlight w:val="none"/>
        </w:rPr>
      </w:pPr>
      <w:bookmarkStart w:id="14" w:name="_Hlk167277535"/>
      <w:r>
        <w:rPr>
          <w:rFonts w:hint="eastAsia" w:asciiTheme="minorEastAsia" w:hAnsiTheme="minorEastAsia" w:eastAsiaTheme="minorEastAsia" w:cstheme="minorEastAsia"/>
          <w:color w:val="auto"/>
          <w:sz w:val="24"/>
          <w:highlight w:val="none"/>
        </w:rPr>
        <w:t>名称：浙江致信招标代理有限公司</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地址：宁波市鄞州区紫诚路清华宁波科创园2号楼11层</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业务联系人：徐锦</w:t>
      </w:r>
      <w:r>
        <w:rPr>
          <w:rFonts w:hint="eastAsia" w:asciiTheme="minorEastAsia" w:hAnsiTheme="minorEastAsia" w:eastAsiaTheme="minorEastAsia" w:cstheme="minorEastAsia"/>
          <w:color w:val="auto"/>
          <w:sz w:val="24"/>
          <w:highlight w:val="none"/>
          <w:lang w:val="en-US" w:eastAsia="zh-CN"/>
        </w:rPr>
        <w:t>峰</w:t>
      </w:r>
      <w:r>
        <w:rPr>
          <w:rFonts w:hint="eastAsia" w:asciiTheme="minorEastAsia" w:hAnsiTheme="minorEastAsia" w:eastAsiaTheme="minorEastAsia" w:cstheme="minorEastAsia"/>
          <w:color w:val="auto"/>
          <w:sz w:val="24"/>
          <w:highlight w:val="none"/>
        </w:rPr>
        <w:t>、俞磊、徐敬琪、张小燕、朱梅黎、沈诗佳</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联系电话：0574-63816102，15258368500</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质疑联系人：尤依婷</w:t>
      </w:r>
    </w:p>
    <w:bookmarkEnd w:id="14"/>
    <w:p>
      <w:pPr>
        <w:spacing w:line="360" w:lineRule="auto"/>
        <w:ind w:firstLine="480" w:firstLineChars="200"/>
        <w:rPr>
          <w:rFonts w:hint="eastAsia" w:asciiTheme="minorEastAsia" w:hAnsiTheme="minorEastAsia" w:eastAsiaTheme="minorEastAsia" w:cstheme="minorEastAsia"/>
          <w:color w:val="auto"/>
          <w:sz w:val="24"/>
          <w:highlight w:val="none"/>
        </w:rPr>
      </w:pPr>
      <w:bookmarkStart w:id="15" w:name="_Hlk167277573"/>
      <w:r>
        <w:rPr>
          <w:rFonts w:hint="eastAsia" w:asciiTheme="minorEastAsia" w:hAnsiTheme="minorEastAsia" w:eastAsiaTheme="minorEastAsia" w:cstheme="minorEastAsia"/>
          <w:color w:val="auto"/>
          <w:sz w:val="24"/>
          <w:highlight w:val="none"/>
        </w:rPr>
        <w:t>联系电话：0571-88026807</w:t>
      </w:r>
      <w:r>
        <w:rPr>
          <w:rFonts w:hint="eastAsia" w:asciiTheme="minorEastAsia" w:hAnsiTheme="minorEastAsia" w:eastAsiaTheme="minorEastAsia" w:cstheme="minorEastAsia"/>
          <w:color w:val="auto"/>
          <w:sz w:val="24"/>
          <w:highlight w:val="none"/>
          <w:lang w:val="en-US" w:eastAsia="zh-CN"/>
        </w:rPr>
        <w:t>(纸质质疑函收件地址：浙江省杭州市西湖区天目山路7号1号楼裙楼201室)</w:t>
      </w:r>
      <w:bookmarkStart w:id="422" w:name="_GoBack"/>
      <w:bookmarkEnd w:id="422"/>
    </w:p>
    <w:bookmarkEnd w:id="15"/>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3.该项目由采购人处理采购争议。质疑环节，采购人委托采购代理机构处理的，可由采购代理机构答复。对质疑答复不满意的，向采购人内部设置的采购监督机构反映。</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政策咨询：何一平、冯华，0571-87058424、87055741</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预算金额未达100万元的采购项目，由采购人处理采购争议。</w:t>
      </w:r>
    </w:p>
    <w:p>
      <w:pPr>
        <w:spacing w:line="360" w:lineRule="auto"/>
        <w:ind w:firstLine="480" w:firstLineChars="200"/>
        <w:rPr>
          <w:rFonts w:hint="eastAsia" w:asciiTheme="minorEastAsia" w:hAnsiTheme="minorEastAsia" w:eastAsiaTheme="minorEastAsia" w:cstheme="minorEastAsia"/>
          <w:color w:val="auto"/>
          <w:sz w:val="24"/>
          <w:highlight w:val="none"/>
        </w:rPr>
      </w:pPr>
    </w:p>
    <w:p>
      <w:pPr>
        <w:spacing w:line="360" w:lineRule="auto"/>
        <w:ind w:firstLine="54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7"/>
          <w:szCs w:val="27"/>
          <w:highlight w:val="none"/>
        </w:rPr>
        <w:t>         </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若对项目采购电子交易系统操作有疑问，可登录政采云（</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"https://www" </w:instrText>
      </w:r>
      <w:r>
        <w:rPr>
          <w:rFonts w:hint="eastAsia" w:asciiTheme="minorEastAsia" w:hAnsiTheme="minorEastAsia" w:eastAsiaTheme="minorEastAsia" w:cstheme="minorEastAsia"/>
          <w:color w:val="auto"/>
          <w:highlight w:val="none"/>
        </w:rPr>
        <w:fldChar w:fldCharType="separate"/>
      </w:r>
      <w:r>
        <w:rPr>
          <w:rStyle w:val="71"/>
          <w:rFonts w:hint="eastAsia" w:asciiTheme="minorEastAsia" w:hAnsiTheme="minorEastAsia" w:eastAsiaTheme="minorEastAsia" w:cstheme="minorEastAsia"/>
          <w:snapToGrid/>
          <w:color w:val="auto"/>
          <w:kern w:val="2"/>
          <w:sz w:val="24"/>
          <w:szCs w:val="24"/>
          <w:highlight w:val="none"/>
        </w:rPr>
        <w:t>https://www</w:t>
      </w:r>
      <w:r>
        <w:rPr>
          <w:rStyle w:val="71"/>
          <w:rFonts w:hint="eastAsia" w:asciiTheme="minorEastAsia" w:hAnsiTheme="minorEastAsia" w:eastAsiaTheme="minorEastAsia" w:cstheme="minorEastAsia"/>
          <w:snapToGrid/>
          <w:color w:val="auto"/>
          <w:kern w:val="2"/>
          <w:sz w:val="24"/>
          <w:szCs w:val="24"/>
          <w:highlight w:val="none"/>
        </w:rPr>
        <w:fldChar w:fldCharType="end"/>
      </w:r>
      <w:r>
        <w:rPr>
          <w:rFonts w:hint="eastAsia" w:asciiTheme="minorEastAsia" w:hAnsiTheme="minorEastAsia" w:eastAsiaTheme="minorEastAsia" w:cstheme="minorEastAsia"/>
          <w:color w:val="auto"/>
          <w:sz w:val="24"/>
          <w:highlight w:val="none"/>
        </w:rPr>
        <w:t>.zcygov.cn/），点击右侧咨询小采，获取采小蜜智能服务管家帮助，或拨打政采云服务热线95763获取热线服务帮助。</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CA问题联系电话（人工）：汇信CA 400-888-4636；天谷CA 400-087-8198。</w:t>
      </w:r>
    </w:p>
    <w:p>
      <w:pPr>
        <w:pStyle w:val="36"/>
        <w:spacing w:line="360" w:lineRule="auto"/>
        <w:rPr>
          <w:rFonts w:hint="eastAsia" w:asciiTheme="minorEastAsia" w:hAnsiTheme="minorEastAsia" w:eastAsiaTheme="minorEastAsia" w:cstheme="minorEastAsia"/>
          <w:b/>
          <w:color w:val="auto"/>
          <w:sz w:val="36"/>
          <w:szCs w:val="20"/>
          <w:highlight w:val="none"/>
        </w:rPr>
      </w:pPr>
    </w:p>
    <w:p>
      <w:pPr>
        <w:pStyle w:val="6"/>
        <w:rPr>
          <w:rFonts w:hint="eastAsia"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color w:val="auto"/>
          <w:highlight w:val="none"/>
        </w:rPr>
        <w:br w:type="page"/>
      </w:r>
    </w:p>
    <w:p>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bookmarkStart w:id="16" w:name="_Toc4678"/>
      <w:r>
        <w:rPr>
          <w:rFonts w:hint="eastAsia" w:asciiTheme="minorEastAsia" w:hAnsiTheme="minorEastAsia" w:eastAsiaTheme="minorEastAsia" w:cstheme="minorEastAsia"/>
          <w:b/>
          <w:color w:val="auto"/>
          <w:sz w:val="36"/>
          <w:szCs w:val="20"/>
          <w:highlight w:val="none"/>
        </w:rPr>
        <w:t>第二部分</w:t>
      </w:r>
      <w:bookmarkEnd w:id="9"/>
      <w:r>
        <w:rPr>
          <w:rFonts w:hint="eastAsia" w:asciiTheme="minorEastAsia" w:hAnsiTheme="minorEastAsia" w:eastAsiaTheme="minorEastAsia" w:cstheme="minorEastAsia"/>
          <w:b/>
          <w:color w:val="auto"/>
          <w:sz w:val="36"/>
          <w:szCs w:val="20"/>
          <w:highlight w:val="none"/>
        </w:rPr>
        <w:t>投标人须知</w:t>
      </w:r>
      <w:bookmarkEnd w:id="10"/>
      <w:bookmarkEnd w:id="16"/>
    </w:p>
    <w:p>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bookmarkStart w:id="17" w:name="_Toc31047"/>
      <w:r>
        <w:rPr>
          <w:rFonts w:hint="eastAsia" w:asciiTheme="minorEastAsia" w:hAnsiTheme="minorEastAsia" w:eastAsiaTheme="minorEastAsia" w:cstheme="minorEastAsia"/>
          <w:b/>
          <w:color w:val="auto"/>
          <w:sz w:val="32"/>
          <w:szCs w:val="20"/>
          <w:highlight w:val="none"/>
        </w:rPr>
        <w:t>前附表</w:t>
      </w:r>
      <w:bookmarkEnd w:id="17"/>
    </w:p>
    <w:tbl>
      <w:tblPr>
        <w:tblStyle w:val="75"/>
        <w:tblW w:w="929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8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682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Theme="minorEastAsia" w:hAnsiTheme="minorEastAsia" w:eastAsiaTheme="minorEastAsia" w:cstheme="minorEastAsia"/>
                <w:color w:val="auto"/>
                <w:sz w:val="24"/>
                <w:highlight w:val="none"/>
              </w:rPr>
            </w:pPr>
          </w:p>
          <w:p>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项目属性与核心产品</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货物类，</w:t>
            </w:r>
            <w:r>
              <w:rPr>
                <w:rFonts w:hint="eastAsia" w:asciiTheme="minorEastAsia" w:hAnsiTheme="minorEastAsia" w:eastAsiaTheme="minorEastAsia" w:cstheme="minorEastAsia"/>
                <w:color w:val="auto"/>
                <w:kern w:val="0"/>
                <w:sz w:val="24"/>
                <w:highlight w:val="none"/>
              </w:rPr>
              <w:t>核心产品为</w:t>
            </w:r>
            <w:r>
              <w:rPr>
                <w:rFonts w:hint="eastAsia" w:asciiTheme="minorEastAsia" w:hAnsiTheme="minorEastAsia" w:eastAsiaTheme="minorEastAsia" w:cstheme="minorEastAsia"/>
                <w:color w:val="auto"/>
                <w:kern w:val="0"/>
                <w:sz w:val="24"/>
                <w:highlight w:val="none"/>
                <w:u w:val="single"/>
              </w:rPr>
              <w:t>：</w:t>
            </w:r>
            <w:r>
              <w:rPr>
                <w:rFonts w:hint="eastAsia" w:asciiTheme="minorEastAsia" w:hAnsiTheme="minorEastAsia" w:eastAsiaTheme="minorEastAsia" w:cstheme="minorEastAsia"/>
                <w:color w:val="auto"/>
                <w:sz w:val="24"/>
                <w:highlight w:val="none"/>
                <w:u w:val="single"/>
              </w:rPr>
              <w:t>化学发光显色系统</w:t>
            </w:r>
            <w:r>
              <w:rPr>
                <w:rFonts w:hint="eastAsia" w:asciiTheme="minorEastAsia" w:hAnsiTheme="minorEastAsia" w:eastAsiaTheme="minorEastAsia" w:cstheme="minorEastAsia"/>
                <w:color w:val="auto"/>
                <w:kern w:val="0"/>
                <w:sz w:val="24"/>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5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p>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采购标的及其对应的中小企业划分标准所属行业</w:t>
            </w:r>
          </w:p>
        </w:tc>
        <w:tc>
          <w:tcPr>
            <w:tcW w:w="6823" w:type="dxa"/>
            <w:tcBorders>
              <w:top w:val="single" w:color="000000" w:sz="8" w:space="0"/>
              <w:left w:val="single" w:color="000000" w:sz="2" w:space="0"/>
              <w:bottom w:val="single" w:color="000000" w:sz="8" w:space="0"/>
              <w:right w:val="single" w:color="000000" w:sz="8" w:space="0"/>
            </w:tcBorders>
            <w:vAlign w:val="center"/>
          </w:tcPr>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rPr>
              <w:t>标的名称：</w:t>
            </w:r>
            <w:r>
              <w:rPr>
                <w:rFonts w:hint="eastAsia" w:asciiTheme="minorEastAsia" w:hAnsiTheme="minorEastAsia" w:eastAsiaTheme="minorEastAsia" w:cstheme="minorEastAsia"/>
                <w:color w:val="auto"/>
                <w:sz w:val="24"/>
                <w:highlight w:val="none"/>
                <w:u w:val="single"/>
              </w:rPr>
              <w:t>核酸蛋白分析仪、恒温混匀仪、离心机、WB转模系统、化学发光显色系统、单人双面工作台、体式显微镜、浊度仪、超低温冰箱、生物安全柜、万向抽气罩、磁力搅拌器、水平脱色摇床、pH计、光照培养箱、高速冷冻离心机、8通道排枪，</w:t>
            </w:r>
            <w:r>
              <w:rPr>
                <w:rFonts w:hint="eastAsia" w:asciiTheme="minorEastAsia" w:hAnsiTheme="minorEastAsia" w:eastAsiaTheme="minorEastAsia" w:cstheme="minorEastAsia"/>
                <w:color w:val="auto"/>
                <w:kern w:val="0"/>
                <w:sz w:val="24"/>
                <w:highlight w:val="none"/>
              </w:rPr>
              <w:t>属于</w:t>
            </w:r>
            <w:r>
              <w:rPr>
                <w:rFonts w:hint="eastAsia" w:asciiTheme="minorEastAsia" w:hAnsiTheme="minorEastAsia" w:eastAsiaTheme="minorEastAsia" w:cstheme="minorEastAsia"/>
                <w:color w:val="auto"/>
                <w:sz w:val="24"/>
                <w:highlight w:val="none"/>
                <w:u w:val="single"/>
              </w:rPr>
              <w:t>工业</w:t>
            </w:r>
            <w:r>
              <w:rPr>
                <w:rFonts w:hint="eastAsia" w:asciiTheme="minorEastAsia" w:hAnsiTheme="minorEastAsia" w:eastAsiaTheme="minorEastAsia" w:cstheme="minorEastAsia"/>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32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是否允许采购进口产品</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1"/>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color w:val="auto"/>
                <w:kern w:val="0"/>
                <w:sz w:val="24"/>
                <w:highlight w:val="none"/>
              </w:rPr>
              <w:t>本项目不允许采购进口产品。</w:t>
            </w:r>
          </w:p>
          <w:p>
            <w:pPr>
              <w:spacing w:line="360" w:lineRule="auto"/>
              <w:rPr>
                <w:rFonts w:hint="eastAsia" w:asciiTheme="minorEastAsia" w:hAnsiTheme="minorEastAsia" w:eastAsiaTheme="minorEastAsia" w:cstheme="minorEastAsia"/>
                <w:color w:val="auto"/>
                <w:highlight w:val="none"/>
              </w:rPr>
            </w:pPr>
            <w:sdt>
              <w:sdtPr>
                <w:rPr>
                  <w:rFonts w:hint="eastAsia" w:asciiTheme="minorEastAsia" w:hAnsiTheme="minorEastAsia" w:eastAsiaTheme="minorEastAsia" w:cstheme="minorEastAsia"/>
                  <w:color w:val="auto"/>
                  <w:kern w:val="0"/>
                  <w:sz w:val="24"/>
                  <w:highlight w:val="none"/>
                </w:rPr>
                <w:id w:val="810768903"/>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8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分包</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593518383"/>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 xml:space="preserve"> A</w:t>
            </w:r>
            <w:r>
              <w:rPr>
                <w:rFonts w:hint="eastAsia" w:asciiTheme="minorEastAsia" w:hAnsiTheme="minorEastAsia" w:eastAsiaTheme="minorEastAsia" w:cstheme="minorEastAsia"/>
                <w:color w:val="auto"/>
                <w:sz w:val="24"/>
                <w:highlight w:val="none"/>
              </w:rPr>
              <w:t>同意将非主体、非关键性的工作分包。</w:t>
            </w:r>
          </w:p>
          <w:p>
            <w:pPr>
              <w:spacing w:line="360" w:lineRule="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225430669"/>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 xml:space="preserve"> B</w:t>
            </w:r>
            <w:r>
              <w:rPr>
                <w:rFonts w:hint="eastAsia" w:asciiTheme="minorEastAsia" w:hAnsiTheme="minorEastAsia" w:eastAsiaTheme="minorEastAsia" w:cstheme="minorEastAsia"/>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p>
            <w:pPr>
              <w:snapToGrid w:val="0"/>
              <w:spacing w:line="360" w:lineRule="auto"/>
              <w:jc w:val="center"/>
              <w:rPr>
                <w:rFonts w:hint="eastAsia" w:asciiTheme="minorEastAsia" w:hAnsiTheme="minorEastAsia" w:eastAsiaTheme="minorEastAsia" w:cstheme="minorEastAsia"/>
                <w:color w:val="auto"/>
                <w:sz w:val="24"/>
                <w:highlight w:val="none"/>
              </w:rPr>
            </w:pPr>
          </w:p>
          <w:p>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开标前答疑会或现场考察</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218472104"/>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00FE"/>
                </w:r>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不组织。</w:t>
            </w:r>
          </w:p>
          <w:p>
            <w:pPr>
              <w:spacing w:line="360" w:lineRule="auto"/>
              <w:rPr>
                <w:rFonts w:hint="eastAsia" w:asciiTheme="minorEastAsia" w:hAnsiTheme="minorEastAsia" w:eastAsiaTheme="minorEastAsia" w:cstheme="minorEastAsia"/>
                <w:color w:val="auto"/>
                <w:sz w:val="24"/>
                <w:szCs w:val="20"/>
                <w:highlight w:val="none"/>
              </w:rPr>
            </w:pPr>
            <w:sdt>
              <w:sdtPr>
                <w:rPr>
                  <w:rFonts w:hint="eastAsia" w:asciiTheme="minorEastAsia" w:hAnsiTheme="minorEastAsia" w:eastAsiaTheme="minorEastAsia" w:cstheme="minorEastAsia"/>
                  <w:color w:val="auto"/>
                  <w:kern w:val="0"/>
                  <w:sz w:val="24"/>
                  <w:highlight w:val="none"/>
                </w:rPr>
                <w:id w:val="31554111"/>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B组织，</w:t>
            </w:r>
            <w:r>
              <w:rPr>
                <w:rFonts w:hint="eastAsia" w:asciiTheme="minorEastAsia" w:hAnsiTheme="minorEastAsia" w:eastAsiaTheme="minorEastAsia" w:cstheme="minorEastAsia"/>
                <w:color w:val="auto"/>
                <w:sz w:val="24"/>
                <w:highlight w:val="none"/>
              </w:rPr>
              <w:t>时间：,地点：，联系人：，联系方式：</w:t>
            </w:r>
            <w:r>
              <w:rPr>
                <w:rFonts w:hint="eastAsia" w:asciiTheme="minorEastAsia" w:hAnsiTheme="minorEastAsia" w:eastAsiaTheme="minorEastAsia" w:cstheme="minorEastAsia"/>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3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866830476"/>
              </w:sdtPr>
              <w:sdtEndPr>
                <w:rPr>
                  <w:rFonts w:hint="eastAsia" w:asciiTheme="minorEastAsia" w:hAnsiTheme="minorEastAsia" w:eastAsiaTheme="minorEastAsia" w:cstheme="minorEastAsia"/>
                  <w:color w:val="auto"/>
                  <w:kern w:val="0"/>
                  <w:sz w:val="24"/>
                  <w:highlight w:val="none"/>
                </w:rPr>
              </w:sdtEndPr>
              <w:sdtContent>
                <w:sdt>
                  <w:sdtPr>
                    <w:rPr>
                      <w:rFonts w:hint="eastAsia" w:asciiTheme="minorEastAsia" w:hAnsiTheme="minorEastAsia" w:eastAsiaTheme="minorEastAsia" w:cstheme="minorEastAsia"/>
                      <w:color w:val="auto"/>
                      <w:kern w:val="0"/>
                      <w:sz w:val="24"/>
                      <w:highlight w:val="none"/>
                    </w:rPr>
                    <w:id w:val="1026831988"/>
                  </w:sdtPr>
                  <w:sdtEndPr>
                    <w:rPr>
                      <w:rFonts w:hint="eastAsia" w:asciiTheme="minorEastAsia" w:hAnsiTheme="minorEastAsia" w:eastAsiaTheme="minorEastAsia" w:cstheme="minorEastAsia"/>
                      <w:color w:val="auto"/>
                      <w:kern w:val="0"/>
                      <w:sz w:val="24"/>
                      <w:highlight w:val="none"/>
                    </w:rPr>
                  </w:sdtEndPr>
                  <w:sdtContent>
                    <w:sdt>
                      <w:sdtPr>
                        <w:rPr>
                          <w:rFonts w:hint="eastAsia" w:asciiTheme="minorEastAsia" w:hAnsiTheme="minorEastAsia" w:eastAsiaTheme="minorEastAsia" w:cstheme="minorEastAsia"/>
                          <w:color w:val="auto"/>
                          <w:kern w:val="0"/>
                          <w:sz w:val="24"/>
                          <w:highlight w:val="none"/>
                        </w:rPr>
                        <w:id w:val="147479188"/>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00FE"/>
                        </w:r>
                      </w:sdtContent>
                    </w:sdt>
                  </w:sdtContent>
                </w:sdt>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不要求提供。</w:t>
            </w:r>
          </w:p>
          <w:p>
            <w:pPr>
              <w:spacing w:line="360" w:lineRule="auto"/>
              <w:rPr>
                <w:rFonts w:hint="eastAsia" w:asciiTheme="minorEastAsia" w:hAnsiTheme="minorEastAsia" w:eastAsiaTheme="minorEastAsia" w:cstheme="minorEastAsia"/>
                <w:b/>
                <w:color w:val="auto"/>
                <w:sz w:val="24"/>
                <w:highlight w:val="none"/>
              </w:rPr>
            </w:pPr>
            <w:sdt>
              <w:sdtPr>
                <w:rPr>
                  <w:rFonts w:hint="eastAsia" w:asciiTheme="minorEastAsia" w:hAnsiTheme="minorEastAsia" w:eastAsiaTheme="minorEastAsia" w:cstheme="minorEastAsia"/>
                  <w:color w:val="auto"/>
                  <w:kern w:val="0"/>
                  <w:sz w:val="24"/>
                  <w:highlight w:val="none"/>
                </w:rPr>
                <w:id w:val="147479972"/>
              </w:sdtPr>
              <w:sdtEndPr>
                <w:rPr>
                  <w:rFonts w:hint="eastAsia" w:asciiTheme="minorEastAsia" w:hAnsiTheme="minorEastAsia" w:eastAsiaTheme="minorEastAsia" w:cstheme="minorEastAsia"/>
                  <w:color w:val="auto"/>
                  <w:kern w:val="0"/>
                  <w:sz w:val="24"/>
                  <w:highlight w:val="none"/>
                </w:rPr>
              </w:sdtEndPr>
              <w:sdtContent>
                <w:sdt>
                  <w:sdtPr>
                    <w:rPr>
                      <w:rFonts w:hint="eastAsia" w:asciiTheme="minorEastAsia" w:hAnsiTheme="minorEastAsia" w:eastAsiaTheme="minorEastAsia" w:cstheme="minorEastAsia"/>
                      <w:color w:val="auto"/>
                      <w:kern w:val="0"/>
                      <w:sz w:val="24"/>
                      <w:highlight w:val="none"/>
                    </w:rPr>
                    <w:id w:val="147454802"/>
                  </w:sdtPr>
                  <w:sdtEndPr>
                    <w:rPr>
                      <w:rFonts w:hint="eastAsia" w:asciiTheme="minorEastAsia" w:hAnsiTheme="minorEastAsia" w:eastAsiaTheme="minorEastAsia" w:cstheme="minorEastAsia"/>
                      <w:color w:val="auto"/>
                      <w:kern w:val="0"/>
                      <w:sz w:val="24"/>
                      <w:highlight w:val="none"/>
                    </w:rPr>
                  </w:sdtEndPr>
                  <w:sdtContent>
                    <w:sdt>
                      <w:sdtPr>
                        <w:rPr>
                          <w:rFonts w:hint="eastAsia" w:asciiTheme="minorEastAsia" w:hAnsiTheme="minorEastAsia" w:eastAsiaTheme="minorEastAsia" w:cstheme="minorEastAsia"/>
                          <w:color w:val="auto"/>
                          <w:kern w:val="0"/>
                          <w:sz w:val="24"/>
                          <w:highlight w:val="none"/>
                        </w:rPr>
                        <w:id w:val="-406767087"/>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sdtContent>
                </w:sdt>
              </w:sdtContent>
            </w:sdt>
            <w:r>
              <w:rPr>
                <w:rFonts w:hint="eastAsia" w:asciiTheme="minorEastAsia" w:hAnsiTheme="minorEastAsia" w:eastAsiaTheme="minorEastAsia" w:cstheme="minorEastAsia"/>
                <w:color w:val="auto"/>
                <w:kern w:val="0"/>
                <w:sz w:val="24"/>
                <w:highlight w:val="none"/>
              </w:rPr>
              <w:t>B要求提供</w:t>
            </w:r>
            <w:r>
              <w:rPr>
                <w:rFonts w:hint="eastAsia" w:asciiTheme="minorEastAsia" w:hAnsiTheme="minorEastAsia" w:eastAsiaTheme="minorEastAsia" w:cstheme="minorEastAsia"/>
                <w:color w:val="auto"/>
                <w:sz w:val="24"/>
                <w:highlight w:val="none"/>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方案讲解演示</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125128591"/>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00FE"/>
                </w:r>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不组织。</w:t>
            </w:r>
          </w:p>
          <w:p>
            <w:pPr>
              <w:snapToGrid w:val="0"/>
              <w:spacing w:line="360" w:lineRule="auto"/>
              <w:rPr>
                <w:rFonts w:hint="eastAsia" w:asciiTheme="minorEastAsia" w:hAnsiTheme="minorEastAsia" w:eastAsiaTheme="minorEastAsia" w:cstheme="minorEastAsia"/>
                <w:b/>
                <w:color w:val="auto"/>
                <w:kern w:val="0"/>
                <w:sz w:val="24"/>
                <w:highlight w:val="none"/>
                <w:lang w:val="zh-CN"/>
              </w:rPr>
            </w:pPr>
            <w:sdt>
              <w:sdtPr>
                <w:rPr>
                  <w:rFonts w:hint="eastAsia" w:asciiTheme="minorEastAsia" w:hAnsiTheme="minorEastAsia" w:eastAsiaTheme="minorEastAsia" w:cstheme="minorEastAsia"/>
                  <w:color w:val="auto"/>
                  <w:kern w:val="0"/>
                  <w:sz w:val="24"/>
                  <w:highlight w:val="none"/>
                </w:rPr>
                <w:id w:val="1117568530"/>
              </w:sdtPr>
              <w:sdtEndPr>
                <w:rPr>
                  <w:rFonts w:hint="eastAsia" w:asciiTheme="minorEastAsia" w:hAnsiTheme="minorEastAsia" w:eastAsiaTheme="minorEastAsia" w:cstheme="minorEastAsia"/>
                  <w:color w:val="auto"/>
                  <w:kern w:val="0"/>
                  <w:sz w:val="24"/>
                  <w:highlight w:val="none"/>
                </w:rPr>
              </w:sdtEndPr>
              <w:sdtContent>
                <w:sdt>
                  <w:sdtPr>
                    <w:rPr>
                      <w:rFonts w:hint="eastAsia" w:asciiTheme="minorEastAsia" w:hAnsiTheme="minorEastAsia" w:eastAsiaTheme="minorEastAsia" w:cstheme="minorEastAsia"/>
                      <w:color w:val="auto"/>
                      <w:kern w:val="0"/>
                      <w:sz w:val="24"/>
                      <w:highlight w:val="none"/>
                    </w:rPr>
                    <w:id w:val="147469398"/>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00A8"/>
                    </w:r>
                  </w:sdtContent>
                </w:sdt>
              </w:sdtContent>
            </w:sdt>
            <w:sdt>
              <w:sdtPr>
                <w:rPr>
                  <w:rFonts w:hint="eastAsia" w:asciiTheme="minorEastAsia" w:hAnsiTheme="minorEastAsia" w:eastAsiaTheme="minorEastAsia" w:cstheme="minorEastAsia"/>
                  <w:color w:val="auto"/>
                  <w:kern w:val="0"/>
                  <w:sz w:val="24"/>
                  <w:highlight w:val="none"/>
                </w:rPr>
                <w:id w:val="-983923940"/>
              </w:sdtPr>
              <w:sdtEndPr>
                <w:rPr>
                  <w:rFonts w:hint="eastAsia" w:asciiTheme="minorEastAsia" w:hAnsiTheme="minorEastAsia" w:eastAsiaTheme="minorEastAsia" w:cstheme="minorEastAsia"/>
                  <w:color w:val="auto"/>
                  <w:kern w:val="0"/>
                  <w:sz w:val="24"/>
                  <w:highlight w:val="none"/>
                </w:rPr>
              </w:sdtEndPr>
              <w:sdtContent/>
            </w:sdt>
            <w:r>
              <w:rPr>
                <w:rFonts w:hint="eastAsia" w:asciiTheme="minorEastAsia" w:hAnsiTheme="minorEastAsia" w:eastAsiaTheme="minorEastAsia" w:cstheme="minorEastAsia"/>
                <w:color w:val="auto"/>
                <w:kern w:val="0"/>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351" w:hRule="atLeast"/>
          <w:tblHeader/>
        </w:trPr>
        <w:tc>
          <w:tcPr>
            <w:tcW w:w="629" w:type="dxa"/>
            <w:tcBorders>
              <w:top w:val="single" w:color="auto" w:sz="4" w:space="0"/>
              <w:left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843" w:type="dxa"/>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投标人应当提供的资格证明文件</w:t>
            </w:r>
          </w:p>
        </w:tc>
        <w:tc>
          <w:tcPr>
            <w:tcW w:w="6823" w:type="dxa"/>
            <w:tcBorders>
              <w:top w:val="single" w:color="000000" w:sz="8" w:space="0"/>
              <w:left w:val="single" w:color="000000" w:sz="2" w:space="0"/>
              <w:bottom w:val="single" w:color="000000" w:sz="8" w:space="0"/>
              <w:right w:val="single" w:color="000000" w:sz="8" w:space="0"/>
            </w:tcBorders>
            <w:vAlign w:val="center"/>
          </w:tcPr>
          <w:p>
            <w:pPr>
              <w:pStyle w:val="981"/>
              <w:spacing w:line="360" w:lineRule="auto"/>
              <w:ind w:firstLine="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资格证明文件：见招标文件第二部分11.1。</w:t>
            </w:r>
          </w:p>
          <w:p>
            <w:pPr>
              <w:spacing w:line="360" w:lineRule="auto"/>
              <w:rPr>
                <w:rFonts w:hint="eastAsia"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节能产品、环境标志产品</w:t>
            </w:r>
          </w:p>
        </w:tc>
        <w:tc>
          <w:tcPr>
            <w:tcW w:w="682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报价要求</w:t>
            </w:r>
          </w:p>
        </w:tc>
        <w:tc>
          <w:tcPr>
            <w:tcW w:w="682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有关本项目实施所需的所有费用（含税费）均计入报价。</w:t>
            </w:r>
            <w:r>
              <w:rPr>
                <w:rFonts w:hint="eastAsia" w:asciiTheme="minorEastAsia" w:hAnsiTheme="minorEastAsia" w:eastAsiaTheme="minorEastAsia" w:cstheme="minorEastAsia"/>
                <w:b/>
                <w:bCs/>
                <w:color w:val="auto"/>
                <w:kern w:val="0"/>
                <w:sz w:val="24"/>
                <w:highlight w:val="none"/>
                <w:lang w:val="zh-CN"/>
              </w:rPr>
              <w:t>投标文件</w:t>
            </w:r>
            <w:r>
              <w:rPr>
                <w:rFonts w:hint="eastAsia" w:asciiTheme="minorEastAsia" w:hAnsiTheme="minorEastAsia" w:eastAsiaTheme="minorEastAsia" w:cstheme="minorEastAsia"/>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Theme="minorEastAsia" w:hAnsiTheme="minorEastAsia" w:eastAsiaTheme="minorEastAsia" w:cstheme="minorEastAsia"/>
                <w:color w:val="auto"/>
                <w:kern w:val="0"/>
                <w:sz w:val="24"/>
                <w:highlight w:val="none"/>
                <w:lang w:val="zh-CN"/>
              </w:rPr>
              <w:t>投标文件中价格全部采用人民币报价。招标文件未列明，而投标人认为必需的费用也需列入报价。</w:t>
            </w:r>
          </w:p>
          <w:p>
            <w:pPr>
              <w:snapToGrid w:val="0"/>
              <w:spacing w:line="360" w:lineRule="auto"/>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color w:val="auto"/>
                <w:sz w:val="24"/>
                <w:highlight w:val="none"/>
              </w:rPr>
              <w:t>;</w:t>
            </w:r>
          </w:p>
          <w:p>
            <w:pPr>
              <w:spacing w:line="360" w:lineRule="auto"/>
              <w:ind w:firstLine="241" w:firstLineChars="1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24"/>
                <w:highlight w:val="none"/>
              </w:rPr>
              <w:t>投标人对根据修正原则修正后的报价不确认的</w:t>
            </w:r>
            <w:r>
              <w:rPr>
                <w:rFonts w:hint="eastAsia" w:asciiTheme="minorEastAsia" w:hAnsiTheme="minorEastAsia" w:eastAsiaTheme="minorEastAsia" w:cstheme="minorEastAsia"/>
                <w:b/>
                <w:color w:val="auto"/>
                <w:sz w:val="24"/>
                <w:highlight w:val="none"/>
              </w:rPr>
              <w:t>。</w:t>
            </w:r>
          </w:p>
          <w:p>
            <w:pPr>
              <w:spacing w:line="360" w:lineRule="auto"/>
              <w:ind w:firstLine="241"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24"/>
                <w:highlight w:val="none"/>
              </w:rPr>
              <w:t>注：供应商不得进行影响产品质量或者诚信履约的恶意报价。供应商在项目评审前准备好报价核算、报价明细、报价说明等材料，以备评审专家核查。如供应商报价低于项目预算50%的，应当在报价文件中详细阐述不影响产品质量或者诚信履约的具体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投标文件形式</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本项目实行电子投标。</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供应商应准备三种形式的投标文件：电子加密投标文件、以介质存储的数据电文形式的备份投标文件、备份纸质投标文件。</w:t>
            </w:r>
          </w:p>
          <w:p>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1.“电子加密投标文件”是指通过“政采云电子交易客户端”完成投标文件编制后生成并加密的数据电文形式的投标文件（后缀格式为.jmbs）（必须提供）</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备份电子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不强制要求提供）</w:t>
            </w:r>
          </w:p>
          <w:p>
            <w:pPr>
              <w:spacing w:line="360" w:lineRule="auto"/>
              <w:rPr>
                <w:rFonts w:hint="eastAsia"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b/>
                <w:bCs/>
                <w:color w:val="auto"/>
                <w:sz w:val="24"/>
                <w:highlight w:val="none"/>
              </w:rPr>
              <w:t>3.</w:t>
            </w:r>
            <w:r>
              <w:rPr>
                <w:rFonts w:hint="eastAsia" w:asciiTheme="minorEastAsia" w:hAnsiTheme="minorEastAsia" w:eastAsiaTheme="minorEastAsia" w:cstheme="minorEastAsia"/>
                <w:b/>
                <w:color w:val="auto"/>
                <w:kern w:val="0"/>
                <w:sz w:val="24"/>
                <w:highlight w:val="none"/>
                <w:lang w:val="zh-CN"/>
              </w:rPr>
              <w:t>中标人自中标公告后3日内提供</w:t>
            </w:r>
            <w:r>
              <w:rPr>
                <w:rFonts w:hint="eastAsia" w:asciiTheme="minorEastAsia" w:hAnsiTheme="minorEastAsia" w:eastAsiaTheme="minorEastAsia" w:cstheme="minorEastAsia"/>
                <w:b/>
                <w:color w:val="auto"/>
                <w:kern w:val="0"/>
                <w:sz w:val="24"/>
                <w:highlight w:val="none"/>
              </w:rPr>
              <w:t>1</w:t>
            </w:r>
            <w:r>
              <w:rPr>
                <w:rFonts w:hint="eastAsia" w:asciiTheme="minorEastAsia" w:hAnsiTheme="minorEastAsia" w:eastAsiaTheme="minorEastAsia" w:cstheme="minorEastAsia"/>
                <w:b/>
                <w:color w:val="auto"/>
                <w:kern w:val="0"/>
                <w:sz w:val="24"/>
                <w:highlight w:val="none"/>
                <w:lang w:val="zh-CN"/>
              </w:rPr>
              <w:t>份与“电子加密响应文件”一致的纸质响应文件用于采购人存档</w:t>
            </w:r>
            <w:r>
              <w:rPr>
                <w:rFonts w:hint="eastAsia" w:asciiTheme="minorEastAsia" w:hAnsiTheme="minorEastAsia" w:eastAsiaTheme="minorEastAsia" w:cstheme="minorEastAsia"/>
                <w:b/>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采购机构代理费用</w:t>
            </w:r>
          </w:p>
        </w:tc>
        <w:tc>
          <w:tcPr>
            <w:tcW w:w="6823" w:type="dxa"/>
            <w:tcBorders>
              <w:top w:val="single" w:color="000000" w:sz="8" w:space="0"/>
              <w:left w:val="single" w:color="000000" w:sz="2" w:space="0"/>
              <w:bottom w:val="single" w:color="000000" w:sz="8" w:space="0"/>
              <w:right w:val="single" w:color="000000" w:sz="8" w:space="0"/>
            </w:tcBorders>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采购代理服务以《国家发展改革委办公厅关于招标代理服务收费有关问题的通知》（发改价格[2011]534号）规定的收费标准的70%向中标（成交）供应商收取。若采购项目的采购代理服务费不足3000元的，统一按3000元计。</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2、中标人在领取中标通知书后应向招标代理机构交纳招标代理服务费,若未按上述规定办理，需承担招标代理机构为实现债权的所有费用（包括但不限于律师费、催讨车旅费、保全担保费等）。</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3、招标代理服务费以现金或电汇方式支付。</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户名：浙江致信招标代理有限公司宁波分公司</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开户行：浙江泰隆商业银行宁波路林小微企业专营支行</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账号：33030100201000007592</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行号：313332070157</w:t>
            </w:r>
          </w:p>
          <w:p>
            <w:pPr>
              <w:spacing w:line="360" w:lineRule="auto"/>
              <w:rPr>
                <w:rFonts w:hint="eastAsia"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sz w:val="24"/>
                <w:highlight w:val="none"/>
              </w:rPr>
              <w:t>开票及相关问题联系人：0574-87645885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其他</w:t>
            </w:r>
          </w:p>
        </w:tc>
        <w:tc>
          <w:tcPr>
            <w:tcW w:w="6823" w:type="dxa"/>
            <w:tcBorders>
              <w:top w:val="single" w:color="000000" w:sz="8" w:space="0"/>
              <w:left w:val="single" w:color="000000" w:sz="2" w:space="0"/>
              <w:bottom w:val="single" w:color="000000" w:sz="8" w:space="0"/>
              <w:right w:val="single" w:color="000000" w:sz="8" w:space="0"/>
            </w:tcBorders>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根据《浙江省财政厅关于进一步规范政府采购秩序 促进公平竞争的通知》（浙财采监〔2025〕2号）的规定，供应商应遵循诚实信用原则在投标（响应）文件中提供真实材料。中标（成交）供应商在评审结束后5个工作日内，须提供在投标（响应）文件中涉及客观分评审内容的检测报告、认证证书、合同业绩、产品彩页（或说明书）等材料的查询网站或原件，以供采购人及采购代理机构核查资料真实性。如发现供应商提供虚假材料的，将报告本级财政部门。由于供应商提供虚假材料中标，采购人保留追溯其法律责任的权利，所产生的法律费用和时间损失由供应商承担。</w:t>
            </w:r>
          </w:p>
        </w:tc>
      </w:tr>
    </w:tbl>
    <w:p>
      <w:pPr>
        <w:snapToGrid w:val="0"/>
        <w:spacing w:line="360" w:lineRule="auto"/>
        <w:jc w:val="center"/>
        <w:rPr>
          <w:rFonts w:hint="eastAsia" w:asciiTheme="minorEastAsia" w:hAnsiTheme="minorEastAsia" w:eastAsiaTheme="minorEastAsia" w:cstheme="minorEastAsia"/>
          <w:b/>
          <w:color w:val="auto"/>
          <w:sz w:val="32"/>
          <w:szCs w:val="20"/>
          <w:highlight w:val="none"/>
        </w:rPr>
      </w:pPr>
    </w:p>
    <w:bookmarkEnd w:id="11"/>
    <w:p>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bookmarkStart w:id="18" w:name="第三部分"/>
      <w:bookmarkStart w:id="19" w:name="_Toc164416483"/>
      <w:r>
        <w:rPr>
          <w:rFonts w:hint="eastAsia" w:asciiTheme="minorEastAsia" w:hAnsiTheme="minorEastAsia" w:eastAsiaTheme="minorEastAsia" w:cstheme="minorEastAsia"/>
          <w:b/>
          <w:color w:val="auto"/>
          <w:sz w:val="32"/>
          <w:szCs w:val="20"/>
          <w:highlight w:val="none"/>
        </w:rPr>
        <w:br w:type="page"/>
      </w:r>
    </w:p>
    <w:p>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bookmarkStart w:id="20" w:name="_Toc652"/>
      <w:r>
        <w:rPr>
          <w:rFonts w:hint="eastAsia" w:asciiTheme="minorEastAsia" w:hAnsiTheme="minorEastAsia" w:eastAsiaTheme="minorEastAsia" w:cstheme="minorEastAsia"/>
          <w:b/>
          <w:color w:val="auto"/>
          <w:sz w:val="32"/>
          <w:szCs w:val="20"/>
          <w:highlight w:val="none"/>
        </w:rPr>
        <w:t>一、总则</w:t>
      </w:r>
      <w:bookmarkEnd w:id="20"/>
    </w:p>
    <w:p>
      <w:pPr>
        <w:snapToGrid w:val="0"/>
        <w:spacing w:line="360" w:lineRule="auto"/>
        <w:ind w:firstLine="219" w:firstLineChars="91"/>
        <w:jc w:val="left"/>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 适用范围</w:t>
      </w:r>
    </w:p>
    <w:p>
      <w:pPr>
        <w:snapToGrid w:val="0"/>
        <w:spacing w:line="360" w:lineRule="auto"/>
        <w:ind w:firstLine="218" w:firstLineChars="91"/>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ind w:firstLine="219" w:firstLineChars="91"/>
        <w:outlineLvl w:val="0"/>
        <w:rPr>
          <w:rFonts w:hint="eastAsia" w:asciiTheme="minorEastAsia" w:hAnsiTheme="minorEastAsia" w:eastAsiaTheme="minorEastAsia" w:cstheme="minorEastAsia"/>
          <w:b/>
          <w:color w:val="auto"/>
          <w:sz w:val="24"/>
          <w:highlight w:val="none"/>
        </w:rPr>
      </w:pPr>
      <w:bookmarkStart w:id="21" w:name="_Toc6039"/>
      <w:r>
        <w:rPr>
          <w:rFonts w:hint="eastAsia" w:asciiTheme="minorEastAsia" w:hAnsiTheme="minorEastAsia" w:eastAsiaTheme="minorEastAsia" w:cstheme="minorEastAsia"/>
          <w:b/>
          <w:color w:val="auto"/>
          <w:sz w:val="24"/>
          <w:highlight w:val="none"/>
        </w:rPr>
        <w:t>2.定义</w:t>
      </w:r>
      <w:bookmarkEnd w:id="21"/>
    </w:p>
    <w:p>
      <w:pPr>
        <w:spacing w:line="360" w:lineRule="auto"/>
        <w:ind w:firstLine="218" w:firstLineChars="9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 “采购人”系指招标公告中载明的本项目的采购人。</w:t>
      </w:r>
    </w:p>
    <w:p>
      <w:pPr>
        <w:spacing w:line="360" w:lineRule="auto"/>
        <w:ind w:firstLine="218" w:firstLineChars="9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 “采购代理机构”系指招标公告中载明的本项目的采购代理机构。</w:t>
      </w:r>
    </w:p>
    <w:p>
      <w:pPr>
        <w:spacing w:line="360" w:lineRule="auto"/>
        <w:ind w:firstLine="218" w:firstLineChars="9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 “投标人”系指是指响应招标、参加投标竞争的法人、其他组织或者自然人。</w:t>
      </w:r>
    </w:p>
    <w:p>
      <w:pPr>
        <w:spacing w:line="360" w:lineRule="auto"/>
        <w:ind w:firstLine="218" w:firstLineChars="9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 “负责人”系指法人企业的法定负责人，或其他组织为法律、行政法规规定代表单位行使职权的主要负责人，或自然人本人。</w:t>
      </w:r>
    </w:p>
    <w:p>
      <w:pPr>
        <w:spacing w:line="360" w:lineRule="auto"/>
        <w:ind w:firstLine="218" w:firstLineChars="9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2.5“电子签名”系指数据电文中以电子形式所含、所附用于识别签名人身份并表明签名人认可其中内容的数据；“公章”系指单位法定名称章。</w:t>
      </w:r>
    </w:p>
    <w:p>
      <w:pPr>
        <w:spacing w:line="360" w:lineRule="auto"/>
        <w:ind w:firstLine="218" w:firstLineChars="9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2.6“电子交易平台”系指本项目政府采购活动所依托的政府采购云平台（</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"https://www" </w:instrText>
      </w:r>
      <w:r>
        <w:rPr>
          <w:rFonts w:hint="eastAsia" w:asciiTheme="minorEastAsia" w:hAnsiTheme="minorEastAsia" w:eastAsiaTheme="minorEastAsia" w:cstheme="minorEastAsia"/>
          <w:color w:val="auto"/>
          <w:highlight w:val="none"/>
        </w:rPr>
        <w:fldChar w:fldCharType="separate"/>
      </w:r>
      <w:r>
        <w:rPr>
          <w:rStyle w:val="71"/>
          <w:rFonts w:hint="eastAsia" w:asciiTheme="minorEastAsia" w:hAnsiTheme="minorEastAsia" w:eastAsiaTheme="minorEastAsia" w:cstheme="minorEastAsia"/>
          <w:snapToGrid/>
          <w:color w:val="auto"/>
          <w:kern w:val="2"/>
          <w:sz w:val="24"/>
          <w:szCs w:val="24"/>
          <w:highlight w:val="none"/>
        </w:rPr>
        <w:t>https://www</w:t>
      </w:r>
      <w:r>
        <w:rPr>
          <w:rStyle w:val="71"/>
          <w:rFonts w:hint="eastAsia" w:asciiTheme="minorEastAsia" w:hAnsiTheme="minorEastAsia" w:eastAsiaTheme="minorEastAsia" w:cstheme="minorEastAsia"/>
          <w:snapToGrid/>
          <w:color w:val="auto"/>
          <w:kern w:val="2"/>
          <w:sz w:val="24"/>
          <w:szCs w:val="24"/>
          <w:highlight w:val="none"/>
        </w:rPr>
        <w:fldChar w:fldCharType="end"/>
      </w:r>
      <w:r>
        <w:rPr>
          <w:rFonts w:hint="eastAsia" w:asciiTheme="minorEastAsia" w:hAnsiTheme="minorEastAsia" w:eastAsiaTheme="minorEastAsia" w:cstheme="minorEastAsia"/>
          <w:color w:val="auto"/>
          <w:sz w:val="24"/>
          <w:highlight w:val="none"/>
        </w:rPr>
        <w:t>.zcygov.cn/）。</w:t>
      </w:r>
    </w:p>
    <w:p>
      <w:pPr>
        <w:spacing w:line="360" w:lineRule="auto"/>
        <w:ind w:firstLine="218" w:firstLineChars="9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 “★”系指实质性要求条款，“▲”系指重要技术参数，“</w:t>
      </w:r>
      <w:sdt>
        <w:sdtPr>
          <w:rPr>
            <w:rFonts w:hint="eastAsia" w:asciiTheme="minorEastAsia" w:hAnsiTheme="minorEastAsia" w:eastAsiaTheme="minorEastAsia" w:cstheme="minorEastAsia"/>
            <w:color w:val="auto"/>
            <w:kern w:val="0"/>
            <w:sz w:val="24"/>
            <w:highlight w:val="none"/>
          </w:rPr>
          <w:id w:val="512970236"/>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”系指适用本项目的要求，“</w:t>
      </w:r>
      <w:sdt>
        <w:sdtPr>
          <w:rPr>
            <w:rFonts w:hint="eastAsia" w:asciiTheme="minorEastAsia" w:hAnsiTheme="minorEastAsia" w:eastAsiaTheme="minorEastAsia" w:cstheme="minorEastAsia"/>
            <w:color w:val="auto"/>
            <w:kern w:val="0"/>
            <w:sz w:val="24"/>
            <w:highlight w:val="none"/>
          </w:rPr>
          <w:id w:val="404888855"/>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”系指不适用本项目的要求。</w:t>
      </w:r>
    </w:p>
    <w:p>
      <w:pPr>
        <w:spacing w:line="360" w:lineRule="auto"/>
        <w:ind w:firstLine="241" w:firstLineChars="1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3.采购项目需要落实的政府采购政策</w:t>
      </w:r>
    </w:p>
    <w:p>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Theme="minorEastAsia" w:hAnsiTheme="minorEastAsia" w:eastAsiaTheme="minorEastAsia" w:cs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stheme="minorEastAsia"/>
          <w:color w:val="auto"/>
          <w:sz w:val="24"/>
          <w:highlight w:val="none"/>
        </w:rPr>
        <w:t>。</w:t>
      </w:r>
    </w:p>
    <w:p>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 支持绿色发展</w:t>
      </w:r>
    </w:p>
    <w:p>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cstheme="minorEastAsia"/>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2" w:name="_Hlk107568539"/>
      <w:r>
        <w:rPr>
          <w:rFonts w:hint="eastAsia" w:asciiTheme="minorEastAsia" w:hAnsiTheme="minorEastAsia" w:eastAsiaTheme="minorEastAsia" w:cstheme="minorEastAsia"/>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22"/>
    </w:p>
    <w:p>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3.3支持中小企业发展</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rPr>
        <w:t>3.3.2</w:t>
      </w:r>
      <w:r>
        <w:rPr>
          <w:rFonts w:hint="eastAsia" w:asciiTheme="minorEastAsia" w:hAnsiTheme="minorEastAsia" w:eastAsiaTheme="minorEastAsia" w:cstheme="minorEastAsia"/>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23" w:name="_Hlk101132181"/>
      <w:r>
        <w:rPr>
          <w:rFonts w:hint="eastAsia" w:asciiTheme="minorEastAsia" w:hAnsiTheme="minorEastAsia" w:eastAsiaTheme="minorEastAsia" w:cstheme="minorEastAsia"/>
          <w:color w:val="auto"/>
          <w:sz w:val="24"/>
          <w:highlight w:val="none"/>
        </w:rPr>
        <w:t>联合协议或者分包意向协议约定小微企业的合同份额占到合同总金额30%以上的</w:t>
      </w:r>
      <w:bookmarkEnd w:id="23"/>
      <w:r>
        <w:rPr>
          <w:rFonts w:hint="eastAsia" w:asciiTheme="minorEastAsia" w:hAnsiTheme="minorEastAsia" w:eastAsiaTheme="minorEastAsia" w:cstheme="minorEastAsia"/>
          <w:color w:val="auto"/>
          <w:sz w:val="24"/>
          <w:highlight w:val="none"/>
        </w:rPr>
        <w:t>，对联合体或者大中型企业的报价给予4%-6%的扣除，用扣除后的价格参加评审。组成联合体或者接受分包的小微企业与联合体内其他企业、分包企业之间存在直接控股、管理关系的，不享受价格扣除优惠政策。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w:t>
      </w:r>
      <w:r>
        <w:rPr>
          <w:rFonts w:hint="eastAsia" w:asciiTheme="minorEastAsia" w:hAnsiTheme="minorEastAsia" w:eastAsiaTheme="minorEastAsia" w:cstheme="minorEastAsia"/>
          <w:bCs/>
          <w:color w:val="auto"/>
          <w:sz w:val="24"/>
          <w:highlight w:val="none"/>
        </w:rPr>
        <w:t>支持创新发展</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3.4.1 采购人优先采购被认定为首台套产品和“制造精品”的自主创新产品。</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3.5平等对待内外资企业和符合条件的破产重整企业</w:t>
      </w:r>
    </w:p>
    <w:p>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平等对待内外资企业和符合条件的破产重整企业，切实保障企业公平竞争，平等维护企业的合法利益。</w:t>
      </w:r>
      <w:r>
        <w:rPr>
          <w:rFonts w:hint="eastAsia" w:asciiTheme="minorEastAsia" w:hAnsiTheme="minorEastAsia" w:eastAsiaTheme="minorEastAsia" w:cstheme="minorEastAsia"/>
          <w:color w:val="auto"/>
          <w:sz w:val="24"/>
          <w:highlight w:val="none"/>
        </w:rPr>
        <w:cr/>
      </w:r>
      <w:r>
        <w:rPr>
          <w:rFonts w:hint="eastAsia" w:asciiTheme="minorEastAsia" w:hAnsiTheme="minorEastAsia" w:eastAsiaTheme="minorEastAsia" w:cstheme="minorEastAsia"/>
          <w:b/>
          <w:color w:val="auto"/>
          <w:sz w:val="24"/>
          <w:highlight w:val="none"/>
        </w:rPr>
        <w:t>4. 询问、质疑、投诉</w:t>
      </w:r>
    </w:p>
    <w:p>
      <w:pPr>
        <w:pStyle w:val="890"/>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4.1在线询问、质疑、投诉</w:t>
      </w:r>
    </w:p>
    <w:p>
      <w:pPr>
        <w:pStyle w:val="890"/>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4.2供应商询问</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4.3供应商质疑</w:t>
      </w:r>
    </w:p>
    <w:p>
      <w:pPr>
        <w:pStyle w:val="36"/>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21"/>
        <w:spacing w:line="360" w:lineRule="auto"/>
        <w:ind w:firstLine="480" w:firstLineChars="200"/>
        <w:rPr>
          <w:rFonts w:hint="eastAsia" w:asciiTheme="minorEastAsia" w:hAnsiTheme="minorEastAsia" w:eastAsiaTheme="minorEastAsia" w:cstheme="minorEastAsia"/>
          <w:snapToGrid/>
          <w:color w:val="auto"/>
          <w:kern w:val="2"/>
          <w:sz w:val="24"/>
          <w:highlight w:val="none"/>
        </w:rPr>
      </w:pPr>
      <w:r>
        <w:rPr>
          <w:rFonts w:hint="eastAsia" w:asciiTheme="minorEastAsia" w:hAnsiTheme="minorEastAsia" w:eastAsiaTheme="minorEastAsia" w:cstheme="minorEastAsia"/>
          <w:snapToGrid/>
          <w:color w:val="auto"/>
          <w:kern w:val="2"/>
          <w:sz w:val="24"/>
          <w:highlight w:val="none"/>
        </w:rPr>
        <w:t>4.3.2.1对招标文件提出质疑的，质疑期限为供应商获得招标文件之日或者招标文件公告期限届满之日起计算。</w:t>
      </w:r>
    </w:p>
    <w:p>
      <w:pPr>
        <w:pStyle w:val="36"/>
        <w:spacing w:line="360" w:lineRule="auto"/>
        <w:ind w:left="479" w:leftChars="22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4.3.2.2对采购过程提出质疑的，质疑期限为各采购程序环节结束之日起计算。4.3.2.3对采购结果提出质疑的，质疑期限自采购结果公告期限届满之日起计算。</w:t>
      </w:r>
    </w:p>
    <w:p>
      <w:pPr>
        <w:pStyle w:val="36"/>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w:t>
      </w:r>
      <w:r>
        <w:rPr>
          <w:rFonts w:hint="eastAsia" w:asciiTheme="minorEastAsia" w:hAnsiTheme="minorEastAsia" w:eastAsiaTheme="minorEastAsia" w:cstheme="minorEastAsia"/>
          <w:color w:val="auto"/>
          <w:sz w:val="24"/>
          <w:highlight w:val="none"/>
        </w:rPr>
        <w:t>供应商提出质疑应当提交质疑函和必要的证明材料。质疑函应当包括下列内容：</w:t>
      </w:r>
    </w:p>
    <w:p>
      <w:pPr>
        <w:pStyle w:val="36"/>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4.3.3.1供应商的姓名或者名称、地址、邮编、联系人及联系电话；</w:t>
      </w:r>
    </w:p>
    <w:p>
      <w:pPr>
        <w:pStyle w:val="36"/>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4.3.3.2质疑项目的名称、编号；</w:t>
      </w:r>
    </w:p>
    <w:p>
      <w:pPr>
        <w:pStyle w:val="36"/>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4.3.3.3具体、明确的质疑事项和与质疑事项相关的请求；</w:t>
      </w:r>
    </w:p>
    <w:p>
      <w:pPr>
        <w:pStyle w:val="36"/>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4.3.3.4事实依据；</w:t>
      </w:r>
    </w:p>
    <w:p>
      <w:pPr>
        <w:pStyle w:val="36"/>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4.3.3.5必要的法律依据；</w:t>
      </w:r>
    </w:p>
    <w:p>
      <w:pPr>
        <w:pStyle w:val="36"/>
        <w:spacing w:line="360" w:lineRule="auto"/>
        <w:ind w:firstLine="960" w:firstLineChars="4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4.3.3.6提出质疑的日期。</w:t>
      </w:r>
    </w:p>
    <w:p>
      <w:pPr>
        <w:pStyle w:val="890"/>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质疑函范本及制作说明详见附件2。</w:t>
      </w:r>
    </w:p>
    <w:p>
      <w:pPr>
        <w:pStyle w:val="890"/>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4.3.4对同一采购程序环节的质疑，供应商须在法定质疑期内一次性提出。</w:t>
      </w:r>
    </w:p>
    <w:p>
      <w:pPr>
        <w:pStyle w:val="890"/>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890"/>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.6询问或者质疑事项可能影响采购结果的，采购人应当暂停签订合同，已经签订合同的，应当中止履行合同。</w:t>
      </w:r>
    </w:p>
    <w:p>
      <w:pPr>
        <w:pStyle w:val="890"/>
        <w:shd w:val="clear" w:color="auto" w:fill="FFFFFF"/>
        <w:snapToGrid w:val="0"/>
        <w:spacing w:before="0" w:beforeAutospacing="0" w:after="0" w:afterAutospacing="0" w:line="360" w:lineRule="auto"/>
        <w:ind w:firstLine="480" w:firstLineChars="200"/>
        <w:contextualSpacing/>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4.4供应商投诉</w:t>
      </w:r>
    </w:p>
    <w:p>
      <w:pPr>
        <w:pStyle w:val="890"/>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90"/>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w:t>
      </w:r>
      <w:r>
        <w:rPr>
          <w:rFonts w:hint="eastAsia" w:asciiTheme="minorEastAsia" w:hAnsiTheme="minorEastAsia" w:eastAsiaTheme="minorEastAsia" w:cstheme="minorEastAsia"/>
          <w:color w:val="auto"/>
          <w:highlight w:val="none"/>
          <w:lang w:val="zh-CN"/>
        </w:rPr>
        <w:t>2</w:t>
      </w:r>
      <w:r>
        <w:rPr>
          <w:rFonts w:hint="eastAsia" w:asciiTheme="minorEastAsia" w:hAnsiTheme="minorEastAsia" w:eastAsiaTheme="minorEastAsia" w:cstheme="minorEastAsia"/>
          <w:color w:val="auto"/>
          <w:highlight w:val="none"/>
        </w:rPr>
        <w:t>供应商投诉的事项不得超出已质疑事项的范围，基于质疑答复内容提出的投诉事项除外。</w:t>
      </w:r>
    </w:p>
    <w:p>
      <w:pPr>
        <w:pStyle w:val="890"/>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4.4.3供应商投诉应当有明确的请求和必要的证明材料。</w:t>
      </w:r>
    </w:p>
    <w:p>
      <w:pPr>
        <w:pStyle w:val="890"/>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4.4.4 以联合体形式参加政府采购活动的，其投诉应当由组成联合体的所有供应商共同提出。</w:t>
      </w:r>
    </w:p>
    <w:p>
      <w:pPr>
        <w:pStyle w:val="890"/>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投诉书范本及制作说明详见附件3。</w:t>
      </w:r>
    </w:p>
    <w:p>
      <w:pPr>
        <w:pStyle w:val="133"/>
        <w:snapToGrid w:val="0"/>
        <w:spacing w:before="0"/>
        <w:ind w:firstLine="360"/>
        <w:rPr>
          <w:rFonts w:hint="eastAsia" w:asciiTheme="minorEastAsia" w:hAnsiTheme="minorEastAsia" w:eastAsiaTheme="minorEastAsia" w:cstheme="minorEastAsia"/>
          <w:color w:val="auto"/>
          <w:sz w:val="18"/>
          <w:szCs w:val="18"/>
          <w:highlight w:val="none"/>
        </w:rPr>
      </w:pPr>
    </w:p>
    <w:p>
      <w:pPr>
        <w:adjustRightInd/>
        <w:spacing w:line="360" w:lineRule="auto"/>
        <w:jc w:val="center"/>
        <w:outlineLvl w:val="0"/>
        <w:rPr>
          <w:rFonts w:hint="eastAsia" w:asciiTheme="minorEastAsia" w:hAnsiTheme="minorEastAsia" w:eastAsiaTheme="minorEastAsia" w:cstheme="minorEastAsia"/>
          <w:b/>
          <w:color w:val="auto"/>
          <w:sz w:val="32"/>
          <w:szCs w:val="20"/>
          <w:highlight w:val="none"/>
        </w:rPr>
      </w:pPr>
      <w:bookmarkStart w:id="24" w:name="_Toc17110"/>
      <w:r>
        <w:rPr>
          <w:rFonts w:hint="eastAsia" w:asciiTheme="minorEastAsia" w:hAnsiTheme="minorEastAsia" w:eastAsiaTheme="minorEastAsia" w:cstheme="minorEastAsia"/>
          <w:b/>
          <w:color w:val="auto"/>
          <w:sz w:val="32"/>
          <w:szCs w:val="20"/>
          <w:highlight w:val="none"/>
        </w:rPr>
        <w:t>二、招标文件的构成、澄清、修改</w:t>
      </w:r>
      <w:bookmarkEnd w:id="24"/>
    </w:p>
    <w:p>
      <w:pPr>
        <w:pStyle w:val="36"/>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5．招标文件的构成</w:t>
      </w:r>
    </w:p>
    <w:p>
      <w:pPr>
        <w:pStyle w:val="3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 招标文件包括下列文件及附件：</w:t>
      </w:r>
    </w:p>
    <w:p>
      <w:pPr>
        <w:pStyle w:val="36"/>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5.1.1招标公告；</w:t>
      </w:r>
    </w:p>
    <w:p>
      <w:pPr>
        <w:pStyle w:val="36"/>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5.1.2投标人须知；</w:t>
      </w:r>
    </w:p>
    <w:p>
      <w:pPr>
        <w:pStyle w:val="36"/>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5.1.3采购需求；</w:t>
      </w:r>
    </w:p>
    <w:p>
      <w:pPr>
        <w:pStyle w:val="36"/>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5.1.4评标办法；</w:t>
      </w:r>
    </w:p>
    <w:p>
      <w:pPr>
        <w:pStyle w:val="36"/>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5.1.5拟签订的合同文本；</w:t>
      </w:r>
    </w:p>
    <w:p>
      <w:pPr>
        <w:pStyle w:val="36"/>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5.1.6</w:t>
      </w:r>
      <w:r>
        <w:rPr>
          <w:rFonts w:hint="eastAsia" w:asciiTheme="minorEastAsia" w:hAnsiTheme="minorEastAsia" w:eastAsiaTheme="minorEastAsia" w:cstheme="minorEastAsia"/>
          <w:color w:val="auto"/>
          <w:sz w:val="24"/>
          <w:szCs w:val="24"/>
          <w:highlight w:val="none"/>
        </w:rPr>
        <w:t>应提交的有关格式范例。</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5.2与本项目有关的</w:t>
      </w:r>
      <w:r>
        <w:rPr>
          <w:rFonts w:hint="eastAsia" w:asciiTheme="minorEastAsia" w:hAnsiTheme="minorEastAsia" w:eastAsiaTheme="minorEastAsia" w:cstheme="minorEastAsia"/>
          <w:bCs/>
          <w:color w:val="auto"/>
          <w:sz w:val="24"/>
          <w:highlight w:val="none"/>
        </w:rPr>
        <w:t>澄清或者修改的内容为招标文件的组成部分</w:t>
      </w:r>
      <w:r>
        <w:rPr>
          <w:rFonts w:hint="eastAsia" w:asciiTheme="minorEastAsia" w:hAnsiTheme="minorEastAsia" w:eastAsiaTheme="minorEastAsia" w:cstheme="minorEastAsia"/>
          <w:color w:val="auto"/>
          <w:sz w:val="24"/>
          <w:highlight w:val="none"/>
        </w:rPr>
        <w:t>。</w:t>
      </w:r>
    </w:p>
    <w:p>
      <w:pPr>
        <w:pStyle w:val="36"/>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 招标文件的澄清、修改</w:t>
      </w:r>
    </w:p>
    <w:p>
      <w:pPr>
        <w:pStyle w:val="133"/>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6.1已获取招标文件的潜在投标人，若有问题需要澄清，应于投标截止时间前，以书面形式向采购代理机构提出。</w:t>
      </w:r>
    </w:p>
    <w:p>
      <w:pPr>
        <w:pStyle w:val="133"/>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int="eastAsia" w:asciiTheme="minorEastAsia" w:hAnsiTheme="minorEastAsia" w:eastAsiaTheme="minorEastAsia" w:cstheme="minorEastAsia"/>
          <w:color w:val="auto"/>
          <w:sz w:val="18"/>
          <w:szCs w:val="18"/>
          <w:highlight w:val="none"/>
          <w:lang w:val="en-US"/>
        </w:rPr>
      </w:pPr>
    </w:p>
    <w:p>
      <w:pPr>
        <w:adjustRightInd/>
        <w:spacing w:line="360" w:lineRule="auto"/>
        <w:jc w:val="center"/>
        <w:outlineLvl w:val="0"/>
        <w:rPr>
          <w:rFonts w:hint="eastAsia" w:asciiTheme="minorEastAsia" w:hAnsiTheme="minorEastAsia" w:eastAsiaTheme="minorEastAsia" w:cstheme="minorEastAsia"/>
          <w:b/>
          <w:color w:val="auto"/>
          <w:sz w:val="30"/>
          <w:szCs w:val="20"/>
          <w:highlight w:val="none"/>
        </w:rPr>
      </w:pPr>
      <w:bookmarkStart w:id="25" w:name="_Toc19239"/>
      <w:r>
        <w:rPr>
          <w:rFonts w:hint="eastAsia" w:asciiTheme="minorEastAsia" w:hAnsiTheme="minorEastAsia" w:eastAsiaTheme="minorEastAsia" w:cstheme="minorEastAsia"/>
          <w:b/>
          <w:color w:val="auto"/>
          <w:sz w:val="30"/>
          <w:szCs w:val="20"/>
          <w:highlight w:val="none"/>
        </w:rPr>
        <w:t>三、投标</w:t>
      </w:r>
      <w:bookmarkEnd w:id="25"/>
    </w:p>
    <w:p>
      <w:pPr>
        <w:pStyle w:val="36"/>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 招标文件的获取</w:t>
      </w:r>
    </w:p>
    <w:p>
      <w:pPr>
        <w:spacing w:line="360" w:lineRule="auto"/>
        <w:ind w:firstLine="480" w:firstLineChars="200"/>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详见招标公告中获取招标文件的时间期限、地点、方式及招标文件售价。</w:t>
      </w:r>
    </w:p>
    <w:p>
      <w:pPr>
        <w:pStyle w:val="36"/>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8.开标前答疑会或现场考察</w:t>
      </w:r>
    </w:p>
    <w:p>
      <w:pPr>
        <w:pStyle w:val="3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采购人组织潜在投标人现场考察或者召开开标前答疑会的，潜在投标人按第二部分投标人须知前附表的规定参加现场考察或者开标前答疑会。</w:t>
      </w:r>
    </w:p>
    <w:p>
      <w:pPr>
        <w:pStyle w:val="36"/>
        <w:spacing w:line="360" w:lineRule="auto"/>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kern w:val="28"/>
          <w:sz w:val="24"/>
          <w:szCs w:val="24"/>
          <w:highlight w:val="none"/>
        </w:rPr>
        <w:t>9.投标保证金</w:t>
      </w:r>
    </w:p>
    <w:p>
      <w:pPr>
        <w:pStyle w:val="21"/>
        <w:spacing w:line="360" w:lineRule="auto"/>
        <w:ind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本项目不需缴纳投标保证金。</w:t>
      </w:r>
    </w:p>
    <w:p>
      <w:pPr>
        <w:pStyle w:val="36"/>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 投标文件的语言</w:t>
      </w:r>
    </w:p>
    <w:p>
      <w:pPr>
        <w:autoSpaceDE w:val="0"/>
        <w:autoSpaceDN w:val="0"/>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投标文件及投标人与采购有关的来往通知、函件和文件均应使用中文。</w:t>
      </w:r>
    </w:p>
    <w:p>
      <w:pPr>
        <w:pStyle w:val="36"/>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11. 投标文件的组成</w:t>
      </w:r>
    </w:p>
    <w:p>
      <w:pPr>
        <w:snapToGrid w:val="0"/>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11.1资格文件：</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11.1.1营业执照副本复印件（加盖投标人公章）；</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11.1.2符合参加政府采购活动应当具备的一般条件的承诺函；</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11.3.3中小企业声明函。</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11.3.4联合体协议（如有）</w:t>
      </w:r>
    </w:p>
    <w:p>
      <w:pPr>
        <w:snapToGrid w:val="0"/>
        <w:spacing w:line="360" w:lineRule="auto"/>
        <w:ind w:firstLine="482" w:firstLineChars="200"/>
        <w:rPr>
          <w:rFonts w:hint="eastAsia" w:asciiTheme="minorEastAsia" w:hAnsiTheme="minorEastAsia" w:eastAsiaTheme="minorEastAsia" w:cstheme="minorEastAsia"/>
          <w:b/>
          <w:color w:val="auto"/>
          <w:sz w:val="24"/>
          <w:highlight w:val="none"/>
          <w:lang w:val="zh-CN"/>
        </w:rPr>
      </w:pPr>
      <w:r>
        <w:rPr>
          <w:rFonts w:hint="eastAsia" w:asciiTheme="minorEastAsia" w:hAnsiTheme="minorEastAsia" w:eastAsiaTheme="minorEastAsia" w:cstheme="minorEastAsia"/>
          <w:b/>
          <w:color w:val="auto"/>
          <w:sz w:val="24"/>
          <w:highlight w:val="none"/>
          <w:lang w:val="zh-CN"/>
        </w:rPr>
        <w:t>11.</w:t>
      </w:r>
      <w:r>
        <w:rPr>
          <w:rFonts w:hint="eastAsia" w:asciiTheme="minorEastAsia" w:hAnsiTheme="minorEastAsia" w:eastAsiaTheme="minorEastAsia" w:cstheme="minorEastAsia"/>
          <w:b/>
          <w:color w:val="auto"/>
          <w:sz w:val="24"/>
          <w:highlight w:val="none"/>
        </w:rPr>
        <w:t>2商务技术</w:t>
      </w:r>
      <w:r>
        <w:rPr>
          <w:rFonts w:hint="eastAsia" w:asciiTheme="minorEastAsia" w:hAnsiTheme="minorEastAsia" w:eastAsiaTheme="minorEastAsia" w:cstheme="minorEastAsia"/>
          <w:b/>
          <w:color w:val="auto"/>
          <w:sz w:val="24"/>
          <w:highlight w:val="none"/>
          <w:lang w:val="zh-CN"/>
        </w:rPr>
        <w:t>文件：</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11.2.1目录</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11.2.2投标函；</w:t>
      </w:r>
    </w:p>
    <w:p>
      <w:pPr>
        <w:pStyle w:val="725"/>
        <w:spacing w:line="360" w:lineRule="auto"/>
        <w:ind w:left="720" w:firstLine="240" w:firstLineChars="1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11.2.3营业执照副本复印件（加盖投标人公章）</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11.2.4授权委托书或法定代表人（单位负责人、自然人本人）身份证明；</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11.2.5投标人股权信息表</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11.2.6详细的“交货清单”；</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11.2.7技术规范偏离表；</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11.2.8商务条款偏离表；</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11.2.9完成的类似项目一览表（附合同复印件）；</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11.2.10节能、环保产品；</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11.2.11供货方案；</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11.2.12确保供应货物质量的设施及措施；</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11.2.13供货、安装、调试；</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11.2.14培训方案；</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11.2.15售后服务方案；</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11.2.16第四部分“评标办法”中要求提供的资料。</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11.2.17</w:t>
      </w:r>
      <w:r>
        <w:rPr>
          <w:rFonts w:hint="eastAsia" w:asciiTheme="minorEastAsia" w:hAnsiTheme="minorEastAsia" w:eastAsiaTheme="minorEastAsia" w:cstheme="minorEastAsia"/>
          <w:color w:val="auto"/>
          <w:sz w:val="24"/>
          <w:highlight w:val="none"/>
          <w:lang w:val="zh-CN"/>
        </w:rPr>
        <w:t>政府采购供应商廉洁自律承诺书；</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11.2.</w:t>
      </w:r>
      <w:r>
        <w:rPr>
          <w:rFonts w:hint="eastAsia" w:asciiTheme="minorEastAsia" w:hAnsiTheme="minorEastAsia" w:eastAsiaTheme="minorEastAsia" w:cstheme="minorEastAsia"/>
          <w:color w:val="auto"/>
          <w:sz w:val="24"/>
          <w:highlight w:val="none"/>
        </w:rPr>
        <w:t>18</w:t>
      </w:r>
      <w:r>
        <w:rPr>
          <w:rFonts w:hint="eastAsia" w:asciiTheme="minorEastAsia" w:hAnsiTheme="minorEastAsia" w:eastAsiaTheme="minorEastAsia" w:cstheme="minorEastAsia"/>
          <w:color w:val="auto"/>
          <w:sz w:val="24"/>
          <w:highlight w:val="none"/>
          <w:lang w:val="zh-CN"/>
        </w:rPr>
        <w:t>缴纳采购代理服务费承诺书；</w:t>
      </w:r>
    </w:p>
    <w:p>
      <w:pPr>
        <w:snapToGrid w:val="0"/>
        <w:spacing w:line="360" w:lineRule="auto"/>
        <w:ind w:firstLine="482" w:firstLineChars="200"/>
        <w:rPr>
          <w:rFonts w:hint="eastAsia" w:asciiTheme="minorEastAsia" w:hAnsiTheme="minorEastAsia" w:eastAsiaTheme="minorEastAsia" w:cstheme="minorEastAsia"/>
          <w:b/>
          <w:bCs/>
          <w:color w:val="auto"/>
          <w:sz w:val="24"/>
          <w:highlight w:val="none"/>
          <w:u w:val="single"/>
          <w:lang w:val="zh-CN"/>
        </w:rPr>
      </w:pPr>
      <w:r>
        <w:rPr>
          <w:rFonts w:hint="eastAsia" w:asciiTheme="minorEastAsia" w:hAnsiTheme="minorEastAsia" w:eastAsiaTheme="minorEastAsia" w:cstheme="minorEastAsia"/>
          <w:b/>
          <w:bCs/>
          <w:color w:val="auto"/>
          <w:kern w:val="0"/>
          <w:sz w:val="24"/>
          <w:highlight w:val="none"/>
          <w:lang w:val="zh-CN"/>
        </w:rPr>
        <w:t>11.</w:t>
      </w:r>
      <w:r>
        <w:rPr>
          <w:rFonts w:hint="eastAsia" w:asciiTheme="minorEastAsia" w:hAnsiTheme="minorEastAsia" w:eastAsiaTheme="minorEastAsia" w:cstheme="minorEastAsia"/>
          <w:b/>
          <w:bCs/>
          <w:color w:val="auto"/>
          <w:kern w:val="0"/>
          <w:sz w:val="24"/>
          <w:highlight w:val="none"/>
        </w:rPr>
        <w:t>3</w:t>
      </w:r>
      <w:r>
        <w:rPr>
          <w:rFonts w:hint="eastAsia" w:asciiTheme="minorEastAsia" w:hAnsiTheme="minorEastAsia" w:eastAsiaTheme="minorEastAsia" w:cstheme="minorEastAsia"/>
          <w:b/>
          <w:bCs/>
          <w:color w:val="auto"/>
          <w:sz w:val="24"/>
          <w:highlight w:val="none"/>
        </w:rPr>
        <w:t>报价文件：</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11.3.1开标一览表（报价表）；</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11.3.2投标分项报价表</w:t>
      </w:r>
    </w:p>
    <w:p>
      <w:pPr>
        <w:pStyle w:val="725"/>
        <w:spacing w:line="360" w:lineRule="auto"/>
        <w:ind w:left="480"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11.3.</w:t>
      </w:r>
      <w:bookmarkStart w:id="26" w:name="_Toc5746"/>
      <w:bookmarkStart w:id="27" w:name="_Toc6461"/>
      <w:r>
        <w:rPr>
          <w:rFonts w:hint="eastAsia" w:asciiTheme="minorEastAsia" w:hAnsiTheme="minorEastAsia" w:eastAsiaTheme="minorEastAsia" w:cstheme="minorEastAsia"/>
          <w:color w:val="auto"/>
          <w:highlight w:val="none"/>
        </w:rPr>
        <w:t>3投标人针对报价需要说明的其他文件和说明。</w:t>
      </w:r>
      <w:bookmarkEnd w:id="26"/>
      <w:bookmarkEnd w:id="27"/>
    </w:p>
    <w:p>
      <w:pPr>
        <w:pStyle w:val="82"/>
        <w:spacing w:line="360" w:lineRule="auto"/>
        <w:ind w:firstLine="460"/>
        <w:rPr>
          <w:rFonts w:hint="eastAsia" w:asciiTheme="minorEastAsia" w:hAnsiTheme="minorEastAsia" w:eastAsiaTheme="minorEastAsia" w:cstheme="minorEastAsia"/>
          <w:color w:val="auto"/>
          <w:highlight w:val="none"/>
        </w:rPr>
      </w:pPr>
    </w:p>
    <w:p>
      <w:pPr>
        <w:spacing w:line="360" w:lineRule="auto"/>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投标文件含有采购人不能接受的附加条件的，投标无效；</w:t>
      </w:r>
    </w:p>
    <w:p>
      <w:pPr>
        <w:spacing w:line="360" w:lineRule="auto"/>
        <w:ind w:firstLine="723" w:firstLineChars="3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highlight w:val="none"/>
        </w:rPr>
        <w:t>投标人提供虚假材料投标的，投标无效。</w:t>
      </w:r>
    </w:p>
    <w:p>
      <w:pPr>
        <w:pStyle w:val="133"/>
        <w:snapToGrid w:val="0"/>
        <w:spacing w:before="0"/>
        <w:ind w:firstLine="0" w:firstLineChars="0"/>
        <w:outlineLvl w:val="0"/>
        <w:rPr>
          <w:rFonts w:hint="eastAsia" w:asciiTheme="minorEastAsia" w:hAnsiTheme="minorEastAsia" w:eastAsiaTheme="minorEastAsia" w:cstheme="minorEastAsia"/>
          <w:b/>
          <w:color w:val="auto"/>
          <w:szCs w:val="24"/>
          <w:highlight w:val="none"/>
        </w:rPr>
      </w:pPr>
      <w:bookmarkStart w:id="28" w:name="_Toc30841"/>
      <w:r>
        <w:rPr>
          <w:rFonts w:hint="eastAsia" w:asciiTheme="minorEastAsia" w:hAnsiTheme="minorEastAsia" w:eastAsiaTheme="minorEastAsia" w:cstheme="minorEastAsia"/>
          <w:b/>
          <w:color w:val="auto"/>
          <w:szCs w:val="24"/>
          <w:highlight w:val="none"/>
        </w:rPr>
        <w:t>12</w:t>
      </w:r>
      <w:r>
        <w:rPr>
          <w:rFonts w:hint="eastAsia" w:asciiTheme="minorEastAsia" w:hAnsiTheme="minorEastAsia" w:eastAsiaTheme="minorEastAsia" w:cstheme="minorEastAsia"/>
          <w:b/>
          <w:color w:val="auto"/>
          <w:kern w:val="0"/>
          <w:szCs w:val="24"/>
          <w:highlight w:val="none"/>
          <w:lang w:val="zh-CN"/>
        </w:rPr>
        <w:t xml:space="preserve">. </w:t>
      </w:r>
      <w:r>
        <w:rPr>
          <w:rFonts w:hint="eastAsia" w:asciiTheme="minorEastAsia" w:hAnsiTheme="minorEastAsia" w:eastAsiaTheme="minorEastAsia" w:cstheme="minorEastAsia"/>
          <w:b/>
          <w:color w:val="auto"/>
          <w:szCs w:val="24"/>
          <w:highlight w:val="none"/>
        </w:rPr>
        <w:t>投标文件的编制</w:t>
      </w:r>
      <w:bookmarkEnd w:id="28"/>
    </w:p>
    <w:p>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13.投标文件的签署、盖章</w:t>
      </w:r>
    </w:p>
    <w:p>
      <w:pPr>
        <w:pStyle w:val="133"/>
        <w:snapToGrid w:val="0"/>
        <w:spacing w:before="0"/>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13.1投标文件按照招标文件第六部分格式要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★投标人的投标文件未按照招标文件要求签署、盖章的，其投标无效</w:t>
      </w:r>
      <w:r>
        <w:rPr>
          <w:rFonts w:hint="eastAsia" w:asciiTheme="minorEastAsia" w:hAnsiTheme="minorEastAsia" w:eastAsiaTheme="minorEastAsia" w:cstheme="minorEastAsia"/>
          <w:color w:val="auto"/>
          <w:szCs w:val="24"/>
          <w:highlight w:val="none"/>
        </w:rPr>
        <w:t>。</w:t>
      </w:r>
    </w:p>
    <w:p>
      <w:pPr>
        <w:pStyle w:val="133"/>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13.3招标文件对投标文件签署、盖章的要求适用于电子签名。</w:t>
      </w:r>
    </w:p>
    <w:p>
      <w:pPr>
        <w:pStyle w:val="133"/>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14. 投标文件的提交、补充、修改、撤回</w:t>
      </w:r>
    </w:p>
    <w:p>
      <w:pPr>
        <w:pStyle w:val="133"/>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后递交的投标文件，电子交易平台将拒收。</w:t>
      </w:r>
    </w:p>
    <w:p>
      <w:pPr>
        <w:pStyle w:val="133"/>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6"/>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15.备份投标文件</w:t>
      </w:r>
    </w:p>
    <w:p>
      <w:pPr>
        <w:pStyle w:val="36"/>
        <w:spacing w:line="360" w:lineRule="auto"/>
        <w:ind w:firstLine="360" w:firstLineChars="15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Theme="minorEastAsia" w:hAnsiTheme="minorEastAsia" w:eastAsiaTheme="minorEastAsia" w:cstheme="minorEastAsia"/>
          <w:b/>
          <w:color w:val="auto"/>
          <w:sz w:val="24"/>
          <w:szCs w:val="24"/>
          <w:highlight w:val="none"/>
        </w:rPr>
        <w:t>但采购人、采购代理机构不强制或变相强制投标人提交备份投标文件。</w:t>
      </w:r>
    </w:p>
    <w:p>
      <w:pPr>
        <w:pStyle w:val="36"/>
        <w:spacing w:line="360" w:lineRule="auto"/>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15.2备份投标文件须在“政采云投标客户端”制作生成，并储存在</w:t>
      </w:r>
      <w:r>
        <w:rPr>
          <w:rFonts w:hint="eastAsia" w:asciiTheme="minorEastAsia" w:hAnsiTheme="minorEastAsia" w:eastAsiaTheme="minorEastAsia" w:cstheme="minorEastAsia"/>
          <w:color w:val="auto"/>
          <w:sz w:val="24"/>
          <w:highlight w:val="none"/>
        </w:rPr>
        <w:t>DVD光盘等存储介质</w:t>
      </w:r>
      <w:r>
        <w:rPr>
          <w:rFonts w:hint="eastAsia" w:asciiTheme="minorEastAsia" w:hAnsiTheme="minorEastAsia" w:eastAsiaTheme="minorEastAsia" w:cstheme="min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inorEastAsia" w:hAnsiTheme="minorEastAsia" w:eastAsiaTheme="minorEastAsia" w:cstheme="minorEastAsia"/>
          <w:b/>
          <w:color w:val="auto"/>
          <w:sz w:val="24"/>
          <w:highlight w:val="none"/>
        </w:rPr>
        <w:t>不符合上述制作、</w:t>
      </w:r>
      <w:r>
        <w:rPr>
          <w:rFonts w:hint="eastAsia" w:asciiTheme="minorEastAsia" w:hAnsiTheme="minorEastAsia" w:eastAsiaTheme="minorEastAsia" w:cstheme="minorEastAsia"/>
          <w:b/>
          <w:color w:val="auto"/>
          <w:sz w:val="24"/>
          <w:szCs w:val="24"/>
          <w:highlight w:val="none"/>
        </w:rPr>
        <w:t>存储、密封规定的备份投标文件将被视为无效或者被拒绝接收。</w:t>
      </w:r>
    </w:p>
    <w:p>
      <w:pPr>
        <w:pStyle w:val="3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Theme="minorEastAsia" w:hAnsiTheme="minorEastAsia" w:eastAsiaTheme="minorEastAsia" w:cstheme="minorEastAsia"/>
          <w:snapToGrid/>
          <w:color w:val="auto"/>
          <w:sz w:val="24"/>
          <w:szCs w:val="24"/>
          <w:highlight w:val="none"/>
        </w:rPr>
        <w:t>招标文件第二部分投标人须知前附表规定的备份投标文件送达地点；</w:t>
      </w:r>
      <w:r>
        <w:rPr>
          <w:rFonts w:hint="eastAsia" w:asciiTheme="minorEastAsia" w:hAnsiTheme="minorEastAsia" w:eastAsiaTheme="minorEastAsia" w:cstheme="minorEastAsia"/>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15.5投标人仅提交备份投标文件，未在电子交易平台传输递交投标文件的，投标无效。</w:t>
      </w:r>
    </w:p>
    <w:p>
      <w:pPr>
        <w:pStyle w:val="133"/>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16.投标文件的无效处理</w:t>
      </w:r>
    </w:p>
    <w:p>
      <w:pPr>
        <w:pStyle w:val="28"/>
        <w:spacing w:line="360" w:lineRule="auto"/>
        <w:ind w:firstLine="360"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有招标文件第四部分</w:t>
      </w:r>
      <w:r>
        <w:rPr>
          <w:rFonts w:hint="eastAsia" w:asciiTheme="minorEastAsia" w:hAnsiTheme="minorEastAsia" w:eastAsiaTheme="minorEastAsia" w:cstheme="minorEastAsia"/>
          <w:color w:val="auto"/>
          <w:highlight w:val="none"/>
        </w:rPr>
        <w:t>4.2规定</w:t>
      </w:r>
      <w:r>
        <w:rPr>
          <w:rFonts w:hint="eastAsia" w:asciiTheme="minorEastAsia" w:hAnsiTheme="minorEastAsia" w:eastAsiaTheme="minorEastAsia" w:cstheme="minorEastAsia"/>
          <w:color w:val="auto"/>
          <w:szCs w:val="21"/>
          <w:highlight w:val="none"/>
        </w:rPr>
        <w:t>的情形之一的，投标无效：</w:t>
      </w:r>
    </w:p>
    <w:p>
      <w:pPr>
        <w:pStyle w:val="133"/>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17.投标有效期</w:t>
      </w:r>
    </w:p>
    <w:p>
      <w:pPr>
        <w:spacing w:line="360" w:lineRule="auto"/>
        <w:ind w:firstLine="480" w:firstLineChars="2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color w:val="auto"/>
          <w:sz w:val="24"/>
          <w:szCs w:val="20"/>
          <w:highlight w:val="none"/>
        </w:rPr>
        <w:t>17.1投标有效期为从提交投标文件的截止之日起90天。★</w:t>
      </w:r>
      <w:r>
        <w:rPr>
          <w:rFonts w:hint="eastAsia" w:asciiTheme="minorEastAsia" w:hAnsiTheme="minorEastAsia" w:eastAsiaTheme="minorEastAsia" w:cstheme="minorEastAsia"/>
          <w:b/>
          <w:color w:val="auto"/>
          <w:sz w:val="24"/>
          <w:szCs w:val="20"/>
          <w:highlight w:val="none"/>
        </w:rPr>
        <w:t>投标人的投标文件中承</w:t>
      </w:r>
      <w:r>
        <w:rPr>
          <w:rFonts w:hint="eastAsia" w:asciiTheme="minorEastAsia" w:hAnsiTheme="minorEastAsia" w:eastAsiaTheme="minorEastAsia" w:cstheme="minorEastAsia"/>
          <w:b/>
          <w:color w:val="auto"/>
          <w:sz w:val="24"/>
          <w:szCs w:val="21"/>
          <w:highlight w:val="none"/>
        </w:rPr>
        <w:t>诺的投标有效期少于招标文件中载明的投标有效期的，投标无效。</w:t>
      </w:r>
    </w:p>
    <w:p>
      <w:pPr>
        <w:pStyle w:val="133"/>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17.2投标文件合格投递后，自投标截止日期起，在投标有效期内有效。</w:t>
      </w:r>
    </w:p>
    <w:p>
      <w:pPr>
        <w:pStyle w:val="133"/>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3"/>
        <w:spacing w:before="0"/>
        <w:ind w:firstLine="643"/>
        <w:rPr>
          <w:rFonts w:hint="eastAsia" w:asciiTheme="minorEastAsia" w:hAnsiTheme="minorEastAsia" w:eastAsiaTheme="minorEastAsia" w:cstheme="minorEastAsia"/>
          <w:b/>
          <w:color w:val="auto"/>
          <w:sz w:val="32"/>
          <w:highlight w:val="none"/>
        </w:rPr>
      </w:pPr>
    </w:p>
    <w:p>
      <w:pPr>
        <w:pStyle w:val="133"/>
        <w:spacing w:before="0"/>
        <w:ind w:firstLine="1928" w:firstLineChars="600"/>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四、开标、资格审查与信用信息查询</w:t>
      </w:r>
    </w:p>
    <w:p>
      <w:pPr>
        <w:pStyle w:val="558"/>
        <w:spacing w:before="0" w:line="360" w:lineRule="auto"/>
        <w:ind w:left="0" w:firstLine="241" w:firstLineChars="1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szCs w:val="24"/>
          <w:highlight w:val="none"/>
        </w:rPr>
        <w:t>18.开标</w:t>
      </w:r>
    </w:p>
    <w:p>
      <w:pPr>
        <w:pStyle w:val="558"/>
        <w:spacing w:before="0" w:line="360" w:lineRule="auto"/>
        <w:ind w:left="0"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18.1采购代理机构按照招标文件规定的时间通过电子交易平台组织开标，所有投标人均应当准时在线参加。投标人不足3家的，不得开标。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36"/>
        <w:spacing w:line="360" w:lineRule="auto"/>
        <w:ind w:firstLine="361" w:firstLineChars="15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18.3投标文件未按时解密，投标人提供了备份投标文件的，以备份投标文件作为依据。投标文件已按时解密的，备份投标文件自动失效。</w:t>
      </w:r>
    </w:p>
    <w:p>
      <w:pPr>
        <w:pStyle w:val="36"/>
        <w:spacing w:line="360" w:lineRule="auto"/>
        <w:ind w:firstLine="361" w:firstLineChars="15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18.4投标文件解密结束，各投标人签署《政府采购活动现场确认声明书》（格式见附件），签署完成后，扫描发送至邮箱：</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"mailto:834007470@qq.com；"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
          <w:color w:val="auto"/>
          <w:sz w:val="24"/>
          <w:szCs w:val="24"/>
          <w:highlight w:val="none"/>
        </w:rPr>
        <w:t>mjh@zxbidding.cn；</w:t>
      </w:r>
      <w:r>
        <w:rPr>
          <w:rFonts w:hint="eastAsia" w:asciiTheme="minorEastAsia" w:hAnsiTheme="minorEastAsia" w:eastAsiaTheme="minorEastAsia" w:cstheme="minorEastAsia"/>
          <w:b/>
          <w:color w:val="auto"/>
          <w:sz w:val="24"/>
          <w:szCs w:val="24"/>
          <w:highlight w:val="none"/>
        </w:rPr>
        <w:fldChar w:fldCharType="end"/>
      </w:r>
    </w:p>
    <w:p>
      <w:pPr>
        <w:widowControl/>
        <w:spacing w:line="360" w:lineRule="auto"/>
        <w:jc w:val="left"/>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szCs w:val="20"/>
          <w:highlight w:val="none"/>
        </w:rPr>
        <w:t>19、资格审查</w:t>
      </w:r>
    </w:p>
    <w:p>
      <w:pPr>
        <w:pStyle w:val="558"/>
        <w:spacing w:before="0" w:line="360" w:lineRule="auto"/>
        <w:ind w:left="0"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19.1采购人或采购代理机构依据法律法规和招标文件的规定，对投标人的资格进行审查。</w:t>
      </w:r>
    </w:p>
    <w:p>
      <w:pPr>
        <w:pStyle w:val="558"/>
        <w:spacing w:before="0" w:line="360" w:lineRule="auto"/>
        <w:ind w:left="0"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19.2投标人未按照招标文件要求提供与资格条件相应的有效资格证明材料的，视为投标人不具备招标文件中规定的资格要求，其投标无效。</w:t>
      </w:r>
    </w:p>
    <w:p>
      <w:pPr>
        <w:pStyle w:val="558"/>
        <w:spacing w:before="0" w:line="360" w:lineRule="auto"/>
        <w:ind w:left="0"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19.3对未通过资格审查的投标人，采购人或采购代理机构告知其未通过的原因。</w:t>
      </w:r>
    </w:p>
    <w:p>
      <w:pPr>
        <w:pStyle w:val="558"/>
        <w:spacing w:before="0" w:line="360" w:lineRule="auto"/>
        <w:ind w:left="0"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19.4合格投标人不足3家的，不再评标。</w:t>
      </w:r>
    </w:p>
    <w:p>
      <w:pPr>
        <w:pStyle w:val="133"/>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20、信用信息查询</w:t>
      </w:r>
    </w:p>
    <w:p>
      <w:pPr>
        <w:pStyle w:val="133"/>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20.1信用信息查询渠道及截止时间：采购代理机构将在资格审查时通过“信用中国”网站(</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"http://www.creditchina" </w:instrText>
      </w:r>
      <w:r>
        <w:rPr>
          <w:rFonts w:hint="eastAsia" w:asciiTheme="minorEastAsia" w:hAnsiTheme="minorEastAsia" w:eastAsiaTheme="minorEastAsia" w:cstheme="minorEastAsia"/>
          <w:color w:val="auto"/>
          <w:highlight w:val="none"/>
        </w:rPr>
        <w:fldChar w:fldCharType="separate"/>
      </w:r>
      <w:r>
        <w:rPr>
          <w:rStyle w:val="71"/>
          <w:rFonts w:hint="eastAsia" w:asciiTheme="minorEastAsia" w:hAnsiTheme="minorEastAsia" w:eastAsiaTheme="minorEastAsia" w:cstheme="minorEastAsia"/>
          <w:snapToGrid/>
          <w:color w:val="auto"/>
          <w:sz w:val="24"/>
          <w:szCs w:val="24"/>
          <w:highlight w:val="none"/>
        </w:rPr>
        <w:t>www.creditchina</w:t>
      </w:r>
      <w:r>
        <w:rPr>
          <w:rStyle w:val="71"/>
          <w:rFonts w:hint="eastAsia" w:asciiTheme="minorEastAsia" w:hAnsiTheme="minorEastAsia" w:eastAsiaTheme="minorEastAsia" w:cstheme="minorEastAsia"/>
          <w:snapToGrid/>
          <w:color w:val="auto"/>
          <w:sz w:val="24"/>
          <w:szCs w:val="24"/>
          <w:highlight w:val="none"/>
        </w:rPr>
        <w:fldChar w:fldCharType="end"/>
      </w:r>
      <w:r>
        <w:rPr>
          <w:rFonts w:hint="eastAsia" w:asciiTheme="minorEastAsia" w:hAnsiTheme="minorEastAsia" w:eastAsiaTheme="minorEastAsia" w:cstheme="minorEastAsia"/>
          <w:color w:val="auto"/>
          <w:kern w:val="0"/>
          <w:szCs w:val="24"/>
          <w:highlight w:val="none"/>
        </w:rPr>
        <w:t>.gov.cn)、中国政府采购网(</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"http://www.ccgp" </w:instrText>
      </w:r>
      <w:r>
        <w:rPr>
          <w:rFonts w:hint="eastAsia" w:asciiTheme="minorEastAsia" w:hAnsiTheme="minorEastAsia" w:eastAsiaTheme="minorEastAsia" w:cstheme="minorEastAsia"/>
          <w:color w:val="auto"/>
          <w:highlight w:val="none"/>
        </w:rPr>
        <w:fldChar w:fldCharType="separate"/>
      </w:r>
      <w:r>
        <w:rPr>
          <w:rStyle w:val="71"/>
          <w:rFonts w:hint="eastAsia" w:asciiTheme="minorEastAsia" w:hAnsiTheme="minorEastAsia" w:eastAsiaTheme="minorEastAsia" w:cstheme="minorEastAsia"/>
          <w:snapToGrid/>
          <w:color w:val="auto"/>
          <w:sz w:val="24"/>
          <w:szCs w:val="24"/>
          <w:highlight w:val="none"/>
        </w:rPr>
        <w:t>www.ccgp</w:t>
      </w:r>
      <w:r>
        <w:rPr>
          <w:rStyle w:val="71"/>
          <w:rFonts w:hint="eastAsia" w:asciiTheme="minorEastAsia" w:hAnsiTheme="minorEastAsia" w:eastAsiaTheme="minorEastAsia" w:cstheme="minorEastAsia"/>
          <w:snapToGrid/>
          <w:color w:val="auto"/>
          <w:sz w:val="24"/>
          <w:szCs w:val="24"/>
          <w:highlight w:val="none"/>
        </w:rPr>
        <w:fldChar w:fldCharType="end"/>
      </w:r>
      <w:r>
        <w:rPr>
          <w:rFonts w:hint="eastAsia" w:asciiTheme="minorEastAsia" w:hAnsiTheme="minorEastAsia" w:eastAsiaTheme="minorEastAsia" w:cstheme="minorEastAsia"/>
          <w:color w:val="auto"/>
          <w:kern w:val="0"/>
          <w:szCs w:val="24"/>
          <w:highlight w:val="none"/>
        </w:rPr>
        <w:t>.gov.cn)渠道查询投标人接受资格审查时的信用记录。</w:t>
      </w:r>
    </w:p>
    <w:p>
      <w:pPr>
        <w:pStyle w:val="133"/>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20.2信用信息查询记录和证据留存的具体方式：现场查询的投标人的信用记录、查询结果经确认后将与采购文件一起存档。</w:t>
      </w:r>
    </w:p>
    <w:p>
      <w:pPr>
        <w:pStyle w:val="133"/>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3"/>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color w:val="auto"/>
          <w:highlight w:val="none"/>
        </w:rPr>
        <w:t>。</w:t>
      </w:r>
    </w:p>
    <w:p>
      <w:pPr>
        <w:pStyle w:val="133"/>
        <w:spacing w:before="0"/>
        <w:ind w:firstLine="0" w:firstLineChars="0"/>
        <w:rPr>
          <w:rFonts w:hint="eastAsia" w:asciiTheme="minorEastAsia" w:hAnsiTheme="minorEastAsia" w:eastAsiaTheme="minorEastAsia" w:cstheme="minorEastAsia"/>
          <w:color w:val="auto"/>
          <w:kern w:val="0"/>
          <w:szCs w:val="24"/>
          <w:highlight w:val="none"/>
        </w:rPr>
      </w:pPr>
    </w:p>
    <w:p>
      <w:pPr>
        <w:snapToGrid w:val="0"/>
        <w:spacing w:line="360" w:lineRule="auto"/>
        <w:jc w:val="center"/>
        <w:outlineLvl w:val="0"/>
        <w:rPr>
          <w:rFonts w:hint="eastAsia" w:asciiTheme="minorEastAsia" w:hAnsiTheme="minorEastAsia" w:eastAsiaTheme="minorEastAsia" w:cstheme="minorEastAsia"/>
          <w:b/>
          <w:color w:val="auto"/>
          <w:sz w:val="36"/>
          <w:szCs w:val="36"/>
          <w:highlight w:val="none"/>
        </w:rPr>
      </w:pPr>
      <w:bookmarkStart w:id="29" w:name="_Toc12389"/>
      <w:r>
        <w:rPr>
          <w:rFonts w:hint="eastAsia" w:asciiTheme="minorEastAsia" w:hAnsiTheme="minorEastAsia" w:eastAsiaTheme="minorEastAsia" w:cstheme="minorEastAsia"/>
          <w:b/>
          <w:color w:val="auto"/>
          <w:sz w:val="36"/>
          <w:szCs w:val="36"/>
          <w:highlight w:val="none"/>
        </w:rPr>
        <w:t>五、评标</w:t>
      </w:r>
      <w:bookmarkEnd w:id="29"/>
    </w:p>
    <w:p>
      <w:pPr>
        <w:spacing w:line="360" w:lineRule="auto"/>
        <w:rPr>
          <w:rFonts w:hint="eastAsia" w:asciiTheme="minorEastAsia" w:hAnsiTheme="minorEastAsia" w:eastAsiaTheme="minorEastAsia" w:cstheme="minorEastAsia"/>
          <w:b/>
          <w:color w:val="auto"/>
          <w:sz w:val="24"/>
          <w:highlight w:val="none"/>
        </w:rPr>
      </w:pPr>
      <w:bookmarkStart w:id="30" w:name="_Toc91899903"/>
      <w:r>
        <w:rPr>
          <w:rFonts w:hint="eastAsia" w:asciiTheme="minorEastAsia" w:hAnsiTheme="minorEastAsia" w:eastAsiaTheme="minorEastAsia" w:cstheme="minorEastAsia"/>
          <w:b/>
          <w:color w:val="auto"/>
          <w:sz w:val="24"/>
          <w:highlight w:val="none"/>
        </w:rPr>
        <w:t>21.</w:t>
      </w:r>
      <w:r>
        <w:rPr>
          <w:rFonts w:hint="eastAsia" w:asciiTheme="minorEastAsia" w:hAnsiTheme="minorEastAsia" w:eastAsiaTheme="minorEastAsia" w:cstheme="min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highlight w:val="none"/>
        </w:rPr>
        <w:t>详见招标文件第四部分评标办法。</w:t>
      </w:r>
    </w:p>
    <w:p>
      <w:pPr>
        <w:spacing w:line="360" w:lineRule="auto"/>
        <w:rPr>
          <w:rFonts w:hint="eastAsia" w:asciiTheme="minorEastAsia" w:hAnsiTheme="minorEastAsia" w:eastAsiaTheme="minorEastAsia" w:cstheme="minorEastAsia"/>
          <w:b/>
          <w:color w:val="auto"/>
          <w:sz w:val="24"/>
          <w:highlight w:val="none"/>
        </w:rPr>
      </w:pPr>
    </w:p>
    <w:p>
      <w:pPr>
        <w:snapToGrid w:val="0"/>
        <w:spacing w:line="360" w:lineRule="auto"/>
        <w:jc w:val="center"/>
        <w:outlineLvl w:val="0"/>
        <w:rPr>
          <w:rFonts w:hint="eastAsia" w:asciiTheme="minorEastAsia" w:hAnsiTheme="minorEastAsia" w:eastAsiaTheme="minorEastAsia" w:cstheme="minorEastAsia"/>
          <w:b/>
          <w:color w:val="auto"/>
          <w:sz w:val="36"/>
          <w:szCs w:val="36"/>
          <w:highlight w:val="none"/>
        </w:rPr>
      </w:pPr>
      <w:bookmarkStart w:id="31" w:name="_Toc20717"/>
      <w:r>
        <w:rPr>
          <w:rFonts w:hint="eastAsia" w:asciiTheme="minorEastAsia" w:hAnsiTheme="minorEastAsia" w:eastAsiaTheme="minorEastAsia" w:cstheme="minorEastAsia"/>
          <w:b/>
          <w:color w:val="auto"/>
          <w:sz w:val="36"/>
          <w:szCs w:val="36"/>
          <w:highlight w:val="none"/>
        </w:rPr>
        <w:t>六、定标</w:t>
      </w:r>
      <w:bookmarkEnd w:id="31"/>
    </w:p>
    <w:p>
      <w:pPr>
        <w:pStyle w:val="28"/>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 确定中标供应商</w:t>
      </w:r>
    </w:p>
    <w:p>
      <w:pPr>
        <w:pStyle w:val="133"/>
        <w:snapToGrid w:val="0"/>
        <w:spacing w:before="0"/>
        <w:ind w:firstLine="4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3"/>
        <w:snapToGrid w:val="0"/>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本项目只有三个投标人的由评标委员会推荐1名中标候选人，有三个以上投标人的由评标委员会推荐2名中标候选人，采购人在评标委员会推荐的中标候选人名单中按顺序确定中标人。若第一中标候选人放弃中标、或投标过程中所提供的资料有失实或弄虚作假的、或因不可抗力提出不能履行合同的，或不能在招标文件规定的期限内提交履约保证金（如有）的，采购人可视情况选择排名第二的中标候选人为中标人，也可以重新开展政府采购活动。</w:t>
      </w:r>
    </w:p>
    <w:p>
      <w:pPr>
        <w:pStyle w:val="133"/>
        <w:snapToGrid w:val="0"/>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23. 中标通知与中标结果公告</w:t>
      </w:r>
    </w:p>
    <w:p>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23.3公告期限为1个工作日。</w:t>
      </w:r>
    </w:p>
    <w:p>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p>
    <w:p>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pPr>
        <w:pStyle w:val="28"/>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 xml:space="preserve">24. </w:t>
      </w:r>
      <w:r>
        <w:rPr>
          <w:rFonts w:hint="eastAsia" w:asciiTheme="minorEastAsia" w:hAnsiTheme="minorEastAsia" w:eastAsiaTheme="minorEastAsia" w:cstheme="minorEastAsia"/>
          <w:color w:val="auto"/>
          <w:highlight w:val="none"/>
        </w:rPr>
        <w:t>合同主要条款详见第五部分拟签订的合同文本。</w:t>
      </w:r>
    </w:p>
    <w:p>
      <w:pPr>
        <w:pStyle w:val="28"/>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25. 合同的签订</w:t>
      </w:r>
    </w:p>
    <w:p>
      <w:pPr>
        <w:widowControl/>
        <w:shd w:val="clear" w:color="auto" w:fill="FFFFFF"/>
        <w:spacing w:line="360" w:lineRule="auto"/>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25.1</w:t>
      </w:r>
      <w:r>
        <w:rPr>
          <w:rFonts w:hint="eastAsia" w:asciiTheme="minorEastAsia" w:hAnsiTheme="minorEastAsia" w:eastAsiaTheme="minorEastAsia" w:cstheme="minorEastAsia"/>
          <w:color w:val="auto"/>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3"/>
        <w:snapToGrid w:val="0"/>
        <w:spacing w:before="0"/>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25.3中标供应商拒绝与采购人签订合同的，采购人可以按照评审报告推荐的中标或者成交候选人名单排序，确定下一候选人为中标供应商，也可以重新开展政府采购活动。</w:t>
      </w:r>
    </w:p>
    <w:p>
      <w:pPr>
        <w:snapToGrid w:val="0"/>
        <w:spacing w:line="360" w:lineRule="auto"/>
        <w:ind w:firstLine="3357" w:firstLineChars="104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pPr>
        <w:pStyle w:val="133"/>
        <w:snapToGrid w:val="0"/>
        <w:spacing w:before="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w:t>
      </w:r>
      <w:r>
        <w:rPr>
          <w:rFonts w:hint="eastAsia" w:asciiTheme="minorEastAsia" w:hAnsiTheme="minorEastAsia" w:eastAsiaTheme="minorEastAsia" w:cstheme="minorEastAsia"/>
          <w:b/>
          <w:bCs/>
          <w:color w:val="auto"/>
          <w:szCs w:val="24"/>
          <w:highlight w:val="none"/>
        </w:rPr>
        <w:t>6</w:t>
      </w:r>
      <w:r>
        <w:rPr>
          <w:rFonts w:hint="eastAsia" w:asciiTheme="minorEastAsia" w:hAnsiTheme="minorEastAsia" w:eastAsiaTheme="minorEastAsia" w:cstheme="minorEastAsia"/>
          <w:b/>
          <w:color w:val="auto"/>
          <w:szCs w:val="24"/>
          <w:highlight w:val="none"/>
        </w:rPr>
        <w:t>. 电子交易活动的中止。</w:t>
      </w:r>
      <w:r>
        <w:rPr>
          <w:rFonts w:hint="eastAsia" w:asciiTheme="minorEastAsia" w:hAnsiTheme="minorEastAsia" w:eastAsiaTheme="minorEastAsia" w:cstheme="minorEastAsia"/>
          <w:color w:val="auto"/>
          <w:highlight w:val="none"/>
        </w:rPr>
        <w:t>采购过程中出现以下情形，导致电子交易平台无法正常运行，或者无法保证电子交易的公平、公正和安全时，采购代理机构可中止电子交易活动：</w:t>
      </w:r>
    </w:p>
    <w:p>
      <w:pPr>
        <w:pStyle w:val="133"/>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26.1电子交易平台发生故障而无法登录访问的；</w:t>
      </w:r>
    </w:p>
    <w:p>
      <w:pPr>
        <w:pStyle w:val="133"/>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26.2电子交易平台应用或数据库出现错误，不能进行正常操作的；</w:t>
      </w:r>
    </w:p>
    <w:p>
      <w:pPr>
        <w:pStyle w:val="133"/>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26.3电子交易平台发现严重安全漏洞，有潜在泄密危险的；</w:t>
      </w:r>
    </w:p>
    <w:p>
      <w:pPr>
        <w:pStyle w:val="133"/>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26.4病毒发作导致不能进行正常操作的；</w:t>
      </w:r>
    </w:p>
    <w:p>
      <w:pPr>
        <w:pStyle w:val="133"/>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26.5其他无法保证电子交易的公平、公正和安全的情况。</w:t>
      </w:r>
    </w:p>
    <w:p>
      <w:pPr>
        <w:pStyle w:val="133"/>
        <w:snapToGrid w:val="0"/>
        <w:spacing w:before="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27.出现以上情形，不影响采购公平、公正性的，采购组织机构可以待上述情形消除后继续组织电子交易活动，也可以决定某些环节以纸质形式进行；影响或可能影响采购公平、公正性的，应当重新采购。</w:t>
      </w:r>
    </w:p>
    <w:bookmarkEnd w:id="30"/>
    <w:p>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8"/>
    <w:bookmarkEnd w:id="19"/>
    <w:p>
      <w:pPr>
        <w:spacing w:line="360" w:lineRule="auto"/>
        <w:jc w:val="center"/>
        <w:outlineLvl w:val="0"/>
        <w:rPr>
          <w:rFonts w:hint="eastAsia" w:asciiTheme="minorEastAsia" w:hAnsiTheme="minorEastAsia" w:eastAsiaTheme="minorEastAsia" w:cstheme="minorEastAsia"/>
          <w:b/>
          <w:color w:val="auto"/>
          <w:sz w:val="36"/>
          <w:szCs w:val="36"/>
          <w:highlight w:val="none"/>
        </w:rPr>
      </w:pPr>
      <w:bookmarkStart w:id="32" w:name="_Toc16032"/>
      <w:bookmarkStart w:id="33" w:name="第四部分"/>
      <w:r>
        <w:rPr>
          <w:rFonts w:hint="eastAsia" w:asciiTheme="minorEastAsia" w:hAnsiTheme="minorEastAsia" w:eastAsiaTheme="minorEastAsia" w:cstheme="minorEastAsia"/>
          <w:b/>
          <w:color w:val="auto"/>
          <w:sz w:val="36"/>
          <w:szCs w:val="36"/>
          <w:highlight w:val="none"/>
        </w:rPr>
        <w:t>第三部分采购需求</w:t>
      </w:r>
      <w:bookmarkEnd w:id="32"/>
    </w:p>
    <w:p>
      <w:pPr>
        <w:spacing w:line="360" w:lineRule="auto"/>
        <w:ind w:firstLine="455" w:firstLineChars="189"/>
        <w:rPr>
          <w:rFonts w:hint="eastAsia" w:asciiTheme="minorEastAsia" w:hAnsiTheme="minorEastAsia" w:eastAsiaTheme="minorEastAsia" w:cstheme="minorEastAsia"/>
          <w:b/>
          <w:color w:val="auto"/>
          <w:sz w:val="24"/>
          <w:highlight w:val="none"/>
        </w:rPr>
      </w:pPr>
      <w:bookmarkStart w:id="34" w:name="PO_TDCUS_ITEM_PB_REQ_FILE_1_1_0"/>
      <w:r>
        <w:rPr>
          <w:rFonts w:hint="eastAsia" w:asciiTheme="minorEastAsia" w:hAnsiTheme="minorEastAsia" w:eastAsiaTheme="minorEastAsia" w:cstheme="minorEastAsia"/>
          <w:b/>
          <w:color w:val="auto"/>
          <w:sz w:val="24"/>
          <w:highlight w:val="none"/>
        </w:rPr>
        <w:t>一、采购清单</w:t>
      </w:r>
    </w:p>
    <w:tbl>
      <w:tblPr>
        <w:tblStyle w:val="75"/>
        <w:tblW w:w="6953" w:type="dxa"/>
        <w:tblInd w:w="113" w:type="dxa"/>
        <w:tblLayout w:type="fixed"/>
        <w:tblCellMar>
          <w:top w:w="0" w:type="dxa"/>
          <w:left w:w="108" w:type="dxa"/>
          <w:bottom w:w="0" w:type="dxa"/>
          <w:right w:w="108" w:type="dxa"/>
        </w:tblCellMar>
      </w:tblPr>
      <w:tblGrid>
        <w:gridCol w:w="940"/>
        <w:gridCol w:w="3036"/>
        <w:gridCol w:w="851"/>
        <w:gridCol w:w="850"/>
        <w:gridCol w:w="1276"/>
      </w:tblGrid>
      <w:tr>
        <w:tblPrEx>
          <w:tblLayout w:type="fixed"/>
        </w:tblPrEx>
        <w:trPr>
          <w:trHeight w:val="520" w:hRule="atLeast"/>
        </w:trPr>
        <w:tc>
          <w:tcPr>
            <w:tcW w:w="940" w:type="dxa"/>
            <w:tcBorders>
              <w:top w:val="single" w:color="000000" w:sz="4" w:space="0"/>
              <w:left w:val="single" w:color="000000" w:sz="4" w:space="0"/>
              <w:bottom w:val="nil"/>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3036" w:type="dxa"/>
            <w:tcBorders>
              <w:top w:val="single" w:color="000000" w:sz="4" w:space="0"/>
              <w:left w:val="nil"/>
              <w:bottom w:val="nil"/>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设备名称</w:t>
            </w:r>
          </w:p>
        </w:tc>
        <w:tc>
          <w:tcPr>
            <w:tcW w:w="851" w:type="dxa"/>
            <w:tcBorders>
              <w:top w:val="single" w:color="000000" w:sz="4" w:space="0"/>
              <w:left w:val="nil"/>
              <w:bottom w:val="nil"/>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w:t>
            </w:r>
          </w:p>
        </w:tc>
        <w:tc>
          <w:tcPr>
            <w:tcW w:w="850" w:type="dxa"/>
            <w:tcBorders>
              <w:top w:val="single" w:color="000000" w:sz="4" w:space="0"/>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数量</w:t>
            </w:r>
          </w:p>
        </w:tc>
        <w:tc>
          <w:tcPr>
            <w:tcW w:w="1276" w:type="dxa"/>
            <w:tcBorders>
              <w:top w:val="single" w:color="000000" w:sz="4" w:space="0"/>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最高限价</w:t>
            </w:r>
          </w:p>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单价（元)</w:t>
            </w:r>
          </w:p>
        </w:tc>
      </w:tr>
      <w:tr>
        <w:tblPrEx>
          <w:tblLayout w:type="fixed"/>
          <w:tblCellMar>
            <w:top w:w="0" w:type="dxa"/>
            <w:left w:w="108" w:type="dxa"/>
            <w:bottom w:w="0" w:type="dxa"/>
            <w:right w:w="108" w:type="dxa"/>
          </w:tblCellMar>
        </w:tblPrEx>
        <w:trPr>
          <w:trHeight w:val="520" w:hRule="atLeast"/>
        </w:trPr>
        <w:tc>
          <w:tcPr>
            <w:tcW w:w="9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3036" w:type="dxa"/>
            <w:tcBorders>
              <w:top w:val="single" w:color="000000" w:sz="4" w:space="0"/>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核酸蛋白分析仪</w:t>
            </w:r>
          </w:p>
        </w:tc>
        <w:tc>
          <w:tcPr>
            <w:tcW w:w="851" w:type="dxa"/>
            <w:tcBorders>
              <w:top w:val="single" w:color="000000" w:sz="4" w:space="0"/>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台</w:t>
            </w:r>
          </w:p>
        </w:tc>
        <w:tc>
          <w:tcPr>
            <w:tcW w:w="850"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1276"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49000</w:t>
            </w:r>
          </w:p>
        </w:tc>
      </w:tr>
      <w:tr>
        <w:tblPrEx>
          <w:tblLayout w:type="fixed"/>
          <w:tblCellMar>
            <w:top w:w="0" w:type="dxa"/>
            <w:left w:w="108" w:type="dxa"/>
            <w:bottom w:w="0" w:type="dxa"/>
            <w:right w:w="108" w:type="dxa"/>
          </w:tblCellMar>
        </w:tblPrEx>
        <w:trPr>
          <w:trHeight w:val="520" w:hRule="atLeast"/>
        </w:trPr>
        <w:tc>
          <w:tcPr>
            <w:tcW w:w="940" w:type="dxa"/>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3036"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恒温混匀仪</w:t>
            </w:r>
          </w:p>
        </w:tc>
        <w:tc>
          <w:tcPr>
            <w:tcW w:w="851"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台</w:t>
            </w:r>
          </w:p>
        </w:tc>
        <w:tc>
          <w:tcPr>
            <w:tcW w:w="850"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1276"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7000</w:t>
            </w:r>
          </w:p>
        </w:tc>
      </w:tr>
      <w:tr>
        <w:tblPrEx>
          <w:tblLayout w:type="fixed"/>
          <w:tblCellMar>
            <w:top w:w="0" w:type="dxa"/>
            <w:left w:w="108" w:type="dxa"/>
            <w:bottom w:w="0" w:type="dxa"/>
            <w:right w:w="108" w:type="dxa"/>
          </w:tblCellMar>
        </w:tblPrEx>
        <w:trPr>
          <w:trHeight w:val="520" w:hRule="atLeast"/>
        </w:trPr>
        <w:tc>
          <w:tcPr>
            <w:tcW w:w="940" w:type="dxa"/>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3036"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离心机</w:t>
            </w:r>
          </w:p>
        </w:tc>
        <w:tc>
          <w:tcPr>
            <w:tcW w:w="851"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台</w:t>
            </w:r>
          </w:p>
        </w:tc>
        <w:tc>
          <w:tcPr>
            <w:tcW w:w="850"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1276"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19800</w:t>
            </w:r>
          </w:p>
        </w:tc>
      </w:tr>
      <w:tr>
        <w:tblPrEx>
          <w:tblLayout w:type="fixed"/>
          <w:tblCellMar>
            <w:top w:w="0" w:type="dxa"/>
            <w:left w:w="108" w:type="dxa"/>
            <w:bottom w:w="0" w:type="dxa"/>
            <w:right w:w="108" w:type="dxa"/>
          </w:tblCellMar>
        </w:tblPrEx>
        <w:trPr>
          <w:trHeight w:val="520" w:hRule="atLeast"/>
        </w:trPr>
        <w:tc>
          <w:tcPr>
            <w:tcW w:w="940" w:type="dxa"/>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3036"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WB转模系统</w:t>
            </w:r>
          </w:p>
        </w:tc>
        <w:tc>
          <w:tcPr>
            <w:tcW w:w="851"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套</w:t>
            </w:r>
          </w:p>
        </w:tc>
        <w:tc>
          <w:tcPr>
            <w:tcW w:w="850"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1276"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23500</w:t>
            </w:r>
          </w:p>
        </w:tc>
      </w:tr>
      <w:tr>
        <w:tblPrEx>
          <w:tblLayout w:type="fixed"/>
          <w:tblCellMar>
            <w:top w:w="0" w:type="dxa"/>
            <w:left w:w="108" w:type="dxa"/>
            <w:bottom w:w="0" w:type="dxa"/>
            <w:right w:w="108" w:type="dxa"/>
          </w:tblCellMar>
        </w:tblPrEx>
        <w:trPr>
          <w:trHeight w:val="520" w:hRule="atLeast"/>
        </w:trPr>
        <w:tc>
          <w:tcPr>
            <w:tcW w:w="940" w:type="dxa"/>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p>
        </w:tc>
        <w:tc>
          <w:tcPr>
            <w:tcW w:w="3036"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化学发光显色系统</w:t>
            </w:r>
          </w:p>
        </w:tc>
        <w:tc>
          <w:tcPr>
            <w:tcW w:w="851"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套</w:t>
            </w:r>
          </w:p>
        </w:tc>
        <w:tc>
          <w:tcPr>
            <w:tcW w:w="850"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1276"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193300</w:t>
            </w:r>
          </w:p>
        </w:tc>
      </w:tr>
      <w:tr>
        <w:tblPrEx>
          <w:tblLayout w:type="fixed"/>
          <w:tblCellMar>
            <w:top w:w="0" w:type="dxa"/>
            <w:left w:w="108" w:type="dxa"/>
            <w:bottom w:w="0" w:type="dxa"/>
            <w:right w:w="108" w:type="dxa"/>
          </w:tblCellMar>
        </w:tblPrEx>
        <w:trPr>
          <w:trHeight w:val="520" w:hRule="atLeast"/>
        </w:trPr>
        <w:tc>
          <w:tcPr>
            <w:tcW w:w="940" w:type="dxa"/>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p>
        </w:tc>
        <w:tc>
          <w:tcPr>
            <w:tcW w:w="3036"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单人双面工作台</w:t>
            </w:r>
          </w:p>
        </w:tc>
        <w:tc>
          <w:tcPr>
            <w:tcW w:w="851"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台</w:t>
            </w:r>
          </w:p>
        </w:tc>
        <w:tc>
          <w:tcPr>
            <w:tcW w:w="850"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w:t>
            </w:r>
          </w:p>
        </w:tc>
        <w:tc>
          <w:tcPr>
            <w:tcW w:w="1276"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7700</w:t>
            </w:r>
          </w:p>
        </w:tc>
      </w:tr>
      <w:tr>
        <w:tblPrEx>
          <w:tblLayout w:type="fixed"/>
          <w:tblCellMar>
            <w:top w:w="0" w:type="dxa"/>
            <w:left w:w="108" w:type="dxa"/>
            <w:bottom w:w="0" w:type="dxa"/>
            <w:right w:w="108" w:type="dxa"/>
          </w:tblCellMar>
        </w:tblPrEx>
        <w:trPr>
          <w:trHeight w:val="520" w:hRule="atLeast"/>
        </w:trPr>
        <w:tc>
          <w:tcPr>
            <w:tcW w:w="940" w:type="dxa"/>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w:t>
            </w:r>
          </w:p>
        </w:tc>
        <w:tc>
          <w:tcPr>
            <w:tcW w:w="3036"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体式显微镜</w:t>
            </w:r>
          </w:p>
        </w:tc>
        <w:tc>
          <w:tcPr>
            <w:tcW w:w="851"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套</w:t>
            </w:r>
          </w:p>
        </w:tc>
        <w:tc>
          <w:tcPr>
            <w:tcW w:w="850"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1276"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18500</w:t>
            </w:r>
          </w:p>
        </w:tc>
      </w:tr>
      <w:tr>
        <w:tblPrEx>
          <w:tblLayout w:type="fixed"/>
          <w:tblCellMar>
            <w:top w:w="0" w:type="dxa"/>
            <w:left w:w="108" w:type="dxa"/>
            <w:bottom w:w="0" w:type="dxa"/>
            <w:right w:w="108" w:type="dxa"/>
          </w:tblCellMar>
        </w:tblPrEx>
        <w:trPr>
          <w:trHeight w:val="520" w:hRule="atLeast"/>
        </w:trPr>
        <w:tc>
          <w:tcPr>
            <w:tcW w:w="940" w:type="dxa"/>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w:t>
            </w:r>
          </w:p>
        </w:tc>
        <w:tc>
          <w:tcPr>
            <w:tcW w:w="3036"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浊度仪</w:t>
            </w:r>
          </w:p>
        </w:tc>
        <w:tc>
          <w:tcPr>
            <w:tcW w:w="851"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台</w:t>
            </w:r>
          </w:p>
        </w:tc>
        <w:tc>
          <w:tcPr>
            <w:tcW w:w="850"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1276"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6500</w:t>
            </w:r>
          </w:p>
        </w:tc>
      </w:tr>
      <w:tr>
        <w:tblPrEx>
          <w:tblLayout w:type="fixed"/>
          <w:tblCellMar>
            <w:top w:w="0" w:type="dxa"/>
            <w:left w:w="108" w:type="dxa"/>
            <w:bottom w:w="0" w:type="dxa"/>
            <w:right w:w="108" w:type="dxa"/>
          </w:tblCellMar>
        </w:tblPrEx>
        <w:trPr>
          <w:trHeight w:val="520" w:hRule="atLeast"/>
        </w:trPr>
        <w:tc>
          <w:tcPr>
            <w:tcW w:w="940" w:type="dxa"/>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w:t>
            </w:r>
          </w:p>
        </w:tc>
        <w:tc>
          <w:tcPr>
            <w:tcW w:w="3036"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超低温冰箱</w:t>
            </w:r>
          </w:p>
        </w:tc>
        <w:tc>
          <w:tcPr>
            <w:tcW w:w="851"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台</w:t>
            </w:r>
          </w:p>
        </w:tc>
        <w:tc>
          <w:tcPr>
            <w:tcW w:w="850"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1276"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50000</w:t>
            </w:r>
          </w:p>
        </w:tc>
      </w:tr>
      <w:tr>
        <w:tblPrEx>
          <w:tblLayout w:type="fixed"/>
          <w:tblCellMar>
            <w:top w:w="0" w:type="dxa"/>
            <w:left w:w="108" w:type="dxa"/>
            <w:bottom w:w="0" w:type="dxa"/>
            <w:right w:w="108" w:type="dxa"/>
          </w:tblCellMar>
        </w:tblPrEx>
        <w:trPr>
          <w:trHeight w:val="520" w:hRule="atLeast"/>
        </w:trPr>
        <w:tc>
          <w:tcPr>
            <w:tcW w:w="940" w:type="dxa"/>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w:t>
            </w:r>
          </w:p>
        </w:tc>
        <w:tc>
          <w:tcPr>
            <w:tcW w:w="3036"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生物安全柜</w:t>
            </w:r>
          </w:p>
        </w:tc>
        <w:tc>
          <w:tcPr>
            <w:tcW w:w="851"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台</w:t>
            </w:r>
          </w:p>
        </w:tc>
        <w:tc>
          <w:tcPr>
            <w:tcW w:w="850"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1276"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40000</w:t>
            </w:r>
          </w:p>
        </w:tc>
      </w:tr>
      <w:tr>
        <w:tblPrEx>
          <w:tblLayout w:type="fixed"/>
          <w:tblCellMar>
            <w:top w:w="0" w:type="dxa"/>
            <w:left w:w="108" w:type="dxa"/>
            <w:bottom w:w="0" w:type="dxa"/>
            <w:right w:w="108" w:type="dxa"/>
          </w:tblCellMar>
        </w:tblPrEx>
        <w:trPr>
          <w:trHeight w:val="520" w:hRule="atLeast"/>
        </w:trPr>
        <w:tc>
          <w:tcPr>
            <w:tcW w:w="940" w:type="dxa"/>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w:t>
            </w:r>
          </w:p>
        </w:tc>
        <w:tc>
          <w:tcPr>
            <w:tcW w:w="3036"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万向抽气罩（包含安装费）</w:t>
            </w:r>
          </w:p>
        </w:tc>
        <w:tc>
          <w:tcPr>
            <w:tcW w:w="851"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台</w:t>
            </w:r>
          </w:p>
        </w:tc>
        <w:tc>
          <w:tcPr>
            <w:tcW w:w="850"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p>
        </w:tc>
        <w:tc>
          <w:tcPr>
            <w:tcW w:w="1276"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1200</w:t>
            </w:r>
          </w:p>
        </w:tc>
      </w:tr>
      <w:tr>
        <w:tblPrEx>
          <w:tblLayout w:type="fixed"/>
          <w:tblCellMar>
            <w:top w:w="0" w:type="dxa"/>
            <w:left w:w="108" w:type="dxa"/>
            <w:bottom w:w="0" w:type="dxa"/>
            <w:right w:w="108" w:type="dxa"/>
          </w:tblCellMar>
        </w:tblPrEx>
        <w:trPr>
          <w:trHeight w:val="520" w:hRule="atLeast"/>
        </w:trPr>
        <w:tc>
          <w:tcPr>
            <w:tcW w:w="940" w:type="dxa"/>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w:t>
            </w:r>
          </w:p>
        </w:tc>
        <w:tc>
          <w:tcPr>
            <w:tcW w:w="3036"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磁力搅拌器</w:t>
            </w:r>
          </w:p>
        </w:tc>
        <w:tc>
          <w:tcPr>
            <w:tcW w:w="851"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台</w:t>
            </w:r>
          </w:p>
        </w:tc>
        <w:tc>
          <w:tcPr>
            <w:tcW w:w="850"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1276"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1700</w:t>
            </w:r>
          </w:p>
        </w:tc>
      </w:tr>
      <w:tr>
        <w:tblPrEx>
          <w:tblLayout w:type="fixed"/>
          <w:tblCellMar>
            <w:top w:w="0" w:type="dxa"/>
            <w:left w:w="108" w:type="dxa"/>
            <w:bottom w:w="0" w:type="dxa"/>
            <w:right w:w="108" w:type="dxa"/>
          </w:tblCellMar>
        </w:tblPrEx>
        <w:trPr>
          <w:trHeight w:val="520" w:hRule="atLeast"/>
        </w:trPr>
        <w:tc>
          <w:tcPr>
            <w:tcW w:w="940" w:type="dxa"/>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w:t>
            </w:r>
          </w:p>
        </w:tc>
        <w:tc>
          <w:tcPr>
            <w:tcW w:w="3036"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水平脱色摇床</w:t>
            </w:r>
          </w:p>
        </w:tc>
        <w:tc>
          <w:tcPr>
            <w:tcW w:w="851"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台</w:t>
            </w:r>
          </w:p>
        </w:tc>
        <w:tc>
          <w:tcPr>
            <w:tcW w:w="850"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1276"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1800</w:t>
            </w:r>
          </w:p>
        </w:tc>
      </w:tr>
      <w:tr>
        <w:tblPrEx>
          <w:tblLayout w:type="fixed"/>
          <w:tblCellMar>
            <w:top w:w="0" w:type="dxa"/>
            <w:left w:w="108" w:type="dxa"/>
            <w:bottom w:w="0" w:type="dxa"/>
            <w:right w:w="108" w:type="dxa"/>
          </w:tblCellMar>
        </w:tblPrEx>
        <w:trPr>
          <w:trHeight w:val="520" w:hRule="atLeast"/>
        </w:trPr>
        <w:tc>
          <w:tcPr>
            <w:tcW w:w="940" w:type="dxa"/>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w:t>
            </w:r>
          </w:p>
        </w:tc>
        <w:tc>
          <w:tcPr>
            <w:tcW w:w="3036"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pH计</w:t>
            </w:r>
          </w:p>
        </w:tc>
        <w:tc>
          <w:tcPr>
            <w:tcW w:w="851"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台</w:t>
            </w:r>
          </w:p>
        </w:tc>
        <w:tc>
          <w:tcPr>
            <w:tcW w:w="850"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1276"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1800</w:t>
            </w:r>
          </w:p>
        </w:tc>
      </w:tr>
      <w:tr>
        <w:tblPrEx>
          <w:tblLayout w:type="fixed"/>
          <w:tblCellMar>
            <w:top w:w="0" w:type="dxa"/>
            <w:left w:w="108" w:type="dxa"/>
            <w:bottom w:w="0" w:type="dxa"/>
            <w:right w:w="108" w:type="dxa"/>
          </w:tblCellMar>
        </w:tblPrEx>
        <w:trPr>
          <w:trHeight w:val="520" w:hRule="atLeast"/>
        </w:trPr>
        <w:tc>
          <w:tcPr>
            <w:tcW w:w="940" w:type="dxa"/>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w:t>
            </w:r>
          </w:p>
        </w:tc>
        <w:tc>
          <w:tcPr>
            <w:tcW w:w="3036"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光照培养箱</w:t>
            </w:r>
          </w:p>
        </w:tc>
        <w:tc>
          <w:tcPr>
            <w:tcW w:w="851"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台</w:t>
            </w:r>
          </w:p>
        </w:tc>
        <w:tc>
          <w:tcPr>
            <w:tcW w:w="850"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1276"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16500</w:t>
            </w:r>
          </w:p>
        </w:tc>
      </w:tr>
      <w:tr>
        <w:tblPrEx>
          <w:tblLayout w:type="fixed"/>
          <w:tblCellMar>
            <w:top w:w="0" w:type="dxa"/>
            <w:left w:w="108" w:type="dxa"/>
            <w:bottom w:w="0" w:type="dxa"/>
            <w:right w:w="108" w:type="dxa"/>
          </w:tblCellMar>
        </w:tblPrEx>
        <w:trPr>
          <w:trHeight w:val="520" w:hRule="atLeast"/>
        </w:trPr>
        <w:tc>
          <w:tcPr>
            <w:tcW w:w="940" w:type="dxa"/>
            <w:tcBorders>
              <w:top w:val="nil"/>
              <w:left w:val="single" w:color="000000" w:sz="4" w:space="0"/>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w:t>
            </w:r>
          </w:p>
        </w:tc>
        <w:tc>
          <w:tcPr>
            <w:tcW w:w="3036"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高速冷冻离心机</w:t>
            </w:r>
          </w:p>
        </w:tc>
        <w:tc>
          <w:tcPr>
            <w:tcW w:w="851"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台</w:t>
            </w:r>
          </w:p>
        </w:tc>
        <w:tc>
          <w:tcPr>
            <w:tcW w:w="850"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1276" w:type="dxa"/>
            <w:tcBorders>
              <w:top w:val="nil"/>
              <w:left w:val="nil"/>
              <w:bottom w:val="single" w:color="000000"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21900</w:t>
            </w:r>
          </w:p>
        </w:tc>
      </w:tr>
      <w:tr>
        <w:tblPrEx>
          <w:tblLayout w:type="fixed"/>
          <w:tblCellMar>
            <w:top w:w="0" w:type="dxa"/>
            <w:left w:w="108" w:type="dxa"/>
            <w:bottom w:w="0" w:type="dxa"/>
            <w:right w:w="108" w:type="dxa"/>
          </w:tblCellMar>
        </w:tblPrEx>
        <w:trPr>
          <w:trHeight w:val="520" w:hRule="atLeast"/>
        </w:trPr>
        <w:tc>
          <w:tcPr>
            <w:tcW w:w="940" w:type="dxa"/>
            <w:tcBorders>
              <w:top w:val="nil"/>
              <w:left w:val="single" w:color="000000" w:sz="4" w:space="0"/>
              <w:bottom w:val="single" w:color="auto"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w:t>
            </w:r>
          </w:p>
        </w:tc>
        <w:tc>
          <w:tcPr>
            <w:tcW w:w="3036" w:type="dxa"/>
            <w:tcBorders>
              <w:top w:val="nil"/>
              <w:left w:val="nil"/>
              <w:bottom w:val="single" w:color="auto"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8通道排枪</w:t>
            </w:r>
          </w:p>
        </w:tc>
        <w:tc>
          <w:tcPr>
            <w:tcW w:w="851" w:type="dxa"/>
            <w:tcBorders>
              <w:top w:val="nil"/>
              <w:left w:val="nil"/>
              <w:bottom w:val="single" w:color="auto"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个</w:t>
            </w:r>
          </w:p>
        </w:tc>
        <w:tc>
          <w:tcPr>
            <w:tcW w:w="850" w:type="dxa"/>
            <w:tcBorders>
              <w:top w:val="nil"/>
              <w:left w:val="nil"/>
              <w:bottom w:val="single" w:color="auto"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1276" w:type="dxa"/>
            <w:tcBorders>
              <w:top w:val="nil"/>
              <w:left w:val="nil"/>
              <w:bottom w:val="single" w:color="auto" w:sz="4" w:space="0"/>
              <w:right w:val="single" w:color="000000" w:sz="4" w:space="0"/>
            </w:tcBorders>
            <w:shd w:val="clear" w:color="000000" w:fill="FFFFFF"/>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1000</w:t>
            </w:r>
          </w:p>
        </w:tc>
      </w:tr>
    </w:tbl>
    <w:p>
      <w:pPr>
        <w:spacing w:line="360" w:lineRule="auto"/>
        <w:ind w:firstLine="455" w:firstLineChars="189"/>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二、技术参数</w:t>
      </w:r>
    </w:p>
    <w:bookmarkEnd w:id="34"/>
    <w:tbl>
      <w:tblPr>
        <w:tblStyle w:val="75"/>
        <w:tblW w:w="9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核酸蛋白分析仪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846"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≥10.1寸电容触摸屏，配备优化设计的APP软件，采用安卓系统，界面简洁大方，使用简单。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最小样本量：0.5-2.0ul的微量样品即可进行纯度与浓度测量，样品可回收。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b/>
                <w:bCs/>
                <w:color w:val="auto"/>
                <w:highlight w:val="none"/>
              </w:rPr>
              <w:t>3</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光程：≥5个光程1mm、0.5mm、0.1mm、0.05mm、0.02mm 自动切换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波长范围：185-910nm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波长精度：1nm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波长分辨率：≤1nm（FWHM 在 Hg 253.7nm）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846"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核酸检测范围：10-38880ng/ul(dsDNA) ，蛋白检测范围：0.06 -1100mg/ml（BSA）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846"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支持可选择自动空白或自动样品，投标文件中提供软件界面截图佐证或者实物照片证明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吸光度分辨精度：0.001Abs（1mm 光程）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测量时间：&lt; 5 秒/样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标配比色皿模式（OD600测量）：0~4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846"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检测器：3648像素线性CCD阵列，仪器内置传感器，在检测前对样品形成的液柱进行探测，保证样品无气泡，保证样品检测的可靠性。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846"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多种检测模式。核酸检测（A260），蛋白检测（A280），比色法，全波长扫描，OD600（菌体细胞密度）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光源：采用优质氙气闪光灯，寿命≥10年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846"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机器预留空白位置，方便随时升级≥6800mA移动便携锂电池和荧光检测：激发波长460 nm,发射波长525 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内置热敏打印机，支持及时打印检测结果。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846"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实时数据备份，内置各种分析模板，一键生成相应数据，可以使用USB闪存作为数据传输媒介，可将检测结果导入个人电脑中进行分析，每测一次样品机器自动保存检测结果；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18</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中英文界面切换，满足客户的使用习惯，同一次实验中可随时进行模块切换；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19</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配置：超微量核酸蛋白分析仪主机 1台、U盘一个、比色皿 一对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二</w:t>
            </w:r>
          </w:p>
        </w:tc>
        <w:tc>
          <w:tcPr>
            <w:tcW w:w="8719" w:type="dxa"/>
            <w:shd w:val="clear" w:color="000000" w:fill="FFFFFF"/>
          </w:tcPr>
          <w:p>
            <w:pPr>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恒温混匀仪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功能定位：整合混匀、振荡、温度控制功能，支持加热孵育、催化等实验场景，适配多种模块。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转速范围：200~1800rpm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振幅：3mm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控温范围：室温+5℃~100℃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温度设定范围：5℃~100℃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模块温度稳定性：±0.3℃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模块温度均匀性：±0.3℃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温度显示精度：0.1℃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升温速度：≤15min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模块配置：标配1.5ml×35孔位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定时范围：1min~99小时59min或点动模式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电源兼容性：AC220V/AC110V，50/60Hz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具有九段可编程功能，也可设定为不定时连续运转；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内置温度偏差校准功能，自动故障检测及蜂鸣器报警功能；全息背投显示；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18</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保温功能：达到设定温度后可持续保温,持续时间不变。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19</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安全保护：内置超温保护装置，防止温度异常，延长设备寿命。程序设置：支持九段可编程功能，可自定义多阶段混匀+控温流程；具备不定时连续运转模式。操作体验：设计紧凑严密，占用空间小，操作简单便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20</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配置：主机一台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三</w:t>
            </w:r>
          </w:p>
        </w:tc>
        <w:tc>
          <w:tcPr>
            <w:tcW w:w="8719" w:type="dxa"/>
            <w:shd w:val="clear" w:color="000000" w:fill="FFFFFF"/>
          </w:tcPr>
          <w:p>
            <w:pPr>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离心机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转速/离心力：最高15000rpm，最大21380×g，步长为100rpm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容量：1.5ml×24孔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温控：-20℃～40℃，室温降至4℃≤7分钟，静态制冷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程序：存储9个程序，定时30秒-99分钟/HOLD模式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转子：铝合金材质，121℃消毒，5种可选，三层密封生物安全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操作：单手锁门，结束提示，9档升降速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安全：双门锁，超速/过温/不平衡报警。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性能：动平衡检测，缓刹降速，转子自动识别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配置：离心机主机一台、 转子（1.5ml×24孔）一个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四</w:t>
            </w:r>
          </w:p>
        </w:tc>
        <w:tc>
          <w:tcPr>
            <w:tcW w:w="8719" w:type="dxa"/>
            <w:shd w:val="clear" w:color="auto" w:fill="auto"/>
          </w:tcPr>
          <w:p>
            <w:pPr>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WB转模系统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b/>
                <w:bCs/>
                <w:color w:val="auto"/>
                <w:highlight w:val="none"/>
              </w:rPr>
              <w:t>）</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垂直电泳槽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4.1</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可容纳1-4块手灌胶或预制胶，1小时内完成多达4块小型凝胶电泳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▲4.2</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灌胶框底部独有超平玻璃支撑，有效避免了玻璃板滑落；按压锁紧方式，达到了极佳的紧固效果；整板反衬设计，清晰衬托出了分离胶、浓缩胶的灌制过程。投标文件中提供证明文件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楔型电泳芯边卡可平行滑动，使短玻璃有效挤住密封台阶，避免了旋转式边卡抬升不到位而漏液现象，投标文件中提供证明文件。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制胶底座按压锁紧不用弹簧，避免了弹簧压力不够或老化造成的漏胶。投标文件中提供证明文件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4.5</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封边隔条粘固在长玻璃板上，保证玻璃板精确对齐，避免漏胶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4.6</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凸轮制胶框确保精确对齐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4.7</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标配4个独立制胶底座，方便在狭窄实验台上灵活放置，可同时灌制4块胶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4.8</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带边齿的梳子和内置脊使凝胶与空气隔绝，避免抑制凝胶聚合反应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4.9</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标有厚度和孔数的玻璃板和梳子，便于识别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4.1</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封边隔条使得玻璃板加厚，不宜破碎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4.11</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可配免染胶预混液1瓶，免除了蛋白电泳脱色染色的繁琐过程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4.12</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配100孔各种孔径多用途离心管架1个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4.13</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配可放置14片玻璃的玻璃板支架1个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4.14</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凝胶数量：1-4块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4.15</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凝胶厚度：1.0mm（标配）；0.75mm、1.5mm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4.16</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预 制 胶：兼容PIERCE,BIO-RAD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4.17</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玻璃板尺寸：≥100×83mm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4.18</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凝胶尺寸：≥83×73mm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4.19</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梳子规格：1.0mm厚,10、15齿（标配）；0.75mm10、15齿；1.5mm10、15齿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4.2</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铂金电极：φ0.25mm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转印槽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4.2.1</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可快速高质地将蛋白样品转移到硝酸纤维膜、PVDF膜等介质上，可同时放置两个转印夹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4.2.2</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支持高电流快速转印或低电流过夜转印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4.2.3</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置2个冷冻模块，可快速轮换吸收缓冲液热量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4.2.4</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转印尺寸：110*90mm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4.2.5</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转印数量：1-2块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4.2.6</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铂金电极：φ0.25mm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多功能电泳仪电源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4.3.1</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输出类型：恒压、恒流、恒功率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4.3.2</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透明仪器外壳，一览内部结构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▲4.3.3</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蛋白功能：浓缩胶后电源自动衔接分离胶，降低了人工重新设置的繁琐；投标文件中提供证明文件。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▲4.3.4</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温度控制功能：实时监测电泳温度，超过设定温度后自动降温，确保缓冲液不过热，投标文件中提供证明文件。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▲4.3.5</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自动升成功能：选定恒定值后，其余两项指标自动升成，避免了人为操作的误恒定现象，投标文件中提供证明文件。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▲4.3.6</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微电流功能：电泳结束后自动进入微电流，避免了定时关机的样品扩散，又防止了样品跑过头，投标文件中提供证明文件。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4.3.7</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安全性能：过压、电弧、空载和荷载突变监测；过载/短路监测；漏电保护；开路报警，断电自动恢复，暂停/恢复功能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4.3.8</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液晶屏同时显示电压、电流、功率、定时时间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4.3.9</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四组并联，可同时带多个电泳槽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4.3.10</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可编程存储10种方法，每种方法最多包含2个步骤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4.3.11</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输出范围：电压:5-600V；电流:1-1200mA；功率:1-500w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4.3.12</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分 辨 率：电压1V、电流1mA、功率1w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4.3.13</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定时范围：1min–99h59min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配置：垂直电泳槽2套、转印槽2套、电泳仪电源2台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五</w:t>
            </w:r>
          </w:p>
        </w:tc>
        <w:tc>
          <w:tcPr>
            <w:tcW w:w="8719" w:type="dxa"/>
            <w:shd w:val="clear" w:color="000000" w:fill="FFFFFF"/>
          </w:tcPr>
          <w:p>
            <w:pPr>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化学发光显色系统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应用范围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核酸、蛋白样品检测：适用于DNA、RNA、蛋白等凝胶成像；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免染成像技术：实现蛋白胶免染成像，无需进行考马斯亮蓝染色即可快速检测蛋白电泳效果；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化学发光检测：Western blot、Southern blot、Northern blot、Dot blot等发光实验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多色荧光检测：可实现多通道荧光检测：AMCA/Alexa Fluor350/DyLight350、cy2/ Alexa Fluor488/ DyLight488、cy3/ Alexa Fluor555/ DyLight550、 cy5/ Alexa Fluor647/ DyLight649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其他应用：各种杂交膜，蛋白转印膜，培养皿菌落计数，酶标板，点杂交，蛋白芯片，电化学，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需提供至少4份该投标品牌及型号引用的相关SCI高分文献支持（文献中包括拍摄植物样本及小鼠样本的文献），文献中无引用该投标品牌及型号的属于不满足该条参数。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全自动控制一体式机箱：双层PC/ABS材质暗箱，电脑实现全自动控制，实现完全密闭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导轨式双位载物样品平台，兼容拍摄样品厚度0.01-10cm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拍摄面积：约等于20cm×20cm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2.4</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外围尺寸：约等于45×76×40cm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电源：220V/50HZ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bookmarkStart w:id="35" w:name="RANGE!A108"/>
            <w:r>
              <w:rPr>
                <w:rFonts w:hint="eastAsia" w:asciiTheme="minorEastAsia" w:hAnsiTheme="minorEastAsia" w:eastAsiaTheme="minorEastAsia" w:cstheme="minorEastAsia"/>
                <w:color w:val="auto"/>
                <w:highlight w:val="none"/>
              </w:rPr>
              <w:t>2.6</w:t>
            </w:r>
            <w:bookmarkEnd w:id="35"/>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高灵敏度制冷CCD相机：科研级深度制冷CCD相机，投标文件中提供CCD制造商证明文件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2.7</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CCD芯片： ICX 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制冷方式：三级-半导体热电式TEC制冷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制冷温度：相对制冷温度-65℃，绝对温度-30℃，不随环境变化而变化，投标文件中提供关于该CCD彩页说明文件（并非整体设备彩页，设备的核心部件CCD彩页材料）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lang w:val="de-DE"/>
              </w:rPr>
            </w:pPr>
            <w:r>
              <w:rPr>
                <w:rFonts w:hint="eastAsia" w:asciiTheme="minorEastAsia" w:hAnsiTheme="minorEastAsia" w:eastAsiaTheme="minorEastAsia" w:cstheme="minorEastAsia"/>
                <w:color w:val="auto"/>
                <w:highlight w:val="none"/>
              </w:rPr>
              <w:t>像元尺寸</w:t>
            </w:r>
            <w:r>
              <w:rPr>
                <w:rFonts w:hint="eastAsia" w:asciiTheme="minorEastAsia" w:hAnsiTheme="minorEastAsia" w:eastAsiaTheme="minorEastAsia" w:cstheme="minorEastAsia"/>
                <w:color w:val="auto"/>
                <w:highlight w:val="none"/>
                <w:lang w:val="de-DE"/>
              </w:rPr>
              <w:t>：4.54um×4.54um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2.11</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CCD阵列：2688×2200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▲2.12</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图像分辨率：300/600/1200DPI，可满足文章发表要求，投标文件中提供软件保存3种DPI选择界面截图证明。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2.13</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像素合并：1×1，2×2，4×4（可兼容6×6，8×8，12×12，16×16，24×24）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2.14</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感光效率：≥75% @600nm，可检测低于阿克级蛋白样品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2.15</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暗电流：≤0.00015e-/p/s @-30℃，图像背景噪音降低了一个数量级，大大提高图像清晰度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2.16</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读出噪声：4e-RMS@650KHz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2.17</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线性范围：16 bit（0-65535灰阶）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▲2.18</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内置信号分离与迁移系统，一次性最高可对136组信号进行分析处理，该应用模块须采用多点加固方式，保证分辨均匀性；需要提供实物照片。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▲2.19</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专业散热结构，内置多组对称式散热窗口，内层与外层形成冷却循环，有效抑制热量产生，需要提供实物照片。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2.20</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数据传输：USB3.0图像传输线及专业级串口控制线，保证数据传输及控制更加稳定可控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2.21</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高清晰大口径高通透电动镜头，光圈值F/0.8-48mm，投标文件中需提供该镜头证明材料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2.22</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LED反射灯×2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2.23</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双侧高强度无影红/绿/蓝三通道荧光激发光源，可进行多色荧光检测，每一个荧光通道装备了两组激发光源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2.24</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紫外透射光源302nm，自动定时关闭，开门自动关闭紫外，防止紫外线泄露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2.25</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全自动5位滤光片轮，一键式切换，自动拍摄出图，快速获取图像，方便各种实验操作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2.26</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多种滤光片：590nm滤光片，标配535nm滤光片/605nm滤光片/699nm滤光片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2.27</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GIS 1D图像采集及分析软件，可实现拍摄、灰度分析等功能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2.28</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实现图像采集、灰度分析、Marker叠加等功能独立操作，方便拍照及分析同时进行，互不干扰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2.29</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具有图像旋转、裁剪、反色等处理功能，进行图像优化处理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自动识别泳道条带、自动计算泳道中各条带的密度积分和峰值、计算分子量大小及条带的迁移率，可进行蛋白纯度及等电点分析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2.31</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分析数据能输出至Excel及TXT文件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▲2.32</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软件可对不同荧光标记的信号进行彩色合并与三种窗口排列方式，投标文件中提供软件截屏演示截图证明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▲2.33</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具备光密度分析功能，提供归一化分析处理数据，蛋白免疫印迹更加具有可定量性，蛋白免疫印迹上信号的差异真实反映样品之间的蛋白表达差异，投标文件中提供软件截屏演示截图证明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配置：</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t>1.科研级深度制冷CCD</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t>2.专业级电动变焦镜头</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t>3.暗箱装置</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t>4.超多层镀膜专用滤色镜片</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t>5.LED白光灯（冷灯）</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t>6.紫外透射仪： 波长302nm，紫外透射面积 20×20cm</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t>7.紫外/白光转换板：冷光，白光透射面积 21×22cm</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t>8.5位电脑控制自动滤光片轮</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t>9.RGB荧光激发光源</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t>10.AllDoc_x 图像拍摄软件</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t>11.Image图像分析软件</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t>12.安装U盘</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rPr>
              <w:t>13.加密锁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六</w:t>
            </w:r>
          </w:p>
        </w:tc>
        <w:tc>
          <w:tcPr>
            <w:tcW w:w="8719" w:type="dxa"/>
            <w:shd w:val="clear" w:color="000000" w:fill="FFFFFF"/>
          </w:tcPr>
          <w:p>
            <w:pPr>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单人双面工作台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气流形式： 垂直层流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内部有效尺寸(宽×深×高)：≥ 870mm×690mm×520mm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装置外形尺寸(宽×深×高)： ≥1010mm×750mm×1600mm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过滤技术：采用HEPA Filter；过滤效率99.995%（≥ 0.3μm颗粒）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洁净等级：ISO 5级（美联邦209E 100级）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噪音：≤62dB(A)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平均风速：≥0.3m/s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照度：≥300Lux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最大功耗1.5KVA(含备用插座)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荧光灯/紫外灯规格及数量 ：14W×①/8W×①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结构：优质不锈钢工作台面。操作面板为安全钢化玻璃移门≥5 mm厚度，采用进口技术悬挂系统，控制位置上下任意可调，升降自如、定位准确、无故障、免维护，并能完全关闭以便灭菌。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紫外线杀菌灯，消除微生物污染隐患，安全开关设计，当荧光灯关闭时，紫外灯才能运行。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箱体采用宝钢优质冷轧钢板，表面电泳喷涂处理。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电源：备用插座设计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配置：带荧光灯、紫外灯。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微电脑控制，轻触型开关按键操作。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配备四个万向脚轮可轻松移动，刹车装置可使设备避免移动。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18</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风机系统：可变风量风机机组，可根据需要调节工作区送风风速。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19</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适用人数：单人双面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20</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配置：主机一台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七</w:t>
            </w:r>
          </w:p>
        </w:tc>
        <w:tc>
          <w:tcPr>
            <w:tcW w:w="8719" w:type="dxa"/>
            <w:shd w:val="clear" w:color="000000" w:fill="FFFFFF"/>
          </w:tcPr>
          <w:p>
            <w:pPr>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体式显微镜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光学系统：格里诺型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光学、结构设计：顶尖的光学、结构设计左右光路全瞳距无像倾斜，长时间观察无眩晕感。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变倍比：1:6.8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放大倍数：6.8X-47X（基本配置）,增配2X物镜放大倍率：13.6X-94X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物镜变倍范围：0.68-4.7X，左右变倍手轮带限位装置,操作者可根据需要，自我选择并限制镜体变倍范围。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目镜：10X/23mm,双目视度可调。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双目瞳距：50-75mm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工作距离：110mm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双目，35度倾斜，360度旋转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上、下3W/LED光源，亮度可调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330mm×300mm大底盘，满足大尺寸样品的要求。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数码成像系统：同一品牌数码CCD，彩色逐行扫描彩色传感器；600万像素，像元尺寸6.45umx6.45um;图像软件：图像采集、几何测量、分割计数、图象处理、绘图标注、图文报告、打印输出等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配置：主机一套、成像系统一套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八</w:t>
            </w:r>
          </w:p>
        </w:tc>
        <w:tc>
          <w:tcPr>
            <w:tcW w:w="8719" w:type="dxa"/>
            <w:shd w:val="clear" w:color="000000" w:fill="FFFFFF"/>
          </w:tcPr>
          <w:p>
            <w:pPr>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浊度仪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8英寸液晶触摸屏显示，人性化中文操作界面，读数直观、简单。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具有无线通讯功能，支持WIFI、RJ45、手机热点联网传输，检测数据亦可通过U盘导出；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最小示值（MCF）：0.01 MCF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测量范围（MCF）：0～5 MCF（麦氏浊度单位）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示值误差（准确度）：±5％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重复性：≤1.0%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比色皿参数：10mm（1cm）比色皿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光化学稳定性：20min内数值漂移小于0.005A；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存储数据：800万组；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配置：主机一台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九</w:t>
            </w:r>
          </w:p>
        </w:tc>
        <w:tc>
          <w:tcPr>
            <w:tcW w:w="8719" w:type="dxa"/>
            <w:shd w:val="clear" w:color="000000" w:fill="FFFFFF"/>
          </w:tcPr>
          <w:p>
            <w:pPr>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超低温冰箱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保存病毒、病菌、红细胞、白细胞、皮肤、骨骼、生物制品、远洋制品、电子器件、特殊材料的低温试验等，适用于血站、医院、疾控预防控制中心、科研院所、电子化工等企业实验室、生物医学工程研究所，远洋渔业公司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工作条件：环境温度10～32℃，环境湿度:（20～80%）RH，工作电压：（198～242）V，频率：(50 ±1)HZ。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样式：立式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有效容积:≥398L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外部尺寸(宽*深*高)：≥85*1041*1947 内部尺寸(宽*深*高)：≥40*696*1266。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温度控制：高精度微电脑温度控制系统，适用范围在-40℃～-86℃范围内，控温精度0.1℃。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显示：≥7寸高性能LCD电容触摸屏，显示精度0.1℃，清晰显示，界面友好，动态实时显示箱内温度、系统设定温度、环境温度、报警状态、时间等参数信息，且可连接蓝牙与WiFi，具备样本存取管理，温度数据查看及数据曲线，设置与留言板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具备状态运行指示圈，正常运行时，液晶屏温度显示外圈为蓝绿渐变色，温度异常时，温度外圈颜色变成红橙渐变色。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安全存储：14种声光报警系统（高低温报警、传感器故障报警、高环温报警、开门报警、电压异常、断电报警、冷凝器脏报警、电池电量低报警、系统故障等），物品存储更安全。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开机延时和停机间隔保护功能，确保运行可靠；屏幕锁定和密码保护功能，防止随意调整运行参数。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无氟环保制冷工质,制冷剂用量符合国家安全标准，明确制冷剂用量，独特制冷回路，制冷效率高，降温更迅速。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SECOP高效压缩机，整机稳定运行功率小于500W， EBM低噪音风机。冷凝器散热风机可根据压缩机运行状态智能开停。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25℃环温时，单日耗电量≤7.6KW.h/24h，空载降温到-80℃时间≤4h，空载稳定运行断电回温至-50℃时间≥210min，投标文件中提供三方检测报告。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一体式把手门锁设计，配置外挂锁孔，可加双挂锁，选配电磁锁、刷卡、指纹、人脸识别。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保温材料：采用高性能VIP真空绝热材料，VIP保温板厚度≥20mm，箱体发泡层≥130mm,大幅提升保温效果。2个发泡压扣式内门，双层发泡保温外门，外门4道密封，内门两道门封，整机6道门封。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箱体材料：优质结构钢板，经先进防腐磷化、喷涂工艺。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内胆材料：镀锌板喷涂，抗腐蚀，使用寿命长，清洗方便。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18</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大面积翅片式冷凝器，散热面积大，效果好。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19</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自动加热门体平衡孔设计，彻底解决短时间内连续多次开门。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20</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2个温度测试孔，方便测试箱内温度及穿孔实验。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标配USB模块，可用于箱内温度数据记录、运行曲线及操作记录导出，数据可长达15年以上。标配蓄电池，断电状态可持续为温度报警、USB端口供电。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选配5V冷链供电系统，二氧化碳后备系统。选配RS485数据接口，远程报警接口，可同计算机网线连接，实现数据通讯。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选配物联模块，手机关注微信公众号、小程序等，可实时监控冰箱运行状态，冰箱报警信息，会同步短信和微信。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▲24</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可存储2英寸标准冻存盒300个，2ml标准冻存管30000支。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配置:主机一台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十</w:t>
            </w:r>
          </w:p>
        </w:tc>
        <w:tc>
          <w:tcPr>
            <w:tcW w:w="8719" w:type="dxa"/>
            <w:shd w:val="clear" w:color="000000" w:fill="FFFFFF"/>
          </w:tcPr>
          <w:p>
            <w:pPr>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生物安全柜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外型尺寸（宽*深*高）：≥1608*822*2088mm；工作区尺寸（宽*深*高）：≥1500*625*650mm。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气流模式：30%外排，70%内循环。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三独立优质品牌风机，正常运转状态下的下降气流平均速度0.32m/s；流入气流平均速度0.53m/s；总流量高达1562m³/h。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内循环与外排均采用超高效空气过滤器（ULPA），对0.12μm直径的固体颗粒物，过滤效率≥99.9995%。洁净等级达到ISO Class3级洁净标准，且提供有CNAS或CMA资质的三方检测机构报告证明。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正常运转下的噪音≤62dB（A）；振动≤5μm；平均照度≥1800LX。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在正常运转状态下的高效过滤器泄露率＜0.005%。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操作面板玻璃设立20cm安全警戒线，抬起超高或超低后警示装置发出声音+弹窗报警，工作台玻璃移门升降自如、定位准确、无故障、免维护并能完全关闭。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10.7英寸液晶触摸大屏操作，动态实时显示下降与流入气流流速、紫外灯与高效过滤器剩余寿命、计时/秒表、开机使用时长、工作区内温湿度、日期/时间、产品使用状态等参数。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设置管理员权限，一键调节参数，报警记录查询，20+重声音与弹窗报警，实时风险管控并指导应急操作，降低失误风险，时刻监督设备安全使用。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具有紫外灯消毒功能，可预约紫外灯灭菌时间，自由设定杀菌时长，完成灭菌后紫外灯自动关闭。采用40W紫外灯管，平均紫外强度≥2000mW/㎡，高于标准要求平均紫外强度4倍以上。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前窗玻璃采用透视清晰、清洁和消毒时不对其产生负面影响且抗冲击性强的6mm防紫外线钢化玻璃，保护实验安全；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双运行模式：门体抬起，风机迅速配比下降与流入气流自动进入工作模式；门体下拉，风机低速运转自动进入节能模式，相较工作模式，节能最高可达70%；实验过程解放双手，无需触屏操作，减少污染风险。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柜体一体式结构可分离单独置于台面，也可置于地面并支架可调节高度，最小进门宽度807mm。满足多场景使用需求；10°倾斜设计+高于操作台面的通体式搁手架设计，提供舒适操作的同时也防止进气流被阻挡，柜内气流外溢；有检测气流流速波动功能，气流流速波动超过20%后有声音+弹窗报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整体操作台面采用304不锈钢材质，耐腐蚀，易于清洁和维护，柜体防泄漏，集液槽设计标配排污阀，保护实验卫生。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标配高精度双微风速传感器，分别对下降和流入气流流速进行实时精准监测，保证控制系统对气流流速的稳定调节。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具有停电参数记忆，来电恢复功能；且带备用插座设计，在整机之外具有独立断电保护功能，且能通过屏幕设置供电时长，定时关闭，满足特定实验对设备通断电要求。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具有流入/下降风速传感器以及风机联动精准监测功能，可第一时间排除报警原因，方便用户第一时间做出对应安全操作。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18</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配置：主机一台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十一</w:t>
            </w:r>
          </w:p>
        </w:tc>
        <w:tc>
          <w:tcPr>
            <w:tcW w:w="8719" w:type="dxa"/>
            <w:shd w:val="clear" w:color="000000" w:fill="FFFFFF"/>
          </w:tcPr>
          <w:p>
            <w:pPr>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万向抽气罩（包含安装费）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关节:高密度PP材质，可360旋转调节方向，易拆卸、重组及清洗关节及密封圈:耐腐蚀高密度橡胶关节松紧旋钮:纯不锈钢轴承，防止生锈抱死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气流调节阀:手动调节外部阀门旋钮，控制气体流量集气罩:高密度PP材质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申索导管:直径中75mmPWC材质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万向:以固定架为中心活动半径&gt;1350mm固定底座:非粘接而成，模具注塑一体成型，牢度强，不脱底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配置：主机一个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十二</w:t>
            </w:r>
          </w:p>
        </w:tc>
        <w:tc>
          <w:tcPr>
            <w:tcW w:w="8719" w:type="dxa"/>
            <w:shd w:val="clear" w:color="000000" w:fill="FFFFFF"/>
          </w:tcPr>
          <w:p>
            <w:pPr>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磁力搅拌器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最高可达340℃，最大转速可达1500rpm，采用PID控温技术实时精准控制，确保加热过程的稳定可靠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不锈钢陶瓷涂层极耐化学腐蚀，高清晰LCD显示屏可同时显示温度/转速的设定值和真实值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可使用外置PT1000温度传感器，实现对样品的精确控温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三种升温模式可选（快速升温、标准升温及稳定升温），可根据自己实际实验需求灵活选择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可通过RS232通讯接口连接电脑，实现对机器的远程操控及传输数据功能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工作盘尺寸：中135mm(5寸)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盘面材质：陶瓷涂层铝盘面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速度范围：100-1500rpm1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最大搅拌量[水]：20L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转速显示精度：±1rpm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温度控制范围：室温-340°C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配置：主机一台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十三</w:t>
            </w:r>
          </w:p>
        </w:tc>
        <w:tc>
          <w:tcPr>
            <w:tcW w:w="8719" w:type="dxa"/>
            <w:shd w:val="clear" w:color="000000" w:fill="FFFFFF"/>
          </w:tcPr>
          <w:p>
            <w:pPr>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水平脱色摇床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电子调节速度和时间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双LED屏，分别显示时间和速度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定时和持续运转模式,无刷直流电机驱动，运行安静，免维护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固定板面，载重量为3kg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支持连续工作模式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定时功能，范围为1分-19小时59分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速度范围:70-400（圆周）rpm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圆周直径：10mm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配置：主机一台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十四</w:t>
            </w:r>
          </w:p>
        </w:tc>
        <w:tc>
          <w:tcPr>
            <w:tcW w:w="8719" w:type="dxa"/>
            <w:shd w:val="clear" w:color="000000" w:fill="FFFFFF"/>
          </w:tcPr>
          <w:p>
            <w:pPr>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pH计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高清液晶显示，按键操作，支持自动关机、断电保护和恢复出厂设置等功能，支持IP54防护等级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智能判别终点，支持平衡测量模式和连续测量模式，支持自动/手动温度补偿，支持1-3点pH电极标定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自动识别GB 4.00pH、6.86pH、9.18pH三种pH标准缓冲溶液，支持自定义pH缓冲溶液数据管理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支持数据存储（50套）、查阅、删除，测量参数：pH值、mV（ORP）、温度值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测量范围：pH：(-2.00～18.00)pH；mV：（-1999～1999）mV；温度: (-5.0～110.0)℃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分辨率:pH:0.01pH;mV：1mV;温度：0.1℃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基本误差：pH:±0.01pH；mV：±0.1%FS；温度：±0.2℃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稳定性：（0.01pH±1个字）/3h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温度补偿：自动/手动（0.0～99.9）℃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配置：主机一台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十五</w:t>
            </w:r>
          </w:p>
        </w:tc>
        <w:tc>
          <w:tcPr>
            <w:tcW w:w="8719" w:type="dxa"/>
            <w:shd w:val="clear" w:color="000000" w:fill="FFFFFF"/>
          </w:tcPr>
          <w:p>
            <w:pPr>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光照培养箱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广泛应用于微生物组织细胞培养，种子发芽，育苗试验，植物栽培以及昆虫、小动物饲养等。能准确模拟不同 环境气候条件。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微电脑控制温度、光照度，温度可随光照的有无，实行昼夜不同的设定；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微电脑PID 控制方式，控制精确波动小，菜单式操作页面，简单易懂，便于操作；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具有99个周期的程式，每周期分30段，每段99小时99分钟的循环步骤，几乎可以满足所有复杂的实验过程。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连续运行技术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长时间连续运行，连续工作时间不少于360小时；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超过限制温度即自动中断运行，并声光报警提示操作者。保证实验安全运行不发生意外。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控温范围：有光照：10-50℃无光照：0-50℃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恒温波动度：高温±0.5℃低温±1℃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温度分辨率：0.1℃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光照强度：六级可调0-15000Lx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输入功率：1200W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内胆尺寸 W×DxH(mm)：≥580*500*850，外形尺寸  W×D×H(mm)：≥705*725*1525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公称客积：≥250L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载物托架：3块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配置：主机一台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十六</w:t>
            </w:r>
          </w:p>
        </w:tc>
        <w:tc>
          <w:tcPr>
            <w:tcW w:w="8719" w:type="dxa"/>
            <w:shd w:val="clear" w:color="000000" w:fill="FFFFFF"/>
          </w:tcPr>
          <w:p>
            <w:pPr>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高速冷冻离心机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7寸高清液晶全触摸屏加触摸按键，可单独设置修改参数，3D界面简洁清晰，所有参数一目了然。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满足多种离心要求运行中转速、离心力、温度曲线同屏显示，变化关系清晰可见。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密码锁定功能，用户可设置密码对主机或参数进行密码锁定，防止误操作。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2种计时模式可选，启动计时、到达转速计时。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两种开盖模式可选，自动开盖和手动开盖。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离心力自动换算，同屏显示，无需转换，并设有瞬时离心功能。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全钢制外壳。自吸式门锁，操作更加便捷。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磁性转子全自动识别系统，自动匹配对应转子程序，防止转子超速使用，确保离心安全。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人性化设计操作方便快捷，参数设定直接数字输入，精确到个位智能状态提示。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具有门盖，超速，超温、过流、过压、过热等多种保护功能，声音文字同时提示，更加稳定。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程序可编辑操作，25组程序储存模式；40档升/降速运行模式（0档为自由停车）。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100组运行记录储存功能，方便追溯运行参数。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具有预冷设置。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最高转速：≥18500rpm，最大相对离心力：≥24870×g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最大容量：4×100ml角式转子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定时范围：1s~99h59min59s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转速精度：±10r/min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18</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温度设置范围：-20℃--﹢40℃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19</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温度精度：±1℃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20</w:t>
            </w:r>
          </w:p>
        </w:tc>
        <w:tc>
          <w:tcPr>
            <w:tcW w:w="8719" w:type="dxa"/>
            <w:shd w:val="clear" w:color="000000" w:fill="FFFFFF"/>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配置：主机一台、12×1.5ml角转子、6×50ml角转子、8×15ml角转子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000000" w:fill="FFFFFF"/>
            <w:vAlign w:val="center"/>
          </w:tcPr>
          <w:p>
            <w:pPr>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十七</w:t>
            </w:r>
          </w:p>
        </w:tc>
        <w:tc>
          <w:tcPr>
            <w:tcW w:w="8719" w:type="dxa"/>
            <w:shd w:val="clear" w:color="000000" w:fill="FFFFFF"/>
          </w:tcPr>
          <w:p>
            <w:pPr>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8通道排枪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8道移液器适用于标准96孔板；移液器下半部可360度旋转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管嘴推出器可同时推出多道吸嘴，每道管嘴连件都有独立的活塞装置，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量程：0.5-10μl，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增量：0.1μl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46" w:type="dxa"/>
            <w:shd w:val="clear" w:color="auto" w:fill="auto"/>
            <w:vAlign w:val="center"/>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p>
        </w:tc>
        <w:tc>
          <w:tcPr>
            <w:tcW w:w="8719" w:type="dxa"/>
            <w:shd w:val="clear" w:color="auto" w:fill="auto"/>
          </w:tcPr>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配置：8通道移液枪一支</w:t>
            </w:r>
          </w:p>
        </w:tc>
      </w:tr>
    </w:tbl>
    <w:p>
      <w:pPr>
        <w:spacing w:line="360" w:lineRule="auto"/>
        <w:ind w:firstLine="455" w:firstLineChars="189"/>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三、商务要求</w:t>
      </w:r>
    </w:p>
    <w:tbl>
      <w:tblPr>
        <w:tblStyle w:val="75"/>
        <w:tblW w:w="9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533"/>
        <w:gridCol w:w="6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序号</w:t>
            </w:r>
          </w:p>
        </w:tc>
        <w:tc>
          <w:tcPr>
            <w:tcW w:w="2533" w:type="dxa"/>
            <w:vAlign w:val="center"/>
          </w:tcPr>
          <w:p>
            <w:pPr>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w:t>
            </w:r>
          </w:p>
        </w:tc>
        <w:tc>
          <w:tcPr>
            <w:tcW w:w="6593" w:type="dxa"/>
            <w:vAlign w:val="center"/>
          </w:tcPr>
          <w:p>
            <w:pPr>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招标需求内容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49" w:type="dxa"/>
            <w:vAlign w:val="center"/>
          </w:tcPr>
          <w:p>
            <w:pPr>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w:t>
            </w:r>
          </w:p>
        </w:tc>
        <w:tc>
          <w:tcPr>
            <w:tcW w:w="2533" w:type="dxa"/>
            <w:vAlign w:val="center"/>
          </w:tcPr>
          <w:p>
            <w:pPr>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验收</w:t>
            </w:r>
          </w:p>
          <w:p>
            <w:pPr>
              <w:spacing w:line="360" w:lineRule="auto"/>
              <w:jc w:val="center"/>
              <w:rPr>
                <w:rFonts w:hint="eastAsia" w:asciiTheme="minorEastAsia" w:hAnsiTheme="minorEastAsia" w:eastAsiaTheme="minorEastAsia" w:cstheme="minorEastAsia"/>
                <w:bCs/>
                <w:color w:val="auto"/>
                <w:sz w:val="24"/>
                <w:highlight w:val="none"/>
              </w:rPr>
            </w:pPr>
          </w:p>
        </w:tc>
        <w:tc>
          <w:tcPr>
            <w:tcW w:w="6593" w:type="dxa"/>
            <w:vAlign w:val="center"/>
          </w:tcPr>
          <w:p>
            <w:pPr>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1.设备调试后，按确认后的验收大纲及验收标准或相应的国家标准，买方和卖方共同对设备进行验收，达到验收标准后，买卖双方共同签署设备验收合格报告后投入使用。</w:t>
            </w:r>
          </w:p>
          <w:p>
            <w:pPr>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2.如中标人委托国内代理（或其他机构）负责安装或配合安装，应在签约时指明，但中标人仍要对合同货物及其安装质量负全部责任。</w:t>
            </w:r>
          </w:p>
          <w:p>
            <w:pPr>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3.其它验收费用由中标人承担。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49" w:type="dxa"/>
            <w:vAlign w:val="center"/>
          </w:tcPr>
          <w:p>
            <w:pPr>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w:t>
            </w:r>
          </w:p>
        </w:tc>
        <w:tc>
          <w:tcPr>
            <w:tcW w:w="2533" w:type="dxa"/>
            <w:vAlign w:val="center"/>
          </w:tcPr>
          <w:p>
            <w:pPr>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Cs/>
                <w:color w:val="auto"/>
                <w:sz w:val="24"/>
                <w:highlight w:val="none"/>
              </w:rPr>
              <w:t>服务要求</w:t>
            </w:r>
          </w:p>
        </w:tc>
        <w:tc>
          <w:tcPr>
            <w:tcW w:w="6593" w:type="dxa"/>
            <w:vAlign w:val="center"/>
          </w:tcPr>
          <w:p>
            <w:pPr>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w:t>
            </w:r>
            <w:r>
              <w:rPr>
                <w:rFonts w:hint="eastAsia" w:asciiTheme="minorEastAsia" w:hAnsiTheme="minorEastAsia" w:eastAsiaTheme="minorEastAsia" w:cstheme="minorEastAsia"/>
                <w:bCs/>
                <w:color w:val="auto"/>
                <w:sz w:val="24"/>
                <w:highlight w:val="none"/>
              </w:rPr>
              <w:t>提供1年的免费质保，</w:t>
            </w:r>
            <w:r>
              <w:rPr>
                <w:rFonts w:hint="eastAsia" w:asciiTheme="minorEastAsia" w:hAnsiTheme="minorEastAsia" w:eastAsiaTheme="minorEastAsia" w:cstheme="minorEastAsia"/>
                <w:bCs/>
                <w:color w:val="auto"/>
                <w:sz w:val="24"/>
                <w:highlight w:val="none"/>
              </w:rPr>
              <w:t>质保期自验收签字之日起计算。质保期间调试、人工、差旅等一切费用由投标人负担。</w:t>
            </w:r>
          </w:p>
          <w:p>
            <w:pPr>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2.提供24*7的全天候售后服务。合同商品出现故障后，中标人接到采购人通知后，应在不超过1小时内做出响应，不超过48小时解决故障或者提供备用机解决方案。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49" w:type="dxa"/>
            <w:vAlign w:val="center"/>
          </w:tcPr>
          <w:p>
            <w:pPr>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w:t>
            </w:r>
          </w:p>
        </w:tc>
        <w:tc>
          <w:tcPr>
            <w:tcW w:w="2533" w:type="dxa"/>
            <w:vAlign w:val="center"/>
          </w:tcPr>
          <w:p>
            <w:pPr>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Cs/>
                <w:color w:val="auto"/>
                <w:sz w:val="24"/>
                <w:highlight w:val="none"/>
              </w:rPr>
              <w:t>培训、技术支持和安装调试</w:t>
            </w:r>
          </w:p>
        </w:tc>
        <w:tc>
          <w:tcPr>
            <w:tcW w:w="6593" w:type="dxa"/>
            <w:vAlign w:val="center"/>
          </w:tcPr>
          <w:p>
            <w:pPr>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1.培训：</w:t>
            </w:r>
          </w:p>
          <w:p>
            <w:pPr>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1.1投标人应对采购人提供相应的培训计划并免费进行培训。</w:t>
            </w:r>
          </w:p>
          <w:p>
            <w:pPr>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1.2培训方式：现场培训</w:t>
            </w:r>
          </w:p>
          <w:p>
            <w:pPr>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1.3培训地点：采购人指定地点</w:t>
            </w:r>
          </w:p>
          <w:p>
            <w:pPr>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1.4人数：不限</w:t>
            </w:r>
          </w:p>
          <w:p>
            <w:pPr>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2.技术支持：中标人应及时提供所需零配件。</w:t>
            </w:r>
          </w:p>
          <w:p>
            <w:pPr>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3.安装调试（若需要安装调试）：</w:t>
            </w:r>
          </w:p>
          <w:p>
            <w:pPr>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3.1 安装地点：采购人指定地点。</w:t>
            </w:r>
          </w:p>
          <w:p>
            <w:pPr>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3.2 安装标准：符合我国国家有关技术规范要求和技术标准，所有的软件和硬件必须保证同时安装到位。</w:t>
            </w:r>
          </w:p>
          <w:p>
            <w:pPr>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3.3 中标人免费提供合同货物的安装服务。</w:t>
            </w:r>
          </w:p>
          <w:p>
            <w:pPr>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3.4 中标人在投标文件中应提供安装调试计划、对安装场地和环境的要求。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49" w:type="dxa"/>
            <w:vAlign w:val="center"/>
          </w:tcPr>
          <w:p>
            <w:pPr>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w:t>
            </w:r>
          </w:p>
        </w:tc>
        <w:tc>
          <w:tcPr>
            <w:tcW w:w="2533" w:type="dxa"/>
            <w:vAlign w:val="center"/>
          </w:tcPr>
          <w:p>
            <w:pPr>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履约保证金</w:t>
            </w:r>
          </w:p>
        </w:tc>
        <w:tc>
          <w:tcPr>
            <w:tcW w:w="6593" w:type="dxa"/>
            <w:vAlign w:val="center"/>
          </w:tcPr>
          <w:p>
            <w:pPr>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(1)履约保证金金额：合同总价的1%。</w:t>
            </w:r>
          </w:p>
          <w:p>
            <w:pPr>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(2)履约保证金形式：转账或银行、保险公司出具的保函形式。</w:t>
            </w:r>
          </w:p>
          <w:p>
            <w:pPr>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(3)履约保证金递交时间：合同签订后一周内。</w:t>
            </w:r>
          </w:p>
          <w:p>
            <w:pPr>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(4)履约保证金退还时间：在合同履约期间无违约情形的，项目验收结束后，及时退回（不计息），具体详见付款方式。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49" w:type="dxa"/>
            <w:vAlign w:val="center"/>
          </w:tcPr>
          <w:p>
            <w:pPr>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w:t>
            </w:r>
          </w:p>
        </w:tc>
        <w:tc>
          <w:tcPr>
            <w:tcW w:w="2533" w:type="dxa"/>
            <w:vAlign w:val="center"/>
          </w:tcPr>
          <w:p>
            <w:pPr>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Cs/>
                <w:color w:val="auto"/>
                <w:sz w:val="24"/>
                <w:highlight w:val="none"/>
              </w:rPr>
              <w:t>付款方式</w:t>
            </w:r>
          </w:p>
        </w:tc>
        <w:tc>
          <w:tcPr>
            <w:tcW w:w="6593" w:type="dxa"/>
            <w:vAlign w:val="center"/>
          </w:tcPr>
          <w:p>
            <w:pPr>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付款方法和条件：</w:t>
            </w:r>
          </w:p>
          <w:p>
            <w:pPr>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合同生效并具备实施条件后7个工作日内，采购人向中标人支付合同金额40%的预付款。调试完成，运行顺利，经采购人验收合格无任何质量问题后，采购人两个月内向中标人支付至合同总价的100%。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6</w:t>
            </w:r>
          </w:p>
        </w:tc>
        <w:tc>
          <w:tcPr>
            <w:tcW w:w="2533" w:type="dxa"/>
            <w:vAlign w:val="center"/>
          </w:tcPr>
          <w:p>
            <w:pPr>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违约责任</w:t>
            </w:r>
          </w:p>
        </w:tc>
        <w:tc>
          <w:tcPr>
            <w:tcW w:w="6593" w:type="dxa"/>
            <w:vAlign w:val="center"/>
          </w:tcPr>
          <w:p>
            <w:pPr>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中标人逾期履行合同的，自逾期之日起，向采购人每日偿付合同总价千分之二的滞纳金；中标人逾期10日不能交货的，视为中标人不能交货，采购人有权解除合同，中标人应承担违约责任，应向采购人支付合同总价百分之十的违约金。</w:t>
            </w:r>
          </w:p>
          <w:p>
            <w:pPr>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2、中标后中标供应商放弃中标资格导致重新采购的，应当承担支付代理费和专家评审费等费用在内的赔偿责任。</w:t>
            </w:r>
          </w:p>
        </w:tc>
      </w:tr>
    </w:tbl>
    <w:p>
      <w:pPr>
        <w:pStyle w:val="2"/>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b/>
          <w:color w:val="auto"/>
          <w:sz w:val="36"/>
          <w:szCs w:val="36"/>
          <w:highlight w:val="none"/>
        </w:rPr>
      </w:pPr>
      <w:bookmarkStart w:id="36" w:name="_Toc20244"/>
      <w:r>
        <w:rPr>
          <w:rFonts w:hint="eastAsia" w:asciiTheme="minorEastAsia" w:hAnsiTheme="minorEastAsia" w:eastAsiaTheme="minorEastAsia" w:cstheme="minorEastAsia"/>
          <w:b/>
          <w:color w:val="auto"/>
          <w:sz w:val="36"/>
          <w:szCs w:val="36"/>
          <w:highlight w:val="none"/>
        </w:rPr>
        <w:br w:type="page"/>
      </w:r>
    </w:p>
    <w:p>
      <w:pPr>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第四部分</w:t>
      </w:r>
      <w:bookmarkStart w:id="37" w:name="_Toc184312139"/>
      <w:bookmarkEnd w:id="37"/>
      <w:bookmarkStart w:id="38" w:name="_Toc184310303"/>
      <w:bookmarkEnd w:id="38"/>
      <w:bookmarkStart w:id="39" w:name="_Toc184313297"/>
      <w:bookmarkEnd w:id="39"/>
      <w:bookmarkStart w:id="40" w:name="_Toc184312116"/>
      <w:bookmarkEnd w:id="40"/>
      <w:bookmarkStart w:id="41" w:name="_Toc184310316"/>
      <w:bookmarkEnd w:id="41"/>
      <w:bookmarkStart w:id="42" w:name="_Toc184310344"/>
      <w:bookmarkEnd w:id="42"/>
      <w:bookmarkStart w:id="43" w:name="_Toc184310327"/>
      <w:bookmarkEnd w:id="43"/>
      <w:bookmarkStart w:id="44" w:name="_Toc184313303"/>
      <w:bookmarkEnd w:id="44"/>
      <w:bookmarkStart w:id="45" w:name="_Toc184312129"/>
      <w:bookmarkEnd w:id="45"/>
      <w:bookmarkStart w:id="46" w:name="_Toc184310298"/>
      <w:bookmarkEnd w:id="46"/>
      <w:bookmarkStart w:id="47" w:name="_Toc184308057"/>
      <w:bookmarkEnd w:id="47"/>
      <w:bookmarkStart w:id="48" w:name="_Toc184308093"/>
      <w:bookmarkEnd w:id="48"/>
      <w:bookmarkStart w:id="49" w:name="_Toc184314454"/>
      <w:bookmarkEnd w:id="49"/>
      <w:bookmarkStart w:id="50" w:name="_Toc184313260"/>
      <w:bookmarkEnd w:id="50"/>
      <w:bookmarkStart w:id="51" w:name="_Toc184308098"/>
      <w:bookmarkEnd w:id="51"/>
      <w:bookmarkStart w:id="52" w:name="_Toc184308066"/>
      <w:bookmarkEnd w:id="52"/>
      <w:bookmarkStart w:id="53" w:name="_Toc184312092"/>
      <w:bookmarkEnd w:id="53"/>
      <w:bookmarkStart w:id="54" w:name="_Toc184308086"/>
      <w:bookmarkEnd w:id="54"/>
      <w:bookmarkStart w:id="55" w:name="_Toc184314469"/>
      <w:bookmarkEnd w:id="55"/>
      <w:bookmarkStart w:id="56" w:name="_Toc184308039"/>
      <w:bookmarkEnd w:id="56"/>
      <w:bookmarkStart w:id="57" w:name="_Toc184312068"/>
      <w:bookmarkEnd w:id="57"/>
      <w:bookmarkStart w:id="58" w:name="_Toc184308049"/>
      <w:bookmarkEnd w:id="58"/>
      <w:bookmarkStart w:id="59" w:name="_Toc184308103"/>
      <w:bookmarkEnd w:id="59"/>
      <w:bookmarkStart w:id="60" w:name="_Toc184313257"/>
      <w:bookmarkEnd w:id="60"/>
      <w:bookmarkStart w:id="61" w:name="_Toc184310325"/>
      <w:bookmarkEnd w:id="61"/>
      <w:bookmarkStart w:id="62" w:name="_Toc184313306"/>
      <w:bookmarkEnd w:id="62"/>
      <w:bookmarkStart w:id="63" w:name="_Toc184308091"/>
      <w:bookmarkEnd w:id="63"/>
      <w:bookmarkStart w:id="64" w:name="_Toc184310324"/>
      <w:bookmarkEnd w:id="64"/>
      <w:bookmarkStart w:id="65" w:name="_Toc184313291"/>
      <w:bookmarkEnd w:id="65"/>
      <w:bookmarkStart w:id="66" w:name="_Toc184310302"/>
      <w:bookmarkEnd w:id="66"/>
      <w:bookmarkStart w:id="67" w:name="_Toc184313310"/>
      <w:bookmarkEnd w:id="67"/>
      <w:bookmarkStart w:id="68" w:name="_Toc184310333"/>
      <w:bookmarkEnd w:id="68"/>
      <w:bookmarkStart w:id="69" w:name="_Toc184308060"/>
      <w:bookmarkEnd w:id="69"/>
      <w:bookmarkStart w:id="70" w:name="_Toc184314447"/>
      <w:bookmarkEnd w:id="70"/>
      <w:bookmarkStart w:id="71" w:name="_Toc184308037"/>
      <w:bookmarkEnd w:id="71"/>
      <w:bookmarkStart w:id="72" w:name="_Toc184308055"/>
      <w:bookmarkEnd w:id="72"/>
      <w:bookmarkStart w:id="73" w:name="_Toc184310310"/>
      <w:bookmarkEnd w:id="73"/>
      <w:bookmarkStart w:id="74" w:name="_Toc184312112"/>
      <w:bookmarkEnd w:id="74"/>
      <w:bookmarkStart w:id="75" w:name="_Toc184312125"/>
      <w:bookmarkEnd w:id="75"/>
      <w:bookmarkStart w:id="76" w:name="_Toc184314417"/>
      <w:bookmarkEnd w:id="76"/>
      <w:bookmarkStart w:id="77" w:name="_Toc184313296"/>
      <w:bookmarkEnd w:id="77"/>
      <w:bookmarkStart w:id="78" w:name="_Toc184308046"/>
      <w:bookmarkEnd w:id="78"/>
      <w:bookmarkStart w:id="79" w:name="_Toc184314466"/>
      <w:bookmarkEnd w:id="79"/>
      <w:bookmarkStart w:id="80" w:name="_Toc184313246"/>
      <w:bookmarkEnd w:id="80"/>
      <w:bookmarkStart w:id="81" w:name="_Toc184312090"/>
      <w:bookmarkEnd w:id="81"/>
      <w:bookmarkStart w:id="82" w:name="_Toc184312124"/>
      <w:bookmarkEnd w:id="82"/>
      <w:bookmarkStart w:id="83" w:name="_Toc184310337"/>
      <w:bookmarkEnd w:id="83"/>
      <w:bookmarkStart w:id="84" w:name="_Toc184310283"/>
      <w:bookmarkEnd w:id="84"/>
      <w:bookmarkStart w:id="85" w:name="_Toc184312076"/>
      <w:bookmarkEnd w:id="85"/>
      <w:bookmarkStart w:id="86" w:name="_Toc184308108"/>
      <w:bookmarkEnd w:id="86"/>
      <w:bookmarkStart w:id="87" w:name="_Toc184314452"/>
      <w:bookmarkEnd w:id="87"/>
      <w:bookmarkStart w:id="88" w:name="_Toc184314453"/>
      <w:bookmarkEnd w:id="88"/>
      <w:bookmarkStart w:id="89" w:name="_Toc184310308"/>
      <w:bookmarkEnd w:id="89"/>
      <w:bookmarkStart w:id="90" w:name="_Toc184314468"/>
      <w:bookmarkEnd w:id="90"/>
      <w:bookmarkStart w:id="91" w:name="_Toc184308040"/>
      <w:bookmarkEnd w:id="91"/>
      <w:bookmarkStart w:id="92" w:name="_Toc184308069"/>
      <w:bookmarkEnd w:id="92"/>
      <w:bookmarkStart w:id="93" w:name="_Toc184308078"/>
      <w:bookmarkEnd w:id="93"/>
      <w:bookmarkStart w:id="94" w:name="_Toc184310340"/>
      <w:bookmarkEnd w:id="94"/>
      <w:bookmarkStart w:id="95" w:name="_Toc184312135"/>
      <w:bookmarkEnd w:id="95"/>
      <w:bookmarkStart w:id="96" w:name="_Toc184308038"/>
      <w:bookmarkEnd w:id="96"/>
      <w:bookmarkStart w:id="97" w:name="_Toc184312121"/>
      <w:bookmarkEnd w:id="97"/>
      <w:bookmarkStart w:id="98" w:name="_Toc184308073"/>
      <w:bookmarkEnd w:id="98"/>
      <w:bookmarkStart w:id="99" w:name="_Toc184310280"/>
      <w:bookmarkEnd w:id="99"/>
      <w:bookmarkStart w:id="100" w:name="_Toc184313241"/>
      <w:bookmarkEnd w:id="100"/>
      <w:bookmarkStart w:id="101" w:name="_Toc184314462"/>
      <w:bookmarkEnd w:id="101"/>
      <w:bookmarkStart w:id="102" w:name="_Toc184314480"/>
      <w:bookmarkEnd w:id="102"/>
      <w:bookmarkStart w:id="103" w:name="_Toc184314433"/>
      <w:bookmarkEnd w:id="103"/>
      <w:bookmarkStart w:id="104" w:name="_Toc184312091"/>
      <w:bookmarkEnd w:id="104"/>
      <w:bookmarkStart w:id="105" w:name="_Toc184310287"/>
      <w:bookmarkEnd w:id="105"/>
      <w:bookmarkStart w:id="106" w:name="_Toc184314449"/>
      <w:bookmarkEnd w:id="106"/>
      <w:bookmarkStart w:id="107" w:name="_Toc184310323"/>
      <w:bookmarkEnd w:id="107"/>
      <w:bookmarkStart w:id="108" w:name="_Toc184308096"/>
      <w:bookmarkEnd w:id="108"/>
      <w:bookmarkStart w:id="109" w:name="_Toc184314463"/>
      <w:bookmarkEnd w:id="109"/>
      <w:bookmarkStart w:id="110" w:name="_Toc184308075"/>
      <w:bookmarkEnd w:id="110"/>
      <w:bookmarkStart w:id="111" w:name="_Toc184310282"/>
      <w:bookmarkEnd w:id="111"/>
      <w:bookmarkStart w:id="112" w:name="_Toc184310318"/>
      <w:bookmarkEnd w:id="112"/>
      <w:bookmarkStart w:id="113" w:name="_Toc184313238"/>
      <w:bookmarkEnd w:id="113"/>
      <w:bookmarkStart w:id="114" w:name="_Toc184310338"/>
      <w:bookmarkEnd w:id="114"/>
      <w:bookmarkStart w:id="115" w:name="_Toc184314415"/>
      <w:bookmarkEnd w:id="115"/>
      <w:bookmarkStart w:id="116" w:name="_Toc184313277"/>
      <w:bookmarkEnd w:id="116"/>
      <w:bookmarkStart w:id="117" w:name="_Toc184313298"/>
      <w:bookmarkEnd w:id="117"/>
      <w:bookmarkStart w:id="118" w:name="_Toc184310279"/>
      <w:bookmarkEnd w:id="118"/>
      <w:bookmarkStart w:id="119" w:name="_Toc184308041"/>
      <w:bookmarkEnd w:id="119"/>
      <w:bookmarkStart w:id="120" w:name="_Toc184314444"/>
      <w:bookmarkEnd w:id="120"/>
      <w:bookmarkStart w:id="121" w:name="_Toc184313293"/>
      <w:bookmarkEnd w:id="121"/>
      <w:bookmarkStart w:id="122" w:name="_Toc184312108"/>
      <w:bookmarkEnd w:id="122"/>
      <w:bookmarkStart w:id="123" w:name="_Toc184310273"/>
      <w:bookmarkEnd w:id="123"/>
      <w:bookmarkStart w:id="124" w:name="_Toc184308044"/>
      <w:bookmarkEnd w:id="124"/>
      <w:bookmarkStart w:id="125" w:name="_Toc184313250"/>
      <w:bookmarkEnd w:id="125"/>
      <w:bookmarkStart w:id="126" w:name="_Toc184312103"/>
      <w:bookmarkEnd w:id="126"/>
      <w:bookmarkStart w:id="127" w:name="_Toc184312114"/>
      <w:bookmarkEnd w:id="127"/>
      <w:bookmarkStart w:id="128" w:name="_Toc184308099"/>
      <w:bookmarkEnd w:id="128"/>
      <w:bookmarkStart w:id="129" w:name="_Toc184313265"/>
      <w:bookmarkEnd w:id="129"/>
      <w:bookmarkStart w:id="130" w:name="_Toc184313305"/>
      <w:bookmarkEnd w:id="130"/>
      <w:bookmarkStart w:id="131" w:name="_Toc184308064"/>
      <w:bookmarkEnd w:id="131"/>
      <w:bookmarkStart w:id="132" w:name="_Toc184314474"/>
      <w:bookmarkEnd w:id="132"/>
      <w:bookmarkStart w:id="133" w:name="_Toc184308070"/>
      <w:bookmarkEnd w:id="133"/>
      <w:bookmarkStart w:id="134" w:name="_Toc184313239"/>
      <w:bookmarkEnd w:id="134"/>
      <w:bookmarkStart w:id="135" w:name="_Toc184312115"/>
      <w:bookmarkEnd w:id="135"/>
      <w:bookmarkStart w:id="136" w:name="_Toc184313284"/>
      <w:bookmarkEnd w:id="136"/>
      <w:bookmarkStart w:id="137" w:name="_Toc184310277"/>
      <w:bookmarkEnd w:id="137"/>
      <w:bookmarkStart w:id="138" w:name="_Toc184314442"/>
      <w:bookmarkEnd w:id="138"/>
      <w:bookmarkStart w:id="139" w:name="_Toc184310296"/>
      <w:bookmarkEnd w:id="139"/>
      <w:bookmarkStart w:id="140" w:name="_Toc184313245"/>
      <w:bookmarkEnd w:id="140"/>
      <w:bookmarkStart w:id="141" w:name="_Toc184313268"/>
      <w:bookmarkEnd w:id="141"/>
      <w:bookmarkStart w:id="142" w:name="_Toc184310320"/>
      <w:bookmarkEnd w:id="142"/>
      <w:bookmarkStart w:id="143" w:name="_Toc184313254"/>
      <w:bookmarkEnd w:id="143"/>
      <w:bookmarkStart w:id="144" w:name="_Toc184312107"/>
      <w:bookmarkEnd w:id="144"/>
      <w:bookmarkStart w:id="145" w:name="_Toc184314416"/>
      <w:bookmarkEnd w:id="145"/>
      <w:bookmarkStart w:id="146" w:name="_Toc184312104"/>
      <w:bookmarkEnd w:id="146"/>
      <w:bookmarkStart w:id="147" w:name="_Toc184310334"/>
      <w:bookmarkEnd w:id="147"/>
      <w:bookmarkStart w:id="148" w:name="_Toc184310331"/>
      <w:bookmarkEnd w:id="148"/>
      <w:bookmarkStart w:id="149" w:name="_Toc184313266"/>
      <w:bookmarkEnd w:id="149"/>
      <w:bookmarkStart w:id="150" w:name="_Toc184310297"/>
      <w:bookmarkEnd w:id="150"/>
      <w:bookmarkStart w:id="151" w:name="_Toc184308054"/>
      <w:bookmarkEnd w:id="151"/>
      <w:bookmarkStart w:id="152" w:name="_Toc184314436"/>
      <w:bookmarkEnd w:id="152"/>
      <w:bookmarkStart w:id="153" w:name="_Toc184312137"/>
      <w:bookmarkEnd w:id="153"/>
      <w:bookmarkStart w:id="154" w:name="_Toc184313262"/>
      <w:bookmarkEnd w:id="154"/>
      <w:bookmarkStart w:id="155" w:name="_Toc184310291"/>
      <w:bookmarkEnd w:id="155"/>
      <w:bookmarkStart w:id="156" w:name="_Toc184313273"/>
      <w:bookmarkEnd w:id="156"/>
      <w:bookmarkStart w:id="157" w:name="_Toc184308056"/>
      <w:bookmarkEnd w:id="157"/>
      <w:bookmarkStart w:id="158" w:name="_Toc184312133"/>
      <w:bookmarkEnd w:id="158"/>
      <w:bookmarkStart w:id="159" w:name="_Toc184310329"/>
      <w:bookmarkEnd w:id="159"/>
      <w:bookmarkStart w:id="160" w:name="_Toc184312102"/>
      <w:bookmarkEnd w:id="160"/>
      <w:bookmarkStart w:id="161" w:name="_Toc184313240"/>
      <w:bookmarkEnd w:id="161"/>
      <w:bookmarkStart w:id="162" w:name="_Toc184314437"/>
      <w:bookmarkEnd w:id="162"/>
      <w:bookmarkStart w:id="163" w:name="_Toc184313278"/>
      <w:bookmarkEnd w:id="163"/>
      <w:bookmarkStart w:id="164" w:name="_Toc184314431"/>
      <w:bookmarkEnd w:id="164"/>
      <w:bookmarkStart w:id="165" w:name="_Toc184308061"/>
      <w:bookmarkEnd w:id="165"/>
      <w:bookmarkStart w:id="166" w:name="_Toc184314478"/>
      <w:bookmarkEnd w:id="166"/>
      <w:bookmarkStart w:id="167" w:name="_Toc184313274"/>
      <w:bookmarkEnd w:id="167"/>
      <w:bookmarkStart w:id="168" w:name="_Toc184308107"/>
      <w:bookmarkEnd w:id="168"/>
      <w:bookmarkStart w:id="169" w:name="_Toc184310306"/>
      <w:bookmarkEnd w:id="169"/>
      <w:bookmarkStart w:id="170" w:name="_Toc184314460"/>
      <w:bookmarkEnd w:id="170"/>
      <w:bookmarkStart w:id="171" w:name="_Toc184314419"/>
      <w:bookmarkEnd w:id="171"/>
      <w:bookmarkStart w:id="172" w:name="_Toc184308097"/>
      <w:bookmarkEnd w:id="172"/>
      <w:bookmarkStart w:id="173" w:name="_Toc184313289"/>
      <w:bookmarkEnd w:id="173"/>
      <w:bookmarkStart w:id="174" w:name="_Toc184314441"/>
      <w:bookmarkEnd w:id="174"/>
      <w:bookmarkStart w:id="175" w:name="_Toc184308082"/>
      <w:bookmarkEnd w:id="175"/>
      <w:bookmarkStart w:id="176" w:name="_Toc184310293"/>
      <w:bookmarkEnd w:id="176"/>
      <w:bookmarkStart w:id="177" w:name="_Toc184314476"/>
      <w:bookmarkEnd w:id="177"/>
      <w:bookmarkStart w:id="178" w:name="_Toc184312106"/>
      <w:bookmarkEnd w:id="178"/>
      <w:bookmarkStart w:id="179" w:name="_Toc184310311"/>
      <w:bookmarkEnd w:id="179"/>
      <w:bookmarkStart w:id="180" w:name="_Toc184314470"/>
      <w:bookmarkEnd w:id="180"/>
      <w:bookmarkStart w:id="181" w:name="_Toc184313286"/>
      <w:bookmarkEnd w:id="181"/>
      <w:bookmarkStart w:id="182" w:name="_Toc184312100"/>
      <w:bookmarkEnd w:id="182"/>
      <w:bookmarkStart w:id="183" w:name="_Toc184314427"/>
      <w:bookmarkEnd w:id="183"/>
      <w:bookmarkStart w:id="184" w:name="_Toc184312088"/>
      <w:bookmarkEnd w:id="184"/>
      <w:bookmarkStart w:id="185" w:name="_Toc184308090"/>
      <w:bookmarkEnd w:id="185"/>
      <w:bookmarkStart w:id="186" w:name="_Toc184312093"/>
      <w:bookmarkEnd w:id="186"/>
      <w:bookmarkStart w:id="187" w:name="_Toc184310301"/>
      <w:bookmarkEnd w:id="187"/>
      <w:bookmarkStart w:id="188" w:name="_Toc184310300"/>
      <w:bookmarkEnd w:id="188"/>
      <w:bookmarkStart w:id="189" w:name="_Toc184308048"/>
      <w:bookmarkEnd w:id="189"/>
      <w:bookmarkStart w:id="190" w:name="_Toc184312081"/>
      <w:bookmarkEnd w:id="190"/>
      <w:bookmarkStart w:id="191" w:name="_Toc184308052"/>
      <w:bookmarkEnd w:id="191"/>
      <w:bookmarkStart w:id="192" w:name="_Toc184308085"/>
      <w:bookmarkEnd w:id="192"/>
      <w:bookmarkStart w:id="193" w:name="_Toc184312080"/>
      <w:bookmarkEnd w:id="193"/>
      <w:bookmarkStart w:id="194" w:name="_Toc184310299"/>
      <w:bookmarkEnd w:id="194"/>
      <w:bookmarkStart w:id="195" w:name="_Toc184313294"/>
      <w:bookmarkEnd w:id="195"/>
      <w:bookmarkStart w:id="196" w:name="_Toc184314472"/>
      <w:bookmarkEnd w:id="196"/>
      <w:bookmarkStart w:id="197" w:name="_Toc184312095"/>
      <w:bookmarkEnd w:id="197"/>
      <w:bookmarkStart w:id="198" w:name="_Toc184314445"/>
      <w:bookmarkEnd w:id="198"/>
      <w:bookmarkStart w:id="199" w:name="_Toc184310321"/>
      <w:bookmarkEnd w:id="199"/>
      <w:bookmarkStart w:id="200" w:name="_Toc184312110"/>
      <w:bookmarkEnd w:id="200"/>
      <w:bookmarkStart w:id="201" w:name="_Toc184312101"/>
      <w:bookmarkEnd w:id="201"/>
      <w:bookmarkStart w:id="202" w:name="_Toc184313272"/>
      <w:bookmarkEnd w:id="202"/>
      <w:bookmarkStart w:id="203" w:name="_Toc184313261"/>
      <w:bookmarkEnd w:id="203"/>
      <w:bookmarkStart w:id="204" w:name="_Toc184312128"/>
      <w:bookmarkEnd w:id="204"/>
      <w:bookmarkStart w:id="205" w:name="_Toc184314464"/>
      <w:bookmarkEnd w:id="205"/>
      <w:bookmarkStart w:id="206" w:name="_Toc184314477"/>
      <w:bookmarkEnd w:id="206"/>
      <w:bookmarkStart w:id="207" w:name="_Toc184312084"/>
      <w:bookmarkEnd w:id="207"/>
      <w:bookmarkStart w:id="208" w:name="_Toc184312067"/>
      <w:bookmarkEnd w:id="208"/>
      <w:bookmarkStart w:id="209" w:name="_Toc184313308"/>
      <w:bookmarkEnd w:id="209"/>
      <w:bookmarkStart w:id="210" w:name="_Toc184312130"/>
      <w:bookmarkEnd w:id="210"/>
      <w:bookmarkStart w:id="211" w:name="_Toc184313309"/>
      <w:bookmarkEnd w:id="211"/>
      <w:bookmarkStart w:id="212" w:name="_Toc184308067"/>
      <w:bookmarkEnd w:id="212"/>
      <w:bookmarkStart w:id="213" w:name="_Toc184314440"/>
      <w:bookmarkEnd w:id="213"/>
      <w:bookmarkStart w:id="214" w:name="_Toc184314426"/>
      <w:bookmarkEnd w:id="214"/>
      <w:bookmarkStart w:id="215" w:name="_Toc184308051"/>
      <w:bookmarkEnd w:id="215"/>
      <w:bookmarkStart w:id="216" w:name="_Toc184310292"/>
      <w:bookmarkEnd w:id="216"/>
      <w:bookmarkStart w:id="217" w:name="_Toc184308074"/>
      <w:bookmarkEnd w:id="217"/>
      <w:bookmarkStart w:id="218" w:name="_Toc184310328"/>
      <w:bookmarkEnd w:id="218"/>
      <w:bookmarkStart w:id="219" w:name="_Toc184312097"/>
      <w:bookmarkEnd w:id="219"/>
      <w:bookmarkStart w:id="220" w:name="_Toc184313248"/>
      <w:bookmarkEnd w:id="220"/>
      <w:bookmarkStart w:id="221" w:name="_Toc184314429"/>
      <w:bookmarkEnd w:id="221"/>
      <w:bookmarkStart w:id="222" w:name="_Toc184312087"/>
      <w:bookmarkEnd w:id="222"/>
      <w:bookmarkStart w:id="223" w:name="_Toc184314412"/>
      <w:bookmarkEnd w:id="223"/>
      <w:bookmarkStart w:id="224" w:name="_Toc184314471"/>
      <w:bookmarkEnd w:id="224"/>
      <w:bookmarkStart w:id="225" w:name="_Toc184314420"/>
      <w:bookmarkEnd w:id="225"/>
      <w:bookmarkStart w:id="226" w:name="_Toc184313304"/>
      <w:bookmarkEnd w:id="226"/>
      <w:bookmarkStart w:id="227" w:name="_Toc184314439"/>
      <w:bookmarkEnd w:id="227"/>
      <w:bookmarkStart w:id="228" w:name="_Toc184308076"/>
      <w:bookmarkEnd w:id="228"/>
      <w:bookmarkStart w:id="229" w:name="_Toc184308071"/>
      <w:bookmarkEnd w:id="229"/>
      <w:bookmarkStart w:id="230" w:name="_Toc184310275"/>
      <w:bookmarkEnd w:id="230"/>
      <w:bookmarkStart w:id="231" w:name="_Toc184310276"/>
      <w:bookmarkEnd w:id="231"/>
      <w:bookmarkStart w:id="232" w:name="_Toc184308101"/>
      <w:bookmarkEnd w:id="232"/>
      <w:bookmarkStart w:id="233" w:name="_Toc184308058"/>
      <w:bookmarkEnd w:id="233"/>
      <w:bookmarkStart w:id="234" w:name="_Toc184308081"/>
      <w:bookmarkEnd w:id="234"/>
      <w:bookmarkStart w:id="235" w:name="_Toc184308087"/>
      <w:bookmarkEnd w:id="235"/>
      <w:bookmarkStart w:id="236" w:name="_Toc184310290"/>
      <w:bookmarkEnd w:id="236"/>
      <w:bookmarkStart w:id="237" w:name="_Toc184308102"/>
      <w:bookmarkEnd w:id="237"/>
      <w:bookmarkStart w:id="238" w:name="_Toc184314425"/>
      <w:bookmarkEnd w:id="238"/>
      <w:bookmarkStart w:id="239" w:name="_Toc184310332"/>
      <w:bookmarkEnd w:id="239"/>
      <w:bookmarkStart w:id="240" w:name="_Toc184314473"/>
      <w:bookmarkEnd w:id="240"/>
      <w:bookmarkStart w:id="241" w:name="_Toc184313300"/>
      <w:bookmarkEnd w:id="241"/>
      <w:bookmarkStart w:id="242" w:name="_Toc184312131"/>
      <w:bookmarkEnd w:id="242"/>
      <w:bookmarkStart w:id="243" w:name="_Toc184313255"/>
      <w:bookmarkEnd w:id="243"/>
      <w:bookmarkStart w:id="244" w:name="_Toc184312070"/>
      <w:bookmarkEnd w:id="244"/>
      <w:bookmarkStart w:id="245" w:name="_Toc184310288"/>
      <w:bookmarkEnd w:id="245"/>
      <w:bookmarkStart w:id="246" w:name="_Toc184314432"/>
      <w:bookmarkEnd w:id="246"/>
      <w:bookmarkStart w:id="247" w:name="_Toc184310335"/>
      <w:bookmarkEnd w:id="247"/>
      <w:bookmarkStart w:id="248" w:name="_Toc184314446"/>
      <w:bookmarkEnd w:id="248"/>
      <w:bookmarkStart w:id="249" w:name="_Toc184310278"/>
      <w:bookmarkEnd w:id="249"/>
      <w:bookmarkStart w:id="250" w:name="_Toc184310343"/>
      <w:bookmarkEnd w:id="250"/>
      <w:bookmarkStart w:id="251" w:name="_Toc184308083"/>
      <w:bookmarkEnd w:id="251"/>
      <w:bookmarkStart w:id="252" w:name="_Toc184312086"/>
      <w:bookmarkEnd w:id="252"/>
      <w:bookmarkStart w:id="253" w:name="_Toc184312138"/>
      <w:bookmarkEnd w:id="253"/>
      <w:bookmarkStart w:id="254" w:name="_Toc184310336"/>
      <w:bookmarkEnd w:id="254"/>
      <w:bookmarkStart w:id="255" w:name="_Toc184313276"/>
      <w:bookmarkEnd w:id="255"/>
      <w:bookmarkStart w:id="256" w:name="_Toc184310319"/>
      <w:bookmarkEnd w:id="256"/>
      <w:bookmarkStart w:id="257" w:name="_Toc184313302"/>
      <w:bookmarkEnd w:id="257"/>
      <w:bookmarkStart w:id="258" w:name="_Toc184310286"/>
      <w:bookmarkEnd w:id="258"/>
      <w:bookmarkStart w:id="259" w:name="_Toc184312079"/>
      <w:bookmarkEnd w:id="259"/>
      <w:bookmarkStart w:id="260" w:name="_Toc184312126"/>
      <w:bookmarkEnd w:id="260"/>
      <w:bookmarkStart w:id="261" w:name="_Toc184314482"/>
      <w:bookmarkEnd w:id="261"/>
      <w:bookmarkStart w:id="262" w:name="_Toc184310342"/>
      <w:bookmarkEnd w:id="262"/>
      <w:bookmarkStart w:id="263" w:name="_Toc184314457"/>
      <w:bookmarkEnd w:id="263"/>
      <w:bookmarkStart w:id="264" w:name="_Toc184313275"/>
      <w:bookmarkEnd w:id="264"/>
      <w:bookmarkStart w:id="265" w:name="_Toc184312127"/>
      <w:bookmarkEnd w:id="265"/>
      <w:bookmarkStart w:id="266" w:name="_Toc184314430"/>
      <w:bookmarkEnd w:id="266"/>
      <w:bookmarkStart w:id="267" w:name="_Toc184312105"/>
      <w:bookmarkEnd w:id="267"/>
      <w:bookmarkStart w:id="268" w:name="_Toc184313259"/>
      <w:bookmarkEnd w:id="268"/>
      <w:bookmarkStart w:id="269" w:name="_Toc184308047"/>
      <w:bookmarkEnd w:id="269"/>
      <w:bookmarkStart w:id="270" w:name="_Toc184308100"/>
      <w:bookmarkEnd w:id="270"/>
      <w:bookmarkStart w:id="271" w:name="_Toc184308062"/>
      <w:bookmarkEnd w:id="271"/>
      <w:bookmarkStart w:id="272" w:name="_Toc184313270"/>
      <w:bookmarkEnd w:id="272"/>
      <w:bookmarkStart w:id="273" w:name="_Toc184308042"/>
      <w:bookmarkEnd w:id="273"/>
      <w:bookmarkStart w:id="274" w:name="_Toc184313290"/>
      <w:bookmarkEnd w:id="274"/>
      <w:bookmarkStart w:id="275" w:name="_Toc184313292"/>
      <w:bookmarkEnd w:id="275"/>
      <w:bookmarkStart w:id="276" w:name="_Toc184312072"/>
      <w:bookmarkEnd w:id="276"/>
      <w:bookmarkStart w:id="277" w:name="_Toc184310272"/>
      <w:bookmarkEnd w:id="277"/>
      <w:bookmarkStart w:id="278" w:name="_Toc184312098"/>
      <w:bookmarkEnd w:id="278"/>
      <w:bookmarkStart w:id="279" w:name="_Toc184312119"/>
      <w:bookmarkEnd w:id="279"/>
      <w:bookmarkStart w:id="280" w:name="_Toc184313252"/>
      <w:bookmarkEnd w:id="280"/>
      <w:bookmarkStart w:id="281" w:name="_Toc184312134"/>
      <w:bookmarkEnd w:id="281"/>
      <w:bookmarkStart w:id="282" w:name="_Toc184313287"/>
      <w:bookmarkEnd w:id="282"/>
      <w:bookmarkStart w:id="283" w:name="_Toc184312074"/>
      <w:bookmarkEnd w:id="283"/>
      <w:bookmarkStart w:id="284" w:name="_Toc184312094"/>
      <w:bookmarkEnd w:id="284"/>
      <w:bookmarkStart w:id="285" w:name="_Toc184314475"/>
      <w:bookmarkEnd w:id="285"/>
      <w:bookmarkStart w:id="286" w:name="_Toc184310307"/>
      <w:bookmarkEnd w:id="286"/>
      <w:bookmarkStart w:id="287" w:name="_Toc184310317"/>
      <w:bookmarkEnd w:id="287"/>
      <w:bookmarkStart w:id="288" w:name="_Toc184308077"/>
      <w:bookmarkEnd w:id="288"/>
      <w:bookmarkStart w:id="289" w:name="_Toc184312122"/>
      <w:bookmarkEnd w:id="289"/>
      <w:bookmarkStart w:id="290" w:name="_Toc184308092"/>
      <w:bookmarkEnd w:id="290"/>
      <w:bookmarkStart w:id="291" w:name="_Toc184313279"/>
      <w:bookmarkEnd w:id="291"/>
      <w:bookmarkStart w:id="292" w:name="_Toc184310304"/>
      <w:bookmarkEnd w:id="292"/>
      <w:bookmarkStart w:id="293" w:name="_Toc184314450"/>
      <w:bookmarkEnd w:id="293"/>
      <w:bookmarkStart w:id="294" w:name="_Toc184314422"/>
      <w:bookmarkEnd w:id="294"/>
      <w:bookmarkStart w:id="295" w:name="_Toc184308043"/>
      <w:bookmarkEnd w:id="295"/>
      <w:bookmarkStart w:id="296" w:name="_Toc184313283"/>
      <w:bookmarkEnd w:id="296"/>
      <w:bookmarkStart w:id="297" w:name="_Toc184312096"/>
      <w:bookmarkEnd w:id="297"/>
      <w:bookmarkStart w:id="298" w:name="_Toc184313288"/>
      <w:bookmarkEnd w:id="298"/>
      <w:bookmarkStart w:id="299" w:name="_Toc184312069"/>
      <w:bookmarkEnd w:id="299"/>
      <w:bookmarkStart w:id="300" w:name="_Toc184308095"/>
      <w:bookmarkEnd w:id="300"/>
      <w:bookmarkStart w:id="301" w:name="_Toc184310312"/>
      <w:bookmarkEnd w:id="301"/>
      <w:bookmarkStart w:id="302" w:name="_Toc184308089"/>
      <w:bookmarkEnd w:id="302"/>
      <w:bookmarkStart w:id="303" w:name="_Toc184312099"/>
      <w:bookmarkEnd w:id="303"/>
      <w:bookmarkStart w:id="304" w:name="_Toc184308053"/>
      <w:bookmarkEnd w:id="304"/>
      <w:bookmarkStart w:id="305" w:name="_Toc184313253"/>
      <w:bookmarkEnd w:id="305"/>
      <w:bookmarkStart w:id="306" w:name="_Toc184314428"/>
      <w:bookmarkEnd w:id="306"/>
      <w:bookmarkStart w:id="307" w:name="_Toc184314424"/>
      <w:bookmarkEnd w:id="307"/>
      <w:bookmarkStart w:id="308" w:name="_Toc184313267"/>
      <w:bookmarkEnd w:id="308"/>
      <w:bookmarkStart w:id="309" w:name="_Toc184313258"/>
      <w:bookmarkEnd w:id="309"/>
      <w:bookmarkStart w:id="310" w:name="_Toc184312118"/>
      <w:bookmarkEnd w:id="310"/>
      <w:bookmarkStart w:id="311" w:name="_Toc184308059"/>
      <w:bookmarkEnd w:id="311"/>
      <w:bookmarkStart w:id="312" w:name="_Toc184312075"/>
      <w:bookmarkEnd w:id="312"/>
      <w:bookmarkStart w:id="313" w:name="_Toc184312077"/>
      <w:bookmarkEnd w:id="313"/>
      <w:bookmarkStart w:id="314" w:name="_Toc184314434"/>
      <w:bookmarkEnd w:id="314"/>
      <w:bookmarkStart w:id="315" w:name="_Toc184314451"/>
      <w:bookmarkEnd w:id="315"/>
      <w:bookmarkStart w:id="316" w:name="_Toc184314448"/>
      <w:bookmarkEnd w:id="316"/>
      <w:bookmarkStart w:id="317" w:name="_Toc184310309"/>
      <w:bookmarkEnd w:id="317"/>
      <w:bookmarkStart w:id="318" w:name="_Toc184312136"/>
      <w:bookmarkEnd w:id="318"/>
      <w:bookmarkStart w:id="319" w:name="_Toc184310315"/>
      <w:bookmarkEnd w:id="319"/>
      <w:bookmarkStart w:id="320" w:name="_Toc184310326"/>
      <w:bookmarkEnd w:id="320"/>
      <w:bookmarkStart w:id="321" w:name="_Toc184313301"/>
      <w:bookmarkEnd w:id="321"/>
      <w:bookmarkStart w:id="322" w:name="_Toc184308072"/>
      <w:bookmarkEnd w:id="322"/>
      <w:bookmarkStart w:id="323" w:name="_Toc184308045"/>
      <w:bookmarkEnd w:id="323"/>
      <w:bookmarkStart w:id="324" w:name="_Toc184310314"/>
      <w:bookmarkEnd w:id="324"/>
      <w:bookmarkStart w:id="325" w:name="_Toc184313269"/>
      <w:bookmarkEnd w:id="325"/>
      <w:bookmarkStart w:id="326" w:name="_Toc184310339"/>
      <w:bookmarkEnd w:id="326"/>
      <w:bookmarkStart w:id="327" w:name="_Toc184314423"/>
      <w:bookmarkEnd w:id="327"/>
      <w:bookmarkStart w:id="328" w:name="_Toc184313299"/>
      <w:bookmarkEnd w:id="328"/>
      <w:bookmarkStart w:id="329" w:name="_Toc184314435"/>
      <w:bookmarkEnd w:id="329"/>
      <w:bookmarkStart w:id="330" w:name="_Toc184310313"/>
      <w:bookmarkEnd w:id="330"/>
      <w:bookmarkStart w:id="331" w:name="_Toc184313271"/>
      <w:bookmarkEnd w:id="331"/>
      <w:bookmarkStart w:id="332" w:name="_Toc184313244"/>
      <w:bookmarkEnd w:id="332"/>
      <w:bookmarkStart w:id="333" w:name="_Toc184310285"/>
      <w:bookmarkEnd w:id="333"/>
      <w:bookmarkStart w:id="334" w:name="_Toc184313307"/>
      <w:bookmarkEnd w:id="334"/>
      <w:bookmarkStart w:id="335" w:name="_Toc184312111"/>
      <w:bookmarkEnd w:id="335"/>
      <w:bookmarkStart w:id="336" w:name="_Toc184313285"/>
      <w:bookmarkEnd w:id="336"/>
      <w:bookmarkStart w:id="337" w:name="_Toc184314421"/>
      <w:bookmarkEnd w:id="337"/>
      <w:bookmarkStart w:id="338" w:name="_Toc184308094"/>
      <w:bookmarkEnd w:id="338"/>
      <w:bookmarkStart w:id="339" w:name="_Toc184314414"/>
      <w:bookmarkEnd w:id="339"/>
      <w:bookmarkStart w:id="340" w:name="_Toc184312073"/>
      <w:bookmarkEnd w:id="340"/>
      <w:bookmarkStart w:id="341" w:name="_Toc184314410"/>
      <w:bookmarkEnd w:id="341"/>
      <w:bookmarkStart w:id="342" w:name="_Toc184308068"/>
      <w:bookmarkEnd w:id="342"/>
      <w:bookmarkStart w:id="343" w:name="_Toc184308104"/>
      <w:bookmarkEnd w:id="343"/>
      <w:bookmarkStart w:id="344" w:name="_Toc184308063"/>
      <w:bookmarkEnd w:id="344"/>
      <w:bookmarkStart w:id="345" w:name="_Toc184313251"/>
      <w:bookmarkEnd w:id="345"/>
      <w:bookmarkStart w:id="346" w:name="_Toc184312117"/>
      <w:bookmarkEnd w:id="346"/>
      <w:bookmarkStart w:id="347" w:name="_Toc184314467"/>
      <w:bookmarkEnd w:id="347"/>
      <w:bookmarkStart w:id="348" w:name="_Toc184314438"/>
      <w:bookmarkEnd w:id="348"/>
      <w:bookmarkStart w:id="349" w:name="_Toc184312120"/>
      <w:bookmarkEnd w:id="349"/>
      <w:bookmarkStart w:id="350" w:name="_Toc184313282"/>
      <w:bookmarkEnd w:id="350"/>
      <w:bookmarkStart w:id="351" w:name="_Toc184314461"/>
      <w:bookmarkEnd w:id="351"/>
      <w:bookmarkStart w:id="352" w:name="_Toc184314481"/>
      <w:bookmarkEnd w:id="352"/>
      <w:bookmarkStart w:id="353" w:name="_Toc184308084"/>
      <w:bookmarkEnd w:id="353"/>
      <w:bookmarkStart w:id="354" w:name="_Toc184314459"/>
      <w:bookmarkEnd w:id="354"/>
      <w:bookmarkStart w:id="355" w:name="_Toc184312123"/>
      <w:bookmarkEnd w:id="355"/>
      <w:bookmarkStart w:id="356" w:name="_Toc184312132"/>
      <w:bookmarkEnd w:id="356"/>
      <w:bookmarkStart w:id="357" w:name="_Toc184313242"/>
      <w:bookmarkEnd w:id="357"/>
      <w:bookmarkStart w:id="358" w:name="_Toc184313280"/>
      <w:bookmarkEnd w:id="358"/>
      <w:bookmarkStart w:id="359" w:name="_Toc184310295"/>
      <w:bookmarkEnd w:id="359"/>
      <w:bookmarkStart w:id="360" w:name="_Toc184308065"/>
      <w:bookmarkEnd w:id="360"/>
      <w:bookmarkStart w:id="361" w:name="_Toc184310305"/>
      <w:bookmarkEnd w:id="361"/>
      <w:bookmarkStart w:id="362" w:name="_Toc184314418"/>
      <w:bookmarkEnd w:id="362"/>
      <w:bookmarkStart w:id="363" w:name="_Toc184310289"/>
      <w:bookmarkEnd w:id="363"/>
      <w:bookmarkStart w:id="364" w:name="_Toc184312089"/>
      <w:bookmarkEnd w:id="364"/>
      <w:bookmarkStart w:id="365" w:name="_Toc184312071"/>
      <w:bookmarkEnd w:id="365"/>
      <w:bookmarkStart w:id="366" w:name="_Toc184312082"/>
      <w:bookmarkEnd w:id="366"/>
      <w:bookmarkStart w:id="367" w:name="_Toc184314456"/>
      <w:bookmarkEnd w:id="367"/>
      <w:bookmarkStart w:id="368" w:name="_Toc184310322"/>
      <w:bookmarkEnd w:id="368"/>
      <w:bookmarkStart w:id="369" w:name="_Toc184312113"/>
      <w:bookmarkEnd w:id="369"/>
      <w:bookmarkStart w:id="370" w:name="_Toc184314479"/>
      <w:bookmarkEnd w:id="370"/>
      <w:bookmarkStart w:id="371" w:name="_Toc184308088"/>
      <w:bookmarkEnd w:id="371"/>
      <w:bookmarkStart w:id="372" w:name="_Toc184312083"/>
      <w:bookmarkEnd w:id="372"/>
      <w:bookmarkStart w:id="373" w:name="_Toc184312085"/>
      <w:bookmarkEnd w:id="373"/>
      <w:bookmarkStart w:id="374" w:name="_Toc184308036"/>
      <w:bookmarkEnd w:id="374"/>
      <w:bookmarkStart w:id="375" w:name="_Toc184314411"/>
      <w:bookmarkEnd w:id="375"/>
      <w:bookmarkStart w:id="376" w:name="_Toc184312109"/>
      <w:bookmarkEnd w:id="376"/>
      <w:bookmarkStart w:id="377" w:name="_Toc184308105"/>
      <w:bookmarkEnd w:id="377"/>
      <w:bookmarkStart w:id="378" w:name="_Toc184310274"/>
      <w:bookmarkEnd w:id="378"/>
      <w:bookmarkStart w:id="379" w:name="_Toc184313263"/>
      <w:bookmarkEnd w:id="379"/>
      <w:bookmarkStart w:id="380" w:name="_Toc184313264"/>
      <w:bookmarkEnd w:id="380"/>
      <w:bookmarkStart w:id="381" w:name="_Toc184314413"/>
      <w:bookmarkEnd w:id="381"/>
      <w:bookmarkStart w:id="382" w:name="_Toc184313247"/>
      <w:bookmarkEnd w:id="382"/>
      <w:bookmarkStart w:id="383" w:name="_Toc184310281"/>
      <w:bookmarkEnd w:id="383"/>
      <w:bookmarkStart w:id="384" w:name="_Toc184313281"/>
      <w:bookmarkEnd w:id="384"/>
      <w:bookmarkStart w:id="385" w:name="_Toc184314455"/>
      <w:bookmarkEnd w:id="385"/>
      <w:bookmarkStart w:id="386" w:name="_Toc184312078"/>
      <w:bookmarkEnd w:id="386"/>
      <w:bookmarkStart w:id="387" w:name="_Toc184310330"/>
      <w:bookmarkEnd w:id="387"/>
      <w:bookmarkStart w:id="388" w:name="_Toc184308106"/>
      <w:bookmarkEnd w:id="388"/>
      <w:bookmarkStart w:id="389" w:name="_Toc184314443"/>
      <w:bookmarkEnd w:id="389"/>
      <w:bookmarkStart w:id="390" w:name="_Toc184314458"/>
      <w:bookmarkEnd w:id="390"/>
      <w:bookmarkStart w:id="391" w:name="_Toc184308079"/>
      <w:bookmarkEnd w:id="391"/>
      <w:bookmarkStart w:id="392" w:name="_Toc184308080"/>
      <w:bookmarkEnd w:id="392"/>
      <w:bookmarkStart w:id="393" w:name="_Toc184313256"/>
      <w:bookmarkEnd w:id="393"/>
      <w:bookmarkStart w:id="394" w:name="_Toc184308050"/>
      <w:bookmarkEnd w:id="394"/>
      <w:bookmarkStart w:id="395" w:name="_Toc184310284"/>
      <w:bookmarkEnd w:id="395"/>
      <w:bookmarkStart w:id="396" w:name="_Toc184313295"/>
      <w:bookmarkEnd w:id="396"/>
      <w:bookmarkStart w:id="397" w:name="_Toc184310341"/>
      <w:bookmarkEnd w:id="397"/>
      <w:bookmarkStart w:id="398" w:name="_Toc184313243"/>
      <w:bookmarkEnd w:id="398"/>
      <w:bookmarkStart w:id="399" w:name="_Toc184313249"/>
      <w:bookmarkEnd w:id="399"/>
      <w:bookmarkStart w:id="400" w:name="_Toc184310294"/>
      <w:bookmarkEnd w:id="400"/>
      <w:bookmarkStart w:id="401" w:name="_Toc184314465"/>
      <w:bookmarkEnd w:id="401"/>
      <w:r>
        <w:rPr>
          <w:rFonts w:hint="eastAsia" w:asciiTheme="minorEastAsia" w:hAnsiTheme="minorEastAsia" w:eastAsiaTheme="minorEastAsia" w:cstheme="minorEastAsia"/>
          <w:b/>
          <w:color w:val="auto"/>
          <w:sz w:val="36"/>
          <w:szCs w:val="36"/>
          <w:highlight w:val="none"/>
        </w:rPr>
        <w:t>评标办法</w:t>
      </w:r>
      <w:bookmarkEnd w:id="36"/>
    </w:p>
    <w:p>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评标办法前附表</w:t>
      </w:r>
    </w:p>
    <w:p>
      <w:pPr>
        <w:spacing w:line="360" w:lineRule="auto"/>
        <w:ind w:firstLine="422"/>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资格审查表</w:t>
      </w:r>
    </w:p>
    <w:tbl>
      <w:tblPr>
        <w:tblStyle w:val="75"/>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867"/>
        <w:gridCol w:w="1717"/>
        <w:gridCol w:w="5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审查因素</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审查内容</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具有独立承担民事责任的能力</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提供有效的营业执照副本（或事业法人登记证副本或其他登记证明材料）原件扫描件或者电子营业执照</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（1）如供应商是企业（包括合伙企业），提供在工商部门注册的有效“企业法人营业执照”或“营业执照”；</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（2）如供应商是事业单位，提供有效的“事业单位法人证书”；</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（3）如供应商是非企业专业服务机构的，提供执业许可证等证明文件；</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满足《中华人民共和国政府采购法》第二十二条规定</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承诺函</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提供符合参加政府采购活动应当具备的一般条件的承诺函，格式附后。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落实政府采购政策</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制造商须为中小企业</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诚信记录</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供应商“信用中国”网站（</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"http://www.creditchina" </w:instrText>
            </w:r>
            <w:r>
              <w:rPr>
                <w:rFonts w:hint="eastAsia" w:asciiTheme="minorEastAsia" w:hAnsiTheme="minorEastAsia" w:eastAsiaTheme="minorEastAsia" w:cstheme="minorEastAsia"/>
                <w:color w:val="auto"/>
                <w:highlight w:val="none"/>
              </w:rPr>
              <w:fldChar w:fldCharType="separate"/>
            </w:r>
            <w:r>
              <w:rPr>
                <w:rStyle w:val="71"/>
                <w:rFonts w:hint="eastAsia" w:asciiTheme="minorEastAsia" w:hAnsiTheme="minorEastAsia" w:eastAsiaTheme="minorEastAsia" w:cstheme="minorEastAsia"/>
                <w:snapToGrid/>
                <w:color w:val="auto"/>
                <w:kern w:val="2"/>
                <w:sz w:val="24"/>
                <w:szCs w:val="24"/>
                <w:highlight w:val="none"/>
              </w:rPr>
              <w:t>www.creditchina</w:t>
            </w:r>
            <w:r>
              <w:rPr>
                <w:rStyle w:val="71"/>
                <w:rFonts w:hint="eastAsia" w:asciiTheme="minorEastAsia" w:hAnsiTheme="minorEastAsia" w:eastAsiaTheme="minorEastAsia" w:cstheme="minorEastAsia"/>
                <w:snapToGrid/>
                <w:color w:val="auto"/>
                <w:kern w:val="2"/>
                <w:sz w:val="24"/>
                <w:szCs w:val="24"/>
                <w:highlight w:val="none"/>
              </w:rPr>
              <w:fldChar w:fldCharType="end"/>
            </w:r>
            <w:r>
              <w:rPr>
                <w:rFonts w:hint="eastAsia" w:asciiTheme="minorEastAsia" w:hAnsiTheme="minorEastAsia" w:eastAsiaTheme="minorEastAsia" w:cstheme="minorEastAsia"/>
                <w:color w:val="auto"/>
                <w:sz w:val="24"/>
                <w:highlight w:val="none"/>
              </w:rPr>
              <w:t>.gov.cn）、中国政府采购网（</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"http://www.ccgp" </w:instrText>
            </w:r>
            <w:r>
              <w:rPr>
                <w:rFonts w:hint="eastAsia" w:asciiTheme="minorEastAsia" w:hAnsiTheme="minorEastAsia" w:eastAsiaTheme="minorEastAsia" w:cstheme="minorEastAsia"/>
                <w:color w:val="auto"/>
                <w:highlight w:val="none"/>
              </w:rPr>
              <w:fldChar w:fldCharType="separate"/>
            </w:r>
            <w:r>
              <w:rPr>
                <w:rStyle w:val="71"/>
                <w:rFonts w:hint="eastAsia" w:asciiTheme="minorEastAsia" w:hAnsiTheme="minorEastAsia" w:eastAsiaTheme="minorEastAsia" w:cstheme="minorEastAsia"/>
                <w:snapToGrid/>
                <w:color w:val="auto"/>
                <w:kern w:val="2"/>
                <w:sz w:val="24"/>
                <w:szCs w:val="24"/>
                <w:highlight w:val="none"/>
              </w:rPr>
              <w:t>www.ccgp</w:t>
            </w:r>
            <w:r>
              <w:rPr>
                <w:rStyle w:val="71"/>
                <w:rFonts w:hint="eastAsia" w:asciiTheme="minorEastAsia" w:hAnsiTheme="minorEastAsia" w:eastAsiaTheme="minorEastAsia" w:cstheme="minorEastAsia"/>
                <w:snapToGrid/>
                <w:color w:val="auto"/>
                <w:kern w:val="2"/>
                <w:sz w:val="24"/>
                <w:szCs w:val="24"/>
                <w:highlight w:val="none"/>
              </w:rPr>
              <w:fldChar w:fldCharType="end"/>
            </w:r>
            <w:r>
              <w:rPr>
                <w:rFonts w:hint="eastAsia" w:asciiTheme="minorEastAsia" w:hAnsiTheme="minorEastAsia" w:eastAsiaTheme="minorEastAsia" w:cstheme="minorEastAsia"/>
                <w:color w:val="auto"/>
                <w:sz w:val="24"/>
                <w:highlight w:val="none"/>
              </w:rPr>
              <w:t>.gov.cn）信用记录情况无不良记录。</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开标当日为准对供应商“信用中国”网站（</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"http://www.creditchina" </w:instrText>
            </w:r>
            <w:r>
              <w:rPr>
                <w:rFonts w:hint="eastAsia" w:asciiTheme="minorEastAsia" w:hAnsiTheme="minorEastAsia" w:eastAsiaTheme="minorEastAsia" w:cstheme="minorEastAsia"/>
                <w:color w:val="auto"/>
                <w:highlight w:val="none"/>
              </w:rPr>
              <w:fldChar w:fldCharType="separate"/>
            </w:r>
            <w:r>
              <w:rPr>
                <w:rStyle w:val="71"/>
                <w:rFonts w:hint="eastAsia" w:asciiTheme="minorEastAsia" w:hAnsiTheme="minorEastAsia" w:eastAsiaTheme="minorEastAsia" w:cstheme="minorEastAsia"/>
                <w:snapToGrid/>
                <w:color w:val="auto"/>
                <w:kern w:val="2"/>
                <w:sz w:val="24"/>
                <w:szCs w:val="24"/>
                <w:highlight w:val="none"/>
              </w:rPr>
              <w:t>www.creditchina</w:t>
            </w:r>
            <w:r>
              <w:rPr>
                <w:rStyle w:val="71"/>
                <w:rFonts w:hint="eastAsia" w:asciiTheme="minorEastAsia" w:hAnsiTheme="minorEastAsia" w:eastAsiaTheme="minorEastAsia" w:cstheme="minorEastAsia"/>
                <w:snapToGrid/>
                <w:color w:val="auto"/>
                <w:kern w:val="2"/>
                <w:sz w:val="24"/>
                <w:szCs w:val="24"/>
                <w:highlight w:val="none"/>
              </w:rPr>
              <w:fldChar w:fldCharType="end"/>
            </w:r>
            <w:r>
              <w:rPr>
                <w:rFonts w:hint="eastAsia" w:asciiTheme="minorEastAsia" w:hAnsiTheme="minorEastAsia" w:eastAsiaTheme="minorEastAsia" w:cstheme="minorEastAsia"/>
                <w:color w:val="auto"/>
                <w:sz w:val="24"/>
                <w:highlight w:val="none"/>
              </w:rPr>
              <w:t>.gov.cn）、中国政府采购网（</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"http://www.ccgp" </w:instrText>
            </w:r>
            <w:r>
              <w:rPr>
                <w:rFonts w:hint="eastAsia" w:asciiTheme="minorEastAsia" w:hAnsiTheme="minorEastAsia" w:eastAsiaTheme="minorEastAsia" w:cstheme="minorEastAsia"/>
                <w:color w:val="auto"/>
                <w:highlight w:val="none"/>
              </w:rPr>
              <w:fldChar w:fldCharType="separate"/>
            </w:r>
            <w:r>
              <w:rPr>
                <w:rStyle w:val="71"/>
                <w:rFonts w:hint="eastAsia" w:asciiTheme="minorEastAsia" w:hAnsiTheme="minorEastAsia" w:eastAsiaTheme="minorEastAsia" w:cstheme="minorEastAsia"/>
                <w:snapToGrid/>
                <w:color w:val="auto"/>
                <w:kern w:val="2"/>
                <w:sz w:val="24"/>
                <w:szCs w:val="24"/>
                <w:highlight w:val="none"/>
              </w:rPr>
              <w:t>www.ccgp</w:t>
            </w:r>
            <w:r>
              <w:rPr>
                <w:rStyle w:val="71"/>
                <w:rFonts w:hint="eastAsia" w:asciiTheme="minorEastAsia" w:hAnsiTheme="minorEastAsia" w:eastAsiaTheme="minorEastAsia" w:cstheme="minorEastAsia"/>
                <w:snapToGrid/>
                <w:color w:val="auto"/>
                <w:kern w:val="2"/>
                <w:sz w:val="24"/>
                <w:szCs w:val="24"/>
                <w:highlight w:val="none"/>
              </w:rPr>
              <w:fldChar w:fldCharType="end"/>
            </w:r>
            <w:r>
              <w:rPr>
                <w:rFonts w:hint="eastAsia" w:asciiTheme="minorEastAsia" w:hAnsiTheme="minorEastAsia" w:eastAsiaTheme="minorEastAsia" w:cstheme="minorEastAsia"/>
                <w:color w:val="auto"/>
                <w:sz w:val="24"/>
                <w:highlight w:val="none"/>
              </w:rPr>
              <w:t>.gov.cn）信用记录情况进行核实，未被列入失信被执行人、重大税收违法案件当事人名单、政府采购严重违法失信行为记录名单。</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bl>
    <w:p>
      <w:pPr>
        <w:spacing w:line="360" w:lineRule="auto"/>
        <w:ind w:firstLine="422"/>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color w:val="auto"/>
          <w:sz w:val="24"/>
          <w:highlight w:val="none"/>
        </w:rPr>
        <w:t>注：</w:t>
      </w:r>
      <w:r>
        <w:rPr>
          <w:rFonts w:hint="eastAsia" w:asciiTheme="minorEastAsia" w:hAnsiTheme="minorEastAsia" w:eastAsiaTheme="minorEastAsia" w:cstheme="minorEastAsia"/>
          <w:b/>
          <w:bCs/>
          <w:color w:val="auto"/>
          <w:sz w:val="24"/>
          <w:highlight w:val="none"/>
        </w:rPr>
        <w:t>1、上述资格证明文件未按采购文件要求附入响应文件中的，资格性审查不合格。</w:t>
      </w:r>
    </w:p>
    <w:p>
      <w:pPr>
        <w:spacing w:line="360" w:lineRule="auto"/>
        <w:ind w:firstLine="422"/>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2、上述审查项目中，任意一项不符合的，资格性审查不合格。</w:t>
      </w:r>
    </w:p>
    <w:p>
      <w:pPr>
        <w:spacing w:line="360" w:lineRule="auto"/>
        <w:ind w:firstLine="422"/>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符合性审查表(可放弃关联)</w:t>
      </w:r>
    </w:p>
    <w:tbl>
      <w:tblPr>
        <w:tblStyle w:val="75"/>
        <w:tblW w:w="9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45"/>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2545" w:type="dxa"/>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审查项目</w:t>
            </w:r>
          </w:p>
        </w:tc>
        <w:tc>
          <w:tcPr>
            <w:tcW w:w="6150" w:type="dxa"/>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2545" w:type="dxa"/>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响应文件的签署盖章</w:t>
            </w:r>
          </w:p>
        </w:tc>
        <w:tc>
          <w:tcPr>
            <w:tcW w:w="6150" w:type="dxa"/>
            <w:vAlign w:val="center"/>
          </w:tcPr>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按采购文件规定签字或盖章的。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2545" w:type="dxa"/>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实质性条款响应</w:t>
            </w:r>
          </w:p>
        </w:tc>
        <w:tc>
          <w:tcPr>
            <w:tcW w:w="6150" w:type="dxa"/>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投标文件完全满足采购文件的实质性条款（即标注★号条款）无负偏离的。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2545" w:type="dxa"/>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法定代表人授权书</w:t>
            </w:r>
          </w:p>
        </w:tc>
        <w:tc>
          <w:tcPr>
            <w:tcW w:w="6150" w:type="dxa"/>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提供有效的法定代表人证明书/法定代表人授权委托书。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720" w:type="dxa"/>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2545" w:type="dxa"/>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无效响应条款响应</w:t>
            </w:r>
          </w:p>
        </w:tc>
        <w:tc>
          <w:tcPr>
            <w:tcW w:w="6150" w:type="dxa"/>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投标文件没有采购文件中规定的其它无效响应条款的。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2545" w:type="dxa"/>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w:t>
            </w:r>
          </w:p>
        </w:tc>
        <w:tc>
          <w:tcPr>
            <w:tcW w:w="6150" w:type="dxa"/>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投标供应商无虚假应标、串通投标的情形。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2545" w:type="dxa"/>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w:t>
            </w:r>
          </w:p>
        </w:tc>
        <w:tc>
          <w:tcPr>
            <w:tcW w:w="6150" w:type="dxa"/>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按有关法律、法规、规章不属于投标无效的。</w:t>
            </w:r>
          </w:p>
        </w:tc>
      </w:tr>
    </w:tbl>
    <w:p>
      <w:pPr>
        <w:spacing w:line="360" w:lineRule="auto"/>
        <w:ind w:firstLine="42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注：上述审查项目中，任意一项不符合的，符合性审查不合格。</w:t>
      </w:r>
    </w:p>
    <w:p>
      <w:pPr>
        <w:spacing w:line="400" w:lineRule="exact"/>
        <w:ind w:firstLine="422"/>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评分表</w:t>
      </w:r>
    </w:p>
    <w:tbl>
      <w:tblPr>
        <w:tblStyle w:val="75"/>
        <w:tblW w:w="9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519"/>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283" w:type="dxa"/>
            <w:vAlign w:val="center"/>
          </w:tcPr>
          <w:p>
            <w:pPr>
              <w:spacing w:line="360" w:lineRule="auto"/>
              <w:jc w:val="center"/>
              <w:textAlignment w:val="baseline"/>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评分项目</w:t>
            </w:r>
          </w:p>
        </w:tc>
        <w:tc>
          <w:tcPr>
            <w:tcW w:w="8431" w:type="dxa"/>
            <w:gridSpan w:val="2"/>
            <w:vAlign w:val="center"/>
          </w:tcPr>
          <w:p>
            <w:pPr>
              <w:spacing w:line="360" w:lineRule="auto"/>
              <w:textAlignment w:val="baseline"/>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评分标准及细则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283" w:type="dxa"/>
            <w:vAlign w:val="center"/>
          </w:tcPr>
          <w:p>
            <w:pPr>
              <w:spacing w:line="360" w:lineRule="auto"/>
              <w:ind w:right="-21" w:rightChars="-1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投标报价（30分）</w:t>
            </w:r>
          </w:p>
        </w:tc>
        <w:tc>
          <w:tcPr>
            <w:tcW w:w="1519" w:type="dxa"/>
            <w:vAlign w:val="center"/>
          </w:tcPr>
          <w:p>
            <w:pPr>
              <w:spacing w:line="360" w:lineRule="auto"/>
              <w:ind w:right="-21" w:rightChars="-1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价格分（30分）</w:t>
            </w:r>
          </w:p>
        </w:tc>
        <w:tc>
          <w:tcPr>
            <w:tcW w:w="6912" w:type="dxa"/>
            <w:vAlign w:val="center"/>
          </w:tcPr>
          <w:p>
            <w:pPr>
              <w:snapToGrid w:val="0"/>
              <w:spacing w:line="360" w:lineRule="auto"/>
              <w:jc w:val="left"/>
              <w:rPr>
                <w:rFonts w:hint="eastAsia" w:asciiTheme="minorEastAsia" w:hAnsiTheme="minorEastAsia" w:eastAsiaTheme="minorEastAsia" w:cstheme="minorEastAsia"/>
                <w:bCs/>
                <w:color w:val="auto"/>
                <w:sz w:val="24"/>
                <w:highlight w:val="none"/>
                <w:lang w:val="zh-CN"/>
              </w:rPr>
            </w:pPr>
            <w:r>
              <w:rPr>
                <w:rFonts w:hint="eastAsia" w:asciiTheme="minorEastAsia" w:hAnsiTheme="minorEastAsia" w:eastAsiaTheme="minorEastAsia" w:cstheme="minorEastAsia"/>
                <w:bCs/>
                <w:color w:val="auto"/>
                <w:sz w:val="24"/>
                <w:highlight w:val="none"/>
                <w:lang w:val="zh-CN"/>
              </w:rPr>
              <w:t>评标基准价=满足招标文件要求的参与评审价格中的最低价；</w:t>
            </w:r>
          </w:p>
          <w:p>
            <w:pPr>
              <w:snapToGrid w:val="0"/>
              <w:spacing w:line="360" w:lineRule="auto"/>
              <w:jc w:val="left"/>
              <w:rPr>
                <w:rFonts w:hint="eastAsia" w:asciiTheme="minorEastAsia" w:hAnsiTheme="minorEastAsia" w:eastAsiaTheme="minorEastAsia" w:cstheme="minorEastAsia"/>
                <w:bCs/>
                <w:color w:val="auto"/>
                <w:sz w:val="24"/>
                <w:highlight w:val="none"/>
                <w:lang w:val="zh-CN"/>
              </w:rPr>
            </w:pPr>
            <w:r>
              <w:rPr>
                <w:rFonts w:hint="eastAsia" w:asciiTheme="minorEastAsia" w:hAnsiTheme="minorEastAsia" w:eastAsiaTheme="minorEastAsia" w:cstheme="minorEastAsia"/>
                <w:bCs/>
                <w:color w:val="auto"/>
                <w:sz w:val="24"/>
                <w:highlight w:val="none"/>
                <w:lang w:val="zh-CN"/>
              </w:rPr>
              <w:t>评标基准价得分为满分。</w:t>
            </w:r>
          </w:p>
          <w:p>
            <w:pPr>
              <w:snapToGrid w:val="0"/>
              <w:spacing w:line="360" w:lineRule="auto"/>
              <w:jc w:val="left"/>
              <w:rPr>
                <w:rFonts w:hint="eastAsia" w:asciiTheme="minorEastAsia" w:hAnsiTheme="minorEastAsia" w:eastAsiaTheme="minorEastAsia" w:cstheme="minorEastAsia"/>
                <w:bCs/>
                <w:color w:val="auto"/>
                <w:sz w:val="24"/>
                <w:highlight w:val="none"/>
                <w:lang w:val="zh-CN"/>
              </w:rPr>
            </w:pPr>
            <w:r>
              <w:rPr>
                <w:rFonts w:hint="eastAsia" w:asciiTheme="minorEastAsia" w:hAnsiTheme="minorEastAsia" w:eastAsiaTheme="minorEastAsia" w:cstheme="minorEastAsia"/>
                <w:bCs/>
                <w:color w:val="auto"/>
                <w:sz w:val="24"/>
                <w:highlight w:val="none"/>
                <w:lang w:val="zh-CN"/>
              </w:rPr>
              <w:t>参与评审价格=投标报价</w:t>
            </w:r>
          </w:p>
          <w:p>
            <w:pPr>
              <w:snapToGrid w:val="0"/>
              <w:spacing w:line="360" w:lineRule="auto"/>
              <w:jc w:val="left"/>
              <w:rPr>
                <w:rFonts w:hint="eastAsia" w:asciiTheme="minorEastAsia" w:hAnsiTheme="minorEastAsia" w:eastAsiaTheme="minorEastAsia" w:cstheme="minorEastAsia"/>
                <w:bCs/>
                <w:color w:val="auto"/>
                <w:sz w:val="24"/>
                <w:highlight w:val="none"/>
                <w:lang w:val="zh-CN"/>
              </w:rPr>
            </w:pPr>
            <w:r>
              <w:rPr>
                <w:rFonts w:hint="eastAsia" w:asciiTheme="minorEastAsia" w:hAnsiTheme="minorEastAsia" w:eastAsiaTheme="minorEastAsia" w:cstheme="minorEastAsia"/>
                <w:bCs/>
                <w:color w:val="auto"/>
                <w:sz w:val="24"/>
                <w:highlight w:val="none"/>
                <w:lang w:val="zh-CN"/>
              </w:rPr>
              <w:t>投标报价得分=（评标基准价/参与评审价格）×</w:t>
            </w:r>
            <w:r>
              <w:rPr>
                <w:rFonts w:hint="eastAsia" w:asciiTheme="minorEastAsia" w:hAnsiTheme="minorEastAsia" w:eastAsiaTheme="minorEastAsia" w:cstheme="minorEastAsia"/>
                <w:bCs/>
                <w:color w:val="auto"/>
                <w:sz w:val="24"/>
                <w:highlight w:val="none"/>
              </w:rPr>
              <w:t>30</w:t>
            </w:r>
            <w:r>
              <w:rPr>
                <w:rFonts w:hint="eastAsia" w:asciiTheme="minorEastAsia" w:hAnsiTheme="minorEastAsia" w:eastAsiaTheme="minorEastAsia" w:cstheme="minorEastAsia"/>
                <w:bCs/>
                <w:color w:val="auto"/>
                <w:sz w:val="24"/>
                <w:highlight w:val="none"/>
                <w:lang w:val="zh-CN"/>
              </w:rPr>
              <w:t>分</w:t>
            </w:r>
          </w:p>
          <w:p>
            <w:pPr>
              <w:snapToGrid w:val="0"/>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lang w:val="zh-CN"/>
              </w:rPr>
              <w:t>投标报价得分以四舍五入保留小数点后两位。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283" w:type="dxa"/>
            <w:vMerge w:val="restart"/>
            <w:vAlign w:val="center"/>
          </w:tcPr>
          <w:p>
            <w:pPr>
              <w:spacing w:line="360" w:lineRule="auto"/>
              <w:ind w:right="-21" w:rightChars="-1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商务（5分）</w:t>
            </w:r>
          </w:p>
        </w:tc>
        <w:tc>
          <w:tcPr>
            <w:tcW w:w="1519" w:type="dxa"/>
            <w:vAlign w:val="center"/>
          </w:tcPr>
          <w:p>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业绩（3分）</w:t>
            </w:r>
          </w:p>
        </w:tc>
        <w:tc>
          <w:tcPr>
            <w:tcW w:w="6912" w:type="dxa"/>
            <w:vAlign w:val="center"/>
          </w:tcPr>
          <w:p>
            <w:pPr>
              <w:snapToGrid w:val="0"/>
              <w:spacing w:line="360" w:lineRule="auto"/>
              <w:jc w:val="left"/>
              <w:rPr>
                <w:rFonts w:hint="eastAsia" w:asciiTheme="minorEastAsia" w:hAnsiTheme="minorEastAsia" w:eastAsiaTheme="minorEastAsia" w:cstheme="minorEastAsia"/>
                <w:bCs/>
                <w:color w:val="auto"/>
                <w:sz w:val="24"/>
                <w:highlight w:val="none"/>
                <w:lang w:val="zh-CN"/>
              </w:rPr>
            </w:pPr>
            <w:r>
              <w:rPr>
                <w:rFonts w:hint="eastAsia" w:asciiTheme="minorEastAsia" w:hAnsiTheme="minorEastAsia" w:eastAsiaTheme="minorEastAsia" w:cstheme="minorEastAsia"/>
                <w:bCs/>
                <w:color w:val="auto"/>
                <w:sz w:val="24"/>
                <w:highlight w:val="none"/>
                <w:lang w:val="zh-CN"/>
              </w:rPr>
              <w:t>【客观分】</w:t>
            </w:r>
          </w:p>
          <w:p>
            <w:pPr>
              <w:snapToGrid w:val="0"/>
              <w:spacing w:line="360" w:lineRule="auto"/>
              <w:jc w:val="left"/>
              <w:rPr>
                <w:rFonts w:hint="eastAsia" w:asciiTheme="minorEastAsia" w:hAnsiTheme="minorEastAsia" w:eastAsiaTheme="minorEastAsia" w:cstheme="minorEastAsia"/>
                <w:bCs/>
                <w:color w:val="auto"/>
                <w:sz w:val="24"/>
                <w:highlight w:val="none"/>
                <w:lang w:val="zh-CN"/>
              </w:rPr>
            </w:pPr>
            <w:r>
              <w:rPr>
                <w:rFonts w:hint="eastAsia" w:asciiTheme="minorEastAsia" w:hAnsiTheme="minorEastAsia" w:eastAsiaTheme="minorEastAsia" w:cstheme="minorEastAsia"/>
                <w:bCs/>
                <w:color w:val="auto"/>
                <w:sz w:val="24"/>
                <w:highlight w:val="none"/>
                <w:lang w:val="zh-CN"/>
              </w:rPr>
              <w:t>投标人提供自20</w:t>
            </w:r>
            <w:r>
              <w:rPr>
                <w:rFonts w:hint="eastAsia" w:asciiTheme="minorEastAsia" w:hAnsiTheme="minorEastAsia" w:eastAsiaTheme="minorEastAsia" w:cstheme="minorEastAsia"/>
                <w:bCs/>
                <w:color w:val="auto"/>
                <w:sz w:val="24"/>
                <w:highlight w:val="none"/>
              </w:rPr>
              <w:t>21</w:t>
            </w:r>
            <w:r>
              <w:rPr>
                <w:rFonts w:hint="eastAsia" w:asciiTheme="minorEastAsia" w:hAnsiTheme="minorEastAsia" w:eastAsiaTheme="minorEastAsia" w:cstheme="minorEastAsia"/>
                <w:bCs/>
                <w:color w:val="auto"/>
                <w:sz w:val="24"/>
                <w:highlight w:val="none"/>
                <w:lang w:val="zh-CN"/>
              </w:rPr>
              <w:t>年1月1日以来（以合同签订时间为准）同类合同业绩（以提供的合同扫描件为准）：每提供1份合同业绩得1分，最高得3分。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3" w:hRule="atLeast"/>
        </w:trPr>
        <w:tc>
          <w:tcPr>
            <w:tcW w:w="1283" w:type="dxa"/>
            <w:vMerge w:val="continue"/>
            <w:vAlign w:val="center"/>
          </w:tcPr>
          <w:p>
            <w:pPr>
              <w:spacing w:line="360" w:lineRule="auto"/>
              <w:ind w:right="-21" w:rightChars="-10"/>
              <w:jc w:val="center"/>
              <w:rPr>
                <w:rFonts w:hint="eastAsia" w:asciiTheme="minorEastAsia" w:hAnsiTheme="minorEastAsia" w:eastAsiaTheme="minorEastAsia" w:cstheme="minorEastAsia"/>
                <w:b/>
                <w:color w:val="auto"/>
                <w:sz w:val="24"/>
                <w:highlight w:val="none"/>
              </w:rPr>
            </w:pPr>
          </w:p>
        </w:tc>
        <w:tc>
          <w:tcPr>
            <w:tcW w:w="1519" w:type="dxa"/>
            <w:vAlign w:val="center"/>
          </w:tcPr>
          <w:p>
            <w:pPr>
              <w:snapToGrid w:val="0"/>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节能、环保产品（2分）</w:t>
            </w:r>
          </w:p>
        </w:tc>
        <w:tc>
          <w:tcPr>
            <w:tcW w:w="6912" w:type="dxa"/>
            <w:vAlign w:val="center"/>
          </w:tcPr>
          <w:p>
            <w:pPr>
              <w:snapToGrid w:val="0"/>
              <w:spacing w:line="360" w:lineRule="auto"/>
              <w:jc w:val="left"/>
              <w:rPr>
                <w:rFonts w:hint="eastAsia" w:asciiTheme="minorEastAsia" w:hAnsiTheme="minorEastAsia" w:eastAsiaTheme="minorEastAsia" w:cstheme="minorEastAsia"/>
                <w:bCs/>
                <w:color w:val="auto"/>
                <w:sz w:val="24"/>
                <w:highlight w:val="none"/>
                <w:lang w:val="zh-CN"/>
              </w:rPr>
            </w:pPr>
            <w:r>
              <w:rPr>
                <w:rFonts w:hint="eastAsia" w:asciiTheme="minorEastAsia" w:hAnsiTheme="minorEastAsia" w:eastAsiaTheme="minorEastAsia" w:cstheme="minorEastAsia"/>
                <w:bCs/>
                <w:color w:val="auto"/>
                <w:sz w:val="24"/>
                <w:highlight w:val="none"/>
                <w:lang w:val="zh-CN"/>
              </w:rPr>
              <w:t>【客观分】</w:t>
            </w:r>
          </w:p>
          <w:p>
            <w:pPr>
              <w:snapToGrid w:val="0"/>
              <w:spacing w:line="360" w:lineRule="auto"/>
              <w:jc w:val="left"/>
              <w:rPr>
                <w:rFonts w:hint="eastAsia" w:asciiTheme="minorEastAsia" w:hAnsiTheme="minorEastAsia" w:eastAsiaTheme="minorEastAsia" w:cstheme="minorEastAsia"/>
                <w:bCs/>
                <w:color w:val="auto"/>
                <w:sz w:val="24"/>
                <w:highlight w:val="none"/>
                <w:lang w:val="zh-CN"/>
              </w:rPr>
            </w:pPr>
            <w:r>
              <w:rPr>
                <w:rFonts w:hint="eastAsia" w:asciiTheme="minorEastAsia" w:hAnsiTheme="minorEastAsia" w:eastAsiaTheme="minorEastAsia" w:cstheme="minorEastAsia"/>
                <w:bCs/>
                <w:color w:val="auto"/>
                <w:sz w:val="24"/>
                <w:highlight w:val="none"/>
                <w:lang w:val="zh-CN"/>
              </w:rPr>
              <w:t>所有投标产品属于品目清单范围且提供国家确定的认证机构出具的有效的节能产品认证证书（扫描件加盖公章）的得1分；</w:t>
            </w:r>
          </w:p>
          <w:p>
            <w:pPr>
              <w:snapToGrid w:val="0"/>
              <w:spacing w:line="360" w:lineRule="auto"/>
              <w:jc w:val="left"/>
              <w:rPr>
                <w:rFonts w:hint="eastAsia" w:asciiTheme="minorEastAsia" w:hAnsiTheme="minorEastAsia" w:eastAsiaTheme="minorEastAsia" w:cstheme="minorEastAsia"/>
                <w:bCs/>
                <w:color w:val="auto"/>
                <w:sz w:val="24"/>
                <w:highlight w:val="none"/>
                <w:lang w:val="zh-CN"/>
              </w:rPr>
            </w:pPr>
            <w:r>
              <w:rPr>
                <w:rFonts w:hint="eastAsia" w:asciiTheme="minorEastAsia" w:hAnsiTheme="minorEastAsia" w:eastAsiaTheme="minorEastAsia" w:cstheme="minorEastAsia"/>
                <w:bCs/>
                <w:color w:val="auto"/>
                <w:sz w:val="24"/>
                <w:highlight w:val="none"/>
                <w:lang w:val="zh-CN"/>
              </w:rPr>
              <w:t>所有投标产品属于品目清单范围且提供国家确定的认证机构出具的有效的环境标志产品认证证书（扫描件加盖公章）的得1分；</w:t>
            </w:r>
          </w:p>
          <w:p>
            <w:pPr>
              <w:snapToGrid w:val="0"/>
              <w:spacing w:line="360" w:lineRule="auto"/>
              <w:jc w:val="left"/>
              <w:rPr>
                <w:rFonts w:hint="eastAsia" w:asciiTheme="minorEastAsia" w:hAnsiTheme="minorEastAsia" w:eastAsiaTheme="minorEastAsia" w:cstheme="minorEastAsia"/>
                <w:bCs/>
                <w:color w:val="auto"/>
                <w:sz w:val="24"/>
                <w:highlight w:val="none"/>
                <w:lang w:val="zh-CN"/>
              </w:rPr>
            </w:pPr>
            <w:r>
              <w:rPr>
                <w:rFonts w:hint="eastAsia" w:asciiTheme="minorEastAsia" w:hAnsiTheme="minorEastAsia" w:eastAsiaTheme="minorEastAsia" w:cstheme="minorEastAsia"/>
                <w:bCs/>
                <w:color w:val="auto"/>
                <w:sz w:val="24"/>
                <w:highlight w:val="none"/>
                <w:lang w:val="zh-CN"/>
              </w:rPr>
              <w:t>注：政府强制采购的节能产品的除外。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283" w:type="dxa"/>
            <w:vMerge w:val="restart"/>
            <w:vAlign w:val="center"/>
          </w:tcPr>
          <w:p>
            <w:pPr>
              <w:spacing w:line="360" w:lineRule="auto"/>
              <w:ind w:right="-21" w:rightChars="-1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技术（65分）</w:t>
            </w:r>
          </w:p>
        </w:tc>
        <w:tc>
          <w:tcPr>
            <w:tcW w:w="1519" w:type="dxa"/>
            <w:vAlign w:val="center"/>
          </w:tcPr>
          <w:p>
            <w:pPr>
              <w:snapToGrid w:val="0"/>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技术响应程度（3</w:t>
            </w:r>
            <w:r>
              <w:rPr>
                <w:rFonts w:hint="eastAsia" w:asciiTheme="minorEastAsia" w:hAnsiTheme="minorEastAsia" w:eastAsiaTheme="minorEastAsia" w:cstheme="minorEastAsia"/>
                <w:b/>
                <w:bCs/>
                <w:color w:val="auto"/>
                <w:sz w:val="24"/>
                <w:highlight w:val="none"/>
                <w:lang w:val="en-US" w:eastAsia="zh-CN"/>
              </w:rPr>
              <w:t>2</w:t>
            </w:r>
            <w:r>
              <w:rPr>
                <w:rFonts w:hint="eastAsia" w:asciiTheme="minorEastAsia" w:hAnsiTheme="minorEastAsia" w:eastAsiaTheme="minorEastAsia" w:cstheme="minorEastAsia"/>
                <w:b/>
                <w:bCs/>
                <w:color w:val="auto"/>
                <w:sz w:val="24"/>
                <w:highlight w:val="none"/>
              </w:rPr>
              <w:t>分）</w:t>
            </w:r>
          </w:p>
        </w:tc>
        <w:tc>
          <w:tcPr>
            <w:tcW w:w="6912" w:type="dxa"/>
            <w:vAlign w:val="center"/>
          </w:tcPr>
          <w:p>
            <w:pPr>
              <w:snapToGrid w:val="0"/>
              <w:spacing w:line="360" w:lineRule="auto"/>
              <w:jc w:val="left"/>
              <w:rPr>
                <w:rFonts w:hint="eastAsia" w:asciiTheme="minorEastAsia" w:hAnsiTheme="minorEastAsia" w:eastAsiaTheme="minorEastAsia" w:cstheme="minorEastAsia"/>
                <w:bCs/>
                <w:color w:val="auto"/>
                <w:sz w:val="24"/>
                <w:highlight w:val="none"/>
                <w:lang w:val="zh-CN"/>
              </w:rPr>
            </w:pPr>
            <w:r>
              <w:rPr>
                <w:rFonts w:hint="eastAsia" w:asciiTheme="minorEastAsia" w:hAnsiTheme="minorEastAsia" w:eastAsiaTheme="minorEastAsia" w:cstheme="minorEastAsia"/>
                <w:bCs/>
                <w:color w:val="auto"/>
                <w:sz w:val="24"/>
                <w:highlight w:val="none"/>
                <w:lang w:val="zh-CN"/>
              </w:rPr>
              <w:t>【客观分】对招标文件的技术参数条款响应情况进行综合评议。任何一条未标注“▲”和“★”采购需求的未响应或负偏离的，每条扣1分；任何一条标注“▲”采购需求的未响应或负偏离的，每条扣3分，任何一条标注“★”采购需求的未响应或负偏离的，为无效标，</w:t>
            </w:r>
            <w:r>
              <w:rPr>
                <w:rFonts w:hint="eastAsia" w:asciiTheme="minorEastAsia" w:hAnsiTheme="minorEastAsia" w:eastAsiaTheme="minorEastAsia" w:cstheme="minorEastAsia"/>
                <w:bCs/>
                <w:color w:val="auto"/>
                <w:sz w:val="24"/>
                <w:highlight w:val="none"/>
              </w:rPr>
              <w:t>3</w:t>
            </w:r>
            <w:r>
              <w:rPr>
                <w:rFonts w:hint="eastAsia" w:asciiTheme="minorEastAsia" w:hAnsiTheme="minorEastAsia" w:eastAsiaTheme="minorEastAsia" w:cstheme="minorEastAsia"/>
                <w:bCs/>
                <w:color w:val="auto"/>
                <w:sz w:val="24"/>
                <w:highlight w:val="none"/>
                <w:lang w:val="en-US" w:eastAsia="zh-CN"/>
              </w:rPr>
              <w:t>2</w:t>
            </w:r>
            <w:r>
              <w:rPr>
                <w:rFonts w:hint="eastAsia" w:asciiTheme="minorEastAsia" w:hAnsiTheme="minorEastAsia" w:eastAsiaTheme="minorEastAsia" w:cstheme="minorEastAsia"/>
                <w:bCs/>
                <w:color w:val="auto"/>
                <w:sz w:val="24"/>
                <w:highlight w:val="none"/>
                <w:lang w:val="zh-CN"/>
              </w:rPr>
              <w:t>分扣完作无效标处理。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283" w:type="dxa"/>
            <w:vMerge w:val="continue"/>
            <w:vAlign w:val="center"/>
          </w:tcPr>
          <w:p>
            <w:pPr>
              <w:spacing w:line="360" w:lineRule="auto"/>
              <w:ind w:right="-21" w:rightChars="-10"/>
              <w:jc w:val="center"/>
              <w:rPr>
                <w:rFonts w:hint="eastAsia" w:asciiTheme="minorEastAsia" w:hAnsiTheme="minorEastAsia" w:eastAsiaTheme="minorEastAsia" w:cstheme="minorEastAsia"/>
                <w:b/>
                <w:color w:val="auto"/>
                <w:sz w:val="24"/>
                <w:highlight w:val="none"/>
              </w:rPr>
            </w:pPr>
          </w:p>
        </w:tc>
        <w:tc>
          <w:tcPr>
            <w:tcW w:w="1519" w:type="dxa"/>
            <w:vAlign w:val="center"/>
          </w:tcPr>
          <w:p>
            <w:pPr>
              <w:snapToGrid w:val="0"/>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供货方案（5分）</w:t>
            </w:r>
          </w:p>
        </w:tc>
        <w:tc>
          <w:tcPr>
            <w:tcW w:w="6912" w:type="dxa"/>
            <w:vAlign w:val="center"/>
          </w:tcPr>
          <w:p>
            <w:pPr>
              <w:snapToGrid w:val="0"/>
              <w:spacing w:line="360" w:lineRule="auto"/>
              <w:jc w:val="left"/>
              <w:rPr>
                <w:rFonts w:hint="eastAsia" w:asciiTheme="minorEastAsia" w:hAnsiTheme="minorEastAsia" w:eastAsiaTheme="minorEastAsia" w:cstheme="minorEastAsia"/>
                <w:bCs/>
                <w:color w:val="auto"/>
                <w:sz w:val="24"/>
                <w:highlight w:val="none"/>
                <w:lang w:val="zh-CN"/>
              </w:rPr>
            </w:pPr>
            <w:r>
              <w:rPr>
                <w:rFonts w:hint="eastAsia" w:asciiTheme="minorEastAsia" w:hAnsiTheme="minorEastAsia" w:eastAsiaTheme="minorEastAsia" w:cstheme="minorEastAsia"/>
                <w:bCs/>
                <w:color w:val="auto"/>
                <w:sz w:val="24"/>
                <w:highlight w:val="none"/>
                <w:lang w:val="zh-CN"/>
              </w:rPr>
              <w:t>【主观分】根据投标人提供的供货期限是否满足招标文件要求；交货方式是否切合实际；供货保障是否合理；供货流程要点是否明确；供货实施步骤是否清晰进行评议。</w:t>
            </w:r>
          </w:p>
          <w:p>
            <w:pPr>
              <w:snapToGrid w:val="0"/>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1）供货期完全满足招标文件要求，交货方式切合实际，供货保障流程合理且供货流程要点明确，供货实施步骤清晰，能提供有针对性的服务措施的得5分；</w:t>
            </w:r>
            <w:r>
              <w:rPr>
                <w:rFonts w:hint="eastAsia" w:asciiTheme="minorEastAsia" w:hAnsiTheme="minorEastAsia" w:eastAsiaTheme="minorEastAsia" w:cstheme="minorEastAsia"/>
                <w:bCs/>
                <w:color w:val="auto"/>
                <w:sz w:val="24"/>
                <w:highlight w:val="none"/>
              </w:rPr>
              <w:br w:type="textWrapping"/>
            </w:r>
            <w:r>
              <w:rPr>
                <w:rFonts w:hint="eastAsia" w:asciiTheme="minorEastAsia" w:hAnsiTheme="minorEastAsia" w:eastAsiaTheme="minorEastAsia" w:cstheme="minorEastAsia"/>
                <w:bCs/>
                <w:color w:val="auto"/>
                <w:sz w:val="24"/>
                <w:highlight w:val="none"/>
              </w:rPr>
              <w:t>2）供货期满足招标文件要求，交货方式切合实际，供货保障流程合理且供货流程要点明确，供货实施步骤清晰，能提供比较有针对性的服务措施的得4分；</w:t>
            </w:r>
          </w:p>
          <w:p>
            <w:pPr>
              <w:snapToGrid w:val="0"/>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3）方案内容符合本项目的供货要求，实行上基本合理可行的得3分；</w:t>
            </w:r>
          </w:p>
          <w:p>
            <w:pPr>
              <w:snapToGrid w:val="0"/>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4）方案内容基本符合本项目的供货要求，但是实行上略有欠缺的得2分；</w:t>
            </w:r>
          </w:p>
          <w:p>
            <w:pPr>
              <w:snapToGrid w:val="0"/>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5）方案内容不完整，内容不充分，与本项目货物供应要求有差距的得1分；</w:t>
            </w:r>
          </w:p>
          <w:p>
            <w:pPr>
              <w:snapToGrid w:val="0"/>
              <w:spacing w:line="360" w:lineRule="auto"/>
              <w:jc w:val="left"/>
              <w:rPr>
                <w:rFonts w:hint="eastAsia" w:asciiTheme="minorEastAsia" w:hAnsiTheme="minorEastAsia" w:eastAsiaTheme="minorEastAsia" w:cstheme="minorEastAsia"/>
                <w:bCs/>
                <w:color w:val="auto"/>
                <w:sz w:val="24"/>
                <w:highlight w:val="none"/>
                <w:lang w:val="zh-CN"/>
              </w:rPr>
            </w:pPr>
            <w:r>
              <w:rPr>
                <w:rFonts w:hint="eastAsia" w:asciiTheme="minorEastAsia" w:hAnsiTheme="minorEastAsia" w:eastAsiaTheme="minorEastAsia" w:cstheme="minorEastAsia"/>
                <w:bCs/>
                <w:color w:val="auto"/>
                <w:sz w:val="24"/>
                <w:highlight w:val="none"/>
              </w:rPr>
              <w:t>6）未提供相关内容的不得分。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283" w:type="dxa"/>
            <w:vMerge w:val="continue"/>
            <w:vAlign w:val="center"/>
          </w:tcPr>
          <w:p>
            <w:pPr>
              <w:spacing w:line="360" w:lineRule="auto"/>
              <w:ind w:right="-21" w:rightChars="-10"/>
              <w:jc w:val="center"/>
              <w:rPr>
                <w:rFonts w:hint="eastAsia" w:asciiTheme="minorEastAsia" w:hAnsiTheme="minorEastAsia" w:eastAsiaTheme="minorEastAsia" w:cstheme="minorEastAsia"/>
                <w:b/>
                <w:color w:val="auto"/>
                <w:sz w:val="24"/>
                <w:highlight w:val="none"/>
              </w:rPr>
            </w:pPr>
          </w:p>
        </w:tc>
        <w:tc>
          <w:tcPr>
            <w:tcW w:w="1519" w:type="dxa"/>
            <w:vAlign w:val="center"/>
          </w:tcPr>
          <w:p>
            <w:pP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Cs/>
                <w:color w:val="auto"/>
                <w:sz w:val="24"/>
                <w:highlight w:val="none"/>
              </w:rPr>
              <w:t>产品企业认证（3分）</w:t>
            </w:r>
          </w:p>
        </w:tc>
        <w:tc>
          <w:tcPr>
            <w:tcW w:w="6912" w:type="dxa"/>
            <w:vAlign w:val="center"/>
          </w:tcPr>
          <w:p>
            <w:pPr>
              <w:snapToGrid w:val="0"/>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val="zh-CN"/>
              </w:rPr>
              <w:t>【</w:t>
            </w:r>
            <w:r>
              <w:rPr>
                <w:rFonts w:hint="eastAsia" w:asciiTheme="minorEastAsia" w:hAnsiTheme="minorEastAsia" w:eastAsiaTheme="minorEastAsia" w:cstheme="minorEastAsia"/>
                <w:bCs/>
                <w:color w:val="auto"/>
                <w:sz w:val="24"/>
                <w:highlight w:val="none"/>
                <w:lang w:val="en-US" w:eastAsia="zh-CN"/>
              </w:rPr>
              <w:t>客</w:t>
            </w:r>
            <w:r>
              <w:rPr>
                <w:rFonts w:hint="eastAsia" w:asciiTheme="minorEastAsia" w:hAnsiTheme="minorEastAsia" w:eastAsiaTheme="minorEastAsia" w:cstheme="minorEastAsia"/>
                <w:bCs/>
                <w:color w:val="auto"/>
                <w:sz w:val="24"/>
                <w:highlight w:val="none"/>
                <w:lang w:val="zh-CN"/>
              </w:rPr>
              <w:t>观分】</w:t>
            </w:r>
            <w:r>
              <w:rPr>
                <w:rFonts w:hint="eastAsia" w:asciiTheme="minorEastAsia" w:hAnsiTheme="minorEastAsia" w:eastAsiaTheme="minorEastAsia" w:cstheme="minorEastAsia"/>
                <w:bCs/>
                <w:color w:val="auto"/>
                <w:sz w:val="24"/>
                <w:highlight w:val="none"/>
              </w:rPr>
              <w:t>投标核心产品的制造商具有有效期内的质量管理体系认证、环境管理体系认证、职业健康安全管理体系认证，每具备一项证书得1分，最高得3分。</w:t>
            </w:r>
          </w:p>
          <w:p>
            <w:pPr>
              <w:snapToGrid w:val="0"/>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注：投标文件中需提供上述证明材料扫描件加盖公章，且证书需在有效期内，提供该证书于全国认证认可信息公共服务平台（http://cx.cnca.cn）证书的信息查询截图，已失效或撤销的不得分，未无提供或提供不全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2" w:hRule="atLeast"/>
        </w:trPr>
        <w:tc>
          <w:tcPr>
            <w:tcW w:w="1283" w:type="dxa"/>
            <w:vMerge w:val="continue"/>
            <w:vAlign w:val="center"/>
          </w:tcPr>
          <w:p>
            <w:pPr>
              <w:spacing w:line="360" w:lineRule="auto"/>
              <w:ind w:right="-21" w:rightChars="-10"/>
              <w:jc w:val="center"/>
              <w:rPr>
                <w:rFonts w:hint="eastAsia" w:asciiTheme="minorEastAsia" w:hAnsiTheme="minorEastAsia" w:eastAsiaTheme="minorEastAsia" w:cstheme="minorEastAsia"/>
                <w:b/>
                <w:color w:val="auto"/>
                <w:sz w:val="24"/>
                <w:highlight w:val="none"/>
              </w:rPr>
            </w:pPr>
          </w:p>
        </w:tc>
        <w:tc>
          <w:tcPr>
            <w:tcW w:w="1519" w:type="dxa"/>
            <w:vAlign w:val="center"/>
          </w:tcPr>
          <w:p>
            <w:pPr>
              <w:snapToGrid w:val="0"/>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确保供应货物质量的设施及措施（5分）</w:t>
            </w:r>
          </w:p>
        </w:tc>
        <w:tc>
          <w:tcPr>
            <w:tcW w:w="6912" w:type="dxa"/>
            <w:vAlign w:val="center"/>
          </w:tcPr>
          <w:p>
            <w:pPr>
              <w:snapToGrid w:val="0"/>
              <w:spacing w:line="360" w:lineRule="auto"/>
              <w:jc w:val="left"/>
              <w:rPr>
                <w:rFonts w:hint="eastAsia" w:asciiTheme="minorEastAsia" w:hAnsiTheme="minorEastAsia" w:eastAsiaTheme="minorEastAsia" w:cstheme="minorEastAsia"/>
                <w:bCs/>
                <w:color w:val="auto"/>
                <w:sz w:val="24"/>
                <w:highlight w:val="none"/>
                <w:lang w:val="zh-CN"/>
              </w:rPr>
            </w:pPr>
            <w:r>
              <w:rPr>
                <w:rFonts w:hint="eastAsia" w:asciiTheme="minorEastAsia" w:hAnsiTheme="minorEastAsia" w:eastAsiaTheme="minorEastAsia" w:cstheme="minorEastAsia"/>
                <w:bCs/>
                <w:color w:val="auto"/>
                <w:sz w:val="24"/>
                <w:highlight w:val="none"/>
                <w:lang w:val="zh-CN"/>
              </w:rPr>
              <w:t>【主观分】根据投标人具有的质量监控措施和质量检测设施的先进性、可行性、质量保障效果评分。投标人提供的质量监控措施和质量检测设施先进、可行性强、保障效果显著的，得5分；提供的质量监控措施和质量检测设施较先进、可行性较强、有明显保障效果的，得4分；提供的质量监控措施和质量检测设施较先进、有一定可行性、有一定保障效果的，得3分；提供的质量监控措施和质量检测设施可行性一般、保障效果不强的，得2分；提供的质量监控措施和质量检测设施可行性有明显缺陷、保障效果不强的，得1分；无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8" w:hRule="atLeast"/>
        </w:trPr>
        <w:tc>
          <w:tcPr>
            <w:tcW w:w="1283" w:type="dxa"/>
            <w:vMerge w:val="continue"/>
            <w:vAlign w:val="center"/>
          </w:tcPr>
          <w:p>
            <w:pPr>
              <w:widowControl/>
              <w:spacing w:line="360" w:lineRule="auto"/>
              <w:rPr>
                <w:rFonts w:hint="eastAsia" w:asciiTheme="minorEastAsia" w:hAnsiTheme="minorEastAsia" w:eastAsiaTheme="minorEastAsia" w:cstheme="minorEastAsia"/>
                <w:color w:val="auto"/>
                <w:sz w:val="24"/>
                <w:highlight w:val="none"/>
              </w:rPr>
            </w:pPr>
          </w:p>
        </w:tc>
        <w:tc>
          <w:tcPr>
            <w:tcW w:w="1519" w:type="dxa"/>
            <w:vAlign w:val="center"/>
          </w:tcPr>
          <w:p>
            <w:pPr>
              <w:snapToGrid w:val="0"/>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安装、调试（5分）</w:t>
            </w:r>
          </w:p>
        </w:tc>
        <w:tc>
          <w:tcPr>
            <w:tcW w:w="6912" w:type="dxa"/>
            <w:vAlign w:val="center"/>
          </w:tcPr>
          <w:p>
            <w:pPr>
              <w:snapToGrid w:val="0"/>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val="zh-CN"/>
              </w:rPr>
              <w:t>【主观分】根据对现场安装、调试方案可行性、合理性和可操作性进行评分；</w:t>
            </w:r>
            <w:r>
              <w:rPr>
                <w:rFonts w:hint="eastAsia" w:asciiTheme="minorEastAsia" w:hAnsiTheme="minorEastAsia" w:eastAsiaTheme="minorEastAsia" w:cstheme="minorEastAsia"/>
                <w:bCs/>
                <w:color w:val="auto"/>
                <w:sz w:val="24"/>
                <w:highlight w:val="none"/>
              </w:rPr>
              <w:t>1）安装方案得当，安装人员配置贴合实际需求，调试要求明确，且开箱测试方式科学，产品调试方案合理，能确保货物正常安装及验收的得5分；</w:t>
            </w:r>
            <w:r>
              <w:rPr>
                <w:rFonts w:hint="eastAsia" w:asciiTheme="minorEastAsia" w:hAnsiTheme="minorEastAsia" w:eastAsiaTheme="minorEastAsia" w:cstheme="minorEastAsia"/>
                <w:bCs/>
                <w:color w:val="auto"/>
                <w:sz w:val="24"/>
                <w:highlight w:val="none"/>
              </w:rPr>
              <w:br w:type="textWrapping"/>
            </w:r>
            <w:r>
              <w:rPr>
                <w:rFonts w:hint="eastAsia" w:asciiTheme="minorEastAsia" w:hAnsiTheme="minorEastAsia" w:eastAsiaTheme="minorEastAsia" w:cstheme="minorEastAsia"/>
                <w:bCs/>
                <w:color w:val="auto"/>
                <w:sz w:val="24"/>
                <w:highlight w:val="none"/>
              </w:rPr>
              <w:t>2）安装方案及安装人员配置基本贴合实际需求，调试要求基本明确，开箱测试方式基本合理可行的得4分；</w:t>
            </w:r>
            <w:r>
              <w:rPr>
                <w:rFonts w:hint="eastAsia" w:asciiTheme="minorEastAsia" w:hAnsiTheme="minorEastAsia" w:eastAsiaTheme="minorEastAsia" w:cstheme="minorEastAsia"/>
                <w:bCs/>
                <w:color w:val="auto"/>
                <w:sz w:val="24"/>
                <w:highlight w:val="none"/>
              </w:rPr>
              <w:br w:type="textWrapping"/>
            </w:r>
            <w:r>
              <w:rPr>
                <w:rFonts w:hint="eastAsia" w:asciiTheme="minorEastAsia" w:hAnsiTheme="minorEastAsia" w:eastAsiaTheme="minorEastAsia" w:cstheme="minorEastAsia"/>
                <w:bCs/>
                <w:color w:val="auto"/>
                <w:sz w:val="24"/>
                <w:highlight w:val="none"/>
              </w:rPr>
              <w:t>3）安装方案及安装人员配置基本符合采购人实际，但调试要求不够明确、开箱测试方式不够可行的得3分</w:t>
            </w:r>
            <w:r>
              <w:rPr>
                <w:rFonts w:hint="eastAsia" w:asciiTheme="minorEastAsia" w:hAnsiTheme="minorEastAsia" w:eastAsiaTheme="minorEastAsia" w:cstheme="minorEastAsia"/>
                <w:bCs/>
                <w:color w:val="auto"/>
                <w:sz w:val="24"/>
                <w:highlight w:val="none"/>
              </w:rPr>
              <w:br w:type="textWrapping"/>
            </w:r>
            <w:r>
              <w:rPr>
                <w:rFonts w:hint="eastAsia" w:asciiTheme="minorEastAsia" w:hAnsiTheme="minorEastAsia" w:eastAsiaTheme="minorEastAsia" w:cstheme="minorEastAsia"/>
                <w:bCs/>
                <w:color w:val="auto"/>
                <w:sz w:val="24"/>
                <w:highlight w:val="none"/>
              </w:rPr>
              <w:t>4）安装与调试方案不够符合项目实际要求，且存在一定缺项的得2分；</w:t>
            </w:r>
            <w:r>
              <w:rPr>
                <w:rFonts w:hint="eastAsia" w:asciiTheme="minorEastAsia" w:hAnsiTheme="minorEastAsia" w:eastAsiaTheme="minorEastAsia" w:cstheme="minorEastAsia"/>
                <w:bCs/>
                <w:color w:val="auto"/>
                <w:sz w:val="24"/>
                <w:highlight w:val="none"/>
              </w:rPr>
              <w:br w:type="textWrapping"/>
            </w:r>
            <w:r>
              <w:rPr>
                <w:rFonts w:hint="eastAsia" w:asciiTheme="minorEastAsia" w:hAnsiTheme="minorEastAsia" w:eastAsiaTheme="minorEastAsia" w:cstheme="minorEastAsia"/>
                <w:bCs/>
                <w:color w:val="auto"/>
                <w:sz w:val="24"/>
                <w:highlight w:val="none"/>
              </w:rPr>
              <w:t>5）安装与调试方案存在明显缺项，实行上有困难的得1分；</w:t>
            </w:r>
          </w:p>
          <w:p>
            <w:pPr>
              <w:snapToGrid w:val="0"/>
              <w:spacing w:line="360" w:lineRule="auto"/>
              <w:jc w:val="left"/>
              <w:rPr>
                <w:rFonts w:hint="eastAsia" w:asciiTheme="minorEastAsia" w:hAnsiTheme="minorEastAsia" w:eastAsiaTheme="minorEastAsia" w:cstheme="minorEastAsia"/>
                <w:bCs/>
                <w:color w:val="auto"/>
                <w:sz w:val="24"/>
                <w:highlight w:val="none"/>
                <w:lang w:val="zh-CN"/>
              </w:rPr>
            </w:pPr>
            <w:r>
              <w:rPr>
                <w:rFonts w:hint="eastAsia" w:asciiTheme="minorEastAsia" w:hAnsiTheme="minorEastAsia" w:eastAsiaTheme="minorEastAsia" w:cstheme="minorEastAsia"/>
                <w:bCs/>
                <w:color w:val="auto"/>
                <w:sz w:val="24"/>
                <w:highlight w:val="none"/>
              </w:rPr>
              <w:t>6）未提供相关内容的不得分。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trPr>
        <w:tc>
          <w:tcPr>
            <w:tcW w:w="1283" w:type="dxa"/>
            <w:vMerge w:val="continue"/>
            <w:vAlign w:val="center"/>
          </w:tcPr>
          <w:p>
            <w:pPr>
              <w:widowControl/>
              <w:spacing w:line="360" w:lineRule="auto"/>
              <w:rPr>
                <w:rFonts w:hint="eastAsia" w:asciiTheme="minorEastAsia" w:hAnsiTheme="minorEastAsia" w:eastAsiaTheme="minorEastAsia" w:cstheme="minorEastAsia"/>
                <w:color w:val="auto"/>
                <w:sz w:val="24"/>
                <w:highlight w:val="none"/>
              </w:rPr>
            </w:pPr>
          </w:p>
        </w:tc>
        <w:tc>
          <w:tcPr>
            <w:tcW w:w="1519" w:type="dxa"/>
            <w:vAlign w:val="center"/>
          </w:tcPr>
          <w:p>
            <w:pPr>
              <w:snapToGrid w:val="0"/>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培训方案（5分）</w:t>
            </w:r>
          </w:p>
        </w:tc>
        <w:tc>
          <w:tcPr>
            <w:tcW w:w="6912" w:type="dxa"/>
            <w:vAlign w:val="center"/>
          </w:tcPr>
          <w:p>
            <w:pPr>
              <w:snapToGrid w:val="0"/>
              <w:spacing w:line="360" w:lineRule="auto"/>
              <w:jc w:val="left"/>
              <w:rPr>
                <w:rFonts w:hint="eastAsia" w:asciiTheme="minorEastAsia" w:hAnsiTheme="minorEastAsia" w:eastAsiaTheme="minorEastAsia" w:cstheme="minorEastAsia"/>
                <w:bCs/>
                <w:color w:val="auto"/>
                <w:sz w:val="24"/>
                <w:highlight w:val="none"/>
                <w:lang w:val="zh-CN"/>
              </w:rPr>
            </w:pPr>
            <w:r>
              <w:rPr>
                <w:rFonts w:hint="eastAsia" w:asciiTheme="minorEastAsia" w:hAnsiTheme="minorEastAsia" w:eastAsiaTheme="minorEastAsia" w:cstheme="minorEastAsia"/>
                <w:bCs/>
                <w:color w:val="auto"/>
                <w:sz w:val="24"/>
                <w:highlight w:val="none"/>
                <w:lang w:val="zh-CN"/>
              </w:rPr>
              <w:t>【主观分】根据投标人提供的培训方案，包含培训时间安排是否合理；培训内容是否全面；培训人员专业能力是否良好；培训次数是否合理情况评议。</w:t>
            </w:r>
          </w:p>
          <w:p>
            <w:pPr>
              <w:snapToGrid w:val="0"/>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1）人员培训方案与采购人实际相结合，培训时间安排合理，培训内容符合货物使用要求，培训次数能确保设备实际使用人灵活使用且场地安排合理的得5分；</w:t>
            </w:r>
          </w:p>
          <w:p>
            <w:pPr>
              <w:snapToGrid w:val="0"/>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2）人员培训方案与采购人实际相结合，培训时间安排较合理，培训内容较符合货物使用要求，培训次数能确保设备实际使用人灵活使用且场地安排较合理的得4分；</w:t>
            </w:r>
          </w:p>
          <w:p>
            <w:pPr>
              <w:snapToGrid w:val="0"/>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3）人员培训方案时间安排基本合理，培训内容基本符合货物使用要求，培训次数基本能确保设备实际使用人操作的得3分；</w:t>
            </w:r>
          </w:p>
          <w:p>
            <w:pPr>
              <w:snapToGrid w:val="0"/>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4）人员培训方案不够符合采购需求，培训内容缺少针对性内容的得2分；</w:t>
            </w:r>
          </w:p>
          <w:p>
            <w:pPr>
              <w:snapToGrid w:val="0"/>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5）人员培训方案没有结合采购需求，培训内容敷衍，没有相应培训场地且培训时间不合理的得1分；</w:t>
            </w:r>
          </w:p>
          <w:p>
            <w:pPr>
              <w:snapToGrid w:val="0"/>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6）未提供相关内容的不得分。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9" w:hRule="atLeast"/>
        </w:trPr>
        <w:tc>
          <w:tcPr>
            <w:tcW w:w="1283" w:type="dxa"/>
            <w:vMerge w:val="continue"/>
            <w:vAlign w:val="center"/>
          </w:tcPr>
          <w:p>
            <w:pPr>
              <w:widowControl/>
              <w:spacing w:line="360" w:lineRule="auto"/>
              <w:rPr>
                <w:rFonts w:hint="eastAsia" w:asciiTheme="minorEastAsia" w:hAnsiTheme="minorEastAsia" w:eastAsiaTheme="minorEastAsia" w:cstheme="minorEastAsia"/>
                <w:color w:val="auto"/>
                <w:sz w:val="24"/>
                <w:highlight w:val="none"/>
              </w:rPr>
            </w:pPr>
          </w:p>
        </w:tc>
        <w:tc>
          <w:tcPr>
            <w:tcW w:w="1519" w:type="dxa"/>
            <w:vMerge w:val="restart"/>
            <w:vAlign w:val="center"/>
          </w:tcPr>
          <w:p>
            <w:pPr>
              <w:snapToGrid w:val="0"/>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售后服务方案（10分）</w:t>
            </w:r>
          </w:p>
        </w:tc>
        <w:tc>
          <w:tcPr>
            <w:tcW w:w="6912" w:type="dxa"/>
            <w:vAlign w:val="center"/>
          </w:tcPr>
          <w:p>
            <w:pPr>
              <w:snapToGrid w:val="0"/>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val="zh-CN"/>
              </w:rPr>
              <w:t>【主观分】根据投标人</w:t>
            </w:r>
            <w:r>
              <w:rPr>
                <w:rFonts w:hint="eastAsia" w:asciiTheme="minorEastAsia" w:hAnsiTheme="minorEastAsia" w:eastAsiaTheme="minorEastAsia" w:cstheme="minorEastAsia"/>
                <w:bCs/>
                <w:color w:val="auto"/>
                <w:sz w:val="24"/>
                <w:highlight w:val="none"/>
              </w:rPr>
              <w:t>提供的服务承诺，需包含但不限于以下要点：①服务方式；②服务响应时间；③技术支持；④服务体系；⑤退换货品承诺。由评标委员会进行评议：</w:t>
            </w:r>
          </w:p>
          <w:p>
            <w:pPr>
              <w:snapToGrid w:val="0"/>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1）各项服务承诺能与采购人实际相结合，能提供实质性承诺及保障措施，能有效保证货物正常使用的得5分；</w:t>
            </w:r>
          </w:p>
          <w:p>
            <w:pPr>
              <w:snapToGrid w:val="0"/>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2）各项服务承诺与采购人实际基本相结合，但承诺及保障只能基本符合货物实际使用情况，基本满足采购人使用要求的得4分；</w:t>
            </w:r>
          </w:p>
          <w:p>
            <w:pPr>
              <w:snapToGrid w:val="0"/>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3）各项服务承诺与采购人实际欠符合，承诺及保障欠符合货物实际使用情况，不够满足采购人使用要求的得3分；</w:t>
            </w:r>
          </w:p>
          <w:p>
            <w:pPr>
              <w:snapToGrid w:val="0"/>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4）服务承诺和保障措施不够符合项目实际要求，且存在一定缺项的得2分；</w:t>
            </w:r>
            <w:r>
              <w:rPr>
                <w:rFonts w:hint="eastAsia" w:asciiTheme="minorEastAsia" w:hAnsiTheme="minorEastAsia" w:eastAsiaTheme="minorEastAsia" w:cstheme="minorEastAsia"/>
                <w:bCs/>
                <w:color w:val="auto"/>
                <w:sz w:val="24"/>
                <w:highlight w:val="none"/>
              </w:rPr>
              <w:br w:type="textWrapping"/>
            </w:r>
            <w:r>
              <w:rPr>
                <w:rFonts w:hint="eastAsia" w:asciiTheme="minorEastAsia" w:hAnsiTheme="minorEastAsia" w:eastAsiaTheme="minorEastAsia" w:cstheme="minorEastAsia"/>
                <w:bCs/>
                <w:color w:val="auto"/>
                <w:sz w:val="24"/>
                <w:highlight w:val="none"/>
              </w:rPr>
              <w:t>5）服务承诺和保障措施与采购人实际需求存在巨大偏差，会严重影响货物正常使用的得1分。</w:t>
            </w:r>
          </w:p>
          <w:p>
            <w:pPr>
              <w:snapToGrid w:val="0"/>
              <w:spacing w:line="360" w:lineRule="auto"/>
              <w:jc w:val="left"/>
              <w:rPr>
                <w:rFonts w:hint="eastAsia" w:asciiTheme="minorEastAsia" w:hAnsiTheme="minorEastAsia" w:eastAsiaTheme="minorEastAsia" w:cstheme="minorEastAsia"/>
                <w:bCs/>
                <w:color w:val="auto"/>
                <w:sz w:val="24"/>
                <w:highlight w:val="none"/>
                <w:lang w:val="zh-CN"/>
              </w:rPr>
            </w:pPr>
            <w:r>
              <w:rPr>
                <w:rFonts w:hint="eastAsia" w:asciiTheme="minorEastAsia" w:hAnsiTheme="minorEastAsia" w:eastAsiaTheme="minorEastAsia" w:cstheme="minorEastAsia"/>
                <w:bCs/>
                <w:color w:val="auto"/>
                <w:sz w:val="24"/>
                <w:highlight w:val="none"/>
              </w:rPr>
              <w:t>6）未提供相关内容的不得分。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trPr>
        <w:tc>
          <w:tcPr>
            <w:tcW w:w="1283" w:type="dxa"/>
            <w:vMerge w:val="continue"/>
            <w:vAlign w:val="center"/>
          </w:tcPr>
          <w:p>
            <w:pPr>
              <w:widowControl/>
              <w:spacing w:line="360" w:lineRule="auto"/>
              <w:rPr>
                <w:rFonts w:hint="eastAsia" w:asciiTheme="minorEastAsia" w:hAnsiTheme="minorEastAsia" w:eastAsiaTheme="minorEastAsia" w:cstheme="minorEastAsia"/>
                <w:color w:val="auto"/>
                <w:sz w:val="24"/>
                <w:highlight w:val="none"/>
              </w:rPr>
            </w:pPr>
          </w:p>
        </w:tc>
        <w:tc>
          <w:tcPr>
            <w:tcW w:w="1519" w:type="dxa"/>
            <w:vMerge w:val="continue"/>
            <w:vAlign w:val="center"/>
          </w:tcPr>
          <w:p>
            <w:pPr>
              <w:snapToGrid w:val="0"/>
              <w:spacing w:line="360" w:lineRule="auto"/>
              <w:jc w:val="center"/>
              <w:rPr>
                <w:rFonts w:hint="eastAsia" w:asciiTheme="minorEastAsia" w:hAnsiTheme="minorEastAsia" w:eastAsiaTheme="minorEastAsia" w:cstheme="minorEastAsia"/>
                <w:b/>
                <w:bCs/>
                <w:color w:val="auto"/>
                <w:sz w:val="24"/>
                <w:highlight w:val="none"/>
              </w:rPr>
            </w:pPr>
          </w:p>
        </w:tc>
        <w:tc>
          <w:tcPr>
            <w:tcW w:w="6912" w:type="dxa"/>
            <w:vAlign w:val="center"/>
          </w:tcPr>
          <w:p>
            <w:pPr>
              <w:snapToGrid w:val="0"/>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val="zh-CN"/>
              </w:rPr>
              <w:t>【主观分】根据投标人</w:t>
            </w:r>
            <w:r>
              <w:rPr>
                <w:rFonts w:hint="eastAsia" w:asciiTheme="minorEastAsia" w:hAnsiTheme="minorEastAsia" w:eastAsiaTheme="minorEastAsia" w:cstheme="minorEastAsia"/>
                <w:bCs/>
                <w:color w:val="auto"/>
                <w:sz w:val="24"/>
                <w:highlight w:val="none"/>
              </w:rPr>
              <w:t>提供的质保期方案，需包含但不限于以下要点：①质保期内定期服务方案；②巡检服务方案；③售后服务保障；④售后服务机构的设置。由评委进行综合评议：</w:t>
            </w:r>
          </w:p>
          <w:p>
            <w:pPr>
              <w:snapToGrid w:val="0"/>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1）质保期内定期服务和巡检服务方案合理，售后服务有保障且有相应的售后服务机构，能有效提高货物使用体验，服务目标明确清晰的得5分；</w:t>
            </w:r>
          </w:p>
          <w:p>
            <w:pPr>
              <w:snapToGrid w:val="0"/>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2）方案内容符合采购人实际需求，不影响服务质量，运作流程设计较为合理，有一定针对性的得4分；</w:t>
            </w:r>
          </w:p>
          <w:p>
            <w:pPr>
              <w:snapToGrid w:val="0"/>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3）方案内容基本符合采购人实际需求，但有可能影响服务质量，运作流程设计较为合理，针对性不强的得3分；</w:t>
            </w:r>
          </w:p>
          <w:p>
            <w:pPr>
              <w:snapToGrid w:val="0"/>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4）方案内容不够符合项目实际要求，且存在一定缺项的得2分；</w:t>
            </w:r>
          </w:p>
          <w:p>
            <w:pPr>
              <w:snapToGrid w:val="0"/>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5）方案内容不完整，内容不充分，与本项目实际需求有差距的得1分；</w:t>
            </w:r>
          </w:p>
          <w:p>
            <w:pPr>
              <w:snapToGrid w:val="0"/>
              <w:spacing w:line="360" w:lineRule="auto"/>
              <w:jc w:val="left"/>
              <w:rPr>
                <w:rFonts w:hint="eastAsia" w:asciiTheme="minorEastAsia" w:hAnsiTheme="minorEastAsia" w:eastAsiaTheme="minorEastAsia" w:cstheme="minorEastAsia"/>
                <w:bCs/>
                <w:color w:val="auto"/>
                <w:sz w:val="24"/>
                <w:highlight w:val="none"/>
                <w:lang w:val="zh-CN"/>
              </w:rPr>
            </w:pPr>
            <w:r>
              <w:rPr>
                <w:rFonts w:hint="eastAsia" w:asciiTheme="minorEastAsia" w:hAnsiTheme="minorEastAsia" w:eastAsiaTheme="minorEastAsia" w:cstheme="minorEastAsia"/>
                <w:bCs/>
                <w:color w:val="auto"/>
                <w:sz w:val="24"/>
                <w:highlight w:val="none"/>
              </w:rPr>
              <w:t>6）未提供相关内容的不得分。</w:t>
            </w:r>
          </w:p>
        </w:tc>
      </w:tr>
    </w:tbl>
    <w:p>
      <w:pPr>
        <w:pStyle w:val="63"/>
        <w:jc w:val="left"/>
        <w:rPr>
          <w:rFonts w:hint="eastAsia" w:asciiTheme="minorEastAsia" w:hAnsiTheme="minorEastAsia" w:eastAsiaTheme="minorEastAsia" w:cstheme="minorEastAsia"/>
          <w:color w:val="auto"/>
          <w:sz w:val="20"/>
          <w:highlight w:val="none"/>
          <w:shd w:val="clear" w:color="auto" w:fill="FFFFFF"/>
        </w:rPr>
      </w:pPr>
    </w:p>
    <w:p>
      <w:pPr>
        <w:pStyle w:val="63"/>
        <w:jc w:val="left"/>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sz w:val="20"/>
          <w:highlight w:val="none"/>
          <w:shd w:val="clear" w:color="auto" w:fill="FFFFFF"/>
        </w:rPr>
        <w:t> *</w:t>
      </w:r>
      <w:r>
        <w:rPr>
          <w:rFonts w:hint="eastAsia" w:asciiTheme="minorEastAsia" w:hAnsiTheme="minorEastAsia" w:eastAsiaTheme="minorEastAsia" w:cstheme="minorEastAsia"/>
          <w:color w:val="auto"/>
          <w:highlight w:val="none"/>
        </w:rPr>
        <w:t>备注：投标人编制投标文件（商务技术文件部分）时，建议按此目录（序号和内容）提供评标标准相应的商务技术资料。</w:t>
      </w:r>
    </w:p>
    <w:p>
      <w:pPr>
        <w:rPr>
          <w:rFonts w:hint="eastAsia" w:asciiTheme="minorEastAsia" w:hAnsiTheme="minorEastAsia" w:eastAsiaTheme="minorEastAsia" w:cstheme="minorEastAsia"/>
          <w:color w:val="auto"/>
          <w:highlight w:val="none"/>
        </w:rPr>
      </w:pPr>
    </w:p>
    <w:p>
      <w:pPr>
        <w:pStyle w:val="63"/>
        <w:rPr>
          <w:rFonts w:hint="eastAsia" w:asciiTheme="minorEastAsia" w:hAnsiTheme="minorEastAsia" w:eastAsiaTheme="minorEastAsia" w:cstheme="minorEastAsia"/>
          <w:color w:val="auto"/>
          <w:highlight w:val="none"/>
          <w:lang w:val="en-US"/>
        </w:rPr>
      </w:pPr>
    </w:p>
    <w:p>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一、评标方法</w:t>
      </w:r>
    </w:p>
    <w:p>
      <w:pPr>
        <w:adjustRightInd/>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1.本项目采用综合评分法。</w:t>
      </w:r>
      <w:r>
        <w:rPr>
          <w:rFonts w:hint="eastAsia" w:asciiTheme="minorEastAsia" w:hAnsiTheme="minorEastAsia" w:eastAsiaTheme="minorEastAsia" w:cstheme="minorEastAsia"/>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24"/>
          <w:highlight w:val="none"/>
        </w:rPr>
        <w:t>二、评标标准</w:t>
      </w:r>
    </w:p>
    <w:p>
      <w:pPr>
        <w:spacing w:line="360" w:lineRule="auto"/>
        <w:ind w:firstLine="472" w:firstLineChars="196"/>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2.评标标准：</w:t>
      </w:r>
      <w:r>
        <w:rPr>
          <w:rFonts w:hint="eastAsia" w:asciiTheme="minorEastAsia" w:hAnsiTheme="minorEastAsia" w:eastAsiaTheme="minorEastAsia" w:cstheme="minorEastAsia"/>
          <w:color w:val="auto"/>
          <w:kern w:val="0"/>
          <w:sz w:val="24"/>
          <w:highlight w:val="none"/>
        </w:rPr>
        <w:t>见评标办法前附表。</w:t>
      </w:r>
    </w:p>
    <w:p>
      <w:pPr>
        <w:spacing w:line="360" w:lineRule="auto"/>
        <w:outlineLvl w:val="0"/>
        <w:rPr>
          <w:rFonts w:hint="eastAsia" w:asciiTheme="minorEastAsia" w:hAnsiTheme="minorEastAsia" w:eastAsiaTheme="minorEastAsia" w:cstheme="minorEastAsia"/>
          <w:b/>
          <w:color w:val="auto"/>
          <w:sz w:val="24"/>
          <w:highlight w:val="none"/>
        </w:rPr>
      </w:pPr>
      <w:bookmarkStart w:id="402" w:name="_Toc12759"/>
      <w:r>
        <w:rPr>
          <w:rFonts w:hint="eastAsia" w:asciiTheme="minorEastAsia" w:hAnsiTheme="minorEastAsia" w:eastAsiaTheme="minorEastAsia" w:cstheme="minorEastAsia"/>
          <w:b/>
          <w:color w:val="auto"/>
          <w:sz w:val="24"/>
          <w:highlight w:val="none"/>
        </w:rPr>
        <w:t>三、评标程序</w:t>
      </w:r>
      <w:bookmarkEnd w:id="402"/>
    </w:p>
    <w:p>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3.1符合性审查。</w:t>
      </w:r>
      <w:r>
        <w:rPr>
          <w:rFonts w:hint="eastAsia" w:asciiTheme="minorEastAsia" w:hAnsiTheme="minorEastAsia" w:eastAsiaTheme="minorEastAsia" w:cstheme="min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3.2 比较与评价。</w:t>
      </w:r>
      <w:r>
        <w:rPr>
          <w:rFonts w:hint="eastAsia" w:asciiTheme="minorEastAsia" w:hAnsiTheme="minorEastAsia" w:eastAsiaTheme="minorEastAsia" w:cstheme="minorEastAsia"/>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3.3汇总商务技术得分。</w:t>
      </w:r>
      <w:r>
        <w:rPr>
          <w:rFonts w:hint="eastAsia" w:asciiTheme="minorEastAsia" w:hAnsiTheme="minorEastAsia" w:eastAsiaTheme="minorEastAsia" w:cstheme="minorEastAsia"/>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3.4报价评审。</w:t>
      </w:r>
    </w:p>
    <w:p>
      <w:pPr>
        <w:pStyle w:val="133"/>
        <w:spacing w:before="0"/>
        <w:ind w:firstLine="508" w:firstLineChars="212"/>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3.4.1投标文件报价出现前后不一致的，按照下列规定修正：</w:t>
      </w:r>
    </w:p>
    <w:p>
      <w:pPr>
        <w:pStyle w:val="133"/>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3.4.1.1投标文件中开标一览表(报价表)内容与投标文件中相应内容不一致的，以开标一览表(报价表)为准;</w:t>
      </w:r>
    </w:p>
    <w:p>
      <w:pPr>
        <w:pStyle w:val="133"/>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3.4.1.2大写金额和小写金额不一致的，以大写金额为准;</w:t>
      </w:r>
    </w:p>
    <w:p>
      <w:pPr>
        <w:pStyle w:val="133"/>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3.4.1.3单价金额小数点或者百分比有明显错位的，以开标一览表的总价为准，并修改单价;</w:t>
      </w:r>
    </w:p>
    <w:p>
      <w:pPr>
        <w:pStyle w:val="133"/>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3.4.1.4总价金额与按单价汇总金额不一致的，以单价金额计算结果为准。</w:t>
      </w:r>
    </w:p>
    <w:p>
      <w:pPr>
        <w:pStyle w:val="133"/>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3.4.3投标报价超过招标文件中规定的预算金额或者最高限价的，投标无效。</w:t>
      </w:r>
    </w:p>
    <w:p>
      <w:pPr>
        <w:pStyle w:val="133"/>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3"/>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w:t>
      </w:r>
    </w:p>
    <w:p>
      <w:pPr>
        <w:spacing w:line="360" w:lineRule="auto"/>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3.5排序与推荐。</w:t>
      </w:r>
      <w:r>
        <w:rPr>
          <w:rFonts w:hint="eastAsia" w:asciiTheme="minorEastAsia" w:hAnsiTheme="minorEastAsia" w:eastAsiaTheme="minorEastAsia" w:cstheme="minorEastAsia"/>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3.6编写评标报告。</w:t>
      </w:r>
      <w:r>
        <w:rPr>
          <w:rFonts w:hint="eastAsia" w:asciiTheme="minorEastAsia" w:hAnsiTheme="minorEastAsia" w:eastAsiaTheme="minorEastAsia" w:cstheme="min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四、评标中的其他事项</w:t>
      </w:r>
    </w:p>
    <w:p>
      <w:pPr>
        <w:pStyle w:val="133"/>
        <w:spacing w:before="0"/>
        <w:ind w:firstLine="472" w:firstLineChars="196"/>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b/>
          <w:color w:val="auto"/>
          <w:kern w:val="0"/>
          <w:szCs w:val="24"/>
          <w:highlight w:val="none"/>
        </w:rPr>
        <w:t>4.1投标人澄清、说明或者补正。</w:t>
      </w:r>
      <w:r>
        <w:rPr>
          <w:rFonts w:hint="eastAsia" w:asciiTheme="minorEastAsia" w:hAnsiTheme="minorEastAsia" w:eastAsiaTheme="minorEastAsia" w:cstheme="min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8"/>
        <w:spacing w:line="360" w:lineRule="auto"/>
        <w:ind w:left="954" w:leftChars="226" w:hanging="479"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0"/>
          <w:highlight w:val="none"/>
        </w:rPr>
        <w:t>4.2投标无效。</w:t>
      </w:r>
      <w:r>
        <w:rPr>
          <w:rFonts w:hint="eastAsia" w:asciiTheme="minorEastAsia" w:hAnsiTheme="minorEastAsia" w:eastAsiaTheme="minorEastAsia" w:cstheme="minorEastAsia"/>
          <w:color w:val="auto"/>
          <w:szCs w:val="21"/>
          <w:highlight w:val="none"/>
        </w:rPr>
        <w:t>有下列情形之一的，投标无效：</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4.2.2投标文件未按照招标文件要求签署、盖章的；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4.2.4投标文件含有采购人不能接受的附加条件的；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4.2.6投标文件出现不是唯一的、有选择性投标报价的;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4.2.7投标报价超过招标文件中规定的预算金额或者最高限价的;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4.2.9投标人对根据修正原则修正后的报价不确认的；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4.2.10投标人提供虚假材料投标的；</w:t>
      </w:r>
    </w:p>
    <w:p>
      <w:pPr>
        <w:spacing w:line="360" w:lineRule="auto"/>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4.2.12投标人仅提交备份投标文件，未在电子交易平台传输递交投标文件的，投标无效；</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4.2.13 参与同一标段的投标人存在IP、MAC地址相同、计算机硬盘序列号相同、响应文件细节错误一致且无合理解释、供应商手机号相同等情形的；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4.2.14法律、法规、规章（适用本市的）及省级以上规范性文件（适用本市的）规定的其他无效情形。</w:t>
      </w:r>
    </w:p>
    <w:p>
      <w:pPr>
        <w:pStyle w:val="28"/>
        <w:snapToGrid w:val="0"/>
        <w:spacing w:line="360" w:lineRule="auto"/>
        <w:ind w:firstLine="472" w:firstLineChars="19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5.废标。</w:t>
      </w:r>
      <w:r>
        <w:rPr>
          <w:rFonts w:hint="eastAsia" w:asciiTheme="minorEastAsia" w:hAnsiTheme="minorEastAsia" w:eastAsiaTheme="minorEastAsia" w:cstheme="minorEastAsia"/>
          <w:color w:val="auto"/>
          <w:highlight w:val="none"/>
        </w:rPr>
        <w:t>根据《中华人民共和国政府采购法》第三十六条之规定，在采购中，出现下列情形之一的，应予废标：</w:t>
      </w:r>
    </w:p>
    <w:p>
      <w:pPr>
        <w:pStyle w:val="28"/>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5.1符合专业条件的供应商或者对招标文件作实质响应的供应商不足3家的；</w:t>
      </w:r>
    </w:p>
    <w:p>
      <w:pPr>
        <w:pStyle w:val="28"/>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5.2出现影响采购公正的违法、违规行为的；</w:t>
      </w:r>
    </w:p>
    <w:p>
      <w:pPr>
        <w:pStyle w:val="28"/>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5.3投标人的报价均超过了采购预算，采购人不能支付的；</w:t>
      </w:r>
    </w:p>
    <w:p>
      <w:pPr>
        <w:pStyle w:val="28"/>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5.4因重大变故，采购任务取消的。</w:t>
      </w:r>
    </w:p>
    <w:p>
      <w:pPr>
        <w:pStyle w:val="28"/>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废标后，采购代理机构应当将废标理由通知所有投标人。</w:t>
      </w:r>
    </w:p>
    <w:p>
      <w:pPr>
        <w:pStyle w:val="28"/>
        <w:snapToGrid w:val="0"/>
        <w:spacing w:line="360" w:lineRule="auto"/>
        <w:ind w:firstLine="590" w:firstLineChars="24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6.修改招标文件，重新组织采购活动。</w:t>
      </w:r>
      <w:r>
        <w:rPr>
          <w:rFonts w:hint="eastAsia" w:asciiTheme="minorEastAsia" w:hAnsiTheme="minorEastAsia" w:eastAsiaTheme="minorEastAsia" w:cstheme="min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8"/>
        <w:snapToGrid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7.重新开展采购。</w:t>
      </w:r>
      <w:r>
        <w:rPr>
          <w:rFonts w:hint="eastAsia" w:asciiTheme="minorEastAsia" w:hAnsiTheme="minorEastAsia" w:eastAsiaTheme="minorEastAsia" w:cstheme="minorEastAsia"/>
          <w:color w:val="auto"/>
          <w:highlight w:val="none"/>
        </w:rPr>
        <w:t>有政府采购法第七十一条、第七十二条规定的违法行为之一，影响或者可能影响中标结果的，依照下列规定处理：</w:t>
      </w:r>
    </w:p>
    <w:p>
      <w:pPr>
        <w:pStyle w:val="28"/>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7.1未确定中标供应商的，终止本次政府采购活动，重新开展政府采购活动。</w:t>
      </w:r>
    </w:p>
    <w:p>
      <w:pPr>
        <w:pStyle w:val="28"/>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7.2已确定中标供应商但尚未签订政府采购合同的，中标结果无效，从合格的中标候选人中另行确定中标供应商；没有合格的中标候选人的，重新开展政府采购活动。</w:t>
      </w:r>
    </w:p>
    <w:p>
      <w:pPr>
        <w:pStyle w:val="28"/>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7.3政府采购合同已签订但尚未履行的，撤销合同，从合格的中标候选人中另行确定中标供应商；没有合格的中标候选人的，重新开展政府采购活动。</w:t>
      </w:r>
    </w:p>
    <w:p>
      <w:pPr>
        <w:pStyle w:val="28"/>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7.4政府采购合同已经履行，给采购人、供应商造成损失的，由责任人承担赔偿责任。</w:t>
      </w:r>
    </w:p>
    <w:p>
      <w:pPr>
        <w:pStyle w:val="28"/>
        <w:snapToGrid w:val="0"/>
        <w:spacing w:line="360" w:lineRule="auto"/>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3"/>
      <w:bookmarkStart w:id="403" w:name="_Toc86217003"/>
      <w:bookmarkStart w:id="404" w:name="第五部分"/>
    </w:p>
    <w:p>
      <w:pP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pPr>
        <w:spacing w:line="360" w:lineRule="auto"/>
        <w:jc w:val="center"/>
        <w:outlineLvl w:val="0"/>
        <w:rPr>
          <w:rFonts w:hint="eastAsia" w:asciiTheme="minorEastAsia" w:hAnsiTheme="minorEastAsia" w:eastAsiaTheme="minorEastAsia" w:cstheme="minorEastAsia"/>
          <w:b/>
          <w:color w:val="auto"/>
          <w:sz w:val="36"/>
          <w:szCs w:val="36"/>
          <w:highlight w:val="none"/>
        </w:rPr>
      </w:pPr>
      <w:bookmarkStart w:id="405" w:name="_Toc8900"/>
      <w:r>
        <w:rPr>
          <w:rFonts w:hint="eastAsia" w:asciiTheme="minorEastAsia" w:hAnsiTheme="minorEastAsia" w:eastAsiaTheme="minorEastAsia" w:cstheme="minorEastAsia"/>
          <w:b/>
          <w:color w:val="auto"/>
          <w:sz w:val="36"/>
          <w:szCs w:val="36"/>
          <w:highlight w:val="none"/>
        </w:rPr>
        <w:t>第五部分拟签订的合同文本</w:t>
      </w:r>
      <w:bookmarkEnd w:id="405"/>
    </w:p>
    <w:p>
      <w:pPr>
        <w:pStyle w:val="36"/>
        <w:snapToGrid w:val="0"/>
        <w:spacing w:before="120" w:after="12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项目名称：浙江药科职业大学×××项目</w:t>
      </w:r>
    </w:p>
    <w:p>
      <w:pPr>
        <w:pStyle w:val="36"/>
        <w:snapToGrid w:val="0"/>
        <w:spacing w:before="120" w:after="12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项目编号：</w:t>
      </w:r>
    </w:p>
    <w:p>
      <w:pPr>
        <w:pStyle w:val="36"/>
        <w:snapToGrid w:val="0"/>
        <w:spacing w:before="120" w:after="120"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甲方：（买方）</w:t>
      </w:r>
    </w:p>
    <w:p>
      <w:pPr>
        <w:pStyle w:val="36"/>
        <w:snapToGrid w:val="0"/>
        <w:spacing w:before="120" w:after="120"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乙方：（卖方）</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4"/>
          <w:highlight w:val="none"/>
        </w:rPr>
        <w:t>丙方：（鉴证方）</w:t>
      </w:r>
    </w:p>
    <w:p>
      <w:pPr>
        <w:pStyle w:val="36"/>
        <w:snapToGrid w:val="0"/>
        <w:spacing w:before="120" w:after="120"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甲、乙双方根据</w:t>
      </w:r>
      <w:r>
        <w:rPr>
          <w:rFonts w:hint="eastAsia" w:asciiTheme="minorEastAsia" w:hAnsiTheme="minorEastAsia" w:eastAsiaTheme="minorEastAsia" w:cstheme="minorEastAsia"/>
          <w:bCs/>
          <w:color w:val="auto"/>
          <w:sz w:val="24"/>
          <w:szCs w:val="24"/>
          <w:highlight w:val="none"/>
          <w:u w:val="single"/>
        </w:rPr>
        <w:t>关于ABC单位XYZ项目公开招标</w:t>
      </w:r>
      <w:r>
        <w:rPr>
          <w:rFonts w:hint="eastAsia" w:asciiTheme="minorEastAsia" w:hAnsiTheme="minorEastAsia" w:eastAsiaTheme="minorEastAsia" w:cstheme="minorEastAsia"/>
          <w:bCs/>
          <w:color w:val="auto"/>
          <w:sz w:val="24"/>
          <w:szCs w:val="24"/>
          <w:highlight w:val="none"/>
        </w:rPr>
        <w:t>的结果，签署本合同。</w:t>
      </w:r>
    </w:p>
    <w:p>
      <w:pPr>
        <w:pStyle w:val="36"/>
        <w:numPr>
          <w:ilvl w:val="0"/>
          <w:numId w:val="1"/>
        </w:numPr>
        <w:snapToGrid w:val="0"/>
        <w:spacing w:before="120" w:after="120"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采购内容</w:t>
      </w:r>
    </w:p>
    <w:tbl>
      <w:tblPr>
        <w:tblStyle w:val="75"/>
        <w:tblW w:w="8177" w:type="dxa"/>
        <w:tblInd w:w="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2525"/>
        <w:gridCol w:w="2179"/>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294" w:type="dxa"/>
          </w:tcPr>
          <w:p>
            <w:pPr>
              <w:pStyle w:val="36"/>
              <w:snapToGrid w:val="0"/>
              <w:spacing w:before="120" w:after="120" w:line="360" w:lineRule="auto"/>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序号</w:t>
            </w:r>
          </w:p>
        </w:tc>
        <w:tc>
          <w:tcPr>
            <w:tcW w:w="2525" w:type="dxa"/>
          </w:tcPr>
          <w:p>
            <w:pPr>
              <w:pStyle w:val="36"/>
              <w:snapToGrid w:val="0"/>
              <w:spacing w:before="120" w:after="120" w:line="360" w:lineRule="auto"/>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采购内容</w:t>
            </w:r>
          </w:p>
        </w:tc>
        <w:tc>
          <w:tcPr>
            <w:tcW w:w="2179" w:type="dxa"/>
          </w:tcPr>
          <w:p>
            <w:pPr>
              <w:pStyle w:val="36"/>
              <w:snapToGrid w:val="0"/>
              <w:spacing w:before="120" w:after="120" w:line="360" w:lineRule="auto"/>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数量（单位）</w:t>
            </w:r>
          </w:p>
        </w:tc>
        <w:tc>
          <w:tcPr>
            <w:tcW w:w="2179" w:type="dxa"/>
          </w:tcPr>
          <w:p>
            <w:pPr>
              <w:pStyle w:val="36"/>
              <w:snapToGrid w:val="0"/>
              <w:spacing w:before="120" w:after="120" w:line="360" w:lineRule="auto"/>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294" w:type="dxa"/>
          </w:tcPr>
          <w:p>
            <w:pPr>
              <w:pStyle w:val="36"/>
              <w:snapToGrid w:val="0"/>
              <w:spacing w:before="120" w:after="120" w:line="360" w:lineRule="auto"/>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w:t>
            </w:r>
          </w:p>
        </w:tc>
        <w:tc>
          <w:tcPr>
            <w:tcW w:w="2525" w:type="dxa"/>
          </w:tcPr>
          <w:p>
            <w:pPr>
              <w:pStyle w:val="36"/>
              <w:snapToGrid w:val="0"/>
              <w:spacing w:before="120" w:after="120" w:line="360" w:lineRule="auto"/>
              <w:rPr>
                <w:rFonts w:hint="eastAsia" w:asciiTheme="minorEastAsia" w:hAnsiTheme="minorEastAsia" w:eastAsiaTheme="minorEastAsia" w:cstheme="minorEastAsia"/>
                <w:bCs/>
                <w:color w:val="auto"/>
                <w:sz w:val="24"/>
                <w:szCs w:val="24"/>
                <w:highlight w:val="none"/>
              </w:rPr>
            </w:pPr>
          </w:p>
        </w:tc>
        <w:tc>
          <w:tcPr>
            <w:tcW w:w="2179" w:type="dxa"/>
          </w:tcPr>
          <w:p>
            <w:pPr>
              <w:pStyle w:val="36"/>
              <w:snapToGrid w:val="0"/>
              <w:spacing w:before="120" w:after="120" w:line="360" w:lineRule="auto"/>
              <w:rPr>
                <w:rFonts w:hint="eastAsia" w:asciiTheme="minorEastAsia" w:hAnsiTheme="minorEastAsia" w:eastAsiaTheme="minorEastAsia" w:cstheme="minorEastAsia"/>
                <w:bCs/>
                <w:color w:val="auto"/>
                <w:sz w:val="24"/>
                <w:szCs w:val="24"/>
                <w:highlight w:val="none"/>
              </w:rPr>
            </w:pPr>
          </w:p>
        </w:tc>
        <w:tc>
          <w:tcPr>
            <w:tcW w:w="2179" w:type="dxa"/>
          </w:tcPr>
          <w:p>
            <w:pPr>
              <w:pStyle w:val="36"/>
              <w:snapToGrid w:val="0"/>
              <w:spacing w:before="120" w:after="120" w:line="360" w:lineRule="auto"/>
              <w:rPr>
                <w:rFonts w:hint="eastAsia" w:asciiTheme="minorEastAsia" w:hAnsiTheme="minorEastAsia" w:eastAsiaTheme="minorEastAsia" w:cstheme="minorEastAsia"/>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294" w:type="dxa"/>
          </w:tcPr>
          <w:p>
            <w:pPr>
              <w:pStyle w:val="36"/>
              <w:snapToGrid w:val="0"/>
              <w:spacing w:before="120" w:after="120" w:line="360" w:lineRule="auto"/>
              <w:rPr>
                <w:rFonts w:hint="eastAsia" w:asciiTheme="minorEastAsia" w:hAnsiTheme="minorEastAsia" w:eastAsiaTheme="minorEastAsia" w:cstheme="minorEastAsia"/>
                <w:bCs/>
                <w:color w:val="auto"/>
                <w:sz w:val="24"/>
                <w:szCs w:val="24"/>
                <w:highlight w:val="none"/>
              </w:rPr>
            </w:pPr>
          </w:p>
        </w:tc>
        <w:tc>
          <w:tcPr>
            <w:tcW w:w="2525" w:type="dxa"/>
          </w:tcPr>
          <w:p>
            <w:pPr>
              <w:pStyle w:val="36"/>
              <w:snapToGrid w:val="0"/>
              <w:spacing w:before="120" w:after="120" w:line="360" w:lineRule="auto"/>
              <w:rPr>
                <w:rFonts w:hint="eastAsia" w:asciiTheme="minorEastAsia" w:hAnsiTheme="minorEastAsia" w:eastAsiaTheme="minorEastAsia" w:cstheme="minorEastAsia"/>
                <w:bCs/>
                <w:color w:val="auto"/>
                <w:sz w:val="24"/>
                <w:szCs w:val="24"/>
                <w:highlight w:val="none"/>
              </w:rPr>
            </w:pPr>
          </w:p>
        </w:tc>
        <w:tc>
          <w:tcPr>
            <w:tcW w:w="2179" w:type="dxa"/>
          </w:tcPr>
          <w:p>
            <w:pPr>
              <w:pStyle w:val="36"/>
              <w:snapToGrid w:val="0"/>
              <w:spacing w:before="120" w:after="120" w:line="360" w:lineRule="auto"/>
              <w:rPr>
                <w:rFonts w:hint="eastAsia" w:asciiTheme="minorEastAsia" w:hAnsiTheme="minorEastAsia" w:eastAsiaTheme="minorEastAsia" w:cstheme="minorEastAsia"/>
                <w:bCs/>
                <w:color w:val="auto"/>
                <w:sz w:val="24"/>
                <w:szCs w:val="24"/>
                <w:highlight w:val="none"/>
              </w:rPr>
            </w:pPr>
          </w:p>
        </w:tc>
        <w:tc>
          <w:tcPr>
            <w:tcW w:w="2179" w:type="dxa"/>
          </w:tcPr>
          <w:p>
            <w:pPr>
              <w:pStyle w:val="36"/>
              <w:snapToGrid w:val="0"/>
              <w:spacing w:before="120" w:after="120" w:line="360" w:lineRule="auto"/>
              <w:rPr>
                <w:rFonts w:hint="eastAsia" w:asciiTheme="minorEastAsia" w:hAnsiTheme="minorEastAsia" w:eastAsiaTheme="minorEastAsia" w:cstheme="minorEastAsia"/>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94" w:type="dxa"/>
          </w:tcPr>
          <w:p>
            <w:pPr>
              <w:pStyle w:val="36"/>
              <w:snapToGrid w:val="0"/>
              <w:spacing w:before="120" w:after="120" w:line="360" w:lineRule="auto"/>
              <w:rPr>
                <w:rFonts w:hint="eastAsia" w:asciiTheme="minorEastAsia" w:hAnsiTheme="minorEastAsia" w:eastAsiaTheme="minorEastAsia" w:cstheme="minorEastAsia"/>
                <w:bCs/>
                <w:color w:val="auto"/>
                <w:sz w:val="24"/>
                <w:szCs w:val="24"/>
                <w:highlight w:val="none"/>
              </w:rPr>
            </w:pPr>
          </w:p>
        </w:tc>
        <w:tc>
          <w:tcPr>
            <w:tcW w:w="2525" w:type="dxa"/>
          </w:tcPr>
          <w:p>
            <w:pPr>
              <w:pStyle w:val="36"/>
              <w:snapToGrid w:val="0"/>
              <w:spacing w:before="120" w:after="120" w:line="360" w:lineRule="auto"/>
              <w:rPr>
                <w:rFonts w:hint="eastAsia" w:asciiTheme="minorEastAsia" w:hAnsiTheme="minorEastAsia" w:eastAsiaTheme="minorEastAsia" w:cstheme="minorEastAsia"/>
                <w:bCs/>
                <w:color w:val="auto"/>
                <w:sz w:val="24"/>
                <w:szCs w:val="24"/>
                <w:highlight w:val="none"/>
              </w:rPr>
            </w:pPr>
          </w:p>
        </w:tc>
        <w:tc>
          <w:tcPr>
            <w:tcW w:w="2179" w:type="dxa"/>
          </w:tcPr>
          <w:p>
            <w:pPr>
              <w:pStyle w:val="36"/>
              <w:snapToGrid w:val="0"/>
              <w:spacing w:before="120" w:after="120" w:line="360" w:lineRule="auto"/>
              <w:rPr>
                <w:rFonts w:hint="eastAsia" w:asciiTheme="minorEastAsia" w:hAnsiTheme="minorEastAsia" w:eastAsiaTheme="minorEastAsia" w:cstheme="minorEastAsia"/>
                <w:bCs/>
                <w:color w:val="auto"/>
                <w:sz w:val="24"/>
                <w:szCs w:val="24"/>
                <w:highlight w:val="none"/>
              </w:rPr>
            </w:pPr>
          </w:p>
        </w:tc>
        <w:tc>
          <w:tcPr>
            <w:tcW w:w="2179" w:type="dxa"/>
          </w:tcPr>
          <w:p>
            <w:pPr>
              <w:pStyle w:val="36"/>
              <w:snapToGrid w:val="0"/>
              <w:spacing w:before="120" w:after="120" w:line="360" w:lineRule="auto"/>
              <w:rPr>
                <w:rFonts w:hint="eastAsia" w:asciiTheme="minorEastAsia" w:hAnsiTheme="minorEastAsia" w:eastAsiaTheme="minorEastAsia" w:cstheme="minorEastAsia"/>
                <w:bCs/>
                <w:color w:val="auto"/>
                <w:sz w:val="24"/>
                <w:szCs w:val="24"/>
                <w:highlight w:val="none"/>
              </w:rPr>
            </w:pPr>
          </w:p>
        </w:tc>
      </w:tr>
    </w:tbl>
    <w:p>
      <w:pPr>
        <w:pStyle w:val="36"/>
        <w:numPr>
          <w:ilvl w:val="0"/>
          <w:numId w:val="1"/>
        </w:numPr>
        <w:snapToGrid w:val="0"/>
        <w:spacing w:before="120" w:after="120"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合同金额</w:t>
      </w:r>
    </w:p>
    <w:p>
      <w:pPr>
        <w:pStyle w:val="36"/>
        <w:snapToGrid w:val="0"/>
        <w:spacing w:before="120" w:after="120" w:line="360" w:lineRule="auto"/>
        <w:ind w:left="410" w:hanging="410" w:hangingChars="171"/>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2.1 本合同含税金额为（大写）：________________________元（￥______________元）人民币。</w:t>
      </w:r>
    </w:p>
    <w:p>
      <w:pPr>
        <w:pStyle w:val="36"/>
        <w:numPr>
          <w:ilvl w:val="0"/>
          <w:numId w:val="1"/>
        </w:numPr>
        <w:snapToGrid w:val="0"/>
        <w:spacing w:before="120" w:after="120"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履约保证金及质量保证期</w:t>
      </w:r>
    </w:p>
    <w:p>
      <w:pPr>
        <w:rPr>
          <w:rFonts w:hint="eastAsia" w:asciiTheme="minorEastAsia" w:hAnsiTheme="minorEastAsia" w:eastAsiaTheme="minorEastAsia" w:cstheme="minorEastAsia"/>
          <w:color w:val="auto"/>
          <w:highlight w:val="none"/>
        </w:rPr>
      </w:pPr>
    </w:p>
    <w:p>
      <w:pPr>
        <w:pStyle w:val="36"/>
        <w:numPr>
          <w:ilvl w:val="0"/>
          <w:numId w:val="1"/>
        </w:numPr>
        <w:snapToGrid w:val="0"/>
        <w:spacing w:before="120" w:after="120"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技术资料</w:t>
      </w:r>
    </w:p>
    <w:p>
      <w:pPr>
        <w:pStyle w:val="36"/>
        <w:numPr>
          <w:ilvl w:val="0"/>
          <w:numId w:val="2"/>
        </w:numPr>
        <w:tabs>
          <w:tab w:val="left" w:pos="0"/>
        </w:tabs>
        <w:snapToGrid w:val="0"/>
        <w:spacing w:before="120" w:after="120"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乙方应按招标文件规定的时间向甲方提供有关技术资料。</w:t>
      </w:r>
    </w:p>
    <w:p>
      <w:pPr>
        <w:pStyle w:val="36"/>
        <w:widowControl/>
        <w:numPr>
          <w:ilvl w:val="0"/>
          <w:numId w:val="2"/>
        </w:numPr>
        <w:tabs>
          <w:tab w:val="left" w:pos="0"/>
        </w:tabs>
        <w:snapToGrid w:val="0"/>
        <w:spacing w:before="120" w:after="120" w:line="360" w:lineRule="auto"/>
        <w:ind w:left="425" w:hanging="425"/>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6"/>
        <w:numPr>
          <w:ilvl w:val="0"/>
          <w:numId w:val="1"/>
        </w:numPr>
        <w:snapToGrid w:val="0"/>
        <w:spacing w:before="120" w:after="120"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知识产权</w:t>
      </w:r>
    </w:p>
    <w:p>
      <w:pPr>
        <w:pStyle w:val="36"/>
        <w:widowControl/>
        <w:numPr>
          <w:ilvl w:val="0"/>
          <w:numId w:val="3"/>
        </w:numPr>
        <w:tabs>
          <w:tab w:val="left" w:pos="0"/>
        </w:tabs>
        <w:snapToGrid w:val="0"/>
        <w:spacing w:before="120" w:after="120"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乙方应保证甲方在使用、接受本合同货物和服务或其任何一部分时均不会侵犯任何第三方的专利权、著作权、商标权和工业设计权等知识产权。一旦出现侵权，由乙方负全部责任。</w:t>
      </w:r>
    </w:p>
    <w:p>
      <w:pPr>
        <w:pStyle w:val="36"/>
        <w:numPr>
          <w:ilvl w:val="0"/>
          <w:numId w:val="1"/>
        </w:numPr>
        <w:snapToGrid w:val="0"/>
        <w:spacing w:before="120" w:after="120"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产权担保</w:t>
      </w:r>
    </w:p>
    <w:p>
      <w:pPr>
        <w:pStyle w:val="36"/>
        <w:snapToGrid w:val="0"/>
        <w:spacing w:before="120" w:after="120" w:line="360" w:lineRule="auto"/>
        <w:ind w:left="408" w:hanging="408" w:hangingChars="170"/>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6.1 乙方保证所交付的货物的所有权完全属于乙方且无任何抵押、查封等产权瑕疵。</w:t>
      </w:r>
    </w:p>
    <w:p>
      <w:pPr>
        <w:pStyle w:val="36"/>
        <w:numPr>
          <w:ilvl w:val="0"/>
          <w:numId w:val="1"/>
        </w:numPr>
        <w:snapToGrid w:val="0"/>
        <w:spacing w:before="120" w:after="120"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转包或分包</w:t>
      </w:r>
    </w:p>
    <w:p>
      <w:pPr>
        <w:pStyle w:val="36"/>
        <w:snapToGrid w:val="0"/>
        <w:spacing w:before="120" w:after="120" w:line="360" w:lineRule="auto"/>
        <w:ind w:left="410" w:hanging="410" w:hangingChars="171"/>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7.1本合同范围的货物，应由乙方直接供应，不得转让他人供应。</w:t>
      </w:r>
    </w:p>
    <w:p>
      <w:pPr>
        <w:pStyle w:val="36"/>
        <w:snapToGrid w:val="0"/>
        <w:spacing w:before="120" w:after="120" w:line="360" w:lineRule="auto"/>
        <w:ind w:left="410" w:hanging="410" w:hangingChars="171"/>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7.2 除非得到甲方的书面同意，乙方不得将本合同范围内的标的全部或部分分包给他人供应。</w:t>
      </w:r>
    </w:p>
    <w:p>
      <w:pPr>
        <w:pStyle w:val="36"/>
        <w:snapToGrid w:val="0"/>
        <w:spacing w:before="120" w:after="120" w:line="360" w:lineRule="auto"/>
        <w:ind w:left="410" w:hanging="410" w:hangingChars="171"/>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7.3如有转让和未经甲方同意的分包行为，甲方有权解除合同并追究乙方的违约责任。</w:t>
      </w:r>
    </w:p>
    <w:p>
      <w:pPr>
        <w:pStyle w:val="36"/>
        <w:numPr>
          <w:ilvl w:val="0"/>
          <w:numId w:val="1"/>
        </w:numPr>
        <w:snapToGrid w:val="0"/>
        <w:spacing w:before="120" w:after="120"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交货期、交货方式及交货地点</w:t>
      </w:r>
    </w:p>
    <w:p>
      <w:pPr>
        <w:pStyle w:val="36"/>
        <w:snapToGrid w:val="0"/>
        <w:spacing w:before="120" w:after="120" w:line="360" w:lineRule="auto"/>
        <w:ind w:left="410" w:hanging="410" w:hangingChars="171"/>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8.1 交货期：</w:t>
      </w:r>
    </w:p>
    <w:p>
      <w:pPr>
        <w:pStyle w:val="36"/>
        <w:snapToGrid w:val="0"/>
        <w:spacing w:before="120" w:after="120" w:line="360" w:lineRule="auto"/>
        <w:ind w:left="410" w:hanging="410" w:hangingChars="171"/>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8.2 交货地点：甲方指定地点。</w:t>
      </w:r>
    </w:p>
    <w:p>
      <w:pPr>
        <w:pStyle w:val="36"/>
        <w:numPr>
          <w:ilvl w:val="0"/>
          <w:numId w:val="1"/>
        </w:numPr>
        <w:snapToGrid w:val="0"/>
        <w:spacing w:before="120" w:after="120"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货款支付</w:t>
      </w:r>
    </w:p>
    <w:p>
      <w:pPr>
        <w:rPr>
          <w:rFonts w:hint="eastAsia" w:asciiTheme="minorEastAsia" w:hAnsiTheme="minorEastAsia" w:eastAsiaTheme="minorEastAsia" w:cstheme="minorEastAsia"/>
          <w:color w:val="auto"/>
          <w:highlight w:val="none"/>
        </w:rPr>
      </w:pPr>
    </w:p>
    <w:p>
      <w:pPr>
        <w:pStyle w:val="36"/>
        <w:numPr>
          <w:ilvl w:val="0"/>
          <w:numId w:val="1"/>
        </w:numPr>
        <w:snapToGrid w:val="0"/>
        <w:spacing w:before="120" w:after="120"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税</w:t>
      </w:r>
    </w:p>
    <w:p>
      <w:pPr>
        <w:pStyle w:val="36"/>
        <w:snapToGrid w:val="0"/>
        <w:spacing w:before="120" w:after="120" w:line="360" w:lineRule="auto"/>
        <w:ind w:left="410" w:hanging="410" w:hangingChars="171"/>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10.1本合同执行中相关的一切税费均由乙方负担。</w:t>
      </w:r>
    </w:p>
    <w:p>
      <w:pPr>
        <w:pStyle w:val="36"/>
        <w:numPr>
          <w:ilvl w:val="0"/>
          <w:numId w:val="1"/>
        </w:numPr>
        <w:snapToGrid w:val="0"/>
        <w:spacing w:before="120" w:after="120"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质量保证及售后服务</w:t>
      </w:r>
    </w:p>
    <w:p>
      <w:pPr>
        <w:pStyle w:val="36"/>
        <w:snapToGrid w:val="0"/>
        <w:spacing w:before="120" w:after="120" w:line="360" w:lineRule="auto"/>
        <w:ind w:left="410" w:hanging="410" w:hangingChars="171"/>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11.1 乙方应按招标文件规定的货物性能、技术要求、质量标准向甲方提供未经使用的全新产品。</w:t>
      </w:r>
    </w:p>
    <w:p>
      <w:pPr>
        <w:pStyle w:val="36"/>
        <w:snapToGrid w:val="0"/>
        <w:spacing w:before="120" w:after="120" w:line="360" w:lineRule="auto"/>
        <w:ind w:left="410" w:hanging="410" w:hangingChars="171"/>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11.2 乙方提供的货物在质量期内因货物本身的质量问题发生故障，乙方应负责免费更换。对达不到技术要求者，根据实际情况，经双方协商，可按以下办法处理：</w:t>
      </w:r>
    </w:p>
    <w:p>
      <w:pPr>
        <w:pStyle w:val="36"/>
        <w:snapToGrid w:val="0"/>
        <w:spacing w:before="120" w:after="120" w:line="360" w:lineRule="auto"/>
        <w:ind w:left="410" w:hanging="410" w:hangingChars="171"/>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⑴更换：由乙方承担所发生的全部费用。</w:t>
      </w:r>
    </w:p>
    <w:p>
      <w:pPr>
        <w:pStyle w:val="36"/>
        <w:snapToGrid w:val="0"/>
        <w:spacing w:before="120" w:after="120" w:line="360" w:lineRule="auto"/>
        <w:ind w:left="410" w:hanging="410" w:hangingChars="171"/>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⑵贬值处理：由甲乙双方合议定价。</w:t>
      </w:r>
    </w:p>
    <w:p>
      <w:pPr>
        <w:pStyle w:val="36"/>
        <w:snapToGrid w:val="0"/>
        <w:spacing w:before="120" w:after="120" w:line="360" w:lineRule="auto"/>
        <w:ind w:left="410" w:hanging="410" w:hangingChars="171"/>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⑶退货处理：乙方应退还甲方支付的合同款，同时应承担该货物的直接费用（运输、保险、检验、货款利息及银行手续费等）。</w:t>
      </w:r>
    </w:p>
    <w:p>
      <w:pPr>
        <w:pStyle w:val="36"/>
        <w:snapToGrid w:val="0"/>
        <w:spacing w:before="120" w:after="120" w:line="360" w:lineRule="auto"/>
        <w:ind w:left="410" w:hanging="410" w:hangingChars="171"/>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11.3乙方须提供7×24小时电话服务，24小时售后服务热线，联系人。系统发生故障时，乙方应在接到甲方维护/维修相关要求后立即响应，1小时内到达现场，4小时内修复普通故障，8小时内修复重大故障。如遇现场无法修复的，将用同类产品代替使用，直至故障完全修复。保修期内乙方应提供每季度一次的免费现场巡检检修服务。</w:t>
      </w:r>
    </w:p>
    <w:p>
      <w:pPr>
        <w:pStyle w:val="36"/>
        <w:numPr>
          <w:ilvl w:val="0"/>
          <w:numId w:val="1"/>
        </w:numPr>
        <w:snapToGrid w:val="0"/>
        <w:spacing w:before="120" w:after="120"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调试和验收</w:t>
      </w:r>
    </w:p>
    <w:p>
      <w:pPr>
        <w:pStyle w:val="36"/>
        <w:snapToGrid w:val="0"/>
        <w:spacing w:before="120" w:after="120" w:line="360" w:lineRule="auto"/>
        <w:ind w:left="600" w:hanging="600" w:hangingChars="25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12.1 甲方对乙方提交的货物依据招标文件上的技术规格要求和国家有关质量标准进行现场初步验收，乙方提供的货物必须逐条响应合同及招标文件上提出的技术条款。若不能百分百完全满足技术条款的内容，甲方有权验收不合格。乙方应按照合同内容向甲方逐一核对货物的数量，演示并核对功能、性能、程序、达到的参数或/和指标等；如第一次调试未成功，乙方应找出失败的原因，并在双方约定的时间内完成二次调试，因此产生的费用由乙方承担；如第二次调试结果仍不能完全符合验收文件预定的合格条件，甲方有权拒绝接受该货物，乙方应承担甲方的一切损失。乙方提供的产品调试至符合技术要求，甲方才做最终验收。</w:t>
      </w:r>
    </w:p>
    <w:p>
      <w:pPr>
        <w:pStyle w:val="36"/>
        <w:snapToGrid w:val="0"/>
        <w:spacing w:before="120" w:after="120" w:line="360" w:lineRule="auto"/>
        <w:ind w:left="600" w:hanging="600" w:hangingChars="25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12.2 乙方交货前应对产品作出全面检查和对验收文件进行整理，并列出清单，作为甲方收货验收和使用的技术条件依据，检验的结果应随货物交甲方。</w:t>
      </w:r>
    </w:p>
    <w:p>
      <w:pPr>
        <w:pStyle w:val="36"/>
        <w:snapToGrid w:val="0"/>
        <w:spacing w:before="120" w:after="120" w:line="360" w:lineRule="auto"/>
        <w:ind w:left="600" w:hanging="600" w:hangingChars="25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12.3对技术复杂的货物，甲方应请国家认可的专业检测机构参与初步验收及最终验收，并由其出具质量检测报告。</w:t>
      </w:r>
    </w:p>
    <w:p>
      <w:pPr>
        <w:pStyle w:val="36"/>
        <w:snapToGrid w:val="0"/>
        <w:spacing w:before="120" w:after="120" w:line="360" w:lineRule="auto"/>
        <w:ind w:left="480" w:hanging="480" w:hanging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12.4验收时乙方必须在现场，验收完毕后作出验收结果报告；验收费用由乙方负责。</w:t>
      </w:r>
    </w:p>
    <w:p>
      <w:pPr>
        <w:pStyle w:val="36"/>
        <w:snapToGrid w:val="0"/>
        <w:spacing w:before="120" w:after="120" w:line="360" w:lineRule="auto"/>
        <w:ind w:left="600" w:hanging="600" w:hangingChars="25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12.5乙方应免费提供详细的专业管理和技术培训方案及措施，无条件提供免费的软件安装、调试工作，必须对甲方的使用操作人员进行不少于2次（至少1天）的现场培训工作，以保证甲方人员熟练使用。</w:t>
      </w:r>
    </w:p>
    <w:p>
      <w:pPr>
        <w:pStyle w:val="36"/>
        <w:numPr>
          <w:ilvl w:val="0"/>
          <w:numId w:val="1"/>
        </w:numPr>
        <w:snapToGrid w:val="0"/>
        <w:spacing w:before="120" w:after="120"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货物包装、发运及运输</w:t>
      </w:r>
    </w:p>
    <w:p>
      <w:pPr>
        <w:pStyle w:val="36"/>
        <w:snapToGrid w:val="0"/>
        <w:spacing w:before="120" w:after="120" w:line="360" w:lineRule="auto"/>
        <w:ind w:left="600" w:hanging="600" w:hangingChars="25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13.1 乙方应在货物发运前对其进行满足运输距离、防潮、防震、防锈和防破损装卸等要求包装，以保证货物安全运达甲方指定地点。</w:t>
      </w:r>
    </w:p>
    <w:p>
      <w:pPr>
        <w:pStyle w:val="36"/>
        <w:snapToGrid w:val="0"/>
        <w:spacing w:before="120" w:after="120" w:line="360" w:lineRule="auto"/>
        <w:ind w:left="480" w:hanging="480" w:hanging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13.2 使用说明书、质量检验证明书、随配附件和工具以及清单一并附于货物内。</w:t>
      </w:r>
    </w:p>
    <w:p>
      <w:pPr>
        <w:pStyle w:val="36"/>
        <w:snapToGrid w:val="0"/>
        <w:spacing w:before="120" w:after="120" w:line="360" w:lineRule="auto"/>
        <w:ind w:left="480" w:hanging="480" w:hanging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13.3 乙方在货物发运手续办理完毕后24小时内或货到甲方48小时前通知甲方，以准备接货。</w:t>
      </w:r>
    </w:p>
    <w:p>
      <w:pPr>
        <w:pStyle w:val="36"/>
        <w:snapToGrid w:val="0"/>
        <w:spacing w:before="120" w:after="120" w:line="360" w:lineRule="auto"/>
        <w:ind w:left="480" w:hanging="480" w:hanging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13.4 货物在交付甲方前发生的风险均由乙方负责。</w:t>
      </w:r>
    </w:p>
    <w:p>
      <w:pPr>
        <w:pStyle w:val="36"/>
        <w:snapToGrid w:val="0"/>
        <w:spacing w:before="156" w:after="156" w:line="360" w:lineRule="auto"/>
        <w:ind w:left="600" w:right="26" w:hanging="600" w:hangingChars="25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13.5 货物在规定的交付期限内由乙方送达甲方指定的地点视为交付，乙方同时需通知甲方货物已送达。</w:t>
      </w:r>
    </w:p>
    <w:p>
      <w:pPr>
        <w:pStyle w:val="36"/>
        <w:numPr>
          <w:ilvl w:val="0"/>
          <w:numId w:val="1"/>
        </w:numPr>
        <w:snapToGrid w:val="0"/>
        <w:spacing w:before="120" w:after="120"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违约责任</w:t>
      </w:r>
    </w:p>
    <w:p>
      <w:pPr>
        <w:pStyle w:val="36"/>
        <w:snapToGrid w:val="0"/>
        <w:spacing w:before="120" w:after="120" w:line="360" w:lineRule="auto"/>
        <w:ind w:left="410" w:hanging="410" w:hangingChars="171"/>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14.1 甲方无正当理由拒收货物的，甲方向乙方偿付拒收货款总值的百分之十违约金。</w:t>
      </w:r>
    </w:p>
    <w:p>
      <w:pPr>
        <w:pStyle w:val="36"/>
        <w:snapToGrid w:val="0"/>
        <w:spacing w:before="120" w:after="120" w:line="360" w:lineRule="auto"/>
        <w:ind w:left="528" w:hanging="528" w:hangingChars="22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14.2 甲方无故逾期验收和办理货款支付手续的,甲方应按逾期付款总额每日万分之五向乙方支付违约金。</w:t>
      </w:r>
    </w:p>
    <w:p>
      <w:pPr>
        <w:pStyle w:val="36"/>
        <w:snapToGrid w:val="0"/>
        <w:spacing w:before="120" w:after="120" w:line="360" w:lineRule="auto"/>
        <w:ind w:left="528" w:hanging="528" w:hangingChars="22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14.3 乙方逾期交付货物的，乙方应按逾期交货总额每日千分之二向甲方支付违约金，由甲方从待付货款中扣除。逾期超过约定日期10日不能交货的，甲方可解除本合同。乙方因逾期交货或因其他违约行为导致甲方解除合同的，乙方应向甲方支付合同总值10%的违约金，如造成甲方损失超过违约金的，超出部分由乙方继续承担赔偿责任。</w:t>
      </w:r>
    </w:p>
    <w:p>
      <w:pPr>
        <w:pStyle w:val="36"/>
        <w:snapToGrid w:val="0"/>
        <w:spacing w:before="120" w:after="120" w:line="360" w:lineRule="auto"/>
        <w:ind w:left="528" w:hanging="528" w:hangingChars="22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14.4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6"/>
        <w:snapToGrid w:val="0"/>
        <w:spacing w:before="120" w:after="120" w:line="360" w:lineRule="auto"/>
        <w:ind w:left="528" w:hanging="528" w:hangingChars="22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14.5质保期内，乙方未按本合同之约定提供质量保证与售后服务的，乙方应按付款总额的每日万分之五向甲方支付逾期响应的违约金；同时甲方有权委托第三方提供售后服务，由此产生的费用由乙方承担。</w:t>
      </w:r>
    </w:p>
    <w:p>
      <w:pPr>
        <w:pStyle w:val="36"/>
        <w:numPr>
          <w:ilvl w:val="0"/>
          <w:numId w:val="1"/>
        </w:numPr>
        <w:snapToGrid w:val="0"/>
        <w:spacing w:before="120" w:after="120"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缔约过失责任</w:t>
      </w:r>
    </w:p>
    <w:p>
      <w:pPr>
        <w:pStyle w:val="36"/>
        <w:snapToGrid w:val="0"/>
        <w:spacing w:before="120" w:after="120" w:line="360" w:lineRule="auto"/>
        <w:ind w:left="528" w:hanging="528" w:hangingChars="22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15.1本合同作为招标文件的重要组成部分，乙方应标时应当知悉，缔约过失条款独立于本合同提前成立并生效。中标通知发出后乙方应当在规定的时间内无条件签订本合同，否则甲方有权乙方承担相当于合同总金额20%的缔约过失责任，并按损失额赔偿甲方，包括但不限于直接损失、间接损失以及为实现债权支出的律师费、鉴定费、公证费等费用。</w:t>
      </w:r>
    </w:p>
    <w:p>
      <w:pPr>
        <w:pStyle w:val="36"/>
        <w:numPr>
          <w:ilvl w:val="0"/>
          <w:numId w:val="1"/>
        </w:numPr>
        <w:snapToGrid w:val="0"/>
        <w:spacing w:before="120" w:after="120"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不可抗力事件处理</w:t>
      </w:r>
    </w:p>
    <w:p>
      <w:pPr>
        <w:pStyle w:val="36"/>
        <w:snapToGrid w:val="0"/>
        <w:spacing w:before="120" w:after="120" w:line="360" w:lineRule="auto"/>
        <w:ind w:left="600" w:hanging="600" w:hangingChars="25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16.1 在合同有效期内，任何一方因不可抗力事件导致不能履行合同，则合同履行期可延长，其延长期与不可抗力影响期相同。</w:t>
      </w:r>
    </w:p>
    <w:p>
      <w:pPr>
        <w:pStyle w:val="36"/>
        <w:snapToGrid w:val="0"/>
        <w:spacing w:before="120" w:after="120"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16.2 不可抗力事件发生后，应立即通知对方，并寄送有关权威机构出具的证明。</w:t>
      </w:r>
    </w:p>
    <w:p>
      <w:pPr>
        <w:pStyle w:val="36"/>
        <w:snapToGrid w:val="0"/>
        <w:spacing w:before="120" w:after="120"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16.3 不可抗力事件延续120天以上，双方应通过友好协商，确定是否继续履行合同。</w:t>
      </w:r>
    </w:p>
    <w:p>
      <w:pPr>
        <w:pStyle w:val="36"/>
        <w:numPr>
          <w:ilvl w:val="0"/>
          <w:numId w:val="1"/>
        </w:numPr>
        <w:snapToGrid w:val="0"/>
        <w:spacing w:before="120" w:after="120"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诉讼</w:t>
      </w:r>
    </w:p>
    <w:p>
      <w:pPr>
        <w:pStyle w:val="36"/>
        <w:snapToGrid w:val="0"/>
        <w:spacing w:before="120" w:after="120" w:line="360" w:lineRule="auto"/>
        <w:ind w:left="600" w:hanging="600" w:hangingChars="25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17.1 双方在执行合同中所发生的一切争议，应通过协商解决。如协商不成，可向甲方所在地人民法院起诉。</w:t>
      </w:r>
    </w:p>
    <w:p>
      <w:pPr>
        <w:pStyle w:val="36"/>
        <w:numPr>
          <w:ilvl w:val="0"/>
          <w:numId w:val="1"/>
        </w:numPr>
        <w:snapToGrid w:val="0"/>
        <w:spacing w:before="120" w:after="120"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合同生效及其它</w:t>
      </w:r>
    </w:p>
    <w:p>
      <w:pPr>
        <w:pStyle w:val="36"/>
        <w:widowControl/>
        <w:numPr>
          <w:ilvl w:val="0"/>
          <w:numId w:val="4"/>
        </w:numPr>
        <w:tabs>
          <w:tab w:val="left" w:pos="0"/>
        </w:tabs>
        <w:snapToGrid w:val="0"/>
        <w:spacing w:before="120" w:after="120"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合同经双方法定代表人或授权委托代理人签字并加盖单位公章后生效。本合同有效期年。</w:t>
      </w:r>
    </w:p>
    <w:p>
      <w:pPr>
        <w:pStyle w:val="36"/>
        <w:widowControl/>
        <w:numPr>
          <w:ilvl w:val="0"/>
          <w:numId w:val="4"/>
        </w:numPr>
        <w:tabs>
          <w:tab w:val="left" w:pos="0"/>
        </w:tabs>
        <w:snapToGrid w:val="0"/>
        <w:spacing w:before="120" w:after="120"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合同执行中涉及采购资金和采购内容修改或补充的，须经财政部门审批，并签书面补充协议报政府采购监督管理部门备案，方可作为主合同不可分割的一部分。</w:t>
      </w:r>
    </w:p>
    <w:p>
      <w:pPr>
        <w:pStyle w:val="36"/>
        <w:widowControl/>
        <w:numPr>
          <w:ilvl w:val="0"/>
          <w:numId w:val="4"/>
        </w:numPr>
        <w:tabs>
          <w:tab w:val="left" w:pos="0"/>
        </w:tabs>
        <w:snapToGrid w:val="0"/>
        <w:spacing w:before="120" w:after="120"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本合同未尽事宜，遵照《中华人民共和国民法典》有关条文执行。</w:t>
      </w:r>
    </w:p>
    <w:p>
      <w:pPr>
        <w:pStyle w:val="36"/>
        <w:widowControl/>
        <w:numPr>
          <w:ilvl w:val="0"/>
          <w:numId w:val="4"/>
        </w:numPr>
        <w:tabs>
          <w:tab w:val="left" w:pos="0"/>
        </w:tabs>
        <w:snapToGrid w:val="0"/>
        <w:spacing w:before="120" w:after="120"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本合同正本一式  4 份，具有同等法律效力，甲乙双方各执一份；副本 2 份，(其他用途)。甲方有权依据招标文件修改本合同，个别条款如有冲突应以招标文件为准。</w:t>
      </w:r>
    </w:p>
    <w:p>
      <w:pPr>
        <w:pStyle w:val="36"/>
        <w:widowControl/>
        <w:snapToGrid w:val="0"/>
        <w:spacing w:before="120" w:after="120" w:line="360" w:lineRule="auto"/>
        <w:ind w:left="420" w:hanging="420"/>
        <w:rPr>
          <w:rFonts w:hint="eastAsia" w:asciiTheme="minorEastAsia" w:hAnsiTheme="minorEastAsia" w:eastAsiaTheme="minorEastAsia" w:cstheme="minorEastAsia"/>
          <w:bCs/>
          <w:color w:val="auto"/>
          <w:sz w:val="24"/>
          <w:szCs w:val="24"/>
          <w:highlight w:val="none"/>
        </w:rPr>
      </w:pPr>
    </w:p>
    <w:p>
      <w:pPr>
        <w:pStyle w:val="36"/>
        <w:snapToGrid w:val="0"/>
        <w:spacing w:before="120" w:after="120"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甲方：                              乙方：</w:t>
      </w:r>
    </w:p>
    <w:p>
      <w:pPr>
        <w:pStyle w:val="36"/>
        <w:snapToGrid w:val="0"/>
        <w:spacing w:before="120" w:after="120"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                              地址：</w:t>
      </w:r>
    </w:p>
    <w:p>
      <w:pPr>
        <w:pStyle w:val="36"/>
        <w:snapToGrid w:val="0"/>
        <w:spacing w:before="120" w:after="120"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法定代表人（或授权代表）：          法定代表人（或授权代表）：</w:t>
      </w:r>
    </w:p>
    <w:p>
      <w:pPr>
        <w:pStyle w:val="36"/>
        <w:snapToGrid w:val="0"/>
        <w:spacing w:before="120" w:after="120"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签订日期：   年   月   日           签订日期：     年   月    日</w:t>
      </w:r>
    </w:p>
    <w:p>
      <w:pPr>
        <w:pStyle w:val="36"/>
        <w:snapToGrid w:val="0"/>
        <w:spacing w:before="120" w:after="120"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鉴证方：浙江致信招标代理有限公司</w:t>
      </w:r>
    </w:p>
    <w:p>
      <w:pPr>
        <w:pStyle w:val="36"/>
        <w:snapToGrid w:val="0"/>
        <w:spacing w:before="120" w:after="120"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p>
    <w:p>
      <w:pPr>
        <w:pStyle w:val="36"/>
        <w:snapToGrid w:val="0"/>
        <w:spacing w:before="120" w:after="120"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法定代表人（或授权代表）：</w:t>
      </w:r>
    </w:p>
    <w:p>
      <w:pPr>
        <w:pStyle w:val="36"/>
        <w:snapToGrid w:val="0"/>
        <w:spacing w:before="120" w:after="120" w:line="360" w:lineRule="auto"/>
        <w:ind w:firstLine="480" w:firstLineChars="200"/>
        <w:rPr>
          <w:rFonts w:hint="eastAsia" w:asciiTheme="minorEastAsia" w:hAnsiTheme="minorEastAsia" w:eastAsiaTheme="minorEastAsia" w:cstheme="minorEastAsia"/>
          <w:bCs/>
          <w:color w:val="auto"/>
          <w:sz w:val="24"/>
          <w:szCs w:val="24"/>
          <w:highlight w:val="none"/>
        </w:rPr>
        <w:sectPr>
          <w:pgSz w:w="11906" w:h="16838"/>
          <w:pgMar w:top="1247" w:right="1304" w:bottom="1020" w:left="1304" w:header="720" w:footer="720" w:gutter="0"/>
          <w:cols w:space="0" w:num="1"/>
          <w:docGrid w:linePitch="286" w:charSpace="0"/>
        </w:sectPr>
      </w:pPr>
      <w:r>
        <w:rPr>
          <w:rFonts w:hint="eastAsia" w:asciiTheme="minorEastAsia" w:hAnsiTheme="minorEastAsia" w:eastAsiaTheme="minorEastAsia" w:cstheme="minorEastAsia"/>
          <w:bCs/>
          <w:color w:val="auto"/>
          <w:sz w:val="24"/>
          <w:szCs w:val="24"/>
          <w:highlight w:val="none"/>
        </w:rPr>
        <w:t>签订日期：   年   月   日</w:t>
      </w:r>
    </w:p>
    <w:p>
      <w:pPr>
        <w:spacing w:line="360" w:lineRule="auto"/>
        <w:ind w:left="-420" w:leftChars="-200" w:right="-420" w:rightChars="-200" w:firstLine="480" w:firstLineChars="200"/>
        <w:rPr>
          <w:rFonts w:hint="eastAsia" w:asciiTheme="minorEastAsia" w:hAnsiTheme="minorEastAsia" w:eastAsiaTheme="minorEastAsia" w:cstheme="minorEastAsia"/>
          <w:color w:val="auto"/>
          <w:sz w:val="24"/>
          <w:highlight w:val="none"/>
        </w:rPr>
      </w:pPr>
    </w:p>
    <w:p>
      <w:pPr>
        <w:tabs>
          <w:tab w:val="left" w:pos="630"/>
        </w:tabs>
        <w:spacing w:line="360" w:lineRule="auto"/>
        <w:jc w:val="center"/>
        <w:outlineLvl w:val="0"/>
        <w:rPr>
          <w:rFonts w:hint="eastAsia" w:asciiTheme="minorEastAsia" w:hAnsiTheme="minorEastAsia" w:eastAsiaTheme="minorEastAsia" w:cstheme="minorEastAsia"/>
          <w:b/>
          <w:color w:val="auto"/>
          <w:sz w:val="36"/>
          <w:szCs w:val="20"/>
          <w:highlight w:val="none"/>
        </w:rPr>
      </w:pPr>
      <w:bookmarkStart w:id="406" w:name="_Toc10980"/>
      <w:r>
        <w:rPr>
          <w:rFonts w:hint="eastAsia" w:asciiTheme="minorEastAsia" w:hAnsiTheme="minorEastAsia" w:eastAsiaTheme="minorEastAsia" w:cstheme="minorEastAsia"/>
          <w:b/>
          <w:color w:val="auto"/>
          <w:sz w:val="36"/>
          <w:szCs w:val="20"/>
          <w:highlight w:val="none"/>
        </w:rPr>
        <w:t>第六部分</w:t>
      </w:r>
      <w:bookmarkEnd w:id="403"/>
      <w:bookmarkEnd w:id="404"/>
      <w:r>
        <w:rPr>
          <w:rFonts w:hint="eastAsia" w:asciiTheme="minorEastAsia" w:hAnsiTheme="minorEastAsia" w:eastAsiaTheme="minorEastAsia" w:cstheme="minorEastAsia"/>
          <w:b/>
          <w:color w:val="auto"/>
          <w:sz w:val="36"/>
          <w:szCs w:val="20"/>
          <w:highlight w:val="none"/>
        </w:rPr>
        <w:t>应提交的有关格式范例</w:t>
      </w:r>
      <w:bookmarkEnd w:id="406"/>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bookmarkStart w:id="407" w:name="_Toc30716"/>
      <w:r>
        <w:rPr>
          <w:rFonts w:hint="eastAsia" w:asciiTheme="minorEastAsia" w:hAnsiTheme="minorEastAsia" w:eastAsiaTheme="minorEastAsia" w:cstheme="minorEastAsia"/>
          <w:b/>
          <w:color w:val="auto"/>
          <w:kern w:val="0"/>
          <w:sz w:val="36"/>
          <w:szCs w:val="36"/>
          <w:highlight w:val="none"/>
        </w:rPr>
        <w:t>资格文件部分</w:t>
      </w:r>
      <w:bookmarkEnd w:id="407"/>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bookmarkStart w:id="408" w:name="_Toc15804"/>
      <w:r>
        <w:rPr>
          <w:rFonts w:hint="eastAsia" w:asciiTheme="minorEastAsia" w:hAnsiTheme="minorEastAsia" w:eastAsiaTheme="minorEastAsia" w:cstheme="minorEastAsia"/>
          <w:b/>
          <w:color w:val="auto"/>
          <w:kern w:val="0"/>
          <w:sz w:val="36"/>
          <w:szCs w:val="36"/>
          <w:highlight w:val="none"/>
        </w:rPr>
        <w:t>目录</w:t>
      </w:r>
      <w:bookmarkEnd w:id="408"/>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（1）营业执照复印件………………………………………………………（页码）</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（2）符合参加政府采购活动应当具备的一般条件的承诺函……………（页码）</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（3）中小企业声明函……………………………………………………（页码）</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（4）本项目的特定资格要求………………………………………………（页码）</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（5）联合体协议（如有）………………………………………………（页码）</w:t>
      </w:r>
    </w:p>
    <w:p>
      <w:pPr>
        <w:snapToGrid w:val="0"/>
        <w:spacing w:line="360" w:lineRule="auto"/>
        <w:rPr>
          <w:rFonts w:hint="eastAsia" w:asciiTheme="minorEastAsia" w:hAnsiTheme="minorEastAsia" w:eastAsiaTheme="minorEastAsia" w:cstheme="minorEastAsia"/>
          <w:color w:val="auto"/>
          <w:sz w:val="24"/>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r>
        <w:rPr>
          <w:rFonts w:hint="eastAsia" w:asciiTheme="minorEastAsia" w:hAnsiTheme="minorEastAsia" w:eastAsiaTheme="minorEastAsia" w:cstheme="minorEastAsia"/>
          <w:b/>
          <w:color w:val="auto"/>
          <w:kern w:val="0"/>
          <w:sz w:val="32"/>
          <w:szCs w:val="32"/>
          <w:highlight w:val="none"/>
        </w:rPr>
        <w:t>一、符合参加政府采购活动应当具备的一般条件的承诺函</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（采购人）、（采购代理机构）：</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我方参与（项目名称）【招标编号：（采购编号）】政府采购活动，郑重承诺：</w:t>
      </w:r>
    </w:p>
    <w:p>
      <w:pPr>
        <w:snapToGrid w:val="0"/>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（一）具备《中华人民共和国政府采购法》第二十二条第一款规定的条件：</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2、具有良好的商业信誉和健全的财务会计制度；</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5、参加政府采购活动前三年内，在经营活动中没有重大违法记录；</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（三）不存在以下情况：</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投标人名称(盖章)：</w:t>
      </w:r>
    </w:p>
    <w:p>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：年</w:t>
      </w:r>
      <w:r>
        <w:rPr>
          <w:rFonts w:hint="eastAsia" w:asciiTheme="minorEastAsia" w:hAnsiTheme="minorEastAsia" w:eastAsiaTheme="minorEastAsia" w:cstheme="minorEastAsia"/>
          <w:color w:val="auto"/>
          <w:kern w:val="0"/>
          <w:sz w:val="24"/>
          <w:highlight w:val="none"/>
          <w:lang w:val="zh-CN"/>
        </w:rPr>
        <w:t>月日</w:t>
      </w: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rPr>
          <w:rFonts w:hint="eastAsia" w:asciiTheme="minorEastAsia" w:hAnsiTheme="minorEastAsia" w:eastAsiaTheme="minorEastAsia" w:cstheme="minorEastAsia"/>
          <w:color w:val="auto"/>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widowControl/>
        <w:spacing w:line="360" w:lineRule="auto"/>
        <w:ind w:firstLine="643" w:firstLineChars="20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二、落实政府采购政策需满足的资格要求</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A</w:t>
      </w:r>
      <w:r>
        <w:rPr>
          <w:rFonts w:hint="eastAsia" w:asciiTheme="minorEastAsia" w:hAnsiTheme="minorEastAsia" w:eastAsiaTheme="minorEastAsia" w:cstheme="minorEastAsia"/>
          <w:color w:val="auto"/>
          <w:sz w:val="24"/>
          <w:highlight w:val="none"/>
        </w:rPr>
        <w:t>.专门面向中小企业，货物全部由符合政策要求的中小企业（或小微企业）制造的，提供相应的中小企业声明函（附件4）。</w:t>
      </w:r>
    </w:p>
    <w:p>
      <w:pPr>
        <w:widowControl/>
        <w:spacing w:line="360" w:lineRule="auto"/>
        <w:ind w:firstLine="480"/>
        <w:jc w:val="left"/>
        <w:rPr>
          <w:rFonts w:hint="eastAsia" w:asciiTheme="minorEastAsia" w:hAnsiTheme="minorEastAsia" w:eastAsiaTheme="minorEastAsia" w:cstheme="minorEastAsia"/>
          <w:color w:val="auto"/>
          <w:sz w:val="24"/>
          <w:highlight w:val="none"/>
        </w:rPr>
      </w:pPr>
    </w:p>
    <w:p>
      <w:pPr>
        <w:spacing w:line="360" w:lineRule="auto"/>
        <w:ind w:firstLine="480" w:firstLineChars="200"/>
        <w:rPr>
          <w:rFonts w:hint="eastAsia" w:asciiTheme="minorEastAsia" w:hAnsiTheme="minorEastAsia" w:eastAsiaTheme="minorEastAsia" w:cstheme="minorEastAsia"/>
          <w:color w:val="auto"/>
          <w:sz w:val="24"/>
          <w:highlight w:val="none"/>
        </w:rPr>
      </w:pPr>
    </w:p>
    <w:p>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三、本项目的特定资格要求</w:t>
      </w:r>
    </w:p>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（根据招标公告本项目的特定资格要求提供相应的材料；未要求的，无需提供）</w:t>
      </w:r>
    </w:p>
    <w:p>
      <w:pPr>
        <w:rPr>
          <w:rFonts w:hint="eastAsia" w:asciiTheme="minorEastAsia" w:hAnsiTheme="minorEastAsia" w:eastAsiaTheme="minorEastAsia" w:cstheme="minorEastAsia"/>
          <w:color w:val="auto"/>
          <w:highlight w:val="none"/>
        </w:rPr>
      </w:pPr>
    </w:p>
    <w:p>
      <w:pPr>
        <w:widowControl/>
        <w:adjustRightInd/>
        <w:jc w:val="left"/>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pPr>
        <w:spacing w:line="360" w:lineRule="auto"/>
        <w:jc w:val="center"/>
        <w:outlineLvl w:val="0"/>
        <w:rPr>
          <w:rFonts w:hint="eastAsia" w:asciiTheme="minorEastAsia" w:hAnsiTheme="minorEastAsia" w:eastAsiaTheme="minorEastAsia" w:cstheme="minorEastAsia"/>
          <w:b/>
          <w:color w:val="auto"/>
          <w:kern w:val="0"/>
          <w:sz w:val="24"/>
          <w:highlight w:val="none"/>
        </w:rPr>
      </w:pPr>
      <w:bookmarkStart w:id="409" w:name="_Toc3353"/>
      <w:r>
        <w:rPr>
          <w:rFonts w:hint="eastAsia" w:asciiTheme="minorEastAsia" w:hAnsiTheme="minorEastAsia" w:eastAsiaTheme="minorEastAsia" w:cstheme="minorEastAsia"/>
          <w:b/>
          <w:color w:val="auto"/>
          <w:kern w:val="0"/>
          <w:sz w:val="24"/>
          <w:highlight w:val="none"/>
        </w:rPr>
        <w:t>目录</w:t>
      </w:r>
      <w:bookmarkEnd w:id="409"/>
    </w:p>
    <w:p>
      <w:pPr>
        <w:numPr>
          <w:ilvl w:val="0"/>
          <w:numId w:val="5"/>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投标函………………………………………………………………………（页码）</w:t>
      </w:r>
    </w:p>
    <w:p>
      <w:pPr>
        <w:pStyle w:val="725"/>
        <w:numPr>
          <w:ilvl w:val="0"/>
          <w:numId w:val="5"/>
        </w:num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营业执照副本复印件（加盖投标人公章）………………………………（页码）</w:t>
      </w:r>
    </w:p>
    <w:p>
      <w:pPr>
        <w:numPr>
          <w:ilvl w:val="0"/>
          <w:numId w:val="5"/>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授权委托书或法定代表人（单位负责人、自然人本人）身份证明……（页码）</w:t>
      </w:r>
    </w:p>
    <w:p>
      <w:pPr>
        <w:numPr>
          <w:ilvl w:val="0"/>
          <w:numId w:val="5"/>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投标人股权信息表…………………………………………………………（页码）</w:t>
      </w:r>
    </w:p>
    <w:p>
      <w:pPr>
        <w:numPr>
          <w:ilvl w:val="0"/>
          <w:numId w:val="5"/>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详细的“交货清单”………………………………………………………（页码）</w:t>
      </w:r>
    </w:p>
    <w:p>
      <w:pPr>
        <w:numPr>
          <w:ilvl w:val="0"/>
          <w:numId w:val="5"/>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技术规范偏离表……………………………………………………………（页码）</w:t>
      </w:r>
    </w:p>
    <w:p>
      <w:pPr>
        <w:numPr>
          <w:ilvl w:val="0"/>
          <w:numId w:val="5"/>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商务条款偏离表……………………………………………………………（页码）</w:t>
      </w:r>
    </w:p>
    <w:p>
      <w:pPr>
        <w:numPr>
          <w:ilvl w:val="0"/>
          <w:numId w:val="5"/>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完成的类似项目一览表（附合同复印件）………………………………（页码）</w:t>
      </w:r>
    </w:p>
    <w:p>
      <w:pPr>
        <w:numPr>
          <w:ilvl w:val="0"/>
          <w:numId w:val="5"/>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节能、环保产品……………………………………………………………（页码）</w:t>
      </w:r>
    </w:p>
    <w:p>
      <w:pPr>
        <w:numPr>
          <w:ilvl w:val="0"/>
          <w:numId w:val="5"/>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供货方案……………………………………………………………………（页码）</w:t>
      </w:r>
    </w:p>
    <w:p>
      <w:pPr>
        <w:numPr>
          <w:ilvl w:val="0"/>
          <w:numId w:val="5"/>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确保供应货物质量的设施及措施…………………………………………（页码）</w:t>
      </w:r>
    </w:p>
    <w:p>
      <w:pPr>
        <w:numPr>
          <w:ilvl w:val="0"/>
          <w:numId w:val="5"/>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供货、安装、调试…………………………………………………………（页码）</w:t>
      </w:r>
    </w:p>
    <w:p>
      <w:pPr>
        <w:numPr>
          <w:ilvl w:val="0"/>
          <w:numId w:val="5"/>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培训方案……………………………………………………………………（页码）</w:t>
      </w:r>
    </w:p>
    <w:p>
      <w:pPr>
        <w:numPr>
          <w:ilvl w:val="0"/>
          <w:numId w:val="5"/>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售后服务方案………………………………………………………………（页码）</w:t>
      </w:r>
    </w:p>
    <w:p>
      <w:pPr>
        <w:numPr>
          <w:ilvl w:val="0"/>
          <w:numId w:val="5"/>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第四部分“评标办法”中要求提供的资料………………………………（页码）</w:t>
      </w:r>
    </w:p>
    <w:p>
      <w:pPr>
        <w:numPr>
          <w:ilvl w:val="0"/>
          <w:numId w:val="5"/>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政府采购供应商廉洁自律承诺书</w:t>
      </w:r>
      <w:r>
        <w:rPr>
          <w:rFonts w:hint="eastAsia" w:asciiTheme="minorEastAsia" w:hAnsiTheme="minorEastAsia" w:eastAsiaTheme="minorEastAsia" w:cstheme="minorEastAsia"/>
          <w:color w:val="auto"/>
          <w:sz w:val="24"/>
          <w:highlight w:val="none"/>
        </w:rPr>
        <w:t>…………………………………………（页码）</w:t>
      </w:r>
    </w:p>
    <w:p>
      <w:pPr>
        <w:snapToGrid w:val="0"/>
        <w:spacing w:line="360" w:lineRule="auto"/>
        <w:ind w:left="420"/>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firstLine="3855" w:firstLineChars="1200"/>
        <w:outlineLvl w:val="0"/>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firstLine="3855" w:firstLineChars="1200"/>
        <w:outlineLvl w:val="0"/>
        <w:rPr>
          <w:rFonts w:hint="eastAsia" w:asciiTheme="minorEastAsia" w:hAnsiTheme="minorEastAsia" w:eastAsiaTheme="minorEastAsia" w:cstheme="minorEastAsia"/>
          <w:b/>
          <w:color w:val="auto"/>
          <w:kern w:val="0"/>
          <w:sz w:val="32"/>
          <w:szCs w:val="32"/>
          <w:highlight w:val="none"/>
        </w:rPr>
      </w:pPr>
    </w:p>
    <w:p>
      <w:pPr>
        <w:widowControl/>
        <w:adjustRightInd/>
        <w:jc w:val="left"/>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pPr>
        <w:snapToGrid w:val="0"/>
        <w:spacing w:line="360" w:lineRule="auto"/>
        <w:ind w:firstLine="3855" w:firstLineChars="1200"/>
        <w:outlineLvl w:val="0"/>
        <w:rPr>
          <w:rFonts w:hint="eastAsia" w:asciiTheme="minorEastAsia" w:hAnsiTheme="minorEastAsia" w:eastAsiaTheme="minorEastAsia" w:cstheme="minorEastAsia"/>
          <w:b/>
          <w:color w:val="auto"/>
          <w:sz w:val="32"/>
          <w:szCs w:val="32"/>
          <w:highlight w:val="none"/>
        </w:rPr>
      </w:pPr>
      <w:bookmarkStart w:id="410" w:name="_Toc1561"/>
      <w:r>
        <w:rPr>
          <w:rFonts w:hint="eastAsia" w:asciiTheme="minorEastAsia" w:hAnsiTheme="minorEastAsia" w:eastAsiaTheme="minorEastAsia" w:cstheme="minorEastAsia"/>
          <w:b/>
          <w:color w:val="auto"/>
          <w:kern w:val="0"/>
          <w:sz w:val="32"/>
          <w:szCs w:val="32"/>
          <w:highlight w:val="none"/>
        </w:rPr>
        <w:t>一、投标</w:t>
      </w:r>
      <w:r>
        <w:rPr>
          <w:rFonts w:hint="eastAsia" w:asciiTheme="minorEastAsia" w:hAnsiTheme="minorEastAsia" w:eastAsiaTheme="minorEastAsia" w:cstheme="minorEastAsia"/>
          <w:b/>
          <w:color w:val="auto"/>
          <w:sz w:val="32"/>
          <w:szCs w:val="32"/>
          <w:highlight w:val="none"/>
        </w:rPr>
        <w:t>函</w:t>
      </w:r>
      <w:bookmarkEnd w:id="410"/>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（采购人）、（采购代理机构）：</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1、我方承诺投标有效期从提交投标文件的截止之日起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本投标文件在投标有效期满之前均具有约束力。</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2、我方承诺除商务技术偏离表列出的偏离外，我方响应招标文件的全部要求。</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3、如我方中标，我方承诺：</w:t>
      </w:r>
    </w:p>
    <w:p>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3.1在收到中标通知书后，在中标通知书规定的期限内与你方签订合同；</w:t>
      </w:r>
    </w:p>
    <w:p>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3.2在签订合同时不向你方提出附加条件；</w:t>
      </w:r>
    </w:p>
    <w:p>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3.3在合同约定的期限内完成合同规定的全部义务。</w:t>
      </w:r>
    </w:p>
    <w:p>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4、其他补充说明:。</w:t>
      </w:r>
    </w:p>
    <w:p>
      <w:pPr>
        <w:spacing w:line="360" w:lineRule="auto"/>
        <w:ind w:firstLine="3600" w:firstLineChars="15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投标人名称(盖章)：</w:t>
      </w:r>
    </w:p>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   年   月   日</w:t>
      </w:r>
    </w:p>
    <w:p>
      <w:pPr>
        <w:snapToGrid w:val="0"/>
        <w:spacing w:line="360" w:lineRule="auto"/>
        <w:ind w:left="420" w:leftChars="200" w:firstLine="4200" w:firstLineChars="1750"/>
        <w:rPr>
          <w:rFonts w:hint="eastAsia" w:asciiTheme="minorEastAsia" w:hAnsiTheme="minorEastAsia" w:eastAsiaTheme="minorEastAsia" w:cstheme="minorEastAsia"/>
          <w:color w:val="auto"/>
          <w:kern w:val="0"/>
          <w:sz w:val="24"/>
          <w:highlight w:val="none"/>
          <w:u w:val="single"/>
        </w:rPr>
      </w:pPr>
    </w:p>
    <w:p>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rPr>
          <w:rFonts w:hint="eastAsia" w:asciiTheme="minorEastAsia" w:hAnsiTheme="minorEastAsia" w:eastAsiaTheme="minorEastAsia" w:cstheme="minorEastAsia"/>
          <w:color w:val="auto"/>
          <w:sz w:val="24"/>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rPr>
        <w:t>二、</w:t>
      </w:r>
      <w:r>
        <w:rPr>
          <w:rFonts w:hint="eastAsia" w:asciiTheme="minorEastAsia" w:hAnsiTheme="minorEastAsia" w:eastAsiaTheme="minorEastAsia" w:cstheme="minorEastAsia"/>
          <w:b/>
          <w:color w:val="auto"/>
          <w:kern w:val="0"/>
          <w:sz w:val="32"/>
          <w:szCs w:val="32"/>
          <w:highlight w:val="none"/>
          <w:lang w:val="zh-CN"/>
        </w:rPr>
        <w:t>营业执照副本复印件（加盖投标人公章）</w:t>
      </w:r>
    </w:p>
    <w:p>
      <w:pPr>
        <w:pStyle w:val="82"/>
        <w:ind w:firstLine="0" w:firstLineChars="0"/>
        <w:rPr>
          <w:rFonts w:hint="eastAsia" w:asciiTheme="minorEastAsia" w:hAnsiTheme="minorEastAsia" w:eastAsiaTheme="minorEastAsia" w:cstheme="minorEastAsia"/>
          <w:color w:val="auto"/>
          <w:highlight w:val="none"/>
          <w:lang w:val="zh-CN"/>
        </w:rPr>
      </w:pPr>
    </w:p>
    <w:tbl>
      <w:tblPr>
        <w:tblStyle w:val="7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5" w:hRule="atLeast"/>
        </w:trPr>
        <w:tc>
          <w:tcPr>
            <w:tcW w:w="9286" w:type="dxa"/>
          </w:tcPr>
          <w:p>
            <w:pPr>
              <w:pStyle w:val="2"/>
              <w:rPr>
                <w:rFonts w:hint="eastAsia" w:asciiTheme="minorEastAsia" w:hAnsiTheme="minorEastAsia" w:eastAsiaTheme="minorEastAsia" w:cstheme="minorEastAsia"/>
                <w:color w:val="auto"/>
                <w:highlight w:val="none"/>
              </w:rPr>
            </w:pPr>
          </w:p>
        </w:tc>
      </w:tr>
    </w:tbl>
    <w:p>
      <w:pPr>
        <w:pStyle w:val="2"/>
        <w:rPr>
          <w:rFonts w:hint="eastAsia" w:asciiTheme="minorEastAsia" w:hAnsiTheme="minorEastAsia" w:eastAsiaTheme="minorEastAsia" w:cstheme="minorEastAsia"/>
          <w:color w:val="auto"/>
          <w:highlight w:val="none"/>
        </w:rPr>
      </w:pPr>
    </w:p>
    <w:p>
      <w:pPr>
        <w:pStyle w:val="83"/>
        <w:rPr>
          <w:rFonts w:hint="eastAsia" w:asciiTheme="minorEastAsia" w:hAnsiTheme="minorEastAsia" w:eastAsiaTheme="minorEastAsia" w:cstheme="minorEastAsia"/>
          <w:color w:val="auto"/>
          <w:highlight w:val="none"/>
          <w:lang w:val="zh-CN"/>
        </w:rPr>
      </w:pPr>
    </w:p>
    <w:p>
      <w:pPr>
        <w:pStyle w:val="83"/>
        <w:rPr>
          <w:rFonts w:hint="eastAsia" w:asciiTheme="minorEastAsia" w:hAnsiTheme="minorEastAsia" w:eastAsiaTheme="minorEastAsia" w:cstheme="minorEastAsia"/>
          <w:color w:val="auto"/>
          <w:highlight w:val="none"/>
          <w:lang w:val="zh-CN"/>
        </w:rPr>
      </w:pPr>
    </w:p>
    <w:p>
      <w:pPr>
        <w:pStyle w:val="83"/>
        <w:rPr>
          <w:rFonts w:hint="eastAsia" w:asciiTheme="minorEastAsia" w:hAnsiTheme="minorEastAsia" w:eastAsiaTheme="minorEastAsia" w:cstheme="minorEastAsia"/>
          <w:color w:val="auto"/>
          <w:highlight w:val="none"/>
          <w:lang w:val="zh-CN"/>
        </w:rPr>
      </w:pPr>
    </w:p>
    <w:p>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pPr>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rPr>
        <w:t>三、</w:t>
      </w:r>
      <w:r>
        <w:rPr>
          <w:rFonts w:hint="eastAsia" w:asciiTheme="minorEastAsia" w:hAnsiTheme="minorEastAsia" w:eastAsiaTheme="minorEastAsia" w:cstheme="minorEastAsia"/>
          <w:b/>
          <w:color w:val="auto"/>
          <w:kern w:val="0"/>
          <w:sz w:val="32"/>
          <w:szCs w:val="32"/>
          <w:highlight w:val="none"/>
          <w:lang w:val="zh-CN"/>
        </w:rPr>
        <w:t>授权委托书或法定代表人（单位负责人、自然人本人）身份证明</w:t>
      </w:r>
    </w:p>
    <w:p>
      <w:pPr>
        <w:snapToGrid w:val="0"/>
        <w:spacing w:line="360" w:lineRule="auto"/>
        <w:rPr>
          <w:rFonts w:hint="eastAsia" w:asciiTheme="minorEastAsia" w:hAnsiTheme="minorEastAsia" w:eastAsiaTheme="minorEastAsia" w:cstheme="minorEastAsia"/>
          <w:color w:val="auto"/>
          <w:sz w:val="24"/>
          <w:highlight w:val="none"/>
        </w:rPr>
      </w:pPr>
    </w:p>
    <w:p>
      <w:pPr>
        <w:spacing w:line="400" w:lineRule="exact"/>
        <w:ind w:firstLine="422"/>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法定代表人身份证明</w:t>
      </w:r>
    </w:p>
    <w:p>
      <w:pPr>
        <w:ind w:firstLine="422"/>
        <w:rPr>
          <w:rFonts w:hint="eastAsia" w:asciiTheme="minorEastAsia" w:hAnsiTheme="minorEastAsia" w:eastAsiaTheme="minorEastAsia" w:cstheme="minorEastAsia"/>
          <w:b/>
          <w:color w:val="auto"/>
          <w:szCs w:val="21"/>
          <w:highlight w:val="none"/>
        </w:rPr>
      </w:pPr>
    </w:p>
    <w:p>
      <w:pPr>
        <w:spacing w:line="360" w:lineRule="auto"/>
        <w:ind w:firstLine="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单位名称：</w:t>
      </w:r>
    </w:p>
    <w:p>
      <w:pPr>
        <w:spacing w:line="360" w:lineRule="auto"/>
        <w:ind w:firstLine="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p>
    <w:p>
      <w:pPr>
        <w:spacing w:line="360" w:lineRule="auto"/>
        <w:ind w:firstLine="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姓名：性别：</w:t>
      </w:r>
    </w:p>
    <w:p>
      <w:pPr>
        <w:spacing w:line="360" w:lineRule="auto"/>
        <w:ind w:firstLine="42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年龄：职务：</w:t>
      </w:r>
    </w:p>
    <w:p>
      <w:pPr>
        <w:spacing w:line="360" w:lineRule="auto"/>
        <w:ind w:firstLine="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身份证号码：</w:t>
      </w:r>
    </w:p>
    <w:p>
      <w:pPr>
        <w:spacing w:line="360" w:lineRule="auto"/>
        <w:ind w:firstLine="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（供应商名称）</w:t>
      </w:r>
      <w:r>
        <w:rPr>
          <w:rFonts w:hint="eastAsia" w:asciiTheme="minorEastAsia" w:hAnsiTheme="minorEastAsia" w:eastAsiaTheme="minorEastAsia" w:cstheme="minorEastAsia"/>
          <w:color w:val="auto"/>
          <w:sz w:val="24"/>
          <w:highlight w:val="none"/>
        </w:rPr>
        <w:t>的法定代表人，为</w:t>
      </w:r>
      <w:r>
        <w:rPr>
          <w:rFonts w:hint="eastAsia" w:asciiTheme="minorEastAsia" w:hAnsiTheme="minorEastAsia" w:eastAsiaTheme="minorEastAsia" w:cstheme="minorEastAsia"/>
          <w:color w:val="auto"/>
          <w:sz w:val="24"/>
          <w:highlight w:val="none"/>
          <w:u w:val="single"/>
        </w:rPr>
        <w:t>（项目编号、项目名称）</w:t>
      </w:r>
      <w:r>
        <w:rPr>
          <w:rFonts w:hint="eastAsia" w:asciiTheme="minorEastAsia" w:hAnsiTheme="minorEastAsia" w:eastAsiaTheme="minorEastAsia" w:cstheme="minorEastAsia"/>
          <w:color w:val="auto"/>
          <w:sz w:val="24"/>
          <w:highlight w:val="none"/>
        </w:rPr>
        <w:t>项目，签署上述项目的响应文件，进行合同谈判、签署合同和处理与之有关的一切事宜。</w:t>
      </w:r>
    </w:p>
    <w:p>
      <w:pPr>
        <w:spacing w:line="360" w:lineRule="auto"/>
        <w:ind w:firstLine="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pPr>
        <w:spacing w:line="360" w:lineRule="auto"/>
        <w:ind w:firstLine="420"/>
        <w:rPr>
          <w:rFonts w:hint="eastAsia" w:asciiTheme="minorEastAsia" w:hAnsiTheme="minorEastAsia" w:eastAsiaTheme="minorEastAsia" w:cstheme="minorEastAsia"/>
          <w:color w:val="auto"/>
          <w:sz w:val="24"/>
          <w:highlight w:val="none"/>
        </w:rPr>
      </w:pPr>
    </w:p>
    <w:p>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后附法定代表人身份证正反面复印件，加盖供应商公章。</w:t>
      </w:r>
    </w:p>
    <w:p>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投标人名称(盖章)</w:t>
      </w:r>
      <w:r>
        <w:rPr>
          <w:rFonts w:hint="eastAsia" w:asciiTheme="minorEastAsia" w:hAnsiTheme="minorEastAsia" w:eastAsiaTheme="minorEastAsia" w:cstheme="minorEastAsia"/>
          <w:color w:val="auto"/>
          <w:kern w:val="0"/>
          <w:sz w:val="24"/>
          <w:highlight w:val="none"/>
          <w:lang w:val="zh-CN"/>
        </w:rPr>
        <w:t>：</w:t>
      </w:r>
    </w:p>
    <w:p>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签发日期：</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pPr>
        <w:snapToGrid w:val="0"/>
        <w:spacing w:line="360" w:lineRule="auto"/>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Cs/>
          <w:color w:val="auto"/>
          <w:sz w:val="24"/>
          <w:highlight w:val="none"/>
        </w:rPr>
        <w:t>身份证件扫描件：</w:t>
      </w:r>
    </w:p>
    <w:tbl>
      <w:tblPr>
        <w:tblStyle w:val="75"/>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p>
            <w:pPr>
              <w:pStyle w:val="151"/>
              <w:adjustRightInd w:val="0"/>
              <w:spacing w:line="360" w:lineRule="auto"/>
              <w:rPr>
                <w:rFonts w:hint="eastAsia" w:asciiTheme="minorEastAsia" w:hAnsiTheme="minorEastAsia" w:eastAsiaTheme="minorEastAsia" w:cstheme="minorEastAsia"/>
                <w:bCs/>
                <w:color w:val="auto"/>
                <w:sz w:val="24"/>
                <w:highlight w:val="none"/>
              </w:rPr>
            </w:pPr>
          </w:p>
        </w:tc>
      </w:tr>
    </w:tbl>
    <w:p>
      <w:pPr>
        <w:snapToGrid w:val="0"/>
        <w:spacing w:line="360" w:lineRule="auto"/>
        <w:ind w:firstLine="2872" w:firstLineChars="894"/>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p>
    <w:p>
      <w:pPr>
        <w:snapToGrid w:val="0"/>
        <w:spacing w:line="360" w:lineRule="auto"/>
        <w:ind w:firstLine="2872" w:firstLineChars="894"/>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法定代表人授权委托书</w:t>
      </w:r>
    </w:p>
    <w:p>
      <w:pPr>
        <w:pStyle w:val="63"/>
        <w:rPr>
          <w:rFonts w:hint="eastAsia" w:asciiTheme="minorEastAsia" w:hAnsiTheme="minorEastAsia" w:eastAsiaTheme="minorEastAsia" w:cstheme="minorEastAsia"/>
          <w:i/>
          <w:iCs/>
          <w:color w:val="auto"/>
          <w:sz w:val="21"/>
          <w:szCs w:val="21"/>
          <w:highlight w:val="none"/>
          <w:lang w:val="zh-CN"/>
        </w:rPr>
      </w:pPr>
      <w:r>
        <w:rPr>
          <w:rFonts w:hint="eastAsia" w:asciiTheme="minorEastAsia" w:hAnsiTheme="minorEastAsia" w:eastAsiaTheme="minorEastAsia" w:cstheme="minorEastAsia"/>
          <w:i/>
          <w:iCs/>
          <w:color w:val="auto"/>
          <w:sz w:val="21"/>
          <w:szCs w:val="21"/>
          <w:highlight w:val="none"/>
          <w:lang w:val="zh-CN"/>
        </w:rPr>
        <w:t>（如法人参加投标，可不提供委托书）</w:t>
      </w:r>
    </w:p>
    <w:p>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p>
    <w:p>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委托（姓名）为我方代理人（身份证号码：，手机：），以我方名义处理</w:t>
      </w:r>
      <w:r>
        <w:rPr>
          <w:rFonts w:hint="eastAsia" w:asciiTheme="minorEastAsia" w:hAnsiTheme="minorEastAsia" w:eastAsiaTheme="minorEastAsia" w:cstheme="minorEastAsia"/>
          <w:color w:val="auto"/>
          <w:sz w:val="24"/>
          <w:highlight w:val="none"/>
        </w:rPr>
        <w:t>（项目名称）【项目编号：（采购编号）】</w:t>
      </w:r>
      <w:r>
        <w:rPr>
          <w:rFonts w:hint="eastAsia" w:asciiTheme="minorEastAsia" w:hAnsiTheme="minorEastAsia" w:eastAsiaTheme="minorEastAsia" w:cstheme="minorEastAsia"/>
          <w:color w:val="auto"/>
          <w:kern w:val="0"/>
          <w:sz w:val="24"/>
          <w:highlight w:val="none"/>
          <w:lang w:val="zh-CN"/>
        </w:rPr>
        <w:t>政府采购磋商的一切事项，其法律后果由我方承担。</w:t>
      </w:r>
    </w:p>
    <w:p>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特此告知。</w:t>
      </w:r>
    </w:p>
    <w:p>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投标人名称(盖章)</w:t>
      </w:r>
      <w:r>
        <w:rPr>
          <w:rFonts w:hint="eastAsia" w:asciiTheme="minorEastAsia" w:hAnsiTheme="minorEastAsia" w:eastAsiaTheme="minorEastAsia" w:cstheme="minorEastAsia"/>
          <w:color w:val="auto"/>
          <w:kern w:val="0"/>
          <w:sz w:val="24"/>
          <w:highlight w:val="none"/>
          <w:lang w:val="zh-CN"/>
        </w:rPr>
        <w:t>：</w:t>
      </w:r>
    </w:p>
    <w:p>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签发日期：</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pPr>
        <w:snapToGrid w:val="0"/>
        <w:spacing w:line="360" w:lineRule="auto"/>
        <w:rPr>
          <w:rFonts w:hint="eastAsia" w:asciiTheme="minorEastAsia" w:hAnsiTheme="minorEastAsia" w:eastAsiaTheme="minorEastAsia" w:cstheme="minorEastAsia"/>
          <w:color w:val="auto"/>
          <w:sz w:val="24"/>
          <w:highlight w:val="none"/>
        </w:rPr>
      </w:pPr>
    </w:p>
    <w:p>
      <w:pPr>
        <w:snapToGrid w:val="0"/>
        <w:spacing w:line="360" w:lineRule="auto"/>
        <w:rPr>
          <w:rFonts w:hint="eastAsia" w:asciiTheme="minorEastAsia" w:hAnsiTheme="minorEastAsia" w:eastAsiaTheme="minorEastAsia" w:cstheme="minorEastAsia"/>
          <w:color w:val="auto"/>
          <w:kern w:val="0"/>
          <w:sz w:val="24"/>
          <w:highlight w:val="none"/>
          <w:lang w:val="zh-CN"/>
        </w:rPr>
      </w:pPr>
    </w:p>
    <w:p>
      <w:pPr>
        <w:snapToGrid w:val="0"/>
        <w:spacing w:line="360" w:lineRule="auto"/>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Cs/>
          <w:color w:val="auto"/>
          <w:sz w:val="24"/>
          <w:highlight w:val="none"/>
        </w:rPr>
        <w:t>身份证件扫描件：</w:t>
      </w:r>
    </w:p>
    <w:tbl>
      <w:tblPr>
        <w:tblStyle w:val="75"/>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p>
            <w:pPr>
              <w:pStyle w:val="151"/>
              <w:adjustRightInd w:val="0"/>
              <w:spacing w:line="360" w:lineRule="auto"/>
              <w:rPr>
                <w:rFonts w:hint="eastAsia" w:asciiTheme="minorEastAsia" w:hAnsiTheme="minorEastAsia" w:eastAsiaTheme="minorEastAsia" w:cstheme="minorEastAsia"/>
                <w:bCs/>
                <w:color w:val="auto"/>
                <w:sz w:val="24"/>
                <w:highlight w:val="none"/>
              </w:rPr>
            </w:pPr>
          </w:p>
        </w:tc>
      </w:tr>
    </w:tbl>
    <w:p>
      <w:pPr>
        <w:widowControl/>
        <w:adjustRightInd/>
        <w:jc w:val="left"/>
        <w:rPr>
          <w:rFonts w:hint="eastAsia" w:asciiTheme="minorEastAsia" w:hAnsiTheme="minorEastAsia" w:eastAsiaTheme="minorEastAsia" w:cstheme="minorEastAsia"/>
          <w:b/>
          <w:color w:val="auto"/>
          <w:sz w:val="30"/>
          <w:szCs w:val="30"/>
          <w:highlight w:val="none"/>
        </w:rPr>
      </w:pPr>
    </w:p>
    <w:p>
      <w:pPr>
        <w:snapToGrid w:val="0"/>
        <w:spacing w:line="360" w:lineRule="auto"/>
        <w:ind w:firstLine="576"/>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4"/>
          <w:highlight w:val="none"/>
        </w:rPr>
        <w:t>附授权代表近六个月任一月缴纳社保证明</w:t>
      </w:r>
    </w:p>
    <w:p>
      <w:pPr>
        <w:spacing w:line="360" w:lineRule="auto"/>
        <w:jc w:val="center"/>
        <w:rPr>
          <w:rFonts w:hint="eastAsia" w:asciiTheme="minorEastAsia" w:hAnsiTheme="minorEastAsia" w:eastAsiaTheme="minorEastAsia" w:cstheme="minorEastAsia"/>
          <w:color w:val="auto"/>
          <w:kern w:val="0"/>
          <w:sz w:val="24"/>
          <w:highlight w:val="none"/>
          <w:lang w:val="zh-CN"/>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pStyle w:val="966"/>
        <w:ind w:left="0"/>
        <w:jc w:val="center"/>
        <w:rPr>
          <w:rFonts w:hint="eastAsia" w:asciiTheme="minorEastAsia" w:hAnsiTheme="minorEastAsia" w:eastAsiaTheme="minorEastAsia" w:cstheme="minorEastAsia"/>
          <w:b/>
          <w:bCs/>
          <w:color w:val="auto"/>
          <w:sz w:val="32"/>
          <w:szCs w:val="28"/>
          <w:highlight w:val="none"/>
        </w:rPr>
      </w:pPr>
      <w:r>
        <w:rPr>
          <w:rFonts w:hint="eastAsia" w:asciiTheme="minorEastAsia" w:hAnsiTheme="minorEastAsia" w:eastAsiaTheme="minorEastAsia" w:cstheme="minorEastAsia"/>
          <w:b/>
          <w:bCs/>
          <w:color w:val="auto"/>
          <w:sz w:val="32"/>
          <w:szCs w:val="28"/>
          <w:highlight w:val="none"/>
        </w:rPr>
        <w:br w:type="page"/>
      </w:r>
    </w:p>
    <w:p>
      <w:pPr>
        <w:pStyle w:val="966"/>
        <w:ind w:left="0"/>
        <w:jc w:val="center"/>
        <w:rPr>
          <w:rFonts w:hint="eastAsia" w:asciiTheme="minorEastAsia" w:hAnsiTheme="minorEastAsia" w:eastAsiaTheme="minorEastAsia" w:cstheme="minorEastAsia"/>
          <w:b/>
          <w:bCs/>
          <w:color w:val="auto"/>
          <w:sz w:val="32"/>
          <w:szCs w:val="28"/>
          <w:highlight w:val="none"/>
        </w:rPr>
      </w:pPr>
      <w:r>
        <w:rPr>
          <w:rFonts w:hint="eastAsia" w:asciiTheme="minorEastAsia" w:hAnsiTheme="minorEastAsia" w:eastAsiaTheme="minorEastAsia" w:cstheme="minorEastAsia"/>
          <w:b/>
          <w:bCs/>
          <w:color w:val="auto"/>
          <w:sz w:val="32"/>
          <w:szCs w:val="28"/>
          <w:highlight w:val="none"/>
        </w:rPr>
        <w:t>四、投标人股权信息表</w:t>
      </w:r>
    </w:p>
    <w:p>
      <w:pPr>
        <w:rPr>
          <w:rFonts w:hint="eastAsia" w:asciiTheme="minorEastAsia" w:hAnsiTheme="minorEastAsia" w:eastAsiaTheme="minorEastAsia" w:cstheme="minorEastAsia"/>
          <w:color w:val="auto"/>
          <w:highlight w:val="none"/>
        </w:rPr>
      </w:pPr>
    </w:p>
    <w:tbl>
      <w:tblPr>
        <w:tblStyle w:val="75"/>
        <w:tblW w:w="10117" w:type="dxa"/>
        <w:tblInd w:w="93" w:type="dxa"/>
        <w:tblLayout w:type="fixed"/>
        <w:tblCellMar>
          <w:top w:w="0" w:type="dxa"/>
          <w:left w:w="108" w:type="dxa"/>
          <w:bottom w:w="0" w:type="dxa"/>
          <w:right w:w="108" w:type="dxa"/>
        </w:tblCellMar>
      </w:tblPr>
      <w:tblGrid>
        <w:gridCol w:w="1128"/>
        <w:gridCol w:w="1650"/>
        <w:gridCol w:w="1494"/>
        <w:gridCol w:w="2026"/>
        <w:gridCol w:w="1230"/>
        <w:gridCol w:w="1155"/>
        <w:gridCol w:w="1434"/>
      </w:tblGrid>
      <w:tr>
        <w:tblPrEx>
          <w:tblLayout w:type="fixed"/>
          <w:tblCellMar>
            <w:top w:w="0" w:type="dxa"/>
            <w:left w:w="108" w:type="dxa"/>
            <w:bottom w:w="0" w:type="dxa"/>
            <w:right w:w="108" w:type="dxa"/>
          </w:tblCellMar>
        </w:tblPrEx>
        <w:trPr>
          <w:trHeight w:val="49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rPr>
              <w:t>投标人股权信息表</w:t>
            </w:r>
          </w:p>
        </w:tc>
      </w:tr>
      <w:tr>
        <w:tblPrEx>
          <w:tblLayout w:type="fixed"/>
          <w:tblCellMar>
            <w:top w:w="0" w:type="dxa"/>
            <w:left w:w="108" w:type="dxa"/>
            <w:bottom w:w="0" w:type="dxa"/>
            <w:right w:w="108" w:type="dxa"/>
          </w:tblCellMar>
        </w:tblPrEx>
        <w:trPr>
          <w:trHeight w:val="48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项目编号：</w:t>
            </w:r>
          </w:p>
        </w:tc>
      </w:tr>
      <w:tr>
        <w:tblPrEx>
          <w:tblLayout w:type="fixed"/>
          <w:tblCellMar>
            <w:top w:w="0" w:type="dxa"/>
            <w:left w:w="108" w:type="dxa"/>
            <w:bottom w:w="0" w:type="dxa"/>
            <w:right w:w="108" w:type="dxa"/>
          </w:tblCellMar>
        </w:tblPrEx>
        <w:trPr>
          <w:trHeight w:val="52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项目名称：</w:t>
            </w:r>
          </w:p>
        </w:tc>
      </w:tr>
      <w:tr>
        <w:tblPrEx>
          <w:tblLayout w:type="fixed"/>
          <w:tblCellMar>
            <w:top w:w="0" w:type="dxa"/>
            <w:left w:w="108" w:type="dxa"/>
            <w:bottom w:w="0" w:type="dxa"/>
            <w:right w:w="108" w:type="dxa"/>
          </w:tblCellMar>
        </w:tblPrEx>
        <w:trPr>
          <w:trHeight w:val="285"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投标人名称</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法定代表人</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股东（股权比例）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董事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监事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授权代表</w:t>
            </w:r>
          </w:p>
        </w:tc>
      </w:tr>
      <w:tr>
        <w:tblPrEx>
          <w:tblLayout w:type="fixed"/>
          <w:tblCellMar>
            <w:top w:w="0" w:type="dxa"/>
            <w:left w:w="108" w:type="dxa"/>
            <w:bottom w:w="0" w:type="dxa"/>
            <w:right w:w="108" w:type="dxa"/>
          </w:tblCellMar>
        </w:tblPrEx>
        <w:trPr>
          <w:trHeight w:val="531"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4"/>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4"/>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4"/>
                <w:highlight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4"/>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4"/>
                <w:highlight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4"/>
                <w:highlight w:val="none"/>
              </w:rPr>
            </w:pPr>
          </w:p>
        </w:tc>
      </w:tr>
      <w:tr>
        <w:tblPrEx>
          <w:tblLayout w:type="fixed"/>
          <w:tblCellMar>
            <w:top w:w="0" w:type="dxa"/>
            <w:left w:w="108" w:type="dxa"/>
            <w:bottom w:w="0" w:type="dxa"/>
            <w:right w:w="108" w:type="dxa"/>
          </w:tblCellMar>
        </w:tblPrEx>
        <w:trPr>
          <w:trHeight w:val="70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投标人全称（盖章）：</w:t>
            </w:r>
          </w:p>
        </w:tc>
      </w:tr>
    </w:tbl>
    <w:p>
      <w:pPr>
        <w:rPr>
          <w:rFonts w:hint="eastAsia" w:asciiTheme="minorEastAsia" w:hAnsiTheme="minorEastAsia" w:eastAsiaTheme="minorEastAsia" w:cstheme="minorEastAsia"/>
          <w:b/>
          <w:bCs/>
          <w:color w:val="auto"/>
          <w:highlight w:val="none"/>
        </w:rPr>
      </w:pPr>
    </w:p>
    <w:p>
      <w:pPr>
        <w:snapToGrid w:val="0"/>
        <w:spacing w:line="360" w:lineRule="auto"/>
        <w:rPr>
          <w:rFonts w:hint="eastAsia" w:asciiTheme="minorEastAsia" w:hAnsiTheme="minorEastAsia" w:eastAsiaTheme="minorEastAsia" w:cstheme="minorEastAsia"/>
          <w:b/>
          <w:color w:val="auto"/>
          <w:kern w:val="0"/>
          <w:sz w:val="32"/>
          <w:szCs w:val="32"/>
          <w:highlight w:val="none"/>
        </w:rPr>
      </w:pPr>
    </w:p>
    <w:p>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五、交货清单</w:t>
      </w:r>
    </w:p>
    <w:p>
      <w:pPr>
        <w:pStyle w:val="82"/>
        <w:ind w:firstLine="0" w:firstLineChars="0"/>
        <w:rPr>
          <w:rFonts w:hint="eastAsia" w:asciiTheme="minorEastAsia" w:hAnsiTheme="minorEastAsia" w:eastAsiaTheme="minorEastAsia" w:cstheme="minorEastAsia"/>
          <w:color w:val="auto"/>
          <w:highlight w:val="none"/>
        </w:rPr>
      </w:pPr>
    </w:p>
    <w:p>
      <w:pPr>
        <w:ind w:firstLine="315" w:firstLineChars="15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highlight w:val="none"/>
        </w:rPr>
        <w:t>项目名称：项目编号：</w:t>
      </w:r>
    </w:p>
    <w:tbl>
      <w:tblPr>
        <w:tblStyle w:val="75"/>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25"/>
        <w:gridCol w:w="1065"/>
        <w:gridCol w:w="2603"/>
        <w:gridCol w:w="1177"/>
        <w:gridCol w:w="1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900" w:type="dxa"/>
            <w:vMerge w:val="restart"/>
            <w:vAlign w:val="center"/>
          </w:tcPr>
          <w:p>
            <w:pPr>
              <w:widowControl/>
              <w:jc w:val="center"/>
              <w:textAlignment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序号</w:t>
            </w:r>
          </w:p>
        </w:tc>
        <w:tc>
          <w:tcPr>
            <w:tcW w:w="1425" w:type="dxa"/>
            <w:vMerge w:val="restart"/>
            <w:vAlign w:val="center"/>
          </w:tcPr>
          <w:p>
            <w:pPr>
              <w:widowControl/>
              <w:jc w:val="center"/>
              <w:textAlignment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产品名称</w:t>
            </w:r>
          </w:p>
        </w:tc>
        <w:tc>
          <w:tcPr>
            <w:tcW w:w="1065" w:type="dxa"/>
            <w:vMerge w:val="restart"/>
            <w:vAlign w:val="center"/>
          </w:tcPr>
          <w:p>
            <w:pPr>
              <w:widowControl/>
              <w:jc w:val="center"/>
              <w:textAlignment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品牌</w:t>
            </w:r>
          </w:p>
        </w:tc>
        <w:tc>
          <w:tcPr>
            <w:tcW w:w="2603" w:type="dxa"/>
            <w:vMerge w:val="restart"/>
            <w:vAlign w:val="center"/>
          </w:tcPr>
          <w:p>
            <w:pPr>
              <w:widowControl/>
              <w:jc w:val="center"/>
              <w:textAlignment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规格及型号</w:t>
            </w:r>
          </w:p>
        </w:tc>
        <w:tc>
          <w:tcPr>
            <w:tcW w:w="1177" w:type="dxa"/>
            <w:vMerge w:val="restart"/>
            <w:vAlign w:val="center"/>
          </w:tcPr>
          <w:p>
            <w:pPr>
              <w:widowControl/>
              <w:jc w:val="center"/>
              <w:textAlignment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生产厂家</w:t>
            </w:r>
          </w:p>
        </w:tc>
        <w:tc>
          <w:tcPr>
            <w:tcW w:w="1110" w:type="dxa"/>
            <w:vMerge w:val="restart"/>
            <w:vAlign w:val="center"/>
          </w:tcPr>
          <w:p>
            <w:pPr>
              <w:widowControl/>
              <w:jc w:val="center"/>
              <w:textAlignment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单位</w:t>
            </w:r>
          </w:p>
        </w:tc>
        <w:tc>
          <w:tcPr>
            <w:tcW w:w="1080" w:type="dxa"/>
            <w:vMerge w:val="restart"/>
            <w:vAlign w:val="center"/>
          </w:tcPr>
          <w:p>
            <w:pPr>
              <w:widowControl/>
              <w:jc w:val="center"/>
              <w:textAlignment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jc w:val="center"/>
        </w:trPr>
        <w:tc>
          <w:tcPr>
            <w:tcW w:w="900" w:type="dxa"/>
            <w:vMerge w:val="continue"/>
            <w:vAlign w:val="center"/>
          </w:tcPr>
          <w:p>
            <w:pPr>
              <w:widowControl/>
              <w:jc w:val="center"/>
              <w:textAlignment w:val="center"/>
              <w:rPr>
                <w:rFonts w:hint="eastAsia" w:asciiTheme="minorEastAsia" w:hAnsiTheme="minorEastAsia" w:eastAsiaTheme="minorEastAsia" w:cstheme="minorEastAsia"/>
                <w:color w:val="auto"/>
                <w:kern w:val="0"/>
                <w:sz w:val="24"/>
                <w:highlight w:val="none"/>
              </w:rPr>
            </w:pPr>
          </w:p>
        </w:tc>
        <w:tc>
          <w:tcPr>
            <w:tcW w:w="1425" w:type="dxa"/>
            <w:vMerge w:val="continue"/>
            <w:vAlign w:val="center"/>
          </w:tcPr>
          <w:p>
            <w:pPr>
              <w:widowControl/>
              <w:jc w:val="center"/>
              <w:textAlignment w:val="center"/>
              <w:rPr>
                <w:rFonts w:hint="eastAsia" w:asciiTheme="minorEastAsia" w:hAnsiTheme="minorEastAsia" w:eastAsiaTheme="minorEastAsia" w:cstheme="minorEastAsia"/>
                <w:color w:val="auto"/>
                <w:kern w:val="0"/>
                <w:sz w:val="24"/>
                <w:highlight w:val="none"/>
              </w:rPr>
            </w:pPr>
          </w:p>
        </w:tc>
        <w:tc>
          <w:tcPr>
            <w:tcW w:w="1065" w:type="dxa"/>
            <w:vMerge w:val="continue"/>
            <w:vAlign w:val="center"/>
          </w:tcPr>
          <w:p>
            <w:pPr>
              <w:widowControl/>
              <w:jc w:val="center"/>
              <w:textAlignment w:val="center"/>
              <w:rPr>
                <w:rFonts w:hint="eastAsia" w:asciiTheme="minorEastAsia" w:hAnsiTheme="minorEastAsia" w:eastAsiaTheme="minorEastAsia" w:cstheme="minorEastAsia"/>
                <w:color w:val="auto"/>
                <w:kern w:val="0"/>
                <w:sz w:val="24"/>
                <w:highlight w:val="none"/>
              </w:rPr>
            </w:pPr>
          </w:p>
        </w:tc>
        <w:tc>
          <w:tcPr>
            <w:tcW w:w="2603" w:type="dxa"/>
            <w:vMerge w:val="continue"/>
            <w:vAlign w:val="center"/>
          </w:tcPr>
          <w:p>
            <w:pPr>
              <w:widowControl/>
              <w:jc w:val="center"/>
              <w:textAlignment w:val="center"/>
              <w:rPr>
                <w:rFonts w:hint="eastAsia" w:asciiTheme="minorEastAsia" w:hAnsiTheme="minorEastAsia" w:eastAsiaTheme="minorEastAsia" w:cstheme="minorEastAsia"/>
                <w:color w:val="auto"/>
                <w:kern w:val="0"/>
                <w:sz w:val="24"/>
                <w:highlight w:val="none"/>
              </w:rPr>
            </w:pPr>
          </w:p>
        </w:tc>
        <w:tc>
          <w:tcPr>
            <w:tcW w:w="1177" w:type="dxa"/>
            <w:vMerge w:val="continue"/>
          </w:tcPr>
          <w:p>
            <w:pPr>
              <w:widowControl/>
              <w:jc w:val="center"/>
              <w:textAlignment w:val="center"/>
              <w:rPr>
                <w:rFonts w:hint="eastAsia" w:asciiTheme="minorEastAsia" w:hAnsiTheme="minorEastAsia" w:eastAsiaTheme="minorEastAsia" w:cstheme="minorEastAsia"/>
                <w:color w:val="auto"/>
                <w:kern w:val="0"/>
                <w:sz w:val="24"/>
                <w:highlight w:val="none"/>
              </w:rPr>
            </w:pPr>
          </w:p>
        </w:tc>
        <w:tc>
          <w:tcPr>
            <w:tcW w:w="1110" w:type="dxa"/>
            <w:vMerge w:val="continue"/>
            <w:vAlign w:val="center"/>
          </w:tcPr>
          <w:p>
            <w:pPr>
              <w:widowControl/>
              <w:jc w:val="center"/>
              <w:textAlignment w:val="center"/>
              <w:rPr>
                <w:rFonts w:hint="eastAsia" w:asciiTheme="minorEastAsia" w:hAnsiTheme="minorEastAsia" w:eastAsiaTheme="minorEastAsia" w:cstheme="minorEastAsia"/>
                <w:color w:val="auto"/>
                <w:kern w:val="0"/>
                <w:sz w:val="24"/>
                <w:highlight w:val="none"/>
              </w:rPr>
            </w:pPr>
          </w:p>
        </w:tc>
        <w:tc>
          <w:tcPr>
            <w:tcW w:w="1080" w:type="dxa"/>
            <w:vMerge w:val="continue"/>
            <w:vAlign w:val="center"/>
          </w:tcPr>
          <w:p>
            <w:pPr>
              <w:widowControl/>
              <w:jc w:val="center"/>
              <w:textAlignment w:val="center"/>
              <w:rPr>
                <w:rFonts w:hint="eastAsia"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00" w:type="dxa"/>
          </w:tcPr>
          <w:p>
            <w:pPr>
              <w:widowControl/>
              <w:jc w:val="center"/>
              <w:textAlignment w:val="center"/>
              <w:rPr>
                <w:rFonts w:hint="eastAsia" w:asciiTheme="minorEastAsia" w:hAnsiTheme="minorEastAsia" w:eastAsiaTheme="minorEastAsia" w:cstheme="minorEastAsia"/>
                <w:color w:val="auto"/>
                <w:kern w:val="0"/>
                <w:sz w:val="24"/>
                <w:highlight w:val="none"/>
              </w:rPr>
            </w:pPr>
          </w:p>
        </w:tc>
        <w:tc>
          <w:tcPr>
            <w:tcW w:w="1425" w:type="dxa"/>
          </w:tcPr>
          <w:p>
            <w:pPr>
              <w:widowControl/>
              <w:jc w:val="center"/>
              <w:textAlignment w:val="center"/>
              <w:rPr>
                <w:rFonts w:hint="eastAsia" w:asciiTheme="minorEastAsia" w:hAnsiTheme="minorEastAsia" w:eastAsiaTheme="minorEastAsia" w:cstheme="minorEastAsia"/>
                <w:color w:val="auto"/>
                <w:kern w:val="0"/>
                <w:sz w:val="24"/>
                <w:highlight w:val="none"/>
              </w:rPr>
            </w:pPr>
          </w:p>
        </w:tc>
        <w:tc>
          <w:tcPr>
            <w:tcW w:w="1065" w:type="dxa"/>
          </w:tcPr>
          <w:p>
            <w:pPr>
              <w:widowControl/>
              <w:jc w:val="center"/>
              <w:textAlignment w:val="center"/>
              <w:rPr>
                <w:rFonts w:hint="eastAsia" w:asciiTheme="minorEastAsia" w:hAnsiTheme="minorEastAsia" w:eastAsiaTheme="minorEastAsia" w:cstheme="minorEastAsia"/>
                <w:color w:val="auto"/>
                <w:kern w:val="0"/>
                <w:sz w:val="24"/>
                <w:highlight w:val="none"/>
              </w:rPr>
            </w:pPr>
          </w:p>
        </w:tc>
        <w:tc>
          <w:tcPr>
            <w:tcW w:w="2603" w:type="dxa"/>
          </w:tcPr>
          <w:p>
            <w:pPr>
              <w:widowControl/>
              <w:jc w:val="center"/>
              <w:textAlignment w:val="center"/>
              <w:rPr>
                <w:rFonts w:hint="eastAsia" w:asciiTheme="minorEastAsia" w:hAnsiTheme="minorEastAsia" w:eastAsiaTheme="minorEastAsia" w:cstheme="minorEastAsia"/>
                <w:color w:val="auto"/>
                <w:kern w:val="0"/>
                <w:sz w:val="24"/>
                <w:highlight w:val="none"/>
              </w:rPr>
            </w:pPr>
          </w:p>
        </w:tc>
        <w:tc>
          <w:tcPr>
            <w:tcW w:w="1177" w:type="dxa"/>
          </w:tcPr>
          <w:p>
            <w:pPr>
              <w:widowControl/>
              <w:jc w:val="center"/>
              <w:textAlignment w:val="center"/>
              <w:rPr>
                <w:rFonts w:hint="eastAsia" w:asciiTheme="minorEastAsia" w:hAnsiTheme="minorEastAsia" w:eastAsiaTheme="minorEastAsia" w:cstheme="minorEastAsia"/>
                <w:color w:val="auto"/>
                <w:kern w:val="0"/>
                <w:sz w:val="24"/>
                <w:highlight w:val="none"/>
              </w:rPr>
            </w:pPr>
          </w:p>
        </w:tc>
        <w:tc>
          <w:tcPr>
            <w:tcW w:w="1110" w:type="dxa"/>
          </w:tcPr>
          <w:p>
            <w:pPr>
              <w:widowControl/>
              <w:jc w:val="center"/>
              <w:textAlignment w:val="center"/>
              <w:rPr>
                <w:rFonts w:hint="eastAsia" w:asciiTheme="minorEastAsia" w:hAnsiTheme="minorEastAsia" w:eastAsiaTheme="minorEastAsia" w:cstheme="minorEastAsia"/>
                <w:color w:val="auto"/>
                <w:kern w:val="0"/>
                <w:sz w:val="24"/>
                <w:highlight w:val="none"/>
              </w:rPr>
            </w:pPr>
          </w:p>
        </w:tc>
        <w:tc>
          <w:tcPr>
            <w:tcW w:w="1080" w:type="dxa"/>
          </w:tcPr>
          <w:p>
            <w:pPr>
              <w:widowControl/>
              <w:jc w:val="center"/>
              <w:textAlignment w:val="center"/>
              <w:rPr>
                <w:rFonts w:hint="eastAsia"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425"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065"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2603"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177"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110"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080" w:type="dxa"/>
          </w:tcPr>
          <w:p>
            <w:pPr>
              <w:spacing w:line="460" w:lineRule="exact"/>
              <w:ind w:firstLine="600"/>
              <w:rPr>
                <w:rFonts w:hint="eastAsia" w:asciiTheme="minorEastAsia" w:hAnsiTheme="minorEastAsia" w:eastAsiaTheme="minorEastAsia" w:cstheme="minorEastAsia"/>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425"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065"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2603"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177"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110"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080" w:type="dxa"/>
          </w:tcPr>
          <w:p>
            <w:pPr>
              <w:spacing w:line="460" w:lineRule="exact"/>
              <w:ind w:firstLine="600"/>
              <w:rPr>
                <w:rFonts w:hint="eastAsia" w:asciiTheme="minorEastAsia" w:hAnsiTheme="minorEastAsia" w:eastAsiaTheme="minorEastAsia" w:cstheme="minorEastAsia"/>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425"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065"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2603"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177"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110"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080" w:type="dxa"/>
          </w:tcPr>
          <w:p>
            <w:pPr>
              <w:spacing w:line="460" w:lineRule="exact"/>
              <w:ind w:firstLine="600"/>
              <w:rPr>
                <w:rFonts w:hint="eastAsia" w:asciiTheme="minorEastAsia" w:hAnsiTheme="minorEastAsia" w:eastAsiaTheme="minorEastAsia" w:cstheme="minorEastAsia"/>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425"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065"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2603"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177"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110"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080" w:type="dxa"/>
          </w:tcPr>
          <w:p>
            <w:pPr>
              <w:spacing w:line="460" w:lineRule="exact"/>
              <w:ind w:firstLine="600"/>
              <w:rPr>
                <w:rFonts w:hint="eastAsia" w:asciiTheme="minorEastAsia" w:hAnsiTheme="minorEastAsia" w:eastAsiaTheme="minorEastAsia" w:cstheme="minorEastAsia"/>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425"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065"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2603"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177"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110"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080" w:type="dxa"/>
          </w:tcPr>
          <w:p>
            <w:pPr>
              <w:spacing w:line="460" w:lineRule="exact"/>
              <w:ind w:firstLine="600"/>
              <w:rPr>
                <w:rFonts w:hint="eastAsia" w:asciiTheme="minorEastAsia" w:hAnsiTheme="minorEastAsia" w:eastAsiaTheme="minorEastAsia" w:cstheme="minorEastAsia"/>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425"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065"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2603"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177"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110"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080" w:type="dxa"/>
          </w:tcPr>
          <w:p>
            <w:pPr>
              <w:spacing w:line="460" w:lineRule="exact"/>
              <w:ind w:firstLine="600"/>
              <w:rPr>
                <w:rFonts w:hint="eastAsia" w:asciiTheme="minorEastAsia" w:hAnsiTheme="minorEastAsia" w:eastAsiaTheme="minorEastAsia" w:cstheme="minorEastAsia"/>
                <w:color w:val="auto"/>
                <w:sz w:val="30"/>
                <w:highlight w:val="none"/>
              </w:rPr>
            </w:pPr>
          </w:p>
        </w:tc>
      </w:tr>
    </w:tbl>
    <w:p>
      <w:pPr>
        <w:spacing w:line="500" w:lineRule="exact"/>
        <w:ind w:firstLine="480"/>
        <w:rPr>
          <w:rFonts w:hint="eastAsia" w:asciiTheme="minorEastAsia" w:hAnsiTheme="minorEastAsia" w:eastAsiaTheme="minorEastAsia" w:cstheme="minorEastAsia"/>
          <w:color w:val="auto"/>
          <w:highlight w:val="none"/>
        </w:rPr>
      </w:pPr>
    </w:p>
    <w:p>
      <w:pPr>
        <w:spacing w:line="5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投标人名称（盖章）：</w:t>
      </w:r>
    </w:p>
    <w:p>
      <w:pPr>
        <w:spacing w:line="500" w:lineRule="exact"/>
        <w:ind w:firstLine="480"/>
        <w:rPr>
          <w:rFonts w:hint="eastAsia" w:asciiTheme="minorEastAsia" w:hAnsiTheme="minorEastAsia" w:eastAsiaTheme="minorEastAsia" w:cstheme="minorEastAsia"/>
          <w:color w:val="auto"/>
          <w:highlight w:val="none"/>
        </w:rPr>
      </w:pPr>
    </w:p>
    <w:p>
      <w:pPr>
        <w:spacing w:line="500" w:lineRule="exact"/>
        <w:ind w:firstLine="480"/>
        <w:rPr>
          <w:rFonts w:hint="eastAsia" w:asciiTheme="minorEastAsia" w:hAnsiTheme="minorEastAsia" w:eastAsiaTheme="minorEastAsia" w:cstheme="minorEastAsia"/>
          <w:color w:val="auto"/>
          <w:highlight w:val="none"/>
        </w:rPr>
      </w:pP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p>
    <w:p>
      <w:pPr>
        <w:pStyle w:val="2"/>
        <w:rPr>
          <w:rFonts w:hint="eastAsia" w:asciiTheme="minorEastAsia" w:hAnsiTheme="minorEastAsia" w:eastAsiaTheme="minorEastAsia" w:cstheme="minorEastAsia"/>
          <w:color w:val="auto"/>
          <w:highlight w:val="none"/>
          <w:lang w:val="en-US"/>
        </w:rPr>
      </w:pPr>
    </w:p>
    <w:p>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pPr>
        <w:spacing w:line="400" w:lineRule="exact"/>
        <w:ind w:firstLine="482"/>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六、技术规范偏离表</w:t>
      </w:r>
    </w:p>
    <w:p>
      <w:pPr>
        <w:spacing w:line="400" w:lineRule="exact"/>
        <w:ind w:firstLine="480"/>
        <w:rPr>
          <w:rFonts w:hint="eastAsia" w:asciiTheme="minorEastAsia" w:hAnsiTheme="minorEastAsia" w:eastAsiaTheme="minorEastAsia" w:cstheme="minorEastAsia"/>
          <w:color w:val="auto"/>
          <w:highlight w:val="none"/>
        </w:rPr>
      </w:pPr>
    </w:p>
    <w:p>
      <w:pPr>
        <w:spacing w:line="4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项目名称：项目编号：</w:t>
      </w:r>
    </w:p>
    <w:tbl>
      <w:tblPr>
        <w:tblStyle w:val="75"/>
        <w:tblW w:w="85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36"/>
        <w:gridCol w:w="21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pPr>
              <w:spacing w:line="5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1236" w:type="dxa"/>
            <w:vAlign w:val="center"/>
          </w:tcPr>
          <w:p>
            <w:pPr>
              <w:spacing w:line="5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产品名称</w:t>
            </w:r>
          </w:p>
        </w:tc>
        <w:tc>
          <w:tcPr>
            <w:tcW w:w="2100" w:type="dxa"/>
            <w:vAlign w:val="center"/>
          </w:tcPr>
          <w:p>
            <w:pPr>
              <w:spacing w:line="5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技术要求</w:t>
            </w:r>
          </w:p>
        </w:tc>
        <w:tc>
          <w:tcPr>
            <w:tcW w:w="2625" w:type="dxa"/>
            <w:vAlign w:val="center"/>
          </w:tcPr>
          <w:p>
            <w:pPr>
              <w:spacing w:line="5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投标响应</w:t>
            </w:r>
          </w:p>
        </w:tc>
        <w:tc>
          <w:tcPr>
            <w:tcW w:w="1890" w:type="dxa"/>
            <w:vAlign w:val="center"/>
          </w:tcPr>
          <w:p>
            <w:pPr>
              <w:spacing w:line="5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Theme="minorEastAsia" w:hAnsiTheme="minorEastAsia" w:eastAsiaTheme="minorEastAsia" w:cstheme="minorEastAsia"/>
                <w:color w:val="auto"/>
                <w:highlight w:val="none"/>
              </w:rPr>
            </w:pPr>
          </w:p>
        </w:tc>
        <w:tc>
          <w:tcPr>
            <w:tcW w:w="1236" w:type="dxa"/>
          </w:tcPr>
          <w:p>
            <w:pPr>
              <w:spacing w:line="500" w:lineRule="exact"/>
              <w:ind w:firstLine="480"/>
              <w:rPr>
                <w:rFonts w:hint="eastAsia" w:asciiTheme="minorEastAsia" w:hAnsiTheme="minorEastAsia" w:eastAsiaTheme="minorEastAsia" w:cstheme="minorEastAsia"/>
                <w:color w:val="auto"/>
                <w:highlight w:val="none"/>
              </w:rPr>
            </w:pPr>
          </w:p>
        </w:tc>
        <w:tc>
          <w:tcPr>
            <w:tcW w:w="2100" w:type="dxa"/>
          </w:tcPr>
          <w:p>
            <w:pPr>
              <w:spacing w:line="500" w:lineRule="exact"/>
              <w:ind w:firstLine="480"/>
              <w:rPr>
                <w:rFonts w:hint="eastAsia" w:asciiTheme="minorEastAsia" w:hAnsiTheme="minorEastAsia" w:eastAsiaTheme="minorEastAsia" w:cstheme="minorEastAsia"/>
                <w:color w:val="auto"/>
                <w:highlight w:val="none"/>
              </w:rPr>
            </w:pPr>
          </w:p>
        </w:tc>
        <w:tc>
          <w:tcPr>
            <w:tcW w:w="2625" w:type="dxa"/>
          </w:tcPr>
          <w:p>
            <w:pPr>
              <w:spacing w:line="500" w:lineRule="exact"/>
              <w:ind w:firstLine="480"/>
              <w:rPr>
                <w:rFonts w:hint="eastAsia" w:asciiTheme="minorEastAsia" w:hAnsiTheme="minorEastAsia" w:eastAsiaTheme="minorEastAsia" w:cstheme="minorEastAsia"/>
                <w:color w:val="auto"/>
                <w:highlight w:val="none"/>
              </w:rPr>
            </w:pPr>
          </w:p>
        </w:tc>
        <w:tc>
          <w:tcPr>
            <w:tcW w:w="1890" w:type="dxa"/>
          </w:tcPr>
          <w:p>
            <w:pPr>
              <w:spacing w:line="500" w:lineRule="exact"/>
              <w:ind w:firstLine="480"/>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Theme="minorEastAsia" w:hAnsiTheme="minorEastAsia" w:eastAsiaTheme="minorEastAsia" w:cstheme="minorEastAsia"/>
                <w:color w:val="auto"/>
                <w:highlight w:val="none"/>
              </w:rPr>
            </w:pPr>
          </w:p>
        </w:tc>
        <w:tc>
          <w:tcPr>
            <w:tcW w:w="1236" w:type="dxa"/>
          </w:tcPr>
          <w:p>
            <w:pPr>
              <w:spacing w:line="500" w:lineRule="exact"/>
              <w:ind w:firstLine="480"/>
              <w:rPr>
                <w:rFonts w:hint="eastAsia" w:asciiTheme="minorEastAsia" w:hAnsiTheme="minorEastAsia" w:eastAsiaTheme="minorEastAsia" w:cstheme="minorEastAsia"/>
                <w:color w:val="auto"/>
                <w:highlight w:val="none"/>
              </w:rPr>
            </w:pPr>
          </w:p>
        </w:tc>
        <w:tc>
          <w:tcPr>
            <w:tcW w:w="2100" w:type="dxa"/>
          </w:tcPr>
          <w:p>
            <w:pPr>
              <w:spacing w:line="500" w:lineRule="exact"/>
              <w:ind w:firstLine="480"/>
              <w:rPr>
                <w:rFonts w:hint="eastAsia" w:asciiTheme="minorEastAsia" w:hAnsiTheme="minorEastAsia" w:eastAsiaTheme="minorEastAsia" w:cstheme="minorEastAsia"/>
                <w:color w:val="auto"/>
                <w:highlight w:val="none"/>
              </w:rPr>
            </w:pPr>
          </w:p>
        </w:tc>
        <w:tc>
          <w:tcPr>
            <w:tcW w:w="2625" w:type="dxa"/>
          </w:tcPr>
          <w:p>
            <w:pPr>
              <w:spacing w:line="500" w:lineRule="exact"/>
              <w:ind w:firstLine="480"/>
              <w:rPr>
                <w:rFonts w:hint="eastAsia" w:asciiTheme="minorEastAsia" w:hAnsiTheme="minorEastAsia" w:eastAsiaTheme="minorEastAsia" w:cstheme="minorEastAsia"/>
                <w:color w:val="auto"/>
                <w:highlight w:val="none"/>
              </w:rPr>
            </w:pPr>
          </w:p>
        </w:tc>
        <w:tc>
          <w:tcPr>
            <w:tcW w:w="1890" w:type="dxa"/>
          </w:tcPr>
          <w:p>
            <w:pPr>
              <w:spacing w:line="500" w:lineRule="exact"/>
              <w:ind w:firstLine="480"/>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Theme="minorEastAsia" w:hAnsiTheme="minorEastAsia" w:eastAsiaTheme="minorEastAsia" w:cstheme="minorEastAsia"/>
                <w:color w:val="auto"/>
                <w:highlight w:val="none"/>
              </w:rPr>
            </w:pPr>
          </w:p>
        </w:tc>
        <w:tc>
          <w:tcPr>
            <w:tcW w:w="1236" w:type="dxa"/>
          </w:tcPr>
          <w:p>
            <w:pPr>
              <w:spacing w:line="500" w:lineRule="exact"/>
              <w:ind w:firstLine="480"/>
              <w:rPr>
                <w:rFonts w:hint="eastAsia" w:asciiTheme="minorEastAsia" w:hAnsiTheme="minorEastAsia" w:eastAsiaTheme="minorEastAsia" w:cstheme="minorEastAsia"/>
                <w:color w:val="auto"/>
                <w:highlight w:val="none"/>
              </w:rPr>
            </w:pPr>
          </w:p>
        </w:tc>
        <w:tc>
          <w:tcPr>
            <w:tcW w:w="2100" w:type="dxa"/>
          </w:tcPr>
          <w:p>
            <w:pPr>
              <w:spacing w:line="500" w:lineRule="exact"/>
              <w:ind w:firstLine="480"/>
              <w:rPr>
                <w:rFonts w:hint="eastAsia" w:asciiTheme="minorEastAsia" w:hAnsiTheme="minorEastAsia" w:eastAsiaTheme="minorEastAsia" w:cstheme="minorEastAsia"/>
                <w:color w:val="auto"/>
                <w:highlight w:val="none"/>
              </w:rPr>
            </w:pPr>
          </w:p>
        </w:tc>
        <w:tc>
          <w:tcPr>
            <w:tcW w:w="2625" w:type="dxa"/>
          </w:tcPr>
          <w:p>
            <w:pPr>
              <w:spacing w:line="500" w:lineRule="exact"/>
              <w:ind w:firstLine="480"/>
              <w:rPr>
                <w:rFonts w:hint="eastAsia" w:asciiTheme="minorEastAsia" w:hAnsiTheme="minorEastAsia" w:eastAsiaTheme="minorEastAsia" w:cstheme="minorEastAsia"/>
                <w:color w:val="auto"/>
                <w:highlight w:val="none"/>
              </w:rPr>
            </w:pPr>
          </w:p>
        </w:tc>
        <w:tc>
          <w:tcPr>
            <w:tcW w:w="1890" w:type="dxa"/>
          </w:tcPr>
          <w:p>
            <w:pPr>
              <w:spacing w:line="500" w:lineRule="exact"/>
              <w:ind w:firstLine="480"/>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Theme="minorEastAsia" w:hAnsiTheme="minorEastAsia" w:eastAsiaTheme="minorEastAsia" w:cstheme="minorEastAsia"/>
                <w:color w:val="auto"/>
                <w:highlight w:val="none"/>
              </w:rPr>
            </w:pPr>
          </w:p>
        </w:tc>
        <w:tc>
          <w:tcPr>
            <w:tcW w:w="1236" w:type="dxa"/>
          </w:tcPr>
          <w:p>
            <w:pPr>
              <w:spacing w:line="500" w:lineRule="exact"/>
              <w:ind w:firstLine="480"/>
              <w:rPr>
                <w:rFonts w:hint="eastAsia" w:asciiTheme="minorEastAsia" w:hAnsiTheme="minorEastAsia" w:eastAsiaTheme="minorEastAsia" w:cstheme="minorEastAsia"/>
                <w:color w:val="auto"/>
                <w:highlight w:val="none"/>
              </w:rPr>
            </w:pPr>
          </w:p>
        </w:tc>
        <w:tc>
          <w:tcPr>
            <w:tcW w:w="2100" w:type="dxa"/>
          </w:tcPr>
          <w:p>
            <w:pPr>
              <w:spacing w:line="500" w:lineRule="exact"/>
              <w:ind w:firstLine="480"/>
              <w:rPr>
                <w:rFonts w:hint="eastAsia" w:asciiTheme="minorEastAsia" w:hAnsiTheme="minorEastAsia" w:eastAsiaTheme="minorEastAsia" w:cstheme="minorEastAsia"/>
                <w:color w:val="auto"/>
                <w:highlight w:val="none"/>
              </w:rPr>
            </w:pPr>
          </w:p>
        </w:tc>
        <w:tc>
          <w:tcPr>
            <w:tcW w:w="2625" w:type="dxa"/>
          </w:tcPr>
          <w:p>
            <w:pPr>
              <w:spacing w:line="500" w:lineRule="exact"/>
              <w:ind w:firstLine="480"/>
              <w:rPr>
                <w:rFonts w:hint="eastAsia" w:asciiTheme="minorEastAsia" w:hAnsiTheme="minorEastAsia" w:eastAsiaTheme="minorEastAsia" w:cstheme="minorEastAsia"/>
                <w:color w:val="auto"/>
                <w:highlight w:val="none"/>
              </w:rPr>
            </w:pPr>
          </w:p>
        </w:tc>
        <w:tc>
          <w:tcPr>
            <w:tcW w:w="1890" w:type="dxa"/>
          </w:tcPr>
          <w:p>
            <w:pPr>
              <w:spacing w:line="500" w:lineRule="exact"/>
              <w:ind w:firstLine="480"/>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Theme="minorEastAsia" w:hAnsiTheme="minorEastAsia" w:eastAsiaTheme="minorEastAsia" w:cstheme="minorEastAsia"/>
                <w:color w:val="auto"/>
                <w:highlight w:val="none"/>
              </w:rPr>
            </w:pPr>
          </w:p>
        </w:tc>
        <w:tc>
          <w:tcPr>
            <w:tcW w:w="1236" w:type="dxa"/>
          </w:tcPr>
          <w:p>
            <w:pPr>
              <w:spacing w:line="500" w:lineRule="exact"/>
              <w:ind w:firstLine="480"/>
              <w:rPr>
                <w:rFonts w:hint="eastAsia" w:asciiTheme="minorEastAsia" w:hAnsiTheme="minorEastAsia" w:eastAsiaTheme="minorEastAsia" w:cstheme="minorEastAsia"/>
                <w:color w:val="auto"/>
                <w:highlight w:val="none"/>
              </w:rPr>
            </w:pPr>
          </w:p>
        </w:tc>
        <w:tc>
          <w:tcPr>
            <w:tcW w:w="2100" w:type="dxa"/>
          </w:tcPr>
          <w:p>
            <w:pPr>
              <w:spacing w:line="500" w:lineRule="exact"/>
              <w:ind w:firstLine="480"/>
              <w:rPr>
                <w:rFonts w:hint="eastAsia" w:asciiTheme="minorEastAsia" w:hAnsiTheme="minorEastAsia" w:eastAsiaTheme="minorEastAsia" w:cstheme="minorEastAsia"/>
                <w:color w:val="auto"/>
                <w:highlight w:val="none"/>
              </w:rPr>
            </w:pPr>
          </w:p>
        </w:tc>
        <w:tc>
          <w:tcPr>
            <w:tcW w:w="2625" w:type="dxa"/>
          </w:tcPr>
          <w:p>
            <w:pPr>
              <w:spacing w:line="500" w:lineRule="exact"/>
              <w:ind w:firstLine="480"/>
              <w:rPr>
                <w:rFonts w:hint="eastAsia" w:asciiTheme="minorEastAsia" w:hAnsiTheme="minorEastAsia" w:eastAsiaTheme="minorEastAsia" w:cstheme="minorEastAsia"/>
                <w:color w:val="auto"/>
                <w:highlight w:val="none"/>
              </w:rPr>
            </w:pPr>
          </w:p>
        </w:tc>
        <w:tc>
          <w:tcPr>
            <w:tcW w:w="1890" w:type="dxa"/>
          </w:tcPr>
          <w:p>
            <w:pPr>
              <w:spacing w:line="500" w:lineRule="exact"/>
              <w:ind w:firstLine="480"/>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Theme="minorEastAsia" w:hAnsiTheme="minorEastAsia" w:eastAsiaTheme="minorEastAsia" w:cstheme="minorEastAsia"/>
                <w:color w:val="auto"/>
                <w:highlight w:val="none"/>
              </w:rPr>
            </w:pPr>
          </w:p>
        </w:tc>
        <w:tc>
          <w:tcPr>
            <w:tcW w:w="1236" w:type="dxa"/>
          </w:tcPr>
          <w:p>
            <w:pPr>
              <w:spacing w:line="500" w:lineRule="exact"/>
              <w:ind w:firstLine="480"/>
              <w:rPr>
                <w:rFonts w:hint="eastAsia" w:asciiTheme="minorEastAsia" w:hAnsiTheme="minorEastAsia" w:eastAsiaTheme="minorEastAsia" w:cstheme="minorEastAsia"/>
                <w:color w:val="auto"/>
                <w:highlight w:val="none"/>
              </w:rPr>
            </w:pPr>
          </w:p>
        </w:tc>
        <w:tc>
          <w:tcPr>
            <w:tcW w:w="2100" w:type="dxa"/>
          </w:tcPr>
          <w:p>
            <w:pPr>
              <w:spacing w:line="500" w:lineRule="exact"/>
              <w:ind w:firstLine="480"/>
              <w:rPr>
                <w:rFonts w:hint="eastAsia" w:asciiTheme="minorEastAsia" w:hAnsiTheme="minorEastAsia" w:eastAsiaTheme="minorEastAsia" w:cstheme="minorEastAsia"/>
                <w:color w:val="auto"/>
                <w:highlight w:val="none"/>
              </w:rPr>
            </w:pPr>
          </w:p>
        </w:tc>
        <w:tc>
          <w:tcPr>
            <w:tcW w:w="2625" w:type="dxa"/>
          </w:tcPr>
          <w:p>
            <w:pPr>
              <w:spacing w:line="500" w:lineRule="exact"/>
              <w:ind w:firstLine="480"/>
              <w:rPr>
                <w:rFonts w:hint="eastAsia" w:asciiTheme="minorEastAsia" w:hAnsiTheme="minorEastAsia" w:eastAsiaTheme="minorEastAsia" w:cstheme="minorEastAsia"/>
                <w:color w:val="auto"/>
                <w:highlight w:val="none"/>
              </w:rPr>
            </w:pPr>
          </w:p>
        </w:tc>
        <w:tc>
          <w:tcPr>
            <w:tcW w:w="1890" w:type="dxa"/>
          </w:tcPr>
          <w:p>
            <w:pPr>
              <w:spacing w:line="500" w:lineRule="exact"/>
              <w:ind w:firstLine="480"/>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Theme="minorEastAsia" w:hAnsiTheme="minorEastAsia" w:eastAsiaTheme="minorEastAsia" w:cstheme="minorEastAsia"/>
                <w:color w:val="auto"/>
                <w:highlight w:val="none"/>
              </w:rPr>
            </w:pPr>
          </w:p>
        </w:tc>
        <w:tc>
          <w:tcPr>
            <w:tcW w:w="1236" w:type="dxa"/>
          </w:tcPr>
          <w:p>
            <w:pPr>
              <w:spacing w:line="500" w:lineRule="exact"/>
              <w:ind w:firstLine="480"/>
              <w:rPr>
                <w:rFonts w:hint="eastAsia" w:asciiTheme="minorEastAsia" w:hAnsiTheme="minorEastAsia" w:eastAsiaTheme="minorEastAsia" w:cstheme="minorEastAsia"/>
                <w:color w:val="auto"/>
                <w:highlight w:val="none"/>
              </w:rPr>
            </w:pPr>
          </w:p>
        </w:tc>
        <w:tc>
          <w:tcPr>
            <w:tcW w:w="2100" w:type="dxa"/>
          </w:tcPr>
          <w:p>
            <w:pPr>
              <w:spacing w:line="500" w:lineRule="exact"/>
              <w:ind w:firstLine="480"/>
              <w:rPr>
                <w:rFonts w:hint="eastAsia" w:asciiTheme="minorEastAsia" w:hAnsiTheme="minorEastAsia" w:eastAsiaTheme="minorEastAsia" w:cstheme="minorEastAsia"/>
                <w:color w:val="auto"/>
                <w:highlight w:val="none"/>
              </w:rPr>
            </w:pPr>
          </w:p>
        </w:tc>
        <w:tc>
          <w:tcPr>
            <w:tcW w:w="2625" w:type="dxa"/>
          </w:tcPr>
          <w:p>
            <w:pPr>
              <w:spacing w:line="500" w:lineRule="exact"/>
              <w:ind w:firstLine="480"/>
              <w:rPr>
                <w:rFonts w:hint="eastAsia" w:asciiTheme="minorEastAsia" w:hAnsiTheme="minorEastAsia" w:eastAsiaTheme="minorEastAsia" w:cstheme="minorEastAsia"/>
                <w:color w:val="auto"/>
                <w:highlight w:val="none"/>
              </w:rPr>
            </w:pPr>
          </w:p>
        </w:tc>
        <w:tc>
          <w:tcPr>
            <w:tcW w:w="1890" w:type="dxa"/>
          </w:tcPr>
          <w:p>
            <w:pPr>
              <w:spacing w:line="500" w:lineRule="exact"/>
              <w:ind w:firstLine="480"/>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Theme="minorEastAsia" w:hAnsiTheme="minorEastAsia" w:eastAsiaTheme="minorEastAsia" w:cstheme="minorEastAsia"/>
                <w:color w:val="auto"/>
                <w:highlight w:val="none"/>
              </w:rPr>
            </w:pPr>
          </w:p>
        </w:tc>
        <w:tc>
          <w:tcPr>
            <w:tcW w:w="1236" w:type="dxa"/>
          </w:tcPr>
          <w:p>
            <w:pPr>
              <w:spacing w:line="500" w:lineRule="exact"/>
              <w:ind w:firstLine="480"/>
              <w:rPr>
                <w:rFonts w:hint="eastAsia" w:asciiTheme="minorEastAsia" w:hAnsiTheme="minorEastAsia" w:eastAsiaTheme="minorEastAsia" w:cstheme="minorEastAsia"/>
                <w:color w:val="auto"/>
                <w:highlight w:val="none"/>
              </w:rPr>
            </w:pPr>
          </w:p>
        </w:tc>
        <w:tc>
          <w:tcPr>
            <w:tcW w:w="2100" w:type="dxa"/>
          </w:tcPr>
          <w:p>
            <w:pPr>
              <w:spacing w:line="500" w:lineRule="exact"/>
              <w:ind w:firstLine="480"/>
              <w:rPr>
                <w:rFonts w:hint="eastAsia" w:asciiTheme="minorEastAsia" w:hAnsiTheme="minorEastAsia" w:eastAsiaTheme="minorEastAsia" w:cstheme="minorEastAsia"/>
                <w:color w:val="auto"/>
                <w:highlight w:val="none"/>
              </w:rPr>
            </w:pPr>
          </w:p>
        </w:tc>
        <w:tc>
          <w:tcPr>
            <w:tcW w:w="2625" w:type="dxa"/>
          </w:tcPr>
          <w:p>
            <w:pPr>
              <w:spacing w:line="500" w:lineRule="exact"/>
              <w:ind w:firstLine="480"/>
              <w:rPr>
                <w:rFonts w:hint="eastAsia" w:asciiTheme="minorEastAsia" w:hAnsiTheme="minorEastAsia" w:eastAsiaTheme="minorEastAsia" w:cstheme="minorEastAsia"/>
                <w:color w:val="auto"/>
                <w:highlight w:val="none"/>
              </w:rPr>
            </w:pPr>
          </w:p>
        </w:tc>
        <w:tc>
          <w:tcPr>
            <w:tcW w:w="1890" w:type="dxa"/>
          </w:tcPr>
          <w:p>
            <w:pPr>
              <w:spacing w:line="500" w:lineRule="exact"/>
              <w:ind w:firstLine="480"/>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Theme="minorEastAsia" w:hAnsiTheme="minorEastAsia" w:eastAsiaTheme="minorEastAsia" w:cstheme="minorEastAsia"/>
                <w:color w:val="auto"/>
                <w:highlight w:val="none"/>
              </w:rPr>
            </w:pPr>
          </w:p>
        </w:tc>
        <w:tc>
          <w:tcPr>
            <w:tcW w:w="1236" w:type="dxa"/>
          </w:tcPr>
          <w:p>
            <w:pPr>
              <w:spacing w:line="500" w:lineRule="exact"/>
              <w:ind w:firstLine="480"/>
              <w:rPr>
                <w:rFonts w:hint="eastAsia" w:asciiTheme="minorEastAsia" w:hAnsiTheme="minorEastAsia" w:eastAsiaTheme="minorEastAsia" w:cstheme="minorEastAsia"/>
                <w:color w:val="auto"/>
                <w:highlight w:val="none"/>
              </w:rPr>
            </w:pPr>
          </w:p>
        </w:tc>
        <w:tc>
          <w:tcPr>
            <w:tcW w:w="2100" w:type="dxa"/>
          </w:tcPr>
          <w:p>
            <w:pPr>
              <w:spacing w:line="500" w:lineRule="exact"/>
              <w:ind w:firstLine="480"/>
              <w:rPr>
                <w:rFonts w:hint="eastAsia" w:asciiTheme="minorEastAsia" w:hAnsiTheme="minorEastAsia" w:eastAsiaTheme="minorEastAsia" w:cstheme="minorEastAsia"/>
                <w:color w:val="auto"/>
                <w:highlight w:val="none"/>
              </w:rPr>
            </w:pPr>
          </w:p>
        </w:tc>
        <w:tc>
          <w:tcPr>
            <w:tcW w:w="2625" w:type="dxa"/>
          </w:tcPr>
          <w:p>
            <w:pPr>
              <w:spacing w:line="500" w:lineRule="exact"/>
              <w:ind w:firstLine="480"/>
              <w:rPr>
                <w:rFonts w:hint="eastAsia" w:asciiTheme="minorEastAsia" w:hAnsiTheme="minorEastAsia" w:eastAsiaTheme="minorEastAsia" w:cstheme="minorEastAsia"/>
                <w:color w:val="auto"/>
                <w:highlight w:val="none"/>
              </w:rPr>
            </w:pPr>
          </w:p>
        </w:tc>
        <w:tc>
          <w:tcPr>
            <w:tcW w:w="1890" w:type="dxa"/>
          </w:tcPr>
          <w:p>
            <w:pPr>
              <w:spacing w:line="500" w:lineRule="exact"/>
              <w:ind w:firstLine="480"/>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Theme="minorEastAsia" w:hAnsiTheme="minorEastAsia" w:eastAsiaTheme="minorEastAsia" w:cstheme="minorEastAsia"/>
                <w:color w:val="auto"/>
                <w:highlight w:val="none"/>
              </w:rPr>
            </w:pPr>
          </w:p>
        </w:tc>
        <w:tc>
          <w:tcPr>
            <w:tcW w:w="1236" w:type="dxa"/>
          </w:tcPr>
          <w:p>
            <w:pPr>
              <w:spacing w:line="500" w:lineRule="exact"/>
              <w:ind w:firstLine="480"/>
              <w:rPr>
                <w:rFonts w:hint="eastAsia" w:asciiTheme="minorEastAsia" w:hAnsiTheme="minorEastAsia" w:eastAsiaTheme="minorEastAsia" w:cstheme="minorEastAsia"/>
                <w:color w:val="auto"/>
                <w:highlight w:val="none"/>
              </w:rPr>
            </w:pPr>
          </w:p>
        </w:tc>
        <w:tc>
          <w:tcPr>
            <w:tcW w:w="2100" w:type="dxa"/>
          </w:tcPr>
          <w:p>
            <w:pPr>
              <w:spacing w:line="500" w:lineRule="exact"/>
              <w:ind w:firstLine="480"/>
              <w:rPr>
                <w:rFonts w:hint="eastAsia" w:asciiTheme="minorEastAsia" w:hAnsiTheme="minorEastAsia" w:eastAsiaTheme="minorEastAsia" w:cstheme="minorEastAsia"/>
                <w:color w:val="auto"/>
                <w:highlight w:val="none"/>
              </w:rPr>
            </w:pPr>
          </w:p>
        </w:tc>
        <w:tc>
          <w:tcPr>
            <w:tcW w:w="2625" w:type="dxa"/>
          </w:tcPr>
          <w:p>
            <w:pPr>
              <w:spacing w:line="500" w:lineRule="exact"/>
              <w:ind w:firstLine="480"/>
              <w:rPr>
                <w:rFonts w:hint="eastAsia" w:asciiTheme="minorEastAsia" w:hAnsiTheme="minorEastAsia" w:eastAsiaTheme="minorEastAsia" w:cstheme="minorEastAsia"/>
                <w:color w:val="auto"/>
                <w:highlight w:val="none"/>
              </w:rPr>
            </w:pPr>
          </w:p>
        </w:tc>
        <w:tc>
          <w:tcPr>
            <w:tcW w:w="1890" w:type="dxa"/>
          </w:tcPr>
          <w:p>
            <w:pPr>
              <w:spacing w:line="500" w:lineRule="exact"/>
              <w:ind w:firstLine="480"/>
              <w:rPr>
                <w:rFonts w:hint="eastAsia" w:asciiTheme="minorEastAsia" w:hAnsiTheme="minorEastAsia" w:eastAsiaTheme="minorEastAsia" w:cstheme="minorEastAsia"/>
                <w:color w:val="auto"/>
                <w:highlight w:val="none"/>
              </w:rPr>
            </w:pPr>
          </w:p>
        </w:tc>
      </w:tr>
    </w:tbl>
    <w:p>
      <w:pPr>
        <w:pStyle w:val="82"/>
        <w:ind w:firstLine="4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投标人名称（盖章）：</w:t>
      </w:r>
    </w:p>
    <w:p>
      <w:pPr>
        <w:pStyle w:val="82"/>
        <w:ind w:firstLine="460"/>
        <w:rPr>
          <w:rFonts w:hint="eastAsia" w:asciiTheme="minorEastAsia" w:hAnsiTheme="minorEastAsia" w:eastAsiaTheme="minorEastAsia" w:cstheme="minorEastAsia"/>
          <w:color w:val="auto"/>
          <w:highlight w:val="none"/>
        </w:rPr>
      </w:pPr>
    </w:p>
    <w:p>
      <w:pPr>
        <w:pStyle w:val="82"/>
        <w:ind w:firstLine="460"/>
        <w:rPr>
          <w:rFonts w:hint="eastAsia" w:asciiTheme="minorEastAsia" w:hAnsiTheme="minorEastAsia" w:eastAsiaTheme="minorEastAsia" w:cstheme="minorEastAsia"/>
          <w:color w:val="auto"/>
          <w:highlight w:val="none"/>
        </w:rPr>
      </w:pPr>
    </w:p>
    <w:p>
      <w:pPr>
        <w:pStyle w:val="82"/>
        <w:ind w:firstLine="460"/>
        <w:rPr>
          <w:rFonts w:hint="eastAsia" w:asciiTheme="minorEastAsia" w:hAnsiTheme="minorEastAsia" w:eastAsiaTheme="minorEastAsia" w:cstheme="minorEastAsia"/>
          <w:color w:val="auto"/>
          <w:highlight w:val="none"/>
        </w:rPr>
      </w:pPr>
    </w:p>
    <w:p>
      <w:pPr>
        <w:pStyle w:val="82"/>
        <w:ind w:firstLine="460"/>
        <w:rPr>
          <w:rFonts w:hint="eastAsia" w:asciiTheme="minorEastAsia" w:hAnsiTheme="minorEastAsia" w:eastAsiaTheme="minorEastAsia" w:cstheme="minorEastAsia"/>
          <w:color w:val="auto"/>
          <w:highlight w:val="none"/>
        </w:rPr>
      </w:pPr>
    </w:p>
    <w:p>
      <w:pPr>
        <w:pStyle w:val="82"/>
        <w:ind w:firstLine="4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p>
    <w:p>
      <w:pPr>
        <w:pStyle w:val="2"/>
        <w:rPr>
          <w:rFonts w:hint="eastAsia" w:asciiTheme="minorEastAsia" w:hAnsiTheme="minorEastAsia" w:eastAsiaTheme="minorEastAsia" w:cstheme="minorEastAsia"/>
          <w:color w:val="auto"/>
          <w:highlight w:val="none"/>
        </w:rPr>
      </w:pPr>
    </w:p>
    <w:p>
      <w:pPr>
        <w:pStyle w:val="83"/>
        <w:rPr>
          <w:rFonts w:hint="eastAsia" w:asciiTheme="minorEastAsia" w:hAnsiTheme="minorEastAsia" w:eastAsiaTheme="minorEastAsia" w:cstheme="minorEastAsia"/>
          <w:color w:val="auto"/>
          <w:highlight w:val="none"/>
        </w:rPr>
      </w:pPr>
    </w:p>
    <w:p>
      <w:pPr>
        <w:pStyle w:val="83"/>
        <w:rPr>
          <w:rFonts w:hint="eastAsia" w:asciiTheme="minorEastAsia" w:hAnsiTheme="minorEastAsia" w:eastAsiaTheme="minorEastAsia" w:cstheme="minorEastAsia"/>
          <w:color w:val="auto"/>
          <w:highlight w:val="none"/>
        </w:rPr>
      </w:pPr>
    </w:p>
    <w:p>
      <w:pPr>
        <w:spacing w:line="500" w:lineRule="exact"/>
        <w:ind w:firstLine="480"/>
        <w:rPr>
          <w:rFonts w:hint="eastAsia" w:asciiTheme="minorEastAsia" w:hAnsiTheme="minorEastAsia" w:eastAsiaTheme="minorEastAsia" w:cstheme="minorEastAsia"/>
          <w:color w:val="auto"/>
          <w:highlight w:val="none"/>
        </w:rPr>
      </w:pPr>
    </w:p>
    <w:p>
      <w:pPr>
        <w:spacing w:line="500" w:lineRule="exact"/>
        <w:ind w:firstLine="480"/>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pPr>
        <w:spacing w:line="400" w:lineRule="exact"/>
        <w:ind w:firstLine="482"/>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七、商务条款偏离表</w:t>
      </w:r>
    </w:p>
    <w:p>
      <w:pPr>
        <w:ind w:firstLine="560"/>
        <w:jc w:val="center"/>
        <w:rPr>
          <w:rFonts w:hint="eastAsia" w:asciiTheme="minorEastAsia" w:hAnsiTheme="minorEastAsia" w:eastAsiaTheme="minorEastAsia" w:cstheme="minorEastAsia"/>
          <w:color w:val="auto"/>
          <w:sz w:val="28"/>
          <w:highlight w:val="none"/>
        </w:rPr>
      </w:pPr>
    </w:p>
    <w:p>
      <w:pPr>
        <w:spacing w:line="4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项目名称：项目编号：</w:t>
      </w:r>
    </w:p>
    <w:tbl>
      <w:tblPr>
        <w:tblStyle w:val="75"/>
        <w:tblW w:w="82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5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2700" w:type="dxa"/>
            <w:vAlign w:val="center"/>
          </w:tcPr>
          <w:p>
            <w:pPr>
              <w:spacing w:line="5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招标要求</w:t>
            </w:r>
          </w:p>
        </w:tc>
        <w:tc>
          <w:tcPr>
            <w:tcW w:w="2625" w:type="dxa"/>
            <w:vAlign w:val="center"/>
          </w:tcPr>
          <w:p>
            <w:pPr>
              <w:spacing w:line="5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投标响应</w:t>
            </w:r>
          </w:p>
        </w:tc>
        <w:tc>
          <w:tcPr>
            <w:tcW w:w="1890" w:type="dxa"/>
            <w:vAlign w:val="center"/>
          </w:tcPr>
          <w:p>
            <w:pPr>
              <w:spacing w:line="5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Theme="minorEastAsia" w:hAnsiTheme="minorEastAsia" w:eastAsiaTheme="minorEastAsia" w:cstheme="minorEastAsia"/>
                <w:color w:val="auto"/>
                <w:highlight w:val="none"/>
              </w:rPr>
            </w:pPr>
          </w:p>
        </w:tc>
        <w:tc>
          <w:tcPr>
            <w:tcW w:w="2700" w:type="dxa"/>
          </w:tcPr>
          <w:p>
            <w:pPr>
              <w:spacing w:line="500" w:lineRule="exact"/>
              <w:ind w:firstLine="480"/>
              <w:rPr>
                <w:rFonts w:hint="eastAsia" w:asciiTheme="minorEastAsia" w:hAnsiTheme="minorEastAsia" w:eastAsiaTheme="minorEastAsia" w:cstheme="minorEastAsia"/>
                <w:color w:val="auto"/>
                <w:highlight w:val="none"/>
              </w:rPr>
            </w:pPr>
          </w:p>
        </w:tc>
        <w:tc>
          <w:tcPr>
            <w:tcW w:w="2625" w:type="dxa"/>
          </w:tcPr>
          <w:p>
            <w:pPr>
              <w:spacing w:line="500" w:lineRule="exact"/>
              <w:ind w:firstLine="480"/>
              <w:rPr>
                <w:rFonts w:hint="eastAsia" w:asciiTheme="minorEastAsia" w:hAnsiTheme="minorEastAsia" w:eastAsiaTheme="minorEastAsia" w:cstheme="minorEastAsia"/>
                <w:color w:val="auto"/>
                <w:highlight w:val="none"/>
              </w:rPr>
            </w:pPr>
          </w:p>
        </w:tc>
        <w:tc>
          <w:tcPr>
            <w:tcW w:w="1890" w:type="dxa"/>
          </w:tcPr>
          <w:p>
            <w:pPr>
              <w:spacing w:line="500" w:lineRule="exact"/>
              <w:ind w:firstLine="480"/>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Theme="minorEastAsia" w:hAnsiTheme="minorEastAsia" w:eastAsiaTheme="minorEastAsia" w:cstheme="minorEastAsia"/>
                <w:color w:val="auto"/>
                <w:highlight w:val="none"/>
              </w:rPr>
            </w:pPr>
          </w:p>
        </w:tc>
        <w:tc>
          <w:tcPr>
            <w:tcW w:w="2700" w:type="dxa"/>
          </w:tcPr>
          <w:p>
            <w:pPr>
              <w:spacing w:line="500" w:lineRule="exact"/>
              <w:ind w:firstLine="480"/>
              <w:rPr>
                <w:rFonts w:hint="eastAsia" w:asciiTheme="minorEastAsia" w:hAnsiTheme="minorEastAsia" w:eastAsiaTheme="minorEastAsia" w:cstheme="minorEastAsia"/>
                <w:color w:val="auto"/>
                <w:highlight w:val="none"/>
              </w:rPr>
            </w:pPr>
          </w:p>
        </w:tc>
        <w:tc>
          <w:tcPr>
            <w:tcW w:w="2625" w:type="dxa"/>
          </w:tcPr>
          <w:p>
            <w:pPr>
              <w:spacing w:line="500" w:lineRule="exact"/>
              <w:ind w:firstLine="480"/>
              <w:rPr>
                <w:rFonts w:hint="eastAsia" w:asciiTheme="minorEastAsia" w:hAnsiTheme="minorEastAsia" w:eastAsiaTheme="minorEastAsia" w:cstheme="minorEastAsia"/>
                <w:color w:val="auto"/>
                <w:highlight w:val="none"/>
              </w:rPr>
            </w:pPr>
          </w:p>
        </w:tc>
        <w:tc>
          <w:tcPr>
            <w:tcW w:w="1890" w:type="dxa"/>
          </w:tcPr>
          <w:p>
            <w:pPr>
              <w:spacing w:line="500" w:lineRule="exact"/>
              <w:ind w:firstLine="480"/>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Theme="minorEastAsia" w:hAnsiTheme="minorEastAsia" w:eastAsiaTheme="minorEastAsia" w:cstheme="minorEastAsia"/>
                <w:color w:val="auto"/>
                <w:highlight w:val="none"/>
              </w:rPr>
            </w:pPr>
          </w:p>
        </w:tc>
        <w:tc>
          <w:tcPr>
            <w:tcW w:w="2700" w:type="dxa"/>
          </w:tcPr>
          <w:p>
            <w:pPr>
              <w:spacing w:line="500" w:lineRule="exact"/>
              <w:ind w:firstLine="480"/>
              <w:rPr>
                <w:rFonts w:hint="eastAsia" w:asciiTheme="minorEastAsia" w:hAnsiTheme="minorEastAsia" w:eastAsiaTheme="minorEastAsia" w:cstheme="minorEastAsia"/>
                <w:color w:val="auto"/>
                <w:highlight w:val="none"/>
              </w:rPr>
            </w:pPr>
          </w:p>
        </w:tc>
        <w:tc>
          <w:tcPr>
            <w:tcW w:w="2625" w:type="dxa"/>
          </w:tcPr>
          <w:p>
            <w:pPr>
              <w:spacing w:line="500" w:lineRule="exact"/>
              <w:ind w:firstLine="480"/>
              <w:rPr>
                <w:rFonts w:hint="eastAsia" w:asciiTheme="minorEastAsia" w:hAnsiTheme="minorEastAsia" w:eastAsiaTheme="minorEastAsia" w:cstheme="minorEastAsia"/>
                <w:color w:val="auto"/>
                <w:highlight w:val="none"/>
              </w:rPr>
            </w:pPr>
          </w:p>
        </w:tc>
        <w:tc>
          <w:tcPr>
            <w:tcW w:w="1890" w:type="dxa"/>
          </w:tcPr>
          <w:p>
            <w:pPr>
              <w:spacing w:line="500" w:lineRule="exact"/>
              <w:ind w:firstLine="480"/>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Theme="minorEastAsia" w:hAnsiTheme="minorEastAsia" w:eastAsiaTheme="minorEastAsia" w:cstheme="minorEastAsia"/>
                <w:color w:val="auto"/>
                <w:highlight w:val="none"/>
              </w:rPr>
            </w:pPr>
          </w:p>
        </w:tc>
        <w:tc>
          <w:tcPr>
            <w:tcW w:w="2700" w:type="dxa"/>
          </w:tcPr>
          <w:p>
            <w:pPr>
              <w:spacing w:line="500" w:lineRule="exact"/>
              <w:ind w:firstLine="480"/>
              <w:rPr>
                <w:rFonts w:hint="eastAsia" w:asciiTheme="minorEastAsia" w:hAnsiTheme="minorEastAsia" w:eastAsiaTheme="minorEastAsia" w:cstheme="minorEastAsia"/>
                <w:color w:val="auto"/>
                <w:highlight w:val="none"/>
              </w:rPr>
            </w:pPr>
          </w:p>
        </w:tc>
        <w:tc>
          <w:tcPr>
            <w:tcW w:w="2625" w:type="dxa"/>
          </w:tcPr>
          <w:p>
            <w:pPr>
              <w:spacing w:line="500" w:lineRule="exact"/>
              <w:ind w:firstLine="480"/>
              <w:rPr>
                <w:rFonts w:hint="eastAsia" w:asciiTheme="minorEastAsia" w:hAnsiTheme="minorEastAsia" w:eastAsiaTheme="minorEastAsia" w:cstheme="minorEastAsia"/>
                <w:color w:val="auto"/>
                <w:highlight w:val="none"/>
              </w:rPr>
            </w:pPr>
          </w:p>
        </w:tc>
        <w:tc>
          <w:tcPr>
            <w:tcW w:w="1890" w:type="dxa"/>
          </w:tcPr>
          <w:p>
            <w:pPr>
              <w:spacing w:line="500" w:lineRule="exact"/>
              <w:ind w:firstLine="480"/>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Theme="minorEastAsia" w:hAnsiTheme="minorEastAsia" w:eastAsiaTheme="minorEastAsia" w:cstheme="minorEastAsia"/>
                <w:color w:val="auto"/>
                <w:highlight w:val="none"/>
              </w:rPr>
            </w:pPr>
          </w:p>
        </w:tc>
        <w:tc>
          <w:tcPr>
            <w:tcW w:w="2700" w:type="dxa"/>
          </w:tcPr>
          <w:p>
            <w:pPr>
              <w:spacing w:line="500" w:lineRule="exact"/>
              <w:ind w:firstLine="480"/>
              <w:rPr>
                <w:rFonts w:hint="eastAsia" w:asciiTheme="minorEastAsia" w:hAnsiTheme="minorEastAsia" w:eastAsiaTheme="minorEastAsia" w:cstheme="minorEastAsia"/>
                <w:color w:val="auto"/>
                <w:highlight w:val="none"/>
              </w:rPr>
            </w:pPr>
          </w:p>
        </w:tc>
        <w:tc>
          <w:tcPr>
            <w:tcW w:w="2625" w:type="dxa"/>
          </w:tcPr>
          <w:p>
            <w:pPr>
              <w:spacing w:line="500" w:lineRule="exact"/>
              <w:ind w:firstLine="480"/>
              <w:rPr>
                <w:rFonts w:hint="eastAsia" w:asciiTheme="minorEastAsia" w:hAnsiTheme="minorEastAsia" w:eastAsiaTheme="minorEastAsia" w:cstheme="minorEastAsia"/>
                <w:color w:val="auto"/>
                <w:highlight w:val="none"/>
              </w:rPr>
            </w:pPr>
          </w:p>
        </w:tc>
        <w:tc>
          <w:tcPr>
            <w:tcW w:w="1890" w:type="dxa"/>
          </w:tcPr>
          <w:p>
            <w:pPr>
              <w:spacing w:line="500" w:lineRule="exact"/>
              <w:ind w:firstLine="480"/>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Theme="minorEastAsia" w:hAnsiTheme="minorEastAsia" w:eastAsiaTheme="minorEastAsia" w:cstheme="minorEastAsia"/>
                <w:color w:val="auto"/>
                <w:highlight w:val="none"/>
              </w:rPr>
            </w:pPr>
          </w:p>
        </w:tc>
        <w:tc>
          <w:tcPr>
            <w:tcW w:w="2700" w:type="dxa"/>
          </w:tcPr>
          <w:p>
            <w:pPr>
              <w:spacing w:line="500" w:lineRule="exact"/>
              <w:ind w:firstLine="480"/>
              <w:rPr>
                <w:rFonts w:hint="eastAsia" w:asciiTheme="minorEastAsia" w:hAnsiTheme="minorEastAsia" w:eastAsiaTheme="minorEastAsia" w:cstheme="minorEastAsia"/>
                <w:color w:val="auto"/>
                <w:highlight w:val="none"/>
              </w:rPr>
            </w:pPr>
          </w:p>
        </w:tc>
        <w:tc>
          <w:tcPr>
            <w:tcW w:w="2625" w:type="dxa"/>
          </w:tcPr>
          <w:p>
            <w:pPr>
              <w:spacing w:line="500" w:lineRule="exact"/>
              <w:ind w:firstLine="480"/>
              <w:rPr>
                <w:rFonts w:hint="eastAsia" w:asciiTheme="minorEastAsia" w:hAnsiTheme="minorEastAsia" w:eastAsiaTheme="minorEastAsia" w:cstheme="minorEastAsia"/>
                <w:color w:val="auto"/>
                <w:highlight w:val="none"/>
              </w:rPr>
            </w:pPr>
          </w:p>
        </w:tc>
        <w:tc>
          <w:tcPr>
            <w:tcW w:w="1890" w:type="dxa"/>
          </w:tcPr>
          <w:p>
            <w:pPr>
              <w:spacing w:line="500" w:lineRule="exact"/>
              <w:ind w:firstLine="480"/>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Theme="minorEastAsia" w:hAnsiTheme="minorEastAsia" w:eastAsiaTheme="minorEastAsia" w:cstheme="minorEastAsia"/>
                <w:color w:val="auto"/>
                <w:highlight w:val="none"/>
              </w:rPr>
            </w:pPr>
          </w:p>
        </w:tc>
        <w:tc>
          <w:tcPr>
            <w:tcW w:w="2700" w:type="dxa"/>
          </w:tcPr>
          <w:p>
            <w:pPr>
              <w:spacing w:line="500" w:lineRule="exact"/>
              <w:ind w:firstLine="480"/>
              <w:rPr>
                <w:rFonts w:hint="eastAsia" w:asciiTheme="minorEastAsia" w:hAnsiTheme="minorEastAsia" w:eastAsiaTheme="minorEastAsia" w:cstheme="minorEastAsia"/>
                <w:color w:val="auto"/>
                <w:highlight w:val="none"/>
              </w:rPr>
            </w:pPr>
          </w:p>
        </w:tc>
        <w:tc>
          <w:tcPr>
            <w:tcW w:w="2625" w:type="dxa"/>
          </w:tcPr>
          <w:p>
            <w:pPr>
              <w:spacing w:line="500" w:lineRule="exact"/>
              <w:ind w:firstLine="480"/>
              <w:rPr>
                <w:rFonts w:hint="eastAsia" w:asciiTheme="minorEastAsia" w:hAnsiTheme="minorEastAsia" w:eastAsiaTheme="minorEastAsia" w:cstheme="minorEastAsia"/>
                <w:color w:val="auto"/>
                <w:highlight w:val="none"/>
              </w:rPr>
            </w:pPr>
          </w:p>
        </w:tc>
        <w:tc>
          <w:tcPr>
            <w:tcW w:w="1890" w:type="dxa"/>
          </w:tcPr>
          <w:p>
            <w:pPr>
              <w:spacing w:line="500" w:lineRule="exact"/>
              <w:ind w:firstLine="480"/>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Theme="minorEastAsia" w:hAnsiTheme="minorEastAsia" w:eastAsiaTheme="minorEastAsia" w:cstheme="minorEastAsia"/>
                <w:color w:val="auto"/>
                <w:highlight w:val="none"/>
              </w:rPr>
            </w:pPr>
          </w:p>
        </w:tc>
        <w:tc>
          <w:tcPr>
            <w:tcW w:w="2700" w:type="dxa"/>
          </w:tcPr>
          <w:p>
            <w:pPr>
              <w:spacing w:line="500" w:lineRule="exact"/>
              <w:ind w:firstLine="480"/>
              <w:rPr>
                <w:rFonts w:hint="eastAsia" w:asciiTheme="minorEastAsia" w:hAnsiTheme="minorEastAsia" w:eastAsiaTheme="minorEastAsia" w:cstheme="minorEastAsia"/>
                <w:color w:val="auto"/>
                <w:highlight w:val="none"/>
              </w:rPr>
            </w:pPr>
          </w:p>
        </w:tc>
        <w:tc>
          <w:tcPr>
            <w:tcW w:w="2625" w:type="dxa"/>
          </w:tcPr>
          <w:p>
            <w:pPr>
              <w:spacing w:line="500" w:lineRule="exact"/>
              <w:ind w:firstLine="480"/>
              <w:rPr>
                <w:rFonts w:hint="eastAsia" w:asciiTheme="minorEastAsia" w:hAnsiTheme="minorEastAsia" w:eastAsiaTheme="minorEastAsia" w:cstheme="minorEastAsia"/>
                <w:color w:val="auto"/>
                <w:highlight w:val="none"/>
              </w:rPr>
            </w:pPr>
          </w:p>
        </w:tc>
        <w:tc>
          <w:tcPr>
            <w:tcW w:w="1890" w:type="dxa"/>
          </w:tcPr>
          <w:p>
            <w:pPr>
              <w:spacing w:line="500" w:lineRule="exact"/>
              <w:ind w:firstLine="480"/>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Theme="minorEastAsia" w:hAnsiTheme="minorEastAsia" w:eastAsiaTheme="minorEastAsia" w:cstheme="minorEastAsia"/>
                <w:color w:val="auto"/>
                <w:highlight w:val="none"/>
              </w:rPr>
            </w:pPr>
          </w:p>
        </w:tc>
        <w:tc>
          <w:tcPr>
            <w:tcW w:w="2700" w:type="dxa"/>
          </w:tcPr>
          <w:p>
            <w:pPr>
              <w:spacing w:line="500" w:lineRule="exact"/>
              <w:ind w:firstLine="480"/>
              <w:rPr>
                <w:rFonts w:hint="eastAsia" w:asciiTheme="minorEastAsia" w:hAnsiTheme="minorEastAsia" w:eastAsiaTheme="minorEastAsia" w:cstheme="minorEastAsia"/>
                <w:color w:val="auto"/>
                <w:highlight w:val="none"/>
              </w:rPr>
            </w:pPr>
          </w:p>
        </w:tc>
        <w:tc>
          <w:tcPr>
            <w:tcW w:w="2625" w:type="dxa"/>
          </w:tcPr>
          <w:p>
            <w:pPr>
              <w:spacing w:line="500" w:lineRule="exact"/>
              <w:ind w:firstLine="480"/>
              <w:rPr>
                <w:rFonts w:hint="eastAsia" w:asciiTheme="minorEastAsia" w:hAnsiTheme="minorEastAsia" w:eastAsiaTheme="minorEastAsia" w:cstheme="minorEastAsia"/>
                <w:color w:val="auto"/>
                <w:highlight w:val="none"/>
              </w:rPr>
            </w:pPr>
          </w:p>
        </w:tc>
        <w:tc>
          <w:tcPr>
            <w:tcW w:w="1890" w:type="dxa"/>
          </w:tcPr>
          <w:p>
            <w:pPr>
              <w:spacing w:line="500" w:lineRule="exact"/>
              <w:ind w:firstLine="480"/>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Theme="minorEastAsia" w:hAnsiTheme="minorEastAsia" w:eastAsiaTheme="minorEastAsia" w:cstheme="minorEastAsia"/>
                <w:color w:val="auto"/>
                <w:highlight w:val="none"/>
              </w:rPr>
            </w:pPr>
          </w:p>
        </w:tc>
        <w:tc>
          <w:tcPr>
            <w:tcW w:w="2700" w:type="dxa"/>
          </w:tcPr>
          <w:p>
            <w:pPr>
              <w:spacing w:line="500" w:lineRule="exact"/>
              <w:ind w:firstLine="480"/>
              <w:rPr>
                <w:rFonts w:hint="eastAsia" w:asciiTheme="minorEastAsia" w:hAnsiTheme="minorEastAsia" w:eastAsiaTheme="minorEastAsia" w:cstheme="minorEastAsia"/>
                <w:color w:val="auto"/>
                <w:highlight w:val="none"/>
              </w:rPr>
            </w:pPr>
          </w:p>
        </w:tc>
        <w:tc>
          <w:tcPr>
            <w:tcW w:w="2625" w:type="dxa"/>
          </w:tcPr>
          <w:p>
            <w:pPr>
              <w:spacing w:line="500" w:lineRule="exact"/>
              <w:ind w:firstLine="480"/>
              <w:rPr>
                <w:rFonts w:hint="eastAsia" w:asciiTheme="minorEastAsia" w:hAnsiTheme="minorEastAsia" w:eastAsiaTheme="minorEastAsia" w:cstheme="minorEastAsia"/>
                <w:color w:val="auto"/>
                <w:highlight w:val="none"/>
              </w:rPr>
            </w:pPr>
          </w:p>
        </w:tc>
        <w:tc>
          <w:tcPr>
            <w:tcW w:w="1890" w:type="dxa"/>
          </w:tcPr>
          <w:p>
            <w:pPr>
              <w:spacing w:line="500" w:lineRule="exact"/>
              <w:ind w:firstLine="480"/>
              <w:rPr>
                <w:rFonts w:hint="eastAsia" w:asciiTheme="minorEastAsia" w:hAnsiTheme="minorEastAsia" w:eastAsiaTheme="minorEastAsia" w:cstheme="minorEastAsia"/>
                <w:color w:val="auto"/>
                <w:highlight w:val="none"/>
              </w:rPr>
            </w:pPr>
          </w:p>
        </w:tc>
      </w:tr>
    </w:tbl>
    <w:p>
      <w:pPr>
        <w:pStyle w:val="82"/>
        <w:ind w:firstLine="4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投标人名称（盖章）：</w:t>
      </w:r>
    </w:p>
    <w:p>
      <w:pPr>
        <w:pStyle w:val="82"/>
        <w:ind w:firstLine="460"/>
        <w:rPr>
          <w:rFonts w:hint="eastAsia" w:asciiTheme="minorEastAsia" w:hAnsiTheme="minorEastAsia" w:eastAsiaTheme="minorEastAsia" w:cstheme="minorEastAsia"/>
          <w:color w:val="auto"/>
          <w:highlight w:val="none"/>
        </w:rPr>
      </w:pPr>
    </w:p>
    <w:p>
      <w:pPr>
        <w:pStyle w:val="82"/>
        <w:ind w:firstLine="460"/>
        <w:rPr>
          <w:rFonts w:hint="eastAsia" w:asciiTheme="minorEastAsia" w:hAnsiTheme="minorEastAsia" w:eastAsiaTheme="minorEastAsia" w:cstheme="minorEastAsia"/>
          <w:color w:val="auto"/>
          <w:highlight w:val="none"/>
        </w:rPr>
      </w:pPr>
    </w:p>
    <w:p>
      <w:pPr>
        <w:pStyle w:val="82"/>
        <w:ind w:firstLine="460"/>
        <w:rPr>
          <w:rFonts w:hint="eastAsia" w:asciiTheme="minorEastAsia" w:hAnsiTheme="minorEastAsia" w:eastAsiaTheme="minorEastAsia" w:cstheme="minorEastAsia"/>
          <w:color w:val="auto"/>
          <w:highlight w:val="none"/>
        </w:rPr>
      </w:pPr>
    </w:p>
    <w:p>
      <w:pPr>
        <w:pStyle w:val="82"/>
        <w:ind w:firstLine="460"/>
        <w:rPr>
          <w:rFonts w:hint="eastAsia" w:asciiTheme="minorEastAsia" w:hAnsiTheme="minorEastAsia" w:eastAsiaTheme="minorEastAsia" w:cstheme="minorEastAsia"/>
          <w:color w:val="auto"/>
          <w:highlight w:val="none"/>
        </w:rPr>
      </w:pPr>
    </w:p>
    <w:p>
      <w:pPr>
        <w:pStyle w:val="82"/>
        <w:ind w:firstLine="4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p>
    <w:p>
      <w:pPr>
        <w:pStyle w:val="2"/>
        <w:rPr>
          <w:rFonts w:hint="eastAsia" w:asciiTheme="minorEastAsia" w:hAnsiTheme="minorEastAsia" w:eastAsiaTheme="minorEastAsia" w:cstheme="minorEastAsia"/>
          <w:color w:val="auto"/>
          <w:highlight w:val="none"/>
        </w:rPr>
      </w:pPr>
    </w:p>
    <w:p>
      <w:pPr>
        <w:spacing w:line="500" w:lineRule="exact"/>
        <w:ind w:firstLine="480"/>
        <w:rPr>
          <w:rFonts w:hint="eastAsia" w:asciiTheme="minorEastAsia" w:hAnsiTheme="minorEastAsia" w:eastAsiaTheme="minorEastAsia" w:cstheme="minorEastAsia"/>
          <w:color w:val="auto"/>
          <w:highlight w:val="none"/>
        </w:rPr>
      </w:pPr>
    </w:p>
    <w:p>
      <w:pPr>
        <w:ind w:firstLine="482"/>
        <w:jc w:val="center"/>
        <w:rPr>
          <w:rFonts w:hint="eastAsia" w:asciiTheme="minorEastAsia" w:hAnsiTheme="minorEastAsia" w:eastAsiaTheme="minorEastAsia" w:cstheme="minorEastAsia"/>
          <w:b/>
          <w:color w:val="auto"/>
          <w:kern w:val="0"/>
          <w:sz w:val="32"/>
          <w:szCs w:val="32"/>
          <w:highlight w:val="none"/>
        </w:rPr>
      </w:pPr>
    </w:p>
    <w:p>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pPr>
        <w:ind w:firstLine="482"/>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八、完成的类似项目一览表</w:t>
      </w:r>
    </w:p>
    <w:p>
      <w:pPr>
        <w:spacing w:line="200" w:lineRule="atLeast"/>
        <w:ind w:left="-720" w:right="-965" w:firstLine="763"/>
        <w:jc w:val="center"/>
        <w:rPr>
          <w:rFonts w:hint="eastAsia" w:asciiTheme="minorEastAsia" w:hAnsiTheme="minorEastAsia" w:eastAsiaTheme="minorEastAsia" w:cstheme="minorEastAsia"/>
          <w:b/>
          <w:bCs/>
          <w:color w:val="auto"/>
          <w:spacing w:val="30"/>
          <w:sz w:val="32"/>
          <w:highlight w:val="none"/>
        </w:rPr>
      </w:pPr>
    </w:p>
    <w:p>
      <w:pPr>
        <w:ind w:firstLine="840" w:firstLineChars="400"/>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color w:val="auto"/>
          <w:highlight w:val="none"/>
        </w:rPr>
        <w:t>项目名称：项目编号：</w:t>
      </w:r>
    </w:p>
    <w:tbl>
      <w:tblPr>
        <w:tblStyle w:val="75"/>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项目时间</w:t>
            </w:r>
          </w:p>
          <w:p>
            <w:pPr>
              <w:spacing w:line="50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1</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2</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3</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4</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5</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6</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7</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color w:val="auto"/>
                <w:highlight w:val="none"/>
                <w:lang w:val="zh-CN"/>
              </w:rPr>
            </w:pPr>
          </w:p>
        </w:tc>
      </w:tr>
    </w:tbl>
    <w:p>
      <w:pPr>
        <w:pStyle w:val="82"/>
        <w:ind w:firstLine="4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投标人名称（盖章）：</w:t>
      </w:r>
    </w:p>
    <w:p>
      <w:pPr>
        <w:pStyle w:val="82"/>
        <w:ind w:firstLine="460"/>
        <w:rPr>
          <w:rFonts w:hint="eastAsia" w:asciiTheme="minorEastAsia" w:hAnsiTheme="minorEastAsia" w:eastAsiaTheme="minorEastAsia" w:cstheme="minorEastAsia"/>
          <w:color w:val="auto"/>
          <w:highlight w:val="none"/>
        </w:rPr>
      </w:pPr>
    </w:p>
    <w:p>
      <w:pPr>
        <w:pStyle w:val="82"/>
        <w:ind w:firstLine="460"/>
        <w:rPr>
          <w:rFonts w:hint="eastAsia" w:asciiTheme="minorEastAsia" w:hAnsiTheme="minorEastAsia" w:eastAsiaTheme="minorEastAsia" w:cstheme="minorEastAsia"/>
          <w:color w:val="auto"/>
          <w:highlight w:val="none"/>
        </w:rPr>
      </w:pPr>
    </w:p>
    <w:p>
      <w:pPr>
        <w:pStyle w:val="82"/>
        <w:ind w:firstLine="460"/>
        <w:rPr>
          <w:rFonts w:hint="eastAsia" w:asciiTheme="minorEastAsia" w:hAnsiTheme="minorEastAsia" w:eastAsiaTheme="minorEastAsia" w:cstheme="minorEastAsia"/>
          <w:color w:val="auto"/>
          <w:highlight w:val="none"/>
        </w:rPr>
      </w:pPr>
    </w:p>
    <w:p>
      <w:pPr>
        <w:pStyle w:val="82"/>
        <w:ind w:firstLine="460"/>
        <w:rPr>
          <w:rFonts w:hint="eastAsia" w:asciiTheme="minorEastAsia" w:hAnsiTheme="minorEastAsia" w:eastAsiaTheme="minorEastAsia" w:cstheme="minorEastAsia"/>
          <w:color w:val="auto"/>
          <w:highlight w:val="none"/>
        </w:rPr>
      </w:pPr>
    </w:p>
    <w:p>
      <w:pPr>
        <w:pStyle w:val="82"/>
        <w:ind w:firstLine="4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p>
    <w:p>
      <w:pPr>
        <w:pStyle w:val="2"/>
        <w:rPr>
          <w:rFonts w:hint="eastAsia" w:asciiTheme="minorEastAsia" w:hAnsiTheme="minorEastAsia" w:eastAsiaTheme="minorEastAsia" w:cstheme="minorEastAsia"/>
          <w:i/>
          <w:iCs/>
          <w:color w:val="auto"/>
          <w:szCs w:val="24"/>
          <w:highlight w:val="none"/>
        </w:rPr>
      </w:pPr>
    </w:p>
    <w:p>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pPr>
        <w:ind w:firstLine="1911" w:firstLineChars="595"/>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九、</w:t>
      </w:r>
      <w:r>
        <w:rPr>
          <w:rFonts w:hint="eastAsia" w:asciiTheme="minorEastAsia" w:hAnsiTheme="minorEastAsia" w:eastAsiaTheme="minorEastAsia" w:cstheme="minorEastAsia"/>
          <w:b/>
          <w:color w:val="auto"/>
          <w:kern w:val="0"/>
          <w:sz w:val="32"/>
          <w:szCs w:val="32"/>
          <w:highlight w:val="none"/>
          <w:lang w:val="zh-CN"/>
        </w:rPr>
        <w:t>政府采购供应商廉洁自律承诺书</w:t>
      </w:r>
    </w:p>
    <w:p>
      <w:pPr>
        <w:snapToGrid w:val="0"/>
        <w:spacing w:line="360" w:lineRule="auto"/>
        <w:rPr>
          <w:rFonts w:hint="eastAsia" w:asciiTheme="minorEastAsia" w:hAnsiTheme="minorEastAsia" w:eastAsiaTheme="minorEastAsia" w:cstheme="minorEastAsia"/>
          <w:color w:val="auto"/>
          <w:sz w:val="24"/>
          <w:highlight w:val="none"/>
        </w:rPr>
      </w:pPr>
    </w:p>
    <w:p>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p>
    <w:p>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六、严格遵守《</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政府采购法》、</w:t>
      </w:r>
      <w:r>
        <w:rPr>
          <w:rFonts w:hint="eastAsia" w:asciiTheme="minorEastAsia" w:hAnsiTheme="minorEastAsia" w:eastAsiaTheme="minorEastAsia" w:cstheme="minorEastAsia"/>
          <w:color w:val="auto"/>
          <w:sz w:val="24"/>
          <w:highlight w:val="none"/>
          <w:lang w:val="zh-CN"/>
        </w:rPr>
        <w:t>《中华人民共和国民法典》</w:t>
      </w:r>
      <w:r>
        <w:rPr>
          <w:rFonts w:hint="eastAsia" w:asciiTheme="minorEastAsia" w:hAnsiTheme="minorEastAsia" w:eastAsiaTheme="minorEastAsia" w:cstheme="minorEastAsia"/>
          <w:color w:val="auto"/>
          <w:kern w:val="0"/>
          <w:sz w:val="24"/>
          <w:highlight w:val="none"/>
          <w:lang w:val="zh-CN"/>
        </w:rPr>
        <w:t>等法律法规，诚实守信，合法经营，坚决抵制各种违法违纪行为。</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有权立即取消我单位投标、中标或在建项目的建设资格，有权拒绝我单位在一定时期内进入你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投标人名称(盖章)：</w:t>
      </w:r>
    </w:p>
    <w:p>
      <w:pPr>
        <w:spacing w:line="360" w:lineRule="auto"/>
        <w:ind w:left="4620" w:leftChars="2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pPr>
        <w:spacing w:line="360" w:lineRule="auto"/>
        <w:jc w:val="center"/>
        <w:rPr>
          <w:rFonts w:hint="eastAsia" w:asciiTheme="minorEastAsia" w:hAnsiTheme="minorEastAsia" w:eastAsiaTheme="minorEastAsia" w:cstheme="minorEastAsia"/>
          <w:b/>
          <w:bCs/>
          <w:color w:val="auto"/>
          <w:sz w:val="24"/>
          <w:highlight w:val="none"/>
        </w:rPr>
      </w:pPr>
    </w:p>
    <w:p>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pPr>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br w:type="page"/>
      </w:r>
    </w:p>
    <w:p>
      <w:pPr>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十、缴纳采购代理服务费承诺书</w:t>
      </w:r>
    </w:p>
    <w:p>
      <w:pPr>
        <w:pStyle w:val="322"/>
        <w:spacing w:line="360" w:lineRule="auto"/>
        <w:ind w:firstLine="562"/>
        <w:jc w:val="center"/>
        <w:rPr>
          <w:rFonts w:hint="eastAsia" w:asciiTheme="minorEastAsia" w:hAnsiTheme="minorEastAsia" w:eastAsiaTheme="minorEastAsia" w:cstheme="minorEastAsia"/>
          <w:b/>
          <w:bCs/>
          <w:color w:val="auto"/>
          <w:sz w:val="28"/>
          <w:szCs w:val="28"/>
          <w:highlight w:val="none"/>
        </w:rPr>
      </w:pP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浙江致信招标代理有限公司</w:t>
      </w:r>
      <w:r>
        <w:rPr>
          <w:rFonts w:hint="eastAsia" w:asciiTheme="minorEastAsia" w:hAnsiTheme="minorEastAsia" w:eastAsiaTheme="minorEastAsia" w:cstheme="minorEastAsia"/>
          <w:color w:val="auto"/>
          <w:sz w:val="24"/>
          <w:highlight w:val="none"/>
        </w:rPr>
        <w:t>：</w:t>
      </w:r>
    </w:p>
    <w:p>
      <w:pPr>
        <w:spacing w:line="360" w:lineRule="auto"/>
        <w:ind w:firstLine="4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我方在你公司组织的</w:t>
      </w:r>
      <w:r>
        <w:rPr>
          <w:rFonts w:hint="eastAsia" w:asciiTheme="minorEastAsia" w:hAnsiTheme="minorEastAsia" w:eastAsiaTheme="minorEastAsia" w:cstheme="minorEastAsia"/>
          <w:color w:val="auto"/>
          <w:sz w:val="24"/>
          <w:highlight w:val="none"/>
          <w:u w:val="single"/>
        </w:rPr>
        <w:t>【项目名称】（项目编号）</w:t>
      </w:r>
      <w:r>
        <w:rPr>
          <w:rFonts w:hint="eastAsia" w:asciiTheme="minorEastAsia" w:hAnsiTheme="minorEastAsia" w:eastAsiaTheme="minorEastAsia" w:cstheme="minorEastAsia"/>
          <w:color w:val="auto"/>
          <w:sz w:val="24"/>
          <w:highlight w:val="none"/>
        </w:rPr>
        <w:t>的采购活动中若获成交，我方保证于中标后[具体时间]，按采购文件</w:t>
      </w:r>
      <w:r>
        <w:rPr>
          <w:rFonts w:hint="eastAsia" w:asciiTheme="minorEastAsia" w:hAnsiTheme="minorEastAsia" w:eastAsiaTheme="minorEastAsia" w:cstheme="minorEastAsia"/>
          <w:b/>
          <w:color w:val="auto"/>
          <w:sz w:val="24"/>
          <w:highlight w:val="none"/>
        </w:rPr>
        <w:t>“投标人须知前附表”</w:t>
      </w:r>
      <w:r>
        <w:rPr>
          <w:rFonts w:hint="eastAsia" w:asciiTheme="minorEastAsia" w:hAnsiTheme="minorEastAsia" w:eastAsiaTheme="minorEastAsia" w:cstheme="minorEastAsia"/>
          <w:color w:val="auto"/>
          <w:sz w:val="24"/>
          <w:highlight w:val="none"/>
        </w:rPr>
        <w:t>规定的采购代理服务费缴纳标准及方式，向你公司支付采购代理服务费。</w:t>
      </w:r>
    </w:p>
    <w:p>
      <w:pPr>
        <w:spacing w:line="360" w:lineRule="auto"/>
        <w:ind w:firstLine="4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我方理解并承诺，若未能按时缴纳采购代理服务费，由此产生的法律责任我方自行承担。我方承诺，本承诺书一旦盖章，即具有法律效力。</w:t>
      </w:r>
    </w:p>
    <w:p>
      <w:pPr>
        <w:pStyle w:val="322"/>
        <w:spacing w:line="360" w:lineRule="auto"/>
        <w:ind w:firstLine="4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特此承诺。</w:t>
      </w:r>
    </w:p>
    <w:p>
      <w:pPr>
        <w:pStyle w:val="322"/>
        <w:spacing w:line="360" w:lineRule="auto"/>
        <w:ind w:firstLine="4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投标人全称（盖单位公章）：</w:t>
      </w:r>
    </w:p>
    <w:p>
      <w:pPr>
        <w:pStyle w:val="322"/>
        <w:spacing w:line="360" w:lineRule="auto"/>
        <w:ind w:firstLine="440"/>
        <w:rPr>
          <w:rFonts w:hint="eastAsia" w:asciiTheme="minorEastAsia" w:hAnsiTheme="minorEastAsia" w:eastAsiaTheme="minorEastAsia" w:cstheme="minorEastAsia"/>
          <w:color w:val="auto"/>
          <w:sz w:val="24"/>
          <w:szCs w:val="24"/>
          <w:highlight w:val="none"/>
        </w:rPr>
        <w:sectPr>
          <w:pgSz w:w="11906" w:h="16838"/>
          <w:pgMar w:top="1247" w:right="1304" w:bottom="1020" w:left="1304" w:header="720" w:footer="720" w:gutter="0"/>
          <w:cols w:space="0" w:num="1"/>
          <w:docGrid w:linePitch="312" w:charSpace="0"/>
        </w:sect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rPr>
        <w:t xml:space="preserve">   年  月  日</w:t>
      </w: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bookmarkStart w:id="411" w:name="_Toc19200"/>
      <w:r>
        <w:rPr>
          <w:rFonts w:hint="eastAsia" w:asciiTheme="minorEastAsia" w:hAnsiTheme="minorEastAsia" w:eastAsiaTheme="minorEastAsia" w:cstheme="minorEastAsia"/>
          <w:b/>
          <w:color w:val="auto"/>
          <w:kern w:val="0"/>
          <w:sz w:val="36"/>
          <w:szCs w:val="36"/>
          <w:highlight w:val="none"/>
        </w:rPr>
        <w:t>报价文件部分</w:t>
      </w:r>
      <w:bookmarkEnd w:id="411"/>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bookmarkStart w:id="412" w:name="_Toc32000"/>
      <w:r>
        <w:rPr>
          <w:rFonts w:hint="eastAsia" w:asciiTheme="minorEastAsia" w:hAnsiTheme="minorEastAsia" w:eastAsiaTheme="minorEastAsia" w:cstheme="minorEastAsia"/>
          <w:b/>
          <w:color w:val="auto"/>
          <w:kern w:val="0"/>
          <w:sz w:val="36"/>
          <w:szCs w:val="36"/>
          <w:highlight w:val="none"/>
        </w:rPr>
        <w:t>目录</w:t>
      </w:r>
      <w:bookmarkEnd w:id="412"/>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（1）开标一览表（报价表）…………………………………………………………（页码）</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（2）投标分项报价表…………………………………………………………………（页码）</w:t>
      </w:r>
    </w:p>
    <w:p>
      <w:pPr>
        <w:pStyle w:val="725"/>
        <w:spacing w:line="360" w:lineRule="auto"/>
        <w:ind w:firstLine="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（3）投标人针对报价需要说明的其他文件和说明…………………………………（页码）</w:t>
      </w: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pStyle w:val="694"/>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sectPr>
          <w:headerReference r:id="rId9" w:type="first"/>
          <w:footerReference r:id="rId11" w:type="first"/>
          <w:headerReference r:id="rId8" w:type="default"/>
          <w:footerReference r:id="rId10" w:type="default"/>
          <w:pgSz w:w="11906" w:h="16838"/>
          <w:pgMar w:top="1247" w:right="1304" w:bottom="1020" w:left="1304" w:header="720" w:footer="720" w:gutter="0"/>
          <w:cols w:space="0" w:num="1"/>
          <w:docGrid w:linePitch="312" w:charSpace="0"/>
        </w:sectPr>
      </w:pPr>
    </w:p>
    <w:p>
      <w:pPr>
        <w:pStyle w:val="694"/>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bookmarkStart w:id="413" w:name="_Toc29590"/>
      <w:r>
        <w:rPr>
          <w:rFonts w:hint="eastAsia" w:asciiTheme="minorEastAsia" w:hAnsiTheme="minorEastAsia" w:eastAsiaTheme="minorEastAsia" w:cstheme="minorEastAsia"/>
          <w:color w:val="auto"/>
          <w:kern w:val="2"/>
          <w:sz w:val="32"/>
          <w:szCs w:val="32"/>
          <w:highlight w:val="none"/>
        </w:rPr>
        <w:t>一、开标一览表（报价表）</w:t>
      </w:r>
      <w:bookmarkEnd w:id="413"/>
    </w:p>
    <w:p>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p>
    <w:p>
      <w:pPr>
        <w:snapToGrid w:val="0"/>
        <w:spacing w:line="360" w:lineRule="auto"/>
        <w:ind w:firstLine="482"/>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kern w:val="0"/>
          <w:sz w:val="24"/>
          <w:highlight w:val="none"/>
          <w:lang w:val="zh-CN"/>
        </w:rPr>
        <w:t>【招标编号：</w:t>
      </w:r>
      <w:r>
        <w:rPr>
          <w:rFonts w:hint="eastAsia" w:asciiTheme="minorEastAsia" w:hAnsiTheme="minorEastAsia" w:eastAsiaTheme="minorEastAsia" w:cstheme="minorEastAsia"/>
          <w:color w:val="auto"/>
          <w:sz w:val="24"/>
          <w:highlight w:val="none"/>
        </w:rPr>
        <w:t>（采购编号）】的实施</w:t>
      </w:r>
      <w:r>
        <w:rPr>
          <w:rFonts w:hint="eastAsia" w:asciiTheme="minorEastAsia" w:hAnsiTheme="minorEastAsia" w:eastAsiaTheme="minorEastAsia" w:cstheme="minorEastAsia"/>
          <w:color w:val="auto"/>
          <w:kern w:val="0"/>
          <w:sz w:val="24"/>
          <w:highlight w:val="none"/>
          <w:lang w:val="zh-CN"/>
        </w:rPr>
        <w:t>。</w:t>
      </w:r>
    </w:p>
    <w:p>
      <w:pPr>
        <w:spacing w:line="360" w:lineRule="auto"/>
        <w:jc w:val="center"/>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开标一览表（报价表）(单位均为人民币元)</w:t>
      </w:r>
    </w:p>
    <w:tbl>
      <w:tblPr>
        <w:tblStyle w:val="75"/>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247"/>
        <w:gridCol w:w="5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1080" w:type="dxa"/>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标项号</w:t>
            </w:r>
          </w:p>
        </w:tc>
        <w:tc>
          <w:tcPr>
            <w:tcW w:w="3247" w:type="dxa"/>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项目名称</w:t>
            </w:r>
          </w:p>
        </w:tc>
        <w:tc>
          <w:tcPr>
            <w:tcW w:w="5213" w:type="dxa"/>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投标总价</w:t>
            </w:r>
          </w:p>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080" w:type="dxa"/>
            <w:vAlign w:val="center"/>
          </w:tcPr>
          <w:p>
            <w:pPr>
              <w:jc w:val="center"/>
              <w:rPr>
                <w:rFonts w:hint="eastAsia" w:asciiTheme="minorEastAsia" w:hAnsiTheme="minorEastAsia" w:eastAsiaTheme="minorEastAsia" w:cstheme="minorEastAsia"/>
                <w:color w:val="auto"/>
                <w:highlight w:val="none"/>
              </w:rPr>
            </w:pPr>
          </w:p>
        </w:tc>
        <w:tc>
          <w:tcPr>
            <w:tcW w:w="3247" w:type="dxa"/>
            <w:vAlign w:val="center"/>
          </w:tcPr>
          <w:p>
            <w:pPr>
              <w:jc w:val="center"/>
              <w:rPr>
                <w:rFonts w:hint="eastAsia" w:asciiTheme="minorEastAsia" w:hAnsiTheme="minorEastAsia" w:eastAsiaTheme="minorEastAsia" w:cstheme="minorEastAsia"/>
                <w:color w:val="auto"/>
                <w:highlight w:val="none"/>
              </w:rPr>
            </w:pPr>
          </w:p>
        </w:tc>
        <w:tc>
          <w:tcPr>
            <w:tcW w:w="5213" w:type="dxa"/>
            <w:vAlign w:val="center"/>
          </w:tcPr>
          <w:p>
            <w:pPr>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w:t>
            </w:r>
          </w:p>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标</w:t>
            </w:r>
          </w:p>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人</w:t>
            </w:r>
          </w:p>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申</w:t>
            </w:r>
          </w:p>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明</w:t>
            </w:r>
          </w:p>
        </w:tc>
        <w:tc>
          <w:tcPr>
            <w:tcW w:w="8460" w:type="dxa"/>
            <w:gridSpan w:val="2"/>
          </w:tcPr>
          <w:p>
            <w:pPr>
              <w:jc w:val="center"/>
              <w:rPr>
                <w:rFonts w:hint="eastAsia" w:asciiTheme="minorEastAsia" w:hAnsiTheme="minorEastAsia" w:eastAsiaTheme="minorEastAsia" w:cstheme="minorEastAsia"/>
                <w:color w:val="auto"/>
                <w:highlight w:val="none"/>
              </w:rPr>
            </w:pPr>
          </w:p>
          <w:p>
            <w:pPr>
              <w:jc w:val="center"/>
              <w:rPr>
                <w:rFonts w:hint="eastAsia" w:asciiTheme="minorEastAsia" w:hAnsiTheme="minorEastAsia" w:eastAsiaTheme="minorEastAsia" w:cstheme="minorEastAsia"/>
                <w:color w:val="auto"/>
                <w:highlight w:val="none"/>
              </w:rPr>
            </w:pPr>
          </w:p>
          <w:p>
            <w:pPr>
              <w:jc w:val="center"/>
              <w:rPr>
                <w:rFonts w:hint="eastAsia" w:asciiTheme="minorEastAsia" w:hAnsiTheme="minorEastAsia" w:eastAsiaTheme="minorEastAsia" w:cstheme="minorEastAsia"/>
                <w:color w:val="auto"/>
                <w:highlight w:val="none"/>
              </w:rPr>
            </w:pPr>
          </w:p>
          <w:p>
            <w:pPr>
              <w:jc w:val="center"/>
              <w:rPr>
                <w:rFonts w:hint="eastAsia" w:asciiTheme="minorEastAsia" w:hAnsiTheme="minorEastAsia" w:eastAsiaTheme="minorEastAsia" w:cstheme="minorEastAsia"/>
                <w:color w:val="auto"/>
                <w:highlight w:val="none"/>
              </w:rPr>
            </w:pPr>
          </w:p>
          <w:p>
            <w:pPr>
              <w:jc w:val="center"/>
              <w:rPr>
                <w:rFonts w:hint="eastAsia" w:asciiTheme="minorEastAsia" w:hAnsiTheme="minorEastAsia" w:eastAsiaTheme="minorEastAsia" w:cstheme="minorEastAsia"/>
                <w:color w:val="auto"/>
                <w:highlight w:val="none"/>
              </w:rPr>
            </w:pPr>
          </w:p>
        </w:tc>
      </w:tr>
    </w:tbl>
    <w:p>
      <w:pPr>
        <w:snapToGrid w:val="0"/>
        <w:spacing w:line="360" w:lineRule="auto"/>
        <w:ind w:left="480"/>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p>
    <w:p>
      <w:pPr>
        <w:spacing w:line="360" w:lineRule="auto"/>
        <w:ind w:left="-2" w:leftChars="-1"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1、投标人需按本表格式填写</w:t>
      </w:r>
      <w:r>
        <w:rPr>
          <w:rFonts w:hint="eastAsia" w:asciiTheme="minorEastAsia" w:hAnsiTheme="minorEastAsia" w:eastAsiaTheme="minorEastAsia" w:cstheme="minorEastAsia"/>
          <w:b/>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投标文件含有采购人不能接受的附加条件，投标无效</w:t>
      </w:r>
      <w:r>
        <w:rPr>
          <w:rFonts w:hint="eastAsia" w:asciiTheme="minorEastAsia" w:hAnsiTheme="minorEastAsia" w:eastAsiaTheme="minorEastAsia" w:cstheme="minorEastAsia"/>
          <w:color w:val="auto"/>
          <w:kern w:val="0"/>
          <w:sz w:val="24"/>
          <w:highlight w:val="none"/>
          <w:lang w:val="zh-CN"/>
        </w:rPr>
        <w:t>。</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2、有关本项目实施所涉及的一切费用均计入报价。</w:t>
      </w:r>
      <w:r>
        <w:rPr>
          <w:rFonts w:hint="eastAsia" w:asciiTheme="minorEastAsia" w:hAnsiTheme="minorEastAsia" w:eastAsiaTheme="minorEastAsia" w:cstheme="minorEastAsia"/>
          <w:b/>
          <w:color w:val="auto"/>
          <w:kern w:val="0"/>
          <w:sz w:val="24"/>
          <w:highlight w:val="none"/>
          <w:lang w:val="zh-CN"/>
        </w:rPr>
        <w:t>采购人将以合同形式有偿取得货物或服务，不接受投标人给予的赠品、回扣或者与采购无关的其他商品、服务</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不得出现“0元”“免费赠送”等形式的无偿报价，</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投标文件含有采购人不能接受的附加条件，投标无效</w:t>
      </w:r>
      <w:r>
        <w:rPr>
          <w:rFonts w:hint="eastAsia" w:asciiTheme="minorEastAsia" w:hAnsiTheme="minorEastAsia" w:eastAsiaTheme="minorEastAsia" w:cstheme="minorEastAsia"/>
          <w:b/>
          <w:color w:val="auto"/>
          <w:kern w:val="0"/>
          <w:sz w:val="24"/>
          <w:highlight w:val="none"/>
          <w:lang w:val="zh-CN"/>
        </w:rPr>
        <w:t>；采购内容未包含在《开标一览表（报价表）》名称栏中，投标人不能作出合理解释的，</w:t>
      </w:r>
      <w:r>
        <w:rPr>
          <w:rFonts w:hint="eastAsia" w:asciiTheme="minorEastAsia" w:hAnsiTheme="minorEastAsia" w:eastAsiaTheme="minorEastAsia" w:cstheme="minorEastAsia"/>
          <w:b/>
          <w:color w:val="auto"/>
          <w:kern w:val="0"/>
          <w:sz w:val="24"/>
          <w:highlight w:val="none"/>
        </w:rPr>
        <w:t>视为</w:t>
      </w:r>
      <w:r>
        <w:rPr>
          <w:rFonts w:hint="eastAsia" w:asciiTheme="minorEastAsia" w:hAnsiTheme="minorEastAsia" w:eastAsiaTheme="minorEastAsia" w:cstheme="minorEastAsia"/>
          <w:b/>
          <w:color w:val="auto"/>
          <w:sz w:val="24"/>
          <w:highlight w:val="none"/>
        </w:rPr>
        <w:t>投标文件含有采购人不能接受的附加条件的，投标无效。</w:t>
      </w:r>
    </w:p>
    <w:p>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kern w:val="0"/>
          <w:sz w:val="24"/>
          <w:szCs w:val="22"/>
          <w:highlight w:val="none"/>
          <w:lang w:val="zh-CN"/>
        </w:rPr>
        <w:t>4、</w:t>
      </w:r>
      <w:r>
        <w:rPr>
          <w:rFonts w:hint="eastAsia" w:asciiTheme="minorEastAsia" w:hAnsiTheme="minorEastAsia" w:eastAsiaTheme="minorEastAsia" w:cstheme="minorEastAsia"/>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4"/>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sectPr>
          <w:pgSz w:w="11906" w:h="16838"/>
          <w:pgMar w:top="1247" w:right="1304" w:bottom="1020" w:left="1304" w:header="720" w:footer="720" w:gutter="0"/>
          <w:cols w:space="0" w:num="1"/>
          <w:docGrid w:linePitch="312" w:charSpace="0"/>
        </w:sectPr>
      </w:pPr>
      <w:bookmarkStart w:id="414" w:name="_Toc32262"/>
    </w:p>
    <w:p>
      <w:pPr>
        <w:pStyle w:val="694"/>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二、投标分项报价表</w:t>
      </w:r>
      <w:bookmarkEnd w:id="414"/>
    </w:p>
    <w:p>
      <w:pPr>
        <w:spacing w:line="460" w:lineRule="exact"/>
        <w:ind w:firstLine="480"/>
        <w:rPr>
          <w:rFonts w:hint="eastAsia" w:asciiTheme="minorEastAsia" w:hAnsiTheme="minorEastAsia" w:eastAsiaTheme="minorEastAsia" w:cstheme="minorEastAsia"/>
          <w:color w:val="auto"/>
          <w:sz w:val="30"/>
          <w:highlight w:val="none"/>
        </w:rPr>
      </w:pPr>
      <w:r>
        <w:rPr>
          <w:rFonts w:hint="eastAsia" w:asciiTheme="minorEastAsia" w:hAnsiTheme="minorEastAsia" w:eastAsiaTheme="minorEastAsia" w:cstheme="minorEastAsia"/>
          <w:color w:val="auto"/>
          <w:highlight w:val="none"/>
        </w:rPr>
        <w:t>招标项目名称：</w:t>
      </w:r>
      <w:r>
        <w:rPr>
          <w:rFonts w:hint="eastAsia" w:asciiTheme="minorEastAsia" w:hAnsiTheme="minorEastAsia" w:eastAsiaTheme="minorEastAsia" w:cstheme="minorEastAsia"/>
          <w:color w:val="auto"/>
          <w:highlight w:val="none"/>
          <w:u w:val="single"/>
        </w:rPr>
        <w:t xml:space="preserve">_______               </w:t>
      </w:r>
      <w:r>
        <w:rPr>
          <w:rFonts w:hint="eastAsia" w:asciiTheme="minorEastAsia" w:hAnsiTheme="minorEastAsia" w:eastAsiaTheme="minorEastAsia" w:cstheme="minorEastAsia"/>
          <w:color w:val="auto"/>
          <w:spacing w:val="14"/>
          <w:highlight w:val="none"/>
        </w:rPr>
        <w:t>招标编号</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u w:val="single"/>
        </w:rPr>
        <w:t xml:space="preserve">_____                </w:t>
      </w:r>
      <w:r>
        <w:rPr>
          <w:rFonts w:hint="eastAsia" w:asciiTheme="minorEastAsia" w:hAnsiTheme="minorEastAsia" w:eastAsiaTheme="minorEastAsia" w:cstheme="minorEastAsia"/>
          <w:color w:val="auto"/>
          <w:highlight w:val="none"/>
        </w:rPr>
        <w:t>（人民币：元）</w:t>
      </w:r>
    </w:p>
    <w:tbl>
      <w:tblPr>
        <w:tblStyle w:val="75"/>
        <w:tblW w:w="15821"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2040"/>
        <w:gridCol w:w="1050"/>
        <w:gridCol w:w="840"/>
        <w:gridCol w:w="840"/>
        <w:gridCol w:w="1155"/>
        <w:gridCol w:w="1155"/>
        <w:gridCol w:w="1155"/>
        <w:gridCol w:w="1155"/>
        <w:gridCol w:w="1076"/>
        <w:gridCol w:w="1050"/>
        <w:gridCol w:w="12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trPr>
        <w:tc>
          <w:tcPr>
            <w:tcW w:w="735" w:type="dxa"/>
            <w:vMerge w:val="restart"/>
            <w:vAlign w:val="center"/>
          </w:tcPr>
          <w:p>
            <w:pPr>
              <w:spacing w:line="4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260" w:type="dxa"/>
            <w:vMerge w:val="restart"/>
            <w:vAlign w:val="center"/>
          </w:tcPr>
          <w:p>
            <w:pPr>
              <w:spacing w:line="4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产品名称</w:t>
            </w:r>
          </w:p>
        </w:tc>
        <w:tc>
          <w:tcPr>
            <w:tcW w:w="2040" w:type="dxa"/>
            <w:vMerge w:val="restart"/>
            <w:vAlign w:val="center"/>
          </w:tcPr>
          <w:p>
            <w:pPr>
              <w:spacing w:line="4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品牌、规格及型号</w:t>
            </w:r>
          </w:p>
        </w:tc>
        <w:tc>
          <w:tcPr>
            <w:tcW w:w="1050" w:type="dxa"/>
            <w:vMerge w:val="restart"/>
            <w:vAlign w:val="center"/>
          </w:tcPr>
          <w:p>
            <w:pPr>
              <w:spacing w:line="4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产地</w:t>
            </w:r>
          </w:p>
        </w:tc>
        <w:tc>
          <w:tcPr>
            <w:tcW w:w="840" w:type="dxa"/>
            <w:vMerge w:val="restart"/>
            <w:vAlign w:val="center"/>
          </w:tcPr>
          <w:p>
            <w:pPr>
              <w:spacing w:line="4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数量单位</w:t>
            </w:r>
          </w:p>
        </w:tc>
        <w:tc>
          <w:tcPr>
            <w:tcW w:w="840" w:type="dxa"/>
            <w:vMerge w:val="restart"/>
            <w:vAlign w:val="center"/>
          </w:tcPr>
          <w:p>
            <w:pPr>
              <w:spacing w:line="4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c>
          <w:tcPr>
            <w:tcW w:w="1155" w:type="dxa"/>
            <w:vMerge w:val="restart"/>
            <w:vAlign w:val="center"/>
          </w:tcPr>
          <w:p>
            <w:pPr>
              <w:spacing w:line="4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投标单价</w:t>
            </w:r>
          </w:p>
        </w:tc>
        <w:tc>
          <w:tcPr>
            <w:tcW w:w="1155" w:type="dxa"/>
            <w:vMerge w:val="restart"/>
            <w:vAlign w:val="center"/>
          </w:tcPr>
          <w:p>
            <w:pPr>
              <w:spacing w:line="4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投标总价</w:t>
            </w:r>
          </w:p>
        </w:tc>
        <w:tc>
          <w:tcPr>
            <w:tcW w:w="6746" w:type="dxa"/>
            <w:gridSpan w:val="6"/>
            <w:vAlign w:val="center"/>
          </w:tcPr>
          <w:p>
            <w:pPr>
              <w:spacing w:line="4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投标总价组成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trPr>
        <w:tc>
          <w:tcPr>
            <w:tcW w:w="735" w:type="dxa"/>
            <w:vMerge w:val="continue"/>
            <w:vAlign w:val="center"/>
          </w:tcPr>
          <w:p>
            <w:pPr>
              <w:spacing w:line="460" w:lineRule="exact"/>
              <w:jc w:val="center"/>
              <w:rPr>
                <w:rFonts w:hint="eastAsia" w:asciiTheme="minorEastAsia" w:hAnsiTheme="minorEastAsia" w:eastAsiaTheme="minorEastAsia" w:cstheme="minorEastAsia"/>
                <w:color w:val="auto"/>
                <w:szCs w:val="21"/>
                <w:highlight w:val="none"/>
              </w:rPr>
            </w:pPr>
          </w:p>
        </w:tc>
        <w:tc>
          <w:tcPr>
            <w:tcW w:w="1260" w:type="dxa"/>
            <w:vMerge w:val="continue"/>
            <w:vAlign w:val="center"/>
          </w:tcPr>
          <w:p>
            <w:pPr>
              <w:spacing w:line="460" w:lineRule="exact"/>
              <w:jc w:val="center"/>
              <w:rPr>
                <w:rFonts w:hint="eastAsia" w:asciiTheme="minorEastAsia" w:hAnsiTheme="minorEastAsia" w:eastAsiaTheme="minorEastAsia" w:cstheme="minorEastAsia"/>
                <w:color w:val="auto"/>
                <w:szCs w:val="21"/>
                <w:highlight w:val="none"/>
              </w:rPr>
            </w:pPr>
          </w:p>
        </w:tc>
        <w:tc>
          <w:tcPr>
            <w:tcW w:w="2040" w:type="dxa"/>
            <w:vMerge w:val="continue"/>
            <w:vAlign w:val="center"/>
          </w:tcPr>
          <w:p>
            <w:pPr>
              <w:spacing w:line="460" w:lineRule="exact"/>
              <w:jc w:val="center"/>
              <w:rPr>
                <w:rFonts w:hint="eastAsia" w:asciiTheme="minorEastAsia" w:hAnsiTheme="minorEastAsia" w:eastAsiaTheme="minorEastAsia" w:cstheme="minorEastAsia"/>
                <w:color w:val="auto"/>
                <w:szCs w:val="21"/>
                <w:highlight w:val="none"/>
              </w:rPr>
            </w:pPr>
          </w:p>
        </w:tc>
        <w:tc>
          <w:tcPr>
            <w:tcW w:w="1050" w:type="dxa"/>
            <w:vMerge w:val="continue"/>
          </w:tcPr>
          <w:p>
            <w:pPr>
              <w:spacing w:line="460" w:lineRule="exact"/>
              <w:jc w:val="center"/>
              <w:rPr>
                <w:rFonts w:hint="eastAsia" w:asciiTheme="minorEastAsia" w:hAnsiTheme="minorEastAsia" w:eastAsiaTheme="minorEastAsia" w:cstheme="minorEastAsia"/>
                <w:color w:val="auto"/>
                <w:szCs w:val="21"/>
                <w:highlight w:val="none"/>
              </w:rPr>
            </w:pPr>
          </w:p>
        </w:tc>
        <w:tc>
          <w:tcPr>
            <w:tcW w:w="840" w:type="dxa"/>
            <w:vMerge w:val="continue"/>
            <w:vAlign w:val="center"/>
          </w:tcPr>
          <w:p>
            <w:pPr>
              <w:spacing w:line="460" w:lineRule="exact"/>
              <w:jc w:val="center"/>
              <w:rPr>
                <w:rFonts w:hint="eastAsia" w:asciiTheme="minorEastAsia" w:hAnsiTheme="minorEastAsia" w:eastAsiaTheme="minorEastAsia" w:cstheme="minorEastAsia"/>
                <w:color w:val="auto"/>
                <w:szCs w:val="21"/>
                <w:highlight w:val="none"/>
              </w:rPr>
            </w:pPr>
          </w:p>
        </w:tc>
        <w:tc>
          <w:tcPr>
            <w:tcW w:w="840" w:type="dxa"/>
            <w:vMerge w:val="continue"/>
            <w:vAlign w:val="center"/>
          </w:tcPr>
          <w:p>
            <w:pPr>
              <w:spacing w:line="460" w:lineRule="exact"/>
              <w:jc w:val="center"/>
              <w:rPr>
                <w:rFonts w:hint="eastAsia" w:asciiTheme="minorEastAsia" w:hAnsiTheme="minorEastAsia" w:eastAsiaTheme="minorEastAsia" w:cstheme="minorEastAsia"/>
                <w:color w:val="auto"/>
                <w:szCs w:val="21"/>
                <w:highlight w:val="none"/>
              </w:rPr>
            </w:pPr>
          </w:p>
        </w:tc>
        <w:tc>
          <w:tcPr>
            <w:tcW w:w="1155" w:type="dxa"/>
            <w:vMerge w:val="continue"/>
          </w:tcPr>
          <w:p>
            <w:pPr>
              <w:spacing w:line="460" w:lineRule="exact"/>
              <w:jc w:val="center"/>
              <w:rPr>
                <w:rFonts w:hint="eastAsia" w:asciiTheme="minorEastAsia" w:hAnsiTheme="minorEastAsia" w:eastAsiaTheme="minorEastAsia" w:cstheme="minorEastAsia"/>
                <w:color w:val="auto"/>
                <w:szCs w:val="21"/>
                <w:highlight w:val="none"/>
              </w:rPr>
            </w:pPr>
          </w:p>
        </w:tc>
        <w:tc>
          <w:tcPr>
            <w:tcW w:w="1155" w:type="dxa"/>
            <w:vMerge w:val="continue"/>
            <w:vAlign w:val="center"/>
          </w:tcPr>
          <w:p>
            <w:pPr>
              <w:spacing w:line="460" w:lineRule="exact"/>
              <w:jc w:val="center"/>
              <w:rPr>
                <w:rFonts w:hint="eastAsia" w:asciiTheme="minorEastAsia" w:hAnsiTheme="minorEastAsia" w:eastAsiaTheme="minorEastAsia" w:cstheme="minorEastAsia"/>
                <w:color w:val="auto"/>
                <w:szCs w:val="21"/>
                <w:highlight w:val="none"/>
              </w:rPr>
            </w:pPr>
          </w:p>
        </w:tc>
        <w:tc>
          <w:tcPr>
            <w:tcW w:w="1155" w:type="dxa"/>
            <w:vAlign w:val="center"/>
          </w:tcPr>
          <w:p>
            <w:pPr>
              <w:spacing w:line="4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产品总价</w:t>
            </w:r>
          </w:p>
        </w:tc>
        <w:tc>
          <w:tcPr>
            <w:tcW w:w="1155" w:type="dxa"/>
          </w:tcPr>
          <w:p>
            <w:pPr>
              <w:spacing w:line="4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备品备件费</w:t>
            </w:r>
          </w:p>
        </w:tc>
        <w:tc>
          <w:tcPr>
            <w:tcW w:w="1076" w:type="dxa"/>
          </w:tcPr>
          <w:p>
            <w:pPr>
              <w:spacing w:line="4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专用工具费</w:t>
            </w:r>
          </w:p>
        </w:tc>
        <w:tc>
          <w:tcPr>
            <w:tcW w:w="1050" w:type="dxa"/>
            <w:vAlign w:val="center"/>
          </w:tcPr>
          <w:p>
            <w:pPr>
              <w:spacing w:line="4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安装调试费</w:t>
            </w:r>
          </w:p>
        </w:tc>
        <w:tc>
          <w:tcPr>
            <w:tcW w:w="1234" w:type="dxa"/>
            <w:vAlign w:val="center"/>
          </w:tcPr>
          <w:p>
            <w:pPr>
              <w:spacing w:line="4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技术服务培训费</w:t>
            </w:r>
          </w:p>
        </w:tc>
        <w:tc>
          <w:tcPr>
            <w:tcW w:w="1076" w:type="dxa"/>
            <w:tcBorders>
              <w:bottom w:val="single" w:color="auto" w:sz="4" w:space="0"/>
            </w:tcBorders>
            <w:vAlign w:val="center"/>
          </w:tcPr>
          <w:p>
            <w:pPr>
              <w:spacing w:line="4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运输保险费等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735" w:type="dxa"/>
            <w:vAlign w:val="center"/>
          </w:tcPr>
          <w:p>
            <w:pPr>
              <w:spacing w:line="460" w:lineRule="exact"/>
              <w:jc w:val="center"/>
              <w:rPr>
                <w:rFonts w:hint="eastAsia" w:asciiTheme="minorEastAsia" w:hAnsiTheme="minorEastAsia" w:eastAsiaTheme="minorEastAsia" w:cstheme="minorEastAsia"/>
                <w:color w:val="auto"/>
                <w:szCs w:val="21"/>
                <w:highlight w:val="none"/>
              </w:rPr>
            </w:pPr>
          </w:p>
        </w:tc>
        <w:tc>
          <w:tcPr>
            <w:tcW w:w="1260" w:type="dxa"/>
            <w:vAlign w:val="center"/>
          </w:tcPr>
          <w:p>
            <w:pPr>
              <w:spacing w:line="4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2040" w:type="dxa"/>
            <w:vAlign w:val="center"/>
          </w:tcPr>
          <w:p>
            <w:pPr>
              <w:spacing w:line="4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050" w:type="dxa"/>
          </w:tcPr>
          <w:p>
            <w:pPr>
              <w:spacing w:line="4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840" w:type="dxa"/>
            <w:vAlign w:val="center"/>
          </w:tcPr>
          <w:p>
            <w:pPr>
              <w:spacing w:line="4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840" w:type="dxa"/>
            <w:vAlign w:val="center"/>
          </w:tcPr>
          <w:p>
            <w:pPr>
              <w:spacing w:line="4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1155" w:type="dxa"/>
          </w:tcPr>
          <w:p>
            <w:pPr>
              <w:spacing w:line="4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p>
        </w:tc>
        <w:tc>
          <w:tcPr>
            <w:tcW w:w="1155" w:type="dxa"/>
            <w:vAlign w:val="center"/>
          </w:tcPr>
          <w:p>
            <w:pPr>
              <w:spacing w:line="4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w:t>
            </w:r>
          </w:p>
        </w:tc>
        <w:tc>
          <w:tcPr>
            <w:tcW w:w="1155" w:type="dxa"/>
            <w:vAlign w:val="center"/>
          </w:tcPr>
          <w:p>
            <w:pPr>
              <w:spacing w:line="4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w:t>
            </w:r>
          </w:p>
        </w:tc>
        <w:tc>
          <w:tcPr>
            <w:tcW w:w="1155" w:type="dxa"/>
          </w:tcPr>
          <w:p>
            <w:pPr>
              <w:spacing w:line="4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w:t>
            </w:r>
          </w:p>
        </w:tc>
        <w:tc>
          <w:tcPr>
            <w:tcW w:w="1076" w:type="dxa"/>
          </w:tcPr>
          <w:p>
            <w:pPr>
              <w:spacing w:line="4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c>
          <w:tcPr>
            <w:tcW w:w="1050" w:type="dxa"/>
            <w:vAlign w:val="center"/>
          </w:tcPr>
          <w:p>
            <w:pPr>
              <w:spacing w:line="4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p>
        </w:tc>
        <w:tc>
          <w:tcPr>
            <w:tcW w:w="1234" w:type="dxa"/>
            <w:vAlign w:val="center"/>
          </w:tcPr>
          <w:p>
            <w:pPr>
              <w:spacing w:line="4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p>
        </w:tc>
        <w:tc>
          <w:tcPr>
            <w:tcW w:w="1076" w:type="dxa"/>
            <w:vAlign w:val="center"/>
          </w:tcPr>
          <w:p>
            <w:pPr>
              <w:spacing w:line="4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260"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2040"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050"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840"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840"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155"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155"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155"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155"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076"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050"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234"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076" w:type="dxa"/>
          </w:tcPr>
          <w:p>
            <w:pPr>
              <w:spacing w:line="460" w:lineRule="exact"/>
              <w:ind w:firstLine="600"/>
              <w:rPr>
                <w:rFonts w:hint="eastAsia" w:asciiTheme="minorEastAsia" w:hAnsiTheme="minorEastAsia" w:eastAsiaTheme="minorEastAsia" w:cstheme="minorEastAsia"/>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260"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2040"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050"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840"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840"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155"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155"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155"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155"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076"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050"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234"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076" w:type="dxa"/>
          </w:tcPr>
          <w:p>
            <w:pPr>
              <w:spacing w:line="460" w:lineRule="exact"/>
              <w:ind w:firstLine="600"/>
              <w:rPr>
                <w:rFonts w:hint="eastAsia" w:asciiTheme="minorEastAsia" w:hAnsiTheme="minorEastAsia" w:eastAsiaTheme="minorEastAsia" w:cstheme="minorEastAsia"/>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260"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2040"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050"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840"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840"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155"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155"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155"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155"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076"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050"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234"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076" w:type="dxa"/>
          </w:tcPr>
          <w:p>
            <w:pPr>
              <w:spacing w:line="460" w:lineRule="exact"/>
              <w:ind w:firstLine="600"/>
              <w:rPr>
                <w:rFonts w:hint="eastAsia" w:asciiTheme="minorEastAsia" w:hAnsiTheme="minorEastAsia" w:eastAsiaTheme="minorEastAsia" w:cstheme="minorEastAsia"/>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260"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2040"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050"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840"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840"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155"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155"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155"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155"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076"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050"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234"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076" w:type="dxa"/>
          </w:tcPr>
          <w:p>
            <w:pPr>
              <w:spacing w:line="460" w:lineRule="exact"/>
              <w:ind w:firstLine="600"/>
              <w:rPr>
                <w:rFonts w:hint="eastAsia" w:asciiTheme="minorEastAsia" w:hAnsiTheme="minorEastAsia" w:eastAsiaTheme="minorEastAsia" w:cstheme="minorEastAsia"/>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260"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2040"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050"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840"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840"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155"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155"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155"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155"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076"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050"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234" w:type="dxa"/>
          </w:tcPr>
          <w:p>
            <w:pPr>
              <w:spacing w:line="460" w:lineRule="exact"/>
              <w:ind w:firstLine="600"/>
              <w:rPr>
                <w:rFonts w:hint="eastAsia" w:asciiTheme="minorEastAsia" w:hAnsiTheme="minorEastAsia" w:eastAsiaTheme="minorEastAsia" w:cstheme="minorEastAsia"/>
                <w:color w:val="auto"/>
                <w:sz w:val="30"/>
                <w:highlight w:val="none"/>
              </w:rPr>
            </w:pPr>
          </w:p>
        </w:tc>
        <w:tc>
          <w:tcPr>
            <w:tcW w:w="1076" w:type="dxa"/>
          </w:tcPr>
          <w:p>
            <w:pPr>
              <w:spacing w:line="460" w:lineRule="exact"/>
              <w:ind w:firstLine="600"/>
              <w:rPr>
                <w:rFonts w:hint="eastAsia" w:asciiTheme="minorEastAsia" w:hAnsiTheme="minorEastAsia" w:eastAsiaTheme="minorEastAsia" w:cstheme="minorEastAsia"/>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5" w:type="dxa"/>
            <w:gridSpan w:val="4"/>
          </w:tcPr>
          <w:p>
            <w:pPr>
              <w:spacing w:line="460" w:lineRule="exact"/>
              <w:ind w:firstLine="48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投标总价合计：</w:t>
            </w:r>
          </w:p>
        </w:tc>
        <w:tc>
          <w:tcPr>
            <w:tcW w:w="10736" w:type="dxa"/>
            <w:gridSpan w:val="10"/>
          </w:tcPr>
          <w:p>
            <w:pPr>
              <w:spacing w:line="460" w:lineRule="exact"/>
              <w:ind w:firstLine="600"/>
              <w:rPr>
                <w:rFonts w:hint="eastAsia" w:asciiTheme="minorEastAsia" w:hAnsiTheme="minorEastAsia" w:eastAsiaTheme="minorEastAsia" w:cstheme="minorEastAsia"/>
                <w:color w:val="auto"/>
                <w:sz w:val="30"/>
                <w:highlight w:val="none"/>
              </w:rPr>
            </w:pPr>
          </w:p>
        </w:tc>
      </w:tr>
    </w:tbl>
    <w:p>
      <w:pPr>
        <w:spacing w:line="440" w:lineRule="exact"/>
        <w:ind w:firstLine="480"/>
        <w:rPr>
          <w:rFonts w:hint="eastAsia" w:asciiTheme="minorEastAsia" w:hAnsiTheme="minorEastAsia" w:eastAsiaTheme="minorEastAsia" w:cstheme="minorEastAsia"/>
          <w:i/>
          <w:iCs/>
          <w:color w:val="auto"/>
          <w:highlight w:val="none"/>
        </w:rPr>
      </w:pPr>
    </w:p>
    <w:p>
      <w:pPr>
        <w:spacing w:line="440" w:lineRule="exact"/>
        <w:ind w:firstLine="480"/>
        <w:rPr>
          <w:rFonts w:hint="eastAsia" w:asciiTheme="minorEastAsia" w:hAnsiTheme="minorEastAsia" w:eastAsiaTheme="minorEastAsia" w:cstheme="minorEastAsia"/>
          <w:i/>
          <w:iCs/>
          <w:color w:val="auto"/>
          <w:highlight w:val="none"/>
        </w:rPr>
      </w:pPr>
      <w:r>
        <w:rPr>
          <w:rFonts w:hint="eastAsia" w:asciiTheme="minorEastAsia" w:hAnsiTheme="minorEastAsia" w:eastAsiaTheme="minorEastAsia" w:cstheme="minorEastAsia"/>
          <w:i/>
          <w:iCs/>
          <w:color w:val="auto"/>
          <w:highlight w:val="none"/>
        </w:rPr>
        <w:t>说明：  1、项7=项8+项9+项10+项11+项12+项13，项7=项6*项5；</w:t>
      </w:r>
    </w:p>
    <w:p>
      <w:pPr>
        <w:numPr>
          <w:ilvl w:val="0"/>
          <w:numId w:val="6"/>
        </w:numPr>
        <w:tabs>
          <w:tab w:val="left" w:pos="720"/>
          <w:tab w:val="left" w:pos="1365"/>
          <w:tab w:val="left" w:pos="1620"/>
        </w:tabs>
        <w:spacing w:line="440" w:lineRule="exact"/>
        <w:ind w:left="1365" w:firstLine="480"/>
        <w:rPr>
          <w:rFonts w:hint="eastAsia" w:asciiTheme="minorEastAsia" w:hAnsiTheme="minorEastAsia" w:eastAsiaTheme="minorEastAsia" w:cstheme="minorEastAsia"/>
          <w:i/>
          <w:iCs/>
          <w:color w:val="auto"/>
          <w:highlight w:val="none"/>
        </w:rPr>
      </w:pPr>
      <w:r>
        <w:rPr>
          <w:rFonts w:hint="eastAsia" w:asciiTheme="minorEastAsia" w:hAnsiTheme="minorEastAsia" w:eastAsiaTheme="minorEastAsia" w:cstheme="minorEastAsia"/>
          <w:i/>
          <w:iCs/>
          <w:color w:val="auto"/>
          <w:highlight w:val="none"/>
        </w:rPr>
        <w:t>“投标总价合计”应与“</w:t>
      </w:r>
      <w:r>
        <w:rPr>
          <w:rFonts w:hint="eastAsia" w:asciiTheme="minorEastAsia" w:hAnsiTheme="minorEastAsia" w:eastAsiaTheme="minorEastAsia" w:cstheme="minorEastAsia"/>
          <w:i/>
          <w:iCs/>
          <w:color w:val="auto"/>
          <w:highlight w:val="none"/>
          <w:lang w:val="zh-CN"/>
        </w:rPr>
        <w:t>开标一览表</w:t>
      </w:r>
      <w:r>
        <w:rPr>
          <w:rFonts w:hint="eastAsia" w:asciiTheme="minorEastAsia" w:hAnsiTheme="minorEastAsia" w:eastAsiaTheme="minorEastAsia" w:cstheme="minorEastAsia"/>
          <w:i/>
          <w:iCs/>
          <w:color w:val="auto"/>
          <w:highlight w:val="none"/>
        </w:rPr>
        <w:t>”中第二项“总投标价”一致。</w:t>
      </w:r>
    </w:p>
    <w:p>
      <w:pPr>
        <w:autoSpaceDE w:val="0"/>
        <w:autoSpaceDN w:val="0"/>
        <w:spacing w:line="360" w:lineRule="auto"/>
        <w:ind w:right="112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投标人名称(盖章)：</w:t>
      </w:r>
    </w:p>
    <w:p>
      <w:pPr>
        <w:pStyle w:val="44"/>
        <w:tabs>
          <w:tab w:val="left" w:pos="0"/>
          <w:tab w:val="left" w:pos="1260"/>
          <w:tab w:val="left" w:pos="1365"/>
        </w:tabs>
        <w:ind w:left="0" w:leftChars="0" w:firstLine="0" w:firstLineChars="0"/>
        <w:rPr>
          <w:rFonts w:hint="eastAsia" w:asciiTheme="minorEastAsia" w:hAnsiTheme="minorEastAsia" w:eastAsiaTheme="minorEastAsia" w:cstheme="minorEastAsia"/>
          <w:i/>
          <w:iCs/>
          <w:color w:val="auto"/>
          <w:sz w:val="30"/>
          <w:highlight w:val="none"/>
        </w:rPr>
        <w:sectPr>
          <w:pgSz w:w="16838" w:h="11906" w:orient="landscape"/>
          <w:pgMar w:top="1304" w:right="1247" w:bottom="1304" w:left="1020" w:header="720" w:footer="720" w:gutter="0"/>
          <w:cols w:space="0" w:num="1"/>
          <w:docGrid w:linePitch="312" w:charSpace="0"/>
        </w:sect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pPr>
        <w:pStyle w:val="694"/>
        <w:keepNext w:val="0"/>
        <w:pageBreakBefore w:val="0"/>
        <w:tabs>
          <w:tab w:val="clear" w:pos="720"/>
        </w:tabs>
        <w:snapToGrid w:val="0"/>
        <w:spacing w:before="120" w:after="120"/>
        <w:jc w:val="both"/>
        <w:outlineLvl w:val="9"/>
        <w:rPr>
          <w:rFonts w:hint="eastAsia" w:asciiTheme="minorEastAsia" w:hAnsiTheme="minorEastAsia" w:eastAsiaTheme="minorEastAsia" w:cstheme="minorEastAsia"/>
          <w:color w:val="auto"/>
          <w:kern w:val="2"/>
          <w:sz w:val="32"/>
          <w:szCs w:val="32"/>
          <w:highlight w:val="none"/>
        </w:rPr>
      </w:pPr>
    </w:p>
    <w:p>
      <w:pPr>
        <w:spacing w:line="360" w:lineRule="auto"/>
        <w:ind w:right="420"/>
        <w:jc w:val="center"/>
        <w:rPr>
          <w:rFonts w:hint="eastAsia" w:asciiTheme="minorEastAsia" w:hAnsiTheme="minorEastAsia" w:eastAsiaTheme="minorEastAsia" w:cstheme="minorEastAsia"/>
          <w:b/>
          <w:color w:val="auto"/>
          <w:sz w:val="32"/>
          <w:szCs w:val="32"/>
          <w:highlight w:val="none"/>
        </w:rPr>
      </w:pPr>
      <w:bookmarkStart w:id="415" w:name="_Toc6221"/>
      <w:r>
        <w:rPr>
          <w:rFonts w:hint="eastAsia" w:asciiTheme="minorEastAsia" w:hAnsiTheme="minorEastAsia" w:eastAsiaTheme="minorEastAsia" w:cstheme="minorEastAsia"/>
          <w:color w:val="auto"/>
          <w:sz w:val="32"/>
          <w:szCs w:val="32"/>
          <w:highlight w:val="none"/>
        </w:rPr>
        <w:t>三、</w:t>
      </w:r>
      <w:bookmarkEnd w:id="415"/>
      <w:r>
        <w:rPr>
          <w:rFonts w:hint="eastAsia" w:asciiTheme="minorEastAsia" w:hAnsiTheme="minorEastAsia" w:eastAsiaTheme="minorEastAsia" w:cstheme="minorEastAsia"/>
          <w:b/>
          <w:color w:val="auto"/>
          <w:sz w:val="32"/>
          <w:szCs w:val="32"/>
          <w:highlight w:val="none"/>
        </w:rPr>
        <w:t>投标人针对报价需要说明的其他文件和说明</w:t>
      </w:r>
    </w:p>
    <w:p>
      <w:pPr>
        <w:pStyle w:val="5"/>
        <w:keepNext w:val="0"/>
        <w:keepLines w:val="0"/>
        <w:pageBreakBefore/>
        <w:widowControl/>
        <w:spacing w:before="100" w:beforeAutospacing="1" w:after="100" w:afterAutospacing="1" w:line="360" w:lineRule="auto"/>
        <w:ind w:left="1290" w:firstLine="3092" w:firstLineChars="700"/>
        <w:rPr>
          <w:rFonts w:hint="eastAsia" w:asciiTheme="minorEastAsia" w:hAnsiTheme="minorEastAsia" w:eastAsiaTheme="minorEastAsia" w:cstheme="minorEastAsia"/>
          <w:color w:val="auto"/>
          <w:highlight w:val="none"/>
        </w:rPr>
      </w:pPr>
      <w:bookmarkStart w:id="416" w:name="_Toc465665161"/>
      <w:bookmarkStart w:id="417" w:name="_Toc20518"/>
      <w:r>
        <w:rPr>
          <w:rFonts w:hint="eastAsia" w:asciiTheme="minorEastAsia" w:hAnsiTheme="minorEastAsia" w:eastAsiaTheme="minorEastAsia" w:cstheme="minorEastAsia"/>
          <w:color w:val="auto"/>
          <w:highlight w:val="none"/>
        </w:rPr>
        <w:t>附件</w:t>
      </w:r>
      <w:bookmarkEnd w:id="416"/>
      <w:bookmarkEnd w:id="417"/>
    </w:p>
    <w:p>
      <w:pPr>
        <w:spacing w:line="360" w:lineRule="auto"/>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附件1：</w:t>
      </w:r>
    </w:p>
    <w:p>
      <w:pPr>
        <w:spacing w:line="360" w:lineRule="auto"/>
        <w:jc w:val="center"/>
        <w:rPr>
          <w:rFonts w:hint="eastAsia" w:asciiTheme="minorEastAsia" w:hAnsiTheme="minorEastAsia" w:eastAsiaTheme="minorEastAsia" w:cstheme="minorEastAsia"/>
          <w:b/>
          <w:color w:val="auto"/>
          <w:spacing w:val="6"/>
          <w:sz w:val="32"/>
          <w:szCs w:val="32"/>
          <w:highlight w:val="none"/>
        </w:rPr>
      </w:pPr>
      <w:bookmarkStart w:id="418" w:name="OLE_LINK13"/>
      <w:bookmarkStart w:id="419" w:name="OLE_LINK14"/>
      <w:r>
        <w:rPr>
          <w:rFonts w:hint="eastAsia" w:asciiTheme="minorEastAsia" w:hAnsiTheme="minorEastAsia" w:eastAsiaTheme="minorEastAsia" w:cstheme="minorEastAsia"/>
          <w:b/>
          <w:color w:val="auto"/>
          <w:spacing w:val="6"/>
          <w:sz w:val="32"/>
          <w:szCs w:val="32"/>
          <w:highlight w:val="none"/>
        </w:rPr>
        <w:t>残疾人福利性单位声明函</w:t>
      </w:r>
    </w:p>
    <w:bookmarkEnd w:id="418"/>
    <w:bookmarkEnd w:id="419"/>
    <w:p>
      <w:pPr>
        <w:spacing w:line="360" w:lineRule="auto"/>
        <w:rPr>
          <w:rFonts w:hint="eastAsia" w:asciiTheme="minorEastAsia" w:hAnsiTheme="minorEastAsia" w:eastAsiaTheme="minorEastAsia" w:cstheme="minorEastAsia"/>
          <w:b/>
          <w:color w:val="auto"/>
          <w:spacing w:val="6"/>
          <w:sz w:val="30"/>
          <w:szCs w:val="30"/>
          <w:highlight w:val="none"/>
        </w:rPr>
      </w:pP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本单位郑重声明，根据《财政部民政部中国残疾人联合会关于促进残疾人就业政府采购政策的通知》（财库〔2017〕 141号）的规定，本单位为符合条件的残疾人福利性单位，且本单位参加_</w:t>
      </w:r>
      <w:r>
        <w:rPr>
          <w:rFonts w:hint="eastAsia" w:asciiTheme="minorEastAsia" w:hAnsiTheme="minorEastAsia" w:eastAsiaTheme="minorEastAsia" w:cstheme="minorEastAsia"/>
          <w:color w:val="auto"/>
          <w:sz w:val="24"/>
          <w:highlight w:val="none"/>
          <w:u w:val="single"/>
        </w:rPr>
        <w:t>（采购人）</w:t>
      </w:r>
      <w:r>
        <w:rPr>
          <w:rFonts w:hint="eastAsia" w:asciiTheme="minorEastAsia" w:hAnsiTheme="minorEastAsia" w:eastAsiaTheme="minorEastAsia" w:cstheme="minorEastAsia"/>
          <w:color w:val="auto"/>
          <w:sz w:val="24"/>
          <w:highlight w:val="none"/>
        </w:rPr>
        <w:t>_单位的_</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pPr>
        <w:spacing w:line="360" w:lineRule="auto"/>
        <w:ind w:firstLine="480" w:firstLineChars="200"/>
        <w:rPr>
          <w:rFonts w:hint="eastAsia" w:asciiTheme="minorEastAsia" w:hAnsiTheme="minorEastAsia" w:eastAsiaTheme="minorEastAsia" w:cstheme="minorEastAsia"/>
          <w:color w:val="auto"/>
          <w:sz w:val="24"/>
          <w:highlight w:val="none"/>
        </w:rPr>
      </w:pPr>
    </w:p>
    <w:p>
      <w:pPr>
        <w:spacing w:line="360" w:lineRule="auto"/>
        <w:ind w:firstLine="480" w:firstLineChars="200"/>
        <w:rPr>
          <w:rFonts w:hint="eastAsia" w:asciiTheme="minorEastAsia" w:hAnsiTheme="minorEastAsia" w:eastAsiaTheme="minorEastAsia" w:cstheme="minorEastAsia"/>
          <w:color w:val="auto"/>
          <w:sz w:val="24"/>
          <w:highlight w:val="none"/>
        </w:rPr>
      </w:pPr>
    </w:p>
    <w:p>
      <w:pPr>
        <w:tabs>
          <w:tab w:val="left" w:pos="4860"/>
        </w:tabs>
        <w:spacing w:line="360" w:lineRule="auto"/>
        <w:ind w:right="1560"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投标人名称(盖章)</w:t>
      </w:r>
      <w:r>
        <w:rPr>
          <w:rFonts w:hint="eastAsia" w:asciiTheme="minorEastAsia" w:hAnsiTheme="minorEastAsia" w:eastAsiaTheme="minorEastAsia" w:cstheme="minorEastAsia"/>
          <w:color w:val="auto"/>
          <w:sz w:val="24"/>
          <w:highlight w:val="none"/>
        </w:rPr>
        <w:t>：</w:t>
      </w:r>
    </w:p>
    <w:p>
      <w:pPr>
        <w:tabs>
          <w:tab w:val="left" w:pos="4860"/>
        </w:tabs>
        <w:spacing w:line="360" w:lineRule="auto"/>
        <w:ind w:right="1560"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w:t>
      </w:r>
    </w:p>
    <w:p>
      <w:pPr>
        <w:spacing w:line="360" w:lineRule="auto"/>
        <w:ind w:firstLine="480" w:firstLineChars="200"/>
        <w:rPr>
          <w:rFonts w:hint="eastAsia" w:asciiTheme="minorEastAsia" w:hAnsiTheme="minorEastAsia" w:eastAsiaTheme="minorEastAsia" w:cstheme="minorEastAsia"/>
          <w:color w:val="auto"/>
          <w:sz w:val="24"/>
          <w:highlight w:val="none"/>
        </w:rPr>
      </w:pPr>
    </w:p>
    <w:p>
      <w:pPr>
        <w:spacing w:line="360" w:lineRule="auto"/>
        <w:ind w:firstLine="420" w:firstLineChars="200"/>
        <w:rPr>
          <w:rFonts w:hint="eastAsia" w:asciiTheme="minorEastAsia" w:hAnsiTheme="minorEastAsia" w:eastAsiaTheme="minorEastAsia" w:cstheme="minorEastAsia"/>
          <w:color w:val="auto"/>
          <w:highlight w:val="none"/>
        </w:rPr>
      </w:pPr>
    </w:p>
    <w:p>
      <w:pPr>
        <w:spacing w:line="360" w:lineRule="auto"/>
        <w:ind w:firstLine="420" w:firstLineChars="200"/>
        <w:rPr>
          <w:rFonts w:hint="eastAsia" w:asciiTheme="minorEastAsia" w:hAnsiTheme="minorEastAsia" w:eastAsiaTheme="minorEastAsia" w:cstheme="minorEastAsia"/>
          <w:color w:val="auto"/>
          <w:highlight w:val="none"/>
        </w:rPr>
      </w:pPr>
    </w:p>
    <w:p>
      <w:pPr>
        <w:spacing w:line="360" w:lineRule="auto"/>
        <w:ind w:firstLine="420" w:firstLineChars="200"/>
        <w:rPr>
          <w:rFonts w:hint="eastAsia" w:asciiTheme="minorEastAsia" w:hAnsiTheme="minorEastAsia" w:eastAsiaTheme="minorEastAsia" w:cstheme="minorEastAsia"/>
          <w:color w:val="auto"/>
          <w:highlight w:val="none"/>
        </w:rPr>
      </w:pPr>
    </w:p>
    <w:p>
      <w:pPr>
        <w:spacing w:line="360" w:lineRule="auto"/>
        <w:ind w:firstLine="420" w:firstLineChars="200"/>
        <w:rPr>
          <w:rFonts w:hint="eastAsia" w:asciiTheme="minorEastAsia" w:hAnsiTheme="minorEastAsia" w:eastAsiaTheme="minorEastAsia" w:cstheme="minorEastAsia"/>
          <w:color w:val="auto"/>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附件2：质疑函范本及制作说明</w:t>
      </w:r>
    </w:p>
    <w:p>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质疑函范本</w:t>
      </w:r>
    </w:p>
    <w:p>
      <w:pPr>
        <w:snapToGrid w:val="0"/>
        <w:spacing w:before="240" w:beforeLines="100"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一、质疑供应商基本信息</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质疑供应商：</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地址：邮编：</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联系人：联系电话：</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地址：邮编：</w:t>
      </w:r>
    </w:p>
    <w:p>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二、质疑项目基本情况</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质疑项目的名称：</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质疑项目的编号：包号：</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采购人名称：</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采购文件获取日期：</w:t>
      </w:r>
    </w:p>
    <w:p>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三、质疑事项具体内容</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质疑事项1：</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事实依据：</w:t>
      </w:r>
    </w:p>
    <w:p>
      <w:pPr>
        <w:snapToGrid w:val="0"/>
        <w:spacing w:line="360" w:lineRule="auto"/>
        <w:rPr>
          <w:rFonts w:hint="eastAsia" w:asciiTheme="minorEastAsia" w:hAnsiTheme="minorEastAsia" w:eastAsiaTheme="minorEastAsia" w:cstheme="minorEastAsia"/>
          <w:color w:val="auto"/>
          <w:sz w:val="24"/>
          <w:highlight w:val="none"/>
        </w:rPr>
      </w:pP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法律依据：</w:t>
      </w:r>
    </w:p>
    <w:p>
      <w:pPr>
        <w:snapToGrid w:val="0"/>
        <w:spacing w:line="360" w:lineRule="auto"/>
        <w:rPr>
          <w:rFonts w:hint="eastAsia" w:asciiTheme="minorEastAsia" w:hAnsiTheme="minorEastAsia" w:eastAsiaTheme="minorEastAsia" w:cstheme="minorEastAsia"/>
          <w:color w:val="auto"/>
          <w:sz w:val="24"/>
          <w:highlight w:val="none"/>
          <w:u w:val="dotted"/>
        </w:rPr>
      </w:pP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质疑事项2</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四、与质疑事项相关的质疑请求</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请求：</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签字(签章)：公章：</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w:t>
      </w:r>
    </w:p>
    <w:p>
      <w:pPr>
        <w:spacing w:line="360" w:lineRule="auto"/>
        <w:jc w:val="center"/>
        <w:rPr>
          <w:rFonts w:hint="eastAsia" w:asciiTheme="minorEastAsia" w:hAnsiTheme="minorEastAsia" w:eastAsiaTheme="minorEastAsia" w:cstheme="minorEastAsia"/>
          <w:b/>
          <w:bCs/>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质疑函制作说明：</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1.供应商提出质疑时，应提交质疑函和必要的证明材料。</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5.质疑函的质疑请求应与质疑事项相关。</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Theme="minorEastAsia" w:hAnsiTheme="minorEastAsia" w:eastAsiaTheme="minorEastAsia" w:cstheme="minorEastAsia"/>
          <w:color w:val="auto"/>
          <w:sz w:val="30"/>
          <w:szCs w:val="30"/>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left"/>
        <w:rPr>
          <w:rFonts w:hint="eastAsia" w:asciiTheme="minorEastAsia" w:hAnsiTheme="minorEastAsia" w:eastAsiaTheme="minorEastAsia" w:cstheme="minorEastAsia"/>
          <w:b/>
          <w:color w:val="auto"/>
          <w:spacing w:val="6"/>
          <w:sz w:val="32"/>
          <w:szCs w:val="32"/>
          <w:highlight w:val="none"/>
        </w:rPr>
      </w:pPr>
    </w:p>
    <w:p>
      <w:pPr>
        <w:spacing w:line="360" w:lineRule="auto"/>
        <w:jc w:val="left"/>
        <w:rPr>
          <w:rFonts w:hint="eastAsia" w:asciiTheme="minorEastAsia" w:hAnsiTheme="minorEastAsia" w:eastAsiaTheme="minorEastAsia" w:cstheme="minorEastAsia"/>
          <w:b/>
          <w:color w:val="auto"/>
          <w:spacing w:val="6"/>
          <w:sz w:val="32"/>
          <w:szCs w:val="32"/>
          <w:highlight w:val="none"/>
        </w:rPr>
      </w:pPr>
    </w:p>
    <w:p>
      <w:pPr>
        <w:spacing w:line="360" w:lineRule="auto"/>
        <w:jc w:val="left"/>
        <w:rPr>
          <w:rFonts w:hint="eastAsia" w:asciiTheme="minorEastAsia" w:hAnsiTheme="minorEastAsia" w:eastAsiaTheme="minorEastAsia" w:cstheme="minorEastAsia"/>
          <w:b/>
          <w:color w:val="auto"/>
          <w:spacing w:val="6"/>
          <w:sz w:val="32"/>
          <w:szCs w:val="32"/>
          <w:highlight w:val="none"/>
        </w:rPr>
      </w:pPr>
    </w:p>
    <w:p>
      <w:pPr>
        <w:spacing w:line="360" w:lineRule="auto"/>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附件3：投诉书范本及制作说明</w:t>
      </w:r>
    </w:p>
    <w:p>
      <w:pPr>
        <w:spacing w:line="360" w:lineRule="auto"/>
        <w:jc w:val="center"/>
        <w:rPr>
          <w:rFonts w:hint="eastAsia" w:asciiTheme="minorEastAsia" w:hAnsiTheme="minorEastAsia" w:eastAsiaTheme="minorEastAsia" w:cstheme="minorEastAsia"/>
          <w:b/>
          <w:color w:val="auto"/>
          <w:sz w:val="24"/>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投诉书范本</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一、投诉相关主体基本情况</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地址：邮编：</w:t>
      </w:r>
    </w:p>
    <w:p>
      <w:pPr>
        <w:tabs>
          <w:tab w:val="left" w:pos="6510"/>
        </w:tabs>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法定代表人/主要负责人：</w:t>
      </w:r>
    </w:p>
    <w:p>
      <w:pPr>
        <w:tabs>
          <w:tab w:val="left" w:pos="6510"/>
        </w:tabs>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联系电话：</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授权代表：联系电话</w:t>
      </w:r>
      <w:r>
        <w:rPr>
          <w:rFonts w:hint="eastAsia" w:asciiTheme="minorEastAsia" w:hAnsiTheme="minorEastAsia" w:eastAsiaTheme="minorEastAsia" w:cstheme="minorEastAsia"/>
          <w:color w:val="auto"/>
          <w:sz w:val="24"/>
          <w:highlight w:val="none"/>
          <w:u w:val="dotted"/>
        </w:rPr>
        <w:t>：</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地址：邮编：</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被投诉人1：</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地址：邮编：</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联系人：联系电话：</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被投诉人2</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相关供应商：</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地址：邮编：</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联系人：联系电话：</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二、投诉项目基本情况</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采购项目名称：</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采购项目编号：包号：</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采购人名称：</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代理机构名称：</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采购文件公告:</w:t>
      </w:r>
      <w:r>
        <w:rPr>
          <w:rFonts w:hint="eastAsia" w:asciiTheme="minorEastAsia" w:hAnsiTheme="minorEastAsia" w:eastAsiaTheme="minorEastAsia" w:cstheme="minorEastAsia"/>
          <w:color w:val="auto"/>
          <w:sz w:val="24"/>
          <w:highlight w:val="none"/>
          <w:u w:val="dotted"/>
        </w:rPr>
        <w:t>是/否</w:t>
      </w:r>
      <w:r>
        <w:rPr>
          <w:rFonts w:hint="eastAsia" w:asciiTheme="minorEastAsia" w:hAnsiTheme="minorEastAsia" w:eastAsiaTheme="minorEastAsia" w:cstheme="minorEastAsia"/>
          <w:color w:val="auto"/>
          <w:sz w:val="24"/>
          <w:highlight w:val="none"/>
        </w:rPr>
        <w:t>公告期限：</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采购结果公告:</w:t>
      </w:r>
      <w:r>
        <w:rPr>
          <w:rFonts w:hint="eastAsia" w:asciiTheme="minorEastAsia" w:hAnsiTheme="minorEastAsia" w:eastAsiaTheme="minorEastAsia" w:cstheme="minorEastAsia"/>
          <w:color w:val="auto"/>
          <w:sz w:val="24"/>
          <w:highlight w:val="none"/>
          <w:u w:val="dotted"/>
        </w:rPr>
        <w:t>是/否</w:t>
      </w:r>
      <w:r>
        <w:rPr>
          <w:rFonts w:hint="eastAsia" w:asciiTheme="minorEastAsia" w:hAnsiTheme="minorEastAsia" w:eastAsiaTheme="minorEastAsia" w:cstheme="minorEastAsia"/>
          <w:color w:val="auto"/>
          <w:sz w:val="24"/>
          <w:highlight w:val="none"/>
        </w:rPr>
        <w:t>公告期限：</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三、质疑基本情况</w:t>
      </w:r>
    </w:p>
    <w:p>
      <w:pPr>
        <w:spacing w:line="360" w:lineRule="auto"/>
        <w:ind w:firstLine="480" w:firstLineChars="200"/>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投诉人于年月日,向提出质疑，质疑事项为：</w:t>
      </w:r>
    </w:p>
    <w:p>
      <w:pPr>
        <w:spacing w:line="360" w:lineRule="auto"/>
        <w:rPr>
          <w:rFonts w:hint="eastAsia" w:asciiTheme="minorEastAsia" w:hAnsiTheme="minorEastAsia" w:eastAsiaTheme="minorEastAsia" w:cstheme="minorEastAsia"/>
          <w:color w:val="auto"/>
          <w:sz w:val="24"/>
          <w:highlight w:val="none"/>
          <w:u w:val="dotted"/>
        </w:rPr>
      </w:pPr>
    </w:p>
    <w:p>
      <w:pPr>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采购人/代理机构</w:t>
      </w:r>
      <w:r>
        <w:rPr>
          <w:rFonts w:hint="eastAsia" w:asciiTheme="minorEastAsia" w:hAnsiTheme="minorEastAsia" w:eastAsiaTheme="minorEastAsia" w:cstheme="minorEastAsia"/>
          <w:color w:val="auto"/>
          <w:sz w:val="24"/>
          <w:highlight w:val="none"/>
        </w:rPr>
        <w:t>于年月日,就质疑事项作出了答复/没有在法定期限内作出答复。</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四、投诉事项具体内容</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投诉事项 1：</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事实依据：</w:t>
      </w:r>
    </w:p>
    <w:p>
      <w:pPr>
        <w:spacing w:line="360" w:lineRule="auto"/>
        <w:rPr>
          <w:rFonts w:hint="eastAsia" w:asciiTheme="minorEastAsia" w:hAnsiTheme="minorEastAsia" w:eastAsiaTheme="minorEastAsia" w:cstheme="minorEastAsia"/>
          <w:color w:val="auto"/>
          <w:sz w:val="24"/>
          <w:highlight w:val="none"/>
          <w:u w:val="dotted"/>
        </w:rPr>
      </w:pP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法律依据：</w:t>
      </w:r>
    </w:p>
    <w:p>
      <w:pPr>
        <w:spacing w:line="360" w:lineRule="auto"/>
        <w:rPr>
          <w:rFonts w:hint="eastAsia" w:asciiTheme="minorEastAsia" w:hAnsiTheme="minorEastAsia" w:eastAsiaTheme="minorEastAsia" w:cstheme="minorEastAsia"/>
          <w:color w:val="auto"/>
          <w:sz w:val="24"/>
          <w:highlight w:val="none"/>
          <w:u w:val="dotted"/>
        </w:rPr>
      </w:pP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投诉事项2</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五、与投诉事项相关的投诉请求</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请求：</w:t>
      </w:r>
    </w:p>
    <w:p>
      <w:pPr>
        <w:spacing w:line="360" w:lineRule="auto"/>
        <w:rPr>
          <w:rFonts w:hint="eastAsia" w:asciiTheme="minorEastAsia" w:hAnsiTheme="minorEastAsia" w:eastAsiaTheme="minorEastAsia" w:cstheme="minorEastAsia"/>
          <w:color w:val="auto"/>
          <w:sz w:val="24"/>
          <w:highlight w:val="none"/>
          <w:u w:val="single"/>
        </w:rPr>
      </w:pP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签字(签章)：公章：</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w:t>
      </w: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投诉书制作说明：</w:t>
      </w:r>
    </w:p>
    <w:p>
      <w:pPr>
        <w:widowControl/>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6.投诉书的投诉请求应与投诉事项相关。</w:t>
      </w:r>
    </w:p>
    <w:p>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Theme="minorEastAsia" w:hAnsiTheme="minorEastAsia" w:eastAsiaTheme="minorEastAsia" w:cstheme="minorEastAsia"/>
          <w:b/>
          <w:color w:val="auto"/>
          <w:sz w:val="24"/>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snapToGrid w:val="0"/>
        <w:spacing w:line="360" w:lineRule="auto"/>
        <w:jc w:val="center"/>
        <w:outlineLvl w:val="0"/>
        <w:rPr>
          <w:rFonts w:hint="eastAsia" w:asciiTheme="minorEastAsia" w:hAnsiTheme="minorEastAsia" w:eastAsiaTheme="minorEastAsia" w:cstheme="minorEastAsia"/>
          <w:b/>
          <w:color w:val="auto"/>
          <w:kern w:val="0"/>
          <w:sz w:val="44"/>
          <w:szCs w:val="44"/>
          <w:highlight w:val="none"/>
        </w:rPr>
      </w:pPr>
      <w:bookmarkStart w:id="420" w:name="_Toc14912"/>
      <w:r>
        <w:rPr>
          <w:rFonts w:hint="eastAsia" w:asciiTheme="minorEastAsia" w:hAnsiTheme="minorEastAsia" w:eastAsiaTheme="minorEastAsia" w:cstheme="minorEastAsia"/>
          <w:b/>
          <w:color w:val="auto"/>
          <w:kern w:val="0"/>
          <w:sz w:val="44"/>
          <w:szCs w:val="44"/>
          <w:highlight w:val="none"/>
        </w:rPr>
        <w:br w:type="page"/>
      </w:r>
    </w:p>
    <w:p>
      <w:pPr>
        <w:snapToGrid w:val="0"/>
        <w:spacing w:line="360" w:lineRule="auto"/>
        <w:jc w:val="center"/>
        <w:outlineLvl w:val="0"/>
        <w:rPr>
          <w:rFonts w:hint="eastAsia" w:asciiTheme="minorEastAsia" w:hAnsiTheme="minorEastAsia" w:eastAsiaTheme="minorEastAsia" w:cstheme="minorEastAsia"/>
          <w:b/>
          <w:color w:val="auto"/>
          <w:kern w:val="0"/>
          <w:sz w:val="44"/>
          <w:szCs w:val="44"/>
          <w:highlight w:val="none"/>
        </w:rPr>
      </w:pPr>
      <w:r>
        <w:rPr>
          <w:rFonts w:hint="eastAsia" w:asciiTheme="minorEastAsia" w:hAnsiTheme="minorEastAsia" w:eastAsiaTheme="minorEastAsia" w:cstheme="minorEastAsia"/>
          <w:b/>
          <w:color w:val="auto"/>
          <w:kern w:val="0"/>
          <w:sz w:val="44"/>
          <w:szCs w:val="44"/>
          <w:highlight w:val="none"/>
        </w:rPr>
        <w:t>附件4：中小企业声明函</w:t>
      </w:r>
      <w:bookmarkEnd w:id="420"/>
    </w:p>
    <w:p>
      <w:pPr>
        <w:spacing w:line="360" w:lineRule="auto"/>
        <w:jc w:val="center"/>
        <w:rPr>
          <w:rFonts w:hint="eastAsia" w:asciiTheme="minorEastAsia" w:hAnsiTheme="minorEastAsia" w:eastAsiaTheme="minorEastAsia" w:cstheme="minorEastAsia"/>
          <w:color w:val="auto"/>
          <w:sz w:val="24"/>
          <w:highlight w:val="none"/>
          <w:u w:val="single"/>
        </w:rPr>
      </w:pPr>
    </w:p>
    <w:p>
      <w:pPr>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中小企业声明函（货物）</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本公司（联合体）郑重声明，根据《政府采购促进中小企业发展管理办法》（财库﹝2020﹞46 号）的规定，本公司（联合体）参加</w:t>
      </w:r>
      <w:r>
        <w:rPr>
          <w:rFonts w:hint="eastAsia" w:asciiTheme="minorEastAsia" w:hAnsiTheme="minorEastAsia" w:eastAsiaTheme="minorEastAsia" w:cstheme="minorEastAsia"/>
          <w:color w:val="auto"/>
          <w:sz w:val="24"/>
          <w:highlight w:val="none"/>
          <w:u w:val="single"/>
        </w:rPr>
        <w:t>（采购人）</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u w:val="single"/>
        </w:rPr>
        <w:t>（双人位公寓床）</w:t>
      </w: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（工业）</w:t>
      </w:r>
      <w:r>
        <w:rPr>
          <w:rFonts w:hint="eastAsia" w:asciiTheme="minorEastAsia" w:hAnsiTheme="minorEastAsia" w:eastAsiaTheme="minorEastAsia" w:cstheme="minorEastAsia"/>
          <w:color w:val="auto"/>
          <w:sz w:val="24"/>
          <w:highlight w:val="none"/>
        </w:rPr>
        <w:t>行业；制造商为</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，从业人员人，营业收入为万元，资产总额为万元，属于</w:t>
      </w:r>
      <w:r>
        <w:rPr>
          <w:rFonts w:hint="eastAsia" w:asciiTheme="minorEastAsia" w:hAnsiTheme="minorEastAsia" w:eastAsiaTheme="minorEastAsia" w:cstheme="minorEastAsia"/>
          <w:color w:val="auto"/>
          <w:sz w:val="24"/>
          <w:highlight w:val="none"/>
          <w:u w:val="single"/>
        </w:rPr>
        <w:t>（中型企业、小型企业、微型企业）</w:t>
      </w:r>
      <w:r>
        <w:rPr>
          <w:rFonts w:hint="eastAsia" w:asciiTheme="minorEastAsia" w:hAnsiTheme="minorEastAsia" w:eastAsiaTheme="minorEastAsia" w:cstheme="minorEastAsia"/>
          <w:color w:val="auto"/>
          <w:sz w:val="24"/>
          <w:highlight w:val="none"/>
        </w:rPr>
        <w:t>；</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u w:val="single"/>
        </w:rPr>
        <w:t>（4人组合柜）</w:t>
      </w: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（工业）</w:t>
      </w:r>
      <w:r>
        <w:rPr>
          <w:rFonts w:hint="eastAsia" w:asciiTheme="minorEastAsia" w:hAnsiTheme="minorEastAsia" w:eastAsiaTheme="minorEastAsia" w:cstheme="minorEastAsia"/>
          <w:color w:val="auto"/>
          <w:sz w:val="24"/>
          <w:highlight w:val="none"/>
        </w:rPr>
        <w:t>行业；制造商为</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，从业人员人，营业收入为万元，资产总额为万元，属于</w:t>
      </w:r>
      <w:r>
        <w:rPr>
          <w:rFonts w:hint="eastAsia" w:asciiTheme="minorEastAsia" w:hAnsiTheme="minorEastAsia" w:eastAsiaTheme="minorEastAsia" w:cstheme="minorEastAsia"/>
          <w:color w:val="auto"/>
          <w:sz w:val="24"/>
          <w:highlight w:val="none"/>
          <w:u w:val="single"/>
        </w:rPr>
        <w:t>（中型企业、小型企业、微型企业）</w:t>
      </w:r>
      <w:r>
        <w:rPr>
          <w:rFonts w:hint="eastAsia" w:asciiTheme="minorEastAsia" w:hAnsiTheme="minorEastAsia" w:eastAsiaTheme="minorEastAsia" w:cstheme="minorEastAsia"/>
          <w:color w:val="auto"/>
          <w:sz w:val="24"/>
          <w:highlight w:val="none"/>
        </w:rPr>
        <w:t>；</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u w:val="single"/>
        </w:rPr>
        <w:t>（公寓椅）</w:t>
      </w: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（工业）</w:t>
      </w:r>
      <w:r>
        <w:rPr>
          <w:rFonts w:hint="eastAsia" w:asciiTheme="minorEastAsia" w:hAnsiTheme="minorEastAsia" w:eastAsiaTheme="minorEastAsia" w:cstheme="minorEastAsia"/>
          <w:color w:val="auto"/>
          <w:sz w:val="24"/>
          <w:highlight w:val="none"/>
        </w:rPr>
        <w:t>行业；制造商为</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，从业人员人，营业收入为万元，资产总额为万元，属于</w:t>
      </w:r>
      <w:r>
        <w:rPr>
          <w:rFonts w:hint="eastAsia" w:asciiTheme="minorEastAsia" w:hAnsiTheme="minorEastAsia" w:eastAsiaTheme="minorEastAsia" w:cstheme="minorEastAsia"/>
          <w:color w:val="auto"/>
          <w:sz w:val="24"/>
          <w:highlight w:val="none"/>
          <w:u w:val="single"/>
        </w:rPr>
        <w:t>（中型企业、小型企业、微型企业）</w:t>
      </w:r>
      <w:r>
        <w:rPr>
          <w:rFonts w:hint="eastAsia" w:asciiTheme="minorEastAsia" w:hAnsiTheme="minorEastAsia" w:eastAsiaTheme="minorEastAsia" w:cstheme="minorEastAsia"/>
          <w:color w:val="auto"/>
          <w:sz w:val="24"/>
          <w:highlight w:val="none"/>
        </w:rPr>
        <w:t>；</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u w:val="single"/>
        </w:rPr>
        <w:t>（无障碍单人床）</w:t>
      </w: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（工业）</w:t>
      </w:r>
      <w:r>
        <w:rPr>
          <w:rFonts w:hint="eastAsia" w:asciiTheme="minorEastAsia" w:hAnsiTheme="minorEastAsia" w:eastAsiaTheme="minorEastAsia" w:cstheme="minorEastAsia"/>
          <w:color w:val="auto"/>
          <w:sz w:val="24"/>
          <w:highlight w:val="none"/>
        </w:rPr>
        <w:t>行业；制造商为</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，从业人员人，营业收入为万元，资产总额为万元，属于</w:t>
      </w:r>
      <w:r>
        <w:rPr>
          <w:rFonts w:hint="eastAsia" w:asciiTheme="minorEastAsia" w:hAnsiTheme="minorEastAsia" w:eastAsiaTheme="minorEastAsia" w:cstheme="minorEastAsia"/>
          <w:color w:val="auto"/>
          <w:sz w:val="24"/>
          <w:highlight w:val="none"/>
          <w:u w:val="single"/>
        </w:rPr>
        <w:t>（中型企业、小型企业、微型企业）</w:t>
      </w:r>
      <w:r>
        <w:rPr>
          <w:rFonts w:hint="eastAsia" w:asciiTheme="minorEastAsia" w:hAnsiTheme="minorEastAsia" w:eastAsiaTheme="minorEastAsia" w:cstheme="minorEastAsia"/>
          <w:color w:val="auto"/>
          <w:sz w:val="24"/>
          <w:highlight w:val="none"/>
        </w:rPr>
        <w:t>；</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u w:val="single"/>
        </w:rPr>
        <w:t>（衣柜）</w:t>
      </w: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（工业）</w:t>
      </w:r>
      <w:r>
        <w:rPr>
          <w:rFonts w:hint="eastAsia" w:asciiTheme="minorEastAsia" w:hAnsiTheme="minorEastAsia" w:eastAsiaTheme="minorEastAsia" w:cstheme="minorEastAsia"/>
          <w:color w:val="auto"/>
          <w:sz w:val="24"/>
          <w:highlight w:val="none"/>
        </w:rPr>
        <w:t>行业；制造商为</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，从业人员人，营业收入为万元，资产总额为万元，属于</w:t>
      </w:r>
      <w:r>
        <w:rPr>
          <w:rFonts w:hint="eastAsia" w:asciiTheme="minorEastAsia" w:hAnsiTheme="minorEastAsia" w:eastAsiaTheme="minorEastAsia" w:cstheme="minorEastAsia"/>
          <w:color w:val="auto"/>
          <w:sz w:val="24"/>
          <w:highlight w:val="none"/>
          <w:u w:val="single"/>
        </w:rPr>
        <w:t>（中型企业、小型企业、微型企业）</w:t>
      </w:r>
      <w:r>
        <w:rPr>
          <w:rFonts w:hint="eastAsia" w:asciiTheme="minorEastAsia" w:hAnsiTheme="minorEastAsia" w:eastAsiaTheme="minorEastAsia" w:cstheme="minorEastAsia"/>
          <w:color w:val="auto"/>
          <w:sz w:val="24"/>
          <w:highlight w:val="none"/>
        </w:rPr>
        <w:t>；</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r>
        <w:rPr>
          <w:rFonts w:hint="eastAsia" w:asciiTheme="minorEastAsia" w:hAnsiTheme="minorEastAsia" w:eastAsiaTheme="minorEastAsia" w:cstheme="minorEastAsia"/>
          <w:color w:val="auto"/>
          <w:sz w:val="24"/>
          <w:highlight w:val="none"/>
          <w:u w:val="single"/>
        </w:rPr>
        <w:t>（书桌）</w:t>
      </w: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（工业）</w:t>
      </w:r>
      <w:r>
        <w:rPr>
          <w:rFonts w:hint="eastAsia" w:asciiTheme="minorEastAsia" w:hAnsiTheme="minorEastAsia" w:eastAsiaTheme="minorEastAsia" w:cstheme="minorEastAsia"/>
          <w:color w:val="auto"/>
          <w:sz w:val="24"/>
          <w:highlight w:val="none"/>
        </w:rPr>
        <w:t>行业；制造商为</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，从业人员人，营业收入为万元，资产总额为万元，属于</w:t>
      </w:r>
      <w:r>
        <w:rPr>
          <w:rFonts w:hint="eastAsia" w:asciiTheme="minorEastAsia" w:hAnsiTheme="minorEastAsia" w:eastAsiaTheme="minorEastAsia" w:cstheme="minorEastAsia"/>
          <w:color w:val="auto"/>
          <w:sz w:val="24"/>
          <w:highlight w:val="none"/>
          <w:u w:val="single"/>
        </w:rPr>
        <w:t>（中型企业、小型企业、微型企业）</w:t>
      </w:r>
      <w:r>
        <w:rPr>
          <w:rFonts w:hint="eastAsia" w:asciiTheme="minorEastAsia" w:hAnsiTheme="minorEastAsia" w:eastAsiaTheme="minorEastAsia" w:cstheme="minorEastAsia"/>
          <w:color w:val="auto"/>
          <w:sz w:val="24"/>
          <w:highlight w:val="none"/>
        </w:rPr>
        <w:t>；</w:t>
      </w:r>
    </w:p>
    <w:p>
      <w:pPr>
        <w:spacing w:line="360" w:lineRule="auto"/>
        <w:ind w:firstLine="480" w:firstLineChars="200"/>
        <w:rPr>
          <w:rFonts w:hint="eastAsia" w:asciiTheme="minorEastAsia" w:hAnsiTheme="minorEastAsia" w:eastAsiaTheme="minorEastAsia" w:cstheme="minorEastAsia"/>
          <w:color w:val="auto"/>
          <w:sz w:val="24"/>
          <w:highlight w:val="none"/>
        </w:rPr>
      </w:pP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投标人名称(盖章)：</w:t>
      </w:r>
    </w:p>
    <w:p>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：年</w:t>
      </w:r>
      <w:r>
        <w:rPr>
          <w:rFonts w:hint="eastAsia" w:asciiTheme="minorEastAsia" w:hAnsiTheme="minorEastAsia" w:eastAsiaTheme="minorEastAsia" w:cstheme="minorEastAsia"/>
          <w:color w:val="auto"/>
          <w:kern w:val="0"/>
          <w:sz w:val="24"/>
          <w:highlight w:val="none"/>
          <w:lang w:val="zh-CN"/>
        </w:rPr>
        <w:t>月日</w:t>
      </w:r>
    </w:p>
    <w:p>
      <w:pPr>
        <w:spacing w:line="360" w:lineRule="auto"/>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pPr>
        <w:spacing w:line="360" w:lineRule="auto"/>
        <w:ind w:right="42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本项目属性为货物，采购标的对应的中小企业划分标准所属行业为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ind w:right="42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附件5：联合协议</w:t>
      </w:r>
    </w:p>
    <w:p>
      <w:pPr>
        <w:widowControl/>
        <w:spacing w:line="360" w:lineRule="auto"/>
        <w:ind w:firstLine="482" w:firstLineChars="20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组成一个联合体，以一个投标人的身份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 xml:space="preserve">投标。 </w:t>
      </w:r>
    </w:p>
    <w:p>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三、本次联合投标中，分工如下：</w:t>
      </w:r>
    </w:p>
    <w:p>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bookmarkStart w:id="421" w:name="_Hlk101134295"/>
      <w:r>
        <w:rPr>
          <w:rFonts w:hint="eastAsia" w:asciiTheme="minorEastAsia" w:hAnsiTheme="minorEastAsia" w:eastAsiaTheme="minorEastAsia" w:cstheme="minorEastAsia"/>
          <w:color w:val="auto"/>
          <w:kern w:val="0"/>
          <w:sz w:val="24"/>
          <w:highlight w:val="none"/>
          <w:u w:val="single"/>
        </w:rPr>
        <w:t>（联合体成员1）</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（联合体成员2）</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w:t>
      </w:r>
    </w:p>
    <w:bookmarkEnd w:id="421"/>
    <w:p>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四、联合体成员中小企业合同份额。</w:t>
      </w:r>
    </w:p>
    <w:p>
      <w:pPr>
        <w:snapToGrid w:val="0"/>
        <w:spacing w:line="360" w:lineRule="auto"/>
        <w:ind w:firstLine="576"/>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u w:val="single"/>
        </w:rPr>
        <w:t>（联合体成员X,……）</w:t>
      </w:r>
      <w:r>
        <w:rPr>
          <w:rFonts w:hint="eastAsia" w:asciiTheme="minorEastAsia" w:hAnsiTheme="minorEastAsia" w:eastAsiaTheme="minorEastAsia" w:cstheme="minorEastAsia"/>
          <w:color w:val="auto"/>
          <w:kern w:val="0"/>
          <w:sz w:val="24"/>
          <w:highlight w:val="none"/>
        </w:rPr>
        <w:t>提供的全部货物由小微企业制造，其合同份额占到合同总金额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Theme="minorEastAsia" w:hAnsiTheme="minorEastAsia" w:eastAsiaTheme="minorEastAsia" w:cstheme="minorEastAsia"/>
          <w:b/>
          <w:color w:val="auto"/>
          <w:sz w:val="24"/>
          <w:highlight w:val="none"/>
        </w:rPr>
        <w:t>拟享受以上价格扣除政策的，填写有关内容。</w:t>
      </w:r>
      <w:r>
        <w:rPr>
          <w:rFonts w:hint="eastAsia" w:asciiTheme="minorEastAsia" w:hAnsiTheme="minorEastAsia" w:eastAsiaTheme="minorEastAsia" w:cstheme="minorEastAsia"/>
          <w:b/>
          <w:color w:val="auto"/>
          <w:kern w:val="0"/>
          <w:sz w:val="24"/>
          <w:highlight w:val="none"/>
          <w:lang w:val="zh-CN"/>
        </w:rPr>
        <w:t>）</w:t>
      </w:r>
    </w:p>
    <w:p>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2、中小企业合同金额达到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%，其中小微企业合同金额达到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p>
    <w:p>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五、如果中标，</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六、有关本次联合投标的其他事宜：</w:t>
      </w:r>
    </w:p>
    <w:p>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pPr>
        <w:snapToGrid w:val="0"/>
        <w:spacing w:line="360" w:lineRule="auto"/>
        <w:ind w:right="960"/>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pPr>
        <w:snapToGrid w:val="0"/>
        <w:spacing w:line="360" w:lineRule="auto"/>
        <w:jc w:val="righ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pPr>
        <w:autoSpaceDE w:val="0"/>
        <w:autoSpaceDN w:val="0"/>
        <w:jc w:val="lef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p>
    <w:p>
      <w:pPr>
        <w:autoSpaceDE w:val="0"/>
        <w:autoSpaceDN w:val="0"/>
        <w:jc w:val="lef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附件6：</w:t>
      </w:r>
    </w:p>
    <w:p>
      <w:pPr>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政府采购活动现场确认声明书</w:t>
      </w:r>
    </w:p>
    <w:p>
      <w:pPr>
        <w:spacing w:line="312"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浙江致信招标代理有限公司：</w:t>
      </w:r>
    </w:p>
    <w:p>
      <w:pPr>
        <w:spacing w:line="312" w:lineRule="auto"/>
        <w:ind w:firstLine="504"/>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本人经由</w:t>
      </w:r>
      <w:r>
        <w:rPr>
          <w:rFonts w:hint="eastAsia" w:asciiTheme="minorEastAsia" w:hAnsiTheme="minorEastAsia" w:eastAsiaTheme="minorEastAsia" w:cstheme="minorEastAsia"/>
          <w:color w:val="auto"/>
          <w:spacing w:val="6"/>
          <w:sz w:val="24"/>
          <w:highlight w:val="none"/>
          <w:u w:val="single"/>
        </w:rPr>
        <w:t>（单位）</w:t>
      </w:r>
      <w:r>
        <w:rPr>
          <w:rFonts w:hint="eastAsia" w:asciiTheme="minorEastAsia" w:hAnsiTheme="minorEastAsia" w:eastAsiaTheme="minorEastAsia" w:cstheme="minorEastAsia"/>
          <w:color w:val="auto"/>
          <w:spacing w:val="6"/>
          <w:sz w:val="24"/>
          <w:highlight w:val="none"/>
        </w:rPr>
        <w:t>负责人</w:t>
      </w:r>
      <w:r>
        <w:rPr>
          <w:rFonts w:hint="eastAsia" w:asciiTheme="minorEastAsia" w:hAnsiTheme="minorEastAsia" w:eastAsiaTheme="minorEastAsia" w:cstheme="minorEastAsia"/>
          <w:color w:val="auto"/>
          <w:spacing w:val="6"/>
          <w:sz w:val="24"/>
          <w:highlight w:val="none"/>
          <w:u w:val="single"/>
        </w:rPr>
        <w:t>（法定代表人）</w:t>
      </w:r>
      <w:r>
        <w:rPr>
          <w:rFonts w:hint="eastAsia" w:asciiTheme="minorEastAsia" w:hAnsiTheme="minorEastAsia" w:eastAsiaTheme="minorEastAsia" w:cstheme="minorEastAsia"/>
          <w:color w:val="auto"/>
          <w:spacing w:val="6"/>
          <w:sz w:val="24"/>
          <w:highlight w:val="none"/>
        </w:rPr>
        <w:t>合法授权参加</w:t>
      </w:r>
      <w:r>
        <w:rPr>
          <w:rFonts w:hint="eastAsia" w:asciiTheme="minorEastAsia" w:hAnsiTheme="minorEastAsia" w:eastAsiaTheme="minorEastAsia" w:cstheme="minorEastAsia"/>
          <w:color w:val="auto"/>
          <w:spacing w:val="6"/>
          <w:sz w:val="24"/>
          <w:highlight w:val="none"/>
          <w:u w:val="single"/>
        </w:rPr>
        <w:t>浙江药科职业大学中药炮制实验实训平台采购设备</w:t>
      </w:r>
      <w:r>
        <w:rPr>
          <w:rFonts w:hint="eastAsia" w:asciiTheme="minorEastAsia" w:hAnsiTheme="minorEastAsia" w:eastAsiaTheme="minorEastAsia" w:cstheme="minorEastAsia"/>
          <w:color w:val="auto"/>
          <w:spacing w:val="6"/>
          <w:sz w:val="24"/>
          <w:highlight w:val="none"/>
        </w:rPr>
        <w:t>（编号：</w:t>
      </w:r>
      <w:r>
        <w:rPr>
          <w:rFonts w:hint="eastAsia" w:asciiTheme="minorEastAsia" w:hAnsiTheme="minorEastAsia" w:eastAsiaTheme="minorEastAsia" w:cstheme="minorEastAsia"/>
          <w:color w:val="auto"/>
          <w:spacing w:val="6"/>
          <w:sz w:val="24"/>
          <w:highlight w:val="none"/>
          <w:u w:val="single"/>
        </w:rPr>
        <w:t>ZJZX-2025023G</w:t>
      </w:r>
      <w:r>
        <w:rPr>
          <w:rFonts w:hint="eastAsia" w:asciiTheme="minorEastAsia" w:hAnsiTheme="minorEastAsia" w:eastAsiaTheme="minorEastAsia" w:cstheme="minorEastAsia"/>
          <w:color w:val="auto"/>
          <w:spacing w:val="6"/>
          <w:sz w:val="24"/>
          <w:highlight w:val="none"/>
        </w:rPr>
        <w:t>）采购活动，经与本单位法人代表（负责人）联系确认，现就有关公平竞争事项郑重声明如下：</w:t>
      </w:r>
    </w:p>
    <w:p>
      <w:pPr>
        <w:spacing w:line="312"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一、本单位与采购人之间</w:t>
      </w:r>
    </w:p>
    <w:p>
      <w:pPr>
        <w:spacing w:line="312"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□不存在利害关系</w:t>
      </w:r>
    </w:p>
    <w:p>
      <w:pPr>
        <w:spacing w:line="312"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□存在下列利害关系：</w:t>
      </w:r>
    </w:p>
    <w:p>
      <w:pPr>
        <w:spacing w:line="312"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A.投资关系  B.行政隶属关系  C.业务指导关系 D.其他可能影响采购公正的利害关系</w:t>
      </w:r>
      <w:r>
        <w:rPr>
          <w:rFonts w:hint="eastAsia" w:asciiTheme="minorEastAsia" w:hAnsiTheme="minorEastAsia" w:eastAsiaTheme="minorEastAsia" w:cstheme="minorEastAsia"/>
          <w:color w:val="auto"/>
          <w:sz w:val="24"/>
          <w:highlight w:val="none"/>
          <w:u w:val="single"/>
        </w:rPr>
        <w:t>（如有，请如实说明）</w:t>
      </w:r>
      <w:r>
        <w:rPr>
          <w:rFonts w:hint="eastAsia" w:asciiTheme="minorEastAsia" w:hAnsiTheme="minorEastAsia" w:eastAsiaTheme="minorEastAsia" w:cstheme="minorEastAsia"/>
          <w:color w:val="auto"/>
          <w:sz w:val="24"/>
          <w:highlight w:val="none"/>
        </w:rPr>
        <w:t>。</w:t>
      </w:r>
    </w:p>
    <w:p>
      <w:pPr>
        <w:spacing w:line="312" w:lineRule="auto"/>
        <w:ind w:firstLine="50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6"/>
          <w:sz w:val="24"/>
          <w:highlight w:val="none"/>
        </w:rPr>
        <w:t>二、</w:t>
      </w:r>
      <w:r>
        <w:rPr>
          <w:rFonts w:hint="eastAsia" w:asciiTheme="minorEastAsia" w:hAnsiTheme="minorEastAsia" w:eastAsiaTheme="minorEastAsia" w:cstheme="minorEastAsia"/>
          <w:color w:val="auto"/>
          <w:sz w:val="24"/>
          <w:highlight w:val="none"/>
        </w:rPr>
        <w:t>现已清楚知道参加本项目采购活动的其他所有供应商名称，本单位</w:t>
      </w:r>
    </w:p>
    <w:p>
      <w:pPr>
        <w:spacing w:line="312"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□与其他所有供应商之间均不存在利害关系</w:t>
      </w:r>
    </w:p>
    <w:p>
      <w:pPr>
        <w:spacing w:line="312"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□与</w:t>
      </w:r>
      <w:r>
        <w:rPr>
          <w:rFonts w:hint="eastAsia" w:asciiTheme="minorEastAsia" w:hAnsiTheme="minorEastAsia" w:eastAsiaTheme="minorEastAsia" w:cstheme="minorEastAsia"/>
          <w:color w:val="auto"/>
          <w:sz w:val="24"/>
          <w:highlight w:val="none"/>
          <w:u w:val="single"/>
        </w:rPr>
        <w:t>（供应商名称）</w:t>
      </w:r>
      <w:r>
        <w:rPr>
          <w:rFonts w:hint="eastAsia" w:asciiTheme="minorEastAsia" w:hAnsiTheme="minorEastAsia" w:eastAsiaTheme="minorEastAsia" w:cstheme="minorEastAsia"/>
          <w:color w:val="auto"/>
          <w:sz w:val="24"/>
          <w:highlight w:val="none"/>
        </w:rPr>
        <w:t>之间存在下列利害关系：</w:t>
      </w:r>
    </w:p>
    <w:p>
      <w:pPr>
        <w:spacing w:line="312"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A.法定代表人或负责人或实际控制人是同一人</w:t>
      </w:r>
    </w:p>
    <w:p>
      <w:pPr>
        <w:spacing w:line="312" w:lineRule="auto"/>
        <w:ind w:firstLine="480"/>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z w:val="24"/>
          <w:highlight w:val="none"/>
        </w:rPr>
        <w:t>B.法定代表人或负责人或实际控制人是夫妻关系</w:t>
      </w:r>
    </w:p>
    <w:p>
      <w:pPr>
        <w:spacing w:line="312" w:lineRule="auto"/>
        <w:ind w:firstLine="480"/>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z w:val="24"/>
          <w:highlight w:val="none"/>
        </w:rPr>
        <w:t>C.法定代表人或负责人或实际控制人是直系血亲关系</w:t>
      </w:r>
    </w:p>
    <w:p>
      <w:pPr>
        <w:spacing w:line="312" w:lineRule="auto"/>
        <w:ind w:firstLine="480"/>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z w:val="24"/>
          <w:highlight w:val="none"/>
        </w:rPr>
        <w:t>D.法定代表人或负责人或实际控制人存在三代以内旁系血亲关系</w:t>
      </w:r>
    </w:p>
    <w:p>
      <w:pPr>
        <w:spacing w:line="312"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E.法定代表人或负责人或实际控制人存在近姻亲关系</w:t>
      </w:r>
    </w:p>
    <w:p>
      <w:pPr>
        <w:spacing w:line="312"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F.法定代表人或负责人或实际控制人存在股份控制或实际控制关系</w:t>
      </w:r>
    </w:p>
    <w:p>
      <w:pPr>
        <w:spacing w:line="312"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G.存在共同直接或间接投资设立子公司、联营企业和合营企业情况</w:t>
      </w:r>
    </w:p>
    <w:p>
      <w:pPr>
        <w:spacing w:line="312"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H.存在分级代理或代销关系、同一生产制造商关系、管理关系、重要业务（占主营业务收入50%以上）或重要财务往来关系（如融资）等其他实质性控制关系</w:t>
      </w:r>
    </w:p>
    <w:p>
      <w:pPr>
        <w:spacing w:line="312" w:lineRule="auto"/>
        <w:ind w:firstLine="480"/>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z w:val="24"/>
          <w:highlight w:val="none"/>
        </w:rPr>
        <w:t>I.其他利害关系情况。</w:t>
      </w:r>
    </w:p>
    <w:p>
      <w:pPr>
        <w:spacing w:line="312"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现已清楚知道并严格遵守政府采购法律法规和现场纪律。</w:t>
      </w:r>
    </w:p>
    <w:p>
      <w:pPr>
        <w:spacing w:line="312"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我发现供应商之间存在或可能存在上述第二条第项利害关系。</w:t>
      </w:r>
    </w:p>
    <w:p>
      <w:pPr>
        <w:spacing w:line="312"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供应商代表签名：</w:t>
      </w:r>
    </w:p>
    <w:p>
      <w:pPr>
        <w:spacing w:line="312"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2025年月日</w:t>
      </w:r>
    </w:p>
    <w:p>
      <w:pPr>
        <w:spacing w:line="312" w:lineRule="auto"/>
        <w:ind w:firstLine="48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i/>
          <w:iCs/>
          <w:color w:val="auto"/>
          <w:sz w:val="24"/>
          <w:highlight w:val="none"/>
        </w:rPr>
        <w:t>注：投标文件解密结束，各供应商签署《政府采购活动现场确认声明书》，签署完成后，扫描发送至邮箱：</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"mailto:834007470@qq.com；"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i/>
          <w:iCs/>
          <w:color w:val="auto"/>
          <w:sz w:val="24"/>
          <w:highlight w:val="none"/>
        </w:rPr>
        <w:t>mjh@zxbidding.cn；</w:t>
      </w:r>
      <w:r>
        <w:rPr>
          <w:rFonts w:hint="eastAsia" w:asciiTheme="minorEastAsia" w:hAnsiTheme="minorEastAsia" w:eastAsiaTheme="minorEastAsia" w:cstheme="minorEastAsia"/>
          <w:i/>
          <w:iCs/>
          <w:color w:val="auto"/>
          <w:sz w:val="24"/>
          <w:highlight w:val="none"/>
        </w:rPr>
        <w:fldChar w:fldCharType="end"/>
      </w:r>
    </w:p>
    <w:sectPr>
      <w:headerReference r:id="rId12" w:type="default"/>
      <w:footerReference r:id="rId13" w:type="default"/>
      <w:pgSz w:w="11906" w:h="16838"/>
      <w:pgMar w:top="1247" w:right="1304" w:bottom="1020" w:left="1304" w:header="720"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decorative"/>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00"/>
    <w:family w:val="auto"/>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Segoe UI Semilight">
    <w:altName w:val="Segoe UI"/>
    <w:panose1 w:val="020B0402040204020203"/>
    <w:charset w:val="00"/>
    <w:family w:val="auto"/>
    <w:pitch w:val="default"/>
    <w:sig w:usb0="00000000" w:usb1="00000000" w:usb2="00000009" w:usb3="00000000" w:csb0="200001FF"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67"/>
      </w:rPr>
    </w:pPr>
    <w:r>
      <w:fldChar w:fldCharType="begin"/>
    </w:r>
    <w:r>
      <w:rPr>
        <w:rStyle w:val="67"/>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第</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页共</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u w:val="single"/>
      </w:rPr>
    </w:pP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5572453">
    <w:nsid w:val="3C8867E5"/>
    <w:multiLevelType w:val="multilevel"/>
    <w:tmpl w:val="3C8867E5"/>
    <w:lvl w:ilvl="0" w:tentative="1">
      <w:start w:val="1"/>
      <w:numFmt w:val="decimal"/>
      <w:lvlText w:val="%1."/>
      <w:lvlJc w:val="left"/>
      <w:pPr>
        <w:tabs>
          <w:tab w:val="left" w:pos="720"/>
        </w:tabs>
        <w:ind w:left="720" w:hanging="720"/>
      </w:pPr>
    </w:lvl>
    <w:lvl w:ilvl="1" w:tentative="1">
      <w:start w:val="1"/>
      <w:numFmt w:val="decimal"/>
      <w:lvlText w:val="%2."/>
      <w:lvlJc w:val="left"/>
      <w:pPr>
        <w:tabs>
          <w:tab w:val="left" w:pos="1440"/>
        </w:tabs>
        <w:ind w:left="1440" w:hanging="720"/>
      </w:pPr>
    </w:lvl>
    <w:lvl w:ilvl="2" w:tentative="1">
      <w:start w:val="1"/>
      <w:numFmt w:val="decimal"/>
      <w:lvlText w:val="%3."/>
      <w:lvlJc w:val="left"/>
      <w:pPr>
        <w:tabs>
          <w:tab w:val="left" w:pos="2160"/>
        </w:tabs>
        <w:ind w:left="2160" w:hanging="720"/>
      </w:pPr>
    </w:lvl>
    <w:lvl w:ilvl="3" w:tentative="1">
      <w:start w:val="1"/>
      <w:numFmt w:val="decimal"/>
      <w:lvlText w:val="%4."/>
      <w:lvlJc w:val="left"/>
      <w:pPr>
        <w:tabs>
          <w:tab w:val="left" w:pos="2880"/>
        </w:tabs>
        <w:ind w:left="2880" w:hanging="720"/>
      </w:pPr>
    </w:lvl>
    <w:lvl w:ilvl="4" w:tentative="1">
      <w:start w:val="1"/>
      <w:numFmt w:val="decimal"/>
      <w:lvlText w:val="%5."/>
      <w:lvlJc w:val="left"/>
      <w:pPr>
        <w:tabs>
          <w:tab w:val="left" w:pos="3600"/>
        </w:tabs>
        <w:ind w:left="3600" w:hanging="720"/>
      </w:pPr>
    </w:lvl>
    <w:lvl w:ilvl="5" w:tentative="1">
      <w:start w:val="1"/>
      <w:numFmt w:val="decimal"/>
      <w:lvlText w:val="%6."/>
      <w:lvlJc w:val="left"/>
      <w:pPr>
        <w:tabs>
          <w:tab w:val="left" w:pos="4320"/>
        </w:tabs>
        <w:ind w:left="4320" w:hanging="720"/>
      </w:pPr>
    </w:lvl>
    <w:lvl w:ilvl="6" w:tentative="1">
      <w:start w:val="1"/>
      <w:numFmt w:val="decimal"/>
      <w:lvlText w:val="%7."/>
      <w:lvlJc w:val="left"/>
      <w:pPr>
        <w:tabs>
          <w:tab w:val="left" w:pos="5040"/>
        </w:tabs>
        <w:ind w:left="5040" w:hanging="720"/>
      </w:pPr>
    </w:lvl>
    <w:lvl w:ilvl="7" w:tentative="1">
      <w:start w:val="1"/>
      <w:numFmt w:val="decimal"/>
      <w:lvlText w:val="%8."/>
      <w:lvlJc w:val="left"/>
      <w:pPr>
        <w:tabs>
          <w:tab w:val="left" w:pos="5760"/>
        </w:tabs>
        <w:ind w:left="5760" w:hanging="720"/>
      </w:pPr>
    </w:lvl>
    <w:lvl w:ilvl="8" w:tentative="1">
      <w:start w:val="1"/>
      <w:numFmt w:val="decimal"/>
      <w:lvlText w:val="%9."/>
      <w:lvlJc w:val="left"/>
      <w:pPr>
        <w:tabs>
          <w:tab w:val="left" w:pos="6480"/>
        </w:tabs>
        <w:ind w:left="6480" w:hanging="720"/>
      </w:pPr>
    </w:lvl>
  </w:abstractNum>
  <w:abstractNum w:abstractNumId="2084014009">
    <w:nsid w:val="7C3787B9"/>
    <w:multiLevelType w:val="singleLevel"/>
    <w:tmpl w:val="7C3787B9"/>
    <w:lvl w:ilvl="0" w:tentative="1">
      <w:start w:val="1"/>
      <w:numFmt w:val="decimal"/>
      <w:suff w:val="space"/>
      <w:lvlText w:val="5.%1"/>
      <w:lvlJc w:val="left"/>
      <w:pPr>
        <w:tabs>
          <w:tab w:val="left" w:pos="0"/>
        </w:tabs>
        <w:ind w:left="449" w:hanging="449"/>
      </w:pPr>
      <w:rPr>
        <w:rFonts w:hint="default" w:ascii="宋体" w:hAnsi="宋体" w:eastAsia="宋体" w:cs="宋体"/>
      </w:rPr>
    </w:lvl>
  </w:abstractNum>
  <w:abstractNum w:abstractNumId="2592350232">
    <w:nsid w:val="9A842018"/>
    <w:multiLevelType w:val="singleLevel"/>
    <w:tmpl w:val="9A842018"/>
    <w:lvl w:ilvl="0" w:tentative="1">
      <w:start w:val="1"/>
      <w:numFmt w:val="decimal"/>
      <w:suff w:val="space"/>
      <w:lvlText w:val="4.%1"/>
      <w:lvlJc w:val="left"/>
      <w:pPr>
        <w:tabs>
          <w:tab w:val="left" w:pos="0"/>
        </w:tabs>
        <w:ind w:left="449" w:hanging="449"/>
      </w:pPr>
      <w:rPr>
        <w:rFonts w:hint="default" w:ascii="宋体" w:hAnsi="宋体" w:eastAsia="宋体" w:cs="宋体"/>
      </w:rPr>
    </w:lvl>
  </w:abstractNum>
  <w:abstractNum w:abstractNumId="3008881273">
    <w:nsid w:val="B357E279"/>
    <w:multiLevelType w:val="singleLevel"/>
    <w:tmpl w:val="B357E279"/>
    <w:lvl w:ilvl="0" w:tentative="1">
      <w:start w:val="1"/>
      <w:numFmt w:val="chineseCounting"/>
      <w:suff w:val="nothing"/>
      <w:lvlText w:val="%1、"/>
      <w:lvlJc w:val="left"/>
      <w:pPr>
        <w:ind w:left="0" w:firstLine="0"/>
      </w:pPr>
      <w:rPr>
        <w:rFonts w:hint="eastAsia"/>
      </w:rPr>
    </w:lvl>
  </w:abstractNum>
  <w:abstractNum w:abstractNumId="1548092279">
    <w:nsid w:val="5C460377"/>
    <w:multiLevelType w:val="singleLevel"/>
    <w:tmpl w:val="5C460377"/>
    <w:lvl w:ilvl="0" w:tentative="1">
      <w:start w:val="1"/>
      <w:numFmt w:val="decimal"/>
      <w:suff w:val="space"/>
      <w:lvlText w:val="18.%1"/>
      <w:lvlJc w:val="left"/>
      <w:pPr>
        <w:tabs>
          <w:tab w:val="left" w:pos="0"/>
        </w:tabs>
        <w:ind w:left="552" w:hanging="552"/>
      </w:pPr>
      <w:rPr>
        <w:rFonts w:hint="default" w:ascii="宋体" w:hAnsi="宋体" w:eastAsia="宋体" w:cs="宋体"/>
      </w:rPr>
    </w:lvl>
  </w:abstractNum>
  <w:abstractNum w:abstractNumId="1682561663">
    <w:nsid w:val="6449DA7F"/>
    <w:multiLevelType w:val="singleLevel"/>
    <w:tmpl w:val="6449DA7F"/>
    <w:lvl w:ilvl="0" w:tentative="1">
      <w:start w:val="1"/>
      <w:numFmt w:val="decimal"/>
      <w:suff w:val="nothing"/>
      <w:lvlText w:val="（%1）"/>
      <w:lvlJc w:val="left"/>
      <w:pPr>
        <w:ind w:left="0" w:firstLine="420"/>
      </w:pPr>
      <w:rPr>
        <w:rFonts w:hint="default"/>
      </w:rPr>
    </w:lvl>
  </w:abstractNum>
  <w:num w:numId="1">
    <w:abstractNumId w:val="3008881273"/>
  </w:num>
  <w:num w:numId="2">
    <w:abstractNumId w:val="2592350232"/>
  </w:num>
  <w:num w:numId="3">
    <w:abstractNumId w:val="2084014009"/>
  </w:num>
  <w:num w:numId="4">
    <w:abstractNumId w:val="1548092279"/>
  </w:num>
  <w:num w:numId="5">
    <w:abstractNumId w:val="1682561663"/>
  </w:num>
  <w:num w:numId="6">
    <w:abstractNumId w:val="10155724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JkMmU4ZGFlZTIyMjYxZmI0ZmEzNmFiZjI1NjdiZD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22A2"/>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5E3C"/>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5C68"/>
    <w:rsid w:val="000464DE"/>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27DD"/>
    <w:rsid w:val="00063375"/>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79A"/>
    <w:rsid w:val="000808C1"/>
    <w:rsid w:val="00080970"/>
    <w:rsid w:val="00080CD9"/>
    <w:rsid w:val="00081671"/>
    <w:rsid w:val="00082AD4"/>
    <w:rsid w:val="00083E07"/>
    <w:rsid w:val="00084D27"/>
    <w:rsid w:val="00084ED6"/>
    <w:rsid w:val="0008580E"/>
    <w:rsid w:val="00085A0E"/>
    <w:rsid w:val="00085C4F"/>
    <w:rsid w:val="00086014"/>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06"/>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296"/>
    <w:rsid w:val="000C5374"/>
    <w:rsid w:val="000C5EC0"/>
    <w:rsid w:val="000C6162"/>
    <w:rsid w:val="000C64CC"/>
    <w:rsid w:val="000C6688"/>
    <w:rsid w:val="000C692E"/>
    <w:rsid w:val="000C6B28"/>
    <w:rsid w:val="000C725C"/>
    <w:rsid w:val="000C7BEB"/>
    <w:rsid w:val="000D0124"/>
    <w:rsid w:val="000D11E5"/>
    <w:rsid w:val="000D19E8"/>
    <w:rsid w:val="000D1F22"/>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04"/>
    <w:rsid w:val="00121EC9"/>
    <w:rsid w:val="0012208F"/>
    <w:rsid w:val="001224FE"/>
    <w:rsid w:val="001231D3"/>
    <w:rsid w:val="001232A7"/>
    <w:rsid w:val="00123E2D"/>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62F"/>
    <w:rsid w:val="00153859"/>
    <w:rsid w:val="00153915"/>
    <w:rsid w:val="001539F0"/>
    <w:rsid w:val="0015440B"/>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5F"/>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4EE5"/>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5376"/>
    <w:rsid w:val="001C6047"/>
    <w:rsid w:val="001C6698"/>
    <w:rsid w:val="001C6C5B"/>
    <w:rsid w:val="001C7399"/>
    <w:rsid w:val="001C7CE0"/>
    <w:rsid w:val="001D005B"/>
    <w:rsid w:val="001D05F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792"/>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3CF8"/>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328"/>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303"/>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CB4"/>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AB0"/>
    <w:rsid w:val="002D4D06"/>
    <w:rsid w:val="002D4DDE"/>
    <w:rsid w:val="002D4EE7"/>
    <w:rsid w:val="002D4EED"/>
    <w:rsid w:val="002D5AAD"/>
    <w:rsid w:val="002D5DA3"/>
    <w:rsid w:val="002D6097"/>
    <w:rsid w:val="002D65AD"/>
    <w:rsid w:val="002D6782"/>
    <w:rsid w:val="002D74A4"/>
    <w:rsid w:val="002D7DB2"/>
    <w:rsid w:val="002D7DBD"/>
    <w:rsid w:val="002D7DE3"/>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03C"/>
    <w:rsid w:val="002F27E5"/>
    <w:rsid w:val="002F2D81"/>
    <w:rsid w:val="002F2F66"/>
    <w:rsid w:val="002F39D4"/>
    <w:rsid w:val="002F4BA9"/>
    <w:rsid w:val="002F541B"/>
    <w:rsid w:val="002F5BFE"/>
    <w:rsid w:val="002F5DA5"/>
    <w:rsid w:val="002F5E17"/>
    <w:rsid w:val="002F647C"/>
    <w:rsid w:val="002F6C6B"/>
    <w:rsid w:val="002F6CB0"/>
    <w:rsid w:val="002F6EFF"/>
    <w:rsid w:val="002F704A"/>
    <w:rsid w:val="002F7DF0"/>
    <w:rsid w:val="002F7FAF"/>
    <w:rsid w:val="00300573"/>
    <w:rsid w:val="003018A6"/>
    <w:rsid w:val="00301984"/>
    <w:rsid w:val="003025FE"/>
    <w:rsid w:val="00302A27"/>
    <w:rsid w:val="0030306D"/>
    <w:rsid w:val="00303AB6"/>
    <w:rsid w:val="00304640"/>
    <w:rsid w:val="00304AC1"/>
    <w:rsid w:val="00305090"/>
    <w:rsid w:val="00305454"/>
    <w:rsid w:val="00305B9F"/>
    <w:rsid w:val="00305E21"/>
    <w:rsid w:val="003066C6"/>
    <w:rsid w:val="003066FA"/>
    <w:rsid w:val="00306AD6"/>
    <w:rsid w:val="003077F4"/>
    <w:rsid w:val="00307DC7"/>
    <w:rsid w:val="00307FF2"/>
    <w:rsid w:val="00310409"/>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0B6"/>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6F81"/>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A03"/>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153"/>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C39"/>
    <w:rsid w:val="003E336A"/>
    <w:rsid w:val="003E3E2F"/>
    <w:rsid w:val="003E4048"/>
    <w:rsid w:val="003E4CE5"/>
    <w:rsid w:val="003E604C"/>
    <w:rsid w:val="003E60DA"/>
    <w:rsid w:val="003E6E00"/>
    <w:rsid w:val="003E703A"/>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5B67"/>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B87"/>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1E16"/>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40B5"/>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8C0"/>
    <w:rsid w:val="00494934"/>
    <w:rsid w:val="00494E90"/>
    <w:rsid w:val="0049570D"/>
    <w:rsid w:val="00495C48"/>
    <w:rsid w:val="00495DC6"/>
    <w:rsid w:val="00496CCE"/>
    <w:rsid w:val="00496FEB"/>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122"/>
    <w:rsid w:val="004C3592"/>
    <w:rsid w:val="004C45C8"/>
    <w:rsid w:val="004C46FE"/>
    <w:rsid w:val="004C4F8F"/>
    <w:rsid w:val="004C5942"/>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68B2"/>
    <w:rsid w:val="004F7922"/>
    <w:rsid w:val="004F7A1F"/>
    <w:rsid w:val="004F7B47"/>
    <w:rsid w:val="0050079C"/>
    <w:rsid w:val="0050106A"/>
    <w:rsid w:val="005010BC"/>
    <w:rsid w:val="00501848"/>
    <w:rsid w:val="00502AC8"/>
    <w:rsid w:val="00502B31"/>
    <w:rsid w:val="0050434C"/>
    <w:rsid w:val="005048A3"/>
    <w:rsid w:val="0050537D"/>
    <w:rsid w:val="00505861"/>
    <w:rsid w:val="0050591C"/>
    <w:rsid w:val="005059BD"/>
    <w:rsid w:val="005060AE"/>
    <w:rsid w:val="0050790B"/>
    <w:rsid w:val="00507FDF"/>
    <w:rsid w:val="0051037C"/>
    <w:rsid w:val="0051050F"/>
    <w:rsid w:val="0051058B"/>
    <w:rsid w:val="0051071F"/>
    <w:rsid w:val="00510DDC"/>
    <w:rsid w:val="00511166"/>
    <w:rsid w:val="00511A7A"/>
    <w:rsid w:val="00512217"/>
    <w:rsid w:val="00512459"/>
    <w:rsid w:val="005131A2"/>
    <w:rsid w:val="005137E4"/>
    <w:rsid w:val="00513BB9"/>
    <w:rsid w:val="0051440E"/>
    <w:rsid w:val="00514480"/>
    <w:rsid w:val="0051448B"/>
    <w:rsid w:val="005148CD"/>
    <w:rsid w:val="00515180"/>
    <w:rsid w:val="00515753"/>
    <w:rsid w:val="00515973"/>
    <w:rsid w:val="00516069"/>
    <w:rsid w:val="00517AC8"/>
    <w:rsid w:val="00517C3E"/>
    <w:rsid w:val="005207D8"/>
    <w:rsid w:val="0052091D"/>
    <w:rsid w:val="00520EE1"/>
    <w:rsid w:val="005212F4"/>
    <w:rsid w:val="0052189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67C0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976CD"/>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4F7"/>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272"/>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39B3"/>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82E"/>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197"/>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07B"/>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A01"/>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6985"/>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3EE2"/>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E41"/>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07B7A"/>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6C3"/>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492"/>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6A0A"/>
    <w:rsid w:val="007675DD"/>
    <w:rsid w:val="007702BF"/>
    <w:rsid w:val="007705F0"/>
    <w:rsid w:val="00771CAC"/>
    <w:rsid w:val="00771F2E"/>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47AB"/>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0B1A"/>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07C"/>
    <w:rsid w:val="007E41A4"/>
    <w:rsid w:val="007E43E3"/>
    <w:rsid w:val="007E48B8"/>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218"/>
    <w:rsid w:val="00817416"/>
    <w:rsid w:val="00817658"/>
    <w:rsid w:val="008206AE"/>
    <w:rsid w:val="00821271"/>
    <w:rsid w:val="00821306"/>
    <w:rsid w:val="008213D9"/>
    <w:rsid w:val="008216CE"/>
    <w:rsid w:val="008218AE"/>
    <w:rsid w:val="00821A53"/>
    <w:rsid w:val="00821D85"/>
    <w:rsid w:val="00821E47"/>
    <w:rsid w:val="008220F6"/>
    <w:rsid w:val="00822456"/>
    <w:rsid w:val="00823819"/>
    <w:rsid w:val="00823C4B"/>
    <w:rsid w:val="0082427D"/>
    <w:rsid w:val="00825441"/>
    <w:rsid w:val="008262D5"/>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7AE"/>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965"/>
    <w:rsid w:val="00852FA5"/>
    <w:rsid w:val="00853AA3"/>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596"/>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4B1"/>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D48"/>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457D"/>
    <w:rsid w:val="008E58A3"/>
    <w:rsid w:val="008E5938"/>
    <w:rsid w:val="008E6109"/>
    <w:rsid w:val="008E6A39"/>
    <w:rsid w:val="008E6CBD"/>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39"/>
    <w:rsid w:val="008F7292"/>
    <w:rsid w:val="008F76C0"/>
    <w:rsid w:val="009000F2"/>
    <w:rsid w:val="0090079D"/>
    <w:rsid w:val="0090086A"/>
    <w:rsid w:val="009008B0"/>
    <w:rsid w:val="00900D2C"/>
    <w:rsid w:val="00901807"/>
    <w:rsid w:val="00901F0E"/>
    <w:rsid w:val="00902A26"/>
    <w:rsid w:val="00902A57"/>
    <w:rsid w:val="00902B29"/>
    <w:rsid w:val="00903C83"/>
    <w:rsid w:val="00903D77"/>
    <w:rsid w:val="00903F3F"/>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2FC"/>
    <w:rsid w:val="00911D61"/>
    <w:rsid w:val="00912850"/>
    <w:rsid w:val="009128B8"/>
    <w:rsid w:val="0091472C"/>
    <w:rsid w:val="00914DC9"/>
    <w:rsid w:val="00914F4F"/>
    <w:rsid w:val="00915351"/>
    <w:rsid w:val="00915679"/>
    <w:rsid w:val="009159C2"/>
    <w:rsid w:val="00915F8C"/>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1E71"/>
    <w:rsid w:val="0094215C"/>
    <w:rsid w:val="00942F8E"/>
    <w:rsid w:val="0094353A"/>
    <w:rsid w:val="00943543"/>
    <w:rsid w:val="009441DB"/>
    <w:rsid w:val="00944834"/>
    <w:rsid w:val="00946128"/>
    <w:rsid w:val="0094633F"/>
    <w:rsid w:val="00947BA5"/>
    <w:rsid w:val="00950805"/>
    <w:rsid w:val="009509A0"/>
    <w:rsid w:val="009517E4"/>
    <w:rsid w:val="009518D4"/>
    <w:rsid w:val="009520BC"/>
    <w:rsid w:val="009521D2"/>
    <w:rsid w:val="00952403"/>
    <w:rsid w:val="00952411"/>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66B5A"/>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48E4"/>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1A51"/>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3E6"/>
    <w:rsid w:val="00A55410"/>
    <w:rsid w:val="00A55A04"/>
    <w:rsid w:val="00A564DE"/>
    <w:rsid w:val="00A56C46"/>
    <w:rsid w:val="00A6054E"/>
    <w:rsid w:val="00A60799"/>
    <w:rsid w:val="00A6170B"/>
    <w:rsid w:val="00A61991"/>
    <w:rsid w:val="00A61B7F"/>
    <w:rsid w:val="00A61B91"/>
    <w:rsid w:val="00A61C3A"/>
    <w:rsid w:val="00A620E8"/>
    <w:rsid w:val="00A63335"/>
    <w:rsid w:val="00A634EB"/>
    <w:rsid w:val="00A635B2"/>
    <w:rsid w:val="00A63685"/>
    <w:rsid w:val="00A63BFE"/>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A0"/>
    <w:rsid w:val="00A732FB"/>
    <w:rsid w:val="00A7463E"/>
    <w:rsid w:val="00A75185"/>
    <w:rsid w:val="00A758E2"/>
    <w:rsid w:val="00A765B1"/>
    <w:rsid w:val="00A772F2"/>
    <w:rsid w:val="00A777E8"/>
    <w:rsid w:val="00A77828"/>
    <w:rsid w:val="00A77BAA"/>
    <w:rsid w:val="00A800F9"/>
    <w:rsid w:val="00A803A6"/>
    <w:rsid w:val="00A8073D"/>
    <w:rsid w:val="00A80D02"/>
    <w:rsid w:val="00A815FB"/>
    <w:rsid w:val="00A81AEB"/>
    <w:rsid w:val="00A81E2C"/>
    <w:rsid w:val="00A82D32"/>
    <w:rsid w:val="00A82EAE"/>
    <w:rsid w:val="00A82FC7"/>
    <w:rsid w:val="00A847F9"/>
    <w:rsid w:val="00A84F27"/>
    <w:rsid w:val="00A84F72"/>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4DBF"/>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15F"/>
    <w:rsid w:val="00AC0432"/>
    <w:rsid w:val="00AC0770"/>
    <w:rsid w:val="00AC1683"/>
    <w:rsid w:val="00AC1D82"/>
    <w:rsid w:val="00AC2D5F"/>
    <w:rsid w:val="00AC4094"/>
    <w:rsid w:val="00AC40C2"/>
    <w:rsid w:val="00AC42B6"/>
    <w:rsid w:val="00AC4AB7"/>
    <w:rsid w:val="00AC51E0"/>
    <w:rsid w:val="00AC55E0"/>
    <w:rsid w:val="00AC6D24"/>
    <w:rsid w:val="00AC6E18"/>
    <w:rsid w:val="00AC7F64"/>
    <w:rsid w:val="00AD1065"/>
    <w:rsid w:val="00AD159E"/>
    <w:rsid w:val="00AD161C"/>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CFC"/>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3A78"/>
    <w:rsid w:val="00B241D5"/>
    <w:rsid w:val="00B24BE9"/>
    <w:rsid w:val="00B2547E"/>
    <w:rsid w:val="00B2551D"/>
    <w:rsid w:val="00B25F8C"/>
    <w:rsid w:val="00B260BE"/>
    <w:rsid w:val="00B26677"/>
    <w:rsid w:val="00B26A96"/>
    <w:rsid w:val="00B26B8B"/>
    <w:rsid w:val="00B26F5E"/>
    <w:rsid w:val="00B274E3"/>
    <w:rsid w:val="00B2765C"/>
    <w:rsid w:val="00B27C4B"/>
    <w:rsid w:val="00B30563"/>
    <w:rsid w:val="00B3069E"/>
    <w:rsid w:val="00B30A76"/>
    <w:rsid w:val="00B31246"/>
    <w:rsid w:val="00B32295"/>
    <w:rsid w:val="00B33AB5"/>
    <w:rsid w:val="00B340EB"/>
    <w:rsid w:val="00B3412E"/>
    <w:rsid w:val="00B343E0"/>
    <w:rsid w:val="00B34478"/>
    <w:rsid w:val="00B352C6"/>
    <w:rsid w:val="00B35B6D"/>
    <w:rsid w:val="00B35D53"/>
    <w:rsid w:val="00B367C4"/>
    <w:rsid w:val="00B36BDD"/>
    <w:rsid w:val="00B36D3E"/>
    <w:rsid w:val="00B37B8E"/>
    <w:rsid w:val="00B40222"/>
    <w:rsid w:val="00B404C3"/>
    <w:rsid w:val="00B41A04"/>
    <w:rsid w:val="00B42743"/>
    <w:rsid w:val="00B430E9"/>
    <w:rsid w:val="00B4311F"/>
    <w:rsid w:val="00B431AE"/>
    <w:rsid w:val="00B43A43"/>
    <w:rsid w:val="00B44288"/>
    <w:rsid w:val="00B442AF"/>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592"/>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31E"/>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906"/>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1A1"/>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8D9"/>
    <w:rsid w:val="00C06ECC"/>
    <w:rsid w:val="00C0702A"/>
    <w:rsid w:val="00C0724C"/>
    <w:rsid w:val="00C07C11"/>
    <w:rsid w:val="00C07E10"/>
    <w:rsid w:val="00C10015"/>
    <w:rsid w:val="00C1110A"/>
    <w:rsid w:val="00C11689"/>
    <w:rsid w:val="00C12414"/>
    <w:rsid w:val="00C12ECB"/>
    <w:rsid w:val="00C148B2"/>
    <w:rsid w:val="00C14ABD"/>
    <w:rsid w:val="00C14F82"/>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1D2"/>
    <w:rsid w:val="00C22350"/>
    <w:rsid w:val="00C228FE"/>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FD2"/>
    <w:rsid w:val="00C304E9"/>
    <w:rsid w:val="00C30B0B"/>
    <w:rsid w:val="00C31320"/>
    <w:rsid w:val="00C316B4"/>
    <w:rsid w:val="00C332D4"/>
    <w:rsid w:val="00C33A66"/>
    <w:rsid w:val="00C33E51"/>
    <w:rsid w:val="00C34C45"/>
    <w:rsid w:val="00C34C47"/>
    <w:rsid w:val="00C34FCE"/>
    <w:rsid w:val="00C35411"/>
    <w:rsid w:val="00C35EED"/>
    <w:rsid w:val="00C369DB"/>
    <w:rsid w:val="00C36B2C"/>
    <w:rsid w:val="00C3701A"/>
    <w:rsid w:val="00C379EF"/>
    <w:rsid w:val="00C379F5"/>
    <w:rsid w:val="00C405C8"/>
    <w:rsid w:val="00C40C16"/>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FF7"/>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F75"/>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563"/>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4F0"/>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72C"/>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190"/>
    <w:rsid w:val="00D02457"/>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893"/>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499D"/>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4B2"/>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6F2F"/>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1BA"/>
    <w:rsid w:val="00DF4FF1"/>
    <w:rsid w:val="00DF56A3"/>
    <w:rsid w:val="00DF5B33"/>
    <w:rsid w:val="00DF5BE0"/>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1B1A"/>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E54"/>
    <w:rsid w:val="00E42077"/>
    <w:rsid w:val="00E4208F"/>
    <w:rsid w:val="00E42E94"/>
    <w:rsid w:val="00E43006"/>
    <w:rsid w:val="00E4312A"/>
    <w:rsid w:val="00E4331B"/>
    <w:rsid w:val="00E43551"/>
    <w:rsid w:val="00E437FA"/>
    <w:rsid w:val="00E44AEB"/>
    <w:rsid w:val="00E457DF"/>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95D"/>
    <w:rsid w:val="00E64B7B"/>
    <w:rsid w:val="00E6514D"/>
    <w:rsid w:val="00E65161"/>
    <w:rsid w:val="00E652C9"/>
    <w:rsid w:val="00E6593B"/>
    <w:rsid w:val="00E65D74"/>
    <w:rsid w:val="00E66E11"/>
    <w:rsid w:val="00E672C6"/>
    <w:rsid w:val="00E6763F"/>
    <w:rsid w:val="00E70192"/>
    <w:rsid w:val="00E7027C"/>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1F40"/>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42"/>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4D46"/>
    <w:rsid w:val="00ED5981"/>
    <w:rsid w:val="00ED613A"/>
    <w:rsid w:val="00ED6514"/>
    <w:rsid w:val="00ED66B2"/>
    <w:rsid w:val="00ED71BA"/>
    <w:rsid w:val="00ED728F"/>
    <w:rsid w:val="00ED73A1"/>
    <w:rsid w:val="00ED7CA2"/>
    <w:rsid w:val="00EE018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76B"/>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1EE"/>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21A"/>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5BC9"/>
    <w:rsid w:val="00F56F7E"/>
    <w:rsid w:val="00F56FEF"/>
    <w:rsid w:val="00F57521"/>
    <w:rsid w:val="00F57E2D"/>
    <w:rsid w:val="00F60938"/>
    <w:rsid w:val="00F60C7E"/>
    <w:rsid w:val="00F60E0A"/>
    <w:rsid w:val="00F61606"/>
    <w:rsid w:val="00F61918"/>
    <w:rsid w:val="00F62151"/>
    <w:rsid w:val="00F62B58"/>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145"/>
    <w:rsid w:val="00F85329"/>
    <w:rsid w:val="00F85683"/>
    <w:rsid w:val="00F85841"/>
    <w:rsid w:val="00F85E79"/>
    <w:rsid w:val="00F86079"/>
    <w:rsid w:val="00F8610A"/>
    <w:rsid w:val="00F8703C"/>
    <w:rsid w:val="00F87282"/>
    <w:rsid w:val="00F878CD"/>
    <w:rsid w:val="00F87905"/>
    <w:rsid w:val="00F87A66"/>
    <w:rsid w:val="00F90C1F"/>
    <w:rsid w:val="00F912D9"/>
    <w:rsid w:val="00F91A44"/>
    <w:rsid w:val="00F91BFA"/>
    <w:rsid w:val="00F91F8F"/>
    <w:rsid w:val="00F9217B"/>
    <w:rsid w:val="00F94016"/>
    <w:rsid w:val="00F953DA"/>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845"/>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1BBD"/>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3B7"/>
    <w:rsid w:val="00FE44F5"/>
    <w:rsid w:val="00FE4783"/>
    <w:rsid w:val="00FE480D"/>
    <w:rsid w:val="00FE4ACC"/>
    <w:rsid w:val="00FE4F80"/>
    <w:rsid w:val="00FE570E"/>
    <w:rsid w:val="00FE64BD"/>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5421A"/>
    <w:rsid w:val="01946788"/>
    <w:rsid w:val="019F7441"/>
    <w:rsid w:val="01B37585"/>
    <w:rsid w:val="01B835B3"/>
    <w:rsid w:val="01D55165"/>
    <w:rsid w:val="01DF6BF8"/>
    <w:rsid w:val="01EC2C57"/>
    <w:rsid w:val="02555ED9"/>
    <w:rsid w:val="025F0711"/>
    <w:rsid w:val="026B2E25"/>
    <w:rsid w:val="027C3B46"/>
    <w:rsid w:val="02824D4D"/>
    <w:rsid w:val="02C7244E"/>
    <w:rsid w:val="02DC4B10"/>
    <w:rsid w:val="02DD76CE"/>
    <w:rsid w:val="02E342D1"/>
    <w:rsid w:val="02F36323"/>
    <w:rsid w:val="02F5619C"/>
    <w:rsid w:val="0326446A"/>
    <w:rsid w:val="032D5555"/>
    <w:rsid w:val="036634D2"/>
    <w:rsid w:val="03BD0EA4"/>
    <w:rsid w:val="03DD35E4"/>
    <w:rsid w:val="04076900"/>
    <w:rsid w:val="041A5A3B"/>
    <w:rsid w:val="042311BA"/>
    <w:rsid w:val="042B157A"/>
    <w:rsid w:val="048F763B"/>
    <w:rsid w:val="049F330E"/>
    <w:rsid w:val="04AA775C"/>
    <w:rsid w:val="04AF1889"/>
    <w:rsid w:val="04EC5247"/>
    <w:rsid w:val="04F66F48"/>
    <w:rsid w:val="05251E14"/>
    <w:rsid w:val="052E3B44"/>
    <w:rsid w:val="05A16594"/>
    <w:rsid w:val="05A7762D"/>
    <w:rsid w:val="05CC333A"/>
    <w:rsid w:val="060E5941"/>
    <w:rsid w:val="06110FAF"/>
    <w:rsid w:val="06493CA7"/>
    <w:rsid w:val="065A6178"/>
    <w:rsid w:val="066F1CF3"/>
    <w:rsid w:val="06930BB8"/>
    <w:rsid w:val="07245D42"/>
    <w:rsid w:val="07264C62"/>
    <w:rsid w:val="0732511E"/>
    <w:rsid w:val="07471A22"/>
    <w:rsid w:val="0779354C"/>
    <w:rsid w:val="07BC2174"/>
    <w:rsid w:val="07EE58FC"/>
    <w:rsid w:val="08061376"/>
    <w:rsid w:val="08452D77"/>
    <w:rsid w:val="086401F8"/>
    <w:rsid w:val="08751CAA"/>
    <w:rsid w:val="087E4C40"/>
    <w:rsid w:val="08A871D0"/>
    <w:rsid w:val="08CF3549"/>
    <w:rsid w:val="08D66AD6"/>
    <w:rsid w:val="08DA33A3"/>
    <w:rsid w:val="08E80F13"/>
    <w:rsid w:val="09335624"/>
    <w:rsid w:val="0944690F"/>
    <w:rsid w:val="09535675"/>
    <w:rsid w:val="09586950"/>
    <w:rsid w:val="095F057D"/>
    <w:rsid w:val="09642282"/>
    <w:rsid w:val="09733572"/>
    <w:rsid w:val="09772C16"/>
    <w:rsid w:val="098353B5"/>
    <w:rsid w:val="09A92330"/>
    <w:rsid w:val="09B06B87"/>
    <w:rsid w:val="09C13146"/>
    <w:rsid w:val="09E04166"/>
    <w:rsid w:val="0A1C0718"/>
    <w:rsid w:val="0A3E7710"/>
    <w:rsid w:val="0A5B7E63"/>
    <w:rsid w:val="0A6F1F49"/>
    <w:rsid w:val="0AA118F7"/>
    <w:rsid w:val="0AA374A5"/>
    <w:rsid w:val="0AAB7649"/>
    <w:rsid w:val="0ABC5606"/>
    <w:rsid w:val="0B30404E"/>
    <w:rsid w:val="0B4C6C14"/>
    <w:rsid w:val="0B547599"/>
    <w:rsid w:val="0B631A88"/>
    <w:rsid w:val="0B683D45"/>
    <w:rsid w:val="0B7F3F11"/>
    <w:rsid w:val="0B884417"/>
    <w:rsid w:val="0B9A78E9"/>
    <w:rsid w:val="0BD12FDB"/>
    <w:rsid w:val="0BF6188C"/>
    <w:rsid w:val="0BF73C91"/>
    <w:rsid w:val="0C170175"/>
    <w:rsid w:val="0C571A41"/>
    <w:rsid w:val="0C5C1171"/>
    <w:rsid w:val="0C5E1CBC"/>
    <w:rsid w:val="0C615B50"/>
    <w:rsid w:val="0C8445DA"/>
    <w:rsid w:val="0C87121B"/>
    <w:rsid w:val="0CC007F7"/>
    <w:rsid w:val="0CC617AC"/>
    <w:rsid w:val="0CE618DF"/>
    <w:rsid w:val="0CEA7990"/>
    <w:rsid w:val="0CED77B1"/>
    <w:rsid w:val="0CFE707A"/>
    <w:rsid w:val="0D063BDA"/>
    <w:rsid w:val="0D08375F"/>
    <w:rsid w:val="0D184CFB"/>
    <w:rsid w:val="0D4A7419"/>
    <w:rsid w:val="0D827401"/>
    <w:rsid w:val="0D84094E"/>
    <w:rsid w:val="0D8A00E9"/>
    <w:rsid w:val="0D8D589E"/>
    <w:rsid w:val="0DA01C73"/>
    <w:rsid w:val="0DB5486D"/>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032C56"/>
    <w:rsid w:val="105C61CE"/>
    <w:rsid w:val="10646583"/>
    <w:rsid w:val="107D4B15"/>
    <w:rsid w:val="108A3C80"/>
    <w:rsid w:val="10C26171"/>
    <w:rsid w:val="10F33360"/>
    <w:rsid w:val="10F3647A"/>
    <w:rsid w:val="10FC16EA"/>
    <w:rsid w:val="110F1D40"/>
    <w:rsid w:val="11122C3D"/>
    <w:rsid w:val="11266F33"/>
    <w:rsid w:val="117A71EE"/>
    <w:rsid w:val="118963A1"/>
    <w:rsid w:val="11C6522A"/>
    <w:rsid w:val="11E104CC"/>
    <w:rsid w:val="11E20309"/>
    <w:rsid w:val="11ED5DE2"/>
    <w:rsid w:val="12255233"/>
    <w:rsid w:val="12363F2A"/>
    <w:rsid w:val="12530213"/>
    <w:rsid w:val="127723A9"/>
    <w:rsid w:val="12862074"/>
    <w:rsid w:val="12883966"/>
    <w:rsid w:val="129E45B4"/>
    <w:rsid w:val="12D81596"/>
    <w:rsid w:val="12FC48D3"/>
    <w:rsid w:val="13072A44"/>
    <w:rsid w:val="133F02AD"/>
    <w:rsid w:val="135F4BE2"/>
    <w:rsid w:val="139B1A0A"/>
    <w:rsid w:val="139D25C7"/>
    <w:rsid w:val="13BF3CE4"/>
    <w:rsid w:val="13E43733"/>
    <w:rsid w:val="141008D8"/>
    <w:rsid w:val="14125FE6"/>
    <w:rsid w:val="146D271E"/>
    <w:rsid w:val="14982588"/>
    <w:rsid w:val="149A5AD9"/>
    <w:rsid w:val="14A7619D"/>
    <w:rsid w:val="14CC589B"/>
    <w:rsid w:val="150536C3"/>
    <w:rsid w:val="150C1963"/>
    <w:rsid w:val="151447A0"/>
    <w:rsid w:val="15263942"/>
    <w:rsid w:val="152D72EF"/>
    <w:rsid w:val="153151CA"/>
    <w:rsid w:val="154A6454"/>
    <w:rsid w:val="15762120"/>
    <w:rsid w:val="16803445"/>
    <w:rsid w:val="169548B6"/>
    <w:rsid w:val="16A8729C"/>
    <w:rsid w:val="16B33777"/>
    <w:rsid w:val="16BC70A7"/>
    <w:rsid w:val="16C6339E"/>
    <w:rsid w:val="16E34360"/>
    <w:rsid w:val="16FA3DE0"/>
    <w:rsid w:val="172F2D79"/>
    <w:rsid w:val="17557BEF"/>
    <w:rsid w:val="176A3AA0"/>
    <w:rsid w:val="17BB25E9"/>
    <w:rsid w:val="17D349C1"/>
    <w:rsid w:val="18244F26"/>
    <w:rsid w:val="1830729E"/>
    <w:rsid w:val="1870062C"/>
    <w:rsid w:val="18817102"/>
    <w:rsid w:val="18830A15"/>
    <w:rsid w:val="18852B28"/>
    <w:rsid w:val="188B5321"/>
    <w:rsid w:val="192E316D"/>
    <w:rsid w:val="195844CB"/>
    <w:rsid w:val="19932372"/>
    <w:rsid w:val="19A20DD5"/>
    <w:rsid w:val="19AE03F1"/>
    <w:rsid w:val="19DB75CA"/>
    <w:rsid w:val="1A045BDD"/>
    <w:rsid w:val="1A071A03"/>
    <w:rsid w:val="1A155A0A"/>
    <w:rsid w:val="1A1F16AE"/>
    <w:rsid w:val="1A3B5C77"/>
    <w:rsid w:val="1A450A5F"/>
    <w:rsid w:val="1A984BAD"/>
    <w:rsid w:val="1AB8220E"/>
    <w:rsid w:val="1AE4166C"/>
    <w:rsid w:val="1AF06CFB"/>
    <w:rsid w:val="1AF11B8D"/>
    <w:rsid w:val="1B11359C"/>
    <w:rsid w:val="1B2A271F"/>
    <w:rsid w:val="1B530544"/>
    <w:rsid w:val="1B713184"/>
    <w:rsid w:val="1BA209CF"/>
    <w:rsid w:val="1BB4777D"/>
    <w:rsid w:val="1BD75AB8"/>
    <w:rsid w:val="1C0459C2"/>
    <w:rsid w:val="1C1B0AAC"/>
    <w:rsid w:val="1C1B3B4A"/>
    <w:rsid w:val="1C88086E"/>
    <w:rsid w:val="1D266CE1"/>
    <w:rsid w:val="1D3963AF"/>
    <w:rsid w:val="1D6A673C"/>
    <w:rsid w:val="1D6D7195"/>
    <w:rsid w:val="1D884A60"/>
    <w:rsid w:val="1D9247AE"/>
    <w:rsid w:val="1DB567EC"/>
    <w:rsid w:val="1DF51A98"/>
    <w:rsid w:val="1E051CD9"/>
    <w:rsid w:val="1E161303"/>
    <w:rsid w:val="1E3D060F"/>
    <w:rsid w:val="1E3F7D2E"/>
    <w:rsid w:val="1E4134E4"/>
    <w:rsid w:val="1E5062B3"/>
    <w:rsid w:val="1E523514"/>
    <w:rsid w:val="1E714A66"/>
    <w:rsid w:val="1E802593"/>
    <w:rsid w:val="1E8B6156"/>
    <w:rsid w:val="1EA703CC"/>
    <w:rsid w:val="1EA72AA3"/>
    <w:rsid w:val="1EB7330C"/>
    <w:rsid w:val="1EE74252"/>
    <w:rsid w:val="1F0A0FF3"/>
    <w:rsid w:val="1F4D494F"/>
    <w:rsid w:val="1F5771FF"/>
    <w:rsid w:val="1FD52574"/>
    <w:rsid w:val="1FE868A9"/>
    <w:rsid w:val="20034907"/>
    <w:rsid w:val="20173E4B"/>
    <w:rsid w:val="204E48BC"/>
    <w:rsid w:val="205D057B"/>
    <w:rsid w:val="208921B3"/>
    <w:rsid w:val="20973DEB"/>
    <w:rsid w:val="20B26522"/>
    <w:rsid w:val="20B44310"/>
    <w:rsid w:val="211116EB"/>
    <w:rsid w:val="211E0A0C"/>
    <w:rsid w:val="21351256"/>
    <w:rsid w:val="216133FC"/>
    <w:rsid w:val="21A97EB7"/>
    <w:rsid w:val="21D56769"/>
    <w:rsid w:val="21D95C8D"/>
    <w:rsid w:val="21E52EF3"/>
    <w:rsid w:val="21FB5D7B"/>
    <w:rsid w:val="22015E94"/>
    <w:rsid w:val="220B1C3D"/>
    <w:rsid w:val="220F0FA5"/>
    <w:rsid w:val="221D1D20"/>
    <w:rsid w:val="22334A87"/>
    <w:rsid w:val="22BE6801"/>
    <w:rsid w:val="22ED2105"/>
    <w:rsid w:val="22EF350F"/>
    <w:rsid w:val="231575D5"/>
    <w:rsid w:val="233500BF"/>
    <w:rsid w:val="23377FF7"/>
    <w:rsid w:val="233F5D6C"/>
    <w:rsid w:val="236716FF"/>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15FE9"/>
    <w:rsid w:val="258B00E2"/>
    <w:rsid w:val="25A917A6"/>
    <w:rsid w:val="25BE27CC"/>
    <w:rsid w:val="25F74A5C"/>
    <w:rsid w:val="2628662C"/>
    <w:rsid w:val="262D45DE"/>
    <w:rsid w:val="26500518"/>
    <w:rsid w:val="26871DC8"/>
    <w:rsid w:val="268B680E"/>
    <w:rsid w:val="26A53EF9"/>
    <w:rsid w:val="26A94201"/>
    <w:rsid w:val="26AC274F"/>
    <w:rsid w:val="27044A29"/>
    <w:rsid w:val="271D34C8"/>
    <w:rsid w:val="276142BF"/>
    <w:rsid w:val="27783712"/>
    <w:rsid w:val="27907362"/>
    <w:rsid w:val="27EE33DF"/>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254B5D"/>
    <w:rsid w:val="2B437463"/>
    <w:rsid w:val="2B7807EE"/>
    <w:rsid w:val="2B806C96"/>
    <w:rsid w:val="2BA50BF7"/>
    <w:rsid w:val="2BAE1BDF"/>
    <w:rsid w:val="2BBF00EC"/>
    <w:rsid w:val="2BC37CFD"/>
    <w:rsid w:val="2BC43209"/>
    <w:rsid w:val="2BCF725F"/>
    <w:rsid w:val="2BD5237F"/>
    <w:rsid w:val="2BE536CE"/>
    <w:rsid w:val="2BE758D9"/>
    <w:rsid w:val="2BF346BB"/>
    <w:rsid w:val="2C09049E"/>
    <w:rsid w:val="2C0A653C"/>
    <w:rsid w:val="2C191F85"/>
    <w:rsid w:val="2CE82D6F"/>
    <w:rsid w:val="2D1D3FE1"/>
    <w:rsid w:val="2D343236"/>
    <w:rsid w:val="2D575011"/>
    <w:rsid w:val="2DBD23C1"/>
    <w:rsid w:val="2DD15014"/>
    <w:rsid w:val="2DF72DE4"/>
    <w:rsid w:val="2E0220AF"/>
    <w:rsid w:val="2E4B082A"/>
    <w:rsid w:val="2E5D4E86"/>
    <w:rsid w:val="2E5D790B"/>
    <w:rsid w:val="2E9A3C18"/>
    <w:rsid w:val="2EBB0FEE"/>
    <w:rsid w:val="2EC63002"/>
    <w:rsid w:val="2F0A6B38"/>
    <w:rsid w:val="2F4D5EC5"/>
    <w:rsid w:val="2F946CCB"/>
    <w:rsid w:val="2FD25781"/>
    <w:rsid w:val="2FDC745C"/>
    <w:rsid w:val="2FFD7934"/>
    <w:rsid w:val="30402257"/>
    <w:rsid w:val="30733ACD"/>
    <w:rsid w:val="308C3862"/>
    <w:rsid w:val="309379D8"/>
    <w:rsid w:val="30A270F7"/>
    <w:rsid w:val="30DF1478"/>
    <w:rsid w:val="30EC586F"/>
    <w:rsid w:val="319C6071"/>
    <w:rsid w:val="31AC537E"/>
    <w:rsid w:val="31D80DD1"/>
    <w:rsid w:val="31E3679B"/>
    <w:rsid w:val="31E732FD"/>
    <w:rsid w:val="32517576"/>
    <w:rsid w:val="32BE5C2C"/>
    <w:rsid w:val="32E70317"/>
    <w:rsid w:val="32FB6478"/>
    <w:rsid w:val="33263B3F"/>
    <w:rsid w:val="336963EB"/>
    <w:rsid w:val="33816EEB"/>
    <w:rsid w:val="33EB55CD"/>
    <w:rsid w:val="33EC4C02"/>
    <w:rsid w:val="340D2360"/>
    <w:rsid w:val="3410665D"/>
    <w:rsid w:val="34211214"/>
    <w:rsid w:val="342E63AB"/>
    <w:rsid w:val="34705A88"/>
    <w:rsid w:val="34950E68"/>
    <w:rsid w:val="34986E94"/>
    <w:rsid w:val="34AF62C9"/>
    <w:rsid w:val="34CB4388"/>
    <w:rsid w:val="34FA6E12"/>
    <w:rsid w:val="353C2BB2"/>
    <w:rsid w:val="353D57F5"/>
    <w:rsid w:val="354D7158"/>
    <w:rsid w:val="35724B47"/>
    <w:rsid w:val="358D5588"/>
    <w:rsid w:val="35D47713"/>
    <w:rsid w:val="35F21E98"/>
    <w:rsid w:val="363A3B40"/>
    <w:rsid w:val="363F5358"/>
    <w:rsid w:val="364F1169"/>
    <w:rsid w:val="365302AE"/>
    <w:rsid w:val="36607A0A"/>
    <w:rsid w:val="366E227C"/>
    <w:rsid w:val="366F2E0D"/>
    <w:rsid w:val="367B6A5C"/>
    <w:rsid w:val="36A74ADA"/>
    <w:rsid w:val="36AB0BC2"/>
    <w:rsid w:val="36AD60D5"/>
    <w:rsid w:val="36B224F9"/>
    <w:rsid w:val="36BC5AFD"/>
    <w:rsid w:val="36C436CF"/>
    <w:rsid w:val="36EC0CC9"/>
    <w:rsid w:val="373F410B"/>
    <w:rsid w:val="37EE7094"/>
    <w:rsid w:val="38296C89"/>
    <w:rsid w:val="383002EB"/>
    <w:rsid w:val="38586797"/>
    <w:rsid w:val="385D15DF"/>
    <w:rsid w:val="38BC0149"/>
    <w:rsid w:val="38D87D1C"/>
    <w:rsid w:val="39636459"/>
    <w:rsid w:val="396B7F6C"/>
    <w:rsid w:val="39B378A5"/>
    <w:rsid w:val="39B417A9"/>
    <w:rsid w:val="39FC5695"/>
    <w:rsid w:val="3A006D8E"/>
    <w:rsid w:val="3A281202"/>
    <w:rsid w:val="3A3651E5"/>
    <w:rsid w:val="3A744481"/>
    <w:rsid w:val="3A8C7BEF"/>
    <w:rsid w:val="3A906246"/>
    <w:rsid w:val="3AD14935"/>
    <w:rsid w:val="3B2349B7"/>
    <w:rsid w:val="3B616CFF"/>
    <w:rsid w:val="3B6259F6"/>
    <w:rsid w:val="3B976654"/>
    <w:rsid w:val="3BC01EFC"/>
    <w:rsid w:val="3BCA786A"/>
    <w:rsid w:val="3BD31E2F"/>
    <w:rsid w:val="3BF15831"/>
    <w:rsid w:val="3C105946"/>
    <w:rsid w:val="3C471448"/>
    <w:rsid w:val="3C5F759A"/>
    <w:rsid w:val="3C6C525A"/>
    <w:rsid w:val="3CA333D1"/>
    <w:rsid w:val="3CCE23CB"/>
    <w:rsid w:val="3CD17D17"/>
    <w:rsid w:val="3D3C7F39"/>
    <w:rsid w:val="3D440F09"/>
    <w:rsid w:val="3D4504A0"/>
    <w:rsid w:val="3D4F3F43"/>
    <w:rsid w:val="3D574CA3"/>
    <w:rsid w:val="3D6E385D"/>
    <w:rsid w:val="3D8734BB"/>
    <w:rsid w:val="3D9031AE"/>
    <w:rsid w:val="3D9A11D4"/>
    <w:rsid w:val="3DA16D89"/>
    <w:rsid w:val="3DA364BE"/>
    <w:rsid w:val="3DE041CB"/>
    <w:rsid w:val="3E0262BD"/>
    <w:rsid w:val="3E0D48F6"/>
    <w:rsid w:val="3E1868B4"/>
    <w:rsid w:val="3E377251"/>
    <w:rsid w:val="3E42664B"/>
    <w:rsid w:val="3E5A7334"/>
    <w:rsid w:val="3E7B5D6B"/>
    <w:rsid w:val="3E843E66"/>
    <w:rsid w:val="3E8F51FE"/>
    <w:rsid w:val="3E926F87"/>
    <w:rsid w:val="3E9A59DE"/>
    <w:rsid w:val="3EAF4836"/>
    <w:rsid w:val="3EC33DFA"/>
    <w:rsid w:val="3F060E16"/>
    <w:rsid w:val="3F1D1096"/>
    <w:rsid w:val="3F1D11F4"/>
    <w:rsid w:val="3F2F0234"/>
    <w:rsid w:val="3F6363FE"/>
    <w:rsid w:val="3F717D6D"/>
    <w:rsid w:val="3F756B8F"/>
    <w:rsid w:val="3F95482B"/>
    <w:rsid w:val="3FC221D7"/>
    <w:rsid w:val="3FF27B88"/>
    <w:rsid w:val="4019356B"/>
    <w:rsid w:val="40592157"/>
    <w:rsid w:val="406E1CAE"/>
    <w:rsid w:val="40A0133A"/>
    <w:rsid w:val="40C31A53"/>
    <w:rsid w:val="40F36FAD"/>
    <w:rsid w:val="40FF545D"/>
    <w:rsid w:val="410067C8"/>
    <w:rsid w:val="418F0D2A"/>
    <w:rsid w:val="41D01505"/>
    <w:rsid w:val="41FF7561"/>
    <w:rsid w:val="42474939"/>
    <w:rsid w:val="424C3C57"/>
    <w:rsid w:val="42613FF3"/>
    <w:rsid w:val="42660D96"/>
    <w:rsid w:val="428667D2"/>
    <w:rsid w:val="42CD1CE0"/>
    <w:rsid w:val="42E1381E"/>
    <w:rsid w:val="42ED6459"/>
    <w:rsid w:val="42FE58DD"/>
    <w:rsid w:val="43174B3D"/>
    <w:rsid w:val="432A7A78"/>
    <w:rsid w:val="434B790E"/>
    <w:rsid w:val="4360274F"/>
    <w:rsid w:val="43977AB6"/>
    <w:rsid w:val="43A3342B"/>
    <w:rsid w:val="43C77C27"/>
    <w:rsid w:val="43DE09EE"/>
    <w:rsid w:val="44002FAD"/>
    <w:rsid w:val="449101DD"/>
    <w:rsid w:val="44DE1391"/>
    <w:rsid w:val="451B225C"/>
    <w:rsid w:val="451B5AF7"/>
    <w:rsid w:val="452410C9"/>
    <w:rsid w:val="45317DFB"/>
    <w:rsid w:val="456D3CE4"/>
    <w:rsid w:val="4579042C"/>
    <w:rsid w:val="457F0571"/>
    <w:rsid w:val="45851176"/>
    <w:rsid w:val="458D7A55"/>
    <w:rsid w:val="45C63B94"/>
    <w:rsid w:val="45D861D3"/>
    <w:rsid w:val="460E7DA5"/>
    <w:rsid w:val="463D394F"/>
    <w:rsid w:val="46422483"/>
    <w:rsid w:val="4659254A"/>
    <w:rsid w:val="465B0637"/>
    <w:rsid w:val="465E3F0D"/>
    <w:rsid w:val="466A16E6"/>
    <w:rsid w:val="46893F2B"/>
    <w:rsid w:val="46A95C39"/>
    <w:rsid w:val="46C4686E"/>
    <w:rsid w:val="47453C64"/>
    <w:rsid w:val="477B778F"/>
    <w:rsid w:val="478203EC"/>
    <w:rsid w:val="47B025FA"/>
    <w:rsid w:val="4809698F"/>
    <w:rsid w:val="4811697D"/>
    <w:rsid w:val="487A3E25"/>
    <w:rsid w:val="488B5503"/>
    <w:rsid w:val="48937E21"/>
    <w:rsid w:val="489A0361"/>
    <w:rsid w:val="48B94FF3"/>
    <w:rsid w:val="48E37AAB"/>
    <w:rsid w:val="48FD4B4C"/>
    <w:rsid w:val="490A68E0"/>
    <w:rsid w:val="491055FE"/>
    <w:rsid w:val="493F4E23"/>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0E5971"/>
    <w:rsid w:val="4C184C9E"/>
    <w:rsid w:val="4C245A30"/>
    <w:rsid w:val="4CB6685F"/>
    <w:rsid w:val="4CC367FE"/>
    <w:rsid w:val="4D077F3C"/>
    <w:rsid w:val="4D0D1B3D"/>
    <w:rsid w:val="4D123355"/>
    <w:rsid w:val="4D2A3B31"/>
    <w:rsid w:val="4D312C52"/>
    <w:rsid w:val="4D905305"/>
    <w:rsid w:val="4D964A72"/>
    <w:rsid w:val="4D9C1254"/>
    <w:rsid w:val="4DFD564B"/>
    <w:rsid w:val="4E2D0811"/>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101B2"/>
    <w:rsid w:val="50FA4028"/>
    <w:rsid w:val="510D65B7"/>
    <w:rsid w:val="511157AB"/>
    <w:rsid w:val="5142540C"/>
    <w:rsid w:val="514E6A22"/>
    <w:rsid w:val="518832C8"/>
    <w:rsid w:val="519D3C50"/>
    <w:rsid w:val="51A0432A"/>
    <w:rsid w:val="51A86090"/>
    <w:rsid w:val="51B7396D"/>
    <w:rsid w:val="51BE5493"/>
    <w:rsid w:val="51C67325"/>
    <w:rsid w:val="522E4CC3"/>
    <w:rsid w:val="5244713B"/>
    <w:rsid w:val="52615633"/>
    <w:rsid w:val="526F4DE4"/>
    <w:rsid w:val="52977FD4"/>
    <w:rsid w:val="52A25790"/>
    <w:rsid w:val="52A96B6F"/>
    <w:rsid w:val="52B45975"/>
    <w:rsid w:val="52BD331C"/>
    <w:rsid w:val="52D94AA4"/>
    <w:rsid w:val="52EA3A62"/>
    <w:rsid w:val="52F50BB8"/>
    <w:rsid w:val="52F66A7E"/>
    <w:rsid w:val="53097272"/>
    <w:rsid w:val="53544462"/>
    <w:rsid w:val="5397158E"/>
    <w:rsid w:val="54013861"/>
    <w:rsid w:val="54487265"/>
    <w:rsid w:val="544D6070"/>
    <w:rsid w:val="544F3F4C"/>
    <w:rsid w:val="54605E1E"/>
    <w:rsid w:val="54760595"/>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54624"/>
    <w:rsid w:val="55A8376B"/>
    <w:rsid w:val="55DC29B6"/>
    <w:rsid w:val="55DD4241"/>
    <w:rsid w:val="56396690"/>
    <w:rsid w:val="566B6D1E"/>
    <w:rsid w:val="568F6DEB"/>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7FF7119"/>
    <w:rsid w:val="582E0B80"/>
    <w:rsid w:val="5881513B"/>
    <w:rsid w:val="58917D2F"/>
    <w:rsid w:val="5894085C"/>
    <w:rsid w:val="58AE4F0C"/>
    <w:rsid w:val="58B85899"/>
    <w:rsid w:val="58C306D0"/>
    <w:rsid w:val="58E363A9"/>
    <w:rsid w:val="59166304"/>
    <w:rsid w:val="59580E5E"/>
    <w:rsid w:val="595E1678"/>
    <w:rsid w:val="59632941"/>
    <w:rsid w:val="596D5BD4"/>
    <w:rsid w:val="597E3DD8"/>
    <w:rsid w:val="59F80043"/>
    <w:rsid w:val="5A09252F"/>
    <w:rsid w:val="5A0B0616"/>
    <w:rsid w:val="5A0B2778"/>
    <w:rsid w:val="5A2A7C7B"/>
    <w:rsid w:val="5A3E2560"/>
    <w:rsid w:val="5A5D3B6E"/>
    <w:rsid w:val="5A637A76"/>
    <w:rsid w:val="5A6D33BA"/>
    <w:rsid w:val="5A792B1F"/>
    <w:rsid w:val="5A874767"/>
    <w:rsid w:val="5AA85BE2"/>
    <w:rsid w:val="5AAD6F28"/>
    <w:rsid w:val="5AD63A24"/>
    <w:rsid w:val="5B2E1A1D"/>
    <w:rsid w:val="5B4820FA"/>
    <w:rsid w:val="5B843A1C"/>
    <w:rsid w:val="5B873E3F"/>
    <w:rsid w:val="5C0262B5"/>
    <w:rsid w:val="5C02690E"/>
    <w:rsid w:val="5C196DA7"/>
    <w:rsid w:val="5C2A048C"/>
    <w:rsid w:val="5C2C2DE3"/>
    <w:rsid w:val="5C731F2B"/>
    <w:rsid w:val="5C80234E"/>
    <w:rsid w:val="5C8A680C"/>
    <w:rsid w:val="5D0C4701"/>
    <w:rsid w:val="5D0F0395"/>
    <w:rsid w:val="5D221076"/>
    <w:rsid w:val="5D397964"/>
    <w:rsid w:val="5D537A94"/>
    <w:rsid w:val="5D5A391C"/>
    <w:rsid w:val="5D5F10C0"/>
    <w:rsid w:val="5D891B7B"/>
    <w:rsid w:val="5D9863C2"/>
    <w:rsid w:val="5DAD38EE"/>
    <w:rsid w:val="5DF463DB"/>
    <w:rsid w:val="5E006862"/>
    <w:rsid w:val="5E0207B9"/>
    <w:rsid w:val="5E0D7963"/>
    <w:rsid w:val="5E1834A1"/>
    <w:rsid w:val="5E261785"/>
    <w:rsid w:val="5E4A7017"/>
    <w:rsid w:val="5E552BBA"/>
    <w:rsid w:val="5E611C10"/>
    <w:rsid w:val="5E7A0F3F"/>
    <w:rsid w:val="5EA54320"/>
    <w:rsid w:val="5EFC7377"/>
    <w:rsid w:val="5F06174D"/>
    <w:rsid w:val="5F3A3602"/>
    <w:rsid w:val="5F45733B"/>
    <w:rsid w:val="5F6277C6"/>
    <w:rsid w:val="5F6D0B1D"/>
    <w:rsid w:val="5F8D0B82"/>
    <w:rsid w:val="5F9E149B"/>
    <w:rsid w:val="5F9F0B00"/>
    <w:rsid w:val="5FCC5339"/>
    <w:rsid w:val="5FE34A5B"/>
    <w:rsid w:val="5FFE1E36"/>
    <w:rsid w:val="60232584"/>
    <w:rsid w:val="607330CE"/>
    <w:rsid w:val="60825176"/>
    <w:rsid w:val="609F2AC4"/>
    <w:rsid w:val="60AF4A50"/>
    <w:rsid w:val="60C34FA0"/>
    <w:rsid w:val="60E908F1"/>
    <w:rsid w:val="60FA2EE8"/>
    <w:rsid w:val="61054A27"/>
    <w:rsid w:val="610A52BC"/>
    <w:rsid w:val="611D2366"/>
    <w:rsid w:val="61421856"/>
    <w:rsid w:val="615227C4"/>
    <w:rsid w:val="61654E3F"/>
    <w:rsid w:val="6182292A"/>
    <w:rsid w:val="619F7F92"/>
    <w:rsid w:val="61A35F50"/>
    <w:rsid w:val="61F94C26"/>
    <w:rsid w:val="62000E56"/>
    <w:rsid w:val="624F3E49"/>
    <w:rsid w:val="62514D9A"/>
    <w:rsid w:val="62632286"/>
    <w:rsid w:val="62885958"/>
    <w:rsid w:val="62F40B65"/>
    <w:rsid w:val="62FC2CFE"/>
    <w:rsid w:val="63024505"/>
    <w:rsid w:val="635600A5"/>
    <w:rsid w:val="635B1DB5"/>
    <w:rsid w:val="63711FED"/>
    <w:rsid w:val="63880DDC"/>
    <w:rsid w:val="638D750D"/>
    <w:rsid w:val="639749A6"/>
    <w:rsid w:val="63AC6CC0"/>
    <w:rsid w:val="64055776"/>
    <w:rsid w:val="64240056"/>
    <w:rsid w:val="64352465"/>
    <w:rsid w:val="643E143A"/>
    <w:rsid w:val="64491666"/>
    <w:rsid w:val="646B0F70"/>
    <w:rsid w:val="64727E0F"/>
    <w:rsid w:val="648B6EEF"/>
    <w:rsid w:val="64C158BF"/>
    <w:rsid w:val="64CE2EAA"/>
    <w:rsid w:val="653C3090"/>
    <w:rsid w:val="654859D2"/>
    <w:rsid w:val="65854376"/>
    <w:rsid w:val="658767BE"/>
    <w:rsid w:val="65892531"/>
    <w:rsid w:val="66195831"/>
    <w:rsid w:val="662E75B1"/>
    <w:rsid w:val="66342C2E"/>
    <w:rsid w:val="663E784C"/>
    <w:rsid w:val="668041C1"/>
    <w:rsid w:val="668B6A45"/>
    <w:rsid w:val="672F3F24"/>
    <w:rsid w:val="673E055F"/>
    <w:rsid w:val="67551CE3"/>
    <w:rsid w:val="679174AB"/>
    <w:rsid w:val="67A22552"/>
    <w:rsid w:val="67B22DCC"/>
    <w:rsid w:val="67BE71AA"/>
    <w:rsid w:val="67D90273"/>
    <w:rsid w:val="67DE5875"/>
    <w:rsid w:val="67E55852"/>
    <w:rsid w:val="67EB1AB4"/>
    <w:rsid w:val="67FA1285"/>
    <w:rsid w:val="68551F4F"/>
    <w:rsid w:val="687C10C9"/>
    <w:rsid w:val="68840C16"/>
    <w:rsid w:val="68876EFB"/>
    <w:rsid w:val="68884654"/>
    <w:rsid w:val="689F444F"/>
    <w:rsid w:val="68A57872"/>
    <w:rsid w:val="68B96DBB"/>
    <w:rsid w:val="68C76260"/>
    <w:rsid w:val="68CA2805"/>
    <w:rsid w:val="68E937A3"/>
    <w:rsid w:val="68EB1181"/>
    <w:rsid w:val="693E15D3"/>
    <w:rsid w:val="69627681"/>
    <w:rsid w:val="6977531D"/>
    <w:rsid w:val="69CB415A"/>
    <w:rsid w:val="69CC2BFF"/>
    <w:rsid w:val="69FD55B8"/>
    <w:rsid w:val="6A0B1C62"/>
    <w:rsid w:val="6A2406C8"/>
    <w:rsid w:val="6A2B29C4"/>
    <w:rsid w:val="6ADE0BD1"/>
    <w:rsid w:val="6AE96859"/>
    <w:rsid w:val="6B0D56DA"/>
    <w:rsid w:val="6B147746"/>
    <w:rsid w:val="6B24787C"/>
    <w:rsid w:val="6B573233"/>
    <w:rsid w:val="6B5B6274"/>
    <w:rsid w:val="6B935D53"/>
    <w:rsid w:val="6C196F71"/>
    <w:rsid w:val="6C226FCB"/>
    <w:rsid w:val="6C28706F"/>
    <w:rsid w:val="6C2B23F7"/>
    <w:rsid w:val="6C31226F"/>
    <w:rsid w:val="6C552F0B"/>
    <w:rsid w:val="6C781E36"/>
    <w:rsid w:val="6C84790D"/>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9F72AA"/>
    <w:rsid w:val="6FAE1A09"/>
    <w:rsid w:val="6FD75BF8"/>
    <w:rsid w:val="7041535D"/>
    <w:rsid w:val="707723D0"/>
    <w:rsid w:val="70F5661B"/>
    <w:rsid w:val="70FC7A7E"/>
    <w:rsid w:val="71360107"/>
    <w:rsid w:val="713B688E"/>
    <w:rsid w:val="71410DFB"/>
    <w:rsid w:val="71C84C95"/>
    <w:rsid w:val="71D43752"/>
    <w:rsid w:val="71F1796A"/>
    <w:rsid w:val="71F669E4"/>
    <w:rsid w:val="71F93EAD"/>
    <w:rsid w:val="72154626"/>
    <w:rsid w:val="72262B5D"/>
    <w:rsid w:val="72283FF7"/>
    <w:rsid w:val="722E7212"/>
    <w:rsid w:val="723A0474"/>
    <w:rsid w:val="725923E4"/>
    <w:rsid w:val="72864BF7"/>
    <w:rsid w:val="729023FC"/>
    <w:rsid w:val="72F03F2B"/>
    <w:rsid w:val="73820F74"/>
    <w:rsid w:val="73C0646E"/>
    <w:rsid w:val="742222F5"/>
    <w:rsid w:val="74476126"/>
    <w:rsid w:val="74706664"/>
    <w:rsid w:val="747F3682"/>
    <w:rsid w:val="748B295D"/>
    <w:rsid w:val="749C4185"/>
    <w:rsid w:val="74D13AA3"/>
    <w:rsid w:val="74E31562"/>
    <w:rsid w:val="75067759"/>
    <w:rsid w:val="752E6DCD"/>
    <w:rsid w:val="75446C8E"/>
    <w:rsid w:val="7551380D"/>
    <w:rsid w:val="75600BE5"/>
    <w:rsid w:val="7564475C"/>
    <w:rsid w:val="7583797F"/>
    <w:rsid w:val="75D20F1D"/>
    <w:rsid w:val="75DA2C18"/>
    <w:rsid w:val="75F54412"/>
    <w:rsid w:val="761D08E0"/>
    <w:rsid w:val="762E1372"/>
    <w:rsid w:val="765D347C"/>
    <w:rsid w:val="76826699"/>
    <w:rsid w:val="76B15F7E"/>
    <w:rsid w:val="76C87133"/>
    <w:rsid w:val="76CD08D5"/>
    <w:rsid w:val="76DB4B92"/>
    <w:rsid w:val="76E148E1"/>
    <w:rsid w:val="76EC7238"/>
    <w:rsid w:val="77052AA4"/>
    <w:rsid w:val="770C4B54"/>
    <w:rsid w:val="7712121B"/>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8F7E4B"/>
    <w:rsid w:val="7BEE0103"/>
    <w:rsid w:val="7C0A0FE4"/>
    <w:rsid w:val="7C254906"/>
    <w:rsid w:val="7C3819A4"/>
    <w:rsid w:val="7C590818"/>
    <w:rsid w:val="7C7C10F6"/>
    <w:rsid w:val="7C853BEA"/>
    <w:rsid w:val="7C881368"/>
    <w:rsid w:val="7CE27788"/>
    <w:rsid w:val="7CE654E1"/>
    <w:rsid w:val="7D0C32F1"/>
    <w:rsid w:val="7D0F408D"/>
    <w:rsid w:val="7D491C6C"/>
    <w:rsid w:val="7D5429C0"/>
    <w:rsid w:val="7D6E6D43"/>
    <w:rsid w:val="7DB50C65"/>
    <w:rsid w:val="7DB57A34"/>
    <w:rsid w:val="7DC23D89"/>
    <w:rsid w:val="7DE60973"/>
    <w:rsid w:val="7DEF0916"/>
    <w:rsid w:val="7E1E5218"/>
    <w:rsid w:val="7E2F7D4C"/>
    <w:rsid w:val="7E9A4E1F"/>
    <w:rsid w:val="7EA7723A"/>
    <w:rsid w:val="7EB45631"/>
    <w:rsid w:val="7EE57E25"/>
    <w:rsid w:val="7EF56FBB"/>
    <w:rsid w:val="7F0768EB"/>
    <w:rsid w:val="7F143BEC"/>
    <w:rsid w:val="7F382671"/>
    <w:rsid w:val="7F715AF2"/>
    <w:rsid w:val="7F886E69"/>
    <w:rsid w:val="7FBE79FD"/>
    <w:rsid w:val="BB7FA927"/>
    <w:rsid w:val="F5FFD31F"/>
    <w:rsid w:val="FFCF1770"/>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4">
    <w:name w:val="Default Paragraph Font"/>
    <w:unhideWhenUsed/>
    <w:qFormat/>
    <w:uiPriority w:val="1"/>
  </w:style>
  <w:style w:type="table" w:default="1" w:styleId="75">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432"/>
    <w:qFormat/>
    <w:uiPriority w:val="0"/>
    <w:pPr>
      <w:autoSpaceDE w:val="0"/>
      <w:autoSpaceDN w:val="0"/>
      <w:spacing w:line="360" w:lineRule="auto"/>
    </w:pPr>
    <w:rPr>
      <w:rFonts w:ascii="宋体" w:hAnsi="Arial" w:cs="Arial"/>
      <w:snapToGrid w:val="0"/>
      <w:sz w:val="24"/>
      <w:szCs w:val="21"/>
      <w:lang w:val="zh-CN"/>
    </w:rPr>
  </w:style>
  <w:style w:type="paragraph" w:customStyle="1" w:styleId="3">
    <w:name w:val="Default"/>
    <w:next w:val="4"/>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4">
    <w:name w:val="annotation subject"/>
    <w:basedOn w:val="15"/>
    <w:next w:val="15"/>
    <w:link w:val="98"/>
    <w:qFormat/>
    <w:uiPriority w:val="0"/>
    <w:rPr>
      <w:b/>
      <w:bCs/>
    </w:rPr>
  </w:style>
  <w:style w:type="paragraph" w:styleId="15">
    <w:name w:val="annotation text"/>
    <w:basedOn w:val="1"/>
    <w:link w:val="346"/>
    <w:qFormat/>
    <w:uiPriority w:val="99"/>
    <w:pPr>
      <w:jc w:val="left"/>
    </w:pPr>
  </w:style>
  <w:style w:type="paragraph" w:styleId="16">
    <w:name w:val="toc 7"/>
    <w:basedOn w:val="1"/>
    <w:next w:val="1"/>
    <w:qFormat/>
    <w:uiPriority w:val="0"/>
    <w:pPr>
      <w:ind w:left="2520" w:leftChars="1200"/>
    </w:pPr>
  </w:style>
  <w:style w:type="paragraph" w:styleId="17">
    <w:name w:val="Body Text First Indent"/>
    <w:basedOn w:val="2"/>
    <w:next w:val="1"/>
    <w:link w:val="323"/>
    <w:qFormat/>
    <w:uiPriority w:val="0"/>
    <w:pPr>
      <w:ind w:firstLine="420"/>
    </w:pPr>
    <w:rPr>
      <w:rFonts w:hAnsi="Calibri" w:cs="Times New Roman"/>
      <w:snapToGrid/>
      <w:szCs w:val="20"/>
    </w:rPr>
  </w:style>
  <w:style w:type="paragraph" w:styleId="18">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9">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1">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22">
    <w:name w:val="caption"/>
    <w:basedOn w:val="1"/>
    <w:next w:val="1"/>
    <w:link w:val="231"/>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link w:val="204"/>
    <w:qFormat/>
    <w:uiPriority w:val="0"/>
    <w:pPr>
      <w:shd w:val="clear" w:color="auto" w:fill="000080"/>
    </w:pPr>
  </w:style>
  <w:style w:type="paragraph" w:styleId="25">
    <w:name w:val="Salutation"/>
    <w:basedOn w:val="1"/>
    <w:next w:val="1"/>
    <w:link w:val="300"/>
    <w:qFormat/>
    <w:uiPriority w:val="0"/>
    <w:rPr>
      <w:rFonts w:ascii="仿宋_GB2312" w:eastAsia="仿宋_GB2312"/>
      <w:sz w:val="28"/>
      <w:szCs w:val="20"/>
    </w:rPr>
  </w:style>
  <w:style w:type="paragraph" w:styleId="26">
    <w:name w:val="Body Text 3"/>
    <w:basedOn w:val="1"/>
    <w:link w:val="332"/>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Body Text Indent"/>
    <w:basedOn w:val="1"/>
    <w:next w:val="1"/>
    <w:link w:val="267"/>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ind w:left="840" w:leftChars="400"/>
    </w:pPr>
  </w:style>
  <w:style w:type="paragraph" w:styleId="36">
    <w:name w:val="Plain Text"/>
    <w:basedOn w:val="1"/>
    <w:next w:val="1"/>
    <w:link w:val="127"/>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3"/>
    <w:qFormat/>
    <w:uiPriority w:val="0"/>
    <w:pPr>
      <w:ind w:left="100" w:leftChars="2500"/>
    </w:pPr>
    <w:rPr>
      <w:rFonts w:ascii="宋体"/>
      <w:sz w:val="24"/>
      <w:szCs w:val="21"/>
      <w:lang w:val="zh-CN"/>
    </w:rPr>
  </w:style>
  <w:style w:type="paragraph" w:styleId="40">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1">
    <w:name w:val="endnote text"/>
    <w:basedOn w:val="1"/>
    <w:link w:val="933"/>
    <w:qFormat/>
    <w:uiPriority w:val="0"/>
    <w:rPr>
      <w:lang w:val="zh-CN"/>
    </w:rPr>
  </w:style>
  <w:style w:type="paragraph" w:styleId="42">
    <w:name w:val="Balloon Text"/>
    <w:basedOn w:val="1"/>
    <w:link w:val="190"/>
    <w:qFormat/>
    <w:uiPriority w:val="0"/>
    <w:rPr>
      <w:sz w:val="18"/>
      <w:szCs w:val="18"/>
    </w:rPr>
  </w:style>
  <w:style w:type="paragraph" w:styleId="43">
    <w:name w:val="footer"/>
    <w:basedOn w:val="1"/>
    <w:link w:val="385"/>
    <w:qFormat/>
    <w:uiPriority w:val="99"/>
    <w:pPr>
      <w:tabs>
        <w:tab w:val="center" w:pos="4153"/>
        <w:tab w:val="right" w:pos="8306"/>
      </w:tabs>
      <w:snapToGrid w:val="0"/>
      <w:jc w:val="left"/>
    </w:pPr>
    <w:rPr>
      <w:sz w:val="18"/>
      <w:szCs w:val="18"/>
    </w:rPr>
  </w:style>
  <w:style w:type="paragraph" w:styleId="44">
    <w:name w:val="Body Text First Indent 2"/>
    <w:basedOn w:val="28"/>
    <w:next w:val="17"/>
    <w:link w:val="123"/>
    <w:qFormat/>
    <w:uiPriority w:val="0"/>
    <w:pPr>
      <w:adjustRightInd/>
      <w:spacing w:after="120" w:line="240" w:lineRule="auto"/>
      <w:ind w:left="420" w:leftChars="200" w:firstLine="210"/>
    </w:pPr>
    <w:rPr>
      <w:sz w:val="21"/>
    </w:rPr>
  </w:style>
  <w:style w:type="paragraph" w:styleId="45">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21"/>
    <w:link w:val="312"/>
    <w:qFormat/>
    <w:uiPriority w:val="0"/>
    <w:pPr>
      <w:adjustRightInd/>
      <w:snapToGrid/>
      <w:spacing w:before="60" w:after="60" w:line="300" w:lineRule="exact"/>
      <w:ind w:firstLine="0"/>
    </w:pPr>
    <w:rPr>
      <w:rFonts w:ascii="Calibri"/>
      <w:snapToGrid/>
      <w:color w:val="0000FF"/>
      <w:kern w:val="0"/>
      <w:sz w:val="21"/>
    </w:rPr>
  </w:style>
  <w:style w:type="paragraph" w:styleId="55">
    <w:name w:val="toc 6"/>
    <w:basedOn w:val="1"/>
    <w:next w:val="1"/>
    <w:qFormat/>
    <w:uiPriority w:val="0"/>
    <w:pPr>
      <w:ind w:left="2100" w:leftChars="1000"/>
    </w:pPr>
  </w:style>
  <w:style w:type="paragraph" w:styleId="56">
    <w:name w:val="List 5"/>
    <w:basedOn w:val="1"/>
    <w:qFormat/>
    <w:uiPriority w:val="0"/>
    <w:pPr>
      <w:adjustRightInd/>
      <w:ind w:left="100" w:leftChars="800" w:hanging="200" w:hangingChars="200"/>
    </w:pPr>
  </w:style>
  <w:style w:type="paragraph" w:styleId="57">
    <w:name w:val="Body Text Indent 3"/>
    <w:basedOn w:val="1"/>
    <w:link w:val="377"/>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304"/>
    <w:qFormat/>
    <w:uiPriority w:val="0"/>
    <w:pPr>
      <w:spacing w:after="120" w:line="480" w:lineRule="auto"/>
    </w:pPr>
  </w:style>
  <w:style w:type="paragraph" w:styleId="61">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next w:val="1"/>
    <w:link w:val="288"/>
    <w:qFormat/>
    <w:uiPriority w:val="10"/>
    <w:pPr>
      <w:widowControl/>
      <w:overflowPunct w:val="0"/>
      <w:autoSpaceDE w:val="0"/>
      <w:autoSpaceDN w:val="0"/>
      <w:jc w:val="center"/>
      <w:textAlignment w:val="baseline"/>
    </w:pPr>
    <w:rPr>
      <w:b/>
      <w:kern w:val="0"/>
      <w:sz w:val="24"/>
      <w:szCs w:val="20"/>
      <w:lang w:val="en-GB"/>
    </w:rPr>
  </w:style>
  <w:style w:type="character" w:styleId="65">
    <w:name w:val="Strong"/>
    <w:qFormat/>
    <w:uiPriority w:val="22"/>
    <w:rPr>
      <w:b/>
      <w:bCs/>
    </w:rPr>
  </w:style>
  <w:style w:type="character" w:styleId="66">
    <w:name w:val="endnote reference"/>
    <w:qFormat/>
    <w:uiPriority w:val="0"/>
    <w:rPr>
      <w:vertAlign w:val="superscript"/>
    </w:rPr>
  </w:style>
  <w:style w:type="character" w:styleId="67">
    <w:name w:val="page number"/>
    <w:basedOn w:val="64"/>
    <w:qFormat/>
    <w:uiPriority w:val="0"/>
    <w:rPr>
      <w:rFonts w:ascii="Arial" w:hAnsi="Arial" w:eastAsia="黑体" w:cs="Arial"/>
      <w:snapToGrid w:val="0"/>
      <w:kern w:val="0"/>
      <w:szCs w:val="21"/>
    </w:rPr>
  </w:style>
  <w:style w:type="character" w:styleId="68">
    <w:name w:val="FollowedHyperlink"/>
    <w:qFormat/>
    <w:uiPriority w:val="99"/>
    <w:rPr>
      <w:rFonts w:ascii="Arial" w:hAnsi="Arial" w:eastAsia="黑体" w:cs="Arial"/>
      <w:snapToGrid w:val="0"/>
      <w:color w:val="000000"/>
      <w:kern w:val="0"/>
      <w:sz w:val="18"/>
      <w:szCs w:val="18"/>
      <w:u w:val="none"/>
    </w:rPr>
  </w:style>
  <w:style w:type="character" w:styleId="69">
    <w:name w:val="Emphasis"/>
    <w:qFormat/>
    <w:uiPriority w:val="20"/>
    <w:rPr>
      <w:color w:val="CC0033"/>
    </w:rPr>
  </w:style>
  <w:style w:type="character" w:styleId="70">
    <w:name w:val="line number"/>
    <w:basedOn w:val="64"/>
    <w:qFormat/>
    <w:uiPriority w:val="0"/>
    <w:rPr>
      <w:rFonts w:ascii="Arial" w:hAnsi="Arial" w:eastAsia="黑体" w:cs="Arial"/>
      <w:snapToGrid w:val="0"/>
      <w:kern w:val="0"/>
      <w:szCs w:val="21"/>
    </w:rPr>
  </w:style>
  <w:style w:type="character" w:styleId="71">
    <w:name w:val="Hyperlink"/>
    <w:qFormat/>
    <w:uiPriority w:val="99"/>
    <w:rPr>
      <w:rFonts w:ascii="Arial" w:hAnsi="Arial" w:eastAsia="黑体" w:cs="Arial"/>
      <w:snapToGrid w:val="0"/>
      <w:color w:val="000000"/>
      <w:kern w:val="0"/>
      <w:sz w:val="18"/>
      <w:szCs w:val="18"/>
      <w:u w:val="none"/>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99"/>
    <w:rPr>
      <w:sz w:val="21"/>
      <w:szCs w:val="21"/>
    </w:rPr>
  </w:style>
  <w:style w:type="character" w:styleId="74">
    <w:name w:val="HTML Sample"/>
    <w:basedOn w:val="64"/>
    <w:qFormat/>
    <w:uiPriority w:val="0"/>
    <w:rPr>
      <w:rFonts w:ascii="Courier New" w:hAnsi="Courier New"/>
    </w:rPr>
  </w:style>
  <w:style w:type="table" w:styleId="76">
    <w:name w:val="Table Grid"/>
    <w:basedOn w:val="7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7">
    <w:name w:val="Table Theme"/>
    <w:basedOn w:val="7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8">
    <w:name w:val="Table Elegant"/>
    <w:basedOn w:val="7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79">
    <w:name w:val="Table Grid 5"/>
    <w:basedOn w:val="7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80">
    <w:name w:val="Table Grid 8"/>
    <w:basedOn w:val="7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81">
    <w:name w:val="Table Professional"/>
    <w:basedOn w:val="7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paragraph" w:customStyle="1" w:styleId="82">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83">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14"/>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44"/>
    <w:qFormat/>
    <w:uiPriority w:val="0"/>
    <w:rPr>
      <w:rFonts w:ascii="宋体" w:hAnsi="宋体"/>
      <w:kern w:val="2"/>
      <w:sz w:val="21"/>
      <w:szCs w:val="24"/>
    </w:rPr>
  </w:style>
  <w:style w:type="character" w:customStyle="1" w:styleId="124">
    <w:name w:val="font11"/>
    <w:basedOn w:val="64"/>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4"/>
    <w:qFormat/>
    <w:uiPriority w:val="0"/>
    <w:rPr>
      <w:rFonts w:ascii="Arial" w:hAnsi="Arial" w:eastAsia="黑体" w:cs="Arial"/>
      <w:snapToGrid w:val="0"/>
      <w:kern w:val="0"/>
      <w:szCs w:val="21"/>
    </w:rPr>
  </w:style>
  <w:style w:type="character" w:customStyle="1" w:styleId="127">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51"/>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10"/>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6"/>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9"/>
    <w:qFormat/>
    <w:uiPriority w:val="0"/>
    <w:rPr>
      <w:rFonts w:ascii="宋体"/>
      <w:kern w:val="2"/>
      <w:sz w:val="24"/>
      <w:szCs w:val="21"/>
      <w:lang w:val="zh-CN"/>
    </w:rPr>
  </w:style>
  <w:style w:type="character" w:customStyle="1" w:styleId="184">
    <w:name w:val="标题 9 Char"/>
    <w:link w:val="13"/>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2"/>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21"/>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24"/>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4"/>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3"/>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8"/>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22"/>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3"/>
    <w:qFormat/>
    <w:uiPriority w:val="0"/>
    <w:rPr>
      <w:rFonts w:ascii="仿宋_GB2312" w:eastAsia="仿宋_GB2312" w:cs="仿宋_GB2312"/>
      <w:color w:val="000000"/>
      <w:sz w:val="24"/>
      <w:szCs w:val="24"/>
      <w:lang w:val="en-US" w:eastAsia="zh-CN" w:bidi="ar-SA"/>
    </w:rPr>
  </w:style>
  <w:style w:type="paragraph" w:customStyle="1" w:styleId="23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出段落1"/>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8"/>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5"/>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3"/>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9"/>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5"/>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61"/>
    <w:qFormat/>
    <w:uiPriority w:val="0"/>
    <w:rPr>
      <w:rFonts w:ascii="黑体" w:hAnsi="Courier New" w:eastAsia="黑体"/>
    </w:rPr>
  </w:style>
  <w:style w:type="character" w:customStyle="1" w:styleId="304">
    <w:name w:val="正文文本 2 Char1"/>
    <w:link w:val="60"/>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8"/>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1"/>
    <w:qFormat/>
    <w:uiPriority w:val="0"/>
    <w:rPr>
      <w:b/>
      <w:bCs/>
      <w:kern w:val="2"/>
      <w:sz w:val="24"/>
      <w:szCs w:val="24"/>
    </w:rPr>
  </w:style>
  <w:style w:type="character" w:customStyle="1" w:styleId="310">
    <w:name w:val="正文文本缩进 2 Char"/>
    <w:link w:val="40"/>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4"/>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17"/>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8"/>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6"/>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5"/>
    <w:qFormat/>
    <w:uiPriority w:val="99"/>
    <w:rPr>
      <w:kern w:val="2"/>
      <w:sz w:val="21"/>
      <w:szCs w:val="24"/>
    </w:rPr>
  </w:style>
  <w:style w:type="character" w:customStyle="1" w:styleId="347">
    <w:name w:val="签名 Char"/>
    <w:link w:val="46"/>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2"/>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7"/>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3"/>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5"/>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99"/>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4"/>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21"/>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3">
    <w:name w:val="gray6"/>
    <w:basedOn w:val="64"/>
    <w:qFormat/>
    <w:uiPriority w:val="0"/>
    <w:rPr>
      <w:rFonts w:ascii="Arial" w:hAnsi="Arial" w:eastAsia="黑体" w:cs="Arial"/>
      <w:snapToGrid w:val="0"/>
      <w:kern w:val="0"/>
      <w:szCs w:val="21"/>
    </w:rPr>
  </w:style>
  <w:style w:type="character" w:customStyle="1" w:styleId="434">
    <w:name w:val="hui"/>
    <w:basedOn w:val="64"/>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8"/>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6"/>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7"/>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9"/>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7"/>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1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3"/>
    <w:next w:val="3"/>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3"/>
    <w:next w:val="3"/>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21"/>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60"/>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5"/>
    <w:qFormat/>
    <w:uiPriority w:val="0"/>
    <w:pPr>
      <w:tabs>
        <w:tab w:val="left" w:pos="840"/>
      </w:tabs>
      <w:adjustRightInd/>
      <w:ind w:left="840" w:hanging="420"/>
    </w:pPr>
  </w:style>
  <w:style w:type="paragraph" w:customStyle="1" w:styleId="627">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0"/>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7"/>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21"/>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7"/>
    <w:next w:val="57"/>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5"/>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8"/>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20"/>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4"/>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5"/>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3">
    <w:name w:val="网格型1"/>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4">
    <w:name w:val="网格型6"/>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5">
    <w:name w:val="网格型3"/>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6">
    <w:name w:val="网格型4"/>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7">
    <w:name w:val="网格型5"/>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1"/>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4"/>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67">
    <w:name w:val="font111"/>
    <w:basedOn w:val="64"/>
    <w:qFormat/>
    <w:uiPriority w:val="0"/>
    <w:rPr>
      <w:rFonts w:hint="eastAsia" w:ascii="微软雅黑" w:hAnsi="微软雅黑" w:eastAsia="微软雅黑" w:cs="微软雅黑"/>
      <w:color w:val="333333"/>
      <w:sz w:val="16"/>
      <w:szCs w:val="16"/>
      <w:u w:val="none"/>
    </w:rPr>
  </w:style>
  <w:style w:type="paragraph" w:customStyle="1" w:styleId="968">
    <w:name w:val="Proposals body"/>
    <w:basedOn w:val="1"/>
    <w:next w:val="1"/>
    <w:qFormat/>
    <w:uiPriority w:val="0"/>
    <w:pPr>
      <w:widowControl/>
      <w:snapToGrid w:val="0"/>
      <w:jc w:val="left"/>
    </w:pPr>
    <w:rPr>
      <w:rFonts w:ascii="宋体"/>
      <w:color w:val="000000"/>
      <w:kern w:val="0"/>
      <w:szCs w:val="20"/>
    </w:rPr>
  </w:style>
  <w:style w:type="character" w:customStyle="1" w:styleId="969">
    <w:name w:val="NormalCharacter"/>
    <w:qFormat/>
    <w:uiPriority w:val="0"/>
    <w:rPr>
      <w:rFonts w:ascii="Times New Roman" w:hAnsi="Times New Roman" w:eastAsia="宋体"/>
    </w:rPr>
  </w:style>
  <w:style w:type="table" w:customStyle="1" w:styleId="970">
    <w:name w:val="Table Normal"/>
    <w:unhideWhenUsed/>
    <w:qFormat/>
    <w:uiPriority w:val="2"/>
    <w:pPr>
      <w:widowControl w:val="0"/>
    </w:pPr>
    <w:rPr>
      <w:sz w:val="22"/>
      <w:lang w:eastAsia="en-US"/>
    </w:rPr>
    <w:tblPr>
      <w:tblLayout w:type="fixed"/>
      <w:tblCellMar>
        <w:top w:w="0" w:type="dxa"/>
        <w:left w:w="0" w:type="dxa"/>
        <w:bottom w:w="0" w:type="dxa"/>
        <w:right w:w="0" w:type="dxa"/>
      </w:tblCellMar>
    </w:tblPr>
  </w:style>
  <w:style w:type="paragraph" w:customStyle="1" w:styleId="971">
    <w:name w:val="[Normal]"/>
    <w:qFormat/>
    <w:uiPriority w:val="99"/>
    <w:rPr>
      <w:rFonts w:ascii="宋体" w:hAnsi="宋体" w:eastAsia="宋体" w:cs="宋体"/>
      <w:sz w:val="24"/>
      <w:szCs w:val="24"/>
      <w:lang w:val="zh-CN" w:eastAsia="zh-CN" w:bidi="ar-SA"/>
    </w:rPr>
  </w:style>
  <w:style w:type="paragraph" w:customStyle="1" w:styleId="972">
    <w:name w:val="列出段落6"/>
    <w:basedOn w:val="1"/>
    <w:qFormat/>
    <w:uiPriority w:val="99"/>
    <w:pPr>
      <w:ind w:firstLine="420" w:firstLineChars="200"/>
    </w:pPr>
  </w:style>
  <w:style w:type="character" w:customStyle="1" w:styleId="973">
    <w:name w:val="font101"/>
    <w:basedOn w:val="64"/>
    <w:qFormat/>
    <w:uiPriority w:val="0"/>
    <w:rPr>
      <w:rFonts w:hint="eastAsia" w:ascii="宋体" w:hAnsi="宋体" w:eastAsia="宋体" w:cs="宋体"/>
      <w:b/>
      <w:color w:val="000000"/>
      <w:sz w:val="18"/>
      <w:szCs w:val="18"/>
      <w:u w:val="none"/>
    </w:rPr>
  </w:style>
  <w:style w:type="character" w:customStyle="1" w:styleId="974">
    <w:name w:val="font122"/>
    <w:basedOn w:val="64"/>
    <w:qFormat/>
    <w:uiPriority w:val="0"/>
    <w:rPr>
      <w:rFonts w:hint="eastAsia" w:ascii="宋体" w:hAnsi="宋体" w:eastAsia="宋体" w:cs="宋体"/>
      <w:color w:val="000000"/>
      <w:sz w:val="18"/>
      <w:szCs w:val="18"/>
      <w:u w:val="none"/>
    </w:rPr>
  </w:style>
  <w:style w:type="character" w:customStyle="1" w:styleId="975">
    <w:name w:val="font131"/>
    <w:basedOn w:val="64"/>
    <w:qFormat/>
    <w:uiPriority w:val="0"/>
    <w:rPr>
      <w:rFonts w:hint="default" w:ascii="Wingdings" w:hAnsi="Wingdings" w:cs="Wingdings"/>
      <w:color w:val="000000"/>
      <w:sz w:val="18"/>
      <w:szCs w:val="18"/>
      <w:u w:val="none"/>
    </w:rPr>
  </w:style>
  <w:style w:type="character" w:customStyle="1" w:styleId="976">
    <w:name w:val="font141"/>
    <w:basedOn w:val="64"/>
    <w:qFormat/>
    <w:uiPriority w:val="0"/>
    <w:rPr>
      <w:rFonts w:hint="default" w:ascii="Times New Roman" w:hAnsi="Times New Roman" w:cs="Times New Roman"/>
      <w:color w:val="000000"/>
      <w:sz w:val="14"/>
      <w:szCs w:val="14"/>
      <w:u w:val="none"/>
    </w:rPr>
  </w:style>
  <w:style w:type="character" w:customStyle="1" w:styleId="977">
    <w:name w:val="font151"/>
    <w:basedOn w:val="64"/>
    <w:qFormat/>
    <w:uiPriority w:val="0"/>
    <w:rPr>
      <w:rFonts w:hint="default" w:ascii="Calibri" w:hAnsi="Calibri" w:cs="Calibri"/>
      <w:color w:val="000000"/>
      <w:sz w:val="18"/>
      <w:szCs w:val="18"/>
      <w:u w:val="none"/>
    </w:rPr>
  </w:style>
  <w:style w:type="paragraph" w:customStyle="1" w:styleId="978">
    <w:name w:val="列表段落2"/>
    <w:basedOn w:val="1"/>
    <w:qFormat/>
    <w:uiPriority w:val="34"/>
    <w:pPr>
      <w:ind w:firstLine="420" w:firstLineChars="200"/>
    </w:pPr>
  </w:style>
  <w:style w:type="paragraph" w:customStyle="1" w:styleId="979">
    <w:name w:val="文"/>
    <w:basedOn w:val="1"/>
    <w:qFormat/>
    <w:uiPriority w:val="0"/>
    <w:pPr>
      <w:spacing w:line="360" w:lineRule="auto"/>
      <w:ind w:firstLine="480"/>
    </w:pPr>
    <w:rPr>
      <w:rFonts w:ascii="宋体" w:hAnsi="宋体"/>
      <w:sz w:val="24"/>
    </w:rPr>
  </w:style>
  <w:style w:type="character" w:customStyle="1" w:styleId="980">
    <w:name w:val="未处理的提及2"/>
    <w:basedOn w:val="64"/>
    <w:unhideWhenUsed/>
    <w:qFormat/>
    <w:uiPriority w:val="99"/>
    <w:rPr>
      <w:color w:val="605E5C"/>
      <w:shd w:val="clear" w:color="auto" w:fill="E1DFDD"/>
    </w:rPr>
  </w:style>
  <w:style w:type="paragraph" w:customStyle="1" w:styleId="981">
    <w:name w:val="列出段落7"/>
    <w:basedOn w:val="1"/>
    <w:unhideWhenUsed/>
    <w:qFormat/>
    <w:uiPriority w:val="99"/>
    <w:pPr>
      <w:ind w:firstLine="420" w:firstLineChars="200"/>
    </w:pPr>
  </w:style>
  <w:style w:type="paragraph" w:customStyle="1" w:styleId="982">
    <w:name w:val="Body Text First Indent1"/>
    <w:basedOn w:val="2"/>
    <w:next w:val="55"/>
    <w:qFormat/>
    <w:uiPriority w:val="0"/>
    <w:pPr>
      <w:spacing w:line="312" w:lineRule="auto"/>
      <w:ind w:firstLine="420"/>
    </w:pPr>
    <w:rPr>
      <w:rFonts w:ascii="Calibri" w:hAnsi="Calibri" w:cs="Times New Roman"/>
      <w:sz w:val="32"/>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22411</Words>
  <Characters>25527</Characters>
  <Lines>329</Lines>
  <Paragraphs>92</Paragraphs>
  <TotalTime>0</TotalTime>
  <ScaleCrop>false</ScaleCrop>
  <LinksUpToDate>false</LinksUpToDate>
  <CharactersWithSpaces>25725</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2024-05-14T16:02:00Z</dcterms:created>
  <dc:creator>玥</dc:creator>
  <cp:lastModifiedBy>Administrator</cp:lastModifiedBy>
  <cp:lastPrinted>2024-05-22T11:56:00Z</cp:lastPrinted>
  <dcterms:modified xsi:type="dcterms:W3CDTF">2025-06-20T08:55:56Z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B17C82B09DE844168AE1AD8593330125_13</vt:lpwstr>
  </property>
  <property fmtid="{D5CDD505-2E9C-101B-9397-08002B2CF9AE}" pid="5" name="KSOTemplateDocerSaveRecord">
    <vt:lpwstr>eyJoZGlkIjoiZDljN2JiMjg5ZjIyYWQ5ZDI5MDkwZjYwMTkxNmUwZDQifQ==</vt:lpwstr>
  </property>
</Properties>
</file>