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杭州市丁桥医院后勤技术保障部分服务采购项目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HSZB-2025-604</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杭州市丁桥医院</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浙江豪圣建设项目管理有限公司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三十</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8"/>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杭州市丁桥医院后勤技术保障部分服务采购项目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https://www.zcygov.cn/）获取（下载）招标文件，并于202</w:t>
      </w:r>
      <w:r>
        <w:rPr>
          <w:rStyle w:val="77"/>
          <w:rFonts w:hint="eastAsia" w:ascii="宋体" w:hAnsi="宋体" w:cs="宋体"/>
          <w:snapToGrid/>
          <w:color w:val="auto"/>
          <w:kern w:val="2"/>
          <w:sz w:val="24"/>
          <w:szCs w:val="24"/>
          <w:highlight w:val="none"/>
          <w:lang w:val="en-US" w:eastAsia="zh-CN"/>
        </w:rPr>
        <w:t>5</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7</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HSZB-2025-604</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杭州市丁桥医院后勤技术保障部分服务采购项目</w:t>
      </w:r>
    </w:p>
    <w:p w14:paraId="1C6D4CAA">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val="0"/>
          <w:bCs/>
          <w:color w:val="auto"/>
          <w:sz w:val="24"/>
          <w:highlight w:val="none"/>
          <w:lang w:val="en-US" w:eastAsia="zh-CN"/>
        </w:rPr>
        <w:t>15000000</w:t>
      </w:r>
      <w:r>
        <w:rPr>
          <w:rFonts w:hint="eastAsia" w:ascii="宋体" w:hAnsi="宋体" w:cs="宋体"/>
          <w:b w:val="0"/>
          <w:bCs/>
          <w:color w:val="auto"/>
          <w:sz w:val="24"/>
          <w:highlight w:val="none"/>
        </w:rPr>
        <w:t>.00</w:t>
      </w:r>
      <w:r>
        <w:rPr>
          <w:rFonts w:hint="eastAsia" w:ascii="宋体" w:hAnsi="宋体" w:cs="宋体"/>
          <w:color w:val="auto"/>
          <w:sz w:val="24"/>
          <w:highlight w:val="none"/>
          <w:lang w:eastAsia="zh-CN"/>
        </w:rPr>
        <w:t>元</w:t>
      </w:r>
      <w:r>
        <w:rPr>
          <w:rFonts w:hint="eastAsia" w:ascii="宋体" w:hAnsi="宋体" w:cs="宋体"/>
          <w:color w:val="auto"/>
          <w:sz w:val="24"/>
          <w:highlight w:val="none"/>
          <w:lang w:val="en-US" w:eastAsia="zh-CN"/>
        </w:rPr>
        <w:t>/两年</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7500000</w:t>
      </w:r>
      <w:r>
        <w:rPr>
          <w:rFonts w:hint="eastAsia" w:ascii="宋体" w:hAnsi="宋体" w:cs="宋体"/>
          <w:b w:val="0"/>
          <w:bCs/>
          <w:color w:val="auto"/>
          <w:sz w:val="24"/>
          <w:highlight w:val="none"/>
        </w:rPr>
        <w:t>.00元/年</w:t>
      </w:r>
    </w:p>
    <w:p w14:paraId="6EC5DB8E">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杭州市丁桥医院后勤技术保障部分服务采购项目</w:t>
      </w:r>
      <w:r>
        <w:rPr>
          <w:rFonts w:hint="eastAsia" w:hAnsi="宋体" w:cs="宋体"/>
          <w:bCs/>
          <w:snapToGrid/>
          <w:color w:val="auto"/>
          <w:kern w:val="2"/>
          <w:sz w:val="24"/>
          <w:szCs w:val="24"/>
          <w:highlight w:val="none"/>
        </w:rPr>
        <w:t>主要内容：</w:t>
      </w:r>
      <w:r>
        <w:rPr>
          <w:sz w:val="24"/>
        </w:rPr>
        <w:t>杭州市丁桥医院占地面积161.26亩，总建筑面积16.7万平方米，是一家按照1000张床位规模和国家三级甲等医院标准建设的现代化医院。</w:t>
      </w:r>
      <w:r>
        <w:rPr>
          <w:rFonts w:hint="eastAsia"/>
          <w:sz w:val="24"/>
          <w:lang w:val="en-US" w:eastAsia="zh-CN"/>
        </w:rPr>
        <w:t>本次后勤技术保障部分服务采购项目主要涵盖</w:t>
      </w:r>
      <w:r>
        <w:rPr>
          <w:rFonts w:hint="eastAsia" w:ascii="宋体" w:hAnsi="宋体" w:cs="仿宋_GB2312"/>
          <w:sz w:val="24"/>
          <w:highlight w:val="none"/>
        </w:rPr>
        <w:t>综合运行维修保障服务、高压配电运行保障服务、中央空调热水锅炉和净化系统运行保障服务、医用气体和中央纯水系统运行保障服务、污水处理系统运行保障服务、</w:t>
      </w:r>
      <w:r>
        <w:rPr>
          <w:rFonts w:hint="eastAsia" w:ascii="宋体" w:hAnsi="宋体" w:cs="仿宋_GB2312"/>
          <w:sz w:val="24"/>
          <w:highlight w:val="none"/>
          <w:lang w:eastAsia="zh-CN"/>
        </w:rPr>
        <w:t>智慧后勤综合</w:t>
      </w:r>
      <w:r>
        <w:rPr>
          <w:rFonts w:hint="eastAsia" w:ascii="宋体" w:hAnsi="宋体" w:cs="仿宋_GB2312"/>
          <w:sz w:val="24"/>
          <w:highlight w:val="none"/>
        </w:rPr>
        <w:t>受理服务</w:t>
      </w:r>
      <w:r>
        <w:rPr>
          <w:rFonts w:hint="eastAsia" w:ascii="宋体" w:hAnsi="宋体" w:cs="仿宋_GB2312"/>
          <w:sz w:val="24"/>
          <w:highlight w:val="none"/>
          <w:lang w:eastAsia="zh-CN"/>
        </w:rPr>
        <w:t>、供应室器械清洗消毒保障服务、餐饮生产供应保障服务、</w:t>
      </w:r>
      <w:r>
        <w:rPr>
          <w:rFonts w:hint="eastAsia" w:ascii="宋体" w:hAnsi="宋体" w:eastAsia="宋体" w:cs="仿宋_GB2312"/>
          <w:sz w:val="24"/>
          <w:highlight w:val="none"/>
          <w:lang w:eastAsia="zh-CN"/>
        </w:rPr>
        <w:t>超声辅助服务、导医服务、停车收费服务</w:t>
      </w:r>
      <w:r>
        <w:rPr>
          <w:rFonts w:hint="eastAsia" w:hAnsi="宋体" w:cs="仿宋_GB2312"/>
          <w:sz w:val="24"/>
          <w:highlight w:val="none"/>
          <w:lang w:eastAsia="zh-CN"/>
        </w:rPr>
        <w:t>、</w:t>
      </w:r>
      <w:r>
        <w:rPr>
          <w:rFonts w:hint="eastAsia" w:hAnsi="宋体" w:cs="仿宋_GB2312"/>
          <w:sz w:val="24"/>
          <w:highlight w:val="none"/>
          <w:lang w:val="en-US" w:eastAsia="zh-CN"/>
        </w:rPr>
        <w:t>病案室窗口服务</w:t>
      </w:r>
      <w:r>
        <w:rPr>
          <w:rFonts w:hint="eastAsia" w:ascii="宋体" w:hAnsi="宋体" w:eastAsia="宋体" w:cs="仿宋_GB2312"/>
          <w:sz w:val="24"/>
          <w:highlight w:val="none"/>
          <w:lang w:eastAsia="zh-CN"/>
        </w:rPr>
        <w:t>共</w:t>
      </w:r>
      <w:r>
        <w:rPr>
          <w:rFonts w:hint="eastAsia" w:ascii="宋体" w:hAnsi="宋体" w:cs="仿宋_GB2312"/>
          <w:sz w:val="24"/>
          <w:highlight w:val="none"/>
        </w:rPr>
        <w:t>计</w:t>
      </w:r>
      <w:r>
        <w:rPr>
          <w:rFonts w:hint="eastAsia" w:ascii="宋体" w:hAnsi="宋体" w:cs="仿宋_GB2312"/>
          <w:sz w:val="24"/>
          <w:highlight w:val="none"/>
          <w:lang w:val="en-US" w:eastAsia="zh-CN"/>
        </w:rPr>
        <w:t>1</w:t>
      </w:r>
      <w:r>
        <w:rPr>
          <w:rFonts w:hint="eastAsia" w:hAnsi="宋体" w:cs="仿宋_GB2312"/>
          <w:sz w:val="24"/>
          <w:highlight w:val="none"/>
          <w:lang w:val="en-US" w:eastAsia="zh-CN"/>
        </w:rPr>
        <w:t>2</w:t>
      </w:r>
      <w:r>
        <w:rPr>
          <w:rFonts w:hint="eastAsia" w:ascii="宋体" w:hAnsi="宋体" w:cs="仿宋_GB2312"/>
          <w:sz w:val="24"/>
          <w:highlight w:val="none"/>
          <w:lang w:val="en-US" w:eastAsia="zh-CN"/>
        </w:rPr>
        <w:t>项</w:t>
      </w:r>
      <w:r>
        <w:rPr>
          <w:rFonts w:hint="eastAsia" w:ascii="宋体" w:hAnsi="宋体" w:cs="仿宋_GB2312"/>
          <w:sz w:val="24"/>
          <w:highlight w:val="none"/>
        </w:rPr>
        <w:t>后勤技术保障服务</w:t>
      </w:r>
      <w:r>
        <w:rPr>
          <w:rFonts w:hint="eastAsia" w:ascii="宋体" w:hAnsi="宋体" w:cs="仿宋_GB2312"/>
          <w:sz w:val="24"/>
          <w:highlight w:val="none"/>
          <w:lang w:eastAsia="zh-CN"/>
        </w:rPr>
        <w:t>。</w:t>
      </w:r>
      <w:r>
        <w:rPr>
          <w:sz w:val="24"/>
        </w:rPr>
        <w:t>同时严格履行安全生产职责，全方位保障设备设施正常运行、餐饮生产供应有序、就医引导高效，为医院高效运转与患者优质就医体验提供坚实后盾</w:t>
      </w:r>
      <w:r>
        <w:rPr>
          <w:rFonts w:hint="eastAsia" w:hAnsi="宋体" w:cs="宋体"/>
          <w:bCs/>
          <w:snapToGrid/>
          <w:color w:val="auto"/>
          <w:kern w:val="2"/>
          <w:sz w:val="24"/>
          <w:szCs w:val="24"/>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rPr>
        <w:t>两年</w:t>
      </w:r>
      <w:r>
        <w:rPr>
          <w:rFonts w:ascii="宋体" w:hAnsi="宋体" w:cs="宋体"/>
          <w:color w:val="auto"/>
          <w:highlight w:val="none"/>
        </w:rPr>
        <w:t xml:space="preserve"> </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4F5C04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 xml:space="preserve"> </w:t>
      </w:r>
    </w:p>
    <w:p w14:paraId="118B1D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olor w:val="auto"/>
          <w:sz w:val="24"/>
          <w:highlight w:val="none"/>
        </w:rPr>
        <w:t>杭州市</w:t>
      </w:r>
      <w:r>
        <w:rPr>
          <w:rFonts w:hint="eastAsia" w:ascii="宋体" w:hAnsi="宋体"/>
          <w:color w:val="auto"/>
          <w:sz w:val="24"/>
          <w:highlight w:val="none"/>
          <w:lang w:val="en-US" w:eastAsia="zh-CN"/>
        </w:rPr>
        <w:t>环丁路1630号</w:t>
      </w:r>
      <w:r>
        <w:rPr>
          <w:rFonts w:hint="eastAsia" w:ascii="宋体" w:hAnsi="宋体" w:cs="宋体"/>
          <w:color w:val="auto"/>
          <w:sz w:val="24"/>
          <w:highlight w:val="none"/>
        </w:rPr>
        <w:t xml:space="preserve">      </w:t>
      </w:r>
    </w:p>
    <w:p w14:paraId="13FEE0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453D12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sz w:val="24"/>
        </w:rPr>
        <w:t>谢中逊</w:t>
      </w:r>
      <w:r>
        <w:rPr>
          <w:rFonts w:hint="eastAsia" w:ascii="宋体" w:hAnsi="宋体" w:cs="宋体"/>
          <w:color w:val="auto"/>
          <w:sz w:val="24"/>
          <w:highlight w:val="none"/>
        </w:rPr>
        <w:t xml:space="preserve">  </w:t>
      </w:r>
    </w:p>
    <w:p w14:paraId="5FC2DF6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sz w:val="24"/>
        </w:rPr>
        <w:t>0571-88950020</w:t>
      </w:r>
    </w:p>
    <w:p w14:paraId="17845DF2">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sz w:val="24"/>
        </w:rPr>
        <w:t>万国锋</w:t>
      </w:r>
    </w:p>
    <w:p w14:paraId="12057B8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sz w:val="24"/>
        </w:rPr>
        <w:t>0571-88950929</w:t>
      </w:r>
    </w:p>
    <w:p w14:paraId="4A6470C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747EC3F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称：浙江豪圣建设项目管理有限公司</w:t>
      </w:r>
    </w:p>
    <w:p w14:paraId="2A2A11C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址：杭州市拱墅区大关路179号远洋国际中心A座17楼1706室</w:t>
      </w:r>
    </w:p>
    <w:p w14:paraId="07A974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FFD3F2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蒋雨馨、李梦镓、</w:t>
      </w:r>
      <w:r>
        <w:rPr>
          <w:rFonts w:hint="eastAsia" w:ascii="宋体" w:hAnsi="宋体" w:cs="宋体"/>
          <w:color w:val="auto"/>
          <w:sz w:val="24"/>
          <w:highlight w:val="none"/>
        </w:rPr>
        <w:t>曹剑斌、陈敏娇</w:t>
      </w:r>
    </w:p>
    <w:p w14:paraId="3135219B">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项目联系方式（询问</w:t>
      </w:r>
      <w:r>
        <w:rPr>
          <w:rFonts w:hint="eastAsia" w:ascii="宋体" w:hAnsi="宋体" w:eastAsia="宋体" w:cs="宋体"/>
          <w:color w:val="auto"/>
          <w:sz w:val="24"/>
          <w:highlight w:val="none"/>
        </w:rPr>
        <w:t>）：</w:t>
      </w:r>
      <w:r>
        <w:rPr>
          <w:rFonts w:hint="eastAsia" w:ascii="宋体" w:hAnsi="宋体" w:eastAsia="宋体" w:cs="宋体"/>
          <w:sz w:val="24"/>
        </w:rPr>
        <w:t>0571-87981527</w:t>
      </w:r>
    </w:p>
    <w:p w14:paraId="2633ECC7">
      <w:pPr>
        <w:pStyle w:val="25"/>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z w:val="24"/>
        </w:rPr>
        <w:t>质疑联系人：桑国坚</w:t>
      </w:r>
    </w:p>
    <w:p w14:paraId="0668558D">
      <w:pPr>
        <w:pStyle w:val="2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z w:val="24"/>
        </w:rPr>
        <w:t>质疑联系方式：0571-56386096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60C3CBEA">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w:t>
      </w:r>
      <w:r>
        <w:rPr>
          <w:rFonts w:hint="eastAsia" w:ascii="宋体" w:hAnsi="宋体" w:cs="宋体"/>
          <w:color w:val="auto"/>
          <w:sz w:val="24"/>
          <w:highlight w:val="none"/>
        </w:rPr>
        <w:t>沈先生、陈先生，0571-89580457、0571-89580460</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杭州市丁桥医院后勤技术保障部分服务采购项目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kern w:val="0"/>
                <w:sz w:val="24"/>
                <w:u w:val="single"/>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019300">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sz w:val="24"/>
                <w:u w:val="single"/>
              </w:rPr>
              <w:t>人员培训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80"/>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p>
          <w:p w14:paraId="76B6E23D">
            <w:pPr>
              <w:snapToGrid w:val="0"/>
              <w:spacing w:line="360" w:lineRule="auto"/>
              <w:rPr>
                <w:rFonts w:ascii="宋体" w:hAnsi="宋体" w:cs="宋体"/>
                <w:color w:val="auto"/>
                <w:kern w:val="0"/>
                <w:sz w:val="24"/>
                <w:highlight w:val="none"/>
              </w:rPr>
            </w:pPr>
            <w:r>
              <w:rPr>
                <w:rFonts w:hint="eastAsia"/>
                <w:color w:val="auto"/>
                <w:sz w:val="24"/>
              </w:rPr>
              <w:t>根据采购需求及评标办法要求提供，未按文件要求提供演示U盘造成评审专家无法正常评审的风险由供应商自行承担。（演示U盘请单独封装），能够清晰展示演示项目内容即可。</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杭州市拱墅区大关路179号远洋国际中心A座17楼170</w:t>
            </w:r>
            <w:r>
              <w:rPr>
                <w:rFonts w:hint="eastAsia" w:hAnsi="宋体" w:cs="宋体"/>
                <w:color w:val="auto"/>
                <w:kern w:val="28"/>
                <w:sz w:val="24"/>
                <w:szCs w:val="24"/>
                <w:highlight w:val="none"/>
                <w:u w:val="single"/>
                <w:lang w:val="en-US" w:eastAsia="zh-CN"/>
              </w:rPr>
              <w:t>6</w:t>
            </w:r>
            <w:r>
              <w:rPr>
                <w:rFonts w:hint="eastAsia" w:hAnsi="宋体" w:cs="宋体"/>
                <w:color w:val="auto"/>
                <w:kern w:val="28"/>
                <w:sz w:val="24"/>
                <w:szCs w:val="24"/>
                <w:highlight w:val="none"/>
                <w:u w:val="single"/>
              </w:rPr>
              <w:t>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kern w:val="28"/>
                <w:sz w:val="24"/>
                <w:szCs w:val="24"/>
                <w:u w:val="single"/>
                <w:lang w:val="en-US" w:eastAsia="zh-CN"/>
              </w:rPr>
              <w:t>李梦镓</w:t>
            </w:r>
            <w:r>
              <w:rPr>
                <w:rFonts w:hint="eastAsia" w:hAnsi="宋体" w:cs="宋体"/>
                <w:kern w:val="28"/>
                <w:sz w:val="24"/>
                <w:szCs w:val="24"/>
                <w:u w:val="single"/>
              </w:rPr>
              <w:t>，0571-87981527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3名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b/>
                <w:color w:val="auto"/>
                <w:kern w:val="0"/>
                <w:sz w:val="24"/>
                <w:highlight w:val="none"/>
              </w:rPr>
              <w:t>本项目的采购代理费由中标人支付；按中标价做为基数，依据国家发展计划委员会计价格[2002]1980号文《招标代理服务收费管理办法》、发改办价格[2003]857号文及发改价格[2011]534号收费标准的</w:t>
            </w:r>
            <w:r>
              <w:rPr>
                <w:rFonts w:hint="eastAsia"/>
                <w:b/>
                <w:color w:val="auto"/>
                <w:kern w:val="0"/>
                <w:sz w:val="24"/>
                <w:highlight w:val="none"/>
              </w:rPr>
              <w:t>58</w:t>
            </w:r>
            <w:r>
              <w:rPr>
                <w:b/>
                <w:color w:val="auto"/>
                <w:kern w:val="0"/>
                <w:sz w:val="24"/>
                <w:highlight w:val="none"/>
              </w:rPr>
              <w:t>%进行计算，由中标人在领取中标通知书时一次性向代理机构支付。该费用在投标文件中不单列，由投标人在投标总报价中综合考虑。</w:t>
            </w:r>
          </w:p>
        </w:tc>
      </w:tr>
      <w:tr w14:paraId="270A5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4C54DC49">
            <w:pPr>
              <w:snapToGrid w:val="0"/>
              <w:spacing w:line="360" w:lineRule="auto"/>
              <w:jc w:val="center"/>
              <w:rPr>
                <w:rFonts w:hint="default" w:ascii="宋体" w:hAnsi="宋体" w:eastAsia="宋体" w:cs="宋体"/>
                <w:color w:val="auto"/>
                <w:sz w:val="24"/>
                <w:highlight w:val="none"/>
                <w:lang w:val="en-US" w:eastAsia="zh-CN"/>
              </w:rPr>
            </w:pPr>
            <w:bookmarkStart w:id="11" w:name="第三部分"/>
            <w:bookmarkStart w:id="12" w:name="_Toc164416483"/>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01A0D343">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重要提醒</w:t>
            </w:r>
          </w:p>
        </w:tc>
        <w:tc>
          <w:tcPr>
            <w:tcW w:w="6095" w:type="dxa"/>
            <w:tcBorders>
              <w:top w:val="single" w:color="000000" w:sz="8" w:space="0"/>
              <w:left w:val="single" w:color="auto" w:sz="4" w:space="0"/>
              <w:bottom w:val="single" w:color="auto" w:sz="4" w:space="0"/>
              <w:right w:val="single" w:color="auto" w:sz="4" w:space="0"/>
            </w:tcBorders>
            <w:vAlign w:val="center"/>
          </w:tcPr>
          <w:p w14:paraId="5DD53A08">
            <w:pPr>
              <w:spacing w:line="360" w:lineRule="auto"/>
              <w:rPr>
                <w:b/>
                <w:color w:val="auto"/>
                <w:kern w:val="0"/>
                <w:sz w:val="24"/>
                <w:highlight w:val="none"/>
              </w:rPr>
            </w:pPr>
            <w:r>
              <w:rPr>
                <w:rFonts w:hint="eastAsia"/>
                <w:b/>
                <w:color w:val="auto"/>
                <w:kern w:val="0"/>
                <w:sz w:val="24"/>
                <w:highlight w:val="none"/>
                <w:lang w:val="en-US" w:eastAsia="zh-CN"/>
              </w:rPr>
              <w:t>投标人对投标文件中材料的真实性、合法性负责，</w:t>
            </w:r>
            <w:r>
              <w:rPr>
                <w:rFonts w:hint="eastAsia"/>
                <w:b/>
                <w:color w:val="auto"/>
                <w:kern w:val="0"/>
                <w:sz w:val="24"/>
                <w:highlight w:val="none"/>
              </w:rPr>
              <w:t>需</w:t>
            </w:r>
            <w:r>
              <w:rPr>
                <w:rFonts w:hint="eastAsia"/>
                <w:b/>
                <w:color w:val="auto"/>
                <w:kern w:val="0"/>
                <w:sz w:val="24"/>
                <w:highlight w:val="none"/>
                <w:lang w:val="en-US" w:eastAsia="zh-CN"/>
              </w:rPr>
              <w:t>准备好“</w:t>
            </w:r>
            <w:r>
              <w:rPr>
                <w:rFonts w:hint="eastAsia"/>
                <w:b/>
                <w:color w:val="auto"/>
                <w:kern w:val="0"/>
                <w:sz w:val="24"/>
                <w:highlight w:val="none"/>
              </w:rPr>
              <w:t>《浙江省财政厅关于进一步规范政府采购秩序促进公平</w:t>
            </w:r>
            <w:r>
              <w:rPr>
                <w:rFonts w:hint="eastAsia"/>
                <w:b/>
                <w:color w:val="auto"/>
                <w:kern w:val="0"/>
                <w:sz w:val="24"/>
                <w:highlight w:val="none"/>
                <w:lang w:val="en-US" w:eastAsia="zh-CN"/>
              </w:rPr>
              <w:t>竞争</w:t>
            </w:r>
            <w:r>
              <w:rPr>
                <w:rFonts w:hint="eastAsia"/>
                <w:b/>
                <w:color w:val="auto"/>
                <w:kern w:val="0"/>
                <w:sz w:val="24"/>
                <w:highlight w:val="none"/>
              </w:rPr>
              <w:t>的通知》浙财采监〔2025〕2号政策解读”中需采购人或采购</w:t>
            </w:r>
            <w:r>
              <w:rPr>
                <w:rFonts w:hint="eastAsia"/>
                <w:b/>
                <w:color w:val="auto"/>
                <w:kern w:val="0"/>
                <w:sz w:val="24"/>
                <w:highlight w:val="none"/>
                <w:lang w:val="en-US" w:eastAsia="zh-CN"/>
              </w:rPr>
              <w:t>代理</w:t>
            </w:r>
            <w:r>
              <w:rPr>
                <w:rFonts w:hint="eastAsia"/>
                <w:b/>
                <w:color w:val="auto"/>
                <w:kern w:val="0"/>
                <w:sz w:val="24"/>
                <w:highlight w:val="none"/>
              </w:rPr>
              <w:t>机构复核的证明材料原件(可事先在公开官网查询、</w:t>
            </w:r>
            <w:r>
              <w:rPr>
                <w:rFonts w:hint="eastAsia"/>
                <w:b/>
                <w:color w:val="auto"/>
                <w:kern w:val="0"/>
                <w:sz w:val="24"/>
                <w:highlight w:val="none"/>
                <w:lang w:val="en-US" w:eastAsia="zh-CN"/>
              </w:rPr>
              <w:t>核对的</w:t>
            </w:r>
            <w:r>
              <w:rPr>
                <w:rFonts w:hint="eastAsia"/>
                <w:b/>
                <w:color w:val="auto"/>
                <w:kern w:val="0"/>
                <w:sz w:val="24"/>
                <w:highlight w:val="none"/>
              </w:rPr>
              <w:t>除外)</w:t>
            </w:r>
            <w:r>
              <w:rPr>
                <w:rFonts w:hint="eastAsia"/>
                <w:b/>
                <w:color w:val="auto"/>
                <w:kern w:val="0"/>
                <w:sz w:val="24"/>
                <w:highlight w:val="none"/>
                <w:lang w:eastAsia="zh-CN"/>
              </w:rPr>
              <w:t>，</w:t>
            </w:r>
            <w:r>
              <w:rPr>
                <w:rFonts w:hint="eastAsia"/>
                <w:b/>
                <w:color w:val="auto"/>
                <w:kern w:val="0"/>
                <w:sz w:val="24"/>
                <w:highlight w:val="none"/>
                <w:lang w:val="en-US" w:eastAsia="zh-CN"/>
              </w:rPr>
              <w:t>如中标，须积极配合</w:t>
            </w:r>
            <w:r>
              <w:rPr>
                <w:rFonts w:hint="eastAsia"/>
                <w:b/>
                <w:color w:val="auto"/>
                <w:kern w:val="0"/>
                <w:sz w:val="24"/>
                <w:highlight w:val="none"/>
              </w:rPr>
              <w:t>采购代理机构</w:t>
            </w:r>
            <w:r>
              <w:rPr>
                <w:rFonts w:hint="eastAsia"/>
                <w:b/>
                <w:color w:val="auto"/>
                <w:kern w:val="0"/>
                <w:sz w:val="24"/>
                <w:highlight w:val="none"/>
                <w:lang w:val="en-US" w:eastAsia="zh-CN"/>
              </w:rPr>
              <w:t>核查</w:t>
            </w:r>
            <w:r>
              <w:rPr>
                <w:rFonts w:hint="eastAsia"/>
                <w:b/>
                <w:color w:val="auto"/>
                <w:kern w:val="0"/>
                <w:sz w:val="24"/>
                <w:highlight w:val="none"/>
              </w:rPr>
              <w:t>。</w:t>
            </w:r>
          </w:p>
        </w:tc>
      </w:tr>
      <w:bookmarkEnd w:id="10"/>
    </w:tbl>
    <w:p w14:paraId="32C7AB44">
      <w:pPr>
        <w:adjustRightInd/>
        <w:spacing w:line="360" w:lineRule="auto"/>
        <w:outlineLvl w:val="0"/>
        <w:rPr>
          <w:rFonts w:hint="eastAsia" w:ascii="宋体" w:hAnsi="宋体" w:cs="宋体"/>
          <w:b/>
          <w:color w:val="auto"/>
          <w:sz w:val="32"/>
          <w:szCs w:val="20"/>
          <w:highlight w:val="none"/>
        </w:rPr>
      </w:pPr>
    </w:p>
    <w:p w14:paraId="7816F8B2">
      <w:pPr>
        <w:rPr>
          <w:rFonts w:hint="eastAsia" w:ascii="宋体" w:hAnsi="宋体" w:cs="宋体"/>
          <w:b/>
          <w:color w:val="auto"/>
          <w:sz w:val="32"/>
          <w:szCs w:val="20"/>
          <w:highlight w:val="none"/>
        </w:rPr>
      </w:pPr>
      <w:r>
        <w:rPr>
          <w:rFonts w:hint="eastAsia" w:ascii="宋体" w:hAnsi="宋体" w:cs="宋体"/>
          <w:b/>
          <w:color w:val="auto"/>
          <w:sz w:val="32"/>
          <w:szCs w:val="20"/>
          <w:highlight w:val="none"/>
        </w:rPr>
        <w:br w:type="page"/>
      </w:r>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90"/>
        <w:shd w:val="clear" w:color="auto" w:fill="FFFFFF"/>
        <w:snapToGrid w:val="0"/>
        <w:spacing w:after="240" w:afterAutospacing="0" w:line="360" w:lineRule="auto"/>
        <w:ind w:firstLine="400"/>
        <w:contextualSpacing/>
        <w:rPr>
          <w:rFonts w:hint="eastAsia"/>
          <w:color w:val="auto"/>
          <w:highlight w:val="none"/>
        </w:rPr>
      </w:pPr>
    </w:p>
    <w:p w14:paraId="72BB4CF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2"/>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2"/>
        <w:spacing w:before="0"/>
        <w:ind w:firstLine="643"/>
        <w:rPr>
          <w:rFonts w:ascii="宋体" w:hAnsi="宋体" w:cs="宋体"/>
          <w:b/>
          <w:color w:val="auto"/>
          <w:sz w:val="32"/>
          <w:highlight w:val="none"/>
        </w:rPr>
      </w:pPr>
    </w:p>
    <w:p w14:paraId="25870E80">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2"/>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1"/>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5"/>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1"/>
        <w:rPr>
          <w:color w:val="auto"/>
          <w:highlight w:val="none"/>
        </w:rPr>
      </w:pPr>
    </w:p>
    <w:bookmarkEnd w:id="13"/>
    <w:p w14:paraId="076A140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07468"/>
      <w:bookmarkEnd w:id="15"/>
      <w:bookmarkStart w:id="16" w:name="_Hlt74729768"/>
      <w:bookmarkEnd w:id="16"/>
      <w:bookmarkStart w:id="17" w:name="_Hlt68072998"/>
      <w:bookmarkEnd w:id="17"/>
      <w:bookmarkStart w:id="18" w:name="_Hlt75236290"/>
      <w:bookmarkEnd w:id="18"/>
      <w:bookmarkStart w:id="19" w:name="_Hlt75236011"/>
      <w:bookmarkEnd w:id="19"/>
      <w:bookmarkStart w:id="20" w:name="_Hlt68403820"/>
      <w:bookmarkEnd w:id="20"/>
      <w:bookmarkStart w:id="21" w:name="_Hlt74730295"/>
      <w:bookmarkEnd w:id="21"/>
      <w:bookmarkStart w:id="22" w:name="_Hlt68072990"/>
      <w:bookmarkEnd w:id="22"/>
      <w:bookmarkStart w:id="23" w:name="_Hlt74714665"/>
      <w:bookmarkEnd w:id="23"/>
      <w:bookmarkStart w:id="24" w:name="_Hlt68073093"/>
      <w:bookmarkEnd w:id="24"/>
      <w:bookmarkStart w:id="25" w:name="_Hlt75236101"/>
      <w:bookmarkEnd w:id="25"/>
      <w:bookmarkStart w:id="26" w:name="_Hlt68057669"/>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DDB82CE">
      <w:pPr>
        <w:spacing w:line="360" w:lineRule="auto"/>
        <w:rPr>
          <w:b/>
          <w:sz w:val="24"/>
        </w:rPr>
      </w:pPr>
      <w:r>
        <w:rPr>
          <w:b/>
          <w:bCs/>
          <w:sz w:val="24"/>
        </w:rPr>
        <w:t>一、</w:t>
      </w:r>
      <w:r>
        <w:rPr>
          <w:b/>
          <w:sz w:val="24"/>
        </w:rPr>
        <w:t>项目概况：</w:t>
      </w:r>
    </w:p>
    <w:p w14:paraId="2FC06E9B">
      <w:pPr>
        <w:spacing w:line="360" w:lineRule="auto"/>
        <w:ind w:firstLine="480" w:firstLineChars="200"/>
        <w:rPr>
          <w:rFonts w:hint="eastAsia" w:eastAsia="宋体"/>
          <w:sz w:val="24"/>
          <w:lang w:eastAsia="zh-CN"/>
        </w:rPr>
      </w:pPr>
      <w:r>
        <w:rPr>
          <w:sz w:val="24"/>
        </w:rPr>
        <w:t>杭州市丁桥医院占地面积161.26亩，总建筑面积16.7万平方米，是一家按照1000张床位规模和国家三级甲等医院标准建设的现代化医院。</w:t>
      </w:r>
      <w:r>
        <w:rPr>
          <w:rFonts w:hint="eastAsia"/>
          <w:sz w:val="24"/>
          <w:lang w:val="en-US" w:eastAsia="zh-CN"/>
        </w:rPr>
        <w:t>本次后勤技术保障部分服务采购项目主要涵盖</w:t>
      </w:r>
      <w:r>
        <w:rPr>
          <w:rFonts w:hint="eastAsia" w:ascii="宋体" w:hAnsi="宋体" w:cs="仿宋_GB2312"/>
          <w:sz w:val="24"/>
          <w:highlight w:val="none"/>
        </w:rPr>
        <w:t>综合运行维修保障服务、高压配电运行保障服务、中央空调热水锅炉和净化系统运行保障服务、医用气体和中央纯水系统运行保障服务、污水处理系统运行保障服务、</w:t>
      </w:r>
      <w:r>
        <w:rPr>
          <w:rFonts w:hint="eastAsia" w:ascii="宋体" w:hAnsi="宋体" w:cs="仿宋_GB2312"/>
          <w:sz w:val="24"/>
          <w:highlight w:val="none"/>
          <w:lang w:eastAsia="zh-CN"/>
        </w:rPr>
        <w:t>智慧后勤综合</w:t>
      </w:r>
      <w:r>
        <w:rPr>
          <w:rFonts w:hint="eastAsia" w:ascii="宋体" w:hAnsi="宋体" w:cs="仿宋_GB2312"/>
          <w:sz w:val="24"/>
          <w:highlight w:val="none"/>
        </w:rPr>
        <w:t>受理服务</w:t>
      </w:r>
      <w:r>
        <w:rPr>
          <w:rFonts w:hint="eastAsia" w:ascii="宋体" w:hAnsi="宋体" w:cs="仿宋_GB2312"/>
          <w:sz w:val="24"/>
          <w:highlight w:val="none"/>
          <w:lang w:eastAsia="zh-CN"/>
        </w:rPr>
        <w:t>、供应室器械清洗消毒保障服务、餐饮生产供应保障服务、</w:t>
      </w:r>
      <w:r>
        <w:rPr>
          <w:rFonts w:hint="eastAsia" w:ascii="宋体" w:hAnsi="宋体" w:eastAsia="宋体" w:cs="仿宋_GB2312"/>
          <w:sz w:val="24"/>
          <w:highlight w:val="none"/>
          <w:lang w:eastAsia="zh-CN"/>
        </w:rPr>
        <w:t>超声辅助服务、导医服务、停车收费服务</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病案室窗口服务</w:t>
      </w:r>
      <w:r>
        <w:rPr>
          <w:rFonts w:hint="eastAsia" w:ascii="宋体" w:hAnsi="宋体" w:eastAsia="宋体" w:cs="仿宋_GB2312"/>
          <w:sz w:val="24"/>
          <w:highlight w:val="none"/>
          <w:lang w:eastAsia="zh-CN"/>
        </w:rPr>
        <w:t>共</w:t>
      </w:r>
      <w:r>
        <w:rPr>
          <w:rFonts w:hint="eastAsia" w:ascii="宋体" w:hAnsi="宋体" w:cs="仿宋_GB2312"/>
          <w:sz w:val="24"/>
          <w:highlight w:val="none"/>
        </w:rPr>
        <w:t>计</w:t>
      </w:r>
      <w:r>
        <w:rPr>
          <w:rFonts w:hint="eastAsia" w:ascii="宋体" w:hAnsi="宋体" w:cs="仿宋_GB2312"/>
          <w:sz w:val="24"/>
          <w:highlight w:val="none"/>
          <w:lang w:val="en-US" w:eastAsia="zh-CN"/>
        </w:rPr>
        <w:t>12项</w:t>
      </w:r>
      <w:r>
        <w:rPr>
          <w:rFonts w:hint="eastAsia" w:ascii="宋体" w:hAnsi="宋体" w:cs="仿宋_GB2312"/>
          <w:sz w:val="24"/>
          <w:highlight w:val="none"/>
        </w:rPr>
        <w:t>后勤技术保障服务</w:t>
      </w:r>
      <w:r>
        <w:rPr>
          <w:rFonts w:hint="eastAsia" w:ascii="宋体" w:hAnsi="宋体" w:cs="仿宋_GB2312"/>
          <w:sz w:val="24"/>
          <w:highlight w:val="none"/>
          <w:lang w:eastAsia="zh-CN"/>
        </w:rPr>
        <w:t>。</w:t>
      </w:r>
      <w:r>
        <w:rPr>
          <w:sz w:val="24"/>
        </w:rPr>
        <w:t>同时严格履行安全生产职责，全方位保障设备设施正常运行、餐饮生产供应有序、就医引导高效，为医院高效运转与患者优质就医体验提供坚实后盾</w:t>
      </w:r>
      <w:r>
        <w:rPr>
          <w:rFonts w:hint="eastAsia"/>
          <w:sz w:val="24"/>
          <w:lang w:eastAsia="zh-CN"/>
        </w:rPr>
        <w:t>。</w:t>
      </w:r>
    </w:p>
    <w:p w14:paraId="45D61CBD">
      <w:pPr>
        <w:snapToGrid w:val="0"/>
        <w:spacing w:line="360" w:lineRule="auto"/>
        <w:jc w:val="left"/>
        <w:rPr>
          <w:b/>
          <w:snapToGrid w:val="0"/>
          <w:color w:val="000000"/>
          <w:kern w:val="0"/>
          <w:sz w:val="24"/>
        </w:rPr>
      </w:pPr>
      <w:r>
        <w:rPr>
          <w:b/>
          <w:snapToGrid w:val="0"/>
          <w:color w:val="000000"/>
          <w:kern w:val="0"/>
          <w:sz w:val="24"/>
        </w:rPr>
        <w:t>二、服务期限：</w:t>
      </w:r>
    </w:p>
    <w:p w14:paraId="46184514">
      <w:pPr>
        <w:snapToGrid w:val="0"/>
        <w:spacing w:line="360" w:lineRule="auto"/>
        <w:ind w:firstLine="480" w:firstLineChars="200"/>
        <w:jc w:val="left"/>
        <w:rPr>
          <w:snapToGrid w:val="0"/>
          <w:color w:val="000000"/>
          <w:kern w:val="0"/>
          <w:sz w:val="24"/>
          <w:highlight w:val="yellow"/>
        </w:rPr>
      </w:pPr>
      <w:r>
        <w:rPr>
          <w:snapToGrid w:val="0"/>
          <w:color w:val="000000"/>
          <w:kern w:val="0"/>
          <w:sz w:val="24"/>
        </w:rPr>
        <w:t>选定1家提供后勤技术保障服务团队的单位，</w:t>
      </w:r>
      <w:r>
        <w:rPr>
          <w:rFonts w:hint="eastAsia"/>
          <w:snapToGrid w:val="0"/>
          <w:color w:val="000000"/>
          <w:kern w:val="0"/>
          <w:sz w:val="24"/>
        </w:rPr>
        <w:t>服务期限2年，自</w:t>
      </w:r>
      <w:r>
        <w:rPr>
          <w:rFonts w:hint="eastAsia"/>
          <w:snapToGrid w:val="0"/>
          <w:color w:val="000000"/>
          <w:kern w:val="0"/>
          <w:sz w:val="24"/>
          <w:u w:val="single"/>
        </w:rPr>
        <w:t>202</w:t>
      </w:r>
      <w:r>
        <w:rPr>
          <w:rFonts w:hint="eastAsia"/>
          <w:snapToGrid w:val="0"/>
          <w:color w:val="000000"/>
          <w:kern w:val="0"/>
          <w:sz w:val="24"/>
          <w:u w:val="single"/>
          <w:lang w:val="en-US" w:eastAsia="zh-CN"/>
        </w:rPr>
        <w:t>5</w:t>
      </w:r>
      <w:r>
        <w:rPr>
          <w:rFonts w:hint="eastAsia"/>
          <w:snapToGrid w:val="0"/>
          <w:color w:val="000000"/>
          <w:kern w:val="0"/>
          <w:sz w:val="24"/>
        </w:rPr>
        <w:t>年</w:t>
      </w:r>
      <w:r>
        <w:rPr>
          <w:rFonts w:hint="eastAsia"/>
          <w:snapToGrid w:val="0"/>
          <w:color w:val="000000"/>
          <w:kern w:val="0"/>
          <w:sz w:val="24"/>
          <w:u w:val="single"/>
        </w:rPr>
        <w:t>8</w:t>
      </w:r>
      <w:r>
        <w:rPr>
          <w:rFonts w:hint="eastAsia"/>
          <w:snapToGrid w:val="0"/>
          <w:color w:val="000000"/>
          <w:kern w:val="0"/>
          <w:sz w:val="24"/>
        </w:rPr>
        <w:t>月</w:t>
      </w:r>
      <w:r>
        <w:rPr>
          <w:rFonts w:hint="eastAsia"/>
          <w:snapToGrid w:val="0"/>
          <w:color w:val="000000"/>
          <w:kern w:val="0"/>
          <w:sz w:val="24"/>
          <w:u w:val="single"/>
        </w:rPr>
        <w:t>1</w:t>
      </w:r>
      <w:r>
        <w:rPr>
          <w:rFonts w:hint="eastAsia"/>
          <w:snapToGrid w:val="0"/>
          <w:color w:val="000000"/>
          <w:kern w:val="0"/>
          <w:sz w:val="24"/>
        </w:rPr>
        <w:t>日—</w:t>
      </w:r>
      <w:r>
        <w:rPr>
          <w:rFonts w:hint="eastAsia"/>
          <w:snapToGrid w:val="0"/>
          <w:color w:val="000000"/>
          <w:kern w:val="0"/>
          <w:sz w:val="24"/>
          <w:u w:val="single"/>
        </w:rPr>
        <w:t>202</w:t>
      </w:r>
      <w:r>
        <w:rPr>
          <w:rFonts w:hint="eastAsia"/>
          <w:snapToGrid w:val="0"/>
          <w:color w:val="000000"/>
          <w:kern w:val="0"/>
          <w:sz w:val="24"/>
          <w:u w:val="single"/>
          <w:lang w:val="en-US" w:eastAsia="zh-CN"/>
        </w:rPr>
        <w:t>7</w:t>
      </w:r>
      <w:r>
        <w:rPr>
          <w:rFonts w:hint="eastAsia"/>
          <w:snapToGrid w:val="0"/>
          <w:color w:val="000000"/>
          <w:kern w:val="0"/>
          <w:sz w:val="24"/>
        </w:rPr>
        <w:t>年</w:t>
      </w:r>
      <w:r>
        <w:rPr>
          <w:rFonts w:hint="eastAsia"/>
          <w:snapToGrid w:val="0"/>
          <w:color w:val="000000"/>
          <w:kern w:val="0"/>
          <w:sz w:val="24"/>
          <w:u w:val="single"/>
        </w:rPr>
        <w:t>7</w:t>
      </w:r>
      <w:r>
        <w:rPr>
          <w:rFonts w:hint="eastAsia"/>
          <w:snapToGrid w:val="0"/>
          <w:color w:val="000000"/>
          <w:kern w:val="0"/>
          <w:sz w:val="24"/>
        </w:rPr>
        <w:t>月</w:t>
      </w:r>
      <w:r>
        <w:rPr>
          <w:rFonts w:hint="eastAsia"/>
          <w:snapToGrid w:val="0"/>
          <w:color w:val="000000"/>
          <w:kern w:val="0"/>
          <w:sz w:val="24"/>
          <w:u w:val="single"/>
        </w:rPr>
        <w:t>31</w:t>
      </w:r>
      <w:r>
        <w:rPr>
          <w:rFonts w:hint="eastAsia"/>
          <w:snapToGrid w:val="0"/>
          <w:color w:val="000000"/>
          <w:kern w:val="0"/>
          <w:sz w:val="24"/>
        </w:rPr>
        <w:t>日。</w:t>
      </w:r>
      <w:r>
        <w:rPr>
          <w:sz w:val="24"/>
        </w:rPr>
        <w:t>合同期内，中标人能严格履行合同，通过采购人的考核，绩效评价好、服务对象满意度高，采购人报经批准同意可以签订第二年合同，合同采用一年一签的方式进行，但一共不超过两年（24个月）。</w:t>
      </w:r>
    </w:p>
    <w:p w14:paraId="095F2954">
      <w:pPr>
        <w:snapToGrid w:val="0"/>
        <w:spacing w:line="360" w:lineRule="auto"/>
        <w:jc w:val="left"/>
        <w:rPr>
          <w:b/>
          <w:snapToGrid w:val="0"/>
          <w:color w:val="000000"/>
          <w:kern w:val="0"/>
          <w:sz w:val="24"/>
        </w:rPr>
      </w:pPr>
      <w:r>
        <w:rPr>
          <w:b/>
          <w:snapToGrid w:val="0"/>
          <w:color w:val="000000"/>
          <w:kern w:val="0"/>
          <w:sz w:val="24"/>
        </w:rPr>
        <w:t>三、主要服务内容：</w:t>
      </w:r>
    </w:p>
    <w:p w14:paraId="4D8CE70B">
      <w:pPr>
        <w:spacing w:line="360" w:lineRule="auto"/>
        <w:ind w:firstLine="480" w:firstLineChars="200"/>
        <w:rPr>
          <w:rFonts w:hint="eastAsia"/>
          <w:sz w:val="24"/>
          <w:highlight w:val="none"/>
          <w:lang w:val="en-US" w:eastAsia="zh-CN"/>
        </w:rPr>
      </w:pPr>
      <w:r>
        <w:rPr>
          <w:sz w:val="24"/>
        </w:rPr>
        <w:t>提供综合运行维修保障服务、高压配电运行保障服务、中央空调热水锅炉及净化系统运行保障服务、医用气体和中央纯水系统运行保障服务、污水处理系统</w:t>
      </w:r>
      <w:r>
        <w:rPr>
          <w:sz w:val="24"/>
          <w:highlight w:val="none"/>
        </w:rPr>
        <w:t>运行保障服务、智慧后勤综合受理服务、供应室器械清洗消毒保障服务、餐饮生产供应保障服务</w:t>
      </w:r>
      <w:r>
        <w:rPr>
          <w:rFonts w:hint="eastAsia"/>
          <w:sz w:val="24"/>
          <w:highlight w:val="none"/>
          <w:lang w:eastAsia="zh-CN"/>
        </w:rPr>
        <w:t>、超声辅助服务、导医服务、停车收费服务、</w:t>
      </w:r>
      <w:r>
        <w:rPr>
          <w:rFonts w:hint="eastAsia"/>
          <w:sz w:val="24"/>
          <w:highlight w:val="none"/>
          <w:lang w:val="en-US" w:eastAsia="zh-CN"/>
        </w:rPr>
        <w:t>病案室窗口服务共计12</w:t>
      </w:r>
      <w:r>
        <w:rPr>
          <w:rFonts w:hint="eastAsia"/>
          <w:sz w:val="24"/>
          <w:highlight w:val="none"/>
          <w:lang w:eastAsia="zh-CN"/>
        </w:rPr>
        <w:t>项</w:t>
      </w:r>
      <w:r>
        <w:rPr>
          <w:sz w:val="24"/>
          <w:highlight w:val="none"/>
        </w:rPr>
        <w:t>后勤保障服务，</w:t>
      </w:r>
      <w:r>
        <w:rPr>
          <w:rFonts w:hint="eastAsia"/>
          <w:sz w:val="24"/>
          <w:highlight w:val="none"/>
          <w:lang w:val="en-US" w:eastAsia="zh-CN"/>
        </w:rPr>
        <w:t>具体岗位要求如下：</w:t>
      </w:r>
    </w:p>
    <w:p w14:paraId="23201622">
      <w:pPr>
        <w:spacing w:line="360" w:lineRule="auto"/>
        <w:ind w:firstLine="480" w:firstLineChars="200"/>
        <w:rPr>
          <w:sz w:val="24"/>
        </w:rPr>
      </w:pPr>
      <w:r>
        <w:rPr>
          <w:sz w:val="24"/>
        </w:rPr>
        <w:t>1.人员资质及服务要求：</w:t>
      </w:r>
    </w:p>
    <w:p w14:paraId="25E8C94D">
      <w:pPr>
        <w:spacing w:line="360" w:lineRule="auto"/>
        <w:ind w:firstLine="480" w:firstLineChars="200"/>
        <w:rPr>
          <w:sz w:val="24"/>
        </w:rPr>
      </w:pPr>
      <w:r>
        <w:rPr>
          <w:sz w:val="24"/>
        </w:rPr>
        <w:t>（1）综合运行维修保障服务</w:t>
      </w:r>
    </w:p>
    <w:p w14:paraId="62FEDFF2">
      <w:pPr>
        <w:spacing w:line="360" w:lineRule="auto"/>
        <w:ind w:left="1365" w:leftChars="250" w:hanging="840" w:hangingChars="350"/>
        <w:rPr>
          <w:sz w:val="24"/>
        </w:rPr>
      </w:pPr>
      <w:r>
        <w:rPr>
          <w:sz w:val="24"/>
        </w:rPr>
        <w:t xml:space="preserve">    1）人员资质要求：</w:t>
      </w:r>
    </w:p>
    <w:p w14:paraId="5CC2C09E">
      <w:pPr>
        <w:spacing w:line="360" w:lineRule="auto"/>
        <w:ind w:left="1260" w:leftChars="600" w:firstLine="360" w:firstLineChars="150"/>
        <w:rPr>
          <w:sz w:val="24"/>
        </w:rPr>
      </w:pPr>
      <w:r>
        <w:rPr>
          <w:sz w:val="24"/>
        </w:rPr>
        <w:t>具有2年</w:t>
      </w:r>
      <w:r>
        <w:rPr>
          <w:rFonts w:hint="eastAsia"/>
          <w:sz w:val="24"/>
        </w:rPr>
        <w:t>及</w:t>
      </w:r>
      <w:r>
        <w:rPr>
          <w:sz w:val="24"/>
        </w:rPr>
        <w:t>以上技术工程维修相关的工作经验，</w:t>
      </w:r>
      <w:r>
        <w:rPr>
          <w:rFonts w:hint="eastAsia"/>
          <w:sz w:val="24"/>
          <w:lang w:val="en-US" w:eastAsia="zh-CN"/>
        </w:rPr>
        <w:t>初中</w:t>
      </w:r>
      <w:r>
        <w:rPr>
          <w:sz w:val="24"/>
        </w:rPr>
        <w:t>及以上学历，持有有效期内的</w:t>
      </w:r>
      <w:r>
        <w:rPr>
          <w:rFonts w:hint="eastAsia"/>
          <w:sz w:val="24"/>
          <w:lang w:val="en-US" w:eastAsia="zh-CN"/>
        </w:rPr>
        <w:t>低压</w:t>
      </w:r>
      <w:r>
        <w:rPr>
          <w:sz w:val="24"/>
        </w:rPr>
        <w:t>电工</w:t>
      </w:r>
      <w:r>
        <w:rPr>
          <w:rFonts w:hint="eastAsia"/>
          <w:sz w:val="24"/>
          <w:lang w:val="en-US" w:eastAsia="zh-CN"/>
        </w:rPr>
        <w:t>操作</w:t>
      </w:r>
      <w:r>
        <w:rPr>
          <w:sz w:val="24"/>
        </w:rPr>
        <w:t>证，健康状况良好，责任心强，具有良好的服务意识和动手实操能力。</w:t>
      </w:r>
    </w:p>
    <w:p w14:paraId="5D879682">
      <w:pPr>
        <w:spacing w:line="360" w:lineRule="auto"/>
        <w:ind w:left="1320" w:hanging="1320" w:hangingChars="550"/>
        <w:rPr>
          <w:sz w:val="24"/>
        </w:rPr>
      </w:pPr>
      <w:r>
        <w:rPr>
          <w:sz w:val="24"/>
        </w:rPr>
        <w:t xml:space="preserve">        2）具体服务要求：</w:t>
      </w:r>
    </w:p>
    <w:p w14:paraId="2067D639">
      <w:pPr>
        <w:spacing w:line="360" w:lineRule="auto"/>
        <w:ind w:left="1155" w:leftChars="550" w:firstLine="480" w:firstLineChars="200"/>
        <w:rPr>
          <w:sz w:val="24"/>
        </w:rPr>
      </w:pPr>
      <w:r>
        <w:rPr>
          <w:sz w:val="24"/>
        </w:rPr>
        <w:t>建立健全各项管理制度，落实安全生产责任，严格遵守安全、消防、防疫、治安等政策，杜绝生产安全、治安、刑事案件的发生。</w:t>
      </w:r>
    </w:p>
    <w:p w14:paraId="7186AF40">
      <w:pPr>
        <w:spacing w:line="360" w:lineRule="auto"/>
        <w:ind w:left="1155" w:leftChars="550" w:firstLine="480" w:firstLineChars="200"/>
        <w:rPr>
          <w:sz w:val="24"/>
        </w:rPr>
      </w:pPr>
      <w:r>
        <w:rPr>
          <w:sz w:val="24"/>
        </w:rPr>
        <w:t>严格遵守《中华人民共和国安全生产法》、《中华人民共和国电力法》、《电工安全操作规程》、《城市供水管理条例》等相关</w:t>
      </w:r>
      <w:r>
        <w:rPr>
          <w:rFonts w:hint="eastAsia"/>
          <w:sz w:val="24"/>
        </w:rPr>
        <w:t>法律</w:t>
      </w:r>
      <w:r>
        <w:rPr>
          <w:sz w:val="24"/>
        </w:rPr>
        <w:t>法规</w:t>
      </w:r>
      <w:r>
        <w:rPr>
          <w:rFonts w:hint="eastAsia"/>
          <w:sz w:val="24"/>
          <w:lang w:eastAsia="zh-Hans"/>
        </w:rPr>
        <w:t>和司法解释</w:t>
      </w:r>
      <w:r>
        <w:rPr>
          <w:sz w:val="24"/>
        </w:rPr>
        <w:t>，从业人员必须持有有效的低压电工操作证，配合医院的各项检查。</w:t>
      </w:r>
    </w:p>
    <w:p w14:paraId="5747E2E6">
      <w:pPr>
        <w:spacing w:line="360" w:lineRule="auto"/>
        <w:ind w:left="1155" w:leftChars="550" w:firstLine="480" w:firstLineChars="200"/>
        <w:rPr>
          <w:sz w:val="24"/>
        </w:rPr>
      </w:pPr>
      <w:r>
        <w:rPr>
          <w:sz w:val="24"/>
        </w:rPr>
        <w:t>秉持“深入一线、服务临床”的宗旨，及时、有效处理全院各类总务设备设施的报修事件，包括家具、家电、地板、门窗、水龙头、灯具、墙面、台盆等物资的维护、检查和零星维修，一般维修任务确保不超过24小时。</w:t>
      </w:r>
    </w:p>
    <w:p w14:paraId="6EA52942">
      <w:pPr>
        <w:spacing w:line="360" w:lineRule="auto"/>
        <w:ind w:left="1155" w:leftChars="550" w:firstLine="360" w:firstLineChars="150"/>
        <w:rPr>
          <w:sz w:val="24"/>
        </w:rPr>
      </w:pPr>
      <w:r>
        <w:rPr>
          <w:sz w:val="24"/>
        </w:rPr>
        <w:t>制定电气设备、配电井、集水井、二次供水系统</w:t>
      </w:r>
      <w:r>
        <w:rPr>
          <w:rFonts w:hint="eastAsia"/>
          <w:sz w:val="24"/>
          <w:lang w:eastAsia="zh-CN"/>
        </w:rPr>
        <w:t>、</w:t>
      </w:r>
      <w:r>
        <w:rPr>
          <w:rFonts w:hint="eastAsia"/>
          <w:sz w:val="24"/>
          <w:lang w:val="en-US" w:eastAsia="zh-CN"/>
        </w:rPr>
        <w:t>ups供电系统、核医学衰变池</w:t>
      </w:r>
      <w:r>
        <w:rPr>
          <w:sz w:val="24"/>
        </w:rPr>
        <w:t>等设备设施的定期巡检及维护保养计划及实施。</w:t>
      </w:r>
    </w:p>
    <w:p w14:paraId="769DC829">
      <w:pPr>
        <w:spacing w:line="360" w:lineRule="auto"/>
        <w:ind w:left="1155" w:leftChars="550" w:firstLine="480" w:firstLineChars="200"/>
        <w:rPr>
          <w:sz w:val="24"/>
        </w:rPr>
      </w:pPr>
      <w:r>
        <w:rPr>
          <w:sz w:val="24"/>
        </w:rPr>
        <w:t>根据科室的实际需求，及时对相应的固定电话进行新装、移机、拆除等，确保手术室区域固定电话的程控分机系统以及全院通讯系统的正常稳定运行（包括固定电话、移动通讯设备）。</w:t>
      </w:r>
    </w:p>
    <w:p w14:paraId="3D15EC80">
      <w:pPr>
        <w:spacing w:line="360" w:lineRule="auto"/>
        <w:ind w:left="1155" w:leftChars="550" w:firstLine="480" w:firstLineChars="200"/>
        <w:rPr>
          <w:sz w:val="24"/>
        </w:rPr>
      </w:pPr>
      <w:r>
        <w:rPr>
          <w:sz w:val="24"/>
        </w:rPr>
        <w:t>制定具有可操作性的各项应急预案，对突发应急事件要及时、有效、妥善处置。</w:t>
      </w:r>
    </w:p>
    <w:p w14:paraId="57DF9C04">
      <w:pPr>
        <w:spacing w:line="360" w:lineRule="auto"/>
        <w:ind w:firstLine="480" w:firstLineChars="200"/>
        <w:rPr>
          <w:sz w:val="24"/>
        </w:rPr>
      </w:pPr>
      <w:r>
        <w:rPr>
          <w:sz w:val="24"/>
        </w:rPr>
        <w:t>（2）中央空调热水锅炉及净化系统保障服务</w:t>
      </w:r>
    </w:p>
    <w:p w14:paraId="6CA59B2D">
      <w:pPr>
        <w:spacing w:line="360" w:lineRule="auto"/>
        <w:ind w:left="1365" w:leftChars="250" w:hanging="840" w:hangingChars="350"/>
        <w:rPr>
          <w:sz w:val="24"/>
        </w:rPr>
      </w:pPr>
      <w:r>
        <w:rPr>
          <w:sz w:val="24"/>
        </w:rPr>
        <w:t xml:space="preserve">    1）人员资质要求：</w:t>
      </w:r>
    </w:p>
    <w:p w14:paraId="4C5A0975">
      <w:pPr>
        <w:spacing w:line="360" w:lineRule="auto"/>
        <w:ind w:left="1123" w:leftChars="535" w:firstLine="480" w:firstLineChars="200"/>
        <w:rPr>
          <w:sz w:val="24"/>
        </w:rPr>
      </w:pPr>
      <w:r>
        <w:rPr>
          <w:sz w:val="24"/>
        </w:rPr>
        <w:t>具有2年及以上中央空调、热水锅炉系统相关的工作经验，</w:t>
      </w:r>
      <w:r>
        <w:rPr>
          <w:rFonts w:hint="eastAsia"/>
          <w:sz w:val="24"/>
          <w:lang w:val="en-US" w:eastAsia="zh-CN"/>
        </w:rPr>
        <w:t>初中</w:t>
      </w:r>
      <w:r>
        <w:rPr>
          <w:sz w:val="24"/>
        </w:rPr>
        <w:t>及以上学历，持有有效期内的制冷与空调设备运行操作证，健康状况良好，细心细致，责任心强，具有良好的服从意识和沟通协作能力。</w:t>
      </w:r>
    </w:p>
    <w:p w14:paraId="6B3B4E59">
      <w:pPr>
        <w:spacing w:line="360" w:lineRule="auto"/>
        <w:ind w:left="1125" w:leftChars="250" w:hanging="600" w:hangingChars="250"/>
        <w:rPr>
          <w:sz w:val="24"/>
        </w:rPr>
      </w:pPr>
      <w:r>
        <w:rPr>
          <w:sz w:val="24"/>
        </w:rPr>
        <w:t xml:space="preserve">   2）具体服务要求</w:t>
      </w:r>
    </w:p>
    <w:p w14:paraId="3A0F29FC">
      <w:pPr>
        <w:spacing w:line="360" w:lineRule="auto"/>
        <w:ind w:left="1155" w:leftChars="550" w:firstLine="360" w:firstLineChars="150"/>
        <w:rPr>
          <w:sz w:val="24"/>
        </w:rPr>
      </w:pPr>
      <w:r>
        <w:rPr>
          <w:sz w:val="24"/>
        </w:rPr>
        <w:t>建立健全各项管理制度，落实安全生产责任，严格遵守安全、消防、防疫、治安等政策，杜绝生产安全、治安、刑事案件的发生。</w:t>
      </w:r>
    </w:p>
    <w:p w14:paraId="3BF98295">
      <w:pPr>
        <w:spacing w:line="360" w:lineRule="auto"/>
        <w:ind w:left="1155" w:leftChars="550" w:firstLine="480" w:firstLineChars="200"/>
        <w:rPr>
          <w:sz w:val="24"/>
        </w:rPr>
      </w:pPr>
      <w:r>
        <w:rPr>
          <w:sz w:val="24"/>
        </w:rPr>
        <w:t>严格遵守《中华人民共和国安全生产法》、《特种设备安全监察条例》等相关</w:t>
      </w:r>
      <w:r>
        <w:rPr>
          <w:rFonts w:hint="eastAsia"/>
          <w:sz w:val="24"/>
        </w:rPr>
        <w:t>法律</w:t>
      </w:r>
      <w:r>
        <w:rPr>
          <w:sz w:val="24"/>
        </w:rPr>
        <w:t>法规</w:t>
      </w:r>
      <w:r>
        <w:rPr>
          <w:rFonts w:hint="eastAsia"/>
          <w:sz w:val="24"/>
          <w:lang w:eastAsia="zh-Hans"/>
        </w:rPr>
        <w:t>和司法解释</w:t>
      </w:r>
      <w:r>
        <w:rPr>
          <w:sz w:val="24"/>
        </w:rPr>
        <w:t>，从业人员必须持有有效的制冷与空调设备运行操作证，配合医院的各项检查。</w:t>
      </w:r>
    </w:p>
    <w:p w14:paraId="315BF8DC">
      <w:pPr>
        <w:spacing w:line="360" w:lineRule="auto"/>
        <w:ind w:left="1155" w:leftChars="550" w:firstLine="480" w:firstLineChars="200"/>
        <w:rPr>
          <w:sz w:val="24"/>
        </w:rPr>
      </w:pPr>
      <w:r>
        <w:rPr>
          <w:sz w:val="24"/>
        </w:rPr>
        <w:t>熟悉掌握中央空调系统、热水锅炉系统的构成、工作原理、各项操作规程，制定具有可操作性的各项应急预案，对突发应急事件要及时、有效、妥善处置。</w:t>
      </w:r>
    </w:p>
    <w:p w14:paraId="15577DD8">
      <w:pPr>
        <w:spacing w:line="360" w:lineRule="auto"/>
        <w:ind w:left="1050" w:leftChars="500" w:firstLine="480" w:firstLineChars="200"/>
        <w:rPr>
          <w:rFonts w:hint="eastAsia" w:eastAsia="宋体"/>
          <w:sz w:val="24"/>
          <w:lang w:eastAsia="zh-CN"/>
        </w:rPr>
      </w:pPr>
      <w:r>
        <w:rPr>
          <w:sz w:val="24"/>
        </w:rPr>
        <w:t>按照规定周期对中央空调系统、洁净空调系统、新风系统、热水供暖系统、VRV空调系统等设备设施的进行巡查、维护，并做好设备设施运行记录，确保系统的正常运行</w:t>
      </w:r>
      <w:r>
        <w:rPr>
          <w:rFonts w:hint="eastAsia"/>
          <w:sz w:val="24"/>
          <w:lang w:eastAsia="zh-CN"/>
        </w:rPr>
        <w:t>。</w:t>
      </w:r>
    </w:p>
    <w:p w14:paraId="5F51EE0B">
      <w:pPr>
        <w:spacing w:line="360" w:lineRule="auto"/>
        <w:ind w:left="1050" w:leftChars="500" w:firstLine="480" w:firstLineChars="200"/>
        <w:rPr>
          <w:sz w:val="24"/>
        </w:rPr>
      </w:pPr>
      <w:r>
        <w:rPr>
          <w:sz w:val="24"/>
        </w:rPr>
        <w:t>定期开展全院通风空调系统滤网的清洗消毒工作，强制检定的仪表仪器</w:t>
      </w:r>
    </w:p>
    <w:p w14:paraId="5499AB79">
      <w:pPr>
        <w:spacing w:line="360" w:lineRule="auto"/>
        <w:ind w:left="1198" w:leftChars="456" w:hanging="240" w:hangingChars="100"/>
        <w:rPr>
          <w:rFonts w:hint="eastAsia" w:eastAsia="宋体"/>
          <w:sz w:val="24"/>
          <w:lang w:eastAsia="zh-CN"/>
        </w:rPr>
      </w:pPr>
      <w:r>
        <w:rPr>
          <w:sz w:val="24"/>
        </w:rPr>
        <w:t>要按检定周期及时送检，按规范做好相应台账；采取有效的管理及技术措施</w:t>
      </w:r>
      <w:r>
        <w:rPr>
          <w:rFonts w:hint="eastAsia"/>
          <w:sz w:val="24"/>
          <w:lang w:eastAsia="zh-CN"/>
        </w:rPr>
        <w:t>，</w:t>
      </w:r>
    </w:p>
    <w:p w14:paraId="58911A02">
      <w:pPr>
        <w:spacing w:line="360" w:lineRule="auto"/>
        <w:ind w:left="1198" w:leftChars="456" w:hanging="240" w:hangingChars="100"/>
        <w:rPr>
          <w:sz w:val="24"/>
        </w:rPr>
      </w:pPr>
      <w:r>
        <w:rPr>
          <w:sz w:val="24"/>
        </w:rPr>
        <w:t>积极开展节能管理工作。</w:t>
      </w:r>
    </w:p>
    <w:p w14:paraId="435CFE40">
      <w:pPr>
        <w:spacing w:line="360" w:lineRule="auto"/>
        <w:ind w:firstLine="600" w:firstLineChars="250"/>
        <w:rPr>
          <w:sz w:val="24"/>
        </w:rPr>
      </w:pPr>
      <w:r>
        <w:rPr>
          <w:sz w:val="24"/>
        </w:rPr>
        <w:t>（3）高压配电运行保障服务</w:t>
      </w:r>
    </w:p>
    <w:p w14:paraId="754712F9">
      <w:pPr>
        <w:spacing w:line="360" w:lineRule="auto"/>
        <w:ind w:firstLine="960" w:firstLineChars="400"/>
        <w:rPr>
          <w:sz w:val="24"/>
        </w:rPr>
      </w:pPr>
      <w:r>
        <w:rPr>
          <w:sz w:val="24"/>
        </w:rPr>
        <w:t>1）人员资质要求：</w:t>
      </w:r>
    </w:p>
    <w:p w14:paraId="5481892B">
      <w:pPr>
        <w:spacing w:line="360" w:lineRule="auto"/>
        <w:ind w:left="1123" w:leftChars="535" w:firstLine="480" w:firstLineChars="200"/>
        <w:rPr>
          <w:sz w:val="24"/>
        </w:rPr>
      </w:pPr>
      <w:r>
        <w:rPr>
          <w:sz w:val="24"/>
        </w:rPr>
        <w:t>具有2年及以上高压配电的相关工作经验，</w:t>
      </w:r>
      <w:r>
        <w:rPr>
          <w:rFonts w:hint="eastAsia"/>
          <w:sz w:val="24"/>
          <w:lang w:val="en-US" w:eastAsia="zh-CN"/>
        </w:rPr>
        <w:t>初中</w:t>
      </w:r>
      <w:r>
        <w:rPr>
          <w:sz w:val="24"/>
        </w:rPr>
        <w:t>及以上学历，持有有效期内的高压电工</w:t>
      </w:r>
      <w:r>
        <w:rPr>
          <w:rFonts w:hint="eastAsia"/>
          <w:sz w:val="24"/>
          <w:lang w:val="en-US" w:eastAsia="zh-CN"/>
        </w:rPr>
        <w:t>操作</w:t>
      </w:r>
      <w:r>
        <w:rPr>
          <w:sz w:val="24"/>
        </w:rPr>
        <w:t>证，健康状况良好，细心细致，责任心强，具有良好的服从意识和危机意识。</w:t>
      </w:r>
    </w:p>
    <w:p w14:paraId="2F984C99">
      <w:pPr>
        <w:spacing w:line="360" w:lineRule="auto"/>
        <w:ind w:firstLine="960" w:firstLineChars="400"/>
        <w:rPr>
          <w:sz w:val="24"/>
        </w:rPr>
      </w:pPr>
      <w:r>
        <w:rPr>
          <w:sz w:val="24"/>
        </w:rPr>
        <w:t>2）具体服务要求：</w:t>
      </w:r>
    </w:p>
    <w:p w14:paraId="76A59195">
      <w:pPr>
        <w:spacing w:line="360" w:lineRule="auto"/>
        <w:ind w:left="1155" w:leftChars="550" w:firstLine="480" w:firstLineChars="200"/>
        <w:rPr>
          <w:sz w:val="24"/>
        </w:rPr>
      </w:pPr>
      <w:r>
        <w:rPr>
          <w:sz w:val="24"/>
        </w:rPr>
        <w:t>建立健全各项管理制度，落实安全生产责任，严格遵守安全、消防、防疫、治安等政策，杜绝生产安全、治安、刑事案件的发生。</w:t>
      </w:r>
    </w:p>
    <w:p w14:paraId="5213560F">
      <w:pPr>
        <w:spacing w:line="360" w:lineRule="auto"/>
        <w:ind w:left="1155" w:leftChars="550" w:firstLine="480" w:firstLineChars="200"/>
        <w:rPr>
          <w:sz w:val="24"/>
        </w:rPr>
      </w:pPr>
      <w:r>
        <w:rPr>
          <w:sz w:val="24"/>
        </w:rPr>
        <w:t>严格遵守《中华人民共和国安全生产法》、《中华人民共和国电力法》、《电工安全操作规程》等相关法律法规</w:t>
      </w:r>
      <w:r>
        <w:rPr>
          <w:rFonts w:hint="eastAsia"/>
          <w:sz w:val="24"/>
          <w:lang w:eastAsia="zh-Hans"/>
        </w:rPr>
        <w:t>和司法解释</w:t>
      </w:r>
      <w:r>
        <w:rPr>
          <w:sz w:val="24"/>
        </w:rPr>
        <w:t>，从业人员必须持有有效的高压电工操作证，配合医院的各项检查。</w:t>
      </w:r>
    </w:p>
    <w:p w14:paraId="3DD5140D">
      <w:pPr>
        <w:spacing w:line="360" w:lineRule="auto"/>
        <w:ind w:left="1155" w:leftChars="550" w:firstLine="480" w:firstLineChars="200"/>
        <w:rPr>
          <w:sz w:val="24"/>
        </w:rPr>
      </w:pPr>
      <w:r>
        <w:rPr>
          <w:sz w:val="24"/>
        </w:rPr>
        <w:t>熟练掌握高低压配电设备的性能、结构、原理、运行方式，制定具有可操作性的各项应急预案，对突发应急事件要及时、有效、妥善处置。</w:t>
      </w:r>
    </w:p>
    <w:p w14:paraId="0F995807">
      <w:pPr>
        <w:spacing w:line="360" w:lineRule="auto"/>
        <w:ind w:left="1155" w:leftChars="550" w:firstLine="360" w:firstLineChars="150"/>
        <w:rPr>
          <w:sz w:val="24"/>
        </w:rPr>
      </w:pPr>
      <w:r>
        <w:rPr>
          <w:sz w:val="24"/>
        </w:rPr>
        <w:t>按照规定周期对变配电设备设施进行检查、维护、清洁，并做好记录，确保高(低)压变(配)电柜操作运行正常，</w:t>
      </w:r>
      <w:r>
        <w:rPr>
          <w:sz w:val="24"/>
          <w:highlight w:val="none"/>
        </w:rPr>
        <w:t>各计量检测表计</w:t>
      </w:r>
      <w:r>
        <w:rPr>
          <w:sz w:val="24"/>
        </w:rPr>
        <w:t>显示正常。</w:t>
      </w:r>
    </w:p>
    <w:p w14:paraId="6310BC4A">
      <w:pPr>
        <w:spacing w:line="360" w:lineRule="auto"/>
        <w:ind w:left="1155" w:leftChars="550" w:firstLine="360" w:firstLineChars="150"/>
        <w:rPr>
          <w:sz w:val="24"/>
        </w:rPr>
      </w:pPr>
      <w:r>
        <w:rPr>
          <w:sz w:val="24"/>
        </w:rPr>
        <w:t>及时发现设备缺陷与隐患及时报告，并按规范做好运行记录，配合做好电力能耗的数据统计分析。</w:t>
      </w:r>
    </w:p>
    <w:p w14:paraId="4022927B">
      <w:pPr>
        <w:spacing w:line="360" w:lineRule="auto"/>
        <w:ind w:firstLine="600" w:firstLineChars="250"/>
        <w:rPr>
          <w:sz w:val="24"/>
        </w:rPr>
      </w:pPr>
      <w:r>
        <w:rPr>
          <w:sz w:val="24"/>
        </w:rPr>
        <w:t>（4）医用气体和中央纯水系统运行保障服务</w:t>
      </w:r>
    </w:p>
    <w:p w14:paraId="6E3F0EFA">
      <w:pPr>
        <w:spacing w:line="360" w:lineRule="auto"/>
        <w:ind w:left="1290" w:leftChars="500" w:hanging="240" w:hangingChars="100"/>
        <w:rPr>
          <w:sz w:val="24"/>
        </w:rPr>
      </w:pPr>
      <w:r>
        <w:rPr>
          <w:sz w:val="24"/>
        </w:rPr>
        <w:t>1）人员资质要求：</w:t>
      </w:r>
    </w:p>
    <w:p w14:paraId="31B8A054">
      <w:pPr>
        <w:spacing w:line="360" w:lineRule="auto"/>
        <w:ind w:left="1155" w:leftChars="550" w:firstLine="360" w:firstLineChars="150"/>
        <w:rPr>
          <w:sz w:val="24"/>
        </w:rPr>
      </w:pPr>
      <w:r>
        <w:rPr>
          <w:sz w:val="24"/>
        </w:rPr>
        <w:t>具有2年及以上中央纯水系统运维或医用气体供应保障的相关工作经验，</w:t>
      </w:r>
      <w:r>
        <w:rPr>
          <w:rFonts w:hint="eastAsia"/>
          <w:sz w:val="24"/>
          <w:lang w:val="en-US" w:eastAsia="zh-CN"/>
        </w:rPr>
        <w:t>初中</w:t>
      </w:r>
      <w:r>
        <w:rPr>
          <w:sz w:val="24"/>
        </w:rPr>
        <w:t>及以上学历，持有有效期内的特种设备作业人员证（压力容器方向），健康状况良好，细心细致，责任心强，具有良好的服务意识。</w:t>
      </w:r>
    </w:p>
    <w:p w14:paraId="19F94DDB">
      <w:pPr>
        <w:spacing w:line="360" w:lineRule="auto"/>
        <w:ind w:firstLine="960" w:firstLineChars="400"/>
        <w:rPr>
          <w:sz w:val="24"/>
        </w:rPr>
      </w:pPr>
      <w:r>
        <w:rPr>
          <w:sz w:val="24"/>
        </w:rPr>
        <w:t>2）具体服务要求：</w:t>
      </w:r>
    </w:p>
    <w:p w14:paraId="6D00FB66">
      <w:pPr>
        <w:spacing w:line="360" w:lineRule="auto"/>
        <w:ind w:left="1155" w:leftChars="550" w:firstLine="480" w:firstLineChars="200"/>
        <w:rPr>
          <w:sz w:val="24"/>
        </w:rPr>
      </w:pPr>
      <w:r>
        <w:rPr>
          <w:sz w:val="24"/>
        </w:rPr>
        <w:t>建立健全各项管理制度，落实安全生产责任，严格遵守安全、消防、防疫、治安等政策，杜绝生产安全、治安、刑事案件的发生。</w:t>
      </w:r>
    </w:p>
    <w:p w14:paraId="3FE5F5DC">
      <w:pPr>
        <w:spacing w:line="360" w:lineRule="auto"/>
        <w:ind w:left="1155" w:leftChars="550" w:firstLine="480" w:firstLineChars="200"/>
        <w:rPr>
          <w:sz w:val="24"/>
        </w:rPr>
      </w:pPr>
      <w:r>
        <w:rPr>
          <w:sz w:val="24"/>
        </w:rPr>
        <w:t>严格遵守《中华人民共和国安全生产法》、《特种设备安全监察条例》、《医疗机构医疗用水卫生要求》等相关法律</w:t>
      </w:r>
      <w:r>
        <w:rPr>
          <w:rFonts w:hint="eastAsia"/>
          <w:sz w:val="24"/>
          <w:lang w:eastAsia="zh-Hans"/>
        </w:rPr>
        <w:t>法规和司法解释</w:t>
      </w:r>
      <w:r>
        <w:rPr>
          <w:sz w:val="24"/>
        </w:rPr>
        <w:t>，从业人员必须持有有效的特种设备操作证（压力容器方向），配合医院的各项检查。</w:t>
      </w:r>
    </w:p>
    <w:p w14:paraId="20096421">
      <w:pPr>
        <w:spacing w:line="360" w:lineRule="auto"/>
        <w:ind w:left="1155" w:leftChars="550" w:firstLine="480" w:firstLineChars="200"/>
        <w:rPr>
          <w:sz w:val="24"/>
        </w:rPr>
      </w:pPr>
      <w:r>
        <w:rPr>
          <w:sz w:val="24"/>
        </w:rPr>
        <w:t>熟悉掌握中央纯水系统、集中供气系统、正负压系统的结构构成、原理、操作规程，制定具有可操作性的各项应急预案，对突发应急事件要及时、有效、妥善处置。</w:t>
      </w:r>
    </w:p>
    <w:p w14:paraId="60B75F64">
      <w:pPr>
        <w:spacing w:line="360" w:lineRule="auto"/>
        <w:ind w:left="1155" w:leftChars="550" w:firstLine="480" w:firstLineChars="200"/>
        <w:rPr>
          <w:sz w:val="24"/>
        </w:rPr>
      </w:pPr>
      <w:r>
        <w:rPr>
          <w:sz w:val="24"/>
        </w:rPr>
        <w:t>按照规定周期对纯水系统进行巡查、维护和全面清洗消毒，并做好记录，确保系统的正常运行以及水质的达标供应。</w:t>
      </w:r>
    </w:p>
    <w:p w14:paraId="290C9B22">
      <w:pPr>
        <w:spacing w:line="360" w:lineRule="auto"/>
        <w:ind w:left="1155" w:leftChars="550" w:firstLine="480" w:firstLineChars="200"/>
        <w:rPr>
          <w:sz w:val="24"/>
        </w:rPr>
      </w:pPr>
      <w:r>
        <w:rPr>
          <w:sz w:val="24"/>
        </w:rPr>
        <w:t>按照规定周期对集中供气系统、正负压系统进行巡查、维护和应急维修，并做好记录，确保系统的正常运行，强制检定的仪表仪器要按检定周期及时送检，按规范做好相应台账。</w:t>
      </w:r>
    </w:p>
    <w:p w14:paraId="633861E2">
      <w:pPr>
        <w:spacing w:line="360" w:lineRule="auto"/>
        <w:ind w:left="1155" w:leftChars="550" w:firstLine="480" w:firstLineChars="200"/>
        <w:rPr>
          <w:sz w:val="24"/>
        </w:rPr>
      </w:pPr>
      <w:r>
        <w:rPr>
          <w:sz w:val="24"/>
        </w:rPr>
        <w:t>负责全院临床科室的医用气体的供应保障，做到瓶装气体的下送、下收。</w:t>
      </w:r>
    </w:p>
    <w:p w14:paraId="4E288B31">
      <w:pPr>
        <w:spacing w:line="360" w:lineRule="auto"/>
        <w:ind w:left="1050" w:leftChars="500" w:firstLine="600" w:firstLineChars="250"/>
        <w:rPr>
          <w:sz w:val="24"/>
        </w:rPr>
      </w:pPr>
      <w:r>
        <w:rPr>
          <w:sz w:val="24"/>
        </w:rPr>
        <w:t>熟练掌握瓶装气瓶的使用方法，并能指导临床使用人员正确使用及应急处理；气瓶发生突发故障应立即到达现场进行处理。</w:t>
      </w:r>
    </w:p>
    <w:p w14:paraId="3AA5EE02">
      <w:pPr>
        <w:spacing w:line="360" w:lineRule="auto"/>
        <w:ind w:firstLine="600" w:firstLineChars="250"/>
        <w:rPr>
          <w:sz w:val="24"/>
        </w:rPr>
      </w:pPr>
      <w:r>
        <w:rPr>
          <w:sz w:val="24"/>
        </w:rPr>
        <w:t>（5）污水处理系统运行保障服务</w:t>
      </w:r>
    </w:p>
    <w:p w14:paraId="30CEF22D">
      <w:pPr>
        <w:spacing w:line="360" w:lineRule="auto"/>
        <w:ind w:left="1290" w:leftChars="500" w:hanging="240" w:hangingChars="100"/>
        <w:rPr>
          <w:sz w:val="24"/>
        </w:rPr>
      </w:pPr>
      <w:r>
        <w:rPr>
          <w:sz w:val="24"/>
        </w:rPr>
        <w:t>1）人员资质要求：</w:t>
      </w:r>
    </w:p>
    <w:p w14:paraId="5C1E3FDA">
      <w:pPr>
        <w:spacing w:line="360" w:lineRule="auto"/>
        <w:ind w:left="1050" w:leftChars="500" w:firstLine="480" w:firstLineChars="200"/>
        <w:rPr>
          <w:sz w:val="24"/>
        </w:rPr>
      </w:pPr>
      <w:r>
        <w:rPr>
          <w:sz w:val="24"/>
        </w:rPr>
        <w:t>具有2年及以上污水处理相关的工作经验，</w:t>
      </w:r>
      <w:r>
        <w:rPr>
          <w:rFonts w:hint="eastAsia"/>
          <w:sz w:val="24"/>
          <w:lang w:val="en-US" w:eastAsia="zh-CN"/>
        </w:rPr>
        <w:t>初中</w:t>
      </w:r>
      <w:r>
        <w:rPr>
          <w:sz w:val="24"/>
        </w:rPr>
        <w:t>及以上学历，持有有效期内的低压电工操作证，健康状况良好，细心细致，责任心强，具有良好的服从意识和不怕脏、不怕苦的精神。</w:t>
      </w:r>
    </w:p>
    <w:p w14:paraId="2DF7EE18">
      <w:pPr>
        <w:spacing w:line="360" w:lineRule="auto"/>
        <w:ind w:firstLine="960" w:firstLineChars="400"/>
        <w:rPr>
          <w:sz w:val="24"/>
        </w:rPr>
      </w:pPr>
      <w:r>
        <w:rPr>
          <w:sz w:val="24"/>
        </w:rPr>
        <w:t>2）具体服务要求：</w:t>
      </w:r>
    </w:p>
    <w:p w14:paraId="000BF8AA">
      <w:pPr>
        <w:spacing w:line="360" w:lineRule="auto"/>
        <w:ind w:left="1155" w:leftChars="550" w:firstLine="480" w:firstLineChars="200"/>
        <w:rPr>
          <w:sz w:val="24"/>
        </w:rPr>
      </w:pPr>
      <w:r>
        <w:rPr>
          <w:sz w:val="24"/>
        </w:rPr>
        <w:t>建立健全各项管理制度，落实安全生产责任，严格遵守安全、消防、防疫、治安等政策，杜绝生产安全、治安、刑事案件的发生。</w:t>
      </w:r>
    </w:p>
    <w:p w14:paraId="3A3AEEBC">
      <w:pPr>
        <w:spacing w:line="360" w:lineRule="auto"/>
        <w:ind w:left="1155" w:leftChars="550" w:firstLine="480" w:firstLineChars="200"/>
        <w:rPr>
          <w:sz w:val="24"/>
        </w:rPr>
      </w:pPr>
      <w:r>
        <w:rPr>
          <w:sz w:val="24"/>
        </w:rPr>
        <w:t>严格遵守《中华人民共和国安全生产法》、《中华人民共和国水污染防治法》、《中华人民共和国环境保护法》、《医疗机构水污染物排放标准》</w:t>
      </w:r>
      <w:r>
        <w:rPr>
          <w:rFonts w:hint="eastAsia"/>
          <w:sz w:val="24"/>
          <w:lang w:eastAsia="zh-CN"/>
        </w:rPr>
        <w:t>、《排污许可管理办法》</w:t>
      </w:r>
      <w:r>
        <w:rPr>
          <w:sz w:val="24"/>
        </w:rPr>
        <w:t>等相关法律</w:t>
      </w:r>
      <w:r>
        <w:rPr>
          <w:rFonts w:hint="eastAsia"/>
          <w:sz w:val="24"/>
          <w:lang w:eastAsia="zh-CN"/>
        </w:rPr>
        <w:t>规范</w:t>
      </w:r>
      <w:r>
        <w:rPr>
          <w:rFonts w:hint="eastAsia"/>
          <w:sz w:val="24"/>
          <w:lang w:eastAsia="zh-Hans"/>
        </w:rPr>
        <w:t>和司法解释</w:t>
      </w:r>
      <w:r>
        <w:rPr>
          <w:sz w:val="24"/>
        </w:rPr>
        <w:t>，</w:t>
      </w:r>
      <w:r>
        <w:rPr>
          <w:rFonts w:hint="eastAsia"/>
          <w:sz w:val="24"/>
          <w:lang w:val="en-US" w:eastAsia="zh-CN"/>
        </w:rPr>
        <w:t>按照排污许可证管理条例要求定期开展各项水质检测工作</w:t>
      </w:r>
      <w:r>
        <w:rPr>
          <w:sz w:val="24"/>
        </w:rPr>
        <w:t>，配合</w:t>
      </w:r>
      <w:r>
        <w:rPr>
          <w:rFonts w:hint="eastAsia"/>
          <w:sz w:val="24"/>
          <w:lang w:val="en-US" w:eastAsia="zh-CN"/>
        </w:rPr>
        <w:t>各监管部门及</w:t>
      </w:r>
      <w:r>
        <w:rPr>
          <w:sz w:val="24"/>
        </w:rPr>
        <w:t>医院的各项检查。</w:t>
      </w:r>
    </w:p>
    <w:p w14:paraId="4C7654EB">
      <w:pPr>
        <w:spacing w:line="360" w:lineRule="auto"/>
        <w:ind w:left="1155" w:leftChars="550" w:firstLine="480" w:firstLineChars="200"/>
        <w:rPr>
          <w:sz w:val="24"/>
        </w:rPr>
      </w:pPr>
      <w:r>
        <w:rPr>
          <w:sz w:val="24"/>
        </w:rPr>
        <w:t>熟悉掌握污水处理系统、水设施构筑物的构成、工作原理、各项操作规程，制定具有可操作性的各项应急预案，对突发应急事件要及时、有效、妥善处置。</w:t>
      </w:r>
    </w:p>
    <w:p w14:paraId="66F833ED">
      <w:pPr>
        <w:spacing w:line="360" w:lineRule="auto"/>
        <w:ind w:left="1050" w:leftChars="500" w:firstLine="480" w:firstLineChars="200"/>
        <w:rPr>
          <w:rFonts w:hint="eastAsia" w:eastAsia="宋体"/>
          <w:sz w:val="24"/>
          <w:lang w:eastAsia="zh-CN"/>
        </w:rPr>
      </w:pPr>
      <w:r>
        <w:rPr>
          <w:sz w:val="24"/>
        </w:rPr>
        <w:t>按照规定周期对污水处理系统进行巡查、维护，并做好设备设施运行记录，确保系统的正常运行以及出水的达标排放</w:t>
      </w:r>
      <w:r>
        <w:rPr>
          <w:rFonts w:hint="eastAsia"/>
          <w:sz w:val="24"/>
          <w:lang w:eastAsia="zh-CN"/>
        </w:rPr>
        <w:t>。</w:t>
      </w:r>
    </w:p>
    <w:p w14:paraId="59AFFFDB">
      <w:pPr>
        <w:spacing w:line="360" w:lineRule="auto"/>
        <w:ind w:left="1050" w:leftChars="500" w:firstLine="480" w:firstLineChars="200"/>
        <w:rPr>
          <w:rFonts w:hint="eastAsia" w:eastAsia="宋体"/>
          <w:sz w:val="24"/>
          <w:lang w:eastAsia="zh-CN"/>
        </w:rPr>
      </w:pPr>
      <w:r>
        <w:rPr>
          <w:rFonts w:hint="eastAsia"/>
          <w:sz w:val="24"/>
          <w:lang w:val="en-US" w:eastAsia="zh-CN"/>
        </w:rPr>
        <w:t>密切关注污水在线监测系统运行情况并做好各项记录工作</w:t>
      </w:r>
      <w:r>
        <w:rPr>
          <w:sz w:val="24"/>
        </w:rPr>
        <w:t>，</w:t>
      </w:r>
      <w:r>
        <w:rPr>
          <w:rFonts w:hint="eastAsia"/>
          <w:sz w:val="24"/>
          <w:lang w:val="en-US" w:eastAsia="zh-CN"/>
        </w:rPr>
        <w:t>同时做好</w:t>
      </w:r>
      <w:r>
        <w:rPr>
          <w:sz w:val="24"/>
        </w:rPr>
        <w:t>加药记录、污泥清淤、水质检测等各项台账的制作整理</w:t>
      </w:r>
      <w:r>
        <w:rPr>
          <w:rFonts w:hint="eastAsia"/>
          <w:sz w:val="24"/>
          <w:lang w:eastAsia="zh-CN"/>
        </w:rPr>
        <w:t>。</w:t>
      </w:r>
    </w:p>
    <w:p w14:paraId="50F78789">
      <w:pPr>
        <w:spacing w:line="360" w:lineRule="auto"/>
        <w:ind w:left="1050" w:leftChars="500" w:firstLine="360" w:firstLineChars="150"/>
        <w:rPr>
          <w:sz w:val="24"/>
        </w:rPr>
      </w:pPr>
      <w:r>
        <w:rPr>
          <w:sz w:val="24"/>
        </w:rPr>
        <w:t>负责全院雨污水管网的定期巡查、养护，以及管井标识标牌的完善和修补。</w:t>
      </w:r>
    </w:p>
    <w:p w14:paraId="508B6ED4">
      <w:pPr>
        <w:spacing w:line="360" w:lineRule="auto"/>
        <w:ind w:firstLine="600" w:firstLineChars="250"/>
        <w:rPr>
          <w:sz w:val="24"/>
        </w:rPr>
      </w:pPr>
      <w:r>
        <w:rPr>
          <w:sz w:val="24"/>
        </w:rPr>
        <w:t>（6）智慧后勤综合受理服务</w:t>
      </w:r>
    </w:p>
    <w:p w14:paraId="43668D9D">
      <w:pPr>
        <w:spacing w:line="360" w:lineRule="auto"/>
        <w:ind w:left="1290" w:leftChars="500" w:hanging="240" w:hangingChars="100"/>
        <w:rPr>
          <w:sz w:val="24"/>
        </w:rPr>
      </w:pPr>
      <w:r>
        <w:rPr>
          <w:sz w:val="24"/>
        </w:rPr>
        <w:t>1）人员资质要求：</w:t>
      </w:r>
    </w:p>
    <w:p w14:paraId="3C8A0497">
      <w:pPr>
        <w:spacing w:line="360" w:lineRule="auto"/>
        <w:ind w:left="1365" w:leftChars="650" w:firstLine="480" w:firstLineChars="200"/>
        <w:rPr>
          <w:sz w:val="24"/>
        </w:rPr>
      </w:pPr>
      <w:r>
        <w:rPr>
          <w:sz w:val="24"/>
        </w:rPr>
        <w:t>具有2年及以上话务处理、售后服务回访等相关的工作经验，35周岁以下，</w:t>
      </w:r>
      <w:r>
        <w:rPr>
          <w:rFonts w:hint="eastAsia"/>
          <w:sz w:val="24"/>
          <w:lang w:val="en-US" w:eastAsia="zh-CN"/>
        </w:rPr>
        <w:t>大专</w:t>
      </w:r>
      <w:r>
        <w:rPr>
          <w:sz w:val="24"/>
        </w:rPr>
        <w:t>及以上学历，会电脑基本操作，会使用基本办公软件，身体健康状况良好，细心细致，责任心强，普通话标准、声音甜美，并具有良好的心理素质和自控能力，工作有耐心、性格开朗，责任心强。</w:t>
      </w:r>
    </w:p>
    <w:p w14:paraId="25968F7A">
      <w:pPr>
        <w:spacing w:line="360" w:lineRule="auto"/>
        <w:ind w:firstLine="960" w:firstLineChars="400"/>
        <w:rPr>
          <w:sz w:val="24"/>
        </w:rPr>
      </w:pPr>
      <w:r>
        <w:rPr>
          <w:sz w:val="24"/>
        </w:rPr>
        <w:t>2）具体服务要求：</w:t>
      </w:r>
    </w:p>
    <w:p w14:paraId="2AFEB4B3">
      <w:pPr>
        <w:spacing w:line="360" w:lineRule="auto"/>
        <w:ind w:left="1365" w:leftChars="650" w:firstLine="480" w:firstLineChars="200"/>
        <w:rPr>
          <w:rFonts w:hint="default" w:eastAsia="宋体"/>
          <w:sz w:val="24"/>
          <w:lang w:val="en-US" w:eastAsia="zh-CN"/>
        </w:rPr>
      </w:pPr>
      <w:r>
        <w:rPr>
          <w:sz w:val="24"/>
        </w:rPr>
        <w:t>负责全院报修事件的话务受理，报修工单的任务分配，做好报修事件的跟进回访工作，做好报修事件的分类统计及数据汇总分析，配合做好总务项目的档案资料整理以及其他交办的工作任务。</w:t>
      </w:r>
      <w:r>
        <w:rPr>
          <w:rFonts w:hint="eastAsia"/>
          <w:sz w:val="24"/>
          <w:lang w:val="en-US" w:eastAsia="zh-CN"/>
        </w:rPr>
        <w:t>配合医院做好数智中心的参观接待任务。</w:t>
      </w:r>
    </w:p>
    <w:p w14:paraId="08409263">
      <w:pPr>
        <w:spacing w:line="360" w:lineRule="auto"/>
        <w:ind w:firstLine="600" w:firstLineChars="250"/>
        <w:rPr>
          <w:sz w:val="24"/>
        </w:rPr>
      </w:pPr>
      <w:r>
        <w:rPr>
          <w:sz w:val="24"/>
        </w:rPr>
        <w:t>（7）工程技术主管</w:t>
      </w:r>
    </w:p>
    <w:p w14:paraId="6E695652">
      <w:pPr>
        <w:spacing w:line="360" w:lineRule="auto"/>
        <w:ind w:left="1290" w:leftChars="500" w:hanging="240" w:hangingChars="100"/>
        <w:rPr>
          <w:sz w:val="24"/>
        </w:rPr>
      </w:pPr>
      <w:r>
        <w:rPr>
          <w:sz w:val="24"/>
        </w:rPr>
        <w:t>1）人员资质要求：</w:t>
      </w:r>
    </w:p>
    <w:p w14:paraId="0B2A55EC">
      <w:pPr>
        <w:spacing w:line="360" w:lineRule="auto"/>
        <w:ind w:left="1260" w:leftChars="600" w:firstLine="480" w:firstLineChars="200"/>
        <w:rPr>
          <w:sz w:val="24"/>
        </w:rPr>
      </w:pPr>
      <w:r>
        <w:rPr>
          <w:sz w:val="24"/>
        </w:rPr>
        <w:t>具有5年</w:t>
      </w:r>
      <w:r>
        <w:rPr>
          <w:rFonts w:hint="eastAsia"/>
          <w:sz w:val="24"/>
        </w:rPr>
        <w:t>及</w:t>
      </w:r>
      <w:r>
        <w:rPr>
          <w:sz w:val="24"/>
        </w:rPr>
        <w:t>以上工程技术相关工作经验，</w:t>
      </w:r>
      <w:r>
        <w:rPr>
          <w:rFonts w:hint="eastAsia"/>
          <w:sz w:val="24"/>
          <w:lang w:val="en-US" w:eastAsia="zh-CN"/>
        </w:rPr>
        <w:t>高中</w:t>
      </w:r>
      <w:r>
        <w:rPr>
          <w:sz w:val="24"/>
        </w:rPr>
        <w:t>及以上学历，持有有效期内的</w:t>
      </w:r>
      <w:r>
        <w:rPr>
          <w:rFonts w:hint="eastAsia"/>
          <w:sz w:val="24"/>
          <w:lang w:val="en-US" w:eastAsia="zh-CN"/>
        </w:rPr>
        <w:t>低压</w:t>
      </w:r>
      <w:r>
        <w:rPr>
          <w:sz w:val="24"/>
        </w:rPr>
        <w:t>电工</w:t>
      </w:r>
      <w:r>
        <w:rPr>
          <w:rFonts w:hint="eastAsia"/>
          <w:sz w:val="24"/>
          <w:lang w:val="en-US" w:eastAsia="zh-CN"/>
        </w:rPr>
        <w:t>操作</w:t>
      </w:r>
      <w:r>
        <w:rPr>
          <w:sz w:val="24"/>
        </w:rPr>
        <w:t>证</w:t>
      </w:r>
      <w:r>
        <w:rPr>
          <w:rFonts w:hint="eastAsia"/>
          <w:sz w:val="24"/>
          <w:lang w:val="en-US" w:eastAsia="zh-CN"/>
        </w:rPr>
        <w:t>及高级电工技能证书</w:t>
      </w:r>
      <w:r>
        <w:rPr>
          <w:sz w:val="24"/>
        </w:rPr>
        <w:t>，健康状况良好，责任心强，具有良好的沟通协调能力和应急响应能力。</w:t>
      </w:r>
    </w:p>
    <w:p w14:paraId="6EDB1237">
      <w:pPr>
        <w:spacing w:line="360" w:lineRule="auto"/>
        <w:ind w:firstLine="960" w:firstLineChars="400"/>
        <w:rPr>
          <w:sz w:val="24"/>
        </w:rPr>
      </w:pPr>
      <w:r>
        <w:rPr>
          <w:sz w:val="24"/>
        </w:rPr>
        <w:t>2）职责要求：</w:t>
      </w:r>
    </w:p>
    <w:p w14:paraId="6E41EB30">
      <w:pPr>
        <w:spacing w:line="360" w:lineRule="auto"/>
        <w:ind w:left="1260" w:leftChars="600" w:firstLine="360" w:firstLineChars="150"/>
        <w:rPr>
          <w:sz w:val="24"/>
        </w:rPr>
      </w:pPr>
      <w:r>
        <w:rPr>
          <w:sz w:val="24"/>
        </w:rPr>
        <w:t>组织建立健全各项管理制度，完善各项应急流程，落实安全生产责任，严格遵守安全、消防、防疫、治安等政策，杜绝生产安全、治安、刑事案件的发生。</w:t>
      </w:r>
    </w:p>
    <w:p w14:paraId="7020E0E3">
      <w:pPr>
        <w:spacing w:line="360" w:lineRule="auto"/>
        <w:ind w:left="1260" w:leftChars="600" w:firstLine="360" w:firstLineChars="150"/>
        <w:rPr>
          <w:sz w:val="24"/>
        </w:rPr>
      </w:pPr>
      <w:r>
        <w:rPr>
          <w:sz w:val="24"/>
        </w:rPr>
        <w:t>全面统筹工程技术部门日常管理、业务指导、技术培训工作，协助综合运行维修班组的日常工作开展，有计划的组织班组设备巡检工作，组织对各应急事件的响应处置，辅助科室组织应急演练工作，配合</w:t>
      </w:r>
      <w:r>
        <w:rPr>
          <w:rFonts w:hint="eastAsia"/>
          <w:sz w:val="24"/>
          <w:lang w:val="en-US" w:eastAsia="zh-CN"/>
        </w:rPr>
        <w:t>院</w:t>
      </w:r>
      <w:r>
        <w:rPr>
          <w:sz w:val="24"/>
        </w:rPr>
        <w:t>方其他临时的工作任务。</w:t>
      </w:r>
    </w:p>
    <w:p w14:paraId="578EB548">
      <w:pPr>
        <w:spacing w:line="360" w:lineRule="auto"/>
        <w:ind w:firstLine="600" w:firstLineChars="250"/>
        <w:rPr>
          <w:sz w:val="24"/>
        </w:rPr>
      </w:pPr>
      <w:r>
        <w:rPr>
          <w:sz w:val="24"/>
        </w:rPr>
        <w:t>（8）供应室器械清洗消毒保障服务</w:t>
      </w:r>
    </w:p>
    <w:p w14:paraId="20DED87E">
      <w:pPr>
        <w:spacing w:line="360" w:lineRule="auto"/>
        <w:ind w:left="1290" w:leftChars="500" w:hanging="240" w:hangingChars="100"/>
        <w:rPr>
          <w:sz w:val="24"/>
        </w:rPr>
      </w:pPr>
      <w:r>
        <w:rPr>
          <w:sz w:val="24"/>
        </w:rPr>
        <w:t>1）人员资质要求：</w:t>
      </w:r>
    </w:p>
    <w:p w14:paraId="66496892">
      <w:pPr>
        <w:spacing w:line="360" w:lineRule="auto"/>
        <w:ind w:left="1050" w:leftChars="500" w:firstLine="720" w:firstLineChars="300"/>
        <w:rPr>
          <w:sz w:val="24"/>
        </w:rPr>
      </w:pPr>
      <w:r>
        <w:rPr>
          <w:sz w:val="24"/>
        </w:rPr>
        <w:t>年龄</w:t>
      </w:r>
      <w:r>
        <w:rPr>
          <w:rFonts w:hint="eastAsia"/>
          <w:sz w:val="24"/>
          <w:lang w:val="en-US" w:eastAsia="zh-CN"/>
        </w:rPr>
        <w:t>45</w:t>
      </w:r>
      <w:r>
        <w:rPr>
          <w:sz w:val="24"/>
        </w:rPr>
        <w:t>周岁以内，</w:t>
      </w:r>
      <w:r>
        <w:rPr>
          <w:rFonts w:hint="eastAsia"/>
          <w:sz w:val="24"/>
          <w:lang w:val="en-US" w:eastAsia="zh-CN"/>
        </w:rPr>
        <w:t>大专</w:t>
      </w:r>
      <w:r>
        <w:rPr>
          <w:rFonts w:hint="eastAsia"/>
          <w:sz w:val="24"/>
        </w:rPr>
        <w:t>及</w:t>
      </w:r>
      <w:r>
        <w:rPr>
          <w:sz w:val="24"/>
        </w:rPr>
        <w:t xml:space="preserve">以上学历，身体健康，吃苦耐劳、服从分配。              </w:t>
      </w:r>
    </w:p>
    <w:p w14:paraId="422C3CC9">
      <w:pPr>
        <w:spacing w:line="360" w:lineRule="auto"/>
        <w:ind w:firstLine="960" w:firstLineChars="400"/>
        <w:rPr>
          <w:sz w:val="24"/>
        </w:rPr>
      </w:pPr>
      <w:r>
        <w:rPr>
          <w:sz w:val="24"/>
        </w:rPr>
        <w:t>2）职责要求：</w:t>
      </w:r>
    </w:p>
    <w:p w14:paraId="438204A5">
      <w:pPr>
        <w:adjustRightInd/>
        <w:spacing w:line="360" w:lineRule="auto"/>
        <w:ind w:left="1260" w:leftChars="600" w:firstLine="480" w:firstLineChars="200"/>
        <w:rPr>
          <w:sz w:val="24"/>
        </w:rPr>
      </w:pPr>
      <w:r>
        <w:rPr>
          <w:sz w:val="24"/>
        </w:rPr>
        <w:t>严格执行职业防护和消毒隔离制度，遵循标准防护要求。掌握院感和CSSD相关知识和技能。负责各类可复用器械、物品的回收、清点、分类、清洗、检查保养、包装等工作，熟悉各类物品的回收、清点、分类、清洗、检查保养、包装等工作流程，掌握各类物品的回收、清点、清洗、检查保养、包装、下送等合格标准。遵守各种清洗消毒机和灭菌器等设备设施的操作规程及注意事项，正确使用清洗、灭菌等各类设备、设施，正确装载，准确记录运行参数，完成各类设备、设施的日常维护与保养，保证机器的正常运转。</w:t>
      </w:r>
    </w:p>
    <w:p w14:paraId="7748B891">
      <w:pPr>
        <w:spacing w:line="360" w:lineRule="auto"/>
        <w:ind w:firstLine="720" w:firstLineChars="300"/>
        <w:rPr>
          <w:sz w:val="24"/>
        </w:rPr>
      </w:pPr>
      <w:r>
        <w:rPr>
          <w:sz w:val="24"/>
        </w:rPr>
        <w:t>（9）高级厨师</w:t>
      </w:r>
    </w:p>
    <w:p w14:paraId="22C9E8D9">
      <w:pPr>
        <w:spacing w:line="360" w:lineRule="auto"/>
        <w:ind w:left="1290" w:leftChars="500" w:hanging="240" w:hangingChars="100"/>
        <w:rPr>
          <w:sz w:val="24"/>
        </w:rPr>
      </w:pPr>
      <w:r>
        <w:rPr>
          <w:sz w:val="24"/>
        </w:rPr>
        <w:t>1）人员资质要求：</w:t>
      </w:r>
    </w:p>
    <w:p w14:paraId="3AB99ABF">
      <w:pPr>
        <w:spacing w:line="360" w:lineRule="auto"/>
        <w:ind w:left="1260" w:leftChars="600" w:firstLine="480" w:firstLineChars="200"/>
        <w:rPr>
          <w:color w:val="auto"/>
          <w:sz w:val="24"/>
          <w:highlight w:val="none"/>
        </w:rPr>
      </w:pPr>
      <w:r>
        <w:rPr>
          <w:color w:val="auto"/>
          <w:sz w:val="24"/>
          <w:highlight w:val="none"/>
        </w:rPr>
        <w:t>初中</w:t>
      </w:r>
      <w:r>
        <w:rPr>
          <w:rFonts w:hint="eastAsia"/>
          <w:color w:val="auto"/>
          <w:sz w:val="24"/>
          <w:highlight w:val="none"/>
        </w:rPr>
        <w:t>及</w:t>
      </w:r>
      <w:r>
        <w:rPr>
          <w:color w:val="auto"/>
          <w:sz w:val="24"/>
          <w:highlight w:val="none"/>
        </w:rPr>
        <w:t>以上学历，有厨师证优先，且有10年</w:t>
      </w:r>
      <w:r>
        <w:rPr>
          <w:rFonts w:hint="eastAsia"/>
          <w:color w:val="auto"/>
          <w:sz w:val="24"/>
          <w:highlight w:val="none"/>
        </w:rPr>
        <w:t>及</w:t>
      </w:r>
      <w:r>
        <w:rPr>
          <w:color w:val="auto"/>
          <w:sz w:val="24"/>
          <w:highlight w:val="none"/>
        </w:rPr>
        <w:t xml:space="preserve">以上厨师工作经历。                </w:t>
      </w:r>
    </w:p>
    <w:p w14:paraId="057099D6">
      <w:pPr>
        <w:spacing w:line="360" w:lineRule="auto"/>
        <w:ind w:firstLine="960" w:firstLineChars="400"/>
        <w:rPr>
          <w:color w:val="auto"/>
          <w:sz w:val="24"/>
          <w:highlight w:val="none"/>
        </w:rPr>
      </w:pPr>
      <w:r>
        <w:rPr>
          <w:color w:val="auto"/>
          <w:sz w:val="24"/>
          <w:highlight w:val="none"/>
        </w:rPr>
        <w:t>2）职责要求：</w:t>
      </w:r>
    </w:p>
    <w:p w14:paraId="14FE5FB6">
      <w:pPr>
        <w:spacing w:line="360" w:lineRule="auto"/>
        <w:ind w:left="1260" w:leftChars="600" w:firstLine="480" w:firstLineChars="200"/>
        <w:rPr>
          <w:color w:val="auto"/>
          <w:sz w:val="24"/>
          <w:highlight w:val="none"/>
        </w:rPr>
      </w:pPr>
      <w:r>
        <w:rPr>
          <w:color w:val="auto"/>
          <w:sz w:val="24"/>
          <w:highlight w:val="none"/>
        </w:rPr>
        <w:t>接受厨师长的工作指令，上班后向厨师长报到并接受工作任务，按规定穿戴工作衣帽，保持个人卫生。按手续领取所需原料、调料，做好烹调前的各项准备工作。严格按食品卫生要求和操作规程、菜肴规格标准进行烹调，根据供应需要进行菜肴烹制，确保菜肴质量和供应数量。对烹调技术精益求精，力求出品菜肴的色、香、味、形俱佳。负责炉灶区域的各项卫生及整理工作，并保持整洁。烹调完毕及时关闭能源开关。对剩余原料、食品按要求及时进行保藏。积极完成上级交给的其它工作任务。</w:t>
      </w:r>
    </w:p>
    <w:p w14:paraId="333230C7">
      <w:pPr>
        <w:spacing w:line="360" w:lineRule="auto"/>
        <w:ind w:firstLine="720" w:firstLineChars="300"/>
        <w:rPr>
          <w:color w:val="auto"/>
          <w:sz w:val="24"/>
          <w:highlight w:val="none"/>
        </w:rPr>
      </w:pPr>
      <w:r>
        <w:rPr>
          <w:color w:val="auto"/>
          <w:sz w:val="24"/>
          <w:highlight w:val="none"/>
        </w:rPr>
        <w:t>（10）普通厨师</w:t>
      </w:r>
    </w:p>
    <w:p w14:paraId="2F484995">
      <w:pPr>
        <w:spacing w:line="360" w:lineRule="auto"/>
        <w:ind w:left="1290" w:leftChars="500" w:hanging="240" w:hangingChars="100"/>
        <w:rPr>
          <w:color w:val="auto"/>
          <w:sz w:val="24"/>
          <w:highlight w:val="none"/>
        </w:rPr>
      </w:pPr>
      <w:r>
        <w:rPr>
          <w:color w:val="auto"/>
          <w:sz w:val="24"/>
          <w:highlight w:val="none"/>
        </w:rPr>
        <w:t>1）人员资质要求：</w:t>
      </w:r>
    </w:p>
    <w:p w14:paraId="61630743">
      <w:pPr>
        <w:spacing w:line="360" w:lineRule="auto"/>
        <w:ind w:left="1050" w:leftChars="500" w:firstLine="720" w:firstLineChars="300"/>
        <w:rPr>
          <w:color w:val="auto"/>
          <w:sz w:val="24"/>
          <w:highlight w:val="none"/>
        </w:rPr>
      </w:pPr>
      <w:r>
        <w:rPr>
          <w:color w:val="auto"/>
          <w:sz w:val="24"/>
          <w:highlight w:val="none"/>
        </w:rPr>
        <w:t>初中</w:t>
      </w:r>
      <w:r>
        <w:rPr>
          <w:rFonts w:hint="eastAsia"/>
          <w:color w:val="auto"/>
          <w:sz w:val="24"/>
          <w:highlight w:val="none"/>
        </w:rPr>
        <w:t>及</w:t>
      </w:r>
      <w:r>
        <w:rPr>
          <w:color w:val="auto"/>
          <w:sz w:val="24"/>
          <w:highlight w:val="none"/>
        </w:rPr>
        <w:t>以上学历，且有5年</w:t>
      </w:r>
      <w:r>
        <w:rPr>
          <w:rFonts w:hint="eastAsia"/>
          <w:color w:val="auto"/>
          <w:sz w:val="24"/>
          <w:highlight w:val="none"/>
        </w:rPr>
        <w:t>及</w:t>
      </w:r>
      <w:r>
        <w:rPr>
          <w:color w:val="auto"/>
          <w:sz w:val="24"/>
          <w:highlight w:val="none"/>
        </w:rPr>
        <w:t xml:space="preserve">以上厨师工作经历。                </w:t>
      </w:r>
    </w:p>
    <w:p w14:paraId="0AEDC9D5">
      <w:pPr>
        <w:spacing w:line="360" w:lineRule="auto"/>
        <w:ind w:firstLine="960" w:firstLineChars="400"/>
        <w:rPr>
          <w:color w:val="auto"/>
          <w:sz w:val="24"/>
          <w:highlight w:val="none"/>
        </w:rPr>
      </w:pPr>
      <w:r>
        <w:rPr>
          <w:color w:val="auto"/>
          <w:sz w:val="24"/>
          <w:highlight w:val="none"/>
        </w:rPr>
        <w:t>2）职责要求：</w:t>
      </w:r>
    </w:p>
    <w:p w14:paraId="56988333">
      <w:pPr>
        <w:pStyle w:val="966"/>
        <w:widowControl w:val="0"/>
        <w:autoSpaceDE w:val="0"/>
        <w:autoSpaceDN w:val="0"/>
        <w:spacing w:before="0" w:after="120" w:line="360" w:lineRule="auto"/>
        <w:ind w:left="1260" w:leftChars="600" w:firstLine="480" w:firstLineChars="200"/>
        <w:jc w:val="left"/>
        <w:rPr>
          <w:rFonts w:ascii="Times New Roman" w:hAnsi="Times New Roman" w:eastAsia="宋体" w:cs="Times New Roman"/>
          <w:color w:val="auto"/>
          <w:kern w:val="2"/>
          <w:sz w:val="24"/>
          <w:szCs w:val="24"/>
          <w:highlight w:val="none"/>
          <w:lang w:eastAsia="zh-CN"/>
        </w:rPr>
      </w:pPr>
      <w:r>
        <w:rPr>
          <w:rFonts w:ascii="Times New Roman" w:hAnsi="Times New Roman" w:eastAsia="宋体" w:cs="Times New Roman"/>
          <w:color w:val="auto"/>
          <w:kern w:val="2"/>
          <w:sz w:val="24"/>
          <w:szCs w:val="24"/>
          <w:highlight w:val="none"/>
          <w:lang w:eastAsia="zh-CN"/>
        </w:rPr>
        <w:t>接受厨师长的工作指令，上班后向厨师长报到并接受工作任务。按规定穿戴工作衣帽，保持个人卫生。按手续领取所需原料、调料，做好烹调前的各项准备工作。严格按食品卫生要求和操作规程、菜肴规格标准进行烹调，根据供应需要进行菜肴烹制，确保菜肴质量和供应数量。对烹调技术精益求精，力求出品菜肴的色、香、味、形俱佳。负责炉灶区域的各项卫生及整理工作，并保持整洁。烹调完毕及时关闭能源开关。对剩余原料、食品按要求及时进行保藏。积极完成上级交给的其它工作任务。</w:t>
      </w:r>
    </w:p>
    <w:p w14:paraId="48606AC6">
      <w:pPr>
        <w:spacing w:line="360" w:lineRule="auto"/>
        <w:ind w:firstLine="720" w:firstLineChars="300"/>
        <w:rPr>
          <w:color w:val="auto"/>
          <w:sz w:val="24"/>
          <w:highlight w:val="none"/>
        </w:rPr>
      </w:pPr>
      <w:r>
        <w:rPr>
          <w:color w:val="auto"/>
          <w:sz w:val="24"/>
          <w:highlight w:val="none"/>
        </w:rPr>
        <w:t>（11）高级面点师</w:t>
      </w:r>
    </w:p>
    <w:p w14:paraId="442EA536">
      <w:pPr>
        <w:spacing w:line="360" w:lineRule="auto"/>
        <w:ind w:left="1290" w:leftChars="500" w:hanging="240" w:hangingChars="100"/>
        <w:rPr>
          <w:color w:val="auto"/>
          <w:sz w:val="24"/>
          <w:highlight w:val="none"/>
        </w:rPr>
      </w:pPr>
      <w:r>
        <w:rPr>
          <w:color w:val="auto"/>
          <w:sz w:val="24"/>
          <w:highlight w:val="none"/>
        </w:rPr>
        <w:t>1）人员资质要求：</w:t>
      </w:r>
    </w:p>
    <w:p w14:paraId="03875AD6">
      <w:pPr>
        <w:spacing w:line="360" w:lineRule="auto"/>
        <w:ind w:left="1260" w:leftChars="600" w:firstLine="480" w:firstLineChars="200"/>
        <w:rPr>
          <w:color w:val="auto"/>
          <w:sz w:val="24"/>
          <w:highlight w:val="none"/>
        </w:rPr>
      </w:pPr>
      <w:r>
        <w:rPr>
          <w:color w:val="auto"/>
          <w:sz w:val="24"/>
          <w:highlight w:val="none"/>
        </w:rPr>
        <w:t>初中</w:t>
      </w:r>
      <w:r>
        <w:rPr>
          <w:rFonts w:hint="eastAsia"/>
          <w:color w:val="auto"/>
          <w:sz w:val="24"/>
          <w:highlight w:val="none"/>
        </w:rPr>
        <w:t>及</w:t>
      </w:r>
      <w:r>
        <w:rPr>
          <w:color w:val="auto"/>
          <w:sz w:val="24"/>
          <w:highlight w:val="none"/>
        </w:rPr>
        <w:t>以上学历，有面点师证优先，且有10年</w:t>
      </w:r>
      <w:r>
        <w:rPr>
          <w:rFonts w:hint="eastAsia"/>
          <w:color w:val="auto"/>
          <w:sz w:val="24"/>
          <w:highlight w:val="none"/>
        </w:rPr>
        <w:t>及</w:t>
      </w:r>
      <w:r>
        <w:rPr>
          <w:color w:val="auto"/>
          <w:sz w:val="24"/>
          <w:highlight w:val="none"/>
        </w:rPr>
        <w:t xml:space="preserve">以上制作中西点工作经验。                </w:t>
      </w:r>
    </w:p>
    <w:p w14:paraId="5355B41A">
      <w:pPr>
        <w:spacing w:line="360" w:lineRule="auto"/>
        <w:ind w:firstLine="960" w:firstLineChars="400"/>
        <w:rPr>
          <w:color w:val="auto"/>
          <w:sz w:val="24"/>
          <w:highlight w:val="none"/>
        </w:rPr>
      </w:pPr>
      <w:r>
        <w:rPr>
          <w:color w:val="auto"/>
          <w:sz w:val="24"/>
          <w:highlight w:val="none"/>
        </w:rPr>
        <w:t>2）职责要求：</w:t>
      </w:r>
    </w:p>
    <w:p w14:paraId="375260D5">
      <w:pPr>
        <w:pStyle w:val="967"/>
        <w:widowControl w:val="0"/>
        <w:autoSpaceDE w:val="0"/>
        <w:autoSpaceDN w:val="0"/>
        <w:spacing w:before="0" w:after="120" w:line="360" w:lineRule="auto"/>
        <w:ind w:left="1260" w:leftChars="600" w:firstLine="480" w:firstLineChars="200"/>
        <w:jc w:val="left"/>
        <w:rPr>
          <w:rFonts w:ascii="Times New Roman" w:hAnsi="Times New Roman" w:eastAsia="宋体" w:cs="Times New Roman"/>
          <w:color w:val="auto"/>
          <w:kern w:val="2"/>
          <w:sz w:val="24"/>
          <w:szCs w:val="24"/>
          <w:highlight w:val="none"/>
          <w:lang w:eastAsia="zh-CN"/>
        </w:rPr>
      </w:pPr>
      <w:r>
        <w:rPr>
          <w:rFonts w:ascii="Times New Roman" w:hAnsi="Times New Roman" w:eastAsia="宋体" w:cs="Times New Roman"/>
          <w:color w:val="auto"/>
          <w:kern w:val="2"/>
          <w:sz w:val="24"/>
          <w:szCs w:val="24"/>
          <w:highlight w:val="none"/>
          <w:lang w:eastAsia="zh-CN"/>
        </w:rPr>
        <w:t>接受领班的工作指令和布置的工作任务。按规定着装上班，保持个人  卫生。根据生产任务，按手续领取所需原料。根据菜单要求，按标准的操作规程制作面点。负责面点制作的设备和用具的安全使用、维护和各项卫生工作。面点制作结束后及时关闭能源开关，对剩余原料、食品按要求及时进行保存。参加销售和各项扫尾工作，积极完成上级交给的其它工作任务。</w:t>
      </w:r>
    </w:p>
    <w:p w14:paraId="0D710E8C">
      <w:pPr>
        <w:spacing w:line="360" w:lineRule="auto"/>
        <w:ind w:firstLine="720" w:firstLineChars="300"/>
        <w:rPr>
          <w:color w:val="auto"/>
          <w:sz w:val="24"/>
          <w:highlight w:val="none"/>
        </w:rPr>
      </w:pPr>
      <w:r>
        <w:rPr>
          <w:color w:val="auto"/>
          <w:sz w:val="24"/>
          <w:highlight w:val="none"/>
        </w:rPr>
        <w:t>（12）普通面点师</w:t>
      </w:r>
    </w:p>
    <w:p w14:paraId="05DF233D">
      <w:pPr>
        <w:spacing w:line="360" w:lineRule="auto"/>
        <w:ind w:left="1290" w:leftChars="500" w:hanging="240" w:hangingChars="100"/>
        <w:rPr>
          <w:color w:val="auto"/>
          <w:sz w:val="24"/>
          <w:highlight w:val="none"/>
        </w:rPr>
      </w:pPr>
      <w:r>
        <w:rPr>
          <w:color w:val="auto"/>
          <w:sz w:val="24"/>
          <w:highlight w:val="none"/>
        </w:rPr>
        <w:t>1）人员资质要求：</w:t>
      </w:r>
    </w:p>
    <w:p w14:paraId="4EF6B8B2">
      <w:pPr>
        <w:spacing w:line="360" w:lineRule="auto"/>
        <w:ind w:left="1050" w:leftChars="500" w:firstLine="720" w:firstLineChars="300"/>
        <w:rPr>
          <w:color w:val="auto"/>
          <w:sz w:val="24"/>
          <w:highlight w:val="none"/>
        </w:rPr>
      </w:pPr>
      <w:r>
        <w:rPr>
          <w:color w:val="auto"/>
          <w:sz w:val="24"/>
          <w:highlight w:val="none"/>
        </w:rPr>
        <w:t>初中</w:t>
      </w:r>
      <w:r>
        <w:rPr>
          <w:rFonts w:hint="eastAsia"/>
          <w:color w:val="auto"/>
          <w:sz w:val="24"/>
          <w:highlight w:val="none"/>
        </w:rPr>
        <w:t>及</w:t>
      </w:r>
      <w:r>
        <w:rPr>
          <w:color w:val="auto"/>
          <w:sz w:val="24"/>
          <w:highlight w:val="none"/>
        </w:rPr>
        <w:t>以上学历，且有10年</w:t>
      </w:r>
      <w:r>
        <w:rPr>
          <w:rFonts w:hint="eastAsia"/>
          <w:color w:val="auto"/>
          <w:sz w:val="24"/>
          <w:highlight w:val="none"/>
        </w:rPr>
        <w:t>及</w:t>
      </w:r>
      <w:r>
        <w:rPr>
          <w:color w:val="auto"/>
          <w:sz w:val="24"/>
          <w:highlight w:val="none"/>
        </w:rPr>
        <w:t xml:space="preserve">以上制作面点工作经验。                </w:t>
      </w:r>
    </w:p>
    <w:p w14:paraId="5504359E">
      <w:pPr>
        <w:spacing w:line="360" w:lineRule="auto"/>
        <w:ind w:firstLine="960" w:firstLineChars="400"/>
        <w:rPr>
          <w:color w:val="auto"/>
          <w:sz w:val="24"/>
          <w:highlight w:val="none"/>
        </w:rPr>
      </w:pPr>
      <w:r>
        <w:rPr>
          <w:color w:val="auto"/>
          <w:sz w:val="24"/>
          <w:highlight w:val="none"/>
        </w:rPr>
        <w:t>2）职责要求：</w:t>
      </w:r>
    </w:p>
    <w:p w14:paraId="2669A3C2">
      <w:pPr>
        <w:pStyle w:val="967"/>
        <w:widowControl w:val="0"/>
        <w:autoSpaceDE w:val="0"/>
        <w:autoSpaceDN w:val="0"/>
        <w:spacing w:before="0" w:after="120" w:line="360" w:lineRule="auto"/>
        <w:ind w:left="1260" w:leftChars="600" w:firstLine="480" w:firstLineChars="200"/>
        <w:jc w:val="left"/>
        <w:rPr>
          <w:rFonts w:ascii="Times New Roman" w:hAnsi="Times New Roman" w:eastAsia="宋体" w:cs="Times New Roman"/>
          <w:color w:val="auto"/>
          <w:kern w:val="2"/>
          <w:sz w:val="24"/>
          <w:szCs w:val="24"/>
          <w:highlight w:val="none"/>
          <w:lang w:eastAsia="zh-CN"/>
        </w:rPr>
      </w:pPr>
      <w:r>
        <w:rPr>
          <w:rFonts w:ascii="Times New Roman" w:hAnsi="Times New Roman" w:eastAsia="宋体" w:cs="Times New Roman"/>
          <w:color w:val="auto"/>
          <w:kern w:val="2"/>
          <w:sz w:val="24"/>
          <w:szCs w:val="24"/>
          <w:highlight w:val="none"/>
          <w:lang w:eastAsia="zh-CN"/>
        </w:rPr>
        <w:t>接受领班的工作指令和布置的工作任务。按规定着装上班，保持个人  卫生。根据生产任务，按手续领取所需原料。根据菜单要求，按标准的操作规程制作面点。负责面点制作的设备和用具的安全使用、维护和各项卫生工作。面点制作结束后及时关闭能源开关，对剩余原料、食品按要求及时进行保存。参加销售和各项扫尾工作，积极完成上级交给的其它工作任务。</w:t>
      </w:r>
    </w:p>
    <w:p w14:paraId="591DF715">
      <w:pPr>
        <w:spacing w:line="360" w:lineRule="auto"/>
        <w:ind w:firstLine="720" w:firstLineChars="300"/>
        <w:rPr>
          <w:color w:val="auto"/>
          <w:sz w:val="24"/>
          <w:highlight w:val="none"/>
        </w:rPr>
      </w:pPr>
      <w:r>
        <w:rPr>
          <w:color w:val="auto"/>
          <w:sz w:val="24"/>
          <w:highlight w:val="none"/>
        </w:rPr>
        <w:t>（13）营养辅助员</w:t>
      </w:r>
    </w:p>
    <w:p w14:paraId="09F64FB9">
      <w:pPr>
        <w:spacing w:line="360" w:lineRule="auto"/>
        <w:ind w:left="1290" w:leftChars="500" w:hanging="240" w:hangingChars="100"/>
        <w:rPr>
          <w:color w:val="auto"/>
          <w:sz w:val="24"/>
          <w:highlight w:val="none"/>
        </w:rPr>
      </w:pPr>
      <w:r>
        <w:rPr>
          <w:color w:val="auto"/>
          <w:sz w:val="24"/>
          <w:highlight w:val="none"/>
        </w:rPr>
        <w:t>1）人员资质要求：</w:t>
      </w:r>
    </w:p>
    <w:p w14:paraId="3F57E2DE">
      <w:pPr>
        <w:spacing w:line="360" w:lineRule="auto"/>
        <w:ind w:left="1050" w:leftChars="500" w:firstLine="720" w:firstLineChars="300"/>
        <w:rPr>
          <w:color w:val="auto"/>
          <w:sz w:val="24"/>
          <w:highlight w:val="none"/>
        </w:rPr>
      </w:pPr>
      <w:r>
        <w:rPr>
          <w:color w:val="auto"/>
          <w:sz w:val="24"/>
          <w:highlight w:val="none"/>
        </w:rPr>
        <w:t>年龄25—50周岁，大专</w:t>
      </w:r>
      <w:r>
        <w:rPr>
          <w:rFonts w:hint="eastAsia"/>
          <w:color w:val="auto"/>
          <w:sz w:val="24"/>
          <w:highlight w:val="none"/>
        </w:rPr>
        <w:t>及</w:t>
      </w:r>
      <w:r>
        <w:rPr>
          <w:color w:val="auto"/>
          <w:sz w:val="24"/>
          <w:highlight w:val="none"/>
        </w:rPr>
        <w:t xml:space="preserve">以上学历，且具有营养学或医学相关专业。 </w:t>
      </w:r>
    </w:p>
    <w:p w14:paraId="1A5B9E15">
      <w:pPr>
        <w:spacing w:line="360" w:lineRule="auto"/>
        <w:ind w:firstLine="960" w:firstLineChars="400"/>
        <w:rPr>
          <w:color w:val="auto"/>
          <w:sz w:val="24"/>
          <w:highlight w:val="none"/>
        </w:rPr>
      </w:pPr>
      <w:r>
        <w:rPr>
          <w:color w:val="auto"/>
          <w:sz w:val="24"/>
          <w:highlight w:val="none"/>
        </w:rPr>
        <w:t>2）职责要求：</w:t>
      </w:r>
    </w:p>
    <w:p w14:paraId="5DC0C43D">
      <w:pPr>
        <w:spacing w:line="360" w:lineRule="auto"/>
        <w:ind w:left="1260" w:leftChars="600" w:firstLine="480" w:firstLineChars="200"/>
        <w:rPr>
          <w:sz w:val="24"/>
        </w:rPr>
      </w:pPr>
      <w:r>
        <w:rPr>
          <w:color w:val="auto"/>
          <w:sz w:val="24"/>
          <w:highlight w:val="none"/>
        </w:rPr>
        <w:t>在科长领导下，协助营养师做好本科室的</w:t>
      </w:r>
      <w:r>
        <w:rPr>
          <w:sz w:val="24"/>
        </w:rPr>
        <w:t>业务和行政管理工作。协助营养师做好全院病人的膳食营养工作，与病房保持密切联系，提高服务质量。协助营养师拟定各类菜谱，规划数量，并计算营养价值。协助检查食品卫生、环境卫生、个人卫生。定期组织厨师、食堂工作人员学习营养知识及饮食卫生知识。定期向病人进行健康宣教，定期做好满意度调查。对领导临时交付的任务能及时高效完成。</w:t>
      </w:r>
    </w:p>
    <w:p w14:paraId="4FDCA3F5">
      <w:pPr>
        <w:spacing w:line="360" w:lineRule="auto"/>
        <w:ind w:firstLine="480" w:firstLineChars="200"/>
        <w:rPr>
          <w:sz w:val="24"/>
        </w:rPr>
      </w:pPr>
      <w:r>
        <w:rPr>
          <w:sz w:val="24"/>
        </w:rPr>
        <w:t>（14）自助机引导员兼职岗若干名</w:t>
      </w:r>
    </w:p>
    <w:p w14:paraId="585E6D6A">
      <w:pPr>
        <w:spacing w:line="360" w:lineRule="auto"/>
        <w:ind w:firstLine="960" w:firstLineChars="400"/>
        <w:rPr>
          <w:sz w:val="24"/>
        </w:rPr>
      </w:pPr>
      <w:r>
        <w:rPr>
          <w:sz w:val="24"/>
        </w:rPr>
        <w:t>1）人员资质要求：</w:t>
      </w:r>
    </w:p>
    <w:p w14:paraId="0AF26BCA">
      <w:pPr>
        <w:spacing w:line="360" w:lineRule="auto"/>
        <w:ind w:left="1260" w:leftChars="600" w:firstLine="480" w:firstLineChars="200"/>
        <w:rPr>
          <w:sz w:val="24"/>
        </w:rPr>
      </w:pPr>
      <w:r>
        <w:rPr>
          <w:sz w:val="24"/>
        </w:rPr>
        <w:t>高中或中专及以上学历，具有责任心，良好的执行能力、沟通能力、观察应变能力。</w:t>
      </w:r>
    </w:p>
    <w:p w14:paraId="437C3735">
      <w:pPr>
        <w:spacing w:line="360" w:lineRule="auto"/>
        <w:ind w:firstLine="960" w:firstLineChars="400"/>
        <w:rPr>
          <w:sz w:val="24"/>
        </w:rPr>
      </w:pPr>
      <w:r>
        <w:rPr>
          <w:sz w:val="24"/>
        </w:rPr>
        <w:t>2）职责要求：</w:t>
      </w:r>
    </w:p>
    <w:p w14:paraId="5CF9B4E5">
      <w:pPr>
        <w:spacing w:line="360" w:lineRule="auto"/>
        <w:ind w:left="1260" w:leftChars="600" w:firstLine="480" w:firstLineChars="200"/>
        <w:rPr>
          <w:sz w:val="24"/>
        </w:rPr>
      </w:pPr>
      <w:r>
        <w:rPr>
          <w:sz w:val="24"/>
        </w:rPr>
        <w:t>引导患者通过自助机完成挂号、结算、充值业务，自助发票打印机及时换纸，掌握自助机的简单维护，以及自助区域的秩序维护等。</w:t>
      </w:r>
    </w:p>
    <w:p w14:paraId="526008DB">
      <w:pPr>
        <w:spacing w:line="360" w:lineRule="auto"/>
        <w:ind w:firstLine="480" w:firstLineChars="200"/>
        <w:rPr>
          <w:rFonts w:hint="eastAsia"/>
          <w:sz w:val="24"/>
          <w:lang w:val="en-US" w:eastAsia="zh-CN"/>
        </w:rPr>
      </w:pPr>
      <w:r>
        <w:rPr>
          <w:rFonts w:hint="eastAsia"/>
          <w:sz w:val="24"/>
          <w:lang w:val="en-US" w:eastAsia="zh-CN"/>
        </w:rPr>
        <w:t>（15）超声辅助员</w:t>
      </w:r>
    </w:p>
    <w:p w14:paraId="75829CF5">
      <w:pPr>
        <w:spacing w:line="360" w:lineRule="auto"/>
        <w:ind w:firstLine="960" w:firstLineChars="400"/>
        <w:rPr>
          <w:sz w:val="24"/>
        </w:rPr>
      </w:pPr>
      <w:r>
        <w:rPr>
          <w:sz w:val="24"/>
        </w:rPr>
        <w:t>1）人员资质要求：</w:t>
      </w:r>
    </w:p>
    <w:p w14:paraId="45B88930">
      <w:pPr>
        <w:spacing w:line="360" w:lineRule="auto"/>
        <w:ind w:left="1260" w:leftChars="600" w:firstLine="480" w:firstLineChars="200"/>
        <w:rPr>
          <w:rFonts w:hint="eastAsia" w:eastAsia="宋体"/>
          <w:sz w:val="24"/>
          <w:lang w:val="en-US" w:eastAsia="zh-CN"/>
        </w:rPr>
      </w:pPr>
      <w:r>
        <w:rPr>
          <w:sz w:val="24"/>
        </w:rPr>
        <w:t>年龄 20-45 周岁，</w:t>
      </w:r>
      <w:r>
        <w:rPr>
          <w:rFonts w:hint="eastAsia"/>
          <w:sz w:val="24"/>
          <w:lang w:val="en-US" w:eastAsia="zh-CN"/>
        </w:rPr>
        <w:t>大</w:t>
      </w:r>
      <w:r>
        <w:rPr>
          <w:sz w:val="24"/>
        </w:rPr>
        <w:t>专及以上学历，医学相关专业</w:t>
      </w:r>
      <w:r>
        <w:rPr>
          <w:rFonts w:hint="eastAsia"/>
          <w:sz w:val="24"/>
          <w:lang w:val="en-US" w:eastAsia="zh-CN"/>
        </w:rPr>
        <w:t>或者计算机信息、护理相关专业。</w:t>
      </w:r>
      <w:r>
        <w:rPr>
          <w:sz w:val="24"/>
        </w:rPr>
        <w:t>熟练掌握计算机操作，具备良好的文字录入能力，具有良好的沟通能力和服务意识，持有护士资格证或</w:t>
      </w:r>
      <w:r>
        <w:rPr>
          <w:rFonts w:hint="eastAsia"/>
          <w:sz w:val="24"/>
          <w:lang w:val="en-US" w:eastAsia="zh-CN"/>
        </w:rPr>
        <w:t>医疗</w:t>
      </w:r>
      <w:r>
        <w:rPr>
          <w:sz w:val="24"/>
        </w:rPr>
        <w:t>相关培训证书者优先</w:t>
      </w:r>
      <w:r>
        <w:rPr>
          <w:rFonts w:hint="eastAsia"/>
          <w:sz w:val="24"/>
          <w:lang w:eastAsia="zh-CN"/>
        </w:rPr>
        <w:t>，</w:t>
      </w:r>
      <w:r>
        <w:rPr>
          <w:sz w:val="24"/>
        </w:rPr>
        <w:t>身体健康</w:t>
      </w:r>
      <w:r>
        <w:rPr>
          <w:rFonts w:hint="eastAsia"/>
          <w:sz w:val="24"/>
          <w:lang w:eastAsia="zh-CN"/>
        </w:rPr>
        <w:t>。</w:t>
      </w:r>
    </w:p>
    <w:p w14:paraId="42780D4B">
      <w:pPr>
        <w:spacing w:line="360" w:lineRule="auto"/>
        <w:ind w:firstLine="960" w:firstLineChars="400"/>
        <w:rPr>
          <w:sz w:val="24"/>
        </w:rPr>
      </w:pPr>
      <w:r>
        <w:rPr>
          <w:sz w:val="24"/>
        </w:rPr>
        <w:t>2）职责要求：</w:t>
      </w:r>
    </w:p>
    <w:p w14:paraId="1EB97B6E">
      <w:pPr>
        <w:spacing w:line="360" w:lineRule="auto"/>
        <w:ind w:left="1260" w:leftChars="600" w:firstLine="480" w:firstLineChars="200"/>
        <w:rPr>
          <w:rFonts w:hint="eastAsia"/>
          <w:sz w:val="24"/>
          <w:lang w:val="en-US" w:eastAsia="zh-CN"/>
        </w:rPr>
      </w:pPr>
      <w:r>
        <w:rPr>
          <w:sz w:val="24"/>
        </w:rPr>
        <w:t>在科室主任及超声医师领导下，负责超声检查信息速录工作，准确、快速录入患者基本信息、检查申请及医师诊断内容；承担科室导医工作，引导患者有序候检，解答患者关于超声检查流程、注意事项等疑问，维护检查区域秩序；协助医师完成检查前准备工作，包括患者身份核对、检查部位体表标识、检查设备调试等</w:t>
      </w:r>
      <w:r>
        <w:rPr>
          <w:rFonts w:hint="eastAsia"/>
          <w:sz w:val="24"/>
          <w:lang w:eastAsia="zh-CN"/>
        </w:rPr>
        <w:t>；</w:t>
      </w:r>
      <w:r>
        <w:rPr>
          <w:sz w:val="24"/>
        </w:rPr>
        <w:t>收集患者反馈意见</w:t>
      </w:r>
      <w:r>
        <w:rPr>
          <w:rFonts w:hint="eastAsia"/>
          <w:sz w:val="24"/>
          <w:lang w:eastAsia="zh-CN"/>
        </w:rPr>
        <w:t>，</w:t>
      </w:r>
      <w:r>
        <w:rPr>
          <w:sz w:val="24"/>
        </w:rPr>
        <w:t>协助科室开展满意度调查工作；及时完成领导临时交办的其他任务。</w:t>
      </w:r>
    </w:p>
    <w:p w14:paraId="4F2BA2EA">
      <w:pPr>
        <w:spacing w:line="360" w:lineRule="auto"/>
        <w:ind w:firstLine="480" w:firstLineChars="200"/>
        <w:rPr>
          <w:rFonts w:hint="eastAsia" w:ascii="Times New Roman" w:hAnsi="Times New Roman" w:eastAsia="宋体" w:cs="Times New Roman"/>
          <w:b w:val="0"/>
          <w:bCs w:val="0"/>
          <w:kern w:val="2"/>
          <w:sz w:val="24"/>
          <w:szCs w:val="24"/>
          <w:highlight w:val="none"/>
          <w:lang w:val="en-US" w:eastAsia="zh-CN" w:bidi="ar-SA"/>
        </w:rPr>
      </w:pPr>
      <w:r>
        <w:rPr>
          <w:rFonts w:hint="eastAsia" w:ascii="Times New Roman" w:hAnsi="Times New Roman" w:eastAsia="宋体" w:cs="Times New Roman"/>
          <w:b w:val="0"/>
          <w:bCs w:val="0"/>
          <w:kern w:val="2"/>
          <w:sz w:val="24"/>
          <w:szCs w:val="24"/>
          <w:highlight w:val="none"/>
          <w:lang w:val="en-US" w:eastAsia="zh-CN" w:bidi="ar-SA"/>
        </w:rPr>
        <w:t>（</w:t>
      </w:r>
      <w:r>
        <w:rPr>
          <w:rFonts w:hint="eastAsia" w:cs="Times New Roman"/>
          <w:b w:val="0"/>
          <w:bCs w:val="0"/>
          <w:kern w:val="2"/>
          <w:sz w:val="24"/>
          <w:szCs w:val="24"/>
          <w:highlight w:val="none"/>
          <w:lang w:val="en-US" w:eastAsia="zh-CN" w:bidi="ar-SA"/>
        </w:rPr>
        <w:t>16</w:t>
      </w:r>
      <w:r>
        <w:rPr>
          <w:rFonts w:hint="eastAsia" w:ascii="Times New Roman" w:hAnsi="Times New Roman" w:eastAsia="宋体" w:cs="Times New Roman"/>
          <w:b w:val="0"/>
          <w:bCs w:val="0"/>
          <w:kern w:val="2"/>
          <w:sz w:val="24"/>
          <w:szCs w:val="24"/>
          <w:highlight w:val="none"/>
          <w:lang w:val="en-US" w:eastAsia="zh-CN" w:bidi="ar-SA"/>
        </w:rPr>
        <w:t>）导医引导员</w:t>
      </w:r>
    </w:p>
    <w:p w14:paraId="5379FF05">
      <w:pPr>
        <w:spacing w:line="360" w:lineRule="auto"/>
        <w:ind w:firstLine="1200" w:firstLineChars="500"/>
        <w:rPr>
          <w:sz w:val="24"/>
        </w:rPr>
      </w:pPr>
      <w:r>
        <w:rPr>
          <w:sz w:val="24"/>
        </w:rPr>
        <w:t>1）人员资质要求：</w:t>
      </w:r>
    </w:p>
    <w:p w14:paraId="1A09A007">
      <w:pPr>
        <w:spacing w:line="360" w:lineRule="auto"/>
        <w:ind w:left="1260" w:leftChars="600" w:firstLine="480" w:firstLineChars="200"/>
        <w:rPr>
          <w:rFonts w:hint="eastAsia"/>
          <w:sz w:val="24"/>
          <w:lang w:eastAsia="zh-CN"/>
        </w:rPr>
      </w:pPr>
      <w:r>
        <w:rPr>
          <w:sz w:val="24"/>
        </w:rPr>
        <w:t>年龄 20—45 周岁，</w:t>
      </w:r>
      <w:r>
        <w:rPr>
          <w:rFonts w:hint="eastAsia"/>
          <w:sz w:val="24"/>
          <w:lang w:val="en-US" w:eastAsia="zh-CN"/>
        </w:rPr>
        <w:t>大</w:t>
      </w:r>
      <w:r>
        <w:rPr>
          <w:sz w:val="24"/>
        </w:rPr>
        <w:t>专及以上学历，护理、医学相关专业或医疗相关职业培训经历优先；具备良好的沟通表达与应变能力，普通话标准，有亲和力；熟练掌握医院科室分布、就诊流程及常见疾病知识；持有护士资格证或相关导诊培训证书者优先；身体健康，形象良好</w:t>
      </w:r>
      <w:r>
        <w:rPr>
          <w:rFonts w:hint="eastAsia"/>
          <w:sz w:val="24"/>
          <w:lang w:eastAsia="zh-CN"/>
        </w:rPr>
        <w:t>。</w:t>
      </w:r>
    </w:p>
    <w:p w14:paraId="716E5665">
      <w:pPr>
        <w:spacing w:line="360" w:lineRule="auto"/>
        <w:ind w:firstLine="1200" w:firstLineChars="500"/>
        <w:rPr>
          <w:sz w:val="24"/>
        </w:rPr>
      </w:pPr>
      <w:r>
        <w:rPr>
          <w:sz w:val="24"/>
        </w:rPr>
        <w:t>2）职责要求：</w:t>
      </w:r>
    </w:p>
    <w:p w14:paraId="14F88DAA">
      <w:pPr>
        <w:spacing w:line="360" w:lineRule="auto"/>
        <w:ind w:left="1260" w:leftChars="600" w:firstLine="480" w:firstLineChars="200"/>
        <w:rPr>
          <w:rFonts w:hint="eastAsia"/>
          <w:sz w:val="24"/>
          <w:lang w:val="en-US" w:eastAsia="zh-CN"/>
        </w:rPr>
      </w:pPr>
      <w:r>
        <w:rPr>
          <w:sz w:val="24"/>
        </w:rPr>
        <w:t>在门诊护士长领导下，负责为患者提供就诊引导服务，根据患者症状准确指引对应科室及就诊区域；解答患者及家属关于挂号、缴费、检查、取药等就医流程的咨询，协助使用自助服务设备；维护门诊大厅及各候诊区秩序，疏导人流，引导患者文明候诊；协助医护人员完成患者预检分诊工作，测量并记录体温、血压等基础生命体征；及时处理患者投诉与突发状况，安抚患者情绪，必要时上报科室负责人；定期整理导诊区域环境，确保宣传资料充足；按时完成领导临时交付的其他任务。</w:t>
      </w:r>
    </w:p>
    <w:p w14:paraId="5B8DC278">
      <w:pPr>
        <w:spacing w:line="360" w:lineRule="auto"/>
        <w:ind w:firstLine="480" w:firstLineChars="200"/>
        <w:rPr>
          <w:rFonts w:hint="eastAsia"/>
          <w:sz w:val="24"/>
          <w:lang w:val="en-US" w:eastAsia="zh-CN"/>
        </w:rPr>
      </w:pPr>
      <w:r>
        <w:rPr>
          <w:rFonts w:hint="eastAsia" w:ascii="Times New Roman" w:hAnsi="Times New Roman" w:eastAsia="宋体" w:cs="Times New Roman"/>
          <w:b w:val="0"/>
          <w:bCs w:val="0"/>
          <w:kern w:val="2"/>
          <w:sz w:val="24"/>
          <w:szCs w:val="24"/>
          <w:lang w:val="en-US" w:eastAsia="zh-CN" w:bidi="ar-SA"/>
        </w:rPr>
        <w:t>（1</w:t>
      </w:r>
      <w:r>
        <w:rPr>
          <w:rFonts w:hint="eastAsia" w:cs="Times New Roman"/>
          <w:b w:val="0"/>
          <w:bCs w:val="0"/>
          <w:kern w:val="2"/>
          <w:sz w:val="24"/>
          <w:szCs w:val="24"/>
          <w:lang w:val="en-US" w:eastAsia="zh-CN" w:bidi="ar-SA"/>
        </w:rPr>
        <w:t>7</w:t>
      </w:r>
      <w:r>
        <w:rPr>
          <w:rFonts w:hint="eastAsia" w:ascii="Times New Roman" w:hAnsi="Times New Roman" w:eastAsia="宋体" w:cs="Times New Roman"/>
          <w:b w:val="0"/>
          <w:bCs w:val="0"/>
          <w:kern w:val="2"/>
          <w:sz w:val="24"/>
          <w:szCs w:val="24"/>
          <w:lang w:val="en-US" w:eastAsia="zh-CN" w:bidi="ar-SA"/>
        </w:rPr>
        <w:t>）</w:t>
      </w:r>
      <w:r>
        <w:rPr>
          <w:rFonts w:hint="eastAsia"/>
          <w:sz w:val="24"/>
          <w:lang w:val="en-US" w:eastAsia="zh-CN"/>
        </w:rPr>
        <w:t>停车收费员</w:t>
      </w:r>
    </w:p>
    <w:p w14:paraId="429892A3">
      <w:pPr>
        <w:spacing w:line="360" w:lineRule="auto"/>
        <w:ind w:firstLine="960" w:firstLineChars="400"/>
        <w:rPr>
          <w:rFonts w:hint="eastAsia"/>
          <w:sz w:val="24"/>
          <w:lang w:val="en-US" w:eastAsia="zh-CN"/>
        </w:rPr>
      </w:pPr>
      <w:r>
        <w:rPr>
          <w:sz w:val="24"/>
        </w:rPr>
        <w:t>1）人员资质要求</w:t>
      </w:r>
      <w:r>
        <w:rPr>
          <w:rFonts w:hint="eastAsia"/>
          <w:sz w:val="24"/>
          <w:lang w:eastAsia="zh-CN"/>
        </w:rPr>
        <w:t>：</w:t>
      </w:r>
    </w:p>
    <w:p w14:paraId="4D73C988">
      <w:pPr>
        <w:spacing w:line="360" w:lineRule="auto"/>
        <w:ind w:left="1260" w:leftChars="600" w:firstLine="480" w:firstLineChars="200"/>
        <w:rPr>
          <w:rFonts w:hint="eastAsia"/>
          <w:sz w:val="24"/>
          <w:lang w:eastAsia="zh-CN"/>
        </w:rPr>
      </w:pPr>
      <w:r>
        <w:rPr>
          <w:sz w:val="24"/>
        </w:rPr>
        <w:t>初中及以上学历</w:t>
      </w:r>
      <w:r>
        <w:rPr>
          <w:rFonts w:hint="eastAsia"/>
          <w:sz w:val="24"/>
          <w:lang w:eastAsia="zh-CN"/>
        </w:rPr>
        <w:t>，</w:t>
      </w:r>
      <w:r>
        <w:rPr>
          <w:rFonts w:hint="eastAsia"/>
          <w:sz w:val="24"/>
          <w:lang w:val="en-US" w:eastAsia="zh-CN"/>
        </w:rPr>
        <w:t>年龄：男性55周岁以内，女性50周岁以内，有相应工作经验，</w:t>
      </w:r>
      <w:r>
        <w:rPr>
          <w:sz w:val="24"/>
        </w:rPr>
        <w:t>熟悉基础财务知识，能熟练操作</w:t>
      </w:r>
      <w:r>
        <w:rPr>
          <w:rFonts w:hint="eastAsia"/>
          <w:sz w:val="24"/>
          <w:lang w:val="en-US" w:eastAsia="zh-CN"/>
        </w:rPr>
        <w:t>计算机及</w:t>
      </w:r>
      <w:r>
        <w:rPr>
          <w:sz w:val="24"/>
        </w:rPr>
        <w:t>收费系统，具备快速准确的现金收付与账目核对能力；具有良好的沟通协调能力和服务意识，能耐心解答车主疑问；无不良信用记录及违法违纪行为，身体健康</w:t>
      </w:r>
      <w:r>
        <w:rPr>
          <w:rFonts w:hint="eastAsia"/>
          <w:sz w:val="24"/>
          <w:lang w:eastAsia="zh-CN"/>
        </w:rPr>
        <w:t>。</w:t>
      </w:r>
    </w:p>
    <w:p w14:paraId="5EC095BD">
      <w:pPr>
        <w:spacing w:line="360" w:lineRule="auto"/>
        <w:ind w:firstLine="960" w:firstLineChars="400"/>
        <w:rPr>
          <w:sz w:val="24"/>
        </w:rPr>
      </w:pPr>
      <w:r>
        <w:rPr>
          <w:sz w:val="24"/>
        </w:rPr>
        <w:t>2）职责要求：</w:t>
      </w:r>
    </w:p>
    <w:p w14:paraId="36D539CA">
      <w:pPr>
        <w:spacing w:line="360" w:lineRule="auto"/>
        <w:ind w:left="1260" w:leftChars="600" w:firstLine="480" w:firstLineChars="200"/>
        <w:rPr>
          <w:sz w:val="24"/>
        </w:rPr>
      </w:pPr>
      <w:r>
        <w:rPr>
          <w:sz w:val="24"/>
        </w:rPr>
        <w:t>在</w:t>
      </w:r>
      <w:r>
        <w:rPr>
          <w:rFonts w:hint="eastAsia"/>
          <w:sz w:val="24"/>
          <w:lang w:val="en-US" w:eastAsia="zh-CN"/>
        </w:rPr>
        <w:t>保卫</w:t>
      </w:r>
      <w:r>
        <w:rPr>
          <w:sz w:val="24"/>
        </w:rPr>
        <w:t>部门领导下，负责医院停车场车辆进出收费工作，严格执行收费标准，规范使用收费设备，确保现金、电子支付账目清晰准确；定期检查停车收费设备运行状态，发现故障及时报修并做好记录；做好停车票据的领取、使用、核销及保管工作，每日核对营收款项并按规定上缴；按时完成领导临时交办的其他任务。</w:t>
      </w:r>
    </w:p>
    <w:p w14:paraId="499BC18E">
      <w:pPr>
        <w:spacing w:line="360" w:lineRule="auto"/>
        <w:ind w:firstLine="480" w:firstLineChars="200"/>
        <w:rPr>
          <w:rFonts w:hint="default"/>
          <w:sz w:val="24"/>
          <w:lang w:val="en-US" w:eastAsia="zh-CN"/>
        </w:rPr>
      </w:pPr>
      <w:r>
        <w:rPr>
          <w:rFonts w:hint="eastAsia" w:ascii="Times New Roman" w:hAnsi="Times New Roman" w:eastAsia="宋体" w:cs="Times New Roman"/>
          <w:b w:val="0"/>
          <w:bCs w:val="0"/>
          <w:kern w:val="2"/>
          <w:sz w:val="24"/>
          <w:szCs w:val="24"/>
          <w:lang w:val="en-US" w:eastAsia="zh-CN" w:bidi="ar-SA"/>
        </w:rPr>
        <w:t>（1</w:t>
      </w:r>
      <w:r>
        <w:rPr>
          <w:rFonts w:hint="eastAsia" w:cs="Times New Roman"/>
          <w:b w:val="0"/>
          <w:bCs w:val="0"/>
          <w:kern w:val="2"/>
          <w:sz w:val="24"/>
          <w:szCs w:val="24"/>
          <w:lang w:val="en-US" w:eastAsia="zh-CN" w:bidi="ar-SA"/>
        </w:rPr>
        <w:t>8</w:t>
      </w:r>
      <w:r>
        <w:rPr>
          <w:rFonts w:hint="eastAsia" w:ascii="Times New Roman" w:hAnsi="Times New Roman" w:eastAsia="宋体" w:cs="Times New Roman"/>
          <w:b w:val="0"/>
          <w:bCs w:val="0"/>
          <w:kern w:val="2"/>
          <w:sz w:val="24"/>
          <w:szCs w:val="24"/>
          <w:lang w:val="en-US" w:eastAsia="zh-CN" w:bidi="ar-SA"/>
        </w:rPr>
        <w:t>）</w:t>
      </w:r>
      <w:r>
        <w:rPr>
          <w:rFonts w:hint="eastAsia" w:cs="Times New Roman"/>
          <w:b w:val="0"/>
          <w:bCs w:val="0"/>
          <w:kern w:val="2"/>
          <w:sz w:val="24"/>
          <w:szCs w:val="24"/>
          <w:lang w:val="en-US" w:eastAsia="zh-CN" w:bidi="ar-SA"/>
        </w:rPr>
        <w:t>病案室窗口工作人员</w:t>
      </w:r>
    </w:p>
    <w:p w14:paraId="29F05BDB">
      <w:pPr>
        <w:spacing w:line="360" w:lineRule="auto"/>
        <w:ind w:firstLine="960" w:firstLineChars="400"/>
        <w:rPr>
          <w:rFonts w:hint="eastAsia"/>
          <w:sz w:val="24"/>
          <w:lang w:val="en-US" w:eastAsia="zh-CN"/>
        </w:rPr>
      </w:pPr>
      <w:r>
        <w:rPr>
          <w:sz w:val="24"/>
        </w:rPr>
        <w:t>1）人员资质要求</w:t>
      </w:r>
      <w:r>
        <w:rPr>
          <w:rFonts w:hint="eastAsia"/>
          <w:sz w:val="24"/>
          <w:lang w:eastAsia="zh-CN"/>
        </w:rPr>
        <w:t>：</w:t>
      </w:r>
    </w:p>
    <w:p w14:paraId="33A820F2">
      <w:pPr>
        <w:spacing w:line="360" w:lineRule="auto"/>
        <w:ind w:left="1260" w:leftChars="600" w:firstLine="480" w:firstLineChars="200"/>
        <w:rPr>
          <w:sz w:val="24"/>
        </w:rPr>
      </w:pPr>
      <w:r>
        <w:rPr>
          <w:rFonts w:hint="eastAsia"/>
          <w:sz w:val="24"/>
          <w:lang w:val="en-US" w:eastAsia="zh-CN"/>
        </w:rPr>
        <w:t>高中</w:t>
      </w:r>
      <w:r>
        <w:rPr>
          <w:sz w:val="24"/>
        </w:rPr>
        <w:t>及以上学历，医学或档案管理专业优先；年龄</w:t>
      </w:r>
      <w:r>
        <w:rPr>
          <w:rFonts w:hint="eastAsia"/>
          <w:sz w:val="24"/>
          <w:lang w:val="en-US" w:eastAsia="zh-CN"/>
        </w:rPr>
        <w:t>50</w:t>
      </w:r>
      <w:r>
        <w:rPr>
          <w:sz w:val="24"/>
        </w:rPr>
        <w:t>周岁以内；熟练使用办公软件和病案管理系统；具备病历整理、信息录入能力；沟通良好，服务意识强；无不良记录，身体健康。</w:t>
      </w:r>
    </w:p>
    <w:p w14:paraId="58AFFC59">
      <w:pPr>
        <w:spacing w:line="360" w:lineRule="auto"/>
        <w:ind w:firstLine="960" w:firstLineChars="400"/>
        <w:rPr>
          <w:sz w:val="24"/>
        </w:rPr>
      </w:pPr>
      <w:r>
        <w:rPr>
          <w:sz w:val="24"/>
        </w:rPr>
        <w:t>2）职责要求：</w:t>
      </w:r>
    </w:p>
    <w:p w14:paraId="7FBA8B8E">
      <w:pPr>
        <w:spacing w:line="360" w:lineRule="auto"/>
        <w:ind w:left="1260" w:leftChars="600" w:firstLine="480" w:firstLineChars="200"/>
        <w:rPr>
          <w:rFonts w:hint="eastAsia"/>
          <w:sz w:val="24"/>
          <w:lang w:val="en-US" w:eastAsia="zh-CN"/>
        </w:rPr>
      </w:pPr>
      <w:r>
        <w:rPr>
          <w:sz w:val="24"/>
        </w:rPr>
        <w:t>在病案室负责人指导下，负责出院病历整理、装订、归档；严格按规提供病历复印服务，核对申请人信息，规范办理手续；定期盘点病历，检查存储环境；严守保密制度，维护数据安全；完成领导交办的其他任务。</w:t>
      </w:r>
    </w:p>
    <w:p w14:paraId="62362682">
      <w:pPr>
        <w:spacing w:line="360" w:lineRule="auto"/>
        <w:rPr>
          <w:rFonts w:hint="eastAsia"/>
          <w:b/>
          <w:bCs/>
          <w:sz w:val="24"/>
          <w:lang w:val="en-US" w:eastAsia="zh-CN"/>
        </w:rPr>
      </w:pPr>
      <w:r>
        <w:rPr>
          <w:rFonts w:hint="eastAsia"/>
          <w:b/>
          <w:bCs/>
          <w:sz w:val="24"/>
          <w:lang w:val="en-US" w:eastAsia="zh-CN"/>
        </w:rPr>
        <w:t>四、人员配备岗位表和现有岗位工资水平</w:t>
      </w:r>
    </w:p>
    <w:tbl>
      <w:tblPr>
        <w:tblStyle w:val="6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183"/>
        <w:gridCol w:w="1071"/>
        <w:gridCol w:w="2336"/>
        <w:gridCol w:w="1937"/>
      </w:tblGrid>
      <w:tr w14:paraId="6C93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37C9B7DB">
            <w:pPr>
              <w:jc w:val="center"/>
              <w:rPr>
                <w:kern w:val="0"/>
                <w:sz w:val="24"/>
              </w:rPr>
            </w:pPr>
            <w:r>
              <w:rPr>
                <w:kern w:val="0"/>
                <w:sz w:val="24"/>
              </w:rPr>
              <w:t>序号</w:t>
            </w:r>
          </w:p>
        </w:tc>
        <w:tc>
          <w:tcPr>
            <w:tcW w:w="3183" w:type="dxa"/>
            <w:vAlign w:val="center"/>
          </w:tcPr>
          <w:p w14:paraId="722065B4">
            <w:pPr>
              <w:jc w:val="center"/>
              <w:rPr>
                <w:kern w:val="0"/>
                <w:sz w:val="24"/>
              </w:rPr>
            </w:pPr>
            <w:r>
              <w:rPr>
                <w:kern w:val="0"/>
                <w:sz w:val="24"/>
              </w:rPr>
              <w:t>岗位</w:t>
            </w:r>
          </w:p>
        </w:tc>
        <w:tc>
          <w:tcPr>
            <w:tcW w:w="1071" w:type="dxa"/>
            <w:vAlign w:val="center"/>
          </w:tcPr>
          <w:p w14:paraId="5D1766BD">
            <w:pPr>
              <w:jc w:val="center"/>
              <w:rPr>
                <w:kern w:val="0"/>
                <w:sz w:val="24"/>
              </w:rPr>
            </w:pPr>
            <w:r>
              <w:rPr>
                <w:kern w:val="0"/>
                <w:sz w:val="24"/>
              </w:rPr>
              <w:t>人数</w:t>
            </w:r>
          </w:p>
        </w:tc>
        <w:tc>
          <w:tcPr>
            <w:tcW w:w="2336" w:type="dxa"/>
            <w:vAlign w:val="center"/>
          </w:tcPr>
          <w:p w14:paraId="3F7B98F0">
            <w:pPr>
              <w:jc w:val="center"/>
              <w:rPr>
                <w:kern w:val="0"/>
                <w:sz w:val="24"/>
              </w:rPr>
            </w:pPr>
            <w:r>
              <w:rPr>
                <w:snapToGrid w:val="0"/>
                <w:kern w:val="0"/>
                <w:sz w:val="24"/>
              </w:rPr>
              <w:t>现有岗位月工资（单位交纳五险一金费用除外）</w:t>
            </w:r>
          </w:p>
        </w:tc>
        <w:tc>
          <w:tcPr>
            <w:tcW w:w="1937" w:type="dxa"/>
            <w:vAlign w:val="center"/>
          </w:tcPr>
          <w:p w14:paraId="1B2782E9">
            <w:pPr>
              <w:jc w:val="center"/>
              <w:rPr>
                <w:kern w:val="0"/>
                <w:sz w:val="24"/>
              </w:rPr>
            </w:pPr>
            <w:r>
              <w:rPr>
                <w:kern w:val="0"/>
                <w:sz w:val="24"/>
              </w:rPr>
              <w:t>备注</w:t>
            </w:r>
          </w:p>
        </w:tc>
      </w:tr>
      <w:tr w14:paraId="720F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7F1D372C">
            <w:pPr>
              <w:jc w:val="center"/>
              <w:rPr>
                <w:kern w:val="0"/>
                <w:sz w:val="24"/>
              </w:rPr>
            </w:pPr>
            <w:r>
              <w:rPr>
                <w:kern w:val="0"/>
                <w:sz w:val="24"/>
              </w:rPr>
              <w:t>1</w:t>
            </w:r>
          </w:p>
        </w:tc>
        <w:tc>
          <w:tcPr>
            <w:tcW w:w="3183" w:type="dxa"/>
            <w:vAlign w:val="center"/>
          </w:tcPr>
          <w:p w14:paraId="2B2245E6">
            <w:pPr>
              <w:jc w:val="center"/>
              <w:rPr>
                <w:kern w:val="0"/>
                <w:sz w:val="24"/>
              </w:rPr>
            </w:pPr>
            <w:r>
              <w:rPr>
                <w:kern w:val="0"/>
                <w:sz w:val="24"/>
              </w:rPr>
              <w:t>工程技术主管</w:t>
            </w:r>
          </w:p>
        </w:tc>
        <w:tc>
          <w:tcPr>
            <w:tcW w:w="1071" w:type="dxa"/>
            <w:vAlign w:val="center"/>
          </w:tcPr>
          <w:p w14:paraId="30F00B3F">
            <w:pPr>
              <w:jc w:val="center"/>
              <w:rPr>
                <w:kern w:val="0"/>
                <w:sz w:val="24"/>
              </w:rPr>
            </w:pPr>
            <w:r>
              <w:rPr>
                <w:kern w:val="0"/>
                <w:sz w:val="24"/>
              </w:rPr>
              <w:t>1</w:t>
            </w:r>
          </w:p>
        </w:tc>
        <w:tc>
          <w:tcPr>
            <w:tcW w:w="2336" w:type="dxa"/>
            <w:vAlign w:val="center"/>
          </w:tcPr>
          <w:p w14:paraId="609935BF">
            <w:pPr>
              <w:jc w:val="center"/>
              <w:rPr>
                <w:kern w:val="0"/>
                <w:sz w:val="24"/>
              </w:rPr>
            </w:pPr>
            <w:r>
              <w:rPr>
                <w:rFonts w:hint="eastAsia"/>
                <w:kern w:val="0"/>
                <w:sz w:val="24"/>
                <w:lang w:val="en-US" w:eastAsia="zh-CN"/>
              </w:rPr>
              <w:t>90</w:t>
            </w:r>
            <w:r>
              <w:rPr>
                <w:kern w:val="0"/>
                <w:sz w:val="24"/>
              </w:rPr>
              <w:t>00—9</w:t>
            </w:r>
            <w:r>
              <w:rPr>
                <w:rFonts w:hint="eastAsia"/>
                <w:kern w:val="0"/>
                <w:sz w:val="24"/>
                <w:lang w:val="en-US" w:eastAsia="zh-CN"/>
              </w:rPr>
              <w:t>3</w:t>
            </w:r>
            <w:r>
              <w:rPr>
                <w:kern w:val="0"/>
                <w:sz w:val="24"/>
              </w:rPr>
              <w:t>00</w:t>
            </w:r>
          </w:p>
        </w:tc>
        <w:tc>
          <w:tcPr>
            <w:tcW w:w="1937" w:type="dxa"/>
            <w:vAlign w:val="center"/>
          </w:tcPr>
          <w:p w14:paraId="2ED50A51">
            <w:pPr>
              <w:jc w:val="center"/>
              <w:rPr>
                <w:kern w:val="0"/>
                <w:sz w:val="24"/>
              </w:rPr>
            </w:pPr>
          </w:p>
        </w:tc>
      </w:tr>
      <w:tr w14:paraId="3A5E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7920C42D">
            <w:pPr>
              <w:jc w:val="center"/>
              <w:rPr>
                <w:kern w:val="0"/>
                <w:sz w:val="24"/>
              </w:rPr>
            </w:pPr>
            <w:r>
              <w:rPr>
                <w:kern w:val="0"/>
                <w:sz w:val="24"/>
              </w:rPr>
              <w:t>2</w:t>
            </w:r>
          </w:p>
        </w:tc>
        <w:tc>
          <w:tcPr>
            <w:tcW w:w="3183" w:type="dxa"/>
            <w:vAlign w:val="center"/>
          </w:tcPr>
          <w:p w14:paraId="654A3E79">
            <w:pPr>
              <w:jc w:val="center"/>
              <w:rPr>
                <w:kern w:val="0"/>
                <w:sz w:val="24"/>
              </w:rPr>
            </w:pPr>
            <w:r>
              <w:rPr>
                <w:kern w:val="0"/>
                <w:sz w:val="24"/>
              </w:rPr>
              <w:t>综合运行维修副组长</w:t>
            </w:r>
          </w:p>
        </w:tc>
        <w:tc>
          <w:tcPr>
            <w:tcW w:w="1071" w:type="dxa"/>
            <w:vAlign w:val="center"/>
          </w:tcPr>
          <w:p w14:paraId="2C99D591">
            <w:pPr>
              <w:jc w:val="center"/>
              <w:rPr>
                <w:kern w:val="0"/>
                <w:sz w:val="24"/>
              </w:rPr>
            </w:pPr>
            <w:r>
              <w:rPr>
                <w:kern w:val="0"/>
                <w:sz w:val="24"/>
              </w:rPr>
              <w:t>1</w:t>
            </w:r>
          </w:p>
        </w:tc>
        <w:tc>
          <w:tcPr>
            <w:tcW w:w="2336" w:type="dxa"/>
            <w:vAlign w:val="center"/>
          </w:tcPr>
          <w:p w14:paraId="1B78E71E">
            <w:pPr>
              <w:jc w:val="center"/>
              <w:rPr>
                <w:kern w:val="0"/>
                <w:sz w:val="24"/>
              </w:rPr>
            </w:pPr>
            <w:r>
              <w:rPr>
                <w:kern w:val="0"/>
                <w:sz w:val="24"/>
              </w:rPr>
              <w:t>6</w:t>
            </w:r>
            <w:r>
              <w:rPr>
                <w:rFonts w:hint="eastAsia"/>
                <w:kern w:val="0"/>
                <w:sz w:val="24"/>
                <w:lang w:val="en-US" w:eastAsia="zh-CN"/>
              </w:rPr>
              <w:t>6</w:t>
            </w:r>
            <w:r>
              <w:rPr>
                <w:kern w:val="0"/>
                <w:sz w:val="24"/>
              </w:rPr>
              <w:t>00—6</w:t>
            </w:r>
            <w:r>
              <w:rPr>
                <w:rFonts w:hint="eastAsia"/>
                <w:kern w:val="0"/>
                <w:sz w:val="24"/>
                <w:lang w:val="en-US" w:eastAsia="zh-CN"/>
              </w:rPr>
              <w:t>9</w:t>
            </w:r>
            <w:r>
              <w:rPr>
                <w:kern w:val="0"/>
                <w:sz w:val="24"/>
              </w:rPr>
              <w:t>00</w:t>
            </w:r>
          </w:p>
        </w:tc>
        <w:tc>
          <w:tcPr>
            <w:tcW w:w="1937" w:type="dxa"/>
            <w:vAlign w:val="center"/>
          </w:tcPr>
          <w:p w14:paraId="7F242D11">
            <w:pPr>
              <w:jc w:val="center"/>
              <w:rPr>
                <w:kern w:val="0"/>
                <w:sz w:val="24"/>
              </w:rPr>
            </w:pPr>
          </w:p>
        </w:tc>
      </w:tr>
      <w:tr w14:paraId="33B8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1C94B09B">
            <w:pPr>
              <w:jc w:val="center"/>
              <w:rPr>
                <w:kern w:val="0"/>
                <w:sz w:val="24"/>
              </w:rPr>
            </w:pPr>
            <w:r>
              <w:rPr>
                <w:kern w:val="0"/>
                <w:sz w:val="24"/>
              </w:rPr>
              <w:t>3</w:t>
            </w:r>
          </w:p>
        </w:tc>
        <w:tc>
          <w:tcPr>
            <w:tcW w:w="3183" w:type="dxa"/>
            <w:vAlign w:val="center"/>
          </w:tcPr>
          <w:p w14:paraId="68D7AFD6">
            <w:pPr>
              <w:jc w:val="center"/>
              <w:rPr>
                <w:kern w:val="0"/>
                <w:sz w:val="24"/>
              </w:rPr>
            </w:pPr>
            <w:r>
              <w:rPr>
                <w:kern w:val="0"/>
                <w:sz w:val="24"/>
              </w:rPr>
              <w:t>综合运行维修员</w:t>
            </w:r>
          </w:p>
        </w:tc>
        <w:tc>
          <w:tcPr>
            <w:tcW w:w="1071" w:type="dxa"/>
            <w:vAlign w:val="center"/>
          </w:tcPr>
          <w:p w14:paraId="2D7483CC">
            <w:pPr>
              <w:jc w:val="center"/>
              <w:rPr>
                <w:rFonts w:hint="eastAsia" w:eastAsia="宋体"/>
                <w:kern w:val="0"/>
                <w:sz w:val="24"/>
                <w:highlight w:val="none"/>
                <w:lang w:eastAsia="zh-CN"/>
              </w:rPr>
            </w:pPr>
            <w:r>
              <w:rPr>
                <w:rFonts w:hint="eastAsia"/>
                <w:kern w:val="0"/>
                <w:sz w:val="24"/>
                <w:highlight w:val="none"/>
                <w:lang w:val="en-US" w:eastAsia="zh-CN"/>
              </w:rPr>
              <w:t>5</w:t>
            </w:r>
          </w:p>
        </w:tc>
        <w:tc>
          <w:tcPr>
            <w:tcW w:w="2336" w:type="dxa"/>
            <w:vAlign w:val="center"/>
          </w:tcPr>
          <w:p w14:paraId="2C3663AE">
            <w:pPr>
              <w:jc w:val="center"/>
              <w:rPr>
                <w:kern w:val="0"/>
                <w:sz w:val="24"/>
              </w:rPr>
            </w:pPr>
            <w:r>
              <w:rPr>
                <w:kern w:val="0"/>
                <w:sz w:val="24"/>
              </w:rPr>
              <w:t>6</w:t>
            </w:r>
            <w:r>
              <w:rPr>
                <w:rFonts w:hint="eastAsia"/>
                <w:kern w:val="0"/>
                <w:sz w:val="24"/>
                <w:lang w:val="en-US" w:eastAsia="zh-CN"/>
              </w:rPr>
              <w:t>2</w:t>
            </w:r>
            <w:r>
              <w:rPr>
                <w:kern w:val="0"/>
                <w:sz w:val="24"/>
              </w:rPr>
              <w:t>00—6</w:t>
            </w:r>
            <w:r>
              <w:rPr>
                <w:rFonts w:hint="eastAsia"/>
                <w:kern w:val="0"/>
                <w:sz w:val="24"/>
                <w:lang w:val="en-US" w:eastAsia="zh-CN"/>
              </w:rPr>
              <w:t>5</w:t>
            </w:r>
            <w:r>
              <w:rPr>
                <w:kern w:val="0"/>
                <w:sz w:val="24"/>
              </w:rPr>
              <w:t>00</w:t>
            </w:r>
          </w:p>
        </w:tc>
        <w:tc>
          <w:tcPr>
            <w:tcW w:w="1937" w:type="dxa"/>
            <w:vAlign w:val="center"/>
          </w:tcPr>
          <w:p w14:paraId="54374A2D">
            <w:pPr>
              <w:jc w:val="center"/>
              <w:rPr>
                <w:kern w:val="0"/>
                <w:sz w:val="24"/>
              </w:rPr>
            </w:pPr>
          </w:p>
        </w:tc>
      </w:tr>
      <w:tr w14:paraId="23B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37AB6EA9">
            <w:pPr>
              <w:jc w:val="center"/>
              <w:rPr>
                <w:kern w:val="0"/>
                <w:sz w:val="24"/>
              </w:rPr>
            </w:pPr>
            <w:r>
              <w:rPr>
                <w:kern w:val="0"/>
                <w:sz w:val="24"/>
              </w:rPr>
              <w:t>4</w:t>
            </w:r>
          </w:p>
        </w:tc>
        <w:tc>
          <w:tcPr>
            <w:tcW w:w="3183" w:type="dxa"/>
            <w:vAlign w:val="center"/>
          </w:tcPr>
          <w:p w14:paraId="2FFBEA35">
            <w:pPr>
              <w:jc w:val="center"/>
              <w:rPr>
                <w:kern w:val="0"/>
                <w:sz w:val="24"/>
              </w:rPr>
            </w:pPr>
            <w:r>
              <w:rPr>
                <w:kern w:val="0"/>
                <w:sz w:val="24"/>
              </w:rPr>
              <w:t>高压配电运行副组长</w:t>
            </w:r>
          </w:p>
        </w:tc>
        <w:tc>
          <w:tcPr>
            <w:tcW w:w="1071" w:type="dxa"/>
            <w:vAlign w:val="center"/>
          </w:tcPr>
          <w:p w14:paraId="480E00C3">
            <w:pPr>
              <w:jc w:val="center"/>
              <w:rPr>
                <w:kern w:val="0"/>
                <w:sz w:val="24"/>
              </w:rPr>
            </w:pPr>
            <w:r>
              <w:rPr>
                <w:kern w:val="0"/>
                <w:sz w:val="24"/>
              </w:rPr>
              <w:t>1</w:t>
            </w:r>
          </w:p>
        </w:tc>
        <w:tc>
          <w:tcPr>
            <w:tcW w:w="2336" w:type="dxa"/>
            <w:vAlign w:val="center"/>
          </w:tcPr>
          <w:p w14:paraId="681941B9">
            <w:pPr>
              <w:jc w:val="center"/>
              <w:rPr>
                <w:kern w:val="0"/>
                <w:sz w:val="24"/>
              </w:rPr>
            </w:pPr>
            <w:r>
              <w:rPr>
                <w:kern w:val="0"/>
                <w:sz w:val="24"/>
              </w:rPr>
              <w:t>5</w:t>
            </w:r>
            <w:r>
              <w:rPr>
                <w:rFonts w:hint="eastAsia"/>
                <w:kern w:val="0"/>
                <w:sz w:val="24"/>
                <w:lang w:val="en-US" w:eastAsia="zh-CN"/>
              </w:rPr>
              <w:t>8</w:t>
            </w:r>
            <w:r>
              <w:rPr>
                <w:kern w:val="0"/>
                <w:sz w:val="24"/>
              </w:rPr>
              <w:t>00—6</w:t>
            </w:r>
            <w:r>
              <w:rPr>
                <w:rFonts w:hint="eastAsia"/>
                <w:kern w:val="0"/>
                <w:sz w:val="24"/>
                <w:lang w:val="en-US" w:eastAsia="zh-CN"/>
              </w:rPr>
              <w:t>1</w:t>
            </w:r>
            <w:r>
              <w:rPr>
                <w:kern w:val="0"/>
                <w:sz w:val="24"/>
              </w:rPr>
              <w:t>00</w:t>
            </w:r>
          </w:p>
        </w:tc>
        <w:tc>
          <w:tcPr>
            <w:tcW w:w="1937" w:type="dxa"/>
            <w:vAlign w:val="center"/>
          </w:tcPr>
          <w:p w14:paraId="2A7E9173">
            <w:pPr>
              <w:jc w:val="center"/>
              <w:rPr>
                <w:kern w:val="0"/>
                <w:sz w:val="24"/>
              </w:rPr>
            </w:pPr>
          </w:p>
        </w:tc>
      </w:tr>
      <w:tr w14:paraId="43FC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1ABCCEF6">
            <w:pPr>
              <w:jc w:val="center"/>
              <w:rPr>
                <w:kern w:val="0"/>
                <w:sz w:val="24"/>
              </w:rPr>
            </w:pPr>
            <w:r>
              <w:rPr>
                <w:kern w:val="0"/>
                <w:sz w:val="24"/>
              </w:rPr>
              <w:t>5</w:t>
            </w:r>
          </w:p>
        </w:tc>
        <w:tc>
          <w:tcPr>
            <w:tcW w:w="3183" w:type="dxa"/>
            <w:vAlign w:val="center"/>
          </w:tcPr>
          <w:p w14:paraId="022C9E41">
            <w:pPr>
              <w:jc w:val="center"/>
              <w:rPr>
                <w:kern w:val="0"/>
                <w:sz w:val="24"/>
              </w:rPr>
            </w:pPr>
            <w:r>
              <w:rPr>
                <w:kern w:val="0"/>
                <w:sz w:val="24"/>
              </w:rPr>
              <w:t>高压配电运行值班员</w:t>
            </w:r>
          </w:p>
        </w:tc>
        <w:tc>
          <w:tcPr>
            <w:tcW w:w="1071" w:type="dxa"/>
            <w:vAlign w:val="center"/>
          </w:tcPr>
          <w:p w14:paraId="202C2587">
            <w:pPr>
              <w:jc w:val="center"/>
              <w:rPr>
                <w:kern w:val="0"/>
                <w:sz w:val="24"/>
              </w:rPr>
            </w:pPr>
            <w:r>
              <w:rPr>
                <w:kern w:val="0"/>
                <w:sz w:val="24"/>
              </w:rPr>
              <w:t>7</w:t>
            </w:r>
          </w:p>
        </w:tc>
        <w:tc>
          <w:tcPr>
            <w:tcW w:w="2336" w:type="dxa"/>
            <w:vAlign w:val="center"/>
          </w:tcPr>
          <w:p w14:paraId="7427A646">
            <w:pPr>
              <w:jc w:val="center"/>
              <w:rPr>
                <w:kern w:val="0"/>
                <w:sz w:val="24"/>
              </w:rPr>
            </w:pPr>
            <w:r>
              <w:rPr>
                <w:kern w:val="0"/>
                <w:sz w:val="24"/>
              </w:rPr>
              <w:t>5</w:t>
            </w:r>
            <w:r>
              <w:rPr>
                <w:rFonts w:hint="eastAsia"/>
                <w:kern w:val="0"/>
                <w:sz w:val="24"/>
                <w:lang w:val="en-US" w:eastAsia="zh-CN"/>
              </w:rPr>
              <w:t>5</w:t>
            </w:r>
            <w:r>
              <w:rPr>
                <w:kern w:val="0"/>
                <w:sz w:val="24"/>
              </w:rPr>
              <w:t>00—5</w:t>
            </w:r>
            <w:r>
              <w:rPr>
                <w:rFonts w:hint="eastAsia"/>
                <w:kern w:val="0"/>
                <w:sz w:val="24"/>
                <w:lang w:val="en-US" w:eastAsia="zh-CN"/>
              </w:rPr>
              <w:t>8</w:t>
            </w:r>
            <w:r>
              <w:rPr>
                <w:kern w:val="0"/>
                <w:sz w:val="24"/>
              </w:rPr>
              <w:t>00</w:t>
            </w:r>
          </w:p>
        </w:tc>
        <w:tc>
          <w:tcPr>
            <w:tcW w:w="1937" w:type="dxa"/>
            <w:vAlign w:val="center"/>
          </w:tcPr>
          <w:p w14:paraId="64CD6C4C">
            <w:pPr>
              <w:jc w:val="center"/>
              <w:rPr>
                <w:kern w:val="0"/>
                <w:sz w:val="24"/>
              </w:rPr>
            </w:pPr>
          </w:p>
        </w:tc>
      </w:tr>
      <w:tr w14:paraId="221E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393DE45C">
            <w:pPr>
              <w:jc w:val="center"/>
              <w:rPr>
                <w:kern w:val="0"/>
                <w:sz w:val="24"/>
              </w:rPr>
            </w:pPr>
            <w:r>
              <w:rPr>
                <w:kern w:val="0"/>
                <w:sz w:val="24"/>
              </w:rPr>
              <w:t>6</w:t>
            </w:r>
          </w:p>
        </w:tc>
        <w:tc>
          <w:tcPr>
            <w:tcW w:w="3183" w:type="dxa"/>
            <w:vAlign w:val="center"/>
          </w:tcPr>
          <w:p w14:paraId="2FCCEB50">
            <w:pPr>
              <w:jc w:val="center"/>
              <w:rPr>
                <w:kern w:val="0"/>
                <w:sz w:val="24"/>
              </w:rPr>
            </w:pPr>
            <w:r>
              <w:rPr>
                <w:kern w:val="0"/>
                <w:sz w:val="24"/>
              </w:rPr>
              <w:t>中央空调热水锅炉及净化系统运行值班员</w:t>
            </w:r>
          </w:p>
        </w:tc>
        <w:tc>
          <w:tcPr>
            <w:tcW w:w="1071" w:type="dxa"/>
            <w:vAlign w:val="center"/>
          </w:tcPr>
          <w:p w14:paraId="3A64F2B6">
            <w:pPr>
              <w:jc w:val="center"/>
              <w:rPr>
                <w:kern w:val="0"/>
                <w:sz w:val="24"/>
              </w:rPr>
            </w:pPr>
            <w:r>
              <w:rPr>
                <w:kern w:val="0"/>
                <w:sz w:val="24"/>
              </w:rPr>
              <w:t>6</w:t>
            </w:r>
          </w:p>
        </w:tc>
        <w:tc>
          <w:tcPr>
            <w:tcW w:w="2336" w:type="dxa"/>
            <w:vAlign w:val="center"/>
          </w:tcPr>
          <w:p w14:paraId="00B76063">
            <w:pPr>
              <w:jc w:val="center"/>
              <w:rPr>
                <w:kern w:val="0"/>
                <w:sz w:val="24"/>
              </w:rPr>
            </w:pPr>
            <w:r>
              <w:rPr>
                <w:kern w:val="0"/>
                <w:sz w:val="24"/>
              </w:rPr>
              <w:t>5</w:t>
            </w:r>
            <w:r>
              <w:rPr>
                <w:rFonts w:hint="eastAsia"/>
                <w:kern w:val="0"/>
                <w:sz w:val="24"/>
                <w:lang w:val="en-US" w:eastAsia="zh-CN"/>
              </w:rPr>
              <w:t>5</w:t>
            </w:r>
            <w:r>
              <w:rPr>
                <w:kern w:val="0"/>
                <w:sz w:val="24"/>
              </w:rPr>
              <w:t>00—5</w:t>
            </w:r>
            <w:r>
              <w:rPr>
                <w:rFonts w:hint="eastAsia"/>
                <w:kern w:val="0"/>
                <w:sz w:val="24"/>
                <w:lang w:val="en-US" w:eastAsia="zh-CN"/>
              </w:rPr>
              <w:t>8</w:t>
            </w:r>
            <w:r>
              <w:rPr>
                <w:kern w:val="0"/>
                <w:sz w:val="24"/>
              </w:rPr>
              <w:t>00</w:t>
            </w:r>
          </w:p>
        </w:tc>
        <w:tc>
          <w:tcPr>
            <w:tcW w:w="1937" w:type="dxa"/>
            <w:vAlign w:val="center"/>
          </w:tcPr>
          <w:p w14:paraId="605C2C57">
            <w:pPr>
              <w:jc w:val="center"/>
              <w:rPr>
                <w:kern w:val="0"/>
                <w:sz w:val="24"/>
              </w:rPr>
            </w:pPr>
          </w:p>
        </w:tc>
      </w:tr>
      <w:tr w14:paraId="732C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440ABED">
            <w:pPr>
              <w:jc w:val="center"/>
              <w:rPr>
                <w:kern w:val="0"/>
                <w:sz w:val="24"/>
              </w:rPr>
            </w:pPr>
            <w:r>
              <w:rPr>
                <w:kern w:val="0"/>
                <w:sz w:val="24"/>
              </w:rPr>
              <w:t>7</w:t>
            </w:r>
          </w:p>
        </w:tc>
        <w:tc>
          <w:tcPr>
            <w:tcW w:w="3183" w:type="dxa"/>
            <w:vAlign w:val="center"/>
          </w:tcPr>
          <w:p w14:paraId="6410A137">
            <w:pPr>
              <w:jc w:val="center"/>
              <w:rPr>
                <w:kern w:val="0"/>
                <w:sz w:val="24"/>
              </w:rPr>
            </w:pPr>
            <w:r>
              <w:rPr>
                <w:kern w:val="0"/>
                <w:sz w:val="24"/>
              </w:rPr>
              <w:t>医用气体和中央纯水系统运行值班员</w:t>
            </w:r>
          </w:p>
        </w:tc>
        <w:tc>
          <w:tcPr>
            <w:tcW w:w="1071" w:type="dxa"/>
            <w:vAlign w:val="center"/>
          </w:tcPr>
          <w:p w14:paraId="52E20B4E">
            <w:pPr>
              <w:jc w:val="center"/>
              <w:rPr>
                <w:rFonts w:hint="eastAsia" w:eastAsia="宋体"/>
                <w:kern w:val="0"/>
                <w:sz w:val="24"/>
                <w:highlight w:val="none"/>
                <w:lang w:eastAsia="zh-CN"/>
              </w:rPr>
            </w:pPr>
            <w:r>
              <w:rPr>
                <w:rFonts w:hint="eastAsia"/>
                <w:kern w:val="0"/>
                <w:sz w:val="24"/>
                <w:highlight w:val="none"/>
                <w:lang w:val="en-US" w:eastAsia="zh-CN"/>
              </w:rPr>
              <w:t>5</w:t>
            </w:r>
          </w:p>
        </w:tc>
        <w:tc>
          <w:tcPr>
            <w:tcW w:w="2336" w:type="dxa"/>
            <w:vAlign w:val="center"/>
          </w:tcPr>
          <w:p w14:paraId="302F1B3E">
            <w:pPr>
              <w:jc w:val="center"/>
              <w:rPr>
                <w:kern w:val="0"/>
                <w:sz w:val="24"/>
              </w:rPr>
            </w:pPr>
            <w:r>
              <w:rPr>
                <w:kern w:val="0"/>
                <w:sz w:val="24"/>
              </w:rPr>
              <w:t>5</w:t>
            </w:r>
            <w:r>
              <w:rPr>
                <w:rFonts w:hint="eastAsia"/>
                <w:kern w:val="0"/>
                <w:sz w:val="24"/>
                <w:lang w:val="en-US" w:eastAsia="zh-CN"/>
              </w:rPr>
              <w:t>5</w:t>
            </w:r>
            <w:r>
              <w:rPr>
                <w:kern w:val="0"/>
                <w:sz w:val="24"/>
              </w:rPr>
              <w:t>00—5</w:t>
            </w:r>
            <w:r>
              <w:rPr>
                <w:rFonts w:hint="eastAsia"/>
                <w:kern w:val="0"/>
                <w:sz w:val="24"/>
                <w:lang w:val="en-US" w:eastAsia="zh-CN"/>
              </w:rPr>
              <w:t>8</w:t>
            </w:r>
            <w:r>
              <w:rPr>
                <w:kern w:val="0"/>
                <w:sz w:val="24"/>
              </w:rPr>
              <w:t>00</w:t>
            </w:r>
          </w:p>
        </w:tc>
        <w:tc>
          <w:tcPr>
            <w:tcW w:w="1937" w:type="dxa"/>
            <w:vAlign w:val="center"/>
          </w:tcPr>
          <w:p w14:paraId="0B842205">
            <w:pPr>
              <w:jc w:val="center"/>
              <w:rPr>
                <w:kern w:val="0"/>
                <w:sz w:val="24"/>
              </w:rPr>
            </w:pPr>
          </w:p>
        </w:tc>
      </w:tr>
      <w:tr w14:paraId="2B0E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7F11363E">
            <w:pPr>
              <w:jc w:val="center"/>
              <w:rPr>
                <w:kern w:val="0"/>
                <w:sz w:val="24"/>
              </w:rPr>
            </w:pPr>
            <w:r>
              <w:rPr>
                <w:kern w:val="0"/>
                <w:sz w:val="24"/>
              </w:rPr>
              <w:t>8</w:t>
            </w:r>
          </w:p>
        </w:tc>
        <w:tc>
          <w:tcPr>
            <w:tcW w:w="3183" w:type="dxa"/>
            <w:vAlign w:val="center"/>
          </w:tcPr>
          <w:p w14:paraId="3C664574">
            <w:pPr>
              <w:jc w:val="center"/>
              <w:rPr>
                <w:kern w:val="0"/>
                <w:sz w:val="24"/>
              </w:rPr>
            </w:pPr>
            <w:r>
              <w:rPr>
                <w:kern w:val="0"/>
                <w:sz w:val="24"/>
              </w:rPr>
              <w:t>污水处理系统运行值班员</w:t>
            </w:r>
          </w:p>
        </w:tc>
        <w:tc>
          <w:tcPr>
            <w:tcW w:w="1071" w:type="dxa"/>
            <w:vAlign w:val="center"/>
          </w:tcPr>
          <w:p w14:paraId="02E9026F">
            <w:pPr>
              <w:jc w:val="center"/>
              <w:rPr>
                <w:kern w:val="0"/>
                <w:sz w:val="24"/>
              </w:rPr>
            </w:pPr>
            <w:r>
              <w:rPr>
                <w:kern w:val="0"/>
                <w:sz w:val="24"/>
              </w:rPr>
              <w:t>2</w:t>
            </w:r>
          </w:p>
        </w:tc>
        <w:tc>
          <w:tcPr>
            <w:tcW w:w="2336" w:type="dxa"/>
            <w:vAlign w:val="center"/>
          </w:tcPr>
          <w:p w14:paraId="40ECFC6B">
            <w:pPr>
              <w:jc w:val="center"/>
              <w:rPr>
                <w:kern w:val="0"/>
                <w:sz w:val="24"/>
              </w:rPr>
            </w:pPr>
            <w:r>
              <w:rPr>
                <w:kern w:val="0"/>
                <w:sz w:val="24"/>
              </w:rPr>
              <w:t>5</w:t>
            </w:r>
            <w:r>
              <w:rPr>
                <w:rFonts w:hint="eastAsia"/>
                <w:kern w:val="0"/>
                <w:sz w:val="24"/>
                <w:lang w:val="en-US" w:eastAsia="zh-CN"/>
              </w:rPr>
              <w:t>5</w:t>
            </w:r>
            <w:r>
              <w:rPr>
                <w:kern w:val="0"/>
                <w:sz w:val="24"/>
              </w:rPr>
              <w:t>00—5</w:t>
            </w:r>
            <w:r>
              <w:rPr>
                <w:rFonts w:hint="eastAsia"/>
                <w:kern w:val="0"/>
                <w:sz w:val="24"/>
                <w:lang w:val="en-US" w:eastAsia="zh-CN"/>
              </w:rPr>
              <w:t>8</w:t>
            </w:r>
            <w:r>
              <w:rPr>
                <w:kern w:val="0"/>
                <w:sz w:val="24"/>
              </w:rPr>
              <w:t>00</w:t>
            </w:r>
          </w:p>
        </w:tc>
        <w:tc>
          <w:tcPr>
            <w:tcW w:w="1937" w:type="dxa"/>
            <w:vAlign w:val="center"/>
          </w:tcPr>
          <w:p w14:paraId="693DAD13">
            <w:pPr>
              <w:jc w:val="center"/>
              <w:rPr>
                <w:kern w:val="0"/>
                <w:sz w:val="24"/>
              </w:rPr>
            </w:pPr>
          </w:p>
        </w:tc>
      </w:tr>
      <w:tr w14:paraId="438B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08985147">
            <w:pPr>
              <w:jc w:val="center"/>
              <w:rPr>
                <w:kern w:val="0"/>
                <w:sz w:val="24"/>
              </w:rPr>
            </w:pPr>
            <w:r>
              <w:rPr>
                <w:kern w:val="0"/>
                <w:sz w:val="24"/>
              </w:rPr>
              <w:t>9</w:t>
            </w:r>
          </w:p>
        </w:tc>
        <w:tc>
          <w:tcPr>
            <w:tcW w:w="3183" w:type="dxa"/>
            <w:vAlign w:val="center"/>
          </w:tcPr>
          <w:p w14:paraId="5E244345">
            <w:pPr>
              <w:jc w:val="center"/>
              <w:rPr>
                <w:kern w:val="0"/>
                <w:sz w:val="24"/>
              </w:rPr>
            </w:pPr>
            <w:r>
              <w:rPr>
                <w:kern w:val="0"/>
                <w:sz w:val="24"/>
              </w:rPr>
              <w:t>污水处理系统运行值班员（兼综合运行维修）</w:t>
            </w:r>
          </w:p>
        </w:tc>
        <w:tc>
          <w:tcPr>
            <w:tcW w:w="1071" w:type="dxa"/>
            <w:vAlign w:val="center"/>
          </w:tcPr>
          <w:p w14:paraId="7C9983FA">
            <w:pPr>
              <w:jc w:val="center"/>
              <w:rPr>
                <w:kern w:val="0"/>
                <w:sz w:val="24"/>
              </w:rPr>
            </w:pPr>
            <w:r>
              <w:rPr>
                <w:kern w:val="0"/>
                <w:sz w:val="24"/>
              </w:rPr>
              <w:t>2</w:t>
            </w:r>
          </w:p>
        </w:tc>
        <w:tc>
          <w:tcPr>
            <w:tcW w:w="2336" w:type="dxa"/>
            <w:vAlign w:val="center"/>
          </w:tcPr>
          <w:p w14:paraId="5B514684">
            <w:pPr>
              <w:jc w:val="center"/>
              <w:rPr>
                <w:kern w:val="0"/>
                <w:sz w:val="24"/>
              </w:rPr>
            </w:pPr>
            <w:r>
              <w:rPr>
                <w:kern w:val="0"/>
                <w:sz w:val="24"/>
              </w:rPr>
              <w:t>6</w:t>
            </w:r>
            <w:r>
              <w:rPr>
                <w:rFonts w:hint="eastAsia"/>
                <w:kern w:val="0"/>
                <w:sz w:val="24"/>
                <w:lang w:val="en-US" w:eastAsia="zh-CN"/>
              </w:rPr>
              <w:t>2</w:t>
            </w:r>
            <w:r>
              <w:rPr>
                <w:kern w:val="0"/>
                <w:sz w:val="24"/>
              </w:rPr>
              <w:t>00—6</w:t>
            </w:r>
            <w:r>
              <w:rPr>
                <w:rFonts w:hint="eastAsia"/>
                <w:kern w:val="0"/>
                <w:sz w:val="24"/>
                <w:lang w:val="en-US" w:eastAsia="zh-CN"/>
              </w:rPr>
              <w:t>5</w:t>
            </w:r>
            <w:r>
              <w:rPr>
                <w:kern w:val="0"/>
                <w:sz w:val="24"/>
              </w:rPr>
              <w:t>00</w:t>
            </w:r>
          </w:p>
        </w:tc>
        <w:tc>
          <w:tcPr>
            <w:tcW w:w="1937" w:type="dxa"/>
            <w:vAlign w:val="center"/>
          </w:tcPr>
          <w:p w14:paraId="0E587091">
            <w:pPr>
              <w:jc w:val="center"/>
              <w:rPr>
                <w:kern w:val="0"/>
                <w:sz w:val="24"/>
              </w:rPr>
            </w:pPr>
          </w:p>
        </w:tc>
      </w:tr>
      <w:tr w14:paraId="204B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14DFDFB">
            <w:pPr>
              <w:jc w:val="center"/>
              <w:rPr>
                <w:kern w:val="0"/>
                <w:sz w:val="24"/>
              </w:rPr>
            </w:pPr>
            <w:r>
              <w:rPr>
                <w:kern w:val="0"/>
                <w:sz w:val="24"/>
              </w:rPr>
              <w:t>10</w:t>
            </w:r>
          </w:p>
        </w:tc>
        <w:tc>
          <w:tcPr>
            <w:tcW w:w="3183" w:type="dxa"/>
            <w:vAlign w:val="center"/>
          </w:tcPr>
          <w:p w14:paraId="21177762">
            <w:pPr>
              <w:jc w:val="center"/>
              <w:rPr>
                <w:kern w:val="0"/>
                <w:sz w:val="24"/>
              </w:rPr>
            </w:pPr>
            <w:r>
              <w:rPr>
                <w:kern w:val="0"/>
                <w:sz w:val="24"/>
              </w:rPr>
              <w:t>智慧后勤综合受理员</w:t>
            </w:r>
          </w:p>
        </w:tc>
        <w:tc>
          <w:tcPr>
            <w:tcW w:w="1071" w:type="dxa"/>
            <w:vAlign w:val="center"/>
          </w:tcPr>
          <w:p w14:paraId="4175A6C9">
            <w:pPr>
              <w:jc w:val="center"/>
              <w:rPr>
                <w:kern w:val="0"/>
                <w:sz w:val="24"/>
              </w:rPr>
            </w:pPr>
            <w:r>
              <w:rPr>
                <w:kern w:val="0"/>
                <w:sz w:val="24"/>
              </w:rPr>
              <w:t>2</w:t>
            </w:r>
          </w:p>
        </w:tc>
        <w:tc>
          <w:tcPr>
            <w:tcW w:w="2336" w:type="dxa"/>
            <w:vAlign w:val="center"/>
          </w:tcPr>
          <w:p w14:paraId="14112349">
            <w:pPr>
              <w:jc w:val="center"/>
              <w:rPr>
                <w:rFonts w:hint="default" w:eastAsia="宋体"/>
                <w:kern w:val="0"/>
                <w:sz w:val="24"/>
                <w:lang w:val="en-US" w:eastAsia="zh-CN"/>
              </w:rPr>
            </w:pPr>
            <w:r>
              <w:rPr>
                <w:rFonts w:hint="eastAsia"/>
                <w:kern w:val="0"/>
                <w:sz w:val="24"/>
                <w:lang w:val="en-US" w:eastAsia="zh-CN"/>
              </w:rPr>
              <w:t>5500—5800</w:t>
            </w:r>
          </w:p>
        </w:tc>
        <w:tc>
          <w:tcPr>
            <w:tcW w:w="1937" w:type="dxa"/>
            <w:vAlign w:val="center"/>
          </w:tcPr>
          <w:p w14:paraId="350A7551">
            <w:pPr>
              <w:jc w:val="center"/>
              <w:rPr>
                <w:kern w:val="0"/>
                <w:sz w:val="24"/>
              </w:rPr>
            </w:pPr>
          </w:p>
        </w:tc>
      </w:tr>
      <w:tr w14:paraId="2694B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5B6628AC">
            <w:pPr>
              <w:jc w:val="center"/>
              <w:rPr>
                <w:kern w:val="0"/>
                <w:sz w:val="24"/>
              </w:rPr>
            </w:pPr>
            <w:r>
              <w:rPr>
                <w:kern w:val="0"/>
                <w:sz w:val="24"/>
              </w:rPr>
              <w:t>11</w:t>
            </w:r>
          </w:p>
        </w:tc>
        <w:tc>
          <w:tcPr>
            <w:tcW w:w="3183" w:type="dxa"/>
            <w:vAlign w:val="center"/>
          </w:tcPr>
          <w:p w14:paraId="7979157A">
            <w:pPr>
              <w:jc w:val="center"/>
              <w:rPr>
                <w:kern w:val="0"/>
                <w:sz w:val="24"/>
              </w:rPr>
            </w:pPr>
            <w:r>
              <w:rPr>
                <w:kern w:val="0"/>
                <w:sz w:val="24"/>
              </w:rPr>
              <w:t>供应室器械清洗消毒员</w:t>
            </w:r>
          </w:p>
        </w:tc>
        <w:tc>
          <w:tcPr>
            <w:tcW w:w="1071" w:type="dxa"/>
            <w:vAlign w:val="center"/>
          </w:tcPr>
          <w:p w14:paraId="16697090">
            <w:pPr>
              <w:jc w:val="center"/>
              <w:rPr>
                <w:rFonts w:hint="eastAsia" w:eastAsia="宋体"/>
                <w:kern w:val="0"/>
                <w:sz w:val="24"/>
                <w:highlight w:val="none"/>
                <w:lang w:eastAsia="zh-CN"/>
              </w:rPr>
            </w:pPr>
            <w:r>
              <w:rPr>
                <w:rFonts w:hint="eastAsia"/>
                <w:kern w:val="0"/>
                <w:sz w:val="24"/>
                <w:highlight w:val="none"/>
                <w:lang w:val="en-US" w:eastAsia="zh-CN"/>
              </w:rPr>
              <w:t>5</w:t>
            </w:r>
          </w:p>
        </w:tc>
        <w:tc>
          <w:tcPr>
            <w:tcW w:w="2336" w:type="dxa"/>
            <w:vAlign w:val="center"/>
          </w:tcPr>
          <w:p w14:paraId="722F87F5">
            <w:pPr>
              <w:jc w:val="center"/>
              <w:rPr>
                <w:kern w:val="0"/>
                <w:sz w:val="24"/>
              </w:rPr>
            </w:pPr>
            <w:r>
              <w:rPr>
                <w:kern w:val="0"/>
                <w:sz w:val="24"/>
              </w:rPr>
              <w:t>5700—5900</w:t>
            </w:r>
          </w:p>
        </w:tc>
        <w:tc>
          <w:tcPr>
            <w:tcW w:w="1937" w:type="dxa"/>
            <w:vAlign w:val="center"/>
          </w:tcPr>
          <w:p w14:paraId="0B96287A">
            <w:pPr>
              <w:jc w:val="center"/>
              <w:rPr>
                <w:kern w:val="0"/>
                <w:sz w:val="24"/>
              </w:rPr>
            </w:pPr>
          </w:p>
        </w:tc>
      </w:tr>
      <w:tr w14:paraId="603C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5B838A6E">
            <w:pPr>
              <w:jc w:val="center"/>
              <w:rPr>
                <w:kern w:val="0"/>
                <w:sz w:val="24"/>
              </w:rPr>
            </w:pPr>
            <w:r>
              <w:rPr>
                <w:kern w:val="0"/>
                <w:sz w:val="24"/>
              </w:rPr>
              <w:t>12</w:t>
            </w:r>
          </w:p>
        </w:tc>
        <w:tc>
          <w:tcPr>
            <w:tcW w:w="3183" w:type="dxa"/>
            <w:vAlign w:val="center"/>
          </w:tcPr>
          <w:p w14:paraId="3B03A3A5">
            <w:pPr>
              <w:jc w:val="center"/>
              <w:rPr>
                <w:kern w:val="0"/>
                <w:sz w:val="24"/>
              </w:rPr>
            </w:pPr>
            <w:r>
              <w:rPr>
                <w:kern w:val="0"/>
                <w:sz w:val="24"/>
              </w:rPr>
              <w:t>高级厨师</w:t>
            </w:r>
          </w:p>
        </w:tc>
        <w:tc>
          <w:tcPr>
            <w:tcW w:w="1071" w:type="dxa"/>
            <w:vAlign w:val="center"/>
          </w:tcPr>
          <w:p w14:paraId="719512E8">
            <w:pPr>
              <w:jc w:val="center"/>
              <w:rPr>
                <w:kern w:val="0"/>
                <w:sz w:val="24"/>
              </w:rPr>
            </w:pPr>
            <w:r>
              <w:rPr>
                <w:kern w:val="0"/>
                <w:sz w:val="24"/>
              </w:rPr>
              <w:t>4</w:t>
            </w:r>
          </w:p>
        </w:tc>
        <w:tc>
          <w:tcPr>
            <w:tcW w:w="2336" w:type="dxa"/>
            <w:vAlign w:val="center"/>
          </w:tcPr>
          <w:p w14:paraId="692DE1B6">
            <w:pPr>
              <w:jc w:val="center"/>
              <w:rPr>
                <w:kern w:val="0"/>
                <w:sz w:val="24"/>
              </w:rPr>
            </w:pPr>
            <w:r>
              <w:rPr>
                <w:kern w:val="0"/>
                <w:sz w:val="24"/>
              </w:rPr>
              <w:t>6800—7000</w:t>
            </w:r>
          </w:p>
        </w:tc>
        <w:tc>
          <w:tcPr>
            <w:tcW w:w="1937" w:type="dxa"/>
            <w:vAlign w:val="center"/>
          </w:tcPr>
          <w:p w14:paraId="7C9DE675">
            <w:pPr>
              <w:jc w:val="center"/>
              <w:rPr>
                <w:kern w:val="0"/>
                <w:sz w:val="24"/>
              </w:rPr>
            </w:pPr>
          </w:p>
        </w:tc>
      </w:tr>
      <w:tr w14:paraId="08E7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4E58F6D">
            <w:pPr>
              <w:jc w:val="center"/>
              <w:rPr>
                <w:kern w:val="0"/>
                <w:sz w:val="24"/>
              </w:rPr>
            </w:pPr>
            <w:r>
              <w:rPr>
                <w:kern w:val="0"/>
                <w:sz w:val="24"/>
              </w:rPr>
              <w:t>13</w:t>
            </w:r>
          </w:p>
        </w:tc>
        <w:tc>
          <w:tcPr>
            <w:tcW w:w="3183" w:type="dxa"/>
            <w:vAlign w:val="center"/>
          </w:tcPr>
          <w:p w14:paraId="4E8F1560">
            <w:pPr>
              <w:jc w:val="center"/>
              <w:rPr>
                <w:kern w:val="0"/>
                <w:sz w:val="24"/>
              </w:rPr>
            </w:pPr>
            <w:r>
              <w:rPr>
                <w:kern w:val="0"/>
                <w:sz w:val="24"/>
              </w:rPr>
              <w:t>普通厨师</w:t>
            </w:r>
          </w:p>
        </w:tc>
        <w:tc>
          <w:tcPr>
            <w:tcW w:w="1071" w:type="dxa"/>
            <w:vAlign w:val="center"/>
          </w:tcPr>
          <w:p w14:paraId="1E5FC638">
            <w:pPr>
              <w:jc w:val="center"/>
              <w:rPr>
                <w:kern w:val="0"/>
                <w:sz w:val="24"/>
              </w:rPr>
            </w:pPr>
            <w:r>
              <w:rPr>
                <w:kern w:val="0"/>
                <w:sz w:val="24"/>
              </w:rPr>
              <w:t>4</w:t>
            </w:r>
          </w:p>
        </w:tc>
        <w:tc>
          <w:tcPr>
            <w:tcW w:w="2336" w:type="dxa"/>
            <w:vAlign w:val="center"/>
          </w:tcPr>
          <w:p w14:paraId="79C87CAC">
            <w:pPr>
              <w:jc w:val="center"/>
              <w:rPr>
                <w:kern w:val="0"/>
                <w:sz w:val="24"/>
              </w:rPr>
            </w:pPr>
            <w:r>
              <w:rPr>
                <w:kern w:val="0"/>
                <w:sz w:val="24"/>
              </w:rPr>
              <w:t>6500—6700</w:t>
            </w:r>
          </w:p>
        </w:tc>
        <w:tc>
          <w:tcPr>
            <w:tcW w:w="1937" w:type="dxa"/>
            <w:vAlign w:val="center"/>
          </w:tcPr>
          <w:p w14:paraId="44687DD9">
            <w:pPr>
              <w:jc w:val="center"/>
              <w:rPr>
                <w:kern w:val="0"/>
                <w:sz w:val="24"/>
              </w:rPr>
            </w:pPr>
          </w:p>
        </w:tc>
      </w:tr>
      <w:tr w14:paraId="0402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265EBDDB">
            <w:pPr>
              <w:jc w:val="center"/>
              <w:rPr>
                <w:kern w:val="0"/>
                <w:sz w:val="24"/>
              </w:rPr>
            </w:pPr>
            <w:r>
              <w:rPr>
                <w:kern w:val="0"/>
                <w:sz w:val="24"/>
              </w:rPr>
              <w:t>14</w:t>
            </w:r>
          </w:p>
        </w:tc>
        <w:tc>
          <w:tcPr>
            <w:tcW w:w="3183" w:type="dxa"/>
            <w:vAlign w:val="center"/>
          </w:tcPr>
          <w:p w14:paraId="19EB1023">
            <w:pPr>
              <w:jc w:val="center"/>
              <w:rPr>
                <w:kern w:val="0"/>
                <w:sz w:val="24"/>
              </w:rPr>
            </w:pPr>
            <w:r>
              <w:rPr>
                <w:kern w:val="0"/>
                <w:sz w:val="24"/>
              </w:rPr>
              <w:t>高级面点师</w:t>
            </w:r>
          </w:p>
        </w:tc>
        <w:tc>
          <w:tcPr>
            <w:tcW w:w="1071" w:type="dxa"/>
            <w:vAlign w:val="center"/>
          </w:tcPr>
          <w:p w14:paraId="48ED324E">
            <w:pPr>
              <w:jc w:val="center"/>
              <w:rPr>
                <w:kern w:val="0"/>
                <w:sz w:val="24"/>
              </w:rPr>
            </w:pPr>
            <w:r>
              <w:rPr>
                <w:kern w:val="0"/>
                <w:sz w:val="24"/>
              </w:rPr>
              <w:t>2</w:t>
            </w:r>
          </w:p>
        </w:tc>
        <w:tc>
          <w:tcPr>
            <w:tcW w:w="2336" w:type="dxa"/>
            <w:vAlign w:val="center"/>
          </w:tcPr>
          <w:p w14:paraId="503D5325">
            <w:pPr>
              <w:jc w:val="center"/>
              <w:rPr>
                <w:kern w:val="0"/>
                <w:sz w:val="24"/>
              </w:rPr>
            </w:pPr>
            <w:r>
              <w:rPr>
                <w:kern w:val="0"/>
                <w:sz w:val="24"/>
              </w:rPr>
              <w:t>6200—6400</w:t>
            </w:r>
          </w:p>
        </w:tc>
        <w:tc>
          <w:tcPr>
            <w:tcW w:w="1937" w:type="dxa"/>
            <w:vAlign w:val="center"/>
          </w:tcPr>
          <w:p w14:paraId="2D542C70">
            <w:pPr>
              <w:jc w:val="center"/>
              <w:rPr>
                <w:kern w:val="0"/>
                <w:sz w:val="24"/>
              </w:rPr>
            </w:pPr>
          </w:p>
        </w:tc>
      </w:tr>
      <w:tr w14:paraId="1CD1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08E18C9F">
            <w:pPr>
              <w:jc w:val="center"/>
              <w:rPr>
                <w:kern w:val="0"/>
                <w:sz w:val="24"/>
              </w:rPr>
            </w:pPr>
            <w:r>
              <w:rPr>
                <w:kern w:val="0"/>
                <w:sz w:val="24"/>
              </w:rPr>
              <w:t>15</w:t>
            </w:r>
          </w:p>
        </w:tc>
        <w:tc>
          <w:tcPr>
            <w:tcW w:w="3183" w:type="dxa"/>
            <w:vAlign w:val="center"/>
          </w:tcPr>
          <w:p w14:paraId="135A9C7A">
            <w:pPr>
              <w:jc w:val="center"/>
              <w:rPr>
                <w:kern w:val="0"/>
                <w:sz w:val="24"/>
              </w:rPr>
            </w:pPr>
            <w:r>
              <w:rPr>
                <w:kern w:val="0"/>
                <w:sz w:val="24"/>
              </w:rPr>
              <w:t>普通面点师</w:t>
            </w:r>
          </w:p>
        </w:tc>
        <w:tc>
          <w:tcPr>
            <w:tcW w:w="1071" w:type="dxa"/>
            <w:vAlign w:val="center"/>
          </w:tcPr>
          <w:p w14:paraId="00D7A7E3">
            <w:pPr>
              <w:jc w:val="center"/>
              <w:rPr>
                <w:kern w:val="0"/>
                <w:sz w:val="24"/>
              </w:rPr>
            </w:pPr>
            <w:r>
              <w:rPr>
                <w:kern w:val="0"/>
                <w:sz w:val="24"/>
              </w:rPr>
              <w:t>2</w:t>
            </w:r>
          </w:p>
        </w:tc>
        <w:tc>
          <w:tcPr>
            <w:tcW w:w="2336" w:type="dxa"/>
            <w:vAlign w:val="center"/>
          </w:tcPr>
          <w:p w14:paraId="132E63A4">
            <w:pPr>
              <w:jc w:val="center"/>
              <w:rPr>
                <w:kern w:val="0"/>
                <w:sz w:val="24"/>
              </w:rPr>
            </w:pPr>
            <w:r>
              <w:rPr>
                <w:kern w:val="0"/>
                <w:sz w:val="24"/>
              </w:rPr>
              <w:t>6000—6200</w:t>
            </w:r>
          </w:p>
        </w:tc>
        <w:tc>
          <w:tcPr>
            <w:tcW w:w="1937" w:type="dxa"/>
            <w:vAlign w:val="center"/>
          </w:tcPr>
          <w:p w14:paraId="1E95B6C7">
            <w:pPr>
              <w:jc w:val="center"/>
              <w:rPr>
                <w:kern w:val="0"/>
                <w:sz w:val="24"/>
              </w:rPr>
            </w:pPr>
          </w:p>
        </w:tc>
      </w:tr>
      <w:tr w14:paraId="7686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5C8456CE">
            <w:pPr>
              <w:jc w:val="center"/>
              <w:rPr>
                <w:kern w:val="0"/>
                <w:sz w:val="24"/>
              </w:rPr>
            </w:pPr>
            <w:r>
              <w:rPr>
                <w:kern w:val="0"/>
                <w:sz w:val="24"/>
              </w:rPr>
              <w:t>16</w:t>
            </w:r>
          </w:p>
        </w:tc>
        <w:tc>
          <w:tcPr>
            <w:tcW w:w="3183" w:type="dxa"/>
            <w:vAlign w:val="center"/>
          </w:tcPr>
          <w:p w14:paraId="0D6640CF">
            <w:pPr>
              <w:jc w:val="center"/>
              <w:rPr>
                <w:kern w:val="0"/>
                <w:sz w:val="24"/>
              </w:rPr>
            </w:pPr>
            <w:r>
              <w:rPr>
                <w:kern w:val="0"/>
                <w:sz w:val="24"/>
              </w:rPr>
              <w:t>营养辅助员</w:t>
            </w:r>
          </w:p>
        </w:tc>
        <w:tc>
          <w:tcPr>
            <w:tcW w:w="1071" w:type="dxa"/>
            <w:vAlign w:val="center"/>
          </w:tcPr>
          <w:p w14:paraId="59A2AC87">
            <w:pPr>
              <w:jc w:val="center"/>
              <w:rPr>
                <w:kern w:val="0"/>
                <w:sz w:val="24"/>
              </w:rPr>
            </w:pPr>
            <w:r>
              <w:rPr>
                <w:kern w:val="0"/>
                <w:sz w:val="24"/>
              </w:rPr>
              <w:t>1</w:t>
            </w:r>
          </w:p>
        </w:tc>
        <w:tc>
          <w:tcPr>
            <w:tcW w:w="2336" w:type="dxa"/>
            <w:vAlign w:val="center"/>
          </w:tcPr>
          <w:p w14:paraId="4BA59A66">
            <w:pPr>
              <w:jc w:val="center"/>
              <w:rPr>
                <w:kern w:val="0"/>
                <w:sz w:val="24"/>
              </w:rPr>
            </w:pPr>
            <w:r>
              <w:rPr>
                <w:kern w:val="0"/>
                <w:sz w:val="24"/>
              </w:rPr>
              <w:t>5100—5300</w:t>
            </w:r>
          </w:p>
        </w:tc>
        <w:tc>
          <w:tcPr>
            <w:tcW w:w="1937" w:type="dxa"/>
            <w:vAlign w:val="center"/>
          </w:tcPr>
          <w:p w14:paraId="0ECF6A60">
            <w:pPr>
              <w:jc w:val="center"/>
              <w:rPr>
                <w:kern w:val="0"/>
                <w:sz w:val="24"/>
              </w:rPr>
            </w:pPr>
          </w:p>
        </w:tc>
      </w:tr>
      <w:tr w14:paraId="2EB0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4E465B7F">
            <w:pPr>
              <w:jc w:val="center"/>
              <w:rPr>
                <w:rFonts w:hint="default" w:eastAsia="宋体"/>
                <w:kern w:val="0"/>
                <w:sz w:val="24"/>
                <w:lang w:val="en-US" w:eastAsia="zh-CN"/>
              </w:rPr>
            </w:pPr>
            <w:r>
              <w:rPr>
                <w:rFonts w:hint="eastAsia"/>
                <w:kern w:val="0"/>
                <w:sz w:val="24"/>
                <w:lang w:val="en-US" w:eastAsia="zh-CN"/>
              </w:rPr>
              <w:t>17</w:t>
            </w:r>
          </w:p>
        </w:tc>
        <w:tc>
          <w:tcPr>
            <w:tcW w:w="3183" w:type="dxa"/>
            <w:vAlign w:val="center"/>
          </w:tcPr>
          <w:p w14:paraId="713FB1F3">
            <w:pPr>
              <w:jc w:val="center"/>
              <w:rPr>
                <w:rFonts w:hint="eastAsia" w:eastAsia="宋体"/>
                <w:kern w:val="0"/>
                <w:sz w:val="24"/>
                <w:lang w:eastAsia="zh-CN"/>
              </w:rPr>
            </w:pPr>
            <w:r>
              <w:rPr>
                <w:rFonts w:hint="eastAsia"/>
                <w:kern w:val="0"/>
                <w:sz w:val="24"/>
                <w:lang w:eastAsia="zh-CN"/>
              </w:rPr>
              <w:t>超声辅助员</w:t>
            </w:r>
          </w:p>
        </w:tc>
        <w:tc>
          <w:tcPr>
            <w:tcW w:w="1071" w:type="dxa"/>
            <w:vAlign w:val="center"/>
          </w:tcPr>
          <w:p w14:paraId="0F01CA10">
            <w:pPr>
              <w:jc w:val="center"/>
              <w:rPr>
                <w:rFonts w:hint="eastAsia" w:eastAsia="宋体"/>
                <w:kern w:val="0"/>
                <w:sz w:val="24"/>
                <w:highlight w:val="none"/>
                <w:lang w:val="en-US" w:eastAsia="zh-CN"/>
              </w:rPr>
            </w:pPr>
            <w:r>
              <w:rPr>
                <w:rFonts w:hint="eastAsia"/>
                <w:kern w:val="0"/>
                <w:sz w:val="24"/>
                <w:highlight w:val="none"/>
                <w:lang w:val="en-US" w:eastAsia="zh-CN"/>
              </w:rPr>
              <w:t>2</w:t>
            </w:r>
          </w:p>
        </w:tc>
        <w:tc>
          <w:tcPr>
            <w:tcW w:w="2336" w:type="dxa"/>
            <w:vAlign w:val="center"/>
          </w:tcPr>
          <w:p w14:paraId="5B6648FF">
            <w:pPr>
              <w:jc w:val="center"/>
              <w:rPr>
                <w:rFonts w:hint="default" w:eastAsia="宋体"/>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5400—5600</w:t>
            </w:r>
          </w:p>
        </w:tc>
        <w:tc>
          <w:tcPr>
            <w:tcW w:w="1937" w:type="dxa"/>
            <w:vAlign w:val="center"/>
          </w:tcPr>
          <w:p w14:paraId="14787DCF">
            <w:pPr>
              <w:jc w:val="center"/>
              <w:rPr>
                <w:kern w:val="0"/>
                <w:sz w:val="24"/>
              </w:rPr>
            </w:pPr>
          </w:p>
        </w:tc>
      </w:tr>
      <w:tr w14:paraId="4AB2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52" w:type="dxa"/>
            <w:vAlign w:val="center"/>
          </w:tcPr>
          <w:p w14:paraId="65E8C8E6">
            <w:pPr>
              <w:jc w:val="center"/>
              <w:rPr>
                <w:rFonts w:hint="default" w:eastAsia="宋体"/>
                <w:kern w:val="0"/>
                <w:sz w:val="24"/>
                <w:lang w:val="en-US" w:eastAsia="zh-CN"/>
              </w:rPr>
            </w:pPr>
            <w:r>
              <w:rPr>
                <w:rFonts w:hint="eastAsia"/>
                <w:kern w:val="0"/>
                <w:sz w:val="24"/>
                <w:lang w:val="en-US" w:eastAsia="zh-CN"/>
              </w:rPr>
              <w:t>18</w:t>
            </w:r>
          </w:p>
        </w:tc>
        <w:tc>
          <w:tcPr>
            <w:tcW w:w="3183" w:type="dxa"/>
            <w:vAlign w:val="center"/>
          </w:tcPr>
          <w:p w14:paraId="45E20DEA">
            <w:pPr>
              <w:jc w:val="center"/>
              <w:rPr>
                <w:rFonts w:hint="eastAsia" w:eastAsia="宋体"/>
                <w:kern w:val="0"/>
                <w:sz w:val="24"/>
                <w:lang w:eastAsia="zh-CN"/>
              </w:rPr>
            </w:pPr>
            <w:r>
              <w:rPr>
                <w:rFonts w:hint="eastAsia"/>
                <w:kern w:val="0"/>
                <w:sz w:val="24"/>
                <w:lang w:eastAsia="zh-CN"/>
              </w:rPr>
              <w:t>导医引导员</w:t>
            </w:r>
          </w:p>
        </w:tc>
        <w:tc>
          <w:tcPr>
            <w:tcW w:w="1071" w:type="dxa"/>
            <w:vAlign w:val="center"/>
          </w:tcPr>
          <w:p w14:paraId="2C805550">
            <w:pPr>
              <w:jc w:val="center"/>
              <w:rPr>
                <w:rFonts w:hint="eastAsia" w:eastAsia="宋体"/>
                <w:kern w:val="0"/>
                <w:sz w:val="24"/>
                <w:highlight w:val="none"/>
                <w:lang w:val="en-US" w:eastAsia="zh-CN"/>
              </w:rPr>
            </w:pPr>
            <w:r>
              <w:rPr>
                <w:rFonts w:hint="eastAsia"/>
                <w:kern w:val="0"/>
                <w:sz w:val="24"/>
                <w:highlight w:val="none"/>
                <w:lang w:val="en-US" w:eastAsia="zh-CN"/>
              </w:rPr>
              <w:t>3</w:t>
            </w:r>
          </w:p>
        </w:tc>
        <w:tc>
          <w:tcPr>
            <w:tcW w:w="2336" w:type="dxa"/>
            <w:vAlign w:val="center"/>
          </w:tcPr>
          <w:p w14:paraId="477DFC45">
            <w:pPr>
              <w:jc w:val="center"/>
              <w:rPr>
                <w:color w:val="FFFF00"/>
                <w:kern w:val="0"/>
                <w:sz w:val="24"/>
              </w:rPr>
            </w:pPr>
            <w:r>
              <w:rPr>
                <w:rFonts w:hint="eastAsia"/>
                <w:color w:val="000000" w:themeColor="text1"/>
                <w:kern w:val="0"/>
                <w:sz w:val="24"/>
                <w:lang w:val="en-US" w:eastAsia="zh-CN"/>
                <w14:textFill>
                  <w14:solidFill>
                    <w14:schemeClr w14:val="tx1"/>
                  </w14:solidFill>
                </w14:textFill>
              </w:rPr>
              <w:t>5400—5600</w:t>
            </w:r>
          </w:p>
        </w:tc>
        <w:tc>
          <w:tcPr>
            <w:tcW w:w="1937" w:type="dxa"/>
            <w:vAlign w:val="center"/>
          </w:tcPr>
          <w:p w14:paraId="1F1DB1A2">
            <w:pPr>
              <w:jc w:val="center"/>
              <w:rPr>
                <w:kern w:val="0"/>
                <w:sz w:val="24"/>
              </w:rPr>
            </w:pPr>
          </w:p>
        </w:tc>
      </w:tr>
      <w:tr w14:paraId="622C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52" w:type="dxa"/>
            <w:vAlign w:val="center"/>
          </w:tcPr>
          <w:p w14:paraId="08F2528A">
            <w:pPr>
              <w:jc w:val="center"/>
              <w:rPr>
                <w:rFonts w:hint="default" w:eastAsia="宋体"/>
                <w:kern w:val="0"/>
                <w:sz w:val="24"/>
                <w:lang w:val="en-US" w:eastAsia="zh-CN"/>
              </w:rPr>
            </w:pPr>
            <w:r>
              <w:rPr>
                <w:rFonts w:hint="eastAsia"/>
                <w:kern w:val="0"/>
                <w:sz w:val="24"/>
                <w:lang w:val="en-US" w:eastAsia="zh-CN"/>
              </w:rPr>
              <w:t>19</w:t>
            </w:r>
          </w:p>
        </w:tc>
        <w:tc>
          <w:tcPr>
            <w:tcW w:w="3183" w:type="dxa"/>
            <w:vAlign w:val="center"/>
          </w:tcPr>
          <w:p w14:paraId="3D3812ED">
            <w:pPr>
              <w:jc w:val="center"/>
              <w:rPr>
                <w:rFonts w:hint="eastAsia" w:eastAsia="宋体"/>
                <w:kern w:val="0"/>
                <w:sz w:val="24"/>
                <w:lang w:eastAsia="zh-CN"/>
              </w:rPr>
            </w:pPr>
            <w:r>
              <w:rPr>
                <w:rFonts w:hint="eastAsia"/>
                <w:kern w:val="0"/>
                <w:sz w:val="24"/>
                <w:lang w:val="en-US" w:eastAsia="zh-CN"/>
              </w:rPr>
              <w:t>停车收费</w:t>
            </w:r>
            <w:r>
              <w:rPr>
                <w:rFonts w:hint="eastAsia"/>
                <w:kern w:val="0"/>
                <w:sz w:val="24"/>
                <w:lang w:eastAsia="zh-CN"/>
              </w:rPr>
              <w:t>员</w:t>
            </w:r>
          </w:p>
        </w:tc>
        <w:tc>
          <w:tcPr>
            <w:tcW w:w="1071" w:type="dxa"/>
            <w:vAlign w:val="center"/>
          </w:tcPr>
          <w:p w14:paraId="4DB76252">
            <w:pPr>
              <w:jc w:val="center"/>
              <w:rPr>
                <w:rFonts w:hint="default" w:eastAsia="宋体"/>
                <w:kern w:val="0"/>
                <w:sz w:val="24"/>
                <w:highlight w:val="none"/>
                <w:lang w:val="en-US" w:eastAsia="zh-CN"/>
              </w:rPr>
            </w:pPr>
            <w:r>
              <w:rPr>
                <w:rFonts w:hint="eastAsia"/>
                <w:kern w:val="0"/>
                <w:sz w:val="24"/>
                <w:highlight w:val="none"/>
                <w:lang w:val="en-US" w:eastAsia="zh-CN"/>
              </w:rPr>
              <w:t>2</w:t>
            </w:r>
          </w:p>
        </w:tc>
        <w:tc>
          <w:tcPr>
            <w:tcW w:w="2336" w:type="dxa"/>
            <w:vAlign w:val="center"/>
          </w:tcPr>
          <w:p w14:paraId="0A8F3CC5">
            <w:pPr>
              <w:jc w:val="center"/>
              <w:rPr>
                <w:color w:val="FFFF00"/>
                <w:kern w:val="0"/>
                <w:sz w:val="24"/>
              </w:rPr>
            </w:pPr>
            <w:r>
              <w:rPr>
                <w:rFonts w:hint="eastAsia"/>
                <w:color w:val="000000" w:themeColor="text1"/>
                <w:kern w:val="0"/>
                <w:sz w:val="24"/>
                <w:lang w:val="en-US" w:eastAsia="zh-CN"/>
                <w14:textFill>
                  <w14:solidFill>
                    <w14:schemeClr w14:val="tx1"/>
                  </w14:solidFill>
                </w14:textFill>
              </w:rPr>
              <w:t>5400—5600</w:t>
            </w:r>
          </w:p>
        </w:tc>
        <w:tc>
          <w:tcPr>
            <w:tcW w:w="1937" w:type="dxa"/>
            <w:vAlign w:val="center"/>
          </w:tcPr>
          <w:p w14:paraId="419CA192">
            <w:pPr>
              <w:jc w:val="center"/>
              <w:rPr>
                <w:kern w:val="0"/>
                <w:sz w:val="24"/>
              </w:rPr>
            </w:pPr>
          </w:p>
        </w:tc>
      </w:tr>
      <w:tr w14:paraId="560A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52" w:type="dxa"/>
            <w:vAlign w:val="center"/>
          </w:tcPr>
          <w:p w14:paraId="432335B1">
            <w:pPr>
              <w:jc w:val="center"/>
              <w:rPr>
                <w:rFonts w:hint="default"/>
                <w:kern w:val="0"/>
                <w:sz w:val="24"/>
                <w:lang w:val="en-US" w:eastAsia="zh-CN"/>
              </w:rPr>
            </w:pPr>
            <w:r>
              <w:rPr>
                <w:rFonts w:hint="eastAsia"/>
                <w:kern w:val="0"/>
                <w:sz w:val="24"/>
                <w:lang w:val="en-US" w:eastAsia="zh-CN"/>
              </w:rPr>
              <w:t>20</w:t>
            </w:r>
          </w:p>
        </w:tc>
        <w:tc>
          <w:tcPr>
            <w:tcW w:w="3183" w:type="dxa"/>
            <w:vAlign w:val="center"/>
          </w:tcPr>
          <w:p w14:paraId="29A18360">
            <w:pPr>
              <w:jc w:val="center"/>
              <w:rPr>
                <w:rFonts w:hint="default"/>
                <w:kern w:val="0"/>
                <w:sz w:val="24"/>
                <w:lang w:val="en-US" w:eastAsia="zh-CN"/>
              </w:rPr>
            </w:pPr>
            <w:r>
              <w:rPr>
                <w:rFonts w:hint="eastAsia"/>
                <w:kern w:val="0"/>
                <w:sz w:val="24"/>
                <w:lang w:val="en-US" w:eastAsia="zh-CN"/>
              </w:rPr>
              <w:t>病案室窗口工作人员</w:t>
            </w:r>
          </w:p>
        </w:tc>
        <w:tc>
          <w:tcPr>
            <w:tcW w:w="1071" w:type="dxa"/>
            <w:vAlign w:val="center"/>
          </w:tcPr>
          <w:p w14:paraId="5BC49821">
            <w:pPr>
              <w:jc w:val="center"/>
              <w:rPr>
                <w:rFonts w:hint="default"/>
                <w:kern w:val="0"/>
                <w:sz w:val="24"/>
                <w:highlight w:val="none"/>
                <w:lang w:val="en-US" w:eastAsia="zh-CN"/>
              </w:rPr>
            </w:pPr>
            <w:r>
              <w:rPr>
                <w:rFonts w:hint="eastAsia"/>
                <w:kern w:val="0"/>
                <w:sz w:val="24"/>
                <w:highlight w:val="none"/>
                <w:lang w:val="en-US" w:eastAsia="zh-CN"/>
              </w:rPr>
              <w:t>1</w:t>
            </w:r>
          </w:p>
        </w:tc>
        <w:tc>
          <w:tcPr>
            <w:tcW w:w="2336" w:type="dxa"/>
            <w:vAlign w:val="center"/>
          </w:tcPr>
          <w:p w14:paraId="5D32DD83">
            <w:pPr>
              <w:jc w:val="center"/>
              <w:rPr>
                <w:rFonts w:hint="default"/>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4600—4800</w:t>
            </w:r>
          </w:p>
        </w:tc>
        <w:tc>
          <w:tcPr>
            <w:tcW w:w="1937" w:type="dxa"/>
            <w:vAlign w:val="center"/>
          </w:tcPr>
          <w:p w14:paraId="13D2F3B7">
            <w:pPr>
              <w:jc w:val="center"/>
              <w:rPr>
                <w:kern w:val="0"/>
                <w:sz w:val="24"/>
              </w:rPr>
            </w:pPr>
          </w:p>
        </w:tc>
      </w:tr>
    </w:tbl>
    <w:p w14:paraId="08940B70">
      <w:pPr>
        <w:snapToGrid w:val="0"/>
        <w:spacing w:line="360" w:lineRule="auto"/>
        <w:ind w:firstLine="120" w:firstLineChars="50"/>
        <w:rPr>
          <w:sz w:val="24"/>
        </w:rPr>
      </w:pPr>
    </w:p>
    <w:p w14:paraId="3B1FEDB7">
      <w:pPr>
        <w:snapToGrid w:val="0"/>
        <w:spacing w:line="360" w:lineRule="auto"/>
        <w:ind w:firstLine="600" w:firstLineChars="250"/>
        <w:rPr>
          <w:color w:val="000000"/>
          <w:sz w:val="24"/>
        </w:rPr>
      </w:pPr>
      <w:r>
        <w:rPr>
          <w:sz w:val="24"/>
        </w:rPr>
        <w:t>1、</w:t>
      </w:r>
      <w:r>
        <w:rPr>
          <w:color w:val="000000"/>
          <w:sz w:val="24"/>
        </w:rPr>
        <w:t>根据医院的要求，投标人应为本项目配备足够人员，并配备统一的工作服及工牌，本项目投标人须指定一名项目负责人（除人员配备岗位表外）与招标人在服务期内进行工作对接和安排，服务期内投标人不得更换项目负责人。为了统一报价标准，本次招标各投标人按照人员配备岗位表进行报价。</w:t>
      </w:r>
    </w:p>
    <w:p w14:paraId="0FF77422">
      <w:pPr>
        <w:spacing w:line="360" w:lineRule="auto"/>
        <w:ind w:firstLine="480" w:firstLineChars="200"/>
        <w:jc w:val="left"/>
        <w:rPr>
          <w:sz w:val="24"/>
          <w:u w:val="single"/>
        </w:rPr>
      </w:pPr>
      <w:r>
        <w:rPr>
          <w:sz w:val="24"/>
        </w:rPr>
        <w:t>2、</w:t>
      </w:r>
      <w:r>
        <w:rPr>
          <w:color w:val="000000"/>
          <w:sz w:val="24"/>
        </w:rPr>
        <w:t>投标报价</w:t>
      </w:r>
      <w:r>
        <w:rPr>
          <w:color w:val="000000"/>
          <w:kern w:val="0"/>
          <w:sz w:val="24"/>
        </w:rPr>
        <w:t>包括但不限于人工成本（人员工资、奖金、社保、各种加班费等）、员工住宿费、保险费、体检费、服装费、管理费、利润、</w:t>
      </w:r>
      <w:r>
        <w:rPr>
          <w:b/>
          <w:bCs/>
          <w:snapToGrid w:val="0"/>
          <w:color w:val="000000"/>
          <w:kern w:val="0"/>
          <w:sz w:val="24"/>
        </w:rPr>
        <w:t>税金（包含须由投标人承担的各种税费）、其它需投标人承担的</w:t>
      </w:r>
      <w:r>
        <w:rPr>
          <w:b/>
          <w:bCs/>
          <w:snapToGrid w:val="0"/>
          <w:kern w:val="0"/>
          <w:sz w:val="24"/>
        </w:rPr>
        <w:t>费用及潜在可能涉及的一切费用</w:t>
      </w:r>
      <w:r>
        <w:rPr>
          <w:rFonts w:hint="eastAsia"/>
          <w:b/>
          <w:bCs/>
          <w:snapToGrid w:val="0"/>
          <w:kern w:val="0"/>
          <w:sz w:val="24"/>
          <w:lang w:eastAsia="zh-CN"/>
        </w:rPr>
        <w:t>，</w:t>
      </w:r>
      <w:r>
        <w:rPr>
          <w:rFonts w:hint="eastAsia"/>
          <w:b/>
          <w:bCs/>
          <w:snapToGrid w:val="0"/>
          <w:kern w:val="0"/>
          <w:sz w:val="24"/>
        </w:rPr>
        <w:t>合同明确约定可以另行收取的费用</w:t>
      </w:r>
      <w:r>
        <w:rPr>
          <w:rFonts w:hint="eastAsia"/>
          <w:b/>
          <w:bCs/>
          <w:snapToGrid w:val="0"/>
          <w:kern w:val="0"/>
          <w:sz w:val="24"/>
          <w:lang w:val="en-US" w:eastAsia="zh-CN"/>
        </w:rPr>
        <w:t>除</w:t>
      </w:r>
      <w:r>
        <w:rPr>
          <w:rFonts w:hint="eastAsia"/>
          <w:b/>
          <w:bCs/>
          <w:snapToGrid w:val="0"/>
          <w:kern w:val="0"/>
          <w:sz w:val="24"/>
        </w:rPr>
        <w:t>外</w:t>
      </w:r>
      <w:r>
        <w:rPr>
          <w:b/>
          <w:bCs/>
          <w:snapToGrid w:val="0"/>
          <w:kern w:val="0"/>
          <w:sz w:val="24"/>
        </w:rPr>
        <w:t>。投标总价中包含</w:t>
      </w:r>
      <w:r>
        <w:rPr>
          <w:b/>
          <w:sz w:val="24"/>
        </w:rPr>
        <w:t>年社保费（含五险一金）。</w:t>
      </w:r>
      <w:r>
        <w:rPr>
          <w:sz w:val="24"/>
          <w:u w:val="single"/>
        </w:rPr>
        <w:t>如遇国家相关用工政策调整（最低工资、社保等）则双方协商后予以相应调整。</w:t>
      </w:r>
    </w:p>
    <w:p w14:paraId="65D7DBC6">
      <w:pPr>
        <w:snapToGrid w:val="0"/>
        <w:spacing w:line="360" w:lineRule="auto"/>
        <w:ind w:firstLine="480" w:firstLineChars="200"/>
        <w:rPr>
          <w:color w:val="000000"/>
          <w:sz w:val="24"/>
        </w:rPr>
      </w:pPr>
      <w:r>
        <w:rPr>
          <w:color w:val="000000"/>
          <w:sz w:val="24"/>
        </w:rPr>
        <w:t>3、核算过程必须符合国家的《民法典》、</w:t>
      </w:r>
      <w:r>
        <w:rPr>
          <w:rFonts w:hint="eastAsia"/>
          <w:color w:val="000000"/>
          <w:sz w:val="24"/>
          <w:lang w:eastAsia="zh-Hans"/>
        </w:rPr>
        <w:t>《劳动法》、</w:t>
      </w:r>
      <w:r>
        <w:rPr>
          <w:color w:val="000000"/>
          <w:sz w:val="24"/>
        </w:rPr>
        <w:t>《劳动合同法》、《社会保障法》等法规的要求。因工作原因产生的加班（提早上班、延时下班、法定节假日加班）应严格按国家有关法律、法规要求的标准给付员工加班薪资费用。</w:t>
      </w:r>
    </w:p>
    <w:p w14:paraId="4D6DC379">
      <w:pPr>
        <w:snapToGrid w:val="0"/>
        <w:spacing w:line="360" w:lineRule="auto"/>
        <w:ind w:firstLine="480" w:firstLineChars="200"/>
        <w:rPr>
          <w:color w:val="000000"/>
          <w:sz w:val="24"/>
        </w:rPr>
      </w:pPr>
      <w:r>
        <w:rPr>
          <w:color w:val="000000"/>
          <w:sz w:val="24"/>
        </w:rPr>
        <w:t>4、按照《人员费用表》配置，投标人在附表中描述各岗位人员职责和核算各岗位人员的费用并计算总费用及人均月费用，在实际运作过程双方按照本报价中的实际在岗人数核算人员费用，人员费用应按照下表进行核算。</w:t>
      </w:r>
    </w:p>
    <w:tbl>
      <w:tblPr>
        <w:tblStyle w:val="6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7"/>
        <w:gridCol w:w="2371"/>
        <w:gridCol w:w="587"/>
        <w:gridCol w:w="746"/>
        <w:gridCol w:w="746"/>
        <w:gridCol w:w="921"/>
        <w:gridCol w:w="739"/>
        <w:gridCol w:w="739"/>
        <w:gridCol w:w="567"/>
        <w:gridCol w:w="740"/>
        <w:gridCol w:w="543"/>
      </w:tblGrid>
      <w:tr w14:paraId="4E9F0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Align w:val="center"/>
          </w:tcPr>
          <w:p w14:paraId="44EED73D">
            <w:pPr>
              <w:spacing w:line="360" w:lineRule="auto"/>
              <w:jc w:val="center"/>
              <w:rPr>
                <w:color w:val="000000"/>
                <w:sz w:val="24"/>
              </w:rPr>
            </w:pPr>
            <w:r>
              <w:rPr>
                <w:color w:val="000000"/>
                <w:sz w:val="24"/>
              </w:rPr>
              <w:t>序号</w:t>
            </w:r>
          </w:p>
        </w:tc>
        <w:tc>
          <w:tcPr>
            <w:tcW w:w="0" w:type="auto"/>
            <w:vAlign w:val="center"/>
          </w:tcPr>
          <w:p w14:paraId="27C6F69F">
            <w:pPr>
              <w:spacing w:line="360" w:lineRule="auto"/>
              <w:jc w:val="center"/>
              <w:rPr>
                <w:color w:val="000000"/>
                <w:sz w:val="24"/>
              </w:rPr>
            </w:pPr>
            <w:r>
              <w:rPr>
                <w:color w:val="000000"/>
                <w:sz w:val="24"/>
              </w:rPr>
              <w:t>岗位</w:t>
            </w:r>
          </w:p>
        </w:tc>
        <w:tc>
          <w:tcPr>
            <w:tcW w:w="0" w:type="auto"/>
            <w:vAlign w:val="center"/>
          </w:tcPr>
          <w:p w14:paraId="05F5892D">
            <w:pPr>
              <w:spacing w:line="360" w:lineRule="auto"/>
              <w:jc w:val="center"/>
              <w:rPr>
                <w:color w:val="000000"/>
                <w:sz w:val="24"/>
              </w:rPr>
            </w:pPr>
            <w:r>
              <w:rPr>
                <w:color w:val="000000"/>
                <w:sz w:val="24"/>
              </w:rPr>
              <w:t>人数</w:t>
            </w:r>
          </w:p>
        </w:tc>
        <w:tc>
          <w:tcPr>
            <w:tcW w:w="0" w:type="auto"/>
            <w:vAlign w:val="center"/>
          </w:tcPr>
          <w:p w14:paraId="71990F0F">
            <w:pPr>
              <w:spacing w:line="360" w:lineRule="auto"/>
              <w:jc w:val="center"/>
              <w:rPr>
                <w:color w:val="000000"/>
                <w:sz w:val="24"/>
              </w:rPr>
            </w:pPr>
            <w:r>
              <w:rPr>
                <w:color w:val="000000"/>
                <w:sz w:val="24"/>
              </w:rPr>
              <w:t>月工资</w:t>
            </w:r>
          </w:p>
          <w:p w14:paraId="7D0032FF">
            <w:pPr>
              <w:spacing w:line="360" w:lineRule="auto"/>
              <w:jc w:val="center"/>
              <w:rPr>
                <w:color w:val="000000"/>
                <w:sz w:val="24"/>
              </w:rPr>
            </w:pPr>
            <w:r>
              <w:rPr>
                <w:color w:val="000000"/>
                <w:sz w:val="24"/>
              </w:rPr>
              <w:t>元/月/人</w:t>
            </w:r>
          </w:p>
        </w:tc>
        <w:tc>
          <w:tcPr>
            <w:tcW w:w="0" w:type="auto"/>
            <w:vAlign w:val="center"/>
          </w:tcPr>
          <w:p w14:paraId="65C18893">
            <w:pPr>
              <w:spacing w:line="360" w:lineRule="auto"/>
              <w:jc w:val="center"/>
              <w:rPr>
                <w:color w:val="000000"/>
                <w:sz w:val="24"/>
              </w:rPr>
            </w:pPr>
            <w:r>
              <w:rPr>
                <w:color w:val="000000"/>
                <w:sz w:val="24"/>
              </w:rPr>
              <w:t>年</w:t>
            </w:r>
          </w:p>
          <w:p w14:paraId="0A5BCE50">
            <w:pPr>
              <w:spacing w:line="360" w:lineRule="auto"/>
              <w:jc w:val="center"/>
              <w:rPr>
                <w:color w:val="000000"/>
                <w:sz w:val="24"/>
              </w:rPr>
            </w:pPr>
            <w:r>
              <w:rPr>
                <w:color w:val="000000"/>
                <w:sz w:val="24"/>
              </w:rPr>
              <w:t>工资</w:t>
            </w:r>
          </w:p>
          <w:p w14:paraId="5C371CDE">
            <w:pPr>
              <w:spacing w:line="360" w:lineRule="auto"/>
              <w:jc w:val="center"/>
              <w:rPr>
                <w:color w:val="000000"/>
                <w:sz w:val="24"/>
              </w:rPr>
            </w:pPr>
            <w:r>
              <w:rPr>
                <w:color w:val="000000"/>
                <w:sz w:val="24"/>
              </w:rPr>
              <w:t>元/年/人</w:t>
            </w:r>
          </w:p>
        </w:tc>
        <w:tc>
          <w:tcPr>
            <w:tcW w:w="0" w:type="auto"/>
            <w:vAlign w:val="center"/>
          </w:tcPr>
          <w:p w14:paraId="26F0B5C6">
            <w:pPr>
              <w:spacing w:line="360" w:lineRule="auto"/>
              <w:jc w:val="center"/>
              <w:rPr>
                <w:color w:val="000000"/>
                <w:sz w:val="24"/>
              </w:rPr>
            </w:pPr>
            <w:r>
              <w:rPr>
                <w:color w:val="000000"/>
                <w:sz w:val="24"/>
              </w:rPr>
              <w:t>年终绩效/人</w:t>
            </w:r>
          </w:p>
        </w:tc>
        <w:tc>
          <w:tcPr>
            <w:tcW w:w="0" w:type="auto"/>
            <w:vAlign w:val="center"/>
          </w:tcPr>
          <w:p w14:paraId="34F8554A">
            <w:pPr>
              <w:spacing w:line="360" w:lineRule="auto"/>
              <w:jc w:val="center"/>
              <w:rPr>
                <w:color w:val="000000"/>
                <w:sz w:val="24"/>
              </w:rPr>
            </w:pPr>
            <w:r>
              <w:rPr>
                <w:color w:val="000000"/>
                <w:sz w:val="24"/>
              </w:rPr>
              <w:t>年福利及</w:t>
            </w:r>
          </w:p>
          <w:p w14:paraId="4B75FED1">
            <w:pPr>
              <w:spacing w:line="360" w:lineRule="auto"/>
              <w:jc w:val="center"/>
              <w:rPr>
                <w:color w:val="000000"/>
                <w:sz w:val="24"/>
              </w:rPr>
            </w:pPr>
            <w:r>
              <w:rPr>
                <w:color w:val="000000"/>
                <w:sz w:val="24"/>
              </w:rPr>
              <w:t>高温费/人</w:t>
            </w:r>
          </w:p>
        </w:tc>
        <w:tc>
          <w:tcPr>
            <w:tcW w:w="0" w:type="auto"/>
            <w:vAlign w:val="center"/>
          </w:tcPr>
          <w:p w14:paraId="741932F6">
            <w:pPr>
              <w:spacing w:line="360" w:lineRule="auto"/>
              <w:jc w:val="center"/>
              <w:rPr>
                <w:color w:val="000000"/>
                <w:sz w:val="24"/>
              </w:rPr>
            </w:pPr>
            <w:r>
              <w:rPr>
                <w:color w:val="000000"/>
                <w:sz w:val="24"/>
              </w:rPr>
              <w:t>体检费/人</w:t>
            </w:r>
          </w:p>
        </w:tc>
        <w:tc>
          <w:tcPr>
            <w:tcW w:w="0" w:type="auto"/>
            <w:vAlign w:val="center"/>
          </w:tcPr>
          <w:p w14:paraId="1080FF7C">
            <w:pPr>
              <w:spacing w:line="360" w:lineRule="auto"/>
              <w:jc w:val="center"/>
              <w:rPr>
                <w:color w:val="000000"/>
                <w:sz w:val="24"/>
              </w:rPr>
            </w:pPr>
            <w:r>
              <w:rPr>
                <w:color w:val="000000"/>
                <w:sz w:val="24"/>
              </w:rPr>
              <w:t>年</w:t>
            </w:r>
          </w:p>
          <w:p w14:paraId="3C5DF980">
            <w:pPr>
              <w:spacing w:line="360" w:lineRule="auto"/>
              <w:jc w:val="center"/>
              <w:rPr>
                <w:color w:val="000000"/>
                <w:sz w:val="24"/>
              </w:rPr>
            </w:pPr>
            <w:r>
              <w:rPr>
                <w:color w:val="000000"/>
                <w:sz w:val="24"/>
              </w:rPr>
              <w:t>社保</w:t>
            </w:r>
          </w:p>
          <w:p w14:paraId="1BA743A4">
            <w:pPr>
              <w:spacing w:line="360" w:lineRule="auto"/>
              <w:jc w:val="center"/>
              <w:rPr>
                <w:color w:val="000000"/>
                <w:sz w:val="24"/>
              </w:rPr>
            </w:pPr>
            <w:r>
              <w:rPr>
                <w:color w:val="000000"/>
                <w:sz w:val="24"/>
              </w:rPr>
              <w:t>费/人</w:t>
            </w:r>
          </w:p>
        </w:tc>
        <w:tc>
          <w:tcPr>
            <w:tcW w:w="0" w:type="auto"/>
            <w:shd w:val="clear" w:color="auto" w:fill="auto"/>
            <w:vAlign w:val="center"/>
          </w:tcPr>
          <w:p w14:paraId="30C31738">
            <w:pPr>
              <w:spacing w:line="360" w:lineRule="auto"/>
              <w:jc w:val="center"/>
              <w:rPr>
                <w:rFonts w:ascii="Times New Roman" w:hAnsi="Times New Roman" w:eastAsia="宋体" w:cs="Times New Roman"/>
                <w:color w:val="000000"/>
                <w:kern w:val="2"/>
                <w:sz w:val="24"/>
                <w:szCs w:val="24"/>
                <w:lang w:val="en-US" w:eastAsia="zh-CN" w:bidi="ar-SA"/>
              </w:rPr>
            </w:pPr>
            <w:r>
              <w:rPr>
                <w:color w:val="000000"/>
                <w:sz w:val="24"/>
              </w:rPr>
              <w:t>年费用/人</w:t>
            </w:r>
          </w:p>
        </w:tc>
        <w:tc>
          <w:tcPr>
            <w:tcW w:w="0" w:type="auto"/>
            <w:shd w:val="clear" w:color="auto" w:fill="auto"/>
            <w:vAlign w:val="center"/>
          </w:tcPr>
          <w:p w14:paraId="36E58624">
            <w:pPr>
              <w:spacing w:line="360" w:lineRule="auto"/>
              <w:jc w:val="center"/>
              <w:rPr>
                <w:rFonts w:hint="default" w:ascii="Times New Roman" w:hAnsi="Times New Roman" w:eastAsia="宋体" w:cs="Times New Roman"/>
                <w:color w:val="000000"/>
                <w:kern w:val="2"/>
                <w:sz w:val="24"/>
                <w:szCs w:val="24"/>
                <w:lang w:val="en-US" w:eastAsia="zh-CN" w:bidi="ar-SA"/>
              </w:rPr>
            </w:pPr>
            <w:r>
              <w:rPr>
                <w:rFonts w:hint="eastAsia"/>
                <w:color w:val="000000"/>
                <w:sz w:val="24"/>
                <w:lang w:val="en-US" w:eastAsia="zh-CN"/>
              </w:rPr>
              <w:t>合计</w:t>
            </w:r>
          </w:p>
        </w:tc>
      </w:tr>
      <w:tr w14:paraId="138B7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488CFBBF">
            <w:pPr>
              <w:spacing w:line="360" w:lineRule="auto"/>
              <w:jc w:val="center"/>
              <w:rPr>
                <w:color w:val="000000"/>
                <w:sz w:val="24"/>
              </w:rPr>
            </w:pPr>
            <w:r>
              <w:rPr>
                <w:color w:val="000000"/>
                <w:sz w:val="24"/>
              </w:rPr>
              <w:t>1</w:t>
            </w:r>
          </w:p>
        </w:tc>
        <w:tc>
          <w:tcPr>
            <w:tcW w:w="0" w:type="auto"/>
            <w:vAlign w:val="center"/>
          </w:tcPr>
          <w:p w14:paraId="5861E348">
            <w:pPr>
              <w:spacing w:line="360" w:lineRule="auto"/>
              <w:jc w:val="center"/>
              <w:rPr>
                <w:color w:val="000000"/>
                <w:sz w:val="24"/>
              </w:rPr>
            </w:pPr>
            <w:r>
              <w:rPr>
                <w:color w:val="000000"/>
                <w:sz w:val="24"/>
              </w:rPr>
              <w:t>工程技术主管</w:t>
            </w:r>
          </w:p>
        </w:tc>
        <w:tc>
          <w:tcPr>
            <w:tcW w:w="0" w:type="auto"/>
            <w:vAlign w:val="center"/>
          </w:tcPr>
          <w:p w14:paraId="241DAD50">
            <w:pPr>
              <w:spacing w:line="360" w:lineRule="auto"/>
              <w:jc w:val="center"/>
              <w:rPr>
                <w:color w:val="000000"/>
                <w:sz w:val="24"/>
              </w:rPr>
            </w:pPr>
            <w:r>
              <w:rPr>
                <w:color w:val="000000"/>
                <w:sz w:val="24"/>
              </w:rPr>
              <w:t>1</w:t>
            </w:r>
          </w:p>
        </w:tc>
        <w:tc>
          <w:tcPr>
            <w:tcW w:w="0" w:type="auto"/>
            <w:vAlign w:val="center"/>
          </w:tcPr>
          <w:p w14:paraId="448A2BDC">
            <w:pPr>
              <w:spacing w:line="360" w:lineRule="auto"/>
              <w:jc w:val="center"/>
              <w:rPr>
                <w:color w:val="000000"/>
                <w:sz w:val="24"/>
              </w:rPr>
            </w:pPr>
          </w:p>
        </w:tc>
        <w:tc>
          <w:tcPr>
            <w:tcW w:w="0" w:type="auto"/>
            <w:vAlign w:val="center"/>
          </w:tcPr>
          <w:p w14:paraId="18DB5F56">
            <w:pPr>
              <w:spacing w:line="360" w:lineRule="auto"/>
              <w:jc w:val="center"/>
              <w:rPr>
                <w:color w:val="000000"/>
                <w:sz w:val="24"/>
              </w:rPr>
            </w:pPr>
          </w:p>
        </w:tc>
        <w:tc>
          <w:tcPr>
            <w:tcW w:w="0" w:type="auto"/>
            <w:vAlign w:val="center"/>
          </w:tcPr>
          <w:p w14:paraId="2BCC86CA">
            <w:pPr>
              <w:spacing w:line="360" w:lineRule="auto"/>
              <w:jc w:val="center"/>
              <w:rPr>
                <w:color w:val="000000"/>
                <w:sz w:val="24"/>
              </w:rPr>
            </w:pPr>
          </w:p>
        </w:tc>
        <w:tc>
          <w:tcPr>
            <w:tcW w:w="0" w:type="auto"/>
            <w:vAlign w:val="center"/>
          </w:tcPr>
          <w:p w14:paraId="1BB0A035">
            <w:pPr>
              <w:spacing w:line="360" w:lineRule="auto"/>
              <w:jc w:val="center"/>
              <w:rPr>
                <w:color w:val="000000"/>
                <w:sz w:val="24"/>
              </w:rPr>
            </w:pPr>
          </w:p>
        </w:tc>
        <w:tc>
          <w:tcPr>
            <w:tcW w:w="0" w:type="auto"/>
            <w:vAlign w:val="center"/>
          </w:tcPr>
          <w:p w14:paraId="3A91C735">
            <w:pPr>
              <w:spacing w:line="360" w:lineRule="auto"/>
              <w:jc w:val="center"/>
              <w:rPr>
                <w:color w:val="000000"/>
                <w:sz w:val="24"/>
              </w:rPr>
            </w:pPr>
          </w:p>
        </w:tc>
        <w:tc>
          <w:tcPr>
            <w:tcW w:w="0" w:type="auto"/>
            <w:vAlign w:val="center"/>
          </w:tcPr>
          <w:p w14:paraId="12A4151E">
            <w:pPr>
              <w:spacing w:line="360" w:lineRule="auto"/>
              <w:jc w:val="center"/>
              <w:rPr>
                <w:color w:val="000000"/>
                <w:sz w:val="24"/>
              </w:rPr>
            </w:pPr>
          </w:p>
        </w:tc>
        <w:tc>
          <w:tcPr>
            <w:tcW w:w="0" w:type="auto"/>
            <w:vAlign w:val="center"/>
          </w:tcPr>
          <w:p w14:paraId="69032859">
            <w:pPr>
              <w:spacing w:line="360" w:lineRule="auto"/>
              <w:jc w:val="center"/>
              <w:rPr>
                <w:color w:val="000000"/>
                <w:sz w:val="24"/>
              </w:rPr>
            </w:pPr>
          </w:p>
        </w:tc>
        <w:tc>
          <w:tcPr>
            <w:tcW w:w="0" w:type="auto"/>
            <w:vAlign w:val="center"/>
          </w:tcPr>
          <w:p w14:paraId="52DE83CD">
            <w:pPr>
              <w:spacing w:line="360" w:lineRule="auto"/>
              <w:jc w:val="center"/>
              <w:rPr>
                <w:color w:val="000000"/>
                <w:sz w:val="24"/>
              </w:rPr>
            </w:pPr>
          </w:p>
        </w:tc>
      </w:tr>
      <w:tr w14:paraId="30086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90B1955">
            <w:pPr>
              <w:spacing w:line="360" w:lineRule="auto"/>
              <w:jc w:val="center"/>
              <w:rPr>
                <w:color w:val="000000"/>
                <w:sz w:val="24"/>
              </w:rPr>
            </w:pPr>
            <w:r>
              <w:rPr>
                <w:color w:val="000000"/>
                <w:sz w:val="24"/>
              </w:rPr>
              <w:t>2</w:t>
            </w:r>
          </w:p>
        </w:tc>
        <w:tc>
          <w:tcPr>
            <w:tcW w:w="0" w:type="auto"/>
            <w:vAlign w:val="center"/>
          </w:tcPr>
          <w:p w14:paraId="34029A99">
            <w:pPr>
              <w:spacing w:line="360" w:lineRule="auto"/>
              <w:jc w:val="center"/>
              <w:rPr>
                <w:color w:val="000000"/>
                <w:sz w:val="24"/>
              </w:rPr>
            </w:pPr>
            <w:r>
              <w:rPr>
                <w:color w:val="000000"/>
                <w:sz w:val="24"/>
              </w:rPr>
              <w:t>综合运行维修副组长</w:t>
            </w:r>
          </w:p>
        </w:tc>
        <w:tc>
          <w:tcPr>
            <w:tcW w:w="0" w:type="auto"/>
            <w:vAlign w:val="center"/>
          </w:tcPr>
          <w:p w14:paraId="66B14A0A">
            <w:pPr>
              <w:spacing w:line="360" w:lineRule="auto"/>
              <w:jc w:val="center"/>
              <w:rPr>
                <w:color w:val="000000"/>
                <w:sz w:val="24"/>
              </w:rPr>
            </w:pPr>
            <w:r>
              <w:rPr>
                <w:color w:val="000000"/>
                <w:sz w:val="24"/>
              </w:rPr>
              <w:t>1</w:t>
            </w:r>
          </w:p>
        </w:tc>
        <w:tc>
          <w:tcPr>
            <w:tcW w:w="0" w:type="auto"/>
            <w:vAlign w:val="center"/>
          </w:tcPr>
          <w:p w14:paraId="58287B5D">
            <w:pPr>
              <w:spacing w:line="360" w:lineRule="auto"/>
              <w:jc w:val="center"/>
              <w:rPr>
                <w:color w:val="000000"/>
                <w:sz w:val="24"/>
              </w:rPr>
            </w:pPr>
          </w:p>
        </w:tc>
        <w:tc>
          <w:tcPr>
            <w:tcW w:w="0" w:type="auto"/>
            <w:vAlign w:val="center"/>
          </w:tcPr>
          <w:p w14:paraId="5A4B8F8F">
            <w:pPr>
              <w:spacing w:line="360" w:lineRule="auto"/>
              <w:jc w:val="center"/>
              <w:rPr>
                <w:color w:val="000000"/>
                <w:sz w:val="24"/>
              </w:rPr>
            </w:pPr>
          </w:p>
        </w:tc>
        <w:tc>
          <w:tcPr>
            <w:tcW w:w="0" w:type="auto"/>
            <w:vAlign w:val="center"/>
          </w:tcPr>
          <w:p w14:paraId="18F1306F">
            <w:pPr>
              <w:spacing w:line="360" w:lineRule="auto"/>
              <w:jc w:val="center"/>
              <w:rPr>
                <w:color w:val="000000"/>
                <w:sz w:val="24"/>
              </w:rPr>
            </w:pPr>
          </w:p>
        </w:tc>
        <w:tc>
          <w:tcPr>
            <w:tcW w:w="0" w:type="auto"/>
            <w:vAlign w:val="center"/>
          </w:tcPr>
          <w:p w14:paraId="5034E084">
            <w:pPr>
              <w:spacing w:line="360" w:lineRule="auto"/>
              <w:jc w:val="center"/>
              <w:rPr>
                <w:color w:val="000000"/>
                <w:sz w:val="24"/>
              </w:rPr>
            </w:pPr>
          </w:p>
        </w:tc>
        <w:tc>
          <w:tcPr>
            <w:tcW w:w="0" w:type="auto"/>
            <w:vAlign w:val="center"/>
          </w:tcPr>
          <w:p w14:paraId="23E574CA">
            <w:pPr>
              <w:spacing w:line="360" w:lineRule="auto"/>
              <w:jc w:val="center"/>
              <w:rPr>
                <w:color w:val="000000"/>
                <w:sz w:val="24"/>
              </w:rPr>
            </w:pPr>
          </w:p>
        </w:tc>
        <w:tc>
          <w:tcPr>
            <w:tcW w:w="0" w:type="auto"/>
            <w:vAlign w:val="center"/>
          </w:tcPr>
          <w:p w14:paraId="7D979EB7">
            <w:pPr>
              <w:spacing w:line="360" w:lineRule="auto"/>
              <w:jc w:val="center"/>
              <w:rPr>
                <w:color w:val="000000"/>
                <w:sz w:val="24"/>
              </w:rPr>
            </w:pPr>
          </w:p>
        </w:tc>
        <w:tc>
          <w:tcPr>
            <w:tcW w:w="0" w:type="auto"/>
            <w:vAlign w:val="center"/>
          </w:tcPr>
          <w:p w14:paraId="5577EEC4">
            <w:pPr>
              <w:spacing w:line="360" w:lineRule="auto"/>
              <w:jc w:val="center"/>
              <w:rPr>
                <w:color w:val="000000"/>
                <w:sz w:val="24"/>
              </w:rPr>
            </w:pPr>
          </w:p>
        </w:tc>
        <w:tc>
          <w:tcPr>
            <w:tcW w:w="0" w:type="auto"/>
            <w:vAlign w:val="center"/>
          </w:tcPr>
          <w:p w14:paraId="2F9F8484">
            <w:pPr>
              <w:spacing w:line="360" w:lineRule="auto"/>
              <w:jc w:val="center"/>
              <w:rPr>
                <w:color w:val="000000"/>
                <w:sz w:val="24"/>
              </w:rPr>
            </w:pPr>
          </w:p>
        </w:tc>
      </w:tr>
      <w:tr w14:paraId="5EA27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1B86BFE2">
            <w:pPr>
              <w:spacing w:line="360" w:lineRule="auto"/>
              <w:jc w:val="center"/>
              <w:rPr>
                <w:color w:val="000000"/>
                <w:sz w:val="24"/>
              </w:rPr>
            </w:pPr>
            <w:r>
              <w:rPr>
                <w:color w:val="000000"/>
                <w:sz w:val="24"/>
              </w:rPr>
              <w:t>3</w:t>
            </w:r>
          </w:p>
        </w:tc>
        <w:tc>
          <w:tcPr>
            <w:tcW w:w="0" w:type="auto"/>
            <w:vAlign w:val="center"/>
          </w:tcPr>
          <w:p w14:paraId="49AAB2AA">
            <w:pPr>
              <w:spacing w:line="360" w:lineRule="auto"/>
              <w:jc w:val="center"/>
              <w:rPr>
                <w:color w:val="000000"/>
                <w:sz w:val="24"/>
                <w:highlight w:val="none"/>
              </w:rPr>
            </w:pPr>
            <w:r>
              <w:rPr>
                <w:color w:val="000000"/>
                <w:sz w:val="24"/>
                <w:highlight w:val="none"/>
              </w:rPr>
              <w:t>综合运行维修员</w:t>
            </w:r>
          </w:p>
        </w:tc>
        <w:tc>
          <w:tcPr>
            <w:tcW w:w="0" w:type="auto"/>
            <w:vAlign w:val="center"/>
          </w:tcPr>
          <w:p w14:paraId="133074A6">
            <w:pPr>
              <w:spacing w:line="360" w:lineRule="auto"/>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0" w:type="auto"/>
            <w:vAlign w:val="center"/>
          </w:tcPr>
          <w:p w14:paraId="0F7B79D1">
            <w:pPr>
              <w:spacing w:line="360" w:lineRule="auto"/>
              <w:jc w:val="center"/>
              <w:rPr>
                <w:color w:val="000000"/>
                <w:sz w:val="24"/>
              </w:rPr>
            </w:pPr>
          </w:p>
        </w:tc>
        <w:tc>
          <w:tcPr>
            <w:tcW w:w="0" w:type="auto"/>
            <w:vAlign w:val="center"/>
          </w:tcPr>
          <w:p w14:paraId="2A0BC8CC">
            <w:pPr>
              <w:spacing w:line="360" w:lineRule="auto"/>
              <w:jc w:val="center"/>
              <w:rPr>
                <w:color w:val="000000"/>
                <w:sz w:val="24"/>
              </w:rPr>
            </w:pPr>
          </w:p>
        </w:tc>
        <w:tc>
          <w:tcPr>
            <w:tcW w:w="0" w:type="auto"/>
            <w:vAlign w:val="center"/>
          </w:tcPr>
          <w:p w14:paraId="25881EF4">
            <w:pPr>
              <w:spacing w:line="360" w:lineRule="auto"/>
              <w:jc w:val="center"/>
              <w:rPr>
                <w:color w:val="000000"/>
                <w:sz w:val="24"/>
              </w:rPr>
            </w:pPr>
          </w:p>
        </w:tc>
        <w:tc>
          <w:tcPr>
            <w:tcW w:w="0" w:type="auto"/>
            <w:vAlign w:val="center"/>
          </w:tcPr>
          <w:p w14:paraId="43FB9FAF">
            <w:pPr>
              <w:spacing w:line="360" w:lineRule="auto"/>
              <w:jc w:val="center"/>
              <w:rPr>
                <w:color w:val="000000"/>
                <w:sz w:val="24"/>
              </w:rPr>
            </w:pPr>
          </w:p>
        </w:tc>
        <w:tc>
          <w:tcPr>
            <w:tcW w:w="0" w:type="auto"/>
            <w:vAlign w:val="center"/>
          </w:tcPr>
          <w:p w14:paraId="66D6D1A3">
            <w:pPr>
              <w:spacing w:line="360" w:lineRule="auto"/>
              <w:jc w:val="center"/>
              <w:rPr>
                <w:color w:val="000000"/>
                <w:sz w:val="24"/>
              </w:rPr>
            </w:pPr>
          </w:p>
        </w:tc>
        <w:tc>
          <w:tcPr>
            <w:tcW w:w="0" w:type="auto"/>
            <w:vAlign w:val="center"/>
          </w:tcPr>
          <w:p w14:paraId="5EB5D838">
            <w:pPr>
              <w:spacing w:line="360" w:lineRule="auto"/>
              <w:jc w:val="center"/>
              <w:rPr>
                <w:color w:val="000000"/>
                <w:sz w:val="24"/>
              </w:rPr>
            </w:pPr>
          </w:p>
        </w:tc>
        <w:tc>
          <w:tcPr>
            <w:tcW w:w="0" w:type="auto"/>
            <w:vAlign w:val="center"/>
          </w:tcPr>
          <w:p w14:paraId="0692BE9C">
            <w:pPr>
              <w:spacing w:line="360" w:lineRule="auto"/>
              <w:jc w:val="center"/>
              <w:rPr>
                <w:color w:val="000000"/>
                <w:sz w:val="24"/>
              </w:rPr>
            </w:pPr>
          </w:p>
        </w:tc>
        <w:tc>
          <w:tcPr>
            <w:tcW w:w="0" w:type="auto"/>
            <w:vAlign w:val="center"/>
          </w:tcPr>
          <w:p w14:paraId="53A4E121">
            <w:pPr>
              <w:spacing w:line="360" w:lineRule="auto"/>
              <w:jc w:val="center"/>
              <w:rPr>
                <w:color w:val="000000"/>
                <w:sz w:val="24"/>
              </w:rPr>
            </w:pPr>
          </w:p>
        </w:tc>
      </w:tr>
      <w:tr w14:paraId="3C4D8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42277C08">
            <w:pPr>
              <w:spacing w:line="360" w:lineRule="auto"/>
              <w:jc w:val="center"/>
              <w:rPr>
                <w:color w:val="000000"/>
                <w:sz w:val="24"/>
              </w:rPr>
            </w:pPr>
            <w:r>
              <w:rPr>
                <w:color w:val="000000"/>
                <w:sz w:val="24"/>
              </w:rPr>
              <w:t>4</w:t>
            </w:r>
          </w:p>
        </w:tc>
        <w:tc>
          <w:tcPr>
            <w:tcW w:w="0" w:type="auto"/>
            <w:vAlign w:val="center"/>
          </w:tcPr>
          <w:p w14:paraId="1491538C">
            <w:pPr>
              <w:spacing w:line="360" w:lineRule="auto"/>
              <w:jc w:val="center"/>
              <w:rPr>
                <w:color w:val="000000"/>
                <w:sz w:val="24"/>
              </w:rPr>
            </w:pPr>
            <w:r>
              <w:rPr>
                <w:color w:val="000000"/>
                <w:sz w:val="24"/>
              </w:rPr>
              <w:t>高压配电运行副组长</w:t>
            </w:r>
          </w:p>
        </w:tc>
        <w:tc>
          <w:tcPr>
            <w:tcW w:w="0" w:type="auto"/>
            <w:vAlign w:val="center"/>
          </w:tcPr>
          <w:p w14:paraId="6F95BF74">
            <w:pPr>
              <w:spacing w:line="360" w:lineRule="auto"/>
              <w:jc w:val="center"/>
              <w:rPr>
                <w:color w:val="000000"/>
                <w:sz w:val="24"/>
              </w:rPr>
            </w:pPr>
            <w:r>
              <w:rPr>
                <w:color w:val="000000"/>
                <w:sz w:val="24"/>
              </w:rPr>
              <w:t>1</w:t>
            </w:r>
          </w:p>
        </w:tc>
        <w:tc>
          <w:tcPr>
            <w:tcW w:w="0" w:type="auto"/>
            <w:vAlign w:val="center"/>
          </w:tcPr>
          <w:p w14:paraId="661A6FA2">
            <w:pPr>
              <w:spacing w:line="360" w:lineRule="auto"/>
              <w:jc w:val="center"/>
              <w:rPr>
                <w:color w:val="000000"/>
                <w:sz w:val="24"/>
              </w:rPr>
            </w:pPr>
          </w:p>
        </w:tc>
        <w:tc>
          <w:tcPr>
            <w:tcW w:w="0" w:type="auto"/>
            <w:vAlign w:val="center"/>
          </w:tcPr>
          <w:p w14:paraId="1F9317E6">
            <w:pPr>
              <w:spacing w:line="360" w:lineRule="auto"/>
              <w:jc w:val="center"/>
              <w:rPr>
                <w:color w:val="000000"/>
                <w:sz w:val="24"/>
              </w:rPr>
            </w:pPr>
          </w:p>
        </w:tc>
        <w:tc>
          <w:tcPr>
            <w:tcW w:w="0" w:type="auto"/>
            <w:vAlign w:val="center"/>
          </w:tcPr>
          <w:p w14:paraId="6B6644C6">
            <w:pPr>
              <w:spacing w:line="360" w:lineRule="auto"/>
              <w:jc w:val="center"/>
              <w:rPr>
                <w:color w:val="000000"/>
                <w:sz w:val="24"/>
              </w:rPr>
            </w:pPr>
          </w:p>
        </w:tc>
        <w:tc>
          <w:tcPr>
            <w:tcW w:w="0" w:type="auto"/>
            <w:vAlign w:val="center"/>
          </w:tcPr>
          <w:p w14:paraId="33FA2E2E">
            <w:pPr>
              <w:spacing w:line="360" w:lineRule="auto"/>
              <w:jc w:val="center"/>
              <w:rPr>
                <w:color w:val="000000"/>
                <w:sz w:val="24"/>
              </w:rPr>
            </w:pPr>
          </w:p>
        </w:tc>
        <w:tc>
          <w:tcPr>
            <w:tcW w:w="0" w:type="auto"/>
            <w:vAlign w:val="center"/>
          </w:tcPr>
          <w:p w14:paraId="73CD2AC7">
            <w:pPr>
              <w:spacing w:line="360" w:lineRule="auto"/>
              <w:jc w:val="center"/>
              <w:rPr>
                <w:color w:val="000000"/>
                <w:sz w:val="24"/>
              </w:rPr>
            </w:pPr>
          </w:p>
        </w:tc>
        <w:tc>
          <w:tcPr>
            <w:tcW w:w="0" w:type="auto"/>
            <w:vAlign w:val="center"/>
          </w:tcPr>
          <w:p w14:paraId="7909A10E">
            <w:pPr>
              <w:spacing w:line="360" w:lineRule="auto"/>
              <w:jc w:val="center"/>
              <w:rPr>
                <w:color w:val="000000"/>
                <w:sz w:val="24"/>
              </w:rPr>
            </w:pPr>
          </w:p>
        </w:tc>
        <w:tc>
          <w:tcPr>
            <w:tcW w:w="0" w:type="auto"/>
            <w:vAlign w:val="center"/>
          </w:tcPr>
          <w:p w14:paraId="7239302C">
            <w:pPr>
              <w:spacing w:line="360" w:lineRule="auto"/>
              <w:jc w:val="center"/>
              <w:rPr>
                <w:color w:val="000000"/>
                <w:sz w:val="24"/>
              </w:rPr>
            </w:pPr>
          </w:p>
        </w:tc>
        <w:tc>
          <w:tcPr>
            <w:tcW w:w="0" w:type="auto"/>
            <w:vAlign w:val="center"/>
          </w:tcPr>
          <w:p w14:paraId="3B63B590">
            <w:pPr>
              <w:spacing w:line="360" w:lineRule="auto"/>
              <w:jc w:val="center"/>
              <w:rPr>
                <w:color w:val="000000"/>
                <w:sz w:val="24"/>
              </w:rPr>
            </w:pPr>
          </w:p>
        </w:tc>
      </w:tr>
      <w:tr w14:paraId="52034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1339EF57">
            <w:pPr>
              <w:spacing w:line="360" w:lineRule="auto"/>
              <w:jc w:val="center"/>
              <w:rPr>
                <w:color w:val="000000"/>
                <w:sz w:val="24"/>
              </w:rPr>
            </w:pPr>
            <w:r>
              <w:rPr>
                <w:color w:val="000000"/>
                <w:sz w:val="24"/>
              </w:rPr>
              <w:t>5</w:t>
            </w:r>
          </w:p>
        </w:tc>
        <w:tc>
          <w:tcPr>
            <w:tcW w:w="0" w:type="auto"/>
            <w:vAlign w:val="center"/>
          </w:tcPr>
          <w:p w14:paraId="51C04741">
            <w:pPr>
              <w:spacing w:line="360" w:lineRule="auto"/>
              <w:jc w:val="center"/>
              <w:rPr>
                <w:color w:val="000000"/>
                <w:sz w:val="24"/>
              </w:rPr>
            </w:pPr>
            <w:r>
              <w:rPr>
                <w:color w:val="000000"/>
                <w:sz w:val="24"/>
              </w:rPr>
              <w:t>高压配电运行值班员</w:t>
            </w:r>
          </w:p>
        </w:tc>
        <w:tc>
          <w:tcPr>
            <w:tcW w:w="0" w:type="auto"/>
            <w:vAlign w:val="center"/>
          </w:tcPr>
          <w:p w14:paraId="1001FD7E">
            <w:pPr>
              <w:spacing w:line="360" w:lineRule="auto"/>
              <w:jc w:val="center"/>
              <w:rPr>
                <w:color w:val="000000"/>
                <w:sz w:val="24"/>
              </w:rPr>
            </w:pPr>
            <w:r>
              <w:rPr>
                <w:color w:val="000000"/>
                <w:sz w:val="24"/>
              </w:rPr>
              <w:t>7</w:t>
            </w:r>
          </w:p>
        </w:tc>
        <w:tc>
          <w:tcPr>
            <w:tcW w:w="0" w:type="auto"/>
            <w:vAlign w:val="center"/>
          </w:tcPr>
          <w:p w14:paraId="745449A2">
            <w:pPr>
              <w:spacing w:line="360" w:lineRule="auto"/>
              <w:jc w:val="center"/>
              <w:rPr>
                <w:color w:val="000000"/>
                <w:sz w:val="24"/>
              </w:rPr>
            </w:pPr>
          </w:p>
        </w:tc>
        <w:tc>
          <w:tcPr>
            <w:tcW w:w="0" w:type="auto"/>
            <w:vAlign w:val="center"/>
          </w:tcPr>
          <w:p w14:paraId="55470997">
            <w:pPr>
              <w:spacing w:line="360" w:lineRule="auto"/>
              <w:jc w:val="center"/>
              <w:rPr>
                <w:color w:val="000000"/>
                <w:sz w:val="24"/>
              </w:rPr>
            </w:pPr>
          </w:p>
        </w:tc>
        <w:tc>
          <w:tcPr>
            <w:tcW w:w="0" w:type="auto"/>
            <w:vAlign w:val="center"/>
          </w:tcPr>
          <w:p w14:paraId="0C4EDCF3">
            <w:pPr>
              <w:spacing w:line="360" w:lineRule="auto"/>
              <w:jc w:val="center"/>
              <w:rPr>
                <w:color w:val="000000"/>
                <w:sz w:val="24"/>
              </w:rPr>
            </w:pPr>
          </w:p>
        </w:tc>
        <w:tc>
          <w:tcPr>
            <w:tcW w:w="0" w:type="auto"/>
            <w:vAlign w:val="center"/>
          </w:tcPr>
          <w:p w14:paraId="5F065ADC">
            <w:pPr>
              <w:spacing w:line="360" w:lineRule="auto"/>
              <w:jc w:val="center"/>
              <w:rPr>
                <w:color w:val="000000"/>
                <w:sz w:val="24"/>
              </w:rPr>
            </w:pPr>
          </w:p>
        </w:tc>
        <w:tc>
          <w:tcPr>
            <w:tcW w:w="0" w:type="auto"/>
            <w:vAlign w:val="center"/>
          </w:tcPr>
          <w:p w14:paraId="18E705D9">
            <w:pPr>
              <w:spacing w:line="360" w:lineRule="auto"/>
              <w:jc w:val="center"/>
              <w:rPr>
                <w:color w:val="000000"/>
                <w:sz w:val="24"/>
              </w:rPr>
            </w:pPr>
          </w:p>
        </w:tc>
        <w:tc>
          <w:tcPr>
            <w:tcW w:w="0" w:type="auto"/>
            <w:vAlign w:val="center"/>
          </w:tcPr>
          <w:p w14:paraId="4EE6AC7C">
            <w:pPr>
              <w:spacing w:line="360" w:lineRule="auto"/>
              <w:jc w:val="center"/>
              <w:rPr>
                <w:color w:val="000000"/>
                <w:sz w:val="24"/>
              </w:rPr>
            </w:pPr>
          </w:p>
        </w:tc>
        <w:tc>
          <w:tcPr>
            <w:tcW w:w="0" w:type="auto"/>
            <w:vAlign w:val="center"/>
          </w:tcPr>
          <w:p w14:paraId="17FEA952">
            <w:pPr>
              <w:spacing w:line="360" w:lineRule="auto"/>
              <w:jc w:val="center"/>
              <w:rPr>
                <w:color w:val="000000"/>
                <w:sz w:val="24"/>
              </w:rPr>
            </w:pPr>
          </w:p>
        </w:tc>
        <w:tc>
          <w:tcPr>
            <w:tcW w:w="0" w:type="auto"/>
            <w:vAlign w:val="center"/>
          </w:tcPr>
          <w:p w14:paraId="134AD9AB">
            <w:pPr>
              <w:spacing w:line="360" w:lineRule="auto"/>
              <w:jc w:val="center"/>
              <w:rPr>
                <w:color w:val="000000"/>
                <w:sz w:val="24"/>
              </w:rPr>
            </w:pPr>
          </w:p>
        </w:tc>
      </w:tr>
      <w:tr w14:paraId="616EA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70992209">
            <w:pPr>
              <w:spacing w:line="360" w:lineRule="auto"/>
              <w:jc w:val="center"/>
              <w:rPr>
                <w:color w:val="000000"/>
                <w:sz w:val="24"/>
              </w:rPr>
            </w:pPr>
            <w:r>
              <w:rPr>
                <w:color w:val="000000"/>
                <w:sz w:val="24"/>
              </w:rPr>
              <w:t>6</w:t>
            </w:r>
          </w:p>
        </w:tc>
        <w:tc>
          <w:tcPr>
            <w:tcW w:w="0" w:type="auto"/>
            <w:vAlign w:val="center"/>
          </w:tcPr>
          <w:p w14:paraId="4D3939A9">
            <w:pPr>
              <w:spacing w:line="360" w:lineRule="auto"/>
              <w:jc w:val="center"/>
              <w:rPr>
                <w:color w:val="000000"/>
                <w:sz w:val="24"/>
              </w:rPr>
            </w:pPr>
            <w:r>
              <w:rPr>
                <w:color w:val="000000"/>
                <w:sz w:val="24"/>
              </w:rPr>
              <w:t>中央空调热水锅炉及净化系统运行值班员</w:t>
            </w:r>
          </w:p>
        </w:tc>
        <w:tc>
          <w:tcPr>
            <w:tcW w:w="0" w:type="auto"/>
            <w:vAlign w:val="center"/>
          </w:tcPr>
          <w:p w14:paraId="4E4FD4DA">
            <w:pPr>
              <w:spacing w:line="360" w:lineRule="auto"/>
              <w:jc w:val="center"/>
              <w:rPr>
                <w:color w:val="000000"/>
                <w:sz w:val="24"/>
              </w:rPr>
            </w:pPr>
            <w:r>
              <w:rPr>
                <w:color w:val="000000"/>
                <w:sz w:val="24"/>
              </w:rPr>
              <w:t>6</w:t>
            </w:r>
          </w:p>
        </w:tc>
        <w:tc>
          <w:tcPr>
            <w:tcW w:w="0" w:type="auto"/>
            <w:vAlign w:val="center"/>
          </w:tcPr>
          <w:p w14:paraId="5F8F7198">
            <w:pPr>
              <w:spacing w:line="360" w:lineRule="auto"/>
              <w:jc w:val="center"/>
              <w:rPr>
                <w:color w:val="000000"/>
                <w:sz w:val="24"/>
              </w:rPr>
            </w:pPr>
          </w:p>
        </w:tc>
        <w:tc>
          <w:tcPr>
            <w:tcW w:w="0" w:type="auto"/>
            <w:vAlign w:val="center"/>
          </w:tcPr>
          <w:p w14:paraId="0834ED60">
            <w:pPr>
              <w:spacing w:line="360" w:lineRule="auto"/>
              <w:jc w:val="center"/>
              <w:rPr>
                <w:color w:val="000000"/>
                <w:sz w:val="24"/>
              </w:rPr>
            </w:pPr>
          </w:p>
        </w:tc>
        <w:tc>
          <w:tcPr>
            <w:tcW w:w="0" w:type="auto"/>
            <w:vAlign w:val="center"/>
          </w:tcPr>
          <w:p w14:paraId="7394B629">
            <w:pPr>
              <w:spacing w:line="360" w:lineRule="auto"/>
              <w:jc w:val="center"/>
              <w:rPr>
                <w:color w:val="000000"/>
                <w:sz w:val="24"/>
              </w:rPr>
            </w:pPr>
          </w:p>
        </w:tc>
        <w:tc>
          <w:tcPr>
            <w:tcW w:w="0" w:type="auto"/>
            <w:vAlign w:val="center"/>
          </w:tcPr>
          <w:p w14:paraId="11D19D15">
            <w:pPr>
              <w:spacing w:line="360" w:lineRule="auto"/>
              <w:jc w:val="center"/>
              <w:rPr>
                <w:color w:val="000000"/>
                <w:sz w:val="24"/>
              </w:rPr>
            </w:pPr>
          </w:p>
        </w:tc>
        <w:tc>
          <w:tcPr>
            <w:tcW w:w="0" w:type="auto"/>
            <w:vAlign w:val="center"/>
          </w:tcPr>
          <w:p w14:paraId="60E85A3C">
            <w:pPr>
              <w:spacing w:line="360" w:lineRule="auto"/>
              <w:jc w:val="center"/>
              <w:rPr>
                <w:color w:val="000000"/>
                <w:sz w:val="24"/>
              </w:rPr>
            </w:pPr>
          </w:p>
        </w:tc>
        <w:tc>
          <w:tcPr>
            <w:tcW w:w="0" w:type="auto"/>
            <w:vAlign w:val="center"/>
          </w:tcPr>
          <w:p w14:paraId="483E84AF">
            <w:pPr>
              <w:spacing w:line="360" w:lineRule="auto"/>
              <w:jc w:val="center"/>
              <w:rPr>
                <w:color w:val="000000"/>
                <w:sz w:val="24"/>
              </w:rPr>
            </w:pPr>
          </w:p>
        </w:tc>
        <w:tc>
          <w:tcPr>
            <w:tcW w:w="0" w:type="auto"/>
            <w:vAlign w:val="center"/>
          </w:tcPr>
          <w:p w14:paraId="4A828795">
            <w:pPr>
              <w:spacing w:line="360" w:lineRule="auto"/>
              <w:jc w:val="center"/>
              <w:rPr>
                <w:color w:val="000000"/>
                <w:sz w:val="24"/>
              </w:rPr>
            </w:pPr>
          </w:p>
        </w:tc>
        <w:tc>
          <w:tcPr>
            <w:tcW w:w="0" w:type="auto"/>
            <w:vAlign w:val="center"/>
          </w:tcPr>
          <w:p w14:paraId="307FFC99">
            <w:pPr>
              <w:spacing w:line="360" w:lineRule="auto"/>
              <w:jc w:val="center"/>
              <w:rPr>
                <w:color w:val="000000"/>
                <w:sz w:val="24"/>
              </w:rPr>
            </w:pPr>
          </w:p>
        </w:tc>
      </w:tr>
      <w:tr w14:paraId="4934A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1731ED99">
            <w:pPr>
              <w:spacing w:line="360" w:lineRule="auto"/>
              <w:jc w:val="center"/>
              <w:rPr>
                <w:color w:val="000000"/>
                <w:sz w:val="24"/>
              </w:rPr>
            </w:pPr>
            <w:r>
              <w:rPr>
                <w:color w:val="000000"/>
                <w:sz w:val="24"/>
              </w:rPr>
              <w:t>7</w:t>
            </w:r>
          </w:p>
        </w:tc>
        <w:tc>
          <w:tcPr>
            <w:tcW w:w="0" w:type="auto"/>
            <w:vAlign w:val="center"/>
          </w:tcPr>
          <w:p w14:paraId="173C6E13">
            <w:pPr>
              <w:spacing w:line="360" w:lineRule="auto"/>
              <w:jc w:val="center"/>
              <w:rPr>
                <w:color w:val="000000"/>
                <w:sz w:val="24"/>
                <w:highlight w:val="none"/>
              </w:rPr>
            </w:pPr>
            <w:r>
              <w:rPr>
                <w:color w:val="000000"/>
                <w:sz w:val="24"/>
                <w:highlight w:val="none"/>
              </w:rPr>
              <w:t>医用气体及中央纯水系统运行值班员</w:t>
            </w:r>
          </w:p>
        </w:tc>
        <w:tc>
          <w:tcPr>
            <w:tcW w:w="0" w:type="auto"/>
            <w:vAlign w:val="center"/>
          </w:tcPr>
          <w:p w14:paraId="5A569B04">
            <w:pPr>
              <w:spacing w:line="360" w:lineRule="auto"/>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0" w:type="auto"/>
            <w:vAlign w:val="center"/>
          </w:tcPr>
          <w:p w14:paraId="273C5A8B">
            <w:pPr>
              <w:spacing w:line="360" w:lineRule="auto"/>
              <w:jc w:val="center"/>
              <w:rPr>
                <w:color w:val="000000"/>
                <w:sz w:val="24"/>
              </w:rPr>
            </w:pPr>
          </w:p>
        </w:tc>
        <w:tc>
          <w:tcPr>
            <w:tcW w:w="0" w:type="auto"/>
            <w:vAlign w:val="center"/>
          </w:tcPr>
          <w:p w14:paraId="49817BAA">
            <w:pPr>
              <w:spacing w:line="360" w:lineRule="auto"/>
              <w:jc w:val="center"/>
              <w:rPr>
                <w:color w:val="000000"/>
                <w:sz w:val="24"/>
              </w:rPr>
            </w:pPr>
          </w:p>
        </w:tc>
        <w:tc>
          <w:tcPr>
            <w:tcW w:w="0" w:type="auto"/>
            <w:vAlign w:val="center"/>
          </w:tcPr>
          <w:p w14:paraId="0C3019D1">
            <w:pPr>
              <w:spacing w:line="360" w:lineRule="auto"/>
              <w:jc w:val="center"/>
              <w:rPr>
                <w:color w:val="000000"/>
                <w:sz w:val="24"/>
              </w:rPr>
            </w:pPr>
          </w:p>
        </w:tc>
        <w:tc>
          <w:tcPr>
            <w:tcW w:w="0" w:type="auto"/>
            <w:vAlign w:val="center"/>
          </w:tcPr>
          <w:p w14:paraId="610BE453">
            <w:pPr>
              <w:spacing w:line="360" w:lineRule="auto"/>
              <w:jc w:val="center"/>
              <w:rPr>
                <w:color w:val="000000"/>
                <w:sz w:val="24"/>
              </w:rPr>
            </w:pPr>
          </w:p>
        </w:tc>
        <w:tc>
          <w:tcPr>
            <w:tcW w:w="0" w:type="auto"/>
            <w:vAlign w:val="center"/>
          </w:tcPr>
          <w:p w14:paraId="2E9F75BC">
            <w:pPr>
              <w:spacing w:line="360" w:lineRule="auto"/>
              <w:jc w:val="center"/>
              <w:rPr>
                <w:color w:val="000000"/>
                <w:sz w:val="24"/>
              </w:rPr>
            </w:pPr>
          </w:p>
        </w:tc>
        <w:tc>
          <w:tcPr>
            <w:tcW w:w="0" w:type="auto"/>
            <w:vAlign w:val="center"/>
          </w:tcPr>
          <w:p w14:paraId="7492FC23">
            <w:pPr>
              <w:spacing w:line="360" w:lineRule="auto"/>
              <w:jc w:val="center"/>
              <w:rPr>
                <w:color w:val="000000"/>
                <w:sz w:val="24"/>
              </w:rPr>
            </w:pPr>
          </w:p>
        </w:tc>
        <w:tc>
          <w:tcPr>
            <w:tcW w:w="0" w:type="auto"/>
            <w:vAlign w:val="center"/>
          </w:tcPr>
          <w:p w14:paraId="61D98808">
            <w:pPr>
              <w:spacing w:line="360" w:lineRule="auto"/>
              <w:jc w:val="center"/>
              <w:rPr>
                <w:color w:val="000000"/>
                <w:sz w:val="24"/>
              </w:rPr>
            </w:pPr>
          </w:p>
        </w:tc>
        <w:tc>
          <w:tcPr>
            <w:tcW w:w="0" w:type="auto"/>
            <w:vAlign w:val="center"/>
          </w:tcPr>
          <w:p w14:paraId="584FEB80">
            <w:pPr>
              <w:spacing w:line="360" w:lineRule="auto"/>
              <w:jc w:val="center"/>
              <w:rPr>
                <w:color w:val="000000"/>
                <w:sz w:val="24"/>
              </w:rPr>
            </w:pPr>
          </w:p>
        </w:tc>
      </w:tr>
      <w:tr w14:paraId="150A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23AC6FF8">
            <w:pPr>
              <w:spacing w:line="360" w:lineRule="auto"/>
              <w:jc w:val="center"/>
              <w:rPr>
                <w:color w:val="000000"/>
                <w:sz w:val="24"/>
              </w:rPr>
            </w:pPr>
            <w:r>
              <w:rPr>
                <w:color w:val="000000"/>
                <w:sz w:val="24"/>
              </w:rPr>
              <w:t>8</w:t>
            </w:r>
          </w:p>
        </w:tc>
        <w:tc>
          <w:tcPr>
            <w:tcW w:w="0" w:type="auto"/>
            <w:vAlign w:val="center"/>
          </w:tcPr>
          <w:p w14:paraId="19477B00">
            <w:pPr>
              <w:spacing w:line="360" w:lineRule="auto"/>
              <w:jc w:val="center"/>
              <w:rPr>
                <w:color w:val="000000"/>
                <w:sz w:val="24"/>
              </w:rPr>
            </w:pPr>
            <w:r>
              <w:rPr>
                <w:color w:val="000000"/>
                <w:sz w:val="24"/>
              </w:rPr>
              <w:t>污水处理系统运行值班员</w:t>
            </w:r>
          </w:p>
        </w:tc>
        <w:tc>
          <w:tcPr>
            <w:tcW w:w="0" w:type="auto"/>
            <w:vAlign w:val="center"/>
          </w:tcPr>
          <w:p w14:paraId="62397719">
            <w:pPr>
              <w:spacing w:line="360" w:lineRule="auto"/>
              <w:jc w:val="center"/>
              <w:rPr>
                <w:color w:val="000000"/>
                <w:sz w:val="24"/>
              </w:rPr>
            </w:pPr>
            <w:r>
              <w:rPr>
                <w:color w:val="000000"/>
                <w:sz w:val="24"/>
              </w:rPr>
              <w:t>2</w:t>
            </w:r>
          </w:p>
        </w:tc>
        <w:tc>
          <w:tcPr>
            <w:tcW w:w="0" w:type="auto"/>
            <w:vAlign w:val="center"/>
          </w:tcPr>
          <w:p w14:paraId="61E9D182">
            <w:pPr>
              <w:spacing w:line="360" w:lineRule="auto"/>
              <w:jc w:val="center"/>
              <w:rPr>
                <w:color w:val="000000"/>
                <w:sz w:val="24"/>
              </w:rPr>
            </w:pPr>
          </w:p>
        </w:tc>
        <w:tc>
          <w:tcPr>
            <w:tcW w:w="0" w:type="auto"/>
            <w:vAlign w:val="center"/>
          </w:tcPr>
          <w:p w14:paraId="3B6780EC">
            <w:pPr>
              <w:spacing w:line="360" w:lineRule="auto"/>
              <w:jc w:val="center"/>
              <w:rPr>
                <w:color w:val="000000"/>
                <w:sz w:val="24"/>
              </w:rPr>
            </w:pPr>
          </w:p>
        </w:tc>
        <w:tc>
          <w:tcPr>
            <w:tcW w:w="0" w:type="auto"/>
            <w:vAlign w:val="center"/>
          </w:tcPr>
          <w:p w14:paraId="61F12EC5">
            <w:pPr>
              <w:spacing w:line="360" w:lineRule="auto"/>
              <w:jc w:val="center"/>
              <w:rPr>
                <w:color w:val="000000"/>
                <w:sz w:val="24"/>
              </w:rPr>
            </w:pPr>
          </w:p>
        </w:tc>
        <w:tc>
          <w:tcPr>
            <w:tcW w:w="0" w:type="auto"/>
            <w:vAlign w:val="center"/>
          </w:tcPr>
          <w:p w14:paraId="7B89A4F5">
            <w:pPr>
              <w:spacing w:line="360" w:lineRule="auto"/>
              <w:jc w:val="center"/>
              <w:rPr>
                <w:color w:val="000000"/>
                <w:sz w:val="24"/>
              </w:rPr>
            </w:pPr>
          </w:p>
        </w:tc>
        <w:tc>
          <w:tcPr>
            <w:tcW w:w="0" w:type="auto"/>
            <w:vAlign w:val="center"/>
          </w:tcPr>
          <w:p w14:paraId="72DBCDED">
            <w:pPr>
              <w:spacing w:line="360" w:lineRule="auto"/>
              <w:jc w:val="center"/>
              <w:rPr>
                <w:color w:val="000000"/>
                <w:sz w:val="24"/>
              </w:rPr>
            </w:pPr>
          </w:p>
        </w:tc>
        <w:tc>
          <w:tcPr>
            <w:tcW w:w="0" w:type="auto"/>
            <w:vAlign w:val="center"/>
          </w:tcPr>
          <w:p w14:paraId="4EC34311">
            <w:pPr>
              <w:spacing w:line="360" w:lineRule="auto"/>
              <w:jc w:val="center"/>
              <w:rPr>
                <w:color w:val="000000"/>
                <w:sz w:val="24"/>
              </w:rPr>
            </w:pPr>
          </w:p>
        </w:tc>
        <w:tc>
          <w:tcPr>
            <w:tcW w:w="0" w:type="auto"/>
            <w:vAlign w:val="center"/>
          </w:tcPr>
          <w:p w14:paraId="4B74B263">
            <w:pPr>
              <w:spacing w:line="360" w:lineRule="auto"/>
              <w:jc w:val="center"/>
              <w:rPr>
                <w:color w:val="000000"/>
                <w:sz w:val="24"/>
              </w:rPr>
            </w:pPr>
          </w:p>
        </w:tc>
        <w:tc>
          <w:tcPr>
            <w:tcW w:w="0" w:type="auto"/>
            <w:vAlign w:val="center"/>
          </w:tcPr>
          <w:p w14:paraId="36CA92DD">
            <w:pPr>
              <w:spacing w:line="360" w:lineRule="auto"/>
              <w:jc w:val="center"/>
              <w:rPr>
                <w:color w:val="000000"/>
                <w:sz w:val="24"/>
              </w:rPr>
            </w:pPr>
          </w:p>
        </w:tc>
      </w:tr>
      <w:tr w14:paraId="3EC95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45B9C26E">
            <w:pPr>
              <w:spacing w:line="360" w:lineRule="auto"/>
              <w:jc w:val="center"/>
              <w:rPr>
                <w:color w:val="000000"/>
                <w:sz w:val="24"/>
              </w:rPr>
            </w:pPr>
            <w:r>
              <w:rPr>
                <w:color w:val="000000"/>
                <w:sz w:val="24"/>
              </w:rPr>
              <w:t>9</w:t>
            </w:r>
          </w:p>
        </w:tc>
        <w:tc>
          <w:tcPr>
            <w:tcW w:w="0" w:type="auto"/>
            <w:vAlign w:val="center"/>
          </w:tcPr>
          <w:p w14:paraId="28456AEA">
            <w:pPr>
              <w:spacing w:line="360" w:lineRule="auto"/>
              <w:jc w:val="center"/>
              <w:rPr>
                <w:color w:val="000000"/>
                <w:sz w:val="24"/>
              </w:rPr>
            </w:pPr>
            <w:r>
              <w:rPr>
                <w:color w:val="000000"/>
                <w:sz w:val="24"/>
              </w:rPr>
              <w:t>污水处理系统运行值班员（兼综合维修）</w:t>
            </w:r>
          </w:p>
        </w:tc>
        <w:tc>
          <w:tcPr>
            <w:tcW w:w="0" w:type="auto"/>
            <w:vAlign w:val="center"/>
          </w:tcPr>
          <w:p w14:paraId="3C1D2F72">
            <w:pPr>
              <w:spacing w:line="360" w:lineRule="auto"/>
              <w:jc w:val="center"/>
              <w:rPr>
                <w:color w:val="000000"/>
                <w:sz w:val="24"/>
              </w:rPr>
            </w:pPr>
            <w:r>
              <w:rPr>
                <w:color w:val="000000"/>
                <w:sz w:val="24"/>
              </w:rPr>
              <w:t>2</w:t>
            </w:r>
          </w:p>
        </w:tc>
        <w:tc>
          <w:tcPr>
            <w:tcW w:w="0" w:type="auto"/>
            <w:vAlign w:val="center"/>
          </w:tcPr>
          <w:p w14:paraId="15ED74A5">
            <w:pPr>
              <w:spacing w:line="360" w:lineRule="auto"/>
              <w:jc w:val="center"/>
              <w:rPr>
                <w:color w:val="000000"/>
                <w:sz w:val="24"/>
              </w:rPr>
            </w:pPr>
          </w:p>
        </w:tc>
        <w:tc>
          <w:tcPr>
            <w:tcW w:w="0" w:type="auto"/>
            <w:vAlign w:val="center"/>
          </w:tcPr>
          <w:p w14:paraId="161DDC71">
            <w:pPr>
              <w:spacing w:line="360" w:lineRule="auto"/>
              <w:jc w:val="center"/>
              <w:rPr>
                <w:color w:val="000000"/>
                <w:sz w:val="24"/>
              </w:rPr>
            </w:pPr>
          </w:p>
        </w:tc>
        <w:tc>
          <w:tcPr>
            <w:tcW w:w="0" w:type="auto"/>
            <w:vAlign w:val="center"/>
          </w:tcPr>
          <w:p w14:paraId="30061994">
            <w:pPr>
              <w:spacing w:line="360" w:lineRule="auto"/>
              <w:jc w:val="center"/>
              <w:rPr>
                <w:color w:val="000000"/>
                <w:sz w:val="24"/>
              </w:rPr>
            </w:pPr>
          </w:p>
        </w:tc>
        <w:tc>
          <w:tcPr>
            <w:tcW w:w="0" w:type="auto"/>
            <w:vAlign w:val="center"/>
          </w:tcPr>
          <w:p w14:paraId="352EC96A">
            <w:pPr>
              <w:spacing w:line="360" w:lineRule="auto"/>
              <w:jc w:val="center"/>
              <w:rPr>
                <w:color w:val="000000"/>
                <w:sz w:val="24"/>
              </w:rPr>
            </w:pPr>
          </w:p>
        </w:tc>
        <w:tc>
          <w:tcPr>
            <w:tcW w:w="0" w:type="auto"/>
            <w:vAlign w:val="center"/>
          </w:tcPr>
          <w:p w14:paraId="4D1A4222">
            <w:pPr>
              <w:spacing w:line="360" w:lineRule="auto"/>
              <w:jc w:val="center"/>
              <w:rPr>
                <w:color w:val="000000"/>
                <w:sz w:val="24"/>
              </w:rPr>
            </w:pPr>
          </w:p>
        </w:tc>
        <w:tc>
          <w:tcPr>
            <w:tcW w:w="0" w:type="auto"/>
            <w:vAlign w:val="center"/>
          </w:tcPr>
          <w:p w14:paraId="68ADBE69">
            <w:pPr>
              <w:spacing w:line="360" w:lineRule="auto"/>
              <w:jc w:val="center"/>
              <w:rPr>
                <w:color w:val="000000"/>
                <w:sz w:val="24"/>
              </w:rPr>
            </w:pPr>
          </w:p>
        </w:tc>
        <w:tc>
          <w:tcPr>
            <w:tcW w:w="0" w:type="auto"/>
            <w:vAlign w:val="center"/>
          </w:tcPr>
          <w:p w14:paraId="62DCD1AD">
            <w:pPr>
              <w:spacing w:line="360" w:lineRule="auto"/>
              <w:jc w:val="center"/>
              <w:rPr>
                <w:color w:val="000000"/>
                <w:sz w:val="24"/>
              </w:rPr>
            </w:pPr>
          </w:p>
        </w:tc>
        <w:tc>
          <w:tcPr>
            <w:tcW w:w="0" w:type="auto"/>
            <w:vAlign w:val="center"/>
          </w:tcPr>
          <w:p w14:paraId="4B9448EC">
            <w:pPr>
              <w:spacing w:line="360" w:lineRule="auto"/>
              <w:jc w:val="center"/>
              <w:rPr>
                <w:color w:val="000000"/>
                <w:sz w:val="24"/>
              </w:rPr>
            </w:pPr>
          </w:p>
        </w:tc>
      </w:tr>
      <w:tr w14:paraId="2C2AA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CDBF356">
            <w:pPr>
              <w:spacing w:line="360" w:lineRule="auto"/>
              <w:jc w:val="center"/>
              <w:rPr>
                <w:color w:val="000000"/>
                <w:sz w:val="24"/>
              </w:rPr>
            </w:pPr>
            <w:r>
              <w:rPr>
                <w:color w:val="000000"/>
                <w:sz w:val="24"/>
              </w:rPr>
              <w:t>10</w:t>
            </w:r>
          </w:p>
        </w:tc>
        <w:tc>
          <w:tcPr>
            <w:tcW w:w="0" w:type="auto"/>
            <w:vAlign w:val="center"/>
          </w:tcPr>
          <w:p w14:paraId="3C674972">
            <w:pPr>
              <w:spacing w:line="360" w:lineRule="auto"/>
              <w:jc w:val="center"/>
              <w:rPr>
                <w:color w:val="000000"/>
                <w:sz w:val="24"/>
              </w:rPr>
            </w:pPr>
            <w:r>
              <w:rPr>
                <w:color w:val="000000"/>
                <w:sz w:val="24"/>
              </w:rPr>
              <w:t>智慧后勤综合受理员</w:t>
            </w:r>
          </w:p>
        </w:tc>
        <w:tc>
          <w:tcPr>
            <w:tcW w:w="0" w:type="auto"/>
            <w:vAlign w:val="center"/>
          </w:tcPr>
          <w:p w14:paraId="3A9136CA">
            <w:pPr>
              <w:spacing w:line="360" w:lineRule="auto"/>
              <w:jc w:val="center"/>
              <w:rPr>
                <w:color w:val="000000"/>
                <w:sz w:val="24"/>
              </w:rPr>
            </w:pPr>
            <w:r>
              <w:rPr>
                <w:color w:val="000000"/>
                <w:sz w:val="24"/>
              </w:rPr>
              <w:t>2</w:t>
            </w:r>
          </w:p>
        </w:tc>
        <w:tc>
          <w:tcPr>
            <w:tcW w:w="0" w:type="auto"/>
            <w:vAlign w:val="center"/>
          </w:tcPr>
          <w:p w14:paraId="068E3E76">
            <w:pPr>
              <w:spacing w:line="360" w:lineRule="auto"/>
              <w:jc w:val="center"/>
              <w:rPr>
                <w:color w:val="000000"/>
                <w:sz w:val="24"/>
              </w:rPr>
            </w:pPr>
          </w:p>
        </w:tc>
        <w:tc>
          <w:tcPr>
            <w:tcW w:w="0" w:type="auto"/>
            <w:vAlign w:val="center"/>
          </w:tcPr>
          <w:p w14:paraId="146B9B65">
            <w:pPr>
              <w:spacing w:line="360" w:lineRule="auto"/>
              <w:jc w:val="center"/>
              <w:rPr>
                <w:color w:val="000000"/>
                <w:sz w:val="24"/>
              </w:rPr>
            </w:pPr>
          </w:p>
        </w:tc>
        <w:tc>
          <w:tcPr>
            <w:tcW w:w="0" w:type="auto"/>
            <w:vAlign w:val="center"/>
          </w:tcPr>
          <w:p w14:paraId="21D5BEAC">
            <w:pPr>
              <w:spacing w:line="360" w:lineRule="auto"/>
              <w:jc w:val="center"/>
              <w:rPr>
                <w:color w:val="000000"/>
                <w:sz w:val="24"/>
              </w:rPr>
            </w:pPr>
          </w:p>
        </w:tc>
        <w:tc>
          <w:tcPr>
            <w:tcW w:w="0" w:type="auto"/>
            <w:vAlign w:val="center"/>
          </w:tcPr>
          <w:p w14:paraId="31626E24">
            <w:pPr>
              <w:spacing w:line="360" w:lineRule="auto"/>
              <w:jc w:val="center"/>
              <w:rPr>
                <w:color w:val="000000"/>
                <w:sz w:val="24"/>
              </w:rPr>
            </w:pPr>
          </w:p>
        </w:tc>
        <w:tc>
          <w:tcPr>
            <w:tcW w:w="0" w:type="auto"/>
            <w:vAlign w:val="center"/>
          </w:tcPr>
          <w:p w14:paraId="2523AFC1">
            <w:pPr>
              <w:spacing w:line="360" w:lineRule="auto"/>
              <w:jc w:val="center"/>
              <w:rPr>
                <w:color w:val="000000"/>
                <w:sz w:val="24"/>
              </w:rPr>
            </w:pPr>
          </w:p>
        </w:tc>
        <w:tc>
          <w:tcPr>
            <w:tcW w:w="0" w:type="auto"/>
            <w:vAlign w:val="center"/>
          </w:tcPr>
          <w:p w14:paraId="638D78B7">
            <w:pPr>
              <w:spacing w:line="360" w:lineRule="auto"/>
              <w:jc w:val="center"/>
              <w:rPr>
                <w:color w:val="000000"/>
                <w:sz w:val="24"/>
              </w:rPr>
            </w:pPr>
          </w:p>
        </w:tc>
        <w:tc>
          <w:tcPr>
            <w:tcW w:w="0" w:type="auto"/>
            <w:vAlign w:val="center"/>
          </w:tcPr>
          <w:p w14:paraId="68227743">
            <w:pPr>
              <w:spacing w:line="360" w:lineRule="auto"/>
              <w:jc w:val="center"/>
              <w:rPr>
                <w:color w:val="000000"/>
                <w:sz w:val="24"/>
              </w:rPr>
            </w:pPr>
          </w:p>
        </w:tc>
        <w:tc>
          <w:tcPr>
            <w:tcW w:w="0" w:type="auto"/>
            <w:vAlign w:val="center"/>
          </w:tcPr>
          <w:p w14:paraId="72C36866">
            <w:pPr>
              <w:spacing w:line="360" w:lineRule="auto"/>
              <w:jc w:val="center"/>
              <w:rPr>
                <w:color w:val="000000"/>
                <w:sz w:val="24"/>
              </w:rPr>
            </w:pPr>
          </w:p>
        </w:tc>
      </w:tr>
      <w:tr w14:paraId="31296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55E4A2EE">
            <w:pPr>
              <w:spacing w:line="360" w:lineRule="auto"/>
              <w:jc w:val="center"/>
              <w:rPr>
                <w:color w:val="000000"/>
                <w:sz w:val="24"/>
              </w:rPr>
            </w:pPr>
            <w:r>
              <w:rPr>
                <w:color w:val="000000"/>
                <w:sz w:val="24"/>
              </w:rPr>
              <w:t>11</w:t>
            </w:r>
          </w:p>
        </w:tc>
        <w:tc>
          <w:tcPr>
            <w:tcW w:w="0" w:type="auto"/>
            <w:vAlign w:val="center"/>
          </w:tcPr>
          <w:p w14:paraId="58EDBE82">
            <w:pPr>
              <w:spacing w:line="360" w:lineRule="auto"/>
              <w:jc w:val="center"/>
              <w:rPr>
                <w:color w:val="000000"/>
                <w:sz w:val="24"/>
                <w:highlight w:val="none"/>
              </w:rPr>
            </w:pPr>
            <w:r>
              <w:rPr>
                <w:color w:val="000000"/>
                <w:sz w:val="24"/>
                <w:highlight w:val="none"/>
              </w:rPr>
              <w:t>供应室器械清洗员</w:t>
            </w:r>
          </w:p>
        </w:tc>
        <w:tc>
          <w:tcPr>
            <w:tcW w:w="0" w:type="auto"/>
            <w:vAlign w:val="center"/>
          </w:tcPr>
          <w:p w14:paraId="2FD73074">
            <w:pPr>
              <w:spacing w:line="360" w:lineRule="auto"/>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0" w:type="auto"/>
            <w:vAlign w:val="center"/>
          </w:tcPr>
          <w:p w14:paraId="28DF019B">
            <w:pPr>
              <w:spacing w:line="360" w:lineRule="auto"/>
              <w:jc w:val="center"/>
              <w:rPr>
                <w:color w:val="000000"/>
                <w:sz w:val="24"/>
              </w:rPr>
            </w:pPr>
          </w:p>
        </w:tc>
        <w:tc>
          <w:tcPr>
            <w:tcW w:w="0" w:type="auto"/>
            <w:vAlign w:val="center"/>
          </w:tcPr>
          <w:p w14:paraId="60290BB9">
            <w:pPr>
              <w:spacing w:line="360" w:lineRule="auto"/>
              <w:jc w:val="center"/>
              <w:rPr>
                <w:color w:val="000000"/>
                <w:sz w:val="24"/>
              </w:rPr>
            </w:pPr>
          </w:p>
        </w:tc>
        <w:tc>
          <w:tcPr>
            <w:tcW w:w="0" w:type="auto"/>
            <w:vAlign w:val="center"/>
          </w:tcPr>
          <w:p w14:paraId="489D7A68">
            <w:pPr>
              <w:spacing w:line="360" w:lineRule="auto"/>
              <w:jc w:val="center"/>
              <w:rPr>
                <w:color w:val="000000"/>
                <w:sz w:val="24"/>
              </w:rPr>
            </w:pPr>
          </w:p>
        </w:tc>
        <w:tc>
          <w:tcPr>
            <w:tcW w:w="0" w:type="auto"/>
            <w:vAlign w:val="center"/>
          </w:tcPr>
          <w:p w14:paraId="30D6DAA6">
            <w:pPr>
              <w:spacing w:line="360" w:lineRule="auto"/>
              <w:jc w:val="center"/>
              <w:rPr>
                <w:color w:val="000000"/>
                <w:sz w:val="24"/>
              </w:rPr>
            </w:pPr>
          </w:p>
        </w:tc>
        <w:tc>
          <w:tcPr>
            <w:tcW w:w="0" w:type="auto"/>
            <w:vAlign w:val="center"/>
          </w:tcPr>
          <w:p w14:paraId="29BA756D">
            <w:pPr>
              <w:spacing w:line="360" w:lineRule="auto"/>
              <w:jc w:val="center"/>
              <w:rPr>
                <w:color w:val="000000"/>
                <w:sz w:val="24"/>
              </w:rPr>
            </w:pPr>
          </w:p>
        </w:tc>
        <w:tc>
          <w:tcPr>
            <w:tcW w:w="0" w:type="auto"/>
            <w:vAlign w:val="center"/>
          </w:tcPr>
          <w:p w14:paraId="3C076CFC">
            <w:pPr>
              <w:spacing w:line="360" w:lineRule="auto"/>
              <w:jc w:val="center"/>
              <w:rPr>
                <w:color w:val="000000"/>
                <w:sz w:val="24"/>
              </w:rPr>
            </w:pPr>
          </w:p>
        </w:tc>
        <w:tc>
          <w:tcPr>
            <w:tcW w:w="0" w:type="auto"/>
            <w:vAlign w:val="center"/>
          </w:tcPr>
          <w:p w14:paraId="3374ED96">
            <w:pPr>
              <w:spacing w:line="360" w:lineRule="auto"/>
              <w:jc w:val="center"/>
              <w:rPr>
                <w:color w:val="000000"/>
                <w:sz w:val="24"/>
              </w:rPr>
            </w:pPr>
          </w:p>
        </w:tc>
        <w:tc>
          <w:tcPr>
            <w:tcW w:w="0" w:type="auto"/>
            <w:vAlign w:val="center"/>
          </w:tcPr>
          <w:p w14:paraId="0653D0D8">
            <w:pPr>
              <w:spacing w:line="360" w:lineRule="auto"/>
              <w:jc w:val="center"/>
              <w:rPr>
                <w:color w:val="000000"/>
                <w:sz w:val="24"/>
              </w:rPr>
            </w:pPr>
          </w:p>
        </w:tc>
      </w:tr>
      <w:tr w14:paraId="3A7A7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2FCEDC28">
            <w:pPr>
              <w:spacing w:line="360" w:lineRule="auto"/>
              <w:jc w:val="center"/>
              <w:rPr>
                <w:color w:val="000000"/>
                <w:sz w:val="24"/>
              </w:rPr>
            </w:pPr>
            <w:r>
              <w:rPr>
                <w:color w:val="000000"/>
                <w:sz w:val="24"/>
              </w:rPr>
              <w:t>12</w:t>
            </w:r>
          </w:p>
        </w:tc>
        <w:tc>
          <w:tcPr>
            <w:tcW w:w="0" w:type="auto"/>
            <w:vAlign w:val="center"/>
          </w:tcPr>
          <w:p w14:paraId="76F0B5AD">
            <w:pPr>
              <w:spacing w:line="360" w:lineRule="auto"/>
              <w:jc w:val="center"/>
              <w:rPr>
                <w:color w:val="000000"/>
                <w:sz w:val="24"/>
              </w:rPr>
            </w:pPr>
            <w:r>
              <w:rPr>
                <w:color w:val="000000"/>
                <w:sz w:val="24"/>
              </w:rPr>
              <w:t>高级厨师</w:t>
            </w:r>
          </w:p>
        </w:tc>
        <w:tc>
          <w:tcPr>
            <w:tcW w:w="0" w:type="auto"/>
            <w:vAlign w:val="center"/>
          </w:tcPr>
          <w:p w14:paraId="45F7F4EE">
            <w:pPr>
              <w:spacing w:line="360" w:lineRule="auto"/>
              <w:jc w:val="center"/>
              <w:rPr>
                <w:color w:val="000000"/>
                <w:sz w:val="24"/>
              </w:rPr>
            </w:pPr>
            <w:r>
              <w:rPr>
                <w:color w:val="000000"/>
                <w:sz w:val="24"/>
              </w:rPr>
              <w:t>4</w:t>
            </w:r>
          </w:p>
        </w:tc>
        <w:tc>
          <w:tcPr>
            <w:tcW w:w="0" w:type="auto"/>
            <w:vAlign w:val="center"/>
          </w:tcPr>
          <w:p w14:paraId="1BD71C1F">
            <w:pPr>
              <w:spacing w:line="360" w:lineRule="auto"/>
              <w:jc w:val="center"/>
              <w:rPr>
                <w:color w:val="000000"/>
                <w:sz w:val="24"/>
              </w:rPr>
            </w:pPr>
          </w:p>
        </w:tc>
        <w:tc>
          <w:tcPr>
            <w:tcW w:w="0" w:type="auto"/>
            <w:vAlign w:val="center"/>
          </w:tcPr>
          <w:p w14:paraId="1C3566B3">
            <w:pPr>
              <w:spacing w:line="360" w:lineRule="auto"/>
              <w:jc w:val="center"/>
              <w:rPr>
                <w:color w:val="000000"/>
                <w:sz w:val="24"/>
              </w:rPr>
            </w:pPr>
          </w:p>
        </w:tc>
        <w:tc>
          <w:tcPr>
            <w:tcW w:w="0" w:type="auto"/>
            <w:vAlign w:val="center"/>
          </w:tcPr>
          <w:p w14:paraId="543BFF61">
            <w:pPr>
              <w:spacing w:line="360" w:lineRule="auto"/>
              <w:jc w:val="center"/>
              <w:rPr>
                <w:color w:val="000000"/>
                <w:sz w:val="24"/>
              </w:rPr>
            </w:pPr>
          </w:p>
        </w:tc>
        <w:tc>
          <w:tcPr>
            <w:tcW w:w="0" w:type="auto"/>
            <w:vAlign w:val="center"/>
          </w:tcPr>
          <w:p w14:paraId="1E80BD85">
            <w:pPr>
              <w:spacing w:line="360" w:lineRule="auto"/>
              <w:jc w:val="center"/>
              <w:rPr>
                <w:color w:val="000000"/>
                <w:sz w:val="24"/>
              </w:rPr>
            </w:pPr>
          </w:p>
        </w:tc>
        <w:tc>
          <w:tcPr>
            <w:tcW w:w="0" w:type="auto"/>
            <w:vAlign w:val="center"/>
          </w:tcPr>
          <w:p w14:paraId="3485A9D9">
            <w:pPr>
              <w:spacing w:line="360" w:lineRule="auto"/>
              <w:jc w:val="center"/>
              <w:rPr>
                <w:color w:val="000000"/>
                <w:sz w:val="24"/>
              </w:rPr>
            </w:pPr>
          </w:p>
        </w:tc>
        <w:tc>
          <w:tcPr>
            <w:tcW w:w="0" w:type="auto"/>
            <w:vAlign w:val="center"/>
          </w:tcPr>
          <w:p w14:paraId="2B9B122C">
            <w:pPr>
              <w:spacing w:line="360" w:lineRule="auto"/>
              <w:jc w:val="center"/>
              <w:rPr>
                <w:color w:val="000000"/>
                <w:sz w:val="24"/>
              </w:rPr>
            </w:pPr>
          </w:p>
        </w:tc>
        <w:tc>
          <w:tcPr>
            <w:tcW w:w="0" w:type="auto"/>
            <w:vAlign w:val="center"/>
          </w:tcPr>
          <w:p w14:paraId="7F958E9B">
            <w:pPr>
              <w:spacing w:line="360" w:lineRule="auto"/>
              <w:jc w:val="center"/>
              <w:rPr>
                <w:color w:val="000000"/>
                <w:sz w:val="24"/>
              </w:rPr>
            </w:pPr>
          </w:p>
        </w:tc>
        <w:tc>
          <w:tcPr>
            <w:tcW w:w="0" w:type="auto"/>
            <w:vAlign w:val="center"/>
          </w:tcPr>
          <w:p w14:paraId="0C046F80">
            <w:pPr>
              <w:spacing w:line="360" w:lineRule="auto"/>
              <w:jc w:val="center"/>
              <w:rPr>
                <w:color w:val="000000"/>
                <w:sz w:val="24"/>
              </w:rPr>
            </w:pPr>
          </w:p>
        </w:tc>
      </w:tr>
      <w:tr w14:paraId="46F4F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5D837500">
            <w:pPr>
              <w:spacing w:line="360" w:lineRule="auto"/>
              <w:jc w:val="center"/>
              <w:rPr>
                <w:color w:val="000000"/>
                <w:sz w:val="24"/>
              </w:rPr>
            </w:pPr>
            <w:r>
              <w:rPr>
                <w:color w:val="000000"/>
                <w:sz w:val="24"/>
              </w:rPr>
              <w:t>13</w:t>
            </w:r>
          </w:p>
        </w:tc>
        <w:tc>
          <w:tcPr>
            <w:tcW w:w="0" w:type="auto"/>
            <w:vAlign w:val="center"/>
          </w:tcPr>
          <w:p w14:paraId="58E22B61">
            <w:pPr>
              <w:spacing w:line="360" w:lineRule="auto"/>
              <w:jc w:val="center"/>
              <w:rPr>
                <w:color w:val="000000"/>
                <w:sz w:val="24"/>
              </w:rPr>
            </w:pPr>
            <w:r>
              <w:rPr>
                <w:color w:val="000000"/>
                <w:sz w:val="24"/>
              </w:rPr>
              <w:t>普通厨师</w:t>
            </w:r>
          </w:p>
        </w:tc>
        <w:tc>
          <w:tcPr>
            <w:tcW w:w="0" w:type="auto"/>
            <w:vAlign w:val="center"/>
          </w:tcPr>
          <w:p w14:paraId="4D3281DB">
            <w:pPr>
              <w:spacing w:line="360" w:lineRule="auto"/>
              <w:jc w:val="center"/>
              <w:rPr>
                <w:color w:val="000000"/>
                <w:sz w:val="24"/>
              </w:rPr>
            </w:pPr>
            <w:r>
              <w:rPr>
                <w:color w:val="000000"/>
                <w:sz w:val="24"/>
              </w:rPr>
              <w:t>4</w:t>
            </w:r>
          </w:p>
        </w:tc>
        <w:tc>
          <w:tcPr>
            <w:tcW w:w="0" w:type="auto"/>
            <w:vAlign w:val="center"/>
          </w:tcPr>
          <w:p w14:paraId="5574CDD4">
            <w:pPr>
              <w:spacing w:line="360" w:lineRule="auto"/>
              <w:jc w:val="center"/>
              <w:rPr>
                <w:color w:val="000000"/>
                <w:sz w:val="24"/>
              </w:rPr>
            </w:pPr>
          </w:p>
        </w:tc>
        <w:tc>
          <w:tcPr>
            <w:tcW w:w="0" w:type="auto"/>
            <w:vAlign w:val="center"/>
          </w:tcPr>
          <w:p w14:paraId="2A55D15D">
            <w:pPr>
              <w:spacing w:line="360" w:lineRule="auto"/>
              <w:jc w:val="center"/>
              <w:rPr>
                <w:color w:val="000000"/>
                <w:sz w:val="24"/>
              </w:rPr>
            </w:pPr>
          </w:p>
        </w:tc>
        <w:tc>
          <w:tcPr>
            <w:tcW w:w="0" w:type="auto"/>
            <w:vAlign w:val="center"/>
          </w:tcPr>
          <w:p w14:paraId="5DC7B79C">
            <w:pPr>
              <w:spacing w:line="360" w:lineRule="auto"/>
              <w:jc w:val="center"/>
              <w:rPr>
                <w:color w:val="000000"/>
                <w:sz w:val="24"/>
              </w:rPr>
            </w:pPr>
          </w:p>
        </w:tc>
        <w:tc>
          <w:tcPr>
            <w:tcW w:w="0" w:type="auto"/>
            <w:vAlign w:val="center"/>
          </w:tcPr>
          <w:p w14:paraId="3AADE5B2">
            <w:pPr>
              <w:spacing w:line="360" w:lineRule="auto"/>
              <w:jc w:val="center"/>
              <w:rPr>
                <w:color w:val="000000"/>
                <w:sz w:val="24"/>
              </w:rPr>
            </w:pPr>
          </w:p>
        </w:tc>
        <w:tc>
          <w:tcPr>
            <w:tcW w:w="0" w:type="auto"/>
            <w:vAlign w:val="center"/>
          </w:tcPr>
          <w:p w14:paraId="45B89236">
            <w:pPr>
              <w:spacing w:line="360" w:lineRule="auto"/>
              <w:jc w:val="center"/>
              <w:rPr>
                <w:color w:val="000000"/>
                <w:sz w:val="24"/>
              </w:rPr>
            </w:pPr>
          </w:p>
        </w:tc>
        <w:tc>
          <w:tcPr>
            <w:tcW w:w="0" w:type="auto"/>
            <w:vAlign w:val="center"/>
          </w:tcPr>
          <w:p w14:paraId="06686DCC">
            <w:pPr>
              <w:spacing w:line="360" w:lineRule="auto"/>
              <w:jc w:val="center"/>
              <w:rPr>
                <w:color w:val="000000"/>
                <w:sz w:val="24"/>
              </w:rPr>
            </w:pPr>
          </w:p>
        </w:tc>
        <w:tc>
          <w:tcPr>
            <w:tcW w:w="0" w:type="auto"/>
            <w:vAlign w:val="center"/>
          </w:tcPr>
          <w:p w14:paraId="3621339B">
            <w:pPr>
              <w:spacing w:line="360" w:lineRule="auto"/>
              <w:jc w:val="center"/>
              <w:rPr>
                <w:color w:val="000000"/>
                <w:sz w:val="24"/>
              </w:rPr>
            </w:pPr>
          </w:p>
        </w:tc>
        <w:tc>
          <w:tcPr>
            <w:tcW w:w="0" w:type="auto"/>
            <w:vAlign w:val="center"/>
          </w:tcPr>
          <w:p w14:paraId="592D7A68">
            <w:pPr>
              <w:spacing w:line="360" w:lineRule="auto"/>
              <w:jc w:val="center"/>
              <w:rPr>
                <w:color w:val="000000"/>
                <w:sz w:val="24"/>
              </w:rPr>
            </w:pPr>
          </w:p>
        </w:tc>
      </w:tr>
      <w:tr w14:paraId="0303C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013BE2E4">
            <w:pPr>
              <w:spacing w:line="360" w:lineRule="auto"/>
              <w:jc w:val="center"/>
              <w:rPr>
                <w:color w:val="000000"/>
                <w:sz w:val="24"/>
              </w:rPr>
            </w:pPr>
            <w:r>
              <w:rPr>
                <w:color w:val="000000"/>
                <w:sz w:val="24"/>
              </w:rPr>
              <w:t>14</w:t>
            </w:r>
          </w:p>
        </w:tc>
        <w:tc>
          <w:tcPr>
            <w:tcW w:w="0" w:type="auto"/>
            <w:vAlign w:val="center"/>
          </w:tcPr>
          <w:p w14:paraId="008141AB">
            <w:pPr>
              <w:spacing w:line="360" w:lineRule="auto"/>
              <w:jc w:val="center"/>
              <w:rPr>
                <w:color w:val="000000"/>
                <w:sz w:val="24"/>
              </w:rPr>
            </w:pPr>
            <w:r>
              <w:rPr>
                <w:color w:val="000000"/>
                <w:sz w:val="24"/>
              </w:rPr>
              <w:t>高级面点师</w:t>
            </w:r>
          </w:p>
        </w:tc>
        <w:tc>
          <w:tcPr>
            <w:tcW w:w="0" w:type="auto"/>
            <w:vAlign w:val="center"/>
          </w:tcPr>
          <w:p w14:paraId="58C09750">
            <w:pPr>
              <w:spacing w:line="360" w:lineRule="auto"/>
              <w:jc w:val="center"/>
              <w:rPr>
                <w:color w:val="000000"/>
                <w:sz w:val="24"/>
              </w:rPr>
            </w:pPr>
            <w:r>
              <w:rPr>
                <w:color w:val="000000"/>
                <w:sz w:val="24"/>
              </w:rPr>
              <w:t>2</w:t>
            </w:r>
          </w:p>
        </w:tc>
        <w:tc>
          <w:tcPr>
            <w:tcW w:w="0" w:type="auto"/>
            <w:vAlign w:val="center"/>
          </w:tcPr>
          <w:p w14:paraId="1049FC7D">
            <w:pPr>
              <w:spacing w:line="360" w:lineRule="auto"/>
              <w:jc w:val="center"/>
              <w:rPr>
                <w:color w:val="000000"/>
                <w:sz w:val="24"/>
              </w:rPr>
            </w:pPr>
          </w:p>
        </w:tc>
        <w:tc>
          <w:tcPr>
            <w:tcW w:w="0" w:type="auto"/>
            <w:vAlign w:val="center"/>
          </w:tcPr>
          <w:p w14:paraId="36966C6A">
            <w:pPr>
              <w:spacing w:line="360" w:lineRule="auto"/>
              <w:jc w:val="center"/>
              <w:rPr>
                <w:color w:val="000000"/>
                <w:sz w:val="24"/>
              </w:rPr>
            </w:pPr>
          </w:p>
        </w:tc>
        <w:tc>
          <w:tcPr>
            <w:tcW w:w="0" w:type="auto"/>
            <w:vAlign w:val="center"/>
          </w:tcPr>
          <w:p w14:paraId="7A4B5F41">
            <w:pPr>
              <w:spacing w:line="360" w:lineRule="auto"/>
              <w:jc w:val="center"/>
              <w:rPr>
                <w:color w:val="000000"/>
                <w:sz w:val="24"/>
              </w:rPr>
            </w:pPr>
          </w:p>
        </w:tc>
        <w:tc>
          <w:tcPr>
            <w:tcW w:w="0" w:type="auto"/>
            <w:vAlign w:val="center"/>
          </w:tcPr>
          <w:p w14:paraId="2FF3BDD5">
            <w:pPr>
              <w:spacing w:line="360" w:lineRule="auto"/>
              <w:jc w:val="center"/>
              <w:rPr>
                <w:color w:val="000000"/>
                <w:sz w:val="24"/>
              </w:rPr>
            </w:pPr>
          </w:p>
        </w:tc>
        <w:tc>
          <w:tcPr>
            <w:tcW w:w="0" w:type="auto"/>
            <w:vAlign w:val="center"/>
          </w:tcPr>
          <w:p w14:paraId="20FADE9C">
            <w:pPr>
              <w:spacing w:line="360" w:lineRule="auto"/>
              <w:jc w:val="center"/>
              <w:rPr>
                <w:color w:val="000000"/>
                <w:sz w:val="24"/>
              </w:rPr>
            </w:pPr>
          </w:p>
        </w:tc>
        <w:tc>
          <w:tcPr>
            <w:tcW w:w="0" w:type="auto"/>
            <w:vAlign w:val="center"/>
          </w:tcPr>
          <w:p w14:paraId="1D5A6853">
            <w:pPr>
              <w:spacing w:line="360" w:lineRule="auto"/>
              <w:jc w:val="center"/>
              <w:rPr>
                <w:color w:val="000000"/>
                <w:sz w:val="24"/>
              </w:rPr>
            </w:pPr>
          </w:p>
        </w:tc>
        <w:tc>
          <w:tcPr>
            <w:tcW w:w="0" w:type="auto"/>
            <w:vAlign w:val="center"/>
          </w:tcPr>
          <w:p w14:paraId="6AF244BF">
            <w:pPr>
              <w:spacing w:line="360" w:lineRule="auto"/>
              <w:jc w:val="center"/>
              <w:rPr>
                <w:color w:val="000000"/>
                <w:sz w:val="24"/>
              </w:rPr>
            </w:pPr>
          </w:p>
        </w:tc>
        <w:tc>
          <w:tcPr>
            <w:tcW w:w="0" w:type="auto"/>
            <w:vAlign w:val="center"/>
          </w:tcPr>
          <w:p w14:paraId="20104301">
            <w:pPr>
              <w:spacing w:line="360" w:lineRule="auto"/>
              <w:jc w:val="center"/>
              <w:rPr>
                <w:color w:val="000000"/>
                <w:sz w:val="24"/>
              </w:rPr>
            </w:pPr>
          </w:p>
        </w:tc>
      </w:tr>
      <w:tr w14:paraId="7D095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0CB0DBFE">
            <w:pPr>
              <w:spacing w:line="360" w:lineRule="auto"/>
              <w:jc w:val="center"/>
              <w:rPr>
                <w:color w:val="000000"/>
                <w:sz w:val="24"/>
              </w:rPr>
            </w:pPr>
            <w:r>
              <w:rPr>
                <w:color w:val="000000"/>
                <w:sz w:val="24"/>
              </w:rPr>
              <w:t>15</w:t>
            </w:r>
          </w:p>
        </w:tc>
        <w:tc>
          <w:tcPr>
            <w:tcW w:w="0" w:type="auto"/>
            <w:vAlign w:val="center"/>
          </w:tcPr>
          <w:p w14:paraId="351A1A30">
            <w:pPr>
              <w:spacing w:line="360" w:lineRule="auto"/>
              <w:jc w:val="center"/>
              <w:rPr>
                <w:color w:val="000000"/>
                <w:sz w:val="24"/>
              </w:rPr>
            </w:pPr>
            <w:r>
              <w:rPr>
                <w:color w:val="000000"/>
                <w:sz w:val="24"/>
              </w:rPr>
              <w:t>普通面点师</w:t>
            </w:r>
          </w:p>
        </w:tc>
        <w:tc>
          <w:tcPr>
            <w:tcW w:w="0" w:type="auto"/>
            <w:vAlign w:val="center"/>
          </w:tcPr>
          <w:p w14:paraId="656AACF0">
            <w:pPr>
              <w:spacing w:line="360" w:lineRule="auto"/>
              <w:jc w:val="center"/>
              <w:rPr>
                <w:color w:val="000000"/>
                <w:sz w:val="24"/>
              </w:rPr>
            </w:pPr>
            <w:r>
              <w:rPr>
                <w:color w:val="000000"/>
                <w:sz w:val="24"/>
              </w:rPr>
              <w:t>2</w:t>
            </w:r>
          </w:p>
        </w:tc>
        <w:tc>
          <w:tcPr>
            <w:tcW w:w="0" w:type="auto"/>
            <w:vAlign w:val="center"/>
          </w:tcPr>
          <w:p w14:paraId="37DD09BE">
            <w:pPr>
              <w:spacing w:line="360" w:lineRule="auto"/>
              <w:jc w:val="center"/>
              <w:rPr>
                <w:color w:val="000000"/>
                <w:sz w:val="24"/>
              </w:rPr>
            </w:pPr>
          </w:p>
        </w:tc>
        <w:tc>
          <w:tcPr>
            <w:tcW w:w="0" w:type="auto"/>
            <w:vAlign w:val="center"/>
          </w:tcPr>
          <w:p w14:paraId="6BF816BA">
            <w:pPr>
              <w:spacing w:line="360" w:lineRule="auto"/>
              <w:jc w:val="center"/>
              <w:rPr>
                <w:color w:val="000000"/>
                <w:sz w:val="24"/>
              </w:rPr>
            </w:pPr>
          </w:p>
        </w:tc>
        <w:tc>
          <w:tcPr>
            <w:tcW w:w="0" w:type="auto"/>
            <w:vAlign w:val="center"/>
          </w:tcPr>
          <w:p w14:paraId="623FEA91">
            <w:pPr>
              <w:spacing w:line="360" w:lineRule="auto"/>
              <w:jc w:val="center"/>
              <w:rPr>
                <w:color w:val="000000"/>
                <w:sz w:val="24"/>
              </w:rPr>
            </w:pPr>
          </w:p>
        </w:tc>
        <w:tc>
          <w:tcPr>
            <w:tcW w:w="0" w:type="auto"/>
            <w:vAlign w:val="center"/>
          </w:tcPr>
          <w:p w14:paraId="51D3D5B3">
            <w:pPr>
              <w:spacing w:line="360" w:lineRule="auto"/>
              <w:jc w:val="center"/>
              <w:rPr>
                <w:color w:val="000000"/>
                <w:sz w:val="24"/>
              </w:rPr>
            </w:pPr>
          </w:p>
        </w:tc>
        <w:tc>
          <w:tcPr>
            <w:tcW w:w="0" w:type="auto"/>
            <w:vAlign w:val="center"/>
          </w:tcPr>
          <w:p w14:paraId="5D2C350C">
            <w:pPr>
              <w:spacing w:line="360" w:lineRule="auto"/>
              <w:jc w:val="center"/>
              <w:rPr>
                <w:color w:val="000000"/>
                <w:sz w:val="24"/>
              </w:rPr>
            </w:pPr>
          </w:p>
        </w:tc>
        <w:tc>
          <w:tcPr>
            <w:tcW w:w="0" w:type="auto"/>
            <w:vAlign w:val="center"/>
          </w:tcPr>
          <w:p w14:paraId="2CE5F120">
            <w:pPr>
              <w:spacing w:line="360" w:lineRule="auto"/>
              <w:jc w:val="center"/>
              <w:rPr>
                <w:color w:val="000000"/>
                <w:sz w:val="24"/>
              </w:rPr>
            </w:pPr>
          </w:p>
        </w:tc>
        <w:tc>
          <w:tcPr>
            <w:tcW w:w="0" w:type="auto"/>
            <w:vAlign w:val="center"/>
          </w:tcPr>
          <w:p w14:paraId="18B0EB87">
            <w:pPr>
              <w:spacing w:line="360" w:lineRule="auto"/>
              <w:jc w:val="center"/>
              <w:rPr>
                <w:color w:val="000000"/>
                <w:sz w:val="24"/>
              </w:rPr>
            </w:pPr>
          </w:p>
        </w:tc>
        <w:tc>
          <w:tcPr>
            <w:tcW w:w="0" w:type="auto"/>
            <w:vAlign w:val="center"/>
          </w:tcPr>
          <w:p w14:paraId="543B3968">
            <w:pPr>
              <w:spacing w:line="360" w:lineRule="auto"/>
              <w:jc w:val="center"/>
              <w:rPr>
                <w:color w:val="000000"/>
                <w:sz w:val="24"/>
              </w:rPr>
            </w:pPr>
          </w:p>
        </w:tc>
      </w:tr>
      <w:tr w14:paraId="67351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E3063A9">
            <w:pPr>
              <w:spacing w:line="360" w:lineRule="auto"/>
              <w:jc w:val="center"/>
              <w:rPr>
                <w:color w:val="000000"/>
                <w:sz w:val="24"/>
              </w:rPr>
            </w:pPr>
            <w:r>
              <w:rPr>
                <w:color w:val="000000"/>
                <w:sz w:val="24"/>
              </w:rPr>
              <w:t>16</w:t>
            </w:r>
          </w:p>
        </w:tc>
        <w:tc>
          <w:tcPr>
            <w:tcW w:w="0" w:type="auto"/>
            <w:vAlign w:val="center"/>
          </w:tcPr>
          <w:p w14:paraId="036AF879">
            <w:pPr>
              <w:spacing w:line="360" w:lineRule="auto"/>
              <w:jc w:val="center"/>
              <w:rPr>
                <w:color w:val="000000"/>
                <w:sz w:val="24"/>
              </w:rPr>
            </w:pPr>
            <w:r>
              <w:rPr>
                <w:color w:val="000000"/>
                <w:sz w:val="24"/>
              </w:rPr>
              <w:t>营养辅助员</w:t>
            </w:r>
          </w:p>
        </w:tc>
        <w:tc>
          <w:tcPr>
            <w:tcW w:w="0" w:type="auto"/>
            <w:vAlign w:val="center"/>
          </w:tcPr>
          <w:p w14:paraId="457D673A">
            <w:pPr>
              <w:spacing w:line="360" w:lineRule="auto"/>
              <w:jc w:val="center"/>
              <w:rPr>
                <w:color w:val="000000"/>
                <w:sz w:val="24"/>
              </w:rPr>
            </w:pPr>
            <w:r>
              <w:rPr>
                <w:color w:val="000000"/>
                <w:sz w:val="24"/>
              </w:rPr>
              <w:t>1</w:t>
            </w:r>
          </w:p>
        </w:tc>
        <w:tc>
          <w:tcPr>
            <w:tcW w:w="0" w:type="auto"/>
            <w:vAlign w:val="center"/>
          </w:tcPr>
          <w:p w14:paraId="6F9AD2B3">
            <w:pPr>
              <w:spacing w:line="360" w:lineRule="auto"/>
              <w:jc w:val="center"/>
              <w:rPr>
                <w:color w:val="000000"/>
                <w:sz w:val="24"/>
              </w:rPr>
            </w:pPr>
          </w:p>
        </w:tc>
        <w:tc>
          <w:tcPr>
            <w:tcW w:w="0" w:type="auto"/>
            <w:vAlign w:val="center"/>
          </w:tcPr>
          <w:p w14:paraId="646100A3">
            <w:pPr>
              <w:spacing w:line="360" w:lineRule="auto"/>
              <w:jc w:val="center"/>
              <w:rPr>
                <w:color w:val="000000"/>
                <w:sz w:val="24"/>
              </w:rPr>
            </w:pPr>
          </w:p>
        </w:tc>
        <w:tc>
          <w:tcPr>
            <w:tcW w:w="0" w:type="auto"/>
            <w:vAlign w:val="center"/>
          </w:tcPr>
          <w:p w14:paraId="3DF5145B">
            <w:pPr>
              <w:spacing w:line="360" w:lineRule="auto"/>
              <w:jc w:val="center"/>
              <w:rPr>
                <w:color w:val="000000"/>
                <w:sz w:val="24"/>
              </w:rPr>
            </w:pPr>
          </w:p>
        </w:tc>
        <w:tc>
          <w:tcPr>
            <w:tcW w:w="0" w:type="auto"/>
            <w:vAlign w:val="center"/>
          </w:tcPr>
          <w:p w14:paraId="14B9A647">
            <w:pPr>
              <w:spacing w:line="360" w:lineRule="auto"/>
              <w:jc w:val="center"/>
              <w:rPr>
                <w:color w:val="000000"/>
                <w:sz w:val="24"/>
              </w:rPr>
            </w:pPr>
          </w:p>
        </w:tc>
        <w:tc>
          <w:tcPr>
            <w:tcW w:w="0" w:type="auto"/>
            <w:vAlign w:val="center"/>
          </w:tcPr>
          <w:p w14:paraId="6F841018">
            <w:pPr>
              <w:spacing w:line="360" w:lineRule="auto"/>
              <w:jc w:val="center"/>
              <w:rPr>
                <w:color w:val="000000"/>
                <w:sz w:val="24"/>
              </w:rPr>
            </w:pPr>
          </w:p>
        </w:tc>
        <w:tc>
          <w:tcPr>
            <w:tcW w:w="0" w:type="auto"/>
            <w:vAlign w:val="center"/>
          </w:tcPr>
          <w:p w14:paraId="6F36AF0C">
            <w:pPr>
              <w:spacing w:line="360" w:lineRule="auto"/>
              <w:jc w:val="center"/>
              <w:rPr>
                <w:color w:val="000000"/>
                <w:sz w:val="24"/>
              </w:rPr>
            </w:pPr>
          </w:p>
        </w:tc>
        <w:tc>
          <w:tcPr>
            <w:tcW w:w="0" w:type="auto"/>
            <w:vAlign w:val="center"/>
          </w:tcPr>
          <w:p w14:paraId="4ED9BA10">
            <w:pPr>
              <w:spacing w:line="360" w:lineRule="auto"/>
              <w:jc w:val="center"/>
              <w:rPr>
                <w:color w:val="000000"/>
                <w:sz w:val="24"/>
              </w:rPr>
            </w:pPr>
          </w:p>
        </w:tc>
        <w:tc>
          <w:tcPr>
            <w:tcW w:w="0" w:type="auto"/>
            <w:vAlign w:val="center"/>
          </w:tcPr>
          <w:p w14:paraId="15E79044">
            <w:pPr>
              <w:spacing w:line="360" w:lineRule="auto"/>
              <w:jc w:val="center"/>
              <w:rPr>
                <w:color w:val="000000"/>
                <w:sz w:val="24"/>
              </w:rPr>
            </w:pPr>
          </w:p>
        </w:tc>
      </w:tr>
      <w:tr w14:paraId="7C82E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1B4F66F2">
            <w:pPr>
              <w:spacing w:line="360" w:lineRule="auto"/>
              <w:jc w:val="center"/>
              <w:rPr>
                <w:rFonts w:hint="default" w:eastAsia="宋体"/>
                <w:color w:val="000000"/>
                <w:sz w:val="24"/>
                <w:lang w:val="en-US" w:eastAsia="zh-CN"/>
              </w:rPr>
            </w:pPr>
            <w:r>
              <w:rPr>
                <w:rFonts w:hint="eastAsia"/>
                <w:color w:val="000000"/>
                <w:sz w:val="24"/>
                <w:lang w:val="en-US" w:eastAsia="zh-CN"/>
              </w:rPr>
              <w:t>17</w:t>
            </w:r>
          </w:p>
        </w:tc>
        <w:tc>
          <w:tcPr>
            <w:tcW w:w="0" w:type="auto"/>
            <w:vAlign w:val="center"/>
          </w:tcPr>
          <w:p w14:paraId="1EFBC06E">
            <w:pPr>
              <w:spacing w:line="360" w:lineRule="auto"/>
              <w:jc w:val="center"/>
              <w:rPr>
                <w:rFonts w:hint="eastAsia" w:eastAsia="宋体"/>
                <w:color w:val="000000"/>
                <w:sz w:val="24"/>
                <w:highlight w:val="none"/>
                <w:lang w:eastAsia="zh-CN"/>
              </w:rPr>
            </w:pPr>
            <w:r>
              <w:rPr>
                <w:rFonts w:hint="eastAsia"/>
                <w:color w:val="000000"/>
                <w:sz w:val="24"/>
                <w:highlight w:val="none"/>
                <w:lang w:eastAsia="zh-CN"/>
              </w:rPr>
              <w:t>超声辅助员</w:t>
            </w:r>
          </w:p>
        </w:tc>
        <w:tc>
          <w:tcPr>
            <w:tcW w:w="0" w:type="auto"/>
            <w:vAlign w:val="center"/>
          </w:tcPr>
          <w:p w14:paraId="5863B7EA">
            <w:pPr>
              <w:spacing w:line="360" w:lineRule="auto"/>
              <w:jc w:val="center"/>
              <w:rPr>
                <w:rFonts w:hint="eastAsia" w:eastAsia="宋体"/>
                <w:color w:val="000000"/>
                <w:sz w:val="24"/>
                <w:highlight w:val="none"/>
                <w:lang w:val="en-US" w:eastAsia="zh-CN"/>
              </w:rPr>
            </w:pPr>
            <w:r>
              <w:rPr>
                <w:rFonts w:hint="eastAsia"/>
                <w:color w:val="000000"/>
                <w:sz w:val="24"/>
                <w:highlight w:val="none"/>
                <w:lang w:val="en-US" w:eastAsia="zh-CN"/>
              </w:rPr>
              <w:t>2</w:t>
            </w:r>
          </w:p>
        </w:tc>
        <w:tc>
          <w:tcPr>
            <w:tcW w:w="0" w:type="auto"/>
            <w:vAlign w:val="center"/>
          </w:tcPr>
          <w:p w14:paraId="7CE0CF84">
            <w:pPr>
              <w:spacing w:line="360" w:lineRule="auto"/>
              <w:jc w:val="center"/>
              <w:rPr>
                <w:color w:val="000000"/>
                <w:sz w:val="24"/>
              </w:rPr>
            </w:pPr>
          </w:p>
        </w:tc>
        <w:tc>
          <w:tcPr>
            <w:tcW w:w="0" w:type="auto"/>
            <w:vAlign w:val="center"/>
          </w:tcPr>
          <w:p w14:paraId="3DA0923C">
            <w:pPr>
              <w:spacing w:line="360" w:lineRule="auto"/>
              <w:jc w:val="center"/>
              <w:rPr>
                <w:color w:val="000000"/>
                <w:sz w:val="24"/>
              </w:rPr>
            </w:pPr>
          </w:p>
        </w:tc>
        <w:tc>
          <w:tcPr>
            <w:tcW w:w="0" w:type="auto"/>
            <w:vAlign w:val="center"/>
          </w:tcPr>
          <w:p w14:paraId="69FEA36D">
            <w:pPr>
              <w:spacing w:line="360" w:lineRule="auto"/>
              <w:jc w:val="center"/>
              <w:rPr>
                <w:color w:val="000000"/>
                <w:sz w:val="24"/>
              </w:rPr>
            </w:pPr>
          </w:p>
        </w:tc>
        <w:tc>
          <w:tcPr>
            <w:tcW w:w="0" w:type="auto"/>
            <w:vAlign w:val="center"/>
          </w:tcPr>
          <w:p w14:paraId="7DFC5BAD">
            <w:pPr>
              <w:spacing w:line="360" w:lineRule="auto"/>
              <w:jc w:val="center"/>
              <w:rPr>
                <w:color w:val="000000"/>
                <w:sz w:val="24"/>
              </w:rPr>
            </w:pPr>
          </w:p>
        </w:tc>
        <w:tc>
          <w:tcPr>
            <w:tcW w:w="0" w:type="auto"/>
            <w:vAlign w:val="center"/>
          </w:tcPr>
          <w:p w14:paraId="6EA67ECD">
            <w:pPr>
              <w:spacing w:line="360" w:lineRule="auto"/>
              <w:jc w:val="center"/>
              <w:rPr>
                <w:color w:val="000000"/>
                <w:sz w:val="24"/>
              </w:rPr>
            </w:pPr>
          </w:p>
        </w:tc>
        <w:tc>
          <w:tcPr>
            <w:tcW w:w="0" w:type="auto"/>
            <w:vAlign w:val="center"/>
          </w:tcPr>
          <w:p w14:paraId="39C88069">
            <w:pPr>
              <w:spacing w:line="360" w:lineRule="auto"/>
              <w:jc w:val="center"/>
              <w:rPr>
                <w:color w:val="000000"/>
                <w:sz w:val="24"/>
              </w:rPr>
            </w:pPr>
          </w:p>
        </w:tc>
        <w:tc>
          <w:tcPr>
            <w:tcW w:w="0" w:type="auto"/>
            <w:vAlign w:val="center"/>
          </w:tcPr>
          <w:p w14:paraId="175E8B88">
            <w:pPr>
              <w:spacing w:line="360" w:lineRule="auto"/>
              <w:jc w:val="center"/>
              <w:rPr>
                <w:color w:val="000000"/>
                <w:sz w:val="24"/>
              </w:rPr>
            </w:pPr>
          </w:p>
        </w:tc>
        <w:tc>
          <w:tcPr>
            <w:tcW w:w="0" w:type="auto"/>
            <w:vAlign w:val="center"/>
          </w:tcPr>
          <w:p w14:paraId="6F1C1E63">
            <w:pPr>
              <w:spacing w:line="360" w:lineRule="auto"/>
              <w:jc w:val="center"/>
              <w:rPr>
                <w:color w:val="000000"/>
                <w:sz w:val="24"/>
              </w:rPr>
            </w:pPr>
          </w:p>
        </w:tc>
      </w:tr>
      <w:tr w14:paraId="0F530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68970F6E">
            <w:pPr>
              <w:spacing w:line="360" w:lineRule="auto"/>
              <w:jc w:val="center"/>
              <w:rPr>
                <w:rFonts w:hint="default" w:eastAsia="宋体"/>
                <w:color w:val="000000"/>
                <w:sz w:val="24"/>
                <w:lang w:val="en-US" w:eastAsia="zh-CN"/>
              </w:rPr>
            </w:pPr>
            <w:r>
              <w:rPr>
                <w:rFonts w:hint="eastAsia"/>
                <w:color w:val="000000"/>
                <w:sz w:val="24"/>
                <w:lang w:val="en-US" w:eastAsia="zh-CN"/>
              </w:rPr>
              <w:t>18</w:t>
            </w:r>
          </w:p>
        </w:tc>
        <w:tc>
          <w:tcPr>
            <w:tcW w:w="0" w:type="auto"/>
            <w:vAlign w:val="center"/>
          </w:tcPr>
          <w:p w14:paraId="4F473D04">
            <w:pPr>
              <w:spacing w:line="360" w:lineRule="auto"/>
              <w:jc w:val="center"/>
              <w:rPr>
                <w:rFonts w:hint="eastAsia" w:eastAsia="宋体"/>
                <w:color w:val="000000"/>
                <w:sz w:val="24"/>
                <w:highlight w:val="none"/>
                <w:lang w:eastAsia="zh-CN"/>
              </w:rPr>
            </w:pPr>
            <w:r>
              <w:rPr>
                <w:rFonts w:hint="eastAsia"/>
                <w:color w:val="000000"/>
                <w:sz w:val="24"/>
                <w:highlight w:val="none"/>
                <w:lang w:eastAsia="zh-CN"/>
              </w:rPr>
              <w:t>导医引导员</w:t>
            </w:r>
          </w:p>
        </w:tc>
        <w:tc>
          <w:tcPr>
            <w:tcW w:w="0" w:type="auto"/>
            <w:vAlign w:val="center"/>
          </w:tcPr>
          <w:p w14:paraId="1ABF478E">
            <w:pPr>
              <w:spacing w:line="360" w:lineRule="auto"/>
              <w:jc w:val="center"/>
              <w:rPr>
                <w:rFonts w:hint="eastAsia" w:eastAsia="宋体"/>
                <w:color w:val="000000"/>
                <w:sz w:val="24"/>
                <w:highlight w:val="none"/>
                <w:lang w:val="en-US" w:eastAsia="zh-CN"/>
              </w:rPr>
            </w:pPr>
            <w:r>
              <w:rPr>
                <w:rFonts w:hint="eastAsia"/>
                <w:color w:val="000000"/>
                <w:sz w:val="24"/>
                <w:highlight w:val="none"/>
                <w:lang w:val="en-US" w:eastAsia="zh-CN"/>
              </w:rPr>
              <w:t>3</w:t>
            </w:r>
          </w:p>
        </w:tc>
        <w:tc>
          <w:tcPr>
            <w:tcW w:w="0" w:type="auto"/>
            <w:vAlign w:val="center"/>
          </w:tcPr>
          <w:p w14:paraId="694FA611">
            <w:pPr>
              <w:spacing w:line="360" w:lineRule="auto"/>
              <w:jc w:val="center"/>
              <w:rPr>
                <w:color w:val="000000"/>
                <w:sz w:val="24"/>
              </w:rPr>
            </w:pPr>
          </w:p>
        </w:tc>
        <w:tc>
          <w:tcPr>
            <w:tcW w:w="0" w:type="auto"/>
            <w:vAlign w:val="center"/>
          </w:tcPr>
          <w:p w14:paraId="5C442949">
            <w:pPr>
              <w:spacing w:line="360" w:lineRule="auto"/>
              <w:jc w:val="center"/>
              <w:rPr>
                <w:color w:val="000000"/>
                <w:sz w:val="24"/>
              </w:rPr>
            </w:pPr>
          </w:p>
        </w:tc>
        <w:tc>
          <w:tcPr>
            <w:tcW w:w="0" w:type="auto"/>
            <w:vAlign w:val="center"/>
          </w:tcPr>
          <w:p w14:paraId="110D4E2F">
            <w:pPr>
              <w:spacing w:line="360" w:lineRule="auto"/>
              <w:jc w:val="center"/>
              <w:rPr>
                <w:color w:val="000000"/>
                <w:sz w:val="24"/>
              </w:rPr>
            </w:pPr>
          </w:p>
        </w:tc>
        <w:tc>
          <w:tcPr>
            <w:tcW w:w="0" w:type="auto"/>
            <w:vAlign w:val="center"/>
          </w:tcPr>
          <w:p w14:paraId="4AEA9567">
            <w:pPr>
              <w:spacing w:line="360" w:lineRule="auto"/>
              <w:jc w:val="center"/>
              <w:rPr>
                <w:color w:val="000000"/>
                <w:sz w:val="24"/>
              </w:rPr>
            </w:pPr>
          </w:p>
        </w:tc>
        <w:tc>
          <w:tcPr>
            <w:tcW w:w="0" w:type="auto"/>
            <w:vAlign w:val="center"/>
          </w:tcPr>
          <w:p w14:paraId="4302BB9A">
            <w:pPr>
              <w:spacing w:line="360" w:lineRule="auto"/>
              <w:jc w:val="center"/>
              <w:rPr>
                <w:color w:val="000000"/>
                <w:sz w:val="24"/>
              </w:rPr>
            </w:pPr>
          </w:p>
        </w:tc>
        <w:tc>
          <w:tcPr>
            <w:tcW w:w="0" w:type="auto"/>
            <w:vAlign w:val="center"/>
          </w:tcPr>
          <w:p w14:paraId="38607D80">
            <w:pPr>
              <w:spacing w:line="360" w:lineRule="auto"/>
              <w:jc w:val="center"/>
              <w:rPr>
                <w:color w:val="000000"/>
                <w:sz w:val="24"/>
              </w:rPr>
            </w:pPr>
          </w:p>
        </w:tc>
        <w:tc>
          <w:tcPr>
            <w:tcW w:w="0" w:type="auto"/>
            <w:vAlign w:val="center"/>
          </w:tcPr>
          <w:p w14:paraId="2A3FFEF8">
            <w:pPr>
              <w:spacing w:line="360" w:lineRule="auto"/>
              <w:jc w:val="center"/>
              <w:rPr>
                <w:color w:val="000000"/>
                <w:sz w:val="24"/>
              </w:rPr>
            </w:pPr>
          </w:p>
        </w:tc>
        <w:tc>
          <w:tcPr>
            <w:tcW w:w="0" w:type="auto"/>
            <w:vAlign w:val="center"/>
          </w:tcPr>
          <w:p w14:paraId="7906DABD">
            <w:pPr>
              <w:spacing w:line="360" w:lineRule="auto"/>
              <w:jc w:val="center"/>
              <w:rPr>
                <w:color w:val="000000"/>
                <w:sz w:val="24"/>
              </w:rPr>
            </w:pPr>
          </w:p>
        </w:tc>
      </w:tr>
      <w:tr w14:paraId="16E46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42C6EA5">
            <w:pPr>
              <w:spacing w:line="360" w:lineRule="auto"/>
              <w:jc w:val="center"/>
              <w:rPr>
                <w:rFonts w:hint="default" w:eastAsia="宋体"/>
                <w:color w:val="000000"/>
                <w:sz w:val="24"/>
                <w:lang w:val="en-US" w:eastAsia="zh-CN"/>
              </w:rPr>
            </w:pPr>
            <w:r>
              <w:rPr>
                <w:rFonts w:hint="eastAsia"/>
                <w:color w:val="000000"/>
                <w:sz w:val="24"/>
                <w:lang w:val="en-US" w:eastAsia="zh-CN"/>
              </w:rPr>
              <w:t>19</w:t>
            </w:r>
          </w:p>
        </w:tc>
        <w:tc>
          <w:tcPr>
            <w:tcW w:w="0" w:type="auto"/>
            <w:vAlign w:val="center"/>
          </w:tcPr>
          <w:p w14:paraId="1C1D709F">
            <w:pPr>
              <w:spacing w:line="360" w:lineRule="auto"/>
              <w:jc w:val="center"/>
              <w:rPr>
                <w:rFonts w:hint="eastAsia" w:eastAsia="宋体"/>
                <w:color w:val="000000"/>
                <w:sz w:val="24"/>
                <w:highlight w:val="none"/>
                <w:lang w:eastAsia="zh-CN"/>
              </w:rPr>
            </w:pPr>
            <w:r>
              <w:rPr>
                <w:rFonts w:hint="eastAsia"/>
                <w:color w:val="000000"/>
                <w:sz w:val="24"/>
                <w:highlight w:val="none"/>
                <w:lang w:eastAsia="zh-CN"/>
              </w:rPr>
              <w:t>停车收费员</w:t>
            </w:r>
          </w:p>
        </w:tc>
        <w:tc>
          <w:tcPr>
            <w:tcW w:w="0" w:type="auto"/>
            <w:vAlign w:val="center"/>
          </w:tcPr>
          <w:p w14:paraId="3F5CE24F">
            <w:pPr>
              <w:spacing w:line="360" w:lineRule="auto"/>
              <w:jc w:val="center"/>
              <w:rPr>
                <w:rFonts w:hint="eastAsia" w:eastAsia="宋体"/>
                <w:color w:val="000000"/>
                <w:sz w:val="24"/>
                <w:highlight w:val="none"/>
                <w:lang w:val="en-US" w:eastAsia="zh-CN"/>
              </w:rPr>
            </w:pPr>
            <w:r>
              <w:rPr>
                <w:rFonts w:hint="eastAsia"/>
                <w:color w:val="000000"/>
                <w:sz w:val="24"/>
                <w:highlight w:val="none"/>
                <w:lang w:val="en-US" w:eastAsia="zh-CN"/>
              </w:rPr>
              <w:t>2</w:t>
            </w:r>
          </w:p>
        </w:tc>
        <w:tc>
          <w:tcPr>
            <w:tcW w:w="0" w:type="auto"/>
            <w:vAlign w:val="center"/>
          </w:tcPr>
          <w:p w14:paraId="445438B2">
            <w:pPr>
              <w:spacing w:line="360" w:lineRule="auto"/>
              <w:jc w:val="center"/>
              <w:rPr>
                <w:color w:val="000000"/>
                <w:sz w:val="24"/>
              </w:rPr>
            </w:pPr>
          </w:p>
        </w:tc>
        <w:tc>
          <w:tcPr>
            <w:tcW w:w="0" w:type="auto"/>
            <w:vAlign w:val="center"/>
          </w:tcPr>
          <w:p w14:paraId="6F0BC9BB">
            <w:pPr>
              <w:spacing w:line="360" w:lineRule="auto"/>
              <w:jc w:val="center"/>
              <w:rPr>
                <w:color w:val="000000"/>
                <w:sz w:val="24"/>
              </w:rPr>
            </w:pPr>
          </w:p>
        </w:tc>
        <w:tc>
          <w:tcPr>
            <w:tcW w:w="0" w:type="auto"/>
            <w:vAlign w:val="center"/>
          </w:tcPr>
          <w:p w14:paraId="3D3463C7">
            <w:pPr>
              <w:spacing w:line="360" w:lineRule="auto"/>
              <w:jc w:val="center"/>
              <w:rPr>
                <w:color w:val="000000"/>
                <w:sz w:val="24"/>
              </w:rPr>
            </w:pPr>
          </w:p>
        </w:tc>
        <w:tc>
          <w:tcPr>
            <w:tcW w:w="0" w:type="auto"/>
            <w:vAlign w:val="center"/>
          </w:tcPr>
          <w:p w14:paraId="770B08FF">
            <w:pPr>
              <w:spacing w:line="360" w:lineRule="auto"/>
              <w:jc w:val="center"/>
              <w:rPr>
                <w:color w:val="000000"/>
                <w:sz w:val="24"/>
              </w:rPr>
            </w:pPr>
          </w:p>
        </w:tc>
        <w:tc>
          <w:tcPr>
            <w:tcW w:w="0" w:type="auto"/>
            <w:vAlign w:val="center"/>
          </w:tcPr>
          <w:p w14:paraId="0375A98D">
            <w:pPr>
              <w:spacing w:line="360" w:lineRule="auto"/>
              <w:jc w:val="center"/>
              <w:rPr>
                <w:color w:val="000000"/>
                <w:sz w:val="24"/>
              </w:rPr>
            </w:pPr>
          </w:p>
        </w:tc>
        <w:tc>
          <w:tcPr>
            <w:tcW w:w="0" w:type="auto"/>
            <w:vAlign w:val="center"/>
          </w:tcPr>
          <w:p w14:paraId="6CF4E8AF">
            <w:pPr>
              <w:spacing w:line="360" w:lineRule="auto"/>
              <w:jc w:val="center"/>
              <w:rPr>
                <w:color w:val="000000"/>
                <w:sz w:val="24"/>
              </w:rPr>
            </w:pPr>
          </w:p>
        </w:tc>
        <w:tc>
          <w:tcPr>
            <w:tcW w:w="0" w:type="auto"/>
            <w:vAlign w:val="center"/>
          </w:tcPr>
          <w:p w14:paraId="5D2A7589">
            <w:pPr>
              <w:spacing w:line="360" w:lineRule="auto"/>
              <w:jc w:val="center"/>
              <w:rPr>
                <w:color w:val="000000"/>
                <w:sz w:val="24"/>
              </w:rPr>
            </w:pPr>
          </w:p>
        </w:tc>
        <w:tc>
          <w:tcPr>
            <w:tcW w:w="0" w:type="auto"/>
            <w:vAlign w:val="center"/>
          </w:tcPr>
          <w:p w14:paraId="6DB798A9">
            <w:pPr>
              <w:spacing w:line="360" w:lineRule="auto"/>
              <w:jc w:val="center"/>
              <w:rPr>
                <w:color w:val="000000"/>
                <w:sz w:val="24"/>
              </w:rPr>
            </w:pPr>
          </w:p>
        </w:tc>
      </w:tr>
      <w:tr w14:paraId="65E83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1336B6D">
            <w:pPr>
              <w:spacing w:line="360" w:lineRule="auto"/>
              <w:jc w:val="center"/>
              <w:rPr>
                <w:rFonts w:hint="default"/>
                <w:color w:val="000000"/>
                <w:sz w:val="24"/>
                <w:lang w:val="en-US" w:eastAsia="zh-CN"/>
              </w:rPr>
            </w:pPr>
            <w:r>
              <w:rPr>
                <w:rFonts w:hint="eastAsia"/>
                <w:color w:val="000000"/>
                <w:sz w:val="24"/>
                <w:lang w:val="en-US" w:eastAsia="zh-CN"/>
              </w:rPr>
              <w:t>20</w:t>
            </w:r>
          </w:p>
        </w:tc>
        <w:tc>
          <w:tcPr>
            <w:tcW w:w="0" w:type="auto"/>
            <w:vAlign w:val="center"/>
          </w:tcPr>
          <w:p w14:paraId="635FCB57">
            <w:pPr>
              <w:spacing w:line="360" w:lineRule="auto"/>
              <w:jc w:val="center"/>
              <w:rPr>
                <w:rFonts w:hint="default"/>
                <w:color w:val="000000"/>
                <w:sz w:val="24"/>
                <w:highlight w:val="none"/>
                <w:lang w:val="en-US" w:eastAsia="zh-CN"/>
              </w:rPr>
            </w:pPr>
            <w:r>
              <w:rPr>
                <w:rFonts w:hint="eastAsia"/>
                <w:color w:val="000000"/>
                <w:sz w:val="24"/>
                <w:highlight w:val="none"/>
                <w:lang w:val="en-US" w:eastAsia="zh-CN"/>
              </w:rPr>
              <w:t>病案室窗口工作人员</w:t>
            </w:r>
          </w:p>
        </w:tc>
        <w:tc>
          <w:tcPr>
            <w:tcW w:w="0" w:type="auto"/>
            <w:vAlign w:val="center"/>
          </w:tcPr>
          <w:p w14:paraId="347C1D1D">
            <w:pPr>
              <w:spacing w:line="360" w:lineRule="auto"/>
              <w:jc w:val="center"/>
              <w:rPr>
                <w:rFonts w:hint="default"/>
                <w:color w:val="000000"/>
                <w:sz w:val="24"/>
                <w:highlight w:val="none"/>
                <w:lang w:val="en-US" w:eastAsia="zh-CN"/>
              </w:rPr>
            </w:pPr>
            <w:r>
              <w:rPr>
                <w:rFonts w:hint="eastAsia"/>
                <w:color w:val="000000"/>
                <w:sz w:val="24"/>
                <w:highlight w:val="none"/>
                <w:lang w:val="en-US" w:eastAsia="zh-CN"/>
              </w:rPr>
              <w:t>1</w:t>
            </w:r>
          </w:p>
        </w:tc>
        <w:tc>
          <w:tcPr>
            <w:tcW w:w="0" w:type="auto"/>
            <w:vAlign w:val="center"/>
          </w:tcPr>
          <w:p w14:paraId="53EA8977">
            <w:pPr>
              <w:spacing w:line="360" w:lineRule="auto"/>
              <w:jc w:val="center"/>
              <w:rPr>
                <w:color w:val="000000"/>
                <w:sz w:val="24"/>
              </w:rPr>
            </w:pPr>
          </w:p>
        </w:tc>
        <w:tc>
          <w:tcPr>
            <w:tcW w:w="0" w:type="auto"/>
            <w:vAlign w:val="center"/>
          </w:tcPr>
          <w:p w14:paraId="3B855E5C">
            <w:pPr>
              <w:spacing w:line="360" w:lineRule="auto"/>
              <w:jc w:val="center"/>
              <w:rPr>
                <w:color w:val="000000"/>
                <w:sz w:val="24"/>
              </w:rPr>
            </w:pPr>
          </w:p>
        </w:tc>
        <w:tc>
          <w:tcPr>
            <w:tcW w:w="0" w:type="auto"/>
            <w:vAlign w:val="center"/>
          </w:tcPr>
          <w:p w14:paraId="3E33E50E">
            <w:pPr>
              <w:spacing w:line="360" w:lineRule="auto"/>
              <w:jc w:val="center"/>
              <w:rPr>
                <w:color w:val="000000"/>
                <w:sz w:val="24"/>
              </w:rPr>
            </w:pPr>
          </w:p>
        </w:tc>
        <w:tc>
          <w:tcPr>
            <w:tcW w:w="0" w:type="auto"/>
            <w:vAlign w:val="center"/>
          </w:tcPr>
          <w:p w14:paraId="7495D92A">
            <w:pPr>
              <w:spacing w:line="360" w:lineRule="auto"/>
              <w:jc w:val="center"/>
              <w:rPr>
                <w:color w:val="000000"/>
                <w:sz w:val="24"/>
              </w:rPr>
            </w:pPr>
          </w:p>
        </w:tc>
        <w:tc>
          <w:tcPr>
            <w:tcW w:w="0" w:type="auto"/>
            <w:vAlign w:val="center"/>
          </w:tcPr>
          <w:p w14:paraId="0AC5A981">
            <w:pPr>
              <w:spacing w:line="360" w:lineRule="auto"/>
              <w:jc w:val="center"/>
              <w:rPr>
                <w:color w:val="000000"/>
                <w:sz w:val="24"/>
              </w:rPr>
            </w:pPr>
          </w:p>
        </w:tc>
        <w:tc>
          <w:tcPr>
            <w:tcW w:w="0" w:type="auto"/>
            <w:vAlign w:val="center"/>
          </w:tcPr>
          <w:p w14:paraId="46C006BC">
            <w:pPr>
              <w:spacing w:line="360" w:lineRule="auto"/>
              <w:jc w:val="center"/>
              <w:rPr>
                <w:color w:val="000000"/>
                <w:sz w:val="24"/>
              </w:rPr>
            </w:pPr>
          </w:p>
        </w:tc>
        <w:tc>
          <w:tcPr>
            <w:tcW w:w="0" w:type="auto"/>
            <w:vAlign w:val="center"/>
          </w:tcPr>
          <w:p w14:paraId="23698019">
            <w:pPr>
              <w:spacing w:line="360" w:lineRule="auto"/>
              <w:jc w:val="center"/>
              <w:rPr>
                <w:color w:val="000000"/>
                <w:sz w:val="24"/>
              </w:rPr>
            </w:pPr>
          </w:p>
        </w:tc>
        <w:tc>
          <w:tcPr>
            <w:tcW w:w="0" w:type="auto"/>
            <w:vAlign w:val="center"/>
          </w:tcPr>
          <w:p w14:paraId="4EF89DC7">
            <w:pPr>
              <w:spacing w:line="360" w:lineRule="auto"/>
              <w:jc w:val="center"/>
              <w:rPr>
                <w:color w:val="000000"/>
                <w:sz w:val="24"/>
              </w:rPr>
            </w:pPr>
          </w:p>
        </w:tc>
      </w:tr>
      <w:tr w14:paraId="232F7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01E83099">
            <w:pPr>
              <w:spacing w:line="360" w:lineRule="auto"/>
              <w:jc w:val="center"/>
              <w:rPr>
                <w:rFonts w:hint="default" w:eastAsia="宋体"/>
                <w:color w:val="000000"/>
                <w:sz w:val="24"/>
                <w:lang w:val="en-US" w:eastAsia="zh-CN"/>
              </w:rPr>
            </w:pPr>
            <w:r>
              <w:rPr>
                <w:rFonts w:hint="eastAsia"/>
                <w:color w:val="000000"/>
                <w:sz w:val="24"/>
                <w:lang w:val="en-US" w:eastAsia="zh-CN"/>
              </w:rPr>
              <w:t>人员费用合计</w:t>
            </w:r>
          </w:p>
        </w:tc>
        <w:tc>
          <w:tcPr>
            <w:tcW w:w="0" w:type="auto"/>
            <w:gridSpan w:val="5"/>
            <w:vAlign w:val="center"/>
          </w:tcPr>
          <w:p w14:paraId="0997334A">
            <w:pPr>
              <w:spacing w:line="360" w:lineRule="auto"/>
              <w:jc w:val="center"/>
              <w:rPr>
                <w:color w:val="000000"/>
                <w:sz w:val="24"/>
              </w:rPr>
            </w:pPr>
          </w:p>
        </w:tc>
      </w:tr>
      <w:tr w14:paraId="1B0DB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58D435EF">
            <w:pPr>
              <w:spacing w:line="360" w:lineRule="auto"/>
              <w:jc w:val="center"/>
              <w:rPr>
                <w:rFonts w:hint="default" w:eastAsia="宋体"/>
                <w:color w:val="000000"/>
                <w:sz w:val="24"/>
                <w:lang w:val="en-US" w:eastAsia="zh-CN"/>
              </w:rPr>
            </w:pPr>
            <w:r>
              <w:rPr>
                <w:rFonts w:hint="eastAsia"/>
                <w:color w:val="000000"/>
                <w:sz w:val="24"/>
                <w:lang w:val="en-US" w:eastAsia="zh-CN"/>
              </w:rPr>
              <w:t>住宿费用</w:t>
            </w:r>
          </w:p>
        </w:tc>
        <w:tc>
          <w:tcPr>
            <w:tcW w:w="0" w:type="auto"/>
            <w:gridSpan w:val="5"/>
            <w:vAlign w:val="center"/>
          </w:tcPr>
          <w:p w14:paraId="5A5A1912">
            <w:pPr>
              <w:spacing w:line="360" w:lineRule="auto"/>
              <w:jc w:val="center"/>
              <w:rPr>
                <w:rFonts w:hint="default" w:eastAsia="宋体"/>
                <w:color w:val="000000"/>
                <w:sz w:val="24"/>
                <w:lang w:val="en-US" w:eastAsia="zh-CN"/>
              </w:rPr>
            </w:pPr>
            <w:r>
              <w:rPr>
                <w:rFonts w:hint="eastAsia"/>
                <w:color w:val="000000"/>
                <w:sz w:val="24"/>
                <w:lang w:val="en-US" w:eastAsia="zh-CN"/>
              </w:rPr>
              <w:t>75000元</w:t>
            </w:r>
          </w:p>
        </w:tc>
      </w:tr>
      <w:tr w14:paraId="2AE15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67468C47">
            <w:pPr>
              <w:spacing w:line="360" w:lineRule="auto"/>
              <w:jc w:val="center"/>
              <w:rPr>
                <w:rFonts w:hint="default" w:eastAsia="宋体"/>
                <w:color w:val="000000"/>
                <w:sz w:val="24"/>
                <w:lang w:val="en-US" w:eastAsia="zh-CN"/>
              </w:rPr>
            </w:pPr>
            <w:r>
              <w:rPr>
                <w:rFonts w:hint="eastAsia"/>
                <w:color w:val="000000"/>
                <w:sz w:val="24"/>
                <w:lang w:val="en-US" w:eastAsia="zh-CN"/>
              </w:rPr>
              <w:t>法定节假日加班费、年休补贴费</w:t>
            </w:r>
          </w:p>
        </w:tc>
        <w:tc>
          <w:tcPr>
            <w:tcW w:w="0" w:type="auto"/>
            <w:gridSpan w:val="5"/>
            <w:vAlign w:val="center"/>
          </w:tcPr>
          <w:p w14:paraId="64F999BF">
            <w:pPr>
              <w:spacing w:line="360" w:lineRule="auto"/>
              <w:jc w:val="center"/>
              <w:rPr>
                <w:rFonts w:hint="default" w:eastAsia="宋体"/>
                <w:color w:val="000000"/>
                <w:sz w:val="24"/>
                <w:lang w:val="en-US" w:eastAsia="zh-CN"/>
              </w:rPr>
            </w:pPr>
            <w:r>
              <w:rPr>
                <w:rFonts w:hint="eastAsia"/>
                <w:color w:val="000000"/>
                <w:sz w:val="24"/>
                <w:lang w:val="en-US" w:eastAsia="zh-CN"/>
              </w:rPr>
              <w:t>300000元</w:t>
            </w:r>
          </w:p>
        </w:tc>
      </w:tr>
      <w:tr w14:paraId="4EBED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36B80013">
            <w:pPr>
              <w:spacing w:line="360" w:lineRule="auto"/>
              <w:jc w:val="center"/>
              <w:rPr>
                <w:rFonts w:hint="default" w:eastAsia="宋体"/>
                <w:color w:val="000000"/>
                <w:sz w:val="24"/>
                <w:lang w:val="en-US" w:eastAsia="zh-CN"/>
              </w:rPr>
            </w:pPr>
            <w:r>
              <w:rPr>
                <w:rFonts w:hint="eastAsia"/>
                <w:color w:val="000000"/>
                <w:sz w:val="24"/>
                <w:lang w:val="en-US" w:eastAsia="zh-CN"/>
              </w:rPr>
              <w:t>其他费用（各类超时、临时任务加班费、兼职人员费用、器械服装购置费、人员证件复审费、激励奖等）</w:t>
            </w:r>
          </w:p>
        </w:tc>
        <w:tc>
          <w:tcPr>
            <w:tcW w:w="0" w:type="auto"/>
            <w:gridSpan w:val="5"/>
            <w:vAlign w:val="center"/>
          </w:tcPr>
          <w:p w14:paraId="23A3811A">
            <w:pPr>
              <w:spacing w:line="360" w:lineRule="auto"/>
              <w:jc w:val="center"/>
              <w:rPr>
                <w:rFonts w:hint="default" w:eastAsia="宋体"/>
                <w:color w:val="000000"/>
                <w:sz w:val="24"/>
                <w:lang w:val="en-US" w:eastAsia="zh-CN"/>
              </w:rPr>
            </w:pPr>
            <w:r>
              <w:rPr>
                <w:rFonts w:hint="eastAsia"/>
                <w:color w:val="000000"/>
                <w:sz w:val="24"/>
                <w:lang w:val="en-US" w:eastAsia="zh-CN"/>
              </w:rPr>
              <w:t>400000元</w:t>
            </w:r>
          </w:p>
        </w:tc>
      </w:tr>
      <w:tr w14:paraId="5CBF5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640A9390">
            <w:pPr>
              <w:spacing w:line="360" w:lineRule="auto"/>
              <w:jc w:val="center"/>
              <w:rPr>
                <w:rFonts w:hint="eastAsia" w:eastAsia="宋体"/>
                <w:color w:val="000000"/>
                <w:sz w:val="24"/>
                <w:lang w:val="en-US" w:eastAsia="zh-CN"/>
              </w:rPr>
            </w:pPr>
            <w:r>
              <w:rPr>
                <w:rFonts w:hint="eastAsia"/>
                <w:color w:val="000000"/>
                <w:sz w:val="24"/>
                <w:lang w:val="en-US" w:eastAsia="zh-CN"/>
              </w:rPr>
              <w:t>管理费</w:t>
            </w:r>
          </w:p>
        </w:tc>
        <w:tc>
          <w:tcPr>
            <w:tcW w:w="0" w:type="auto"/>
            <w:gridSpan w:val="5"/>
            <w:vAlign w:val="center"/>
          </w:tcPr>
          <w:p w14:paraId="629EFD2D">
            <w:pPr>
              <w:spacing w:line="360" w:lineRule="auto"/>
              <w:jc w:val="center"/>
              <w:rPr>
                <w:rFonts w:hint="default" w:eastAsia="宋体"/>
                <w:color w:val="000000"/>
                <w:sz w:val="24"/>
                <w:lang w:val="en-US" w:eastAsia="zh-CN"/>
              </w:rPr>
            </w:pPr>
            <w:r>
              <w:rPr>
                <w:rFonts w:hint="eastAsia"/>
                <w:color w:val="000000"/>
                <w:sz w:val="24"/>
                <w:lang w:val="en-US" w:eastAsia="zh-CN"/>
              </w:rPr>
              <w:t>请备注管理费费率：    %</w:t>
            </w:r>
          </w:p>
        </w:tc>
      </w:tr>
      <w:tr w14:paraId="0F825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7DE043A3">
            <w:pPr>
              <w:spacing w:line="360" w:lineRule="auto"/>
              <w:jc w:val="center"/>
              <w:rPr>
                <w:rFonts w:hint="eastAsia" w:eastAsia="宋体"/>
                <w:color w:val="000000"/>
                <w:sz w:val="24"/>
                <w:lang w:val="en-US" w:eastAsia="zh-CN"/>
              </w:rPr>
            </w:pPr>
            <w:r>
              <w:rPr>
                <w:rFonts w:hint="eastAsia"/>
                <w:color w:val="000000"/>
                <w:sz w:val="24"/>
                <w:lang w:val="en-US" w:eastAsia="zh-CN"/>
              </w:rPr>
              <w:t>税金</w:t>
            </w:r>
          </w:p>
        </w:tc>
        <w:tc>
          <w:tcPr>
            <w:tcW w:w="0" w:type="auto"/>
            <w:gridSpan w:val="5"/>
            <w:vAlign w:val="center"/>
          </w:tcPr>
          <w:p w14:paraId="17B2010E">
            <w:pPr>
              <w:spacing w:line="360" w:lineRule="auto"/>
              <w:jc w:val="center"/>
              <w:rPr>
                <w:color w:val="000000"/>
                <w:sz w:val="24"/>
              </w:rPr>
            </w:pPr>
          </w:p>
        </w:tc>
      </w:tr>
      <w:tr w14:paraId="5BADB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43076A5B">
            <w:pPr>
              <w:spacing w:line="360" w:lineRule="auto"/>
              <w:jc w:val="center"/>
              <w:rPr>
                <w:rFonts w:hint="default" w:eastAsia="宋体"/>
                <w:color w:val="000000"/>
                <w:sz w:val="24"/>
                <w:lang w:val="en-US" w:eastAsia="zh-CN"/>
              </w:rPr>
            </w:pPr>
            <w:r>
              <w:rPr>
                <w:rFonts w:hint="eastAsia"/>
                <w:color w:val="000000"/>
                <w:sz w:val="24"/>
                <w:lang w:val="en-US" w:eastAsia="zh-CN"/>
              </w:rPr>
              <w:t>单年投标总报价</w:t>
            </w:r>
          </w:p>
        </w:tc>
        <w:tc>
          <w:tcPr>
            <w:tcW w:w="0" w:type="auto"/>
            <w:gridSpan w:val="5"/>
            <w:vAlign w:val="center"/>
          </w:tcPr>
          <w:p w14:paraId="6D037F6B">
            <w:pPr>
              <w:spacing w:line="360" w:lineRule="auto"/>
              <w:jc w:val="center"/>
              <w:rPr>
                <w:color w:val="000000"/>
                <w:sz w:val="24"/>
              </w:rPr>
            </w:pPr>
          </w:p>
        </w:tc>
      </w:tr>
      <w:tr w14:paraId="282B9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589488F5">
            <w:pPr>
              <w:spacing w:line="360" w:lineRule="auto"/>
              <w:jc w:val="center"/>
              <w:rPr>
                <w:rFonts w:hint="eastAsia"/>
                <w:color w:val="000000"/>
                <w:sz w:val="24"/>
                <w:lang w:val="en-US" w:eastAsia="zh-CN"/>
              </w:rPr>
            </w:pPr>
            <w:r>
              <w:rPr>
                <w:rFonts w:hint="eastAsia"/>
                <w:color w:val="000000"/>
                <w:sz w:val="24"/>
                <w:lang w:val="en-US" w:eastAsia="zh-CN"/>
              </w:rPr>
              <w:t>两年投标总报价</w:t>
            </w:r>
          </w:p>
        </w:tc>
        <w:tc>
          <w:tcPr>
            <w:tcW w:w="0" w:type="auto"/>
            <w:gridSpan w:val="5"/>
            <w:vAlign w:val="center"/>
          </w:tcPr>
          <w:p w14:paraId="37E44E84">
            <w:pPr>
              <w:spacing w:line="360" w:lineRule="auto"/>
              <w:jc w:val="center"/>
              <w:rPr>
                <w:color w:val="000000"/>
                <w:sz w:val="24"/>
              </w:rPr>
            </w:pPr>
          </w:p>
        </w:tc>
      </w:tr>
    </w:tbl>
    <w:p w14:paraId="30F6122E">
      <w:pPr>
        <w:snapToGrid w:val="0"/>
        <w:spacing w:line="360" w:lineRule="auto"/>
        <w:ind w:firstLine="480" w:firstLineChars="200"/>
        <w:rPr>
          <w:rFonts w:hint="eastAsia"/>
          <w:sz w:val="24"/>
          <w:highlight w:val="none"/>
        </w:rPr>
      </w:pPr>
      <w:r>
        <w:rPr>
          <w:sz w:val="24"/>
        </w:rPr>
        <w:t>注：</w:t>
      </w:r>
      <w:r>
        <w:rPr>
          <w:sz w:val="24"/>
          <w:highlight w:val="none"/>
        </w:rPr>
        <w:t>以上人员费用表为1年的各项费用组成，</w:t>
      </w:r>
      <w:r>
        <w:rPr>
          <w:rFonts w:hint="eastAsia"/>
          <w:sz w:val="24"/>
          <w:highlight w:val="none"/>
          <w:lang w:val="en-US" w:eastAsia="zh-CN"/>
        </w:rPr>
        <w:t>具体说明如下：</w:t>
      </w:r>
      <w:r>
        <w:rPr>
          <w:sz w:val="24"/>
          <w:highlight w:val="none"/>
        </w:rPr>
        <w:t>法定节假日加班费、年休补贴费用以投标当年杭州市区最低工资标准作为计取基数</w:t>
      </w:r>
      <w:r>
        <w:rPr>
          <w:rFonts w:hint="eastAsia"/>
          <w:sz w:val="24"/>
          <w:highlight w:val="none"/>
          <w:lang w:val="en-US" w:eastAsia="zh-CN"/>
        </w:rPr>
        <w:t>，且年度累计支付金额原则上不得突破该项相应限额；</w:t>
      </w:r>
      <w:r>
        <w:rPr>
          <w:sz w:val="24"/>
          <w:highlight w:val="none"/>
        </w:rPr>
        <w:t>管理费根据当月实际产生费用和投标百分比计算</w:t>
      </w:r>
      <w:r>
        <w:rPr>
          <w:rFonts w:hint="eastAsia"/>
          <w:sz w:val="24"/>
          <w:highlight w:val="none"/>
          <w:lang w:eastAsia="zh-CN"/>
        </w:rPr>
        <w:t>；</w:t>
      </w:r>
      <w:r>
        <w:rPr>
          <w:rFonts w:hint="eastAsia"/>
          <w:sz w:val="24"/>
          <w:highlight w:val="none"/>
          <w:lang w:val="en-US" w:eastAsia="zh-CN"/>
        </w:rPr>
        <w:t>住宿费用及其他费用根据实际产生结算，且年度累计支付金额原则上不得突破该项相应限额；年社保费按国家及地方政策规定的最低基数比例缴纳支付，如遇</w:t>
      </w:r>
      <w:r>
        <w:rPr>
          <w:sz w:val="24"/>
          <w:highlight w:val="none"/>
        </w:rPr>
        <w:t>国家相关用工政策调整</w:t>
      </w:r>
      <w:r>
        <w:rPr>
          <w:rFonts w:hint="eastAsia"/>
          <w:sz w:val="24"/>
          <w:highlight w:val="none"/>
          <w:lang w:eastAsia="zh-CN"/>
        </w:rPr>
        <w:t>，</w:t>
      </w:r>
      <w:r>
        <w:rPr>
          <w:sz w:val="24"/>
          <w:highlight w:val="none"/>
        </w:rPr>
        <w:t>则双方协商</w:t>
      </w:r>
      <w:r>
        <w:rPr>
          <w:rFonts w:hint="eastAsia"/>
          <w:sz w:val="24"/>
          <w:highlight w:val="none"/>
          <w:lang w:val="en-US" w:eastAsia="zh-CN"/>
        </w:rPr>
        <w:t>一致</w:t>
      </w:r>
      <w:r>
        <w:rPr>
          <w:sz w:val="24"/>
          <w:highlight w:val="none"/>
        </w:rPr>
        <w:t>后予以相应调整</w:t>
      </w:r>
      <w:r>
        <w:rPr>
          <w:rFonts w:hint="eastAsia"/>
          <w:sz w:val="24"/>
          <w:highlight w:val="none"/>
          <w:lang w:eastAsia="zh-CN"/>
        </w:rPr>
        <w:t>；</w:t>
      </w:r>
      <w:r>
        <w:rPr>
          <w:rFonts w:hint="eastAsia"/>
          <w:sz w:val="24"/>
          <w:highlight w:val="none"/>
          <w:lang w:val="en-US" w:eastAsia="zh-CN"/>
        </w:rPr>
        <w:t>其余</w:t>
      </w:r>
      <w:r>
        <w:rPr>
          <w:sz w:val="24"/>
          <w:highlight w:val="none"/>
        </w:rPr>
        <w:t>支付费用标准按照投标报价执行，</w:t>
      </w:r>
      <w:r>
        <w:rPr>
          <w:rFonts w:hint="eastAsia"/>
          <w:sz w:val="24"/>
          <w:highlight w:val="none"/>
        </w:rPr>
        <w:t>但</w:t>
      </w:r>
      <w:r>
        <w:rPr>
          <w:sz w:val="24"/>
          <w:highlight w:val="none"/>
        </w:rPr>
        <w:t>最终服务费用按实际</w:t>
      </w:r>
      <w:r>
        <w:rPr>
          <w:rFonts w:hint="eastAsia"/>
          <w:sz w:val="24"/>
          <w:highlight w:val="none"/>
        </w:rPr>
        <w:t>发生</w:t>
      </w:r>
      <w:r>
        <w:rPr>
          <w:sz w:val="24"/>
          <w:highlight w:val="none"/>
        </w:rPr>
        <w:t>结算。项目年度累计结算费用不得超过</w:t>
      </w:r>
      <w:r>
        <w:rPr>
          <w:rFonts w:hint="eastAsia"/>
          <w:sz w:val="24"/>
          <w:highlight w:val="none"/>
          <w:lang w:val="en-US" w:eastAsia="zh-CN"/>
        </w:rPr>
        <w:t>单年</w:t>
      </w:r>
      <w:r>
        <w:rPr>
          <w:sz w:val="24"/>
          <w:highlight w:val="none"/>
        </w:rPr>
        <w:t>投标</w:t>
      </w:r>
      <w:r>
        <w:rPr>
          <w:rFonts w:hint="eastAsia"/>
          <w:sz w:val="24"/>
          <w:highlight w:val="none"/>
          <w:lang w:val="en-US" w:eastAsia="zh-CN"/>
        </w:rPr>
        <w:t>总</w:t>
      </w:r>
      <w:r>
        <w:rPr>
          <w:sz w:val="24"/>
          <w:highlight w:val="none"/>
        </w:rPr>
        <w:t>报价</w:t>
      </w:r>
      <w:r>
        <w:rPr>
          <w:rFonts w:hint="eastAsia"/>
          <w:sz w:val="24"/>
          <w:highlight w:val="none"/>
        </w:rPr>
        <w:t>。</w:t>
      </w:r>
    </w:p>
    <w:p w14:paraId="5D8CD61C">
      <w:pPr>
        <w:snapToGrid w:val="0"/>
        <w:spacing w:line="360" w:lineRule="auto"/>
        <w:ind w:firstLine="360" w:firstLineChars="150"/>
        <w:rPr>
          <w:color w:val="000000"/>
          <w:sz w:val="24"/>
        </w:rPr>
      </w:pPr>
      <w:r>
        <w:rPr>
          <w:rFonts w:hint="eastAsia"/>
          <w:color w:val="000000"/>
          <w:sz w:val="24"/>
          <w:lang w:val="en-US" w:eastAsia="zh-CN"/>
        </w:rPr>
        <w:t>5</w:t>
      </w:r>
      <w:r>
        <w:rPr>
          <w:color w:val="000000"/>
          <w:sz w:val="24"/>
        </w:rPr>
        <w:t>、因医院特殊情况，全年收治病人，需保障各设备设施系统全年的正常稳定运行，以及突发事件的应急处置，要求工作人员在较短的时间内赶往医院协助完成各类的突发事件的应急处置，为此投标人在合同期内应能在医院周边（半小时）提供员工住宿。</w:t>
      </w:r>
    </w:p>
    <w:p w14:paraId="0B06F233">
      <w:pPr>
        <w:snapToGrid w:val="0"/>
        <w:spacing w:line="360" w:lineRule="auto"/>
        <w:ind w:firstLine="360" w:firstLineChars="150"/>
        <w:rPr>
          <w:color w:val="000000"/>
          <w:sz w:val="24"/>
        </w:rPr>
      </w:pPr>
      <w:r>
        <w:rPr>
          <w:rFonts w:hint="eastAsia"/>
          <w:color w:val="000000"/>
          <w:sz w:val="24"/>
          <w:lang w:val="en-US" w:eastAsia="zh-CN"/>
        </w:rPr>
        <w:t>6</w:t>
      </w:r>
      <w:r>
        <w:rPr>
          <w:color w:val="000000"/>
          <w:sz w:val="24"/>
        </w:rPr>
        <w:t>、员工人数配置需按照院方的实际需求为准（即根据医院发展的调整，适当调整工作人员数量）。如医院要求增加/减少一个岗位，原则上参照投标文件中相应岗位收入标准。</w:t>
      </w:r>
    </w:p>
    <w:p w14:paraId="6044721B">
      <w:pPr>
        <w:snapToGrid w:val="0"/>
        <w:spacing w:line="360" w:lineRule="auto"/>
        <w:ind w:firstLine="360" w:firstLineChars="150"/>
        <w:rPr>
          <w:color w:val="000000"/>
          <w:sz w:val="24"/>
        </w:rPr>
      </w:pPr>
      <w:r>
        <w:rPr>
          <w:rFonts w:hint="eastAsia"/>
          <w:color w:val="000000"/>
          <w:sz w:val="24"/>
          <w:lang w:val="en-US" w:eastAsia="zh-CN"/>
        </w:rPr>
        <w:t>7</w:t>
      </w:r>
      <w:r>
        <w:rPr>
          <w:color w:val="000000"/>
          <w:sz w:val="24"/>
        </w:rPr>
        <w:t>、为了保证医院特殊场所后勤保障安全性及各项工作平稳发展，中标单位需接受采购方认可的原有班组成员（在拟派人员名单中进行替换），工作交接期间要做好原有员工的社保衔接工作和其他各项工作的交接。</w:t>
      </w:r>
    </w:p>
    <w:p w14:paraId="3A42C958">
      <w:pPr>
        <w:snapToGrid w:val="0"/>
        <w:spacing w:line="360" w:lineRule="auto"/>
        <w:ind w:firstLine="360" w:firstLineChars="150"/>
        <w:rPr>
          <w:color w:val="000000"/>
          <w:sz w:val="24"/>
        </w:rPr>
      </w:pPr>
      <w:r>
        <w:rPr>
          <w:rFonts w:hint="eastAsia"/>
          <w:color w:val="000000"/>
          <w:sz w:val="24"/>
          <w:lang w:val="en-US" w:eastAsia="zh-CN"/>
        </w:rPr>
        <w:t>8</w:t>
      </w:r>
      <w:r>
        <w:rPr>
          <w:color w:val="000000"/>
          <w:sz w:val="24"/>
        </w:rPr>
        <w:t>、年社保费指五险一金，含在投标总价中，按国家相关规定执行。</w:t>
      </w:r>
    </w:p>
    <w:p w14:paraId="73F1ABAC">
      <w:pPr>
        <w:snapToGrid w:val="0"/>
        <w:spacing w:line="360" w:lineRule="auto"/>
        <w:ind w:firstLine="360" w:firstLineChars="150"/>
        <w:outlineLvl w:val="1"/>
        <w:rPr>
          <w:color w:val="000000"/>
          <w:sz w:val="24"/>
        </w:rPr>
      </w:pPr>
      <w:r>
        <w:rPr>
          <w:rFonts w:hint="eastAsia"/>
          <w:color w:val="000000"/>
          <w:sz w:val="24"/>
          <w:lang w:val="en-US" w:eastAsia="zh-CN"/>
        </w:rPr>
        <w:t>9</w:t>
      </w:r>
      <w:r>
        <w:rPr>
          <w:color w:val="000000"/>
          <w:sz w:val="24"/>
        </w:rPr>
        <w:t>、支付方式：</w:t>
      </w:r>
    </w:p>
    <w:p w14:paraId="0434FC2C">
      <w:pPr>
        <w:snapToGrid w:val="0"/>
        <w:spacing w:line="360" w:lineRule="auto"/>
        <w:ind w:firstLine="600" w:firstLineChars="250"/>
        <w:outlineLvl w:val="1"/>
        <w:rPr>
          <w:color w:val="000000"/>
          <w:sz w:val="24"/>
        </w:rPr>
      </w:pPr>
      <w:r>
        <w:rPr>
          <w:rFonts w:ascii="Times New Roman" w:hAnsi="Times New Roman" w:eastAsia="宋体" w:cs="Times New Roman"/>
          <w:color w:val="000000"/>
          <w:sz w:val="24"/>
          <w:highlight w:val="none"/>
        </w:rPr>
        <w:t>本项目采用按月支付方式，双方每月根据</w:t>
      </w:r>
      <w:r>
        <w:rPr>
          <w:rFonts w:hint="eastAsia" w:cs="Times New Roman"/>
          <w:color w:val="000000"/>
          <w:sz w:val="24"/>
          <w:highlight w:val="none"/>
          <w:lang w:val="en-US" w:eastAsia="zh-CN"/>
        </w:rPr>
        <w:t>中标人</w:t>
      </w:r>
      <w:r>
        <w:rPr>
          <w:rFonts w:ascii="Times New Roman" w:hAnsi="Times New Roman" w:eastAsia="宋体" w:cs="Times New Roman"/>
          <w:color w:val="000000"/>
          <w:sz w:val="24"/>
          <w:highlight w:val="none"/>
        </w:rPr>
        <w:t>实际履约</w:t>
      </w:r>
      <w:r>
        <w:rPr>
          <w:rFonts w:hint="eastAsia" w:cs="Times New Roman"/>
          <w:color w:val="000000"/>
          <w:sz w:val="24"/>
          <w:highlight w:val="none"/>
          <w:lang w:val="en-US" w:eastAsia="zh-CN"/>
        </w:rPr>
        <w:t>考评</w:t>
      </w:r>
      <w:r>
        <w:rPr>
          <w:rFonts w:ascii="Times New Roman" w:hAnsi="Times New Roman" w:eastAsia="宋体" w:cs="Times New Roman"/>
          <w:color w:val="000000"/>
          <w:sz w:val="24"/>
          <w:highlight w:val="none"/>
        </w:rPr>
        <w:t>情况进行据实结算，于</w:t>
      </w:r>
      <w:r>
        <w:rPr>
          <w:rFonts w:hint="eastAsia" w:cs="Times New Roman"/>
          <w:color w:val="000000"/>
          <w:sz w:val="24"/>
          <w:highlight w:val="none"/>
          <w:lang w:val="en-US" w:eastAsia="zh-CN"/>
        </w:rPr>
        <w:t>每</w:t>
      </w:r>
      <w:r>
        <w:rPr>
          <w:rFonts w:ascii="Times New Roman" w:hAnsi="Times New Roman" w:eastAsia="宋体" w:cs="Times New Roman"/>
          <w:color w:val="000000"/>
          <w:sz w:val="24"/>
          <w:highlight w:val="none"/>
        </w:rPr>
        <w:t>月 30 日前完成上一月服务费结算工作。</w:t>
      </w:r>
      <w:r>
        <w:rPr>
          <w:rFonts w:hint="eastAsia" w:ascii="宋体" w:hAnsi="宋体" w:cs="宋体"/>
          <w:sz w:val="24"/>
        </w:rPr>
        <w:t>如双方结算过程中发生争议</w:t>
      </w:r>
      <w:r>
        <w:rPr>
          <w:rFonts w:ascii="宋体" w:hAnsi="宋体" w:cs="宋体"/>
          <w:sz w:val="24"/>
        </w:rPr>
        <w:t>，</w:t>
      </w:r>
      <w:r>
        <w:rPr>
          <w:rFonts w:hint="eastAsia" w:ascii="宋体" w:hAnsi="宋体" w:cs="宋体"/>
          <w:sz w:val="24"/>
          <w:lang w:val="en-US" w:eastAsia="zh-CN"/>
        </w:rPr>
        <w:t>采购人</w:t>
      </w:r>
      <w:r>
        <w:rPr>
          <w:rFonts w:hint="eastAsia" w:ascii="宋体" w:hAnsi="宋体" w:cs="宋体"/>
          <w:sz w:val="24"/>
        </w:rPr>
        <w:t>有权延迟支付</w:t>
      </w:r>
      <w:r>
        <w:rPr>
          <w:rFonts w:ascii="宋体" w:hAnsi="宋体" w:cs="宋体"/>
          <w:sz w:val="24"/>
        </w:rPr>
        <w:t>，</w:t>
      </w:r>
      <w:r>
        <w:rPr>
          <w:rFonts w:hint="eastAsia" w:ascii="宋体" w:hAnsi="宋体" w:cs="宋体"/>
          <w:sz w:val="24"/>
        </w:rPr>
        <w:t>并不因此构成违约</w:t>
      </w:r>
      <w:r>
        <w:rPr>
          <w:rFonts w:hint="eastAsia" w:ascii="宋体" w:hAnsi="宋体" w:cs="宋体"/>
          <w:sz w:val="24"/>
          <w:lang w:eastAsia="zh-CN"/>
        </w:rPr>
        <w:t>。</w:t>
      </w:r>
      <w:r>
        <w:rPr>
          <w:rFonts w:ascii="Times New Roman" w:hAnsi="Times New Roman" w:eastAsia="宋体" w:cs="Times New Roman"/>
          <w:color w:val="000000"/>
          <w:sz w:val="24"/>
          <w:highlight w:val="none"/>
        </w:rPr>
        <w:t>双方对结算结果（即实际结算金额）确认无误后</w:t>
      </w:r>
      <w:r>
        <w:rPr>
          <w:rFonts w:hint="eastAsia" w:ascii="Times New Roman" w:hAnsi="Times New Roman" w:eastAsia="宋体" w:cs="Times New Roman"/>
          <w:color w:val="000000"/>
          <w:sz w:val="24"/>
          <w:highlight w:val="none"/>
          <w:lang w:eastAsia="zh-CN"/>
        </w:rPr>
        <w:t>，</w:t>
      </w:r>
      <w:r>
        <w:rPr>
          <w:rFonts w:hint="eastAsia" w:ascii="Times New Roman" w:hAnsi="Times New Roman" w:eastAsia="宋体" w:cs="Times New Roman"/>
          <w:color w:val="000000"/>
          <w:sz w:val="24"/>
          <w:highlight w:val="none"/>
          <w:lang w:val="en-US" w:eastAsia="zh-CN"/>
        </w:rPr>
        <w:t>则</w:t>
      </w:r>
      <w:r>
        <w:rPr>
          <w:rFonts w:ascii="Times New Roman" w:hAnsi="Times New Roman" w:eastAsia="宋体" w:cs="Times New Roman"/>
          <w:color w:val="000000"/>
          <w:sz w:val="24"/>
          <w:highlight w:val="none"/>
        </w:rPr>
        <w:t>该结算</w:t>
      </w:r>
      <w:r>
        <w:rPr>
          <w:rFonts w:hint="eastAsia" w:ascii="Times New Roman" w:hAnsi="Times New Roman" w:eastAsia="宋体" w:cs="Times New Roman"/>
          <w:color w:val="000000"/>
          <w:sz w:val="24"/>
          <w:highlight w:val="none"/>
          <w:lang w:val="en-US" w:eastAsia="zh-CN"/>
        </w:rPr>
        <w:t>金额</w:t>
      </w:r>
      <w:r>
        <w:rPr>
          <w:rFonts w:ascii="Times New Roman" w:hAnsi="Times New Roman" w:eastAsia="宋体" w:cs="Times New Roman"/>
          <w:color w:val="000000"/>
          <w:sz w:val="24"/>
          <w:highlight w:val="none"/>
        </w:rPr>
        <w:t>即作为当期应支付款项。服务期间，中标人须按实际结算金额向采购人开具合法有效的增值税发票，并于次月 20 日前向采购人提交当月费用清单</w:t>
      </w:r>
      <w:r>
        <w:rPr>
          <w:rFonts w:hint="eastAsia" w:cs="Times New Roman"/>
          <w:color w:val="000000"/>
          <w:sz w:val="24"/>
          <w:highlight w:val="none"/>
          <w:lang w:eastAsia="zh-CN"/>
        </w:rPr>
        <w:t>、</w:t>
      </w:r>
      <w:r>
        <w:rPr>
          <w:rFonts w:ascii="Times New Roman" w:hAnsi="Times New Roman" w:eastAsia="宋体" w:cs="Times New Roman"/>
          <w:color w:val="000000"/>
          <w:sz w:val="24"/>
          <w:highlight w:val="none"/>
        </w:rPr>
        <w:t>等额发票</w:t>
      </w:r>
      <w:r>
        <w:rPr>
          <w:rFonts w:hint="eastAsia" w:cs="Times New Roman"/>
          <w:color w:val="000000"/>
          <w:sz w:val="24"/>
          <w:highlight w:val="none"/>
          <w:lang w:eastAsia="zh-CN"/>
        </w:rPr>
        <w:t>等支付材料</w:t>
      </w:r>
      <w:r>
        <w:rPr>
          <w:rFonts w:ascii="Times New Roman" w:hAnsi="Times New Roman" w:eastAsia="宋体" w:cs="Times New Roman"/>
          <w:color w:val="000000"/>
          <w:sz w:val="24"/>
          <w:highlight w:val="none"/>
        </w:rPr>
        <w:t>。采购人在收到完整支付材料并审核确认无误后，将相应费用划入中标人指定银行账户</w:t>
      </w:r>
      <w:r>
        <w:rPr>
          <w:rFonts w:hint="eastAsia" w:ascii="Times New Roman" w:hAnsi="Times New Roman" w:eastAsia="宋体" w:cs="Times New Roman"/>
          <w:color w:val="000000"/>
          <w:sz w:val="24"/>
          <w:highlight w:val="none"/>
          <w:lang w:eastAsia="zh-CN"/>
        </w:rPr>
        <w:t>。</w:t>
      </w:r>
    </w:p>
    <w:p w14:paraId="05C2EB57">
      <w:pPr>
        <w:snapToGrid w:val="0"/>
        <w:spacing w:line="360" w:lineRule="auto"/>
        <w:jc w:val="left"/>
        <w:rPr>
          <w:b/>
          <w:snapToGrid w:val="0"/>
          <w:color w:val="000000"/>
          <w:kern w:val="0"/>
          <w:sz w:val="24"/>
        </w:rPr>
      </w:pPr>
      <w:r>
        <w:rPr>
          <w:b/>
          <w:snapToGrid w:val="0"/>
          <w:color w:val="000000"/>
          <w:kern w:val="0"/>
          <w:sz w:val="24"/>
        </w:rPr>
        <w:t>五、其他要求及说明：</w:t>
      </w:r>
    </w:p>
    <w:p w14:paraId="5303C9B3">
      <w:pPr>
        <w:tabs>
          <w:tab w:val="left" w:pos="540"/>
          <w:tab w:val="left" w:pos="780"/>
        </w:tabs>
        <w:spacing w:line="360" w:lineRule="auto"/>
        <w:ind w:firstLine="360" w:firstLineChars="150"/>
        <w:rPr>
          <w:color w:val="000000"/>
          <w:sz w:val="24"/>
        </w:rPr>
      </w:pPr>
      <w:r>
        <w:rPr>
          <w:color w:val="000000"/>
          <w:sz w:val="24"/>
        </w:rPr>
        <w:t>1、中标人必须指定一位项目负责人，全权代表其负责本项目的管理对接工作，并与采购人保持密切联系。</w:t>
      </w:r>
    </w:p>
    <w:p w14:paraId="56971E25">
      <w:pPr>
        <w:spacing w:line="360" w:lineRule="auto"/>
        <w:ind w:firstLine="360" w:firstLineChars="150"/>
        <w:jc w:val="left"/>
        <w:rPr>
          <w:sz w:val="24"/>
          <w:u w:val="single"/>
        </w:rPr>
      </w:pPr>
      <w:r>
        <w:rPr>
          <w:color w:val="000000"/>
          <w:sz w:val="24"/>
        </w:rPr>
        <w:t>2、中标人自行负责其招聘员工的一切工资、福利；如发生工伤、疾病乃至死亡的一切责任及费用由中标人全部负责。如因中标人原因造成第三方损失的或在服务过程中中标人与从业人员发生任何劳动纠纷的，一切责任与费用由中标人全部负责。</w:t>
      </w:r>
    </w:p>
    <w:p w14:paraId="2376184A">
      <w:pPr>
        <w:spacing w:line="360" w:lineRule="auto"/>
        <w:ind w:firstLine="360" w:firstLineChars="150"/>
        <w:rPr>
          <w:sz w:val="24"/>
        </w:rPr>
      </w:pPr>
      <w:r>
        <w:rPr>
          <w:color w:val="000000"/>
          <w:sz w:val="24"/>
        </w:rPr>
        <w:t>3、中标人需做好招工培训工作，人员的各项资质要求按照“第三条主要服务内容中的各项人员资质要求”。培训合格后上岗，同时要保证人员的相对稳定，并按《人员费用表》中规定支付各工种个人工资，不得截留。人员的新招和辞退需经采购方的认可同意。</w:t>
      </w:r>
    </w:p>
    <w:p w14:paraId="54B521B0">
      <w:pPr>
        <w:tabs>
          <w:tab w:val="left" w:pos="540"/>
          <w:tab w:val="left" w:pos="780"/>
        </w:tabs>
        <w:spacing w:line="360" w:lineRule="auto"/>
        <w:ind w:firstLine="480" w:firstLineChars="200"/>
        <w:rPr>
          <w:color w:val="000000"/>
          <w:sz w:val="24"/>
        </w:rPr>
      </w:pPr>
      <w:r>
        <w:rPr>
          <w:sz w:val="24"/>
        </w:rPr>
        <w:t>4、</w:t>
      </w:r>
      <w:r>
        <w:rPr>
          <w:color w:val="000000"/>
          <w:sz w:val="24"/>
        </w:rPr>
        <w:t>中标人</w:t>
      </w:r>
      <w:r>
        <w:rPr>
          <w:sz w:val="24"/>
        </w:rPr>
        <w:t>及其员工必须遵守医院的一切行政管理、消防安全、病区、</w:t>
      </w:r>
      <w:r>
        <w:rPr>
          <w:rFonts w:hint="eastAsia"/>
          <w:sz w:val="24"/>
          <w:lang w:eastAsia="zh-CN"/>
        </w:rPr>
        <w:t>院感</w:t>
      </w:r>
      <w:r>
        <w:rPr>
          <w:sz w:val="24"/>
        </w:rPr>
        <w:t>防控等规定和制度</w:t>
      </w:r>
      <w:r>
        <w:rPr>
          <w:color w:val="000000"/>
          <w:sz w:val="24"/>
        </w:rPr>
        <w:t>。采购人有权对中标人员工的工作行为进行监督，如发现中标人员工有违反医院的规定和制度的行为，采购人将要求其改正，态度恶劣拒不改整的，采购人有权要求中标人予以辞退，中标人必须无条件接受。</w:t>
      </w:r>
    </w:p>
    <w:p w14:paraId="297D79CE">
      <w:pPr>
        <w:tabs>
          <w:tab w:val="left" w:pos="420"/>
          <w:tab w:val="left" w:pos="780"/>
        </w:tabs>
        <w:spacing w:line="360" w:lineRule="auto"/>
        <w:ind w:firstLine="120" w:firstLineChars="50"/>
        <w:rPr>
          <w:color w:val="000000"/>
          <w:sz w:val="24"/>
        </w:rPr>
      </w:pPr>
      <w:r>
        <w:rPr>
          <w:color w:val="000000"/>
          <w:sz w:val="24"/>
        </w:rPr>
        <w:tab/>
      </w:r>
      <w:r>
        <w:rPr>
          <w:color w:val="000000"/>
          <w:sz w:val="24"/>
        </w:rPr>
        <w:t>5、遇突发事件或安全检查时，中标人必须配合有关部门执行任务，并指定专职人员协助工作，直至完成。</w:t>
      </w:r>
    </w:p>
    <w:p w14:paraId="4641E85B">
      <w:pPr>
        <w:tabs>
          <w:tab w:val="left" w:pos="540"/>
          <w:tab w:val="left" w:pos="780"/>
        </w:tabs>
        <w:spacing w:line="360" w:lineRule="auto"/>
        <w:ind w:firstLine="480" w:firstLineChars="200"/>
        <w:rPr>
          <w:color w:val="000000"/>
          <w:sz w:val="24"/>
        </w:rPr>
      </w:pPr>
      <w:r>
        <w:rPr>
          <w:color w:val="000000"/>
          <w:sz w:val="24"/>
        </w:rPr>
        <w:t>6、中标人不以任何形式转租、转让、抵押服务区域，在服务区域只从事采购人认可的服务工作。在服务期间，中标人的任何股份配置变动应通知采购人。未经采购人书面批准，任何占有支配地位的股份转让者将视为中标人出租、转让的行为。</w:t>
      </w:r>
    </w:p>
    <w:p w14:paraId="65F148CE">
      <w:pPr>
        <w:tabs>
          <w:tab w:val="left" w:pos="540"/>
          <w:tab w:val="left" w:pos="780"/>
        </w:tabs>
        <w:spacing w:line="360" w:lineRule="auto"/>
        <w:ind w:firstLine="480" w:firstLineChars="200"/>
        <w:rPr>
          <w:color w:val="000000"/>
          <w:sz w:val="24"/>
        </w:rPr>
      </w:pPr>
      <w:r>
        <w:rPr>
          <w:color w:val="000000"/>
          <w:sz w:val="24"/>
        </w:rPr>
        <w:t>7、服务区域的各项服务工作时间必须符合及满足采购人的要求，周末及公众假期，需根据采购人需要提供服务。</w:t>
      </w:r>
    </w:p>
    <w:p w14:paraId="3CABEAD6">
      <w:pPr>
        <w:tabs>
          <w:tab w:val="left" w:pos="540"/>
          <w:tab w:val="left" w:pos="780"/>
        </w:tabs>
        <w:spacing w:line="360" w:lineRule="auto"/>
        <w:ind w:firstLine="480" w:firstLineChars="200"/>
        <w:rPr>
          <w:color w:val="000000"/>
          <w:sz w:val="24"/>
        </w:rPr>
      </w:pPr>
      <w:r>
        <w:rPr>
          <w:color w:val="000000"/>
          <w:sz w:val="24"/>
        </w:rPr>
        <w:t>8、有较强的技术支撑团队，在本项目服务过程中出现的疑难技术问题，中标单位应及时组织相应技术工程人员赴现场指导解决。</w:t>
      </w:r>
    </w:p>
    <w:p w14:paraId="4C20EF0F">
      <w:pPr>
        <w:tabs>
          <w:tab w:val="left" w:pos="540"/>
          <w:tab w:val="left" w:pos="780"/>
        </w:tabs>
        <w:spacing w:line="360" w:lineRule="auto"/>
        <w:ind w:firstLine="480" w:firstLineChars="200"/>
        <w:rPr>
          <w:color w:val="000000"/>
          <w:sz w:val="24"/>
        </w:rPr>
      </w:pPr>
      <w:r>
        <w:rPr>
          <w:color w:val="000000"/>
          <w:sz w:val="24"/>
        </w:rPr>
        <w:t>9、根据采购人需要，中标人须提供其派驻采购方的实际人员名单及加盖公章的工资发放明细表。</w:t>
      </w:r>
    </w:p>
    <w:p w14:paraId="1783F661">
      <w:pPr>
        <w:tabs>
          <w:tab w:val="left" w:pos="540"/>
          <w:tab w:val="left" w:pos="780"/>
        </w:tabs>
        <w:spacing w:line="360" w:lineRule="auto"/>
        <w:ind w:firstLine="480" w:firstLineChars="200"/>
        <w:rPr>
          <w:color w:val="000000"/>
          <w:sz w:val="24"/>
        </w:rPr>
      </w:pPr>
      <w:r>
        <w:rPr>
          <w:color w:val="000000"/>
          <w:sz w:val="24"/>
        </w:rPr>
        <w:t>10、</w:t>
      </w:r>
      <w:r>
        <w:rPr>
          <w:sz w:val="24"/>
        </w:rPr>
        <w:t>中标人需在202</w:t>
      </w:r>
      <w:r>
        <w:rPr>
          <w:rFonts w:hint="eastAsia"/>
          <w:sz w:val="24"/>
          <w:lang w:val="en-US" w:eastAsia="zh-CN"/>
        </w:rPr>
        <w:t>5</w:t>
      </w:r>
      <w:r>
        <w:rPr>
          <w:sz w:val="24"/>
        </w:rPr>
        <w:t>年7月31日前完成与前期服务单位所有工作交接，并按照投标文件承诺开始履行服务义务。</w:t>
      </w:r>
    </w:p>
    <w:p w14:paraId="33899148">
      <w:pPr>
        <w:spacing w:line="360" w:lineRule="auto"/>
        <w:ind w:firstLine="480" w:firstLineChars="200"/>
        <w:rPr>
          <w:sz w:val="24"/>
        </w:rPr>
      </w:pPr>
      <w:r>
        <w:rPr>
          <w:color w:val="000000"/>
          <w:sz w:val="24"/>
        </w:rPr>
        <w:t>11、采购方对中标单位实行</w:t>
      </w:r>
      <w:r>
        <w:rPr>
          <w:sz w:val="24"/>
        </w:rPr>
        <w:t>每月一次的考核评价制，考核结果未达到90分及以上按要求进行处罚。月考核评价结果90分（含90分）以上，按合同全额支付。低于90分（不含90分），每下降1分，扣款1000元，以此类推。低于85分除按规定扣罚外，予以书面警告一次。全年出现三次书面警告或月度考核低于60分的，医院有权终止合同并主张违约责任的索赔。</w:t>
      </w:r>
    </w:p>
    <w:p w14:paraId="6E84EBC0">
      <w:pPr>
        <w:spacing w:line="360" w:lineRule="auto"/>
        <w:ind w:firstLine="480" w:firstLineChars="200"/>
        <w:rPr>
          <w:sz w:val="24"/>
        </w:rPr>
      </w:pPr>
      <w:r>
        <w:rPr>
          <w:sz w:val="24"/>
        </w:rPr>
        <w:t>1</w:t>
      </w:r>
      <w:r>
        <w:rPr>
          <w:rFonts w:hint="eastAsia"/>
          <w:sz w:val="24"/>
          <w:lang w:val="en-US" w:eastAsia="zh-CN"/>
        </w:rPr>
        <w:t>2</w:t>
      </w:r>
      <w:r>
        <w:rPr>
          <w:sz w:val="24"/>
        </w:rPr>
        <w:t>、未经医院同意，中标人不得在合同期限内将本项目的管理权转包或发包。</w:t>
      </w:r>
    </w:p>
    <w:p w14:paraId="7A4918F2">
      <w:pPr>
        <w:spacing w:line="360" w:lineRule="auto"/>
        <w:ind w:firstLine="480" w:firstLineChars="200"/>
        <w:rPr>
          <w:sz w:val="24"/>
        </w:rPr>
      </w:pPr>
      <w:r>
        <w:rPr>
          <w:sz w:val="24"/>
        </w:rPr>
        <w:t>1</w:t>
      </w:r>
      <w:r>
        <w:rPr>
          <w:rFonts w:hint="eastAsia"/>
          <w:sz w:val="24"/>
          <w:lang w:val="en-US" w:eastAsia="zh-CN"/>
        </w:rPr>
        <w:t>3</w:t>
      </w:r>
      <w:r>
        <w:rPr>
          <w:sz w:val="24"/>
        </w:rPr>
        <w:t>、中标人有责任配合医院接受上级领导部门的监督、检查，提供必须的资料。</w:t>
      </w:r>
    </w:p>
    <w:p w14:paraId="3AAD4045">
      <w:pPr>
        <w:spacing w:line="360" w:lineRule="auto"/>
        <w:ind w:firstLine="480" w:firstLineChars="200"/>
        <w:rPr>
          <w:sz w:val="24"/>
        </w:rPr>
      </w:pPr>
      <w:r>
        <w:rPr>
          <w:color w:val="000000"/>
          <w:sz w:val="24"/>
        </w:rPr>
        <w:t>1</w:t>
      </w:r>
      <w:r>
        <w:rPr>
          <w:rFonts w:hint="eastAsia"/>
          <w:color w:val="000000"/>
          <w:sz w:val="24"/>
          <w:lang w:val="en-US" w:eastAsia="zh-CN"/>
        </w:rPr>
        <w:t>4</w:t>
      </w:r>
      <w:r>
        <w:rPr>
          <w:color w:val="000000"/>
          <w:sz w:val="24"/>
        </w:rPr>
        <w:t>、</w:t>
      </w:r>
      <w:r>
        <w:rPr>
          <w:sz w:val="24"/>
        </w:rPr>
        <w:t>全部服务人员的工作时间应严格按国家有关法律、法规要求的标准执行，因工作原因产生的加班（含节假日加班）应严格按国家有关法律、法规要求的标准给付员工加班薪资。</w:t>
      </w:r>
    </w:p>
    <w:p w14:paraId="7E13A909">
      <w:pPr>
        <w:spacing w:line="360" w:lineRule="auto"/>
        <w:ind w:firstLine="480" w:firstLineChars="200"/>
        <w:rPr>
          <w:sz w:val="24"/>
        </w:rPr>
      </w:pPr>
      <w:r>
        <w:rPr>
          <w:color w:val="000000"/>
          <w:sz w:val="24"/>
        </w:rPr>
        <w:t>1</w:t>
      </w:r>
      <w:r>
        <w:rPr>
          <w:rFonts w:hint="eastAsia"/>
          <w:color w:val="000000"/>
          <w:sz w:val="24"/>
          <w:lang w:val="en-US" w:eastAsia="zh-CN"/>
        </w:rPr>
        <w:t>5</w:t>
      </w:r>
      <w:r>
        <w:rPr>
          <w:color w:val="000000"/>
          <w:sz w:val="24"/>
        </w:rPr>
        <w:t>、</w:t>
      </w:r>
      <w:r>
        <w:rPr>
          <w:sz w:val="24"/>
        </w:rPr>
        <w:t>医院为特殊公共事业服务单位，实行全年24小时不间断服务制度，中标人根据采购人的具体工作时间要求，自行采用安排轮岗、轮休或加班等形式满足采购人的需求。</w:t>
      </w:r>
    </w:p>
    <w:p w14:paraId="36019014">
      <w:pPr>
        <w:tabs>
          <w:tab w:val="left" w:pos="900"/>
        </w:tabs>
        <w:overflowPunct w:val="0"/>
        <w:autoSpaceDE w:val="0"/>
        <w:autoSpaceDN w:val="0"/>
        <w:adjustRightInd w:val="0"/>
        <w:spacing w:line="360" w:lineRule="auto"/>
        <w:ind w:firstLine="480" w:firstLineChars="200"/>
        <w:rPr>
          <w:rFonts w:hint="eastAsia"/>
          <w:sz w:val="24"/>
          <w:lang w:eastAsia="zh-CN"/>
        </w:rPr>
      </w:pPr>
      <w:r>
        <w:rPr>
          <w:sz w:val="24"/>
        </w:rPr>
        <w:t>1</w:t>
      </w:r>
      <w:r>
        <w:rPr>
          <w:rFonts w:hint="eastAsia"/>
          <w:sz w:val="24"/>
          <w:lang w:val="en-US" w:eastAsia="zh-CN"/>
        </w:rPr>
        <w:t>6</w:t>
      </w:r>
      <w:r>
        <w:rPr>
          <w:sz w:val="24"/>
        </w:rPr>
        <w:t>、中标人应制定并完善针对本项所涉及的各类岗位工作制度、突发事件的应急预案、相应的应对措施，以及服务质量保证体系，认真履行职责，确保本项目涉及的</w:t>
      </w:r>
      <w:r>
        <w:rPr>
          <w:rFonts w:hint="eastAsia"/>
          <w:sz w:val="24"/>
          <w:lang w:eastAsia="zh-CN"/>
        </w:rPr>
        <w:t>各项服务保障工作安全、高效、稳定地开展。</w:t>
      </w:r>
    </w:p>
    <w:p w14:paraId="035FCE0E">
      <w:pPr>
        <w:rPr>
          <w:rFonts w:hint="eastAsia"/>
          <w:sz w:val="24"/>
          <w:lang w:eastAsia="zh-CN"/>
        </w:rPr>
      </w:pPr>
      <w:r>
        <w:rPr>
          <w:rFonts w:hint="eastAsia"/>
          <w:sz w:val="24"/>
          <w:lang w:eastAsia="zh-CN"/>
        </w:rPr>
        <w:br w:type="page"/>
      </w:r>
    </w:p>
    <w:p w14:paraId="4B7D4D9F">
      <w:pPr>
        <w:jc w:val="left"/>
        <w:rPr>
          <w:rFonts w:asciiTheme="minorEastAsia" w:hAnsiTheme="minorEastAsia" w:eastAsiaTheme="minorEastAsia"/>
          <w:b/>
          <w:sz w:val="24"/>
        </w:rPr>
      </w:pPr>
      <w:r>
        <w:rPr>
          <w:rFonts w:hint="eastAsia" w:asciiTheme="minorEastAsia" w:hAnsiTheme="minorEastAsia" w:eastAsiaTheme="minorEastAsia"/>
          <w:b/>
          <w:sz w:val="24"/>
        </w:rPr>
        <w:t>附：服务单位月考核表</w:t>
      </w:r>
    </w:p>
    <w:p w14:paraId="1C96B618">
      <w:pPr>
        <w:jc w:val="center"/>
        <w:rPr>
          <w:rFonts w:ascii="黑体" w:eastAsia="黑体"/>
          <w:b/>
          <w:szCs w:val="21"/>
        </w:rPr>
      </w:pPr>
      <w:r>
        <w:rPr>
          <w:rFonts w:hint="eastAsia" w:ascii="黑体" w:eastAsia="黑体"/>
          <w:b/>
          <w:sz w:val="28"/>
          <w:szCs w:val="28"/>
        </w:rPr>
        <w:t>杭州市丁桥医院对</w:t>
      </w:r>
      <w:r>
        <w:rPr>
          <w:rFonts w:hint="eastAsia" w:ascii="黑体" w:hAnsi="黑体" w:eastAsia="黑体"/>
          <w:b/>
          <w:sz w:val="28"/>
          <w:szCs w:val="28"/>
        </w:rPr>
        <w:t>×××</w:t>
      </w:r>
      <w:r>
        <w:rPr>
          <w:rFonts w:hint="eastAsia" w:ascii="黑体" w:eastAsia="黑体"/>
          <w:b/>
          <w:sz w:val="28"/>
          <w:szCs w:val="28"/>
        </w:rPr>
        <w:t>工作月考核表</w:t>
      </w:r>
    </w:p>
    <w:p w14:paraId="64A60332">
      <w:pPr>
        <w:rPr>
          <w:b/>
        </w:rPr>
      </w:pPr>
      <w:r>
        <w:rPr>
          <w:rFonts w:hint="eastAsia"/>
          <w:b/>
        </w:rPr>
        <w:t>年月</w:t>
      </w:r>
    </w:p>
    <w:tbl>
      <w:tblPr>
        <w:tblStyle w:val="6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3579"/>
        <w:gridCol w:w="900"/>
        <w:gridCol w:w="960"/>
        <w:gridCol w:w="1101"/>
        <w:gridCol w:w="2323"/>
      </w:tblGrid>
      <w:tr w14:paraId="19FC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shd w:val="clear" w:color="auto" w:fill="00FF99"/>
            <w:vAlign w:val="center"/>
          </w:tcPr>
          <w:p w14:paraId="755E1B05">
            <w:pPr>
              <w:widowControl/>
              <w:jc w:val="center"/>
              <w:rPr>
                <w:rFonts w:ascii="宋体" w:hAnsi="宋体" w:cs="宋体"/>
                <w:bCs/>
                <w:kern w:val="0"/>
                <w:sz w:val="20"/>
                <w:szCs w:val="21"/>
              </w:rPr>
            </w:pPr>
            <w:r>
              <w:rPr>
                <w:rFonts w:hint="eastAsia" w:ascii="宋体" w:hAnsi="宋体" w:cs="宋体"/>
                <w:bCs/>
                <w:kern w:val="0"/>
                <w:sz w:val="20"/>
                <w:szCs w:val="21"/>
              </w:rPr>
              <w:t>序</w:t>
            </w:r>
          </w:p>
          <w:p w14:paraId="71FF9EE2">
            <w:pPr>
              <w:widowControl/>
              <w:jc w:val="center"/>
              <w:rPr>
                <w:rFonts w:ascii="宋体" w:cs="宋体"/>
                <w:bCs/>
                <w:kern w:val="0"/>
                <w:sz w:val="20"/>
                <w:szCs w:val="21"/>
              </w:rPr>
            </w:pPr>
            <w:r>
              <w:rPr>
                <w:rFonts w:hint="eastAsia" w:ascii="宋体" w:hAnsi="宋体" w:cs="宋体"/>
                <w:bCs/>
                <w:kern w:val="0"/>
                <w:sz w:val="20"/>
                <w:szCs w:val="21"/>
              </w:rPr>
              <w:t>号</w:t>
            </w:r>
          </w:p>
        </w:tc>
        <w:tc>
          <w:tcPr>
            <w:tcW w:w="1928" w:type="pct"/>
            <w:shd w:val="clear" w:color="auto" w:fill="00FF99"/>
            <w:vAlign w:val="center"/>
          </w:tcPr>
          <w:p w14:paraId="45CA0E1A">
            <w:pPr>
              <w:widowControl/>
              <w:jc w:val="center"/>
              <w:rPr>
                <w:rFonts w:ascii="宋体" w:cs="宋体"/>
                <w:bCs/>
                <w:kern w:val="0"/>
                <w:sz w:val="20"/>
                <w:szCs w:val="21"/>
              </w:rPr>
            </w:pPr>
            <w:r>
              <w:rPr>
                <w:rFonts w:hint="eastAsia" w:ascii="宋体" w:hAnsi="宋体" w:cs="宋体"/>
                <w:bCs/>
                <w:kern w:val="0"/>
                <w:sz w:val="20"/>
                <w:szCs w:val="21"/>
              </w:rPr>
              <w:t>考核内容</w:t>
            </w:r>
          </w:p>
        </w:tc>
        <w:tc>
          <w:tcPr>
            <w:tcW w:w="484" w:type="pct"/>
            <w:shd w:val="clear" w:color="auto" w:fill="00FF99"/>
            <w:vAlign w:val="center"/>
          </w:tcPr>
          <w:p w14:paraId="63EC9333">
            <w:pPr>
              <w:widowControl/>
              <w:jc w:val="center"/>
              <w:rPr>
                <w:rFonts w:ascii="宋体" w:cs="宋体"/>
                <w:bCs/>
                <w:kern w:val="0"/>
                <w:sz w:val="20"/>
                <w:szCs w:val="21"/>
              </w:rPr>
            </w:pPr>
            <w:r>
              <w:rPr>
                <w:rFonts w:hint="eastAsia" w:ascii="宋体" w:hAnsi="宋体" w:cs="宋体"/>
                <w:bCs/>
                <w:kern w:val="0"/>
                <w:sz w:val="20"/>
                <w:szCs w:val="21"/>
              </w:rPr>
              <w:t>标准</w:t>
            </w:r>
          </w:p>
          <w:p w14:paraId="5100EA59">
            <w:pPr>
              <w:widowControl/>
              <w:jc w:val="center"/>
              <w:rPr>
                <w:rFonts w:ascii="宋体" w:cs="宋体"/>
                <w:bCs/>
                <w:kern w:val="0"/>
                <w:sz w:val="20"/>
                <w:szCs w:val="21"/>
              </w:rPr>
            </w:pPr>
            <w:r>
              <w:rPr>
                <w:rFonts w:hint="eastAsia" w:ascii="宋体" w:hAnsi="宋体" w:cs="宋体"/>
                <w:bCs/>
                <w:kern w:val="0"/>
                <w:sz w:val="20"/>
                <w:szCs w:val="21"/>
              </w:rPr>
              <w:t>分值</w:t>
            </w:r>
          </w:p>
        </w:tc>
        <w:tc>
          <w:tcPr>
            <w:tcW w:w="517" w:type="pct"/>
            <w:shd w:val="clear" w:color="auto" w:fill="00FF99"/>
            <w:vAlign w:val="center"/>
          </w:tcPr>
          <w:p w14:paraId="53E1B23A">
            <w:pPr>
              <w:widowControl/>
              <w:jc w:val="center"/>
              <w:rPr>
                <w:rFonts w:ascii="宋体" w:cs="宋体"/>
                <w:bCs/>
                <w:kern w:val="0"/>
                <w:sz w:val="20"/>
                <w:szCs w:val="21"/>
              </w:rPr>
            </w:pPr>
            <w:r>
              <w:rPr>
                <w:rFonts w:hint="eastAsia" w:ascii="宋体" w:hAnsi="宋体" w:cs="宋体"/>
                <w:bCs/>
                <w:kern w:val="0"/>
                <w:sz w:val="20"/>
                <w:szCs w:val="21"/>
              </w:rPr>
              <w:t>实得分</w:t>
            </w:r>
          </w:p>
        </w:tc>
        <w:tc>
          <w:tcPr>
            <w:tcW w:w="593" w:type="pct"/>
            <w:shd w:val="clear" w:color="auto" w:fill="00FF99"/>
            <w:vAlign w:val="center"/>
          </w:tcPr>
          <w:p w14:paraId="3ACE6C0B">
            <w:pPr>
              <w:widowControl/>
              <w:jc w:val="center"/>
              <w:rPr>
                <w:rFonts w:ascii="宋体" w:cs="宋体"/>
                <w:bCs/>
                <w:kern w:val="0"/>
                <w:sz w:val="20"/>
                <w:szCs w:val="21"/>
              </w:rPr>
            </w:pPr>
            <w:r>
              <w:rPr>
                <w:rFonts w:hint="eastAsia" w:ascii="宋体" w:hAnsi="宋体" w:cs="宋体"/>
                <w:bCs/>
                <w:kern w:val="0"/>
                <w:sz w:val="20"/>
                <w:szCs w:val="21"/>
              </w:rPr>
              <w:t>扣分事由</w:t>
            </w:r>
          </w:p>
        </w:tc>
        <w:tc>
          <w:tcPr>
            <w:tcW w:w="1251" w:type="pct"/>
            <w:shd w:val="clear" w:color="auto" w:fill="00FF99"/>
            <w:vAlign w:val="center"/>
          </w:tcPr>
          <w:p w14:paraId="37DEB8C2">
            <w:pPr>
              <w:widowControl/>
              <w:jc w:val="center"/>
              <w:rPr>
                <w:rFonts w:ascii="宋体" w:cs="宋体"/>
                <w:bCs/>
                <w:kern w:val="0"/>
                <w:sz w:val="20"/>
                <w:szCs w:val="21"/>
              </w:rPr>
            </w:pPr>
            <w:r>
              <w:rPr>
                <w:rFonts w:hint="eastAsia" w:ascii="宋体" w:hAnsi="宋体" w:cs="宋体"/>
                <w:bCs/>
                <w:kern w:val="0"/>
                <w:sz w:val="20"/>
                <w:szCs w:val="21"/>
              </w:rPr>
              <w:t>扣分说明</w:t>
            </w:r>
          </w:p>
        </w:tc>
      </w:tr>
      <w:tr w14:paraId="2D0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152ABB6E">
            <w:pPr>
              <w:widowControl/>
              <w:jc w:val="center"/>
              <w:rPr>
                <w:rFonts w:ascii="宋体"/>
                <w:kern w:val="0"/>
                <w:sz w:val="20"/>
                <w:szCs w:val="21"/>
              </w:rPr>
            </w:pPr>
            <w:r>
              <w:rPr>
                <w:rFonts w:ascii="宋体" w:hAnsi="宋体"/>
                <w:kern w:val="0"/>
                <w:sz w:val="20"/>
                <w:szCs w:val="21"/>
              </w:rPr>
              <w:t>1</w:t>
            </w:r>
          </w:p>
        </w:tc>
        <w:tc>
          <w:tcPr>
            <w:tcW w:w="1928" w:type="pct"/>
            <w:vAlign w:val="center"/>
          </w:tcPr>
          <w:p w14:paraId="2FDA0226">
            <w:pPr>
              <w:widowControl/>
              <w:rPr>
                <w:rFonts w:ascii="宋体" w:cs="宋体"/>
                <w:kern w:val="0"/>
                <w:sz w:val="20"/>
                <w:szCs w:val="21"/>
              </w:rPr>
            </w:pPr>
            <w:r>
              <w:rPr>
                <w:rFonts w:hint="eastAsia" w:ascii="宋体" w:cs="宋体"/>
                <w:kern w:val="0"/>
                <w:sz w:val="20"/>
                <w:szCs w:val="21"/>
              </w:rPr>
              <w:t>符合医院管理的各类制度健全。</w:t>
            </w:r>
          </w:p>
        </w:tc>
        <w:tc>
          <w:tcPr>
            <w:tcW w:w="484" w:type="pct"/>
            <w:vAlign w:val="center"/>
          </w:tcPr>
          <w:p w14:paraId="3A93C47B">
            <w:pPr>
              <w:widowControl/>
              <w:jc w:val="center"/>
              <w:rPr>
                <w:rFonts w:ascii="宋体" w:cs="宋体"/>
                <w:kern w:val="0"/>
                <w:sz w:val="20"/>
                <w:szCs w:val="21"/>
              </w:rPr>
            </w:pPr>
            <w:r>
              <w:rPr>
                <w:rFonts w:hint="eastAsia" w:ascii="宋体" w:cs="宋体"/>
                <w:kern w:val="0"/>
                <w:sz w:val="20"/>
                <w:szCs w:val="21"/>
              </w:rPr>
              <w:t>10</w:t>
            </w:r>
          </w:p>
        </w:tc>
        <w:tc>
          <w:tcPr>
            <w:tcW w:w="517" w:type="pct"/>
            <w:vAlign w:val="center"/>
          </w:tcPr>
          <w:p w14:paraId="0FDFF13A">
            <w:pPr>
              <w:widowControl/>
              <w:jc w:val="center"/>
              <w:rPr>
                <w:rFonts w:ascii="宋体" w:cs="宋体"/>
                <w:kern w:val="0"/>
                <w:sz w:val="20"/>
                <w:szCs w:val="21"/>
              </w:rPr>
            </w:pPr>
          </w:p>
        </w:tc>
        <w:tc>
          <w:tcPr>
            <w:tcW w:w="593" w:type="pct"/>
            <w:vAlign w:val="center"/>
          </w:tcPr>
          <w:p w14:paraId="3A659209">
            <w:pPr>
              <w:widowControl/>
              <w:jc w:val="center"/>
              <w:rPr>
                <w:rFonts w:ascii="宋体" w:cs="宋体"/>
                <w:kern w:val="0"/>
                <w:sz w:val="20"/>
                <w:szCs w:val="21"/>
              </w:rPr>
            </w:pPr>
          </w:p>
        </w:tc>
        <w:tc>
          <w:tcPr>
            <w:tcW w:w="1251" w:type="pct"/>
            <w:vAlign w:val="center"/>
          </w:tcPr>
          <w:p w14:paraId="66FD52B7">
            <w:pPr>
              <w:widowControl/>
              <w:rPr>
                <w:rFonts w:ascii="宋体" w:cs="宋体"/>
                <w:kern w:val="0"/>
                <w:sz w:val="20"/>
                <w:szCs w:val="21"/>
              </w:rPr>
            </w:pPr>
            <w:r>
              <w:rPr>
                <w:rFonts w:hint="eastAsia" w:ascii="宋体" w:cs="宋体"/>
                <w:kern w:val="0"/>
                <w:sz w:val="20"/>
                <w:szCs w:val="21"/>
              </w:rPr>
              <w:t>制度不健全，每缺一项扣2分，扣完为止。</w:t>
            </w:r>
          </w:p>
        </w:tc>
      </w:tr>
      <w:tr w14:paraId="5412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66A60BB7">
            <w:pPr>
              <w:widowControl/>
              <w:jc w:val="center"/>
              <w:rPr>
                <w:rFonts w:ascii="宋体"/>
                <w:kern w:val="0"/>
                <w:sz w:val="20"/>
                <w:szCs w:val="21"/>
              </w:rPr>
            </w:pPr>
            <w:r>
              <w:rPr>
                <w:rFonts w:ascii="宋体" w:hAnsi="宋体"/>
                <w:kern w:val="0"/>
                <w:sz w:val="20"/>
                <w:szCs w:val="21"/>
              </w:rPr>
              <w:t>2</w:t>
            </w:r>
          </w:p>
        </w:tc>
        <w:tc>
          <w:tcPr>
            <w:tcW w:w="1928" w:type="pct"/>
            <w:vAlign w:val="center"/>
          </w:tcPr>
          <w:p w14:paraId="5F39DCAA">
            <w:pPr>
              <w:widowControl/>
              <w:rPr>
                <w:rFonts w:ascii="宋体" w:cs="宋体"/>
                <w:kern w:val="0"/>
                <w:sz w:val="20"/>
                <w:szCs w:val="21"/>
              </w:rPr>
            </w:pPr>
            <w:r>
              <w:rPr>
                <w:rFonts w:hint="eastAsia" w:ascii="宋体" w:cs="宋体"/>
                <w:kern w:val="0"/>
                <w:sz w:val="20"/>
                <w:szCs w:val="21"/>
              </w:rPr>
              <w:t>组织架构清晰，设置专人专项负责管理工作。</w:t>
            </w:r>
          </w:p>
        </w:tc>
        <w:tc>
          <w:tcPr>
            <w:tcW w:w="484" w:type="pct"/>
            <w:vAlign w:val="center"/>
          </w:tcPr>
          <w:p w14:paraId="173040C3">
            <w:pPr>
              <w:widowControl/>
              <w:jc w:val="center"/>
              <w:rPr>
                <w:rFonts w:ascii="宋体" w:cs="宋体"/>
                <w:kern w:val="0"/>
                <w:sz w:val="20"/>
                <w:szCs w:val="21"/>
              </w:rPr>
            </w:pPr>
            <w:r>
              <w:rPr>
                <w:rFonts w:hint="eastAsia" w:ascii="宋体" w:cs="宋体"/>
                <w:kern w:val="0"/>
                <w:sz w:val="20"/>
                <w:szCs w:val="21"/>
              </w:rPr>
              <w:t>10</w:t>
            </w:r>
          </w:p>
        </w:tc>
        <w:tc>
          <w:tcPr>
            <w:tcW w:w="517" w:type="pct"/>
            <w:vAlign w:val="center"/>
          </w:tcPr>
          <w:p w14:paraId="30591123">
            <w:pPr>
              <w:widowControl/>
              <w:jc w:val="center"/>
              <w:rPr>
                <w:rFonts w:ascii="宋体" w:cs="宋体"/>
                <w:kern w:val="0"/>
                <w:sz w:val="20"/>
                <w:szCs w:val="21"/>
              </w:rPr>
            </w:pPr>
          </w:p>
        </w:tc>
        <w:tc>
          <w:tcPr>
            <w:tcW w:w="593" w:type="pct"/>
            <w:vAlign w:val="center"/>
          </w:tcPr>
          <w:p w14:paraId="274701FF">
            <w:pPr>
              <w:widowControl/>
              <w:jc w:val="center"/>
              <w:rPr>
                <w:rFonts w:ascii="宋体" w:cs="宋体"/>
                <w:kern w:val="0"/>
                <w:sz w:val="20"/>
                <w:szCs w:val="21"/>
              </w:rPr>
            </w:pPr>
          </w:p>
        </w:tc>
        <w:tc>
          <w:tcPr>
            <w:tcW w:w="1251" w:type="pct"/>
            <w:vAlign w:val="center"/>
          </w:tcPr>
          <w:p w14:paraId="17EB2F05">
            <w:pPr>
              <w:rPr>
                <w:rFonts w:ascii="宋体" w:cs="宋体"/>
                <w:kern w:val="0"/>
                <w:sz w:val="20"/>
                <w:szCs w:val="21"/>
              </w:rPr>
            </w:pPr>
            <w:r>
              <w:rPr>
                <w:rFonts w:hint="eastAsia" w:ascii="宋体" w:cs="宋体"/>
                <w:kern w:val="0"/>
                <w:sz w:val="20"/>
                <w:szCs w:val="21"/>
              </w:rPr>
              <w:t>未设置该项不得分。</w:t>
            </w:r>
          </w:p>
        </w:tc>
      </w:tr>
      <w:tr w14:paraId="5DC8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2E2601C6">
            <w:pPr>
              <w:widowControl/>
              <w:jc w:val="center"/>
              <w:rPr>
                <w:rFonts w:ascii="宋体"/>
                <w:kern w:val="0"/>
                <w:sz w:val="20"/>
                <w:szCs w:val="21"/>
              </w:rPr>
            </w:pPr>
            <w:r>
              <w:rPr>
                <w:rFonts w:ascii="宋体" w:hAnsi="宋体"/>
                <w:kern w:val="0"/>
                <w:sz w:val="20"/>
                <w:szCs w:val="21"/>
              </w:rPr>
              <w:t>3</w:t>
            </w:r>
          </w:p>
        </w:tc>
        <w:tc>
          <w:tcPr>
            <w:tcW w:w="1928" w:type="pct"/>
            <w:vAlign w:val="center"/>
          </w:tcPr>
          <w:p w14:paraId="4D33831E">
            <w:pPr>
              <w:widowControl/>
              <w:rPr>
                <w:rFonts w:ascii="宋体" w:cs="宋体"/>
                <w:kern w:val="0"/>
                <w:sz w:val="20"/>
                <w:szCs w:val="21"/>
              </w:rPr>
            </w:pPr>
            <w:r>
              <w:rPr>
                <w:rFonts w:hint="eastAsia" w:ascii="宋体" w:cs="宋体"/>
                <w:kern w:val="0"/>
                <w:sz w:val="20"/>
                <w:szCs w:val="21"/>
              </w:rPr>
              <w:t>项目负责人及工程技术主管服从医院指令，听从医院和后勤指挥，及时有效配合院方各项工作要求。</w:t>
            </w:r>
          </w:p>
        </w:tc>
        <w:tc>
          <w:tcPr>
            <w:tcW w:w="484" w:type="pct"/>
            <w:vAlign w:val="center"/>
          </w:tcPr>
          <w:p w14:paraId="1520B712">
            <w:pPr>
              <w:widowControl/>
              <w:jc w:val="center"/>
              <w:rPr>
                <w:rFonts w:ascii="宋体" w:cs="宋体"/>
                <w:kern w:val="0"/>
                <w:sz w:val="20"/>
                <w:szCs w:val="21"/>
              </w:rPr>
            </w:pPr>
            <w:r>
              <w:rPr>
                <w:rFonts w:hint="eastAsia" w:ascii="宋体" w:cs="宋体"/>
                <w:kern w:val="0"/>
                <w:sz w:val="20"/>
                <w:szCs w:val="21"/>
              </w:rPr>
              <w:t>10</w:t>
            </w:r>
          </w:p>
        </w:tc>
        <w:tc>
          <w:tcPr>
            <w:tcW w:w="517" w:type="pct"/>
            <w:vAlign w:val="center"/>
          </w:tcPr>
          <w:p w14:paraId="12B32D7D">
            <w:pPr>
              <w:widowControl/>
              <w:jc w:val="center"/>
              <w:rPr>
                <w:rFonts w:ascii="宋体" w:cs="宋体"/>
                <w:kern w:val="0"/>
                <w:sz w:val="20"/>
                <w:szCs w:val="21"/>
              </w:rPr>
            </w:pPr>
          </w:p>
        </w:tc>
        <w:tc>
          <w:tcPr>
            <w:tcW w:w="593" w:type="pct"/>
            <w:vAlign w:val="center"/>
          </w:tcPr>
          <w:p w14:paraId="4C1C665A">
            <w:pPr>
              <w:widowControl/>
              <w:jc w:val="center"/>
              <w:rPr>
                <w:rFonts w:ascii="宋体" w:cs="宋体"/>
                <w:kern w:val="0"/>
                <w:sz w:val="20"/>
                <w:szCs w:val="21"/>
              </w:rPr>
            </w:pPr>
          </w:p>
        </w:tc>
        <w:tc>
          <w:tcPr>
            <w:tcW w:w="1251" w:type="pct"/>
            <w:vAlign w:val="center"/>
          </w:tcPr>
          <w:p w14:paraId="566E0122">
            <w:pPr>
              <w:rPr>
                <w:rFonts w:ascii="宋体" w:cs="宋体"/>
                <w:kern w:val="0"/>
                <w:sz w:val="20"/>
                <w:szCs w:val="21"/>
              </w:rPr>
            </w:pPr>
            <w:r>
              <w:rPr>
                <w:rFonts w:hint="eastAsia" w:ascii="宋体" w:cs="宋体"/>
                <w:kern w:val="0"/>
                <w:sz w:val="20"/>
                <w:szCs w:val="21"/>
              </w:rPr>
              <w:t>不服从一次扣5分，扣完为止。</w:t>
            </w:r>
          </w:p>
        </w:tc>
      </w:tr>
      <w:tr w14:paraId="302E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0C6DE454">
            <w:pPr>
              <w:widowControl/>
              <w:jc w:val="center"/>
              <w:rPr>
                <w:rFonts w:ascii="宋体"/>
                <w:kern w:val="0"/>
                <w:sz w:val="20"/>
                <w:szCs w:val="21"/>
              </w:rPr>
            </w:pPr>
            <w:r>
              <w:rPr>
                <w:rFonts w:ascii="宋体" w:hAnsi="宋体"/>
                <w:kern w:val="0"/>
                <w:sz w:val="20"/>
                <w:szCs w:val="21"/>
              </w:rPr>
              <w:t>4</w:t>
            </w:r>
          </w:p>
        </w:tc>
        <w:tc>
          <w:tcPr>
            <w:tcW w:w="1928" w:type="pct"/>
            <w:vAlign w:val="center"/>
          </w:tcPr>
          <w:p w14:paraId="53EE2532">
            <w:pPr>
              <w:widowControl/>
              <w:rPr>
                <w:rFonts w:ascii="宋体" w:cs="宋体"/>
                <w:kern w:val="0"/>
                <w:sz w:val="20"/>
                <w:szCs w:val="21"/>
              </w:rPr>
            </w:pPr>
            <w:r>
              <w:rPr>
                <w:rFonts w:hint="eastAsia" w:ascii="宋体" w:cs="宋体"/>
                <w:kern w:val="0"/>
                <w:sz w:val="20"/>
                <w:szCs w:val="21"/>
              </w:rPr>
              <w:t>各工种人员遵守医院和科室各项规章制度，劳动纪律，服从医院后勤管理。持证上岗，且各证件都在有效期内。</w:t>
            </w:r>
          </w:p>
        </w:tc>
        <w:tc>
          <w:tcPr>
            <w:tcW w:w="484" w:type="pct"/>
            <w:vAlign w:val="center"/>
          </w:tcPr>
          <w:p w14:paraId="40AA80B9">
            <w:pPr>
              <w:widowControl/>
              <w:jc w:val="center"/>
              <w:rPr>
                <w:rFonts w:ascii="宋体" w:cs="宋体"/>
                <w:kern w:val="0"/>
                <w:sz w:val="20"/>
                <w:szCs w:val="21"/>
              </w:rPr>
            </w:pPr>
            <w:r>
              <w:rPr>
                <w:rFonts w:hint="eastAsia" w:ascii="宋体" w:cs="宋体"/>
                <w:kern w:val="0"/>
                <w:sz w:val="20"/>
                <w:szCs w:val="21"/>
              </w:rPr>
              <w:t>10</w:t>
            </w:r>
          </w:p>
        </w:tc>
        <w:tc>
          <w:tcPr>
            <w:tcW w:w="517" w:type="pct"/>
            <w:vAlign w:val="center"/>
          </w:tcPr>
          <w:p w14:paraId="316F1C87">
            <w:pPr>
              <w:widowControl/>
              <w:jc w:val="center"/>
              <w:rPr>
                <w:rFonts w:ascii="宋体" w:cs="宋体"/>
                <w:kern w:val="0"/>
                <w:sz w:val="20"/>
                <w:szCs w:val="21"/>
              </w:rPr>
            </w:pPr>
          </w:p>
        </w:tc>
        <w:tc>
          <w:tcPr>
            <w:tcW w:w="593" w:type="pct"/>
            <w:vAlign w:val="center"/>
          </w:tcPr>
          <w:p w14:paraId="093C77E4">
            <w:pPr>
              <w:widowControl/>
              <w:jc w:val="center"/>
              <w:rPr>
                <w:rFonts w:ascii="宋体" w:cs="宋体"/>
                <w:kern w:val="0"/>
                <w:sz w:val="20"/>
                <w:szCs w:val="21"/>
              </w:rPr>
            </w:pPr>
          </w:p>
        </w:tc>
        <w:tc>
          <w:tcPr>
            <w:tcW w:w="1251" w:type="pct"/>
            <w:vAlign w:val="center"/>
          </w:tcPr>
          <w:p w14:paraId="59F670FE">
            <w:pPr>
              <w:rPr>
                <w:rFonts w:ascii="宋体" w:cs="宋体"/>
                <w:kern w:val="0"/>
                <w:sz w:val="20"/>
                <w:szCs w:val="21"/>
              </w:rPr>
            </w:pPr>
            <w:r>
              <w:rPr>
                <w:rFonts w:hint="eastAsia" w:ascii="宋体" w:cs="宋体"/>
                <w:kern w:val="0"/>
                <w:sz w:val="20"/>
                <w:szCs w:val="21"/>
              </w:rPr>
              <w:t>违规一次视情况扣1-5分，扣完为止。</w:t>
            </w:r>
          </w:p>
          <w:p w14:paraId="66A5A56C">
            <w:pPr>
              <w:rPr>
                <w:rFonts w:hint="eastAsia" w:ascii="宋体" w:eastAsia="宋体" w:cs="宋体"/>
                <w:kern w:val="0"/>
                <w:sz w:val="20"/>
                <w:szCs w:val="21"/>
                <w:lang w:val="en-US" w:eastAsia="zh-CN"/>
              </w:rPr>
            </w:pPr>
            <w:r>
              <w:rPr>
                <w:rFonts w:hint="eastAsia" w:ascii="宋体" w:cs="宋体"/>
                <w:kern w:val="0"/>
                <w:sz w:val="20"/>
                <w:szCs w:val="21"/>
              </w:rPr>
              <w:t>无有效期内的上岗证查到一次扣5分</w:t>
            </w:r>
            <w:r>
              <w:rPr>
                <w:rFonts w:hint="eastAsia" w:ascii="宋体" w:cs="宋体"/>
                <w:kern w:val="0"/>
                <w:sz w:val="20"/>
                <w:szCs w:val="21"/>
                <w:lang w:eastAsia="zh-CN"/>
              </w:rPr>
              <w:t>。</w:t>
            </w:r>
          </w:p>
        </w:tc>
      </w:tr>
      <w:tr w14:paraId="6919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02A50DFB">
            <w:pPr>
              <w:widowControl/>
              <w:jc w:val="center"/>
              <w:rPr>
                <w:rFonts w:ascii="宋体"/>
                <w:kern w:val="0"/>
                <w:sz w:val="20"/>
                <w:szCs w:val="21"/>
              </w:rPr>
            </w:pPr>
            <w:r>
              <w:rPr>
                <w:rFonts w:ascii="宋体" w:hAnsi="宋体"/>
                <w:kern w:val="0"/>
                <w:sz w:val="20"/>
                <w:szCs w:val="21"/>
              </w:rPr>
              <w:t>5</w:t>
            </w:r>
          </w:p>
        </w:tc>
        <w:tc>
          <w:tcPr>
            <w:tcW w:w="1928" w:type="pct"/>
            <w:vAlign w:val="center"/>
          </w:tcPr>
          <w:p w14:paraId="199F9878">
            <w:pPr>
              <w:widowControl/>
              <w:rPr>
                <w:rFonts w:ascii="宋体" w:cs="宋体"/>
                <w:kern w:val="0"/>
                <w:sz w:val="20"/>
                <w:szCs w:val="21"/>
              </w:rPr>
            </w:pPr>
            <w:r>
              <w:rPr>
                <w:rFonts w:hint="eastAsia" w:ascii="宋体" w:cs="宋体"/>
                <w:kern w:val="0"/>
                <w:sz w:val="20"/>
                <w:szCs w:val="21"/>
              </w:rPr>
              <w:t>各工种人员规范穿戴统一配备的工作服装，仪容仪表整洁、精神，言行举止文明得体。</w:t>
            </w:r>
          </w:p>
        </w:tc>
        <w:tc>
          <w:tcPr>
            <w:tcW w:w="484" w:type="pct"/>
            <w:vAlign w:val="center"/>
          </w:tcPr>
          <w:p w14:paraId="65E3B51B">
            <w:pPr>
              <w:widowControl/>
              <w:jc w:val="center"/>
              <w:rPr>
                <w:rFonts w:ascii="宋体" w:cs="宋体"/>
                <w:kern w:val="0"/>
                <w:sz w:val="20"/>
                <w:szCs w:val="21"/>
              </w:rPr>
            </w:pPr>
            <w:r>
              <w:rPr>
                <w:rFonts w:hint="eastAsia" w:ascii="宋体" w:cs="宋体"/>
                <w:kern w:val="0"/>
                <w:sz w:val="20"/>
                <w:szCs w:val="21"/>
              </w:rPr>
              <w:t>10</w:t>
            </w:r>
          </w:p>
        </w:tc>
        <w:tc>
          <w:tcPr>
            <w:tcW w:w="517" w:type="pct"/>
            <w:vAlign w:val="center"/>
          </w:tcPr>
          <w:p w14:paraId="21A8E0D5">
            <w:pPr>
              <w:widowControl/>
              <w:jc w:val="center"/>
              <w:rPr>
                <w:rFonts w:ascii="宋体" w:cs="宋体"/>
                <w:kern w:val="0"/>
                <w:sz w:val="20"/>
                <w:szCs w:val="21"/>
              </w:rPr>
            </w:pPr>
          </w:p>
        </w:tc>
        <w:tc>
          <w:tcPr>
            <w:tcW w:w="593" w:type="pct"/>
            <w:vAlign w:val="center"/>
          </w:tcPr>
          <w:p w14:paraId="66722046">
            <w:pPr>
              <w:widowControl/>
              <w:jc w:val="center"/>
              <w:rPr>
                <w:rFonts w:ascii="宋体" w:cs="宋体"/>
                <w:kern w:val="0"/>
                <w:sz w:val="20"/>
                <w:szCs w:val="21"/>
              </w:rPr>
            </w:pPr>
          </w:p>
        </w:tc>
        <w:tc>
          <w:tcPr>
            <w:tcW w:w="1251" w:type="pct"/>
            <w:vAlign w:val="center"/>
          </w:tcPr>
          <w:p w14:paraId="3F7F4E01">
            <w:pPr>
              <w:rPr>
                <w:rFonts w:ascii="宋体" w:cs="宋体"/>
                <w:kern w:val="0"/>
                <w:sz w:val="20"/>
                <w:szCs w:val="21"/>
              </w:rPr>
            </w:pPr>
            <w:r>
              <w:rPr>
                <w:rFonts w:hint="eastAsia" w:ascii="宋体" w:cs="宋体"/>
                <w:kern w:val="0"/>
                <w:sz w:val="20"/>
                <w:szCs w:val="21"/>
              </w:rPr>
              <w:t>发现一次视情况扣1-5分，扣完为止。</w:t>
            </w:r>
          </w:p>
          <w:p w14:paraId="7F82211D">
            <w:pPr>
              <w:rPr>
                <w:rFonts w:ascii="宋体" w:cs="宋体"/>
                <w:kern w:val="0"/>
                <w:sz w:val="20"/>
                <w:szCs w:val="21"/>
              </w:rPr>
            </w:pPr>
          </w:p>
        </w:tc>
      </w:tr>
      <w:tr w14:paraId="1307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0E1C14EA">
            <w:pPr>
              <w:widowControl/>
              <w:jc w:val="center"/>
              <w:rPr>
                <w:rFonts w:ascii="宋体" w:hAnsi="宋体"/>
                <w:kern w:val="0"/>
                <w:sz w:val="20"/>
                <w:szCs w:val="21"/>
              </w:rPr>
            </w:pPr>
            <w:r>
              <w:rPr>
                <w:rFonts w:ascii="宋体" w:hAnsi="宋体"/>
                <w:kern w:val="0"/>
                <w:sz w:val="20"/>
                <w:szCs w:val="21"/>
              </w:rPr>
              <w:t>6</w:t>
            </w:r>
          </w:p>
        </w:tc>
        <w:tc>
          <w:tcPr>
            <w:tcW w:w="1928" w:type="pct"/>
            <w:vAlign w:val="center"/>
          </w:tcPr>
          <w:p w14:paraId="6428D2E3">
            <w:pPr>
              <w:widowControl/>
              <w:rPr>
                <w:rFonts w:ascii="宋体" w:cs="宋体"/>
                <w:kern w:val="0"/>
                <w:sz w:val="20"/>
                <w:szCs w:val="21"/>
              </w:rPr>
            </w:pPr>
            <w:r>
              <w:rPr>
                <w:rFonts w:hint="eastAsia" w:ascii="宋体" w:cs="宋体"/>
                <w:kern w:val="0"/>
                <w:sz w:val="20"/>
                <w:szCs w:val="21"/>
              </w:rPr>
              <w:t>因管理不善</w:t>
            </w:r>
            <w:r>
              <w:rPr>
                <w:rFonts w:ascii="宋体" w:cs="宋体"/>
                <w:kern w:val="0"/>
                <w:sz w:val="20"/>
                <w:szCs w:val="21"/>
              </w:rPr>
              <w:t>发生消防、人员伤亡、设备重大安全事故</w:t>
            </w:r>
            <w:r>
              <w:rPr>
                <w:rFonts w:hint="eastAsia" w:ascii="宋体" w:cs="宋体"/>
                <w:kern w:val="0"/>
                <w:sz w:val="20"/>
                <w:szCs w:val="21"/>
              </w:rPr>
              <w:t>。</w:t>
            </w:r>
          </w:p>
        </w:tc>
        <w:tc>
          <w:tcPr>
            <w:tcW w:w="484" w:type="pct"/>
            <w:vAlign w:val="center"/>
          </w:tcPr>
          <w:p w14:paraId="5340B22F">
            <w:pPr>
              <w:widowControl/>
              <w:jc w:val="center"/>
              <w:rPr>
                <w:rFonts w:ascii="宋体" w:cs="宋体"/>
                <w:kern w:val="0"/>
                <w:sz w:val="20"/>
                <w:szCs w:val="21"/>
              </w:rPr>
            </w:pPr>
            <w:r>
              <w:rPr>
                <w:rFonts w:ascii="宋体" w:cs="宋体"/>
                <w:kern w:val="0"/>
                <w:sz w:val="20"/>
                <w:szCs w:val="21"/>
              </w:rPr>
              <w:t>10</w:t>
            </w:r>
          </w:p>
        </w:tc>
        <w:tc>
          <w:tcPr>
            <w:tcW w:w="517" w:type="pct"/>
            <w:vAlign w:val="center"/>
          </w:tcPr>
          <w:p w14:paraId="2695F6A2">
            <w:pPr>
              <w:widowControl/>
              <w:jc w:val="center"/>
              <w:rPr>
                <w:rFonts w:ascii="宋体" w:cs="宋体"/>
                <w:kern w:val="0"/>
                <w:sz w:val="20"/>
                <w:szCs w:val="21"/>
              </w:rPr>
            </w:pPr>
          </w:p>
        </w:tc>
        <w:tc>
          <w:tcPr>
            <w:tcW w:w="593" w:type="pct"/>
            <w:vAlign w:val="center"/>
          </w:tcPr>
          <w:p w14:paraId="64EEA7A3">
            <w:pPr>
              <w:widowControl/>
              <w:jc w:val="center"/>
              <w:rPr>
                <w:rFonts w:ascii="宋体" w:cs="宋体"/>
                <w:kern w:val="0"/>
                <w:sz w:val="20"/>
                <w:szCs w:val="21"/>
              </w:rPr>
            </w:pPr>
          </w:p>
        </w:tc>
        <w:tc>
          <w:tcPr>
            <w:tcW w:w="1251" w:type="pct"/>
            <w:vAlign w:val="center"/>
          </w:tcPr>
          <w:p w14:paraId="0467A970">
            <w:pPr>
              <w:rPr>
                <w:rFonts w:ascii="宋体" w:cs="宋体"/>
                <w:kern w:val="0"/>
                <w:sz w:val="20"/>
                <w:szCs w:val="21"/>
              </w:rPr>
            </w:pPr>
            <w:r>
              <w:rPr>
                <w:rFonts w:hint="eastAsia" w:ascii="宋体" w:cs="宋体"/>
                <w:kern w:val="0"/>
                <w:sz w:val="20"/>
                <w:szCs w:val="21"/>
              </w:rPr>
              <w:t>发生一次扣10分</w:t>
            </w:r>
          </w:p>
        </w:tc>
      </w:tr>
      <w:tr w14:paraId="6012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7DC784B6">
            <w:pPr>
              <w:widowControl/>
              <w:jc w:val="center"/>
              <w:rPr>
                <w:rFonts w:ascii="宋体"/>
                <w:kern w:val="0"/>
                <w:sz w:val="20"/>
                <w:szCs w:val="21"/>
              </w:rPr>
            </w:pPr>
            <w:r>
              <w:rPr>
                <w:rFonts w:ascii="宋体" w:hAnsi="宋体"/>
                <w:kern w:val="0"/>
                <w:sz w:val="20"/>
                <w:szCs w:val="21"/>
              </w:rPr>
              <w:t>7</w:t>
            </w:r>
          </w:p>
        </w:tc>
        <w:tc>
          <w:tcPr>
            <w:tcW w:w="1928" w:type="pct"/>
            <w:vAlign w:val="center"/>
          </w:tcPr>
          <w:p w14:paraId="731E5CC8">
            <w:pPr>
              <w:widowControl/>
              <w:rPr>
                <w:rFonts w:ascii="宋体" w:cs="宋体"/>
                <w:kern w:val="0"/>
                <w:sz w:val="20"/>
                <w:szCs w:val="21"/>
              </w:rPr>
            </w:pPr>
            <w:r>
              <w:rPr>
                <w:rFonts w:hint="eastAsia" w:ascii="宋体" w:cs="宋体"/>
                <w:kern w:val="0"/>
                <w:sz w:val="20"/>
                <w:szCs w:val="21"/>
              </w:rPr>
              <w:t>各工种严格按照各项操作规程进行规范作业。</w:t>
            </w:r>
          </w:p>
        </w:tc>
        <w:tc>
          <w:tcPr>
            <w:tcW w:w="484" w:type="pct"/>
            <w:vAlign w:val="center"/>
          </w:tcPr>
          <w:p w14:paraId="74AAEB10">
            <w:pPr>
              <w:widowControl/>
              <w:jc w:val="center"/>
              <w:rPr>
                <w:rFonts w:ascii="宋体" w:cs="宋体"/>
                <w:kern w:val="0"/>
                <w:sz w:val="20"/>
                <w:szCs w:val="21"/>
              </w:rPr>
            </w:pPr>
            <w:r>
              <w:rPr>
                <w:rFonts w:hint="eastAsia" w:ascii="宋体" w:cs="宋体"/>
                <w:kern w:val="0"/>
                <w:sz w:val="20"/>
                <w:szCs w:val="21"/>
              </w:rPr>
              <w:t>10</w:t>
            </w:r>
          </w:p>
        </w:tc>
        <w:tc>
          <w:tcPr>
            <w:tcW w:w="517" w:type="pct"/>
            <w:vAlign w:val="center"/>
          </w:tcPr>
          <w:p w14:paraId="5EB2A63C">
            <w:pPr>
              <w:widowControl/>
              <w:jc w:val="center"/>
              <w:rPr>
                <w:rFonts w:ascii="宋体" w:cs="宋体"/>
                <w:kern w:val="0"/>
                <w:sz w:val="20"/>
                <w:szCs w:val="21"/>
              </w:rPr>
            </w:pPr>
          </w:p>
        </w:tc>
        <w:tc>
          <w:tcPr>
            <w:tcW w:w="593" w:type="pct"/>
            <w:vAlign w:val="center"/>
          </w:tcPr>
          <w:p w14:paraId="2236AACA">
            <w:pPr>
              <w:widowControl/>
              <w:jc w:val="center"/>
              <w:rPr>
                <w:rFonts w:ascii="宋体" w:cs="宋体"/>
                <w:kern w:val="0"/>
                <w:sz w:val="20"/>
                <w:szCs w:val="21"/>
              </w:rPr>
            </w:pPr>
          </w:p>
        </w:tc>
        <w:tc>
          <w:tcPr>
            <w:tcW w:w="1251" w:type="pct"/>
            <w:vAlign w:val="center"/>
          </w:tcPr>
          <w:p w14:paraId="020444FB">
            <w:pPr>
              <w:rPr>
                <w:rFonts w:ascii="宋体" w:cs="宋体"/>
                <w:kern w:val="0"/>
                <w:sz w:val="20"/>
                <w:szCs w:val="21"/>
              </w:rPr>
            </w:pPr>
            <w:r>
              <w:rPr>
                <w:rFonts w:hint="eastAsia" w:ascii="宋体" w:cs="宋体"/>
                <w:kern w:val="0"/>
                <w:sz w:val="20"/>
                <w:szCs w:val="21"/>
              </w:rPr>
              <w:t>违规一次视情况扣1-5分，扣完为止。</w:t>
            </w:r>
          </w:p>
        </w:tc>
      </w:tr>
      <w:tr w14:paraId="15BC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32AE19B9">
            <w:pPr>
              <w:widowControl/>
              <w:jc w:val="center"/>
              <w:rPr>
                <w:rFonts w:ascii="宋体"/>
                <w:kern w:val="0"/>
                <w:sz w:val="20"/>
                <w:szCs w:val="21"/>
              </w:rPr>
            </w:pPr>
            <w:r>
              <w:rPr>
                <w:rFonts w:ascii="宋体"/>
                <w:kern w:val="0"/>
                <w:sz w:val="20"/>
                <w:szCs w:val="21"/>
              </w:rPr>
              <w:t>8</w:t>
            </w:r>
          </w:p>
        </w:tc>
        <w:tc>
          <w:tcPr>
            <w:tcW w:w="1928" w:type="pct"/>
            <w:vAlign w:val="center"/>
          </w:tcPr>
          <w:p w14:paraId="731E0B29">
            <w:pPr>
              <w:widowControl/>
              <w:rPr>
                <w:rFonts w:ascii="宋体" w:cs="宋体"/>
                <w:kern w:val="0"/>
                <w:sz w:val="20"/>
                <w:szCs w:val="21"/>
              </w:rPr>
            </w:pPr>
            <w:r>
              <w:rPr>
                <w:rFonts w:hint="eastAsia" w:ascii="宋体" w:cs="宋体"/>
                <w:kern w:val="0"/>
                <w:sz w:val="20"/>
                <w:szCs w:val="21"/>
              </w:rPr>
              <w:t>组织人员及时妥善处理各报修、应急突发事件。</w:t>
            </w:r>
          </w:p>
        </w:tc>
        <w:tc>
          <w:tcPr>
            <w:tcW w:w="484" w:type="pct"/>
            <w:vAlign w:val="center"/>
          </w:tcPr>
          <w:p w14:paraId="1B5F2644">
            <w:pPr>
              <w:widowControl/>
              <w:jc w:val="center"/>
              <w:rPr>
                <w:rFonts w:ascii="宋体" w:cs="宋体"/>
                <w:kern w:val="0"/>
                <w:sz w:val="20"/>
                <w:szCs w:val="21"/>
              </w:rPr>
            </w:pPr>
            <w:r>
              <w:rPr>
                <w:rFonts w:hint="eastAsia" w:ascii="宋体" w:cs="宋体"/>
                <w:kern w:val="0"/>
                <w:sz w:val="20"/>
                <w:szCs w:val="21"/>
              </w:rPr>
              <w:t>10</w:t>
            </w:r>
          </w:p>
        </w:tc>
        <w:tc>
          <w:tcPr>
            <w:tcW w:w="517" w:type="pct"/>
            <w:vAlign w:val="center"/>
          </w:tcPr>
          <w:p w14:paraId="0DCB1612">
            <w:pPr>
              <w:widowControl/>
              <w:jc w:val="center"/>
              <w:rPr>
                <w:rFonts w:ascii="宋体" w:cs="宋体"/>
                <w:kern w:val="0"/>
                <w:sz w:val="20"/>
                <w:szCs w:val="21"/>
              </w:rPr>
            </w:pPr>
          </w:p>
        </w:tc>
        <w:tc>
          <w:tcPr>
            <w:tcW w:w="593" w:type="pct"/>
            <w:vAlign w:val="center"/>
          </w:tcPr>
          <w:p w14:paraId="00BAF328">
            <w:pPr>
              <w:widowControl/>
              <w:jc w:val="center"/>
              <w:rPr>
                <w:rFonts w:ascii="宋体" w:cs="宋体"/>
                <w:kern w:val="0"/>
                <w:sz w:val="20"/>
                <w:szCs w:val="21"/>
              </w:rPr>
            </w:pPr>
          </w:p>
        </w:tc>
        <w:tc>
          <w:tcPr>
            <w:tcW w:w="1251" w:type="pct"/>
            <w:vAlign w:val="center"/>
          </w:tcPr>
          <w:p w14:paraId="38D78BA5">
            <w:pPr>
              <w:rPr>
                <w:rFonts w:ascii="宋体" w:cs="宋体"/>
                <w:kern w:val="0"/>
                <w:sz w:val="20"/>
                <w:szCs w:val="21"/>
              </w:rPr>
            </w:pPr>
            <w:r>
              <w:rPr>
                <w:rFonts w:hint="eastAsia" w:ascii="宋体" w:cs="宋体"/>
                <w:kern w:val="0"/>
                <w:sz w:val="20"/>
                <w:szCs w:val="21"/>
              </w:rPr>
              <w:t>未做到一次视情况扣1-5分，扣完为止。</w:t>
            </w:r>
          </w:p>
        </w:tc>
      </w:tr>
      <w:tr w14:paraId="589B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1CCEDF7B">
            <w:pPr>
              <w:widowControl/>
              <w:jc w:val="center"/>
              <w:rPr>
                <w:rFonts w:ascii="宋体"/>
                <w:kern w:val="0"/>
                <w:sz w:val="20"/>
                <w:szCs w:val="21"/>
              </w:rPr>
            </w:pPr>
            <w:r>
              <w:rPr>
                <w:rFonts w:ascii="宋体"/>
                <w:kern w:val="0"/>
                <w:sz w:val="20"/>
                <w:szCs w:val="21"/>
              </w:rPr>
              <w:t>9</w:t>
            </w:r>
          </w:p>
        </w:tc>
        <w:tc>
          <w:tcPr>
            <w:tcW w:w="1928" w:type="pct"/>
            <w:vAlign w:val="center"/>
          </w:tcPr>
          <w:p w14:paraId="7A2D3B36">
            <w:pPr>
              <w:widowControl/>
              <w:rPr>
                <w:rFonts w:ascii="宋体" w:cs="宋体"/>
                <w:kern w:val="0"/>
                <w:sz w:val="20"/>
                <w:szCs w:val="21"/>
              </w:rPr>
            </w:pPr>
            <w:r>
              <w:rPr>
                <w:rFonts w:hint="eastAsia" w:ascii="宋体" w:cs="宋体"/>
                <w:kern w:val="0"/>
                <w:sz w:val="20"/>
                <w:szCs w:val="21"/>
              </w:rPr>
              <w:t>因作业人员不良行为被投诉或有效投诉未处理、汇报。</w:t>
            </w:r>
          </w:p>
        </w:tc>
        <w:tc>
          <w:tcPr>
            <w:tcW w:w="484" w:type="pct"/>
            <w:vAlign w:val="center"/>
          </w:tcPr>
          <w:p w14:paraId="16C5A717">
            <w:pPr>
              <w:widowControl/>
              <w:jc w:val="center"/>
              <w:rPr>
                <w:rFonts w:ascii="宋体" w:cs="宋体"/>
                <w:kern w:val="0"/>
                <w:sz w:val="20"/>
                <w:szCs w:val="21"/>
              </w:rPr>
            </w:pPr>
            <w:r>
              <w:rPr>
                <w:rFonts w:hint="eastAsia" w:ascii="宋体" w:cs="宋体"/>
                <w:kern w:val="0"/>
                <w:sz w:val="20"/>
                <w:szCs w:val="21"/>
              </w:rPr>
              <w:t>10</w:t>
            </w:r>
          </w:p>
        </w:tc>
        <w:tc>
          <w:tcPr>
            <w:tcW w:w="517" w:type="pct"/>
            <w:vAlign w:val="center"/>
          </w:tcPr>
          <w:p w14:paraId="2BC5FB4A">
            <w:pPr>
              <w:widowControl/>
              <w:jc w:val="center"/>
              <w:rPr>
                <w:rFonts w:ascii="宋体" w:cs="宋体"/>
                <w:kern w:val="0"/>
                <w:sz w:val="20"/>
                <w:szCs w:val="21"/>
              </w:rPr>
            </w:pPr>
          </w:p>
        </w:tc>
        <w:tc>
          <w:tcPr>
            <w:tcW w:w="593" w:type="pct"/>
            <w:vAlign w:val="center"/>
          </w:tcPr>
          <w:p w14:paraId="0EAE159B">
            <w:pPr>
              <w:widowControl/>
              <w:jc w:val="center"/>
              <w:rPr>
                <w:rFonts w:ascii="宋体" w:cs="宋体"/>
                <w:kern w:val="0"/>
                <w:sz w:val="20"/>
                <w:szCs w:val="21"/>
              </w:rPr>
            </w:pPr>
          </w:p>
        </w:tc>
        <w:tc>
          <w:tcPr>
            <w:tcW w:w="1251" w:type="pct"/>
            <w:vAlign w:val="center"/>
          </w:tcPr>
          <w:p w14:paraId="0E4214A1">
            <w:pPr>
              <w:rPr>
                <w:rFonts w:ascii="宋体" w:cs="宋体"/>
                <w:kern w:val="0"/>
                <w:sz w:val="20"/>
                <w:szCs w:val="21"/>
              </w:rPr>
            </w:pPr>
            <w:r>
              <w:rPr>
                <w:rFonts w:hint="eastAsia" w:ascii="宋体" w:cs="宋体"/>
                <w:kern w:val="0"/>
                <w:sz w:val="20"/>
                <w:szCs w:val="21"/>
              </w:rPr>
              <w:t>每次视情况扣1-5分，扣完为止。</w:t>
            </w:r>
          </w:p>
        </w:tc>
      </w:tr>
      <w:tr w14:paraId="12B2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vAlign w:val="center"/>
          </w:tcPr>
          <w:p w14:paraId="18EBCFE8">
            <w:pPr>
              <w:widowControl/>
              <w:jc w:val="center"/>
              <w:rPr>
                <w:rFonts w:ascii="宋体"/>
                <w:kern w:val="0"/>
                <w:sz w:val="20"/>
                <w:szCs w:val="21"/>
              </w:rPr>
            </w:pPr>
            <w:r>
              <w:rPr>
                <w:rFonts w:hint="eastAsia" w:ascii="宋体"/>
                <w:kern w:val="0"/>
                <w:sz w:val="20"/>
                <w:szCs w:val="21"/>
              </w:rPr>
              <w:t>1</w:t>
            </w:r>
            <w:r>
              <w:rPr>
                <w:rFonts w:ascii="宋体"/>
                <w:kern w:val="0"/>
                <w:sz w:val="20"/>
                <w:szCs w:val="21"/>
              </w:rPr>
              <w:t>0</w:t>
            </w:r>
          </w:p>
        </w:tc>
        <w:tc>
          <w:tcPr>
            <w:tcW w:w="1928" w:type="pct"/>
            <w:vAlign w:val="center"/>
          </w:tcPr>
          <w:p w14:paraId="7904EAC7">
            <w:pPr>
              <w:widowControl/>
              <w:rPr>
                <w:rFonts w:ascii="宋体" w:cs="宋体"/>
                <w:kern w:val="0"/>
                <w:sz w:val="20"/>
                <w:szCs w:val="21"/>
              </w:rPr>
            </w:pPr>
            <w:r>
              <w:rPr>
                <w:rFonts w:hint="eastAsia" w:ascii="宋体" w:cs="宋体"/>
                <w:kern w:val="0"/>
                <w:sz w:val="20"/>
                <w:szCs w:val="21"/>
              </w:rPr>
              <w:t>加强对派驻人员的内部管理及有效沟通，维护团队和谐、稳定。</w:t>
            </w:r>
          </w:p>
        </w:tc>
        <w:tc>
          <w:tcPr>
            <w:tcW w:w="484" w:type="pct"/>
            <w:vAlign w:val="center"/>
          </w:tcPr>
          <w:p w14:paraId="597B33DB">
            <w:pPr>
              <w:widowControl/>
              <w:jc w:val="center"/>
              <w:rPr>
                <w:rFonts w:ascii="宋体" w:cs="宋体"/>
                <w:kern w:val="0"/>
                <w:sz w:val="20"/>
                <w:szCs w:val="21"/>
              </w:rPr>
            </w:pPr>
            <w:r>
              <w:rPr>
                <w:rFonts w:ascii="宋体" w:cs="宋体"/>
                <w:kern w:val="0"/>
                <w:sz w:val="20"/>
                <w:szCs w:val="21"/>
              </w:rPr>
              <w:t>10</w:t>
            </w:r>
          </w:p>
        </w:tc>
        <w:tc>
          <w:tcPr>
            <w:tcW w:w="517" w:type="pct"/>
            <w:vAlign w:val="center"/>
          </w:tcPr>
          <w:p w14:paraId="4BC924FA">
            <w:pPr>
              <w:widowControl/>
              <w:jc w:val="center"/>
              <w:rPr>
                <w:rFonts w:ascii="宋体" w:cs="宋体"/>
                <w:kern w:val="0"/>
                <w:sz w:val="20"/>
                <w:szCs w:val="21"/>
              </w:rPr>
            </w:pPr>
          </w:p>
        </w:tc>
        <w:tc>
          <w:tcPr>
            <w:tcW w:w="593" w:type="pct"/>
            <w:vAlign w:val="center"/>
          </w:tcPr>
          <w:p w14:paraId="215CD1F8">
            <w:pPr>
              <w:widowControl/>
              <w:jc w:val="center"/>
              <w:rPr>
                <w:rFonts w:ascii="宋体" w:cs="宋体"/>
                <w:kern w:val="0"/>
                <w:sz w:val="20"/>
                <w:szCs w:val="21"/>
              </w:rPr>
            </w:pPr>
          </w:p>
        </w:tc>
        <w:tc>
          <w:tcPr>
            <w:tcW w:w="1251" w:type="pct"/>
            <w:vAlign w:val="center"/>
          </w:tcPr>
          <w:p w14:paraId="52EAE04C">
            <w:pPr>
              <w:rPr>
                <w:rFonts w:ascii="宋体" w:cs="宋体"/>
                <w:kern w:val="0"/>
                <w:sz w:val="20"/>
                <w:szCs w:val="21"/>
              </w:rPr>
            </w:pPr>
            <w:r>
              <w:rPr>
                <w:rFonts w:hint="eastAsia" w:ascii="宋体" w:cs="宋体"/>
                <w:kern w:val="0"/>
                <w:sz w:val="20"/>
                <w:szCs w:val="21"/>
              </w:rPr>
              <w:t>每次视情况扣1-5分，扣完为止。</w:t>
            </w:r>
          </w:p>
        </w:tc>
      </w:tr>
      <w:tr w14:paraId="1E86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4" w:type="pct"/>
          </w:tcPr>
          <w:p w14:paraId="378A2B1A">
            <w:pPr>
              <w:rPr>
                <w:kern w:val="0"/>
                <w:sz w:val="20"/>
              </w:rPr>
            </w:pPr>
          </w:p>
        </w:tc>
        <w:tc>
          <w:tcPr>
            <w:tcW w:w="2413" w:type="pct"/>
            <w:gridSpan w:val="2"/>
            <w:vAlign w:val="center"/>
          </w:tcPr>
          <w:p w14:paraId="52668A8D">
            <w:pPr>
              <w:jc w:val="center"/>
              <w:rPr>
                <w:b/>
                <w:kern w:val="0"/>
                <w:sz w:val="20"/>
              </w:rPr>
            </w:pPr>
            <w:r>
              <w:rPr>
                <w:rFonts w:hint="eastAsia"/>
                <w:b/>
                <w:kern w:val="0"/>
                <w:sz w:val="20"/>
              </w:rPr>
              <w:t>总分</w:t>
            </w:r>
          </w:p>
        </w:tc>
        <w:tc>
          <w:tcPr>
            <w:tcW w:w="517" w:type="pct"/>
          </w:tcPr>
          <w:p w14:paraId="3DDEDEAA">
            <w:pPr>
              <w:rPr>
                <w:kern w:val="0"/>
                <w:sz w:val="20"/>
              </w:rPr>
            </w:pPr>
          </w:p>
        </w:tc>
        <w:tc>
          <w:tcPr>
            <w:tcW w:w="593" w:type="pct"/>
          </w:tcPr>
          <w:p w14:paraId="7E79A111">
            <w:pPr>
              <w:rPr>
                <w:kern w:val="0"/>
                <w:sz w:val="20"/>
              </w:rPr>
            </w:pPr>
          </w:p>
        </w:tc>
        <w:tc>
          <w:tcPr>
            <w:tcW w:w="1251" w:type="pct"/>
          </w:tcPr>
          <w:p w14:paraId="183597CB">
            <w:pPr>
              <w:rPr>
                <w:kern w:val="0"/>
                <w:sz w:val="20"/>
              </w:rPr>
            </w:pPr>
          </w:p>
        </w:tc>
      </w:tr>
    </w:tbl>
    <w:p w14:paraId="20B8CACC">
      <w:pPr>
        <w:jc w:val="right"/>
        <w:rPr>
          <w:rFonts w:ascii="黑体" w:eastAsia="黑体"/>
          <w:b/>
          <w:szCs w:val="21"/>
        </w:rPr>
      </w:pPr>
      <w:r>
        <w:rPr>
          <w:rFonts w:hint="eastAsia" w:ascii="黑体" w:eastAsia="黑体"/>
          <w:b/>
          <w:szCs w:val="21"/>
        </w:rPr>
        <w:t>杭州市丁桥医院后勤保障部（盖章）</w:t>
      </w:r>
    </w:p>
    <w:p w14:paraId="2161FA4B">
      <w:pPr>
        <w:pStyle w:val="41"/>
        <w:rPr>
          <w:rFonts w:hint="eastAsia" w:ascii="宋体" w:hAnsi="宋体" w:eastAsia="宋体" w:cs="仿宋_GB2312"/>
          <w:color w:val="000000"/>
          <w:sz w:val="16"/>
          <w:szCs w:val="15"/>
        </w:rPr>
      </w:pPr>
      <w:r>
        <w:rPr>
          <w:rFonts w:hint="eastAsia" w:ascii="黑体" w:eastAsia="黑体" w:cs="Times New Roman"/>
          <w:b/>
          <w:szCs w:val="21"/>
        </w:rPr>
        <w:t>注：</w:t>
      </w:r>
      <w:r>
        <w:rPr>
          <w:rFonts w:hint="eastAsia" w:ascii="宋体" w:hAnsi="宋体" w:eastAsia="宋体" w:cs="仿宋_GB2312"/>
          <w:color w:val="000000"/>
          <w:sz w:val="16"/>
          <w:szCs w:val="15"/>
        </w:rPr>
        <w:t>甲方每月对乙方服务内容进行考核，以100分计算，90分（含90分）以上，按合同全额支付。低于90分（不含90分），每下降1分，扣款1000元，以此类推。考核表在每月结算递交中附上。</w:t>
      </w:r>
    </w:p>
    <w:p w14:paraId="5E997A9D">
      <w:pPr>
        <w:rPr>
          <w:rFonts w:hint="eastAsia"/>
        </w:rPr>
      </w:pPr>
    </w:p>
    <w:p w14:paraId="6E40A106">
      <w:pPr>
        <w:pStyle w:val="3"/>
        <w:snapToGrid w:val="0"/>
        <w:spacing w:before="0" w:after="0" w:line="360" w:lineRule="auto"/>
        <w:ind w:left="0" w:leftChars="0" w:firstLine="480" w:firstLineChars="200"/>
        <w:rPr>
          <w:rFonts w:hint="eastAsia" w:ascii="宋体" w:hAnsi="宋体" w:eastAsia="宋体" w:cs="宋体"/>
          <w:b w:val="0"/>
          <w:bCs w:val="0"/>
          <w:snapToGrid w:val="0"/>
          <w:color w:val="auto"/>
          <w:kern w:val="0"/>
          <w:sz w:val="24"/>
          <w:szCs w:val="24"/>
        </w:rPr>
      </w:pPr>
    </w:p>
    <w:p w14:paraId="742A5FDC">
      <w:pPr>
        <w:rPr>
          <w:rFonts w:hint="eastAsia" w:ascii="宋体" w:hAnsi="宋体" w:eastAsia="宋体" w:cs="宋体"/>
          <w:b w:val="0"/>
          <w:bCs w:val="0"/>
          <w:snapToGrid w:val="0"/>
          <w:color w:val="auto"/>
          <w:kern w:val="0"/>
          <w:sz w:val="24"/>
          <w:szCs w:val="24"/>
        </w:rPr>
      </w:pPr>
    </w:p>
    <w:p w14:paraId="118C8A41">
      <w:pPr>
        <w:pStyle w:val="23"/>
        <w:rPr>
          <w:rFonts w:hint="eastAsia" w:ascii="宋体" w:hAnsi="宋体" w:eastAsia="宋体" w:cs="宋体"/>
          <w:b w:val="0"/>
          <w:bCs w:val="0"/>
          <w:snapToGrid w:val="0"/>
          <w:color w:val="auto"/>
          <w:kern w:val="0"/>
          <w:sz w:val="24"/>
          <w:szCs w:val="24"/>
        </w:rPr>
      </w:pPr>
    </w:p>
    <w:p w14:paraId="6778BAAA">
      <w:pPr>
        <w:pStyle w:val="24"/>
        <w:rPr>
          <w:rFonts w:hint="eastAsia" w:ascii="宋体" w:hAnsi="宋体" w:eastAsia="宋体" w:cs="宋体"/>
          <w:b w:val="0"/>
          <w:bCs w:val="0"/>
          <w:snapToGrid w:val="0"/>
          <w:color w:val="auto"/>
          <w:kern w:val="0"/>
          <w:sz w:val="24"/>
          <w:szCs w:val="24"/>
        </w:rPr>
      </w:pPr>
    </w:p>
    <w:p w14:paraId="08B421D2">
      <w:pPr>
        <w:pStyle w:val="24"/>
        <w:rPr>
          <w:rFonts w:hint="eastAsia" w:ascii="宋体" w:hAnsi="宋体" w:eastAsia="宋体" w:cs="宋体"/>
          <w:b w:val="0"/>
          <w:bCs w:val="0"/>
          <w:snapToGrid w:val="0"/>
          <w:color w:val="auto"/>
          <w:kern w:val="0"/>
          <w:sz w:val="24"/>
          <w:szCs w:val="24"/>
        </w:rPr>
      </w:pPr>
    </w:p>
    <w:p w14:paraId="26DE72C4">
      <w:pPr>
        <w:pStyle w:val="24"/>
        <w:rPr>
          <w:rFonts w:hint="eastAsia" w:ascii="宋体" w:hAnsi="宋体" w:eastAsia="宋体" w:cs="宋体"/>
          <w:b w:val="0"/>
          <w:bCs w:val="0"/>
          <w:snapToGrid w:val="0"/>
          <w:color w:val="auto"/>
          <w:kern w:val="0"/>
          <w:sz w:val="24"/>
          <w:szCs w:val="24"/>
        </w:rPr>
      </w:pPr>
    </w:p>
    <w:p w14:paraId="6015FC46">
      <w:pPr>
        <w:pStyle w:val="24"/>
        <w:rPr>
          <w:rFonts w:hint="eastAsia" w:ascii="宋体" w:hAnsi="宋体" w:eastAsia="宋体" w:cs="宋体"/>
          <w:b w:val="0"/>
          <w:bCs w:val="0"/>
          <w:snapToGrid w:val="0"/>
          <w:color w:val="auto"/>
          <w:kern w:val="0"/>
          <w:sz w:val="24"/>
          <w:szCs w:val="24"/>
        </w:rPr>
      </w:pPr>
    </w:p>
    <w:p w14:paraId="064346F3">
      <w:pPr>
        <w:adjustRightInd w:val="0"/>
        <w:snapToGrid w:val="0"/>
        <w:spacing w:line="360" w:lineRule="auto"/>
        <w:ind w:firstLine="480" w:firstLineChars="200"/>
        <w:rPr>
          <w:rFonts w:hint="default" w:ascii="Times New Roman" w:hAnsi="Times New Roman" w:eastAsia="宋体" w:cs="Times New Roman"/>
          <w:color w:val="auto"/>
          <w:sz w:val="24"/>
          <w:szCs w:val="24"/>
        </w:rPr>
      </w:pPr>
    </w:p>
    <w:p w14:paraId="032898A1">
      <w:pPr>
        <w:adjustRightInd w:val="0"/>
        <w:snapToGrid w:val="0"/>
        <w:spacing w:line="360" w:lineRule="auto"/>
        <w:ind w:firstLine="480" w:firstLineChars="200"/>
        <w:rPr>
          <w:rFonts w:hint="default" w:ascii="Times New Roman" w:hAnsi="Times New Roman" w:eastAsia="宋体" w:cs="Times New Roman"/>
          <w:color w:val="auto"/>
          <w:sz w:val="24"/>
          <w:szCs w:val="24"/>
        </w:rPr>
      </w:pPr>
    </w:p>
    <w:p w14:paraId="42EDAA08">
      <w:pPr>
        <w:spacing w:line="360" w:lineRule="auto"/>
        <w:ind w:firstLine="480" w:firstLineChars="200"/>
        <w:rPr>
          <w:rFonts w:hint="default" w:ascii="Times New Roman" w:hAnsi="Times New Roman" w:eastAsia="宋体" w:cs="Times New Roman"/>
          <w:snapToGrid w:val="0"/>
          <w:color w:val="auto"/>
          <w:kern w:val="0"/>
          <w:sz w:val="24"/>
          <w:szCs w:val="24"/>
        </w:rPr>
      </w:pPr>
      <w:bookmarkStart w:id="28" w:name="_Toc358469042"/>
      <w:bookmarkStart w:id="29" w:name="_Toc358199242"/>
      <w:bookmarkStart w:id="30" w:name="_Toc357411860"/>
      <w:bookmarkStart w:id="31" w:name="_Toc357638604"/>
      <w:bookmarkStart w:id="32" w:name="_Toc362621343"/>
      <w:bookmarkStart w:id="33" w:name="_Toc357411864"/>
      <w:bookmarkStart w:id="34" w:name="_Toc357638479"/>
      <w:bookmarkStart w:id="35" w:name="_Toc357694113"/>
    </w:p>
    <w:bookmarkEnd w:id="28"/>
    <w:bookmarkEnd w:id="29"/>
    <w:bookmarkEnd w:id="30"/>
    <w:bookmarkEnd w:id="31"/>
    <w:bookmarkEnd w:id="32"/>
    <w:bookmarkEnd w:id="33"/>
    <w:bookmarkEnd w:id="34"/>
    <w:bookmarkEnd w:id="35"/>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6" w:name="_Toc184314455"/>
      <w:bookmarkEnd w:id="36"/>
      <w:bookmarkStart w:id="37" w:name="_Toc184313294"/>
      <w:bookmarkEnd w:id="37"/>
      <w:bookmarkStart w:id="38" w:name="_Toc184308082"/>
      <w:bookmarkEnd w:id="38"/>
      <w:bookmarkStart w:id="39" w:name="_Toc184313291"/>
      <w:bookmarkEnd w:id="39"/>
      <w:bookmarkStart w:id="40" w:name="_Toc184313251"/>
      <w:bookmarkEnd w:id="40"/>
      <w:bookmarkStart w:id="41" w:name="_Toc184312131"/>
      <w:bookmarkEnd w:id="41"/>
      <w:bookmarkStart w:id="42" w:name="_Toc184312102"/>
      <w:bookmarkEnd w:id="42"/>
      <w:bookmarkStart w:id="43" w:name="_Toc184308083"/>
      <w:bookmarkEnd w:id="43"/>
      <w:bookmarkStart w:id="44" w:name="_Toc184314457"/>
      <w:bookmarkEnd w:id="44"/>
      <w:bookmarkStart w:id="45" w:name="_Toc184312085"/>
      <w:bookmarkEnd w:id="45"/>
      <w:bookmarkStart w:id="46" w:name="_Toc184308103"/>
      <w:bookmarkEnd w:id="46"/>
      <w:bookmarkStart w:id="47" w:name="_Toc184312072"/>
      <w:bookmarkEnd w:id="47"/>
      <w:bookmarkStart w:id="48" w:name="_Toc184310318"/>
      <w:bookmarkEnd w:id="48"/>
      <w:bookmarkStart w:id="49" w:name="_Toc184313270"/>
      <w:bookmarkEnd w:id="49"/>
      <w:bookmarkStart w:id="50" w:name="_Toc184314432"/>
      <w:bookmarkEnd w:id="50"/>
      <w:bookmarkStart w:id="51" w:name="_Toc184314426"/>
      <w:bookmarkEnd w:id="51"/>
      <w:bookmarkStart w:id="52" w:name="_Toc184310306"/>
      <w:bookmarkEnd w:id="52"/>
      <w:bookmarkStart w:id="53" w:name="_Toc184313285"/>
      <w:bookmarkEnd w:id="53"/>
      <w:bookmarkStart w:id="54" w:name="_Toc184313253"/>
      <w:bookmarkEnd w:id="54"/>
      <w:bookmarkStart w:id="55" w:name="_Toc184308049"/>
      <w:bookmarkEnd w:id="55"/>
      <w:bookmarkStart w:id="56" w:name="_Toc184313265"/>
      <w:bookmarkEnd w:id="56"/>
      <w:bookmarkStart w:id="57" w:name="_Toc184308067"/>
      <w:bookmarkEnd w:id="57"/>
      <w:bookmarkStart w:id="58" w:name="_Toc184313258"/>
      <w:bookmarkEnd w:id="58"/>
      <w:bookmarkStart w:id="59" w:name="_Toc184312133"/>
      <w:bookmarkEnd w:id="59"/>
      <w:bookmarkStart w:id="60" w:name="_Toc184314429"/>
      <w:bookmarkEnd w:id="60"/>
      <w:bookmarkStart w:id="61" w:name="_Toc184314430"/>
      <w:bookmarkEnd w:id="61"/>
      <w:bookmarkStart w:id="62" w:name="_Toc184314454"/>
      <w:bookmarkEnd w:id="62"/>
      <w:bookmarkStart w:id="63" w:name="_Toc184310312"/>
      <w:bookmarkEnd w:id="63"/>
      <w:bookmarkStart w:id="64" w:name="_Toc184313246"/>
      <w:bookmarkEnd w:id="64"/>
      <w:bookmarkStart w:id="65" w:name="_Toc184312096"/>
      <w:bookmarkEnd w:id="65"/>
      <w:bookmarkStart w:id="66" w:name="_Toc184312136"/>
      <w:bookmarkEnd w:id="66"/>
      <w:bookmarkStart w:id="67" w:name="_Toc184313301"/>
      <w:bookmarkEnd w:id="67"/>
      <w:bookmarkStart w:id="68" w:name="_Toc184313255"/>
      <w:bookmarkEnd w:id="68"/>
      <w:bookmarkStart w:id="69" w:name="_Toc184312070"/>
      <w:bookmarkEnd w:id="69"/>
      <w:bookmarkStart w:id="70" w:name="_Toc184308047"/>
      <w:bookmarkEnd w:id="70"/>
      <w:bookmarkStart w:id="71" w:name="_Toc184308071"/>
      <w:bookmarkEnd w:id="71"/>
      <w:bookmarkStart w:id="72" w:name="_Toc184314468"/>
      <w:bookmarkEnd w:id="72"/>
      <w:bookmarkStart w:id="73" w:name="_Toc184310301"/>
      <w:bookmarkEnd w:id="73"/>
      <w:bookmarkStart w:id="74" w:name="_Toc184308085"/>
      <w:bookmarkEnd w:id="74"/>
      <w:bookmarkStart w:id="75" w:name="_Toc184310285"/>
      <w:bookmarkEnd w:id="75"/>
      <w:bookmarkStart w:id="76" w:name="_Toc184312107"/>
      <w:bookmarkEnd w:id="76"/>
      <w:bookmarkStart w:id="77" w:name="_Toc184310289"/>
      <w:bookmarkEnd w:id="77"/>
      <w:bookmarkStart w:id="78" w:name="_Toc184313263"/>
      <w:bookmarkEnd w:id="78"/>
      <w:bookmarkStart w:id="79" w:name="_Toc184313286"/>
      <w:bookmarkEnd w:id="79"/>
      <w:bookmarkStart w:id="80" w:name="_Toc184308099"/>
      <w:bookmarkEnd w:id="80"/>
      <w:bookmarkStart w:id="81" w:name="_Toc184314410"/>
      <w:bookmarkEnd w:id="81"/>
      <w:bookmarkStart w:id="82" w:name="_Toc184308036"/>
      <w:bookmarkEnd w:id="82"/>
      <w:bookmarkStart w:id="83" w:name="_Toc184313308"/>
      <w:bookmarkEnd w:id="83"/>
      <w:bookmarkStart w:id="84" w:name="_Toc184314458"/>
      <w:bookmarkEnd w:id="84"/>
      <w:bookmarkStart w:id="85" w:name="_Toc184310321"/>
      <w:bookmarkEnd w:id="85"/>
      <w:bookmarkStart w:id="86" w:name="_Toc184312128"/>
      <w:bookmarkEnd w:id="86"/>
      <w:bookmarkStart w:id="87" w:name="_Toc184314443"/>
      <w:bookmarkEnd w:id="87"/>
      <w:bookmarkStart w:id="88" w:name="_Toc184313257"/>
      <w:bookmarkEnd w:id="88"/>
      <w:bookmarkStart w:id="89" w:name="_Toc184312108"/>
      <w:bookmarkEnd w:id="89"/>
      <w:bookmarkStart w:id="90" w:name="_Toc184308055"/>
      <w:bookmarkEnd w:id="90"/>
      <w:bookmarkStart w:id="91" w:name="_Toc184312127"/>
      <w:bookmarkEnd w:id="91"/>
      <w:bookmarkStart w:id="92" w:name="_Toc184312098"/>
      <w:bookmarkEnd w:id="92"/>
      <w:bookmarkStart w:id="93" w:name="_Toc184312123"/>
      <w:bookmarkEnd w:id="93"/>
      <w:bookmarkStart w:id="94" w:name="_Toc184310288"/>
      <w:bookmarkEnd w:id="94"/>
      <w:bookmarkStart w:id="95" w:name="_Toc184313302"/>
      <w:bookmarkEnd w:id="95"/>
      <w:bookmarkStart w:id="96" w:name="_Toc184312120"/>
      <w:bookmarkEnd w:id="96"/>
      <w:bookmarkStart w:id="97" w:name="_Toc184312077"/>
      <w:bookmarkEnd w:id="97"/>
      <w:bookmarkStart w:id="98" w:name="_Toc184313275"/>
      <w:bookmarkEnd w:id="98"/>
      <w:bookmarkStart w:id="99" w:name="_Toc184314476"/>
      <w:bookmarkEnd w:id="99"/>
      <w:bookmarkStart w:id="100" w:name="_Toc184314427"/>
      <w:bookmarkEnd w:id="100"/>
      <w:bookmarkStart w:id="101" w:name="_Toc184308097"/>
      <w:bookmarkEnd w:id="101"/>
      <w:bookmarkStart w:id="102" w:name="_Toc184313269"/>
      <w:bookmarkEnd w:id="102"/>
      <w:bookmarkStart w:id="103" w:name="_Toc184314425"/>
      <w:bookmarkEnd w:id="103"/>
      <w:bookmarkStart w:id="104" w:name="_Toc184310273"/>
      <w:bookmarkEnd w:id="104"/>
      <w:bookmarkStart w:id="105" w:name="_Toc184308073"/>
      <w:bookmarkEnd w:id="105"/>
      <w:bookmarkStart w:id="106" w:name="_Toc184310309"/>
      <w:bookmarkEnd w:id="106"/>
      <w:bookmarkStart w:id="107" w:name="_Toc184308105"/>
      <w:bookmarkEnd w:id="107"/>
      <w:bookmarkStart w:id="108" w:name="_Toc184314411"/>
      <w:bookmarkEnd w:id="108"/>
      <w:bookmarkStart w:id="109" w:name="_Toc184314442"/>
      <w:bookmarkEnd w:id="109"/>
      <w:bookmarkStart w:id="110" w:name="_Toc184308088"/>
      <w:bookmarkEnd w:id="110"/>
      <w:bookmarkStart w:id="111" w:name="_Toc184308086"/>
      <w:bookmarkEnd w:id="111"/>
      <w:bookmarkStart w:id="112" w:name="_Toc184312099"/>
      <w:bookmarkEnd w:id="112"/>
      <w:bookmarkStart w:id="113" w:name="_Toc184314472"/>
      <w:bookmarkEnd w:id="113"/>
      <w:bookmarkStart w:id="114" w:name="_Toc184310317"/>
      <w:bookmarkEnd w:id="114"/>
      <w:bookmarkStart w:id="115" w:name="_Toc184313295"/>
      <w:bookmarkEnd w:id="115"/>
      <w:bookmarkStart w:id="116" w:name="_Toc184314439"/>
      <w:bookmarkEnd w:id="116"/>
      <w:bookmarkStart w:id="117" w:name="_Toc184313261"/>
      <w:bookmarkEnd w:id="117"/>
      <w:bookmarkStart w:id="118" w:name="_Toc184314444"/>
      <w:bookmarkEnd w:id="118"/>
      <w:bookmarkStart w:id="119" w:name="_Toc184308107"/>
      <w:bookmarkEnd w:id="119"/>
      <w:bookmarkStart w:id="120" w:name="_Toc184310328"/>
      <w:bookmarkEnd w:id="120"/>
      <w:bookmarkStart w:id="121" w:name="_Toc184310300"/>
      <w:bookmarkEnd w:id="121"/>
      <w:bookmarkStart w:id="122" w:name="_Toc184314448"/>
      <w:bookmarkEnd w:id="122"/>
      <w:bookmarkStart w:id="123" w:name="_Toc184310311"/>
      <w:bookmarkEnd w:id="123"/>
      <w:bookmarkStart w:id="124" w:name="_Toc184308063"/>
      <w:bookmarkEnd w:id="124"/>
      <w:bookmarkStart w:id="125" w:name="_Toc184310341"/>
      <w:bookmarkEnd w:id="125"/>
      <w:bookmarkStart w:id="126" w:name="_Toc184308092"/>
      <w:bookmarkEnd w:id="126"/>
      <w:bookmarkStart w:id="127" w:name="_Toc184312118"/>
      <w:bookmarkEnd w:id="127"/>
      <w:bookmarkStart w:id="128" w:name="_Toc184314419"/>
      <w:bookmarkEnd w:id="128"/>
      <w:bookmarkStart w:id="129" w:name="_Toc184310304"/>
      <w:bookmarkEnd w:id="129"/>
      <w:bookmarkStart w:id="130" w:name="_Toc184310303"/>
      <w:bookmarkEnd w:id="130"/>
      <w:bookmarkStart w:id="131" w:name="_Toc184313288"/>
      <w:bookmarkEnd w:id="131"/>
      <w:bookmarkStart w:id="132" w:name="_Toc184313252"/>
      <w:bookmarkEnd w:id="132"/>
      <w:bookmarkStart w:id="133" w:name="_Toc184312138"/>
      <w:bookmarkEnd w:id="133"/>
      <w:bookmarkStart w:id="134" w:name="_Toc184314460"/>
      <w:bookmarkEnd w:id="134"/>
      <w:bookmarkStart w:id="135" w:name="_Toc184313283"/>
      <w:bookmarkEnd w:id="135"/>
      <w:bookmarkStart w:id="136" w:name="_Toc184313287"/>
      <w:bookmarkEnd w:id="136"/>
      <w:bookmarkStart w:id="137" w:name="_Toc184310298"/>
      <w:bookmarkEnd w:id="137"/>
      <w:bookmarkStart w:id="138" w:name="_Toc184310322"/>
      <w:bookmarkEnd w:id="138"/>
      <w:bookmarkStart w:id="139" w:name="_Toc184310340"/>
      <w:bookmarkEnd w:id="139"/>
      <w:bookmarkStart w:id="140" w:name="_Toc184310332"/>
      <w:bookmarkEnd w:id="140"/>
      <w:bookmarkStart w:id="141" w:name="_Toc184310283"/>
      <w:bookmarkEnd w:id="141"/>
      <w:bookmarkStart w:id="142" w:name="_Toc184310293"/>
      <w:bookmarkEnd w:id="142"/>
      <w:bookmarkStart w:id="143" w:name="_Toc184313282"/>
      <w:bookmarkEnd w:id="143"/>
      <w:bookmarkStart w:id="144" w:name="_Toc184308062"/>
      <w:bookmarkEnd w:id="144"/>
      <w:bookmarkStart w:id="145" w:name="_Toc184314412"/>
      <w:bookmarkEnd w:id="145"/>
      <w:bookmarkStart w:id="146" w:name="_Toc184310277"/>
      <w:bookmarkEnd w:id="146"/>
      <w:bookmarkStart w:id="147" w:name="_Toc184308096"/>
      <w:bookmarkEnd w:id="147"/>
      <w:bookmarkStart w:id="148" w:name="_Toc184314421"/>
      <w:bookmarkEnd w:id="148"/>
      <w:bookmarkStart w:id="149" w:name="_Toc184314428"/>
      <w:bookmarkEnd w:id="149"/>
      <w:bookmarkStart w:id="150" w:name="_Toc184314466"/>
      <w:bookmarkEnd w:id="150"/>
      <w:bookmarkStart w:id="151" w:name="_Toc184308048"/>
      <w:bookmarkEnd w:id="151"/>
      <w:bookmarkStart w:id="152" w:name="_Toc184314452"/>
      <w:bookmarkEnd w:id="152"/>
      <w:bookmarkStart w:id="153" w:name="_Toc184308042"/>
      <w:bookmarkEnd w:id="153"/>
      <w:bookmarkStart w:id="154" w:name="_Toc184313305"/>
      <w:bookmarkEnd w:id="154"/>
      <w:bookmarkStart w:id="155" w:name="_Toc184312109"/>
      <w:bookmarkEnd w:id="155"/>
      <w:bookmarkStart w:id="156" w:name="_Toc184310329"/>
      <w:bookmarkEnd w:id="156"/>
      <w:bookmarkStart w:id="157" w:name="_Toc184313249"/>
      <w:bookmarkEnd w:id="157"/>
      <w:bookmarkStart w:id="158" w:name="_Toc184313293"/>
      <w:bookmarkEnd w:id="158"/>
      <w:bookmarkStart w:id="159" w:name="_Toc184313250"/>
      <w:bookmarkEnd w:id="159"/>
      <w:bookmarkStart w:id="160" w:name="_Toc184312100"/>
      <w:bookmarkEnd w:id="160"/>
      <w:bookmarkStart w:id="161" w:name="_Toc184310302"/>
      <w:bookmarkEnd w:id="161"/>
      <w:bookmarkStart w:id="162" w:name="_Toc184308089"/>
      <w:bookmarkEnd w:id="162"/>
      <w:bookmarkStart w:id="163" w:name="_Toc184312116"/>
      <w:bookmarkEnd w:id="163"/>
      <w:bookmarkStart w:id="164" w:name="_Toc184314478"/>
      <w:bookmarkEnd w:id="164"/>
      <w:bookmarkStart w:id="165" w:name="_Toc184310333"/>
      <w:bookmarkEnd w:id="165"/>
      <w:bookmarkStart w:id="166" w:name="_Toc184308070"/>
      <w:bookmarkEnd w:id="166"/>
      <w:bookmarkStart w:id="167" w:name="_Toc184310310"/>
      <w:bookmarkEnd w:id="167"/>
      <w:bookmarkStart w:id="168" w:name="_Toc184313298"/>
      <w:bookmarkEnd w:id="168"/>
      <w:bookmarkStart w:id="169" w:name="_Toc184308075"/>
      <w:bookmarkEnd w:id="169"/>
      <w:bookmarkStart w:id="170" w:name="_Toc184310290"/>
      <w:bookmarkEnd w:id="170"/>
      <w:bookmarkStart w:id="171" w:name="_Toc184308058"/>
      <w:bookmarkEnd w:id="171"/>
      <w:bookmarkStart w:id="172" w:name="_Toc184314414"/>
      <w:bookmarkEnd w:id="172"/>
      <w:bookmarkStart w:id="173" w:name="_Toc184308091"/>
      <w:bookmarkEnd w:id="173"/>
      <w:bookmarkStart w:id="174" w:name="_Toc184314434"/>
      <w:bookmarkEnd w:id="174"/>
      <w:bookmarkStart w:id="175" w:name="_Toc184314473"/>
      <w:bookmarkEnd w:id="175"/>
      <w:bookmarkStart w:id="176" w:name="_Toc184312068"/>
      <w:bookmarkEnd w:id="176"/>
      <w:bookmarkStart w:id="177" w:name="_Toc184313277"/>
      <w:bookmarkEnd w:id="177"/>
      <w:bookmarkStart w:id="178" w:name="_Toc184314431"/>
      <w:bookmarkEnd w:id="178"/>
      <w:bookmarkStart w:id="179" w:name="_Toc184310286"/>
      <w:bookmarkEnd w:id="179"/>
      <w:bookmarkStart w:id="180" w:name="_Toc184308095"/>
      <w:bookmarkEnd w:id="180"/>
      <w:bookmarkStart w:id="181" w:name="_Toc184310335"/>
      <w:bookmarkEnd w:id="181"/>
      <w:bookmarkStart w:id="182" w:name="_Toc184314450"/>
      <w:bookmarkEnd w:id="182"/>
      <w:bookmarkStart w:id="183" w:name="_Toc184312126"/>
      <w:bookmarkEnd w:id="183"/>
      <w:bookmarkStart w:id="184" w:name="_Toc184308051"/>
      <w:bookmarkEnd w:id="184"/>
      <w:bookmarkStart w:id="185" w:name="_Toc184310305"/>
      <w:bookmarkEnd w:id="185"/>
      <w:bookmarkStart w:id="186" w:name="_Toc184312137"/>
      <w:bookmarkEnd w:id="186"/>
      <w:bookmarkStart w:id="187" w:name="_Toc184313240"/>
      <w:bookmarkEnd w:id="187"/>
      <w:bookmarkStart w:id="188" w:name="_Toc184314446"/>
      <w:bookmarkEnd w:id="188"/>
      <w:bookmarkStart w:id="189" w:name="_Toc184314477"/>
      <w:bookmarkEnd w:id="189"/>
      <w:bookmarkStart w:id="190" w:name="_Toc184313247"/>
      <w:bookmarkEnd w:id="190"/>
      <w:bookmarkStart w:id="191" w:name="_Toc184308079"/>
      <w:bookmarkEnd w:id="191"/>
      <w:bookmarkStart w:id="192" w:name="_Toc184308050"/>
      <w:bookmarkEnd w:id="192"/>
      <w:bookmarkStart w:id="193" w:name="_Toc184310334"/>
      <w:bookmarkEnd w:id="193"/>
      <w:bookmarkStart w:id="194" w:name="_Toc184308064"/>
      <w:bookmarkEnd w:id="194"/>
      <w:bookmarkStart w:id="195" w:name="_Toc184314418"/>
      <w:bookmarkEnd w:id="195"/>
      <w:bookmarkStart w:id="196" w:name="_Toc184312073"/>
      <w:bookmarkEnd w:id="196"/>
      <w:bookmarkStart w:id="197" w:name="_Toc184313299"/>
      <w:bookmarkEnd w:id="197"/>
      <w:bookmarkStart w:id="198" w:name="_Toc184312115"/>
      <w:bookmarkEnd w:id="198"/>
      <w:bookmarkStart w:id="199" w:name="_Toc184308040"/>
      <w:bookmarkEnd w:id="199"/>
      <w:bookmarkStart w:id="200" w:name="_Toc184313238"/>
      <w:bookmarkEnd w:id="200"/>
      <w:bookmarkStart w:id="201" w:name="_Toc184312082"/>
      <w:bookmarkEnd w:id="201"/>
      <w:bookmarkStart w:id="202" w:name="_Toc184314481"/>
      <w:bookmarkEnd w:id="202"/>
      <w:bookmarkStart w:id="203" w:name="_Toc184314422"/>
      <w:bookmarkEnd w:id="203"/>
      <w:bookmarkStart w:id="204" w:name="_Toc184314441"/>
      <w:bookmarkEnd w:id="204"/>
      <w:bookmarkStart w:id="205" w:name="_Toc184314459"/>
      <w:bookmarkEnd w:id="205"/>
      <w:bookmarkStart w:id="206" w:name="_Toc184308045"/>
      <w:bookmarkEnd w:id="206"/>
      <w:bookmarkStart w:id="207" w:name="_Toc184314470"/>
      <w:bookmarkEnd w:id="207"/>
      <w:bookmarkStart w:id="208" w:name="_Toc184312134"/>
      <w:bookmarkEnd w:id="208"/>
      <w:bookmarkStart w:id="209" w:name="_Toc184308098"/>
      <w:bookmarkEnd w:id="209"/>
      <w:bookmarkStart w:id="210" w:name="_Toc184312097"/>
      <w:bookmarkEnd w:id="210"/>
      <w:bookmarkStart w:id="211" w:name="_Toc184310323"/>
      <w:bookmarkEnd w:id="211"/>
      <w:bookmarkStart w:id="212" w:name="_Toc184312119"/>
      <w:bookmarkEnd w:id="212"/>
      <w:bookmarkStart w:id="213" w:name="_Toc184308046"/>
      <w:bookmarkEnd w:id="213"/>
      <w:bookmarkStart w:id="214" w:name="_Toc184314445"/>
      <w:bookmarkEnd w:id="214"/>
      <w:bookmarkStart w:id="215" w:name="_Toc184310344"/>
      <w:bookmarkEnd w:id="215"/>
      <w:bookmarkStart w:id="216" w:name="_Toc184308101"/>
      <w:bookmarkEnd w:id="216"/>
      <w:bookmarkStart w:id="217" w:name="_Toc184308108"/>
      <w:bookmarkEnd w:id="217"/>
      <w:bookmarkStart w:id="218" w:name="_Toc184313280"/>
      <w:bookmarkEnd w:id="218"/>
      <w:bookmarkStart w:id="219" w:name="_Toc184312101"/>
      <w:bookmarkEnd w:id="219"/>
      <w:bookmarkStart w:id="220" w:name="_Toc184308039"/>
      <w:bookmarkEnd w:id="220"/>
      <w:bookmarkStart w:id="221" w:name="_Toc184312081"/>
      <w:bookmarkEnd w:id="221"/>
      <w:bookmarkStart w:id="222" w:name="_Toc184314474"/>
      <w:bookmarkEnd w:id="222"/>
      <w:bookmarkStart w:id="223" w:name="_Toc184312091"/>
      <w:bookmarkEnd w:id="223"/>
      <w:bookmarkStart w:id="224" w:name="_Toc184314415"/>
      <w:bookmarkEnd w:id="224"/>
      <w:bookmarkStart w:id="225" w:name="_Toc184310307"/>
      <w:bookmarkEnd w:id="225"/>
      <w:bookmarkStart w:id="226" w:name="_Toc184312095"/>
      <w:bookmarkEnd w:id="226"/>
      <w:bookmarkStart w:id="227" w:name="_Toc184312106"/>
      <w:bookmarkEnd w:id="227"/>
      <w:bookmarkStart w:id="228" w:name="_Toc184312114"/>
      <w:bookmarkEnd w:id="228"/>
      <w:bookmarkStart w:id="229" w:name="_Toc184310272"/>
      <w:bookmarkEnd w:id="229"/>
      <w:bookmarkStart w:id="230" w:name="_Toc184314482"/>
      <w:bookmarkEnd w:id="230"/>
      <w:bookmarkStart w:id="231" w:name="_Toc184312079"/>
      <w:bookmarkEnd w:id="231"/>
      <w:bookmarkStart w:id="232" w:name="_Toc184312086"/>
      <w:bookmarkEnd w:id="232"/>
      <w:bookmarkStart w:id="233" w:name="_Toc184308074"/>
      <w:bookmarkEnd w:id="233"/>
      <w:bookmarkStart w:id="234" w:name="_Toc184310284"/>
      <w:bookmarkEnd w:id="234"/>
      <w:bookmarkStart w:id="235" w:name="_Toc184308038"/>
      <w:bookmarkEnd w:id="235"/>
      <w:bookmarkStart w:id="236" w:name="_Toc184308094"/>
      <w:bookmarkEnd w:id="236"/>
      <w:bookmarkStart w:id="237" w:name="_Toc184314453"/>
      <w:bookmarkEnd w:id="237"/>
      <w:bookmarkStart w:id="238" w:name="_Toc184308069"/>
      <w:bookmarkEnd w:id="238"/>
      <w:bookmarkStart w:id="239" w:name="_Toc184314471"/>
      <w:bookmarkEnd w:id="239"/>
      <w:bookmarkStart w:id="240" w:name="_Toc184308080"/>
      <w:bookmarkEnd w:id="240"/>
      <w:bookmarkStart w:id="241" w:name="_Toc184314480"/>
      <w:bookmarkEnd w:id="241"/>
      <w:bookmarkStart w:id="242" w:name="_Toc184312103"/>
      <w:bookmarkEnd w:id="242"/>
      <w:bookmarkStart w:id="243" w:name="_Toc184313278"/>
      <w:bookmarkEnd w:id="243"/>
      <w:bookmarkStart w:id="244" w:name="_Toc184308076"/>
      <w:bookmarkEnd w:id="244"/>
      <w:bookmarkStart w:id="245" w:name="_Toc184312104"/>
      <w:bookmarkEnd w:id="245"/>
      <w:bookmarkStart w:id="246" w:name="_Toc184312076"/>
      <w:bookmarkEnd w:id="246"/>
      <w:bookmarkStart w:id="247" w:name="_Toc184312083"/>
      <w:bookmarkEnd w:id="247"/>
      <w:bookmarkStart w:id="248" w:name="_Toc184308072"/>
      <w:bookmarkEnd w:id="248"/>
      <w:bookmarkStart w:id="249" w:name="_Toc184310331"/>
      <w:bookmarkEnd w:id="249"/>
      <w:bookmarkStart w:id="250" w:name="_Toc184313284"/>
      <w:bookmarkEnd w:id="250"/>
      <w:bookmarkStart w:id="251" w:name="_Toc184312122"/>
      <w:bookmarkEnd w:id="251"/>
      <w:bookmarkStart w:id="252" w:name="_Toc184314437"/>
      <w:bookmarkEnd w:id="252"/>
      <w:bookmarkStart w:id="253" w:name="_Toc184313297"/>
      <w:bookmarkEnd w:id="253"/>
      <w:bookmarkStart w:id="254" w:name="_Toc184310296"/>
      <w:bookmarkEnd w:id="254"/>
      <w:bookmarkStart w:id="255" w:name="_Toc184313243"/>
      <w:bookmarkEnd w:id="255"/>
      <w:bookmarkStart w:id="256" w:name="_Toc184313242"/>
      <w:bookmarkEnd w:id="256"/>
      <w:bookmarkStart w:id="257" w:name="_Toc184310314"/>
      <w:bookmarkEnd w:id="257"/>
      <w:bookmarkStart w:id="258" w:name="_Toc184314417"/>
      <w:bookmarkEnd w:id="258"/>
      <w:bookmarkStart w:id="259" w:name="_Toc184312113"/>
      <w:bookmarkEnd w:id="259"/>
      <w:bookmarkStart w:id="260" w:name="_Toc184313273"/>
      <w:bookmarkEnd w:id="260"/>
      <w:bookmarkStart w:id="261" w:name="_Toc184312075"/>
      <w:bookmarkEnd w:id="261"/>
      <w:bookmarkStart w:id="262" w:name="_Toc184314461"/>
      <w:bookmarkEnd w:id="262"/>
      <w:bookmarkStart w:id="263" w:name="_Toc184312110"/>
      <w:bookmarkEnd w:id="263"/>
      <w:bookmarkStart w:id="264" w:name="_Toc184310280"/>
      <w:bookmarkEnd w:id="264"/>
      <w:bookmarkStart w:id="265" w:name="_Toc184310287"/>
      <w:bookmarkEnd w:id="265"/>
      <w:bookmarkStart w:id="266" w:name="_Toc184312135"/>
      <w:bookmarkEnd w:id="266"/>
      <w:bookmarkStart w:id="267" w:name="_Toc184310299"/>
      <w:bookmarkEnd w:id="267"/>
      <w:bookmarkStart w:id="268" w:name="_Toc184310320"/>
      <w:bookmarkEnd w:id="268"/>
      <w:bookmarkStart w:id="269" w:name="_Toc184308093"/>
      <w:bookmarkEnd w:id="269"/>
      <w:bookmarkStart w:id="270" w:name="_Toc184313292"/>
      <w:bookmarkEnd w:id="270"/>
      <w:bookmarkStart w:id="271" w:name="_Toc184313266"/>
      <w:bookmarkEnd w:id="271"/>
      <w:bookmarkStart w:id="272" w:name="_Toc184308056"/>
      <w:bookmarkEnd w:id="272"/>
      <w:bookmarkStart w:id="273" w:name="_Toc184310282"/>
      <w:bookmarkEnd w:id="273"/>
      <w:bookmarkStart w:id="274" w:name="_Toc184314456"/>
      <w:bookmarkEnd w:id="274"/>
      <w:bookmarkStart w:id="275" w:name="_Toc184308041"/>
      <w:bookmarkEnd w:id="275"/>
      <w:bookmarkStart w:id="276" w:name="_Toc184313264"/>
      <w:bookmarkEnd w:id="276"/>
      <w:bookmarkStart w:id="277" w:name="_Toc184313248"/>
      <w:bookmarkEnd w:id="277"/>
      <w:bookmarkStart w:id="278" w:name="_Toc184313272"/>
      <w:bookmarkEnd w:id="278"/>
      <w:bookmarkStart w:id="279" w:name="_Toc184310276"/>
      <w:bookmarkEnd w:id="279"/>
      <w:bookmarkStart w:id="280" w:name="_Toc184310342"/>
      <w:bookmarkEnd w:id="280"/>
      <w:bookmarkStart w:id="281" w:name="_Toc184314433"/>
      <w:bookmarkEnd w:id="281"/>
      <w:bookmarkStart w:id="282" w:name="_Toc184310291"/>
      <w:bookmarkEnd w:id="282"/>
      <w:bookmarkStart w:id="283" w:name="_Toc184314465"/>
      <w:bookmarkEnd w:id="283"/>
      <w:bookmarkStart w:id="284" w:name="_Toc184308052"/>
      <w:bookmarkEnd w:id="284"/>
      <w:bookmarkStart w:id="285" w:name="_Toc184308081"/>
      <w:bookmarkEnd w:id="285"/>
      <w:bookmarkStart w:id="286" w:name="_Toc184310308"/>
      <w:bookmarkEnd w:id="286"/>
      <w:bookmarkStart w:id="287" w:name="_Toc184312105"/>
      <w:bookmarkEnd w:id="287"/>
      <w:bookmarkStart w:id="288" w:name="_Toc184310336"/>
      <w:bookmarkEnd w:id="288"/>
      <w:bookmarkStart w:id="289" w:name="_Toc184308106"/>
      <w:bookmarkEnd w:id="289"/>
      <w:bookmarkStart w:id="290" w:name="_Toc184313290"/>
      <w:bookmarkEnd w:id="290"/>
      <w:bookmarkStart w:id="291" w:name="_Toc184310316"/>
      <w:bookmarkEnd w:id="291"/>
      <w:bookmarkStart w:id="292" w:name="_Toc184312139"/>
      <w:bookmarkEnd w:id="292"/>
      <w:bookmarkStart w:id="293" w:name="_Toc184312111"/>
      <w:bookmarkEnd w:id="293"/>
      <w:bookmarkStart w:id="294" w:name="_Toc184310274"/>
      <w:bookmarkEnd w:id="294"/>
      <w:bookmarkStart w:id="295" w:name="_Toc184314416"/>
      <w:bookmarkEnd w:id="295"/>
      <w:bookmarkStart w:id="296" w:name="_Toc184312124"/>
      <w:bookmarkEnd w:id="296"/>
      <w:bookmarkStart w:id="297" w:name="_Toc184313241"/>
      <w:bookmarkEnd w:id="297"/>
      <w:bookmarkStart w:id="298" w:name="_Toc184312112"/>
      <w:bookmarkEnd w:id="298"/>
      <w:bookmarkStart w:id="299" w:name="_Toc184314479"/>
      <w:bookmarkEnd w:id="299"/>
      <w:bookmarkStart w:id="300" w:name="_Toc184308104"/>
      <w:bookmarkEnd w:id="300"/>
      <w:bookmarkStart w:id="301" w:name="_Toc184312125"/>
      <w:bookmarkEnd w:id="301"/>
      <w:bookmarkStart w:id="302" w:name="_Toc184310325"/>
      <w:bookmarkEnd w:id="302"/>
      <w:bookmarkStart w:id="303" w:name="_Toc184308037"/>
      <w:bookmarkEnd w:id="303"/>
      <w:bookmarkStart w:id="304" w:name="_Toc184313309"/>
      <w:bookmarkEnd w:id="304"/>
      <w:bookmarkStart w:id="305" w:name="_Toc184312121"/>
      <w:bookmarkEnd w:id="305"/>
      <w:bookmarkStart w:id="306" w:name="_Toc184312078"/>
      <w:bookmarkEnd w:id="306"/>
      <w:bookmarkStart w:id="307" w:name="_Toc184312080"/>
      <w:bookmarkEnd w:id="307"/>
      <w:bookmarkStart w:id="308" w:name="_Toc184314413"/>
      <w:bookmarkEnd w:id="308"/>
      <w:bookmarkStart w:id="309" w:name="_Toc184308054"/>
      <w:bookmarkEnd w:id="309"/>
      <w:bookmarkStart w:id="310" w:name="_Toc184314438"/>
      <w:bookmarkEnd w:id="310"/>
      <w:bookmarkStart w:id="311" w:name="_Toc184314451"/>
      <w:bookmarkEnd w:id="311"/>
      <w:bookmarkStart w:id="312" w:name="_Toc184312084"/>
      <w:bookmarkEnd w:id="312"/>
      <w:bookmarkStart w:id="313" w:name="_Toc184312129"/>
      <w:bookmarkEnd w:id="313"/>
      <w:bookmarkStart w:id="314" w:name="_Toc184308065"/>
      <w:bookmarkEnd w:id="314"/>
      <w:bookmarkStart w:id="315" w:name="_Toc184308100"/>
      <w:bookmarkEnd w:id="315"/>
      <w:bookmarkStart w:id="316" w:name="_Toc184310279"/>
      <w:bookmarkEnd w:id="316"/>
      <w:bookmarkStart w:id="317" w:name="_Toc184312094"/>
      <w:bookmarkEnd w:id="317"/>
      <w:bookmarkStart w:id="318" w:name="_Toc184308068"/>
      <w:bookmarkEnd w:id="318"/>
      <w:bookmarkStart w:id="319" w:name="_Toc184310294"/>
      <w:bookmarkEnd w:id="319"/>
      <w:bookmarkStart w:id="320" w:name="_Toc184310313"/>
      <w:bookmarkEnd w:id="320"/>
      <w:bookmarkStart w:id="321" w:name="_Toc184308087"/>
      <w:bookmarkEnd w:id="321"/>
      <w:bookmarkStart w:id="322" w:name="_Toc184310278"/>
      <w:bookmarkEnd w:id="322"/>
      <w:bookmarkStart w:id="323" w:name="_Toc184314469"/>
      <w:bookmarkEnd w:id="323"/>
      <w:bookmarkStart w:id="324" w:name="_Toc184313300"/>
      <w:bookmarkEnd w:id="324"/>
      <w:bookmarkStart w:id="325" w:name="_Toc184312069"/>
      <w:bookmarkEnd w:id="325"/>
      <w:bookmarkStart w:id="326" w:name="_Toc184312117"/>
      <w:bookmarkEnd w:id="326"/>
      <w:bookmarkStart w:id="327" w:name="_Toc184314462"/>
      <w:bookmarkEnd w:id="327"/>
      <w:bookmarkStart w:id="328" w:name="_Toc184308090"/>
      <w:bookmarkEnd w:id="328"/>
      <w:bookmarkStart w:id="329" w:name="_Toc184313268"/>
      <w:bookmarkEnd w:id="329"/>
      <w:bookmarkStart w:id="330" w:name="_Toc184308057"/>
      <w:bookmarkEnd w:id="330"/>
      <w:bookmarkStart w:id="331" w:name="_Toc184313244"/>
      <w:bookmarkEnd w:id="331"/>
      <w:bookmarkStart w:id="332" w:name="_Toc184312071"/>
      <w:bookmarkEnd w:id="332"/>
      <w:bookmarkStart w:id="333" w:name="_Toc184313276"/>
      <w:bookmarkEnd w:id="333"/>
      <w:bookmarkStart w:id="334" w:name="_Toc184312067"/>
      <w:bookmarkEnd w:id="334"/>
      <w:bookmarkStart w:id="335" w:name="_Toc184314475"/>
      <w:bookmarkEnd w:id="335"/>
      <w:bookmarkStart w:id="336" w:name="_Toc184312088"/>
      <w:bookmarkEnd w:id="336"/>
      <w:bookmarkStart w:id="337" w:name="_Toc184313274"/>
      <w:bookmarkEnd w:id="337"/>
      <w:bookmarkStart w:id="338" w:name="_Toc184313306"/>
      <w:bookmarkEnd w:id="338"/>
      <w:bookmarkStart w:id="339" w:name="_Toc184308102"/>
      <w:bookmarkEnd w:id="339"/>
      <w:bookmarkStart w:id="340" w:name="_Toc184314420"/>
      <w:bookmarkEnd w:id="340"/>
      <w:bookmarkStart w:id="341" w:name="_Toc184308060"/>
      <w:bookmarkEnd w:id="341"/>
      <w:bookmarkStart w:id="342" w:name="_Toc184313281"/>
      <w:bookmarkEnd w:id="342"/>
      <w:bookmarkStart w:id="343" w:name="_Toc184310326"/>
      <w:bookmarkEnd w:id="343"/>
      <w:bookmarkStart w:id="344" w:name="_Toc184314467"/>
      <w:bookmarkEnd w:id="344"/>
      <w:bookmarkStart w:id="345" w:name="_Toc184314424"/>
      <w:bookmarkEnd w:id="345"/>
      <w:bookmarkStart w:id="346" w:name="_Toc184312093"/>
      <w:bookmarkEnd w:id="346"/>
      <w:bookmarkStart w:id="347" w:name="_Toc184310275"/>
      <w:bookmarkEnd w:id="347"/>
      <w:bookmarkStart w:id="348" w:name="_Toc184313271"/>
      <w:bookmarkEnd w:id="348"/>
      <w:bookmarkStart w:id="349" w:name="_Toc184312089"/>
      <w:bookmarkEnd w:id="349"/>
      <w:bookmarkStart w:id="350" w:name="_Toc184314449"/>
      <w:bookmarkEnd w:id="350"/>
      <w:bookmarkStart w:id="351" w:name="_Toc184310292"/>
      <w:bookmarkEnd w:id="351"/>
      <w:bookmarkStart w:id="352" w:name="_Toc184308059"/>
      <w:bookmarkEnd w:id="352"/>
      <w:bookmarkStart w:id="353" w:name="_Toc184312092"/>
      <w:bookmarkEnd w:id="353"/>
      <w:bookmarkStart w:id="354" w:name="_Toc184313259"/>
      <w:bookmarkEnd w:id="354"/>
      <w:bookmarkStart w:id="355" w:name="_Toc184308077"/>
      <w:bookmarkEnd w:id="355"/>
      <w:bookmarkStart w:id="356" w:name="_Toc184314440"/>
      <w:bookmarkEnd w:id="356"/>
      <w:bookmarkStart w:id="357" w:name="_Toc184308061"/>
      <w:bookmarkEnd w:id="357"/>
      <w:bookmarkStart w:id="358" w:name="_Toc184310281"/>
      <w:bookmarkEnd w:id="358"/>
      <w:bookmarkStart w:id="359" w:name="_Toc184313256"/>
      <w:bookmarkEnd w:id="359"/>
      <w:bookmarkStart w:id="360" w:name="_Toc184308043"/>
      <w:bookmarkEnd w:id="360"/>
      <w:bookmarkStart w:id="361" w:name="_Toc184313267"/>
      <w:bookmarkEnd w:id="361"/>
      <w:bookmarkStart w:id="362" w:name="_Toc184314423"/>
      <w:bookmarkEnd w:id="362"/>
      <w:bookmarkStart w:id="363" w:name="_Toc184313296"/>
      <w:bookmarkEnd w:id="363"/>
      <w:bookmarkStart w:id="364" w:name="_Toc184310319"/>
      <w:bookmarkEnd w:id="364"/>
      <w:bookmarkStart w:id="365" w:name="_Toc184312090"/>
      <w:bookmarkEnd w:id="365"/>
      <w:bookmarkStart w:id="366" w:name="_Toc184312130"/>
      <w:bookmarkEnd w:id="366"/>
      <w:bookmarkStart w:id="367" w:name="_Toc184313279"/>
      <w:bookmarkEnd w:id="367"/>
      <w:bookmarkStart w:id="368" w:name="_Toc184313304"/>
      <w:bookmarkEnd w:id="368"/>
      <w:bookmarkStart w:id="369" w:name="_Toc184313262"/>
      <w:bookmarkEnd w:id="369"/>
      <w:bookmarkStart w:id="370" w:name="_Toc184310327"/>
      <w:bookmarkEnd w:id="370"/>
      <w:bookmarkStart w:id="371" w:name="_Toc184310295"/>
      <w:bookmarkEnd w:id="371"/>
      <w:bookmarkStart w:id="372" w:name="_Toc184314463"/>
      <w:bookmarkEnd w:id="372"/>
      <w:bookmarkStart w:id="373" w:name="_Toc184308066"/>
      <w:bookmarkEnd w:id="373"/>
      <w:bookmarkStart w:id="374" w:name="_Toc184314464"/>
      <w:bookmarkEnd w:id="374"/>
      <w:bookmarkStart w:id="375" w:name="_Toc184312087"/>
      <w:bookmarkEnd w:id="375"/>
      <w:bookmarkStart w:id="376" w:name="_Toc184310297"/>
      <w:bookmarkEnd w:id="376"/>
      <w:bookmarkStart w:id="377" w:name="_Toc184310343"/>
      <w:bookmarkEnd w:id="377"/>
      <w:bookmarkStart w:id="378" w:name="_Toc184308053"/>
      <w:bookmarkEnd w:id="378"/>
      <w:bookmarkStart w:id="379" w:name="_Toc184310315"/>
      <w:bookmarkEnd w:id="379"/>
      <w:bookmarkStart w:id="380" w:name="_Toc184313245"/>
      <w:bookmarkEnd w:id="380"/>
      <w:bookmarkStart w:id="381" w:name="_Toc184308044"/>
      <w:bookmarkEnd w:id="381"/>
      <w:bookmarkStart w:id="382" w:name="_Toc184312074"/>
      <w:bookmarkEnd w:id="382"/>
      <w:bookmarkStart w:id="383" w:name="_Toc184314436"/>
      <w:bookmarkEnd w:id="383"/>
      <w:bookmarkStart w:id="384" w:name="_Toc184313303"/>
      <w:bookmarkEnd w:id="384"/>
      <w:bookmarkStart w:id="385" w:name="_Toc184308084"/>
      <w:bookmarkEnd w:id="385"/>
      <w:bookmarkStart w:id="386" w:name="_Toc184313260"/>
      <w:bookmarkEnd w:id="386"/>
      <w:bookmarkStart w:id="387" w:name="_Toc184313289"/>
      <w:bookmarkEnd w:id="387"/>
      <w:bookmarkStart w:id="388" w:name="_Toc184310338"/>
      <w:bookmarkEnd w:id="388"/>
      <w:bookmarkStart w:id="389" w:name="_Toc184313239"/>
      <w:bookmarkEnd w:id="389"/>
      <w:bookmarkStart w:id="390" w:name="_Toc184313307"/>
      <w:bookmarkEnd w:id="390"/>
      <w:bookmarkStart w:id="391" w:name="_Toc184314435"/>
      <w:bookmarkEnd w:id="391"/>
      <w:bookmarkStart w:id="392" w:name="_Toc184310339"/>
      <w:bookmarkEnd w:id="392"/>
      <w:bookmarkStart w:id="393" w:name="_Toc184310330"/>
      <w:bookmarkEnd w:id="393"/>
      <w:bookmarkStart w:id="394" w:name="_Toc184312132"/>
      <w:bookmarkEnd w:id="394"/>
      <w:bookmarkStart w:id="395" w:name="_Toc184313310"/>
      <w:bookmarkEnd w:id="395"/>
      <w:bookmarkStart w:id="396" w:name="_Toc184313254"/>
      <w:bookmarkEnd w:id="396"/>
      <w:bookmarkStart w:id="397" w:name="_Toc184310324"/>
      <w:bookmarkEnd w:id="397"/>
      <w:bookmarkStart w:id="398" w:name="_Toc184314447"/>
      <w:bookmarkEnd w:id="398"/>
      <w:bookmarkStart w:id="399" w:name="_Toc184310337"/>
      <w:bookmarkEnd w:id="399"/>
      <w:bookmarkStart w:id="400" w:name="_Toc184308078"/>
      <w:bookmarkEnd w:id="400"/>
      <w:r>
        <w:rPr>
          <w:rFonts w:hint="eastAsia" w:ascii="宋体" w:hAnsi="宋体" w:cs="宋体"/>
          <w:b/>
          <w:color w:val="auto"/>
          <w:sz w:val="36"/>
          <w:szCs w:val="36"/>
          <w:highlight w:val="none"/>
        </w:rPr>
        <w:t>评标办法</w:t>
      </w:r>
    </w:p>
    <w:p w14:paraId="38468B9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800"/>
        <w:gridCol w:w="647"/>
        <w:gridCol w:w="1005"/>
        <w:gridCol w:w="1465"/>
      </w:tblGrid>
      <w:tr w14:paraId="6BD0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098601E">
            <w:pPr>
              <w:snapToGrid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800" w:type="dxa"/>
            <w:vAlign w:val="center"/>
          </w:tcPr>
          <w:p w14:paraId="10415C4F">
            <w:pPr>
              <w:snapToGrid w:val="0"/>
              <w:jc w:val="center"/>
              <w:rPr>
                <w:rFonts w:hint="eastAsia" w:ascii="宋体" w:hAnsi="宋体" w:eastAsia="宋体" w:cs="宋体"/>
                <w:sz w:val="24"/>
                <w:szCs w:val="24"/>
              </w:rPr>
            </w:pPr>
            <w:r>
              <w:rPr>
                <w:rFonts w:hint="eastAsia" w:ascii="宋体" w:hAnsi="宋体" w:eastAsia="宋体" w:cs="宋体"/>
                <w:sz w:val="24"/>
                <w:szCs w:val="24"/>
              </w:rPr>
              <w:t>评标标准</w:t>
            </w:r>
          </w:p>
        </w:tc>
        <w:tc>
          <w:tcPr>
            <w:tcW w:w="647" w:type="dxa"/>
            <w:vAlign w:val="center"/>
          </w:tcPr>
          <w:p w14:paraId="365B71A0">
            <w:pPr>
              <w:snapToGrid w:val="0"/>
              <w:jc w:val="center"/>
              <w:rPr>
                <w:rFonts w:hint="eastAsia" w:ascii="宋体" w:hAnsi="宋体" w:eastAsia="宋体" w:cs="宋体"/>
                <w:sz w:val="24"/>
                <w:szCs w:val="24"/>
              </w:rPr>
            </w:pPr>
            <w:r>
              <w:rPr>
                <w:rFonts w:hint="eastAsia" w:ascii="宋体" w:hAnsi="宋体" w:eastAsia="宋体" w:cs="宋体"/>
                <w:sz w:val="24"/>
                <w:szCs w:val="24"/>
              </w:rPr>
              <w:t>权重</w:t>
            </w:r>
          </w:p>
        </w:tc>
        <w:tc>
          <w:tcPr>
            <w:tcW w:w="1005" w:type="dxa"/>
            <w:vAlign w:val="center"/>
          </w:tcPr>
          <w:p w14:paraId="7AA106E7">
            <w:pPr>
              <w:snapToGrid w:val="0"/>
              <w:jc w:val="center"/>
              <w:rPr>
                <w:rFonts w:hint="eastAsia" w:ascii="宋体" w:hAnsi="宋体" w:eastAsia="宋体" w:cs="宋体"/>
                <w:bCs/>
                <w:sz w:val="24"/>
                <w:szCs w:val="24"/>
              </w:rPr>
            </w:pPr>
            <w:r>
              <w:rPr>
                <w:rFonts w:hint="eastAsia" w:ascii="宋体" w:hAnsi="宋体" w:eastAsia="宋体" w:cs="宋体"/>
                <w:bCs/>
                <w:sz w:val="24"/>
                <w:szCs w:val="24"/>
              </w:rPr>
              <w:t>主观分/客观分属性</w:t>
            </w:r>
          </w:p>
        </w:tc>
        <w:tc>
          <w:tcPr>
            <w:tcW w:w="1465" w:type="dxa"/>
          </w:tcPr>
          <w:p w14:paraId="10D55C09">
            <w:pPr>
              <w:snapToGrid w:val="0"/>
              <w:jc w:val="center"/>
              <w:rPr>
                <w:rFonts w:hint="eastAsia" w:ascii="宋体" w:hAnsi="宋体" w:eastAsia="宋体" w:cs="宋体"/>
                <w:sz w:val="24"/>
                <w:szCs w:val="24"/>
              </w:rPr>
            </w:pPr>
            <w:r>
              <w:rPr>
                <w:rFonts w:hint="eastAsia" w:ascii="宋体" w:hAnsi="宋体" w:eastAsia="宋体" w:cs="宋体"/>
                <w:bCs/>
                <w:sz w:val="24"/>
                <w:szCs w:val="24"/>
              </w:rPr>
              <w:t>投标文件中评标标准相应的商务技术资料目录*</w:t>
            </w:r>
          </w:p>
        </w:tc>
      </w:tr>
      <w:tr w14:paraId="0D62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A39D93A">
            <w:pPr>
              <w:snapToGrid w:val="0"/>
              <w:jc w:val="center"/>
              <w:rPr>
                <w:rFonts w:hint="eastAsia" w:ascii="宋体" w:hAnsi="宋体" w:eastAsia="宋体" w:cs="宋体"/>
                <w:sz w:val="24"/>
                <w:szCs w:val="24"/>
              </w:rPr>
            </w:pPr>
            <w:r>
              <w:rPr>
                <w:rFonts w:hint="eastAsia" w:ascii="宋体" w:hAnsi="宋体" w:eastAsia="宋体" w:cs="宋体"/>
                <w:sz w:val="24"/>
                <w:szCs w:val="24"/>
              </w:rPr>
              <w:t>1</w:t>
            </w:r>
          </w:p>
        </w:tc>
        <w:tc>
          <w:tcPr>
            <w:tcW w:w="4800" w:type="dxa"/>
            <w:vAlign w:val="center"/>
          </w:tcPr>
          <w:p w14:paraId="7C57301A">
            <w:pPr>
              <w:spacing w:line="240" w:lineRule="auto"/>
              <w:rPr>
                <w:rFonts w:hint="eastAsia" w:ascii="宋体" w:hAnsi="宋体" w:eastAsia="宋体" w:cs="宋体"/>
                <w:sz w:val="24"/>
                <w:szCs w:val="24"/>
              </w:rPr>
            </w:pPr>
            <w:r>
              <w:rPr>
                <w:rFonts w:hint="eastAsia" w:ascii="宋体" w:hAnsi="宋体" w:eastAsia="宋体" w:cs="宋体"/>
                <w:sz w:val="24"/>
                <w:szCs w:val="24"/>
              </w:rPr>
              <w:t>投标人资信：</w:t>
            </w:r>
          </w:p>
          <w:p w14:paraId="7931137E">
            <w:pPr>
              <w:spacing w:line="240" w:lineRule="auto"/>
              <w:rPr>
                <w:rFonts w:hint="eastAsia" w:ascii="宋体" w:hAnsi="宋体" w:eastAsia="宋体" w:cs="宋体"/>
                <w:sz w:val="24"/>
                <w:szCs w:val="24"/>
              </w:rPr>
            </w:pPr>
            <w:r>
              <w:rPr>
                <w:rFonts w:hint="eastAsia" w:ascii="宋体" w:hAnsi="宋体" w:eastAsia="宋体" w:cs="宋体"/>
                <w:sz w:val="24"/>
                <w:szCs w:val="24"/>
              </w:rPr>
              <w:t>投标人具有质量管理体系认证证书、环境管理体系认证证书</w:t>
            </w:r>
            <w:r>
              <w:rPr>
                <w:rFonts w:hint="eastAsia" w:ascii="宋体" w:hAnsi="宋体" w:eastAsia="宋体" w:cs="宋体"/>
                <w:sz w:val="24"/>
                <w:szCs w:val="24"/>
                <w:lang w:eastAsia="zh-CN"/>
              </w:rPr>
              <w:t>、</w:t>
            </w:r>
            <w:r>
              <w:rPr>
                <w:rFonts w:hint="eastAsia" w:ascii="宋体" w:hAnsi="宋体" w:eastAsia="宋体" w:cs="宋体"/>
                <w:sz w:val="24"/>
                <w:szCs w:val="24"/>
              </w:rPr>
              <w:t>职业健康安全管理体系认证证书且在有效期内，每提供一个证书得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最多得3分</w:t>
            </w:r>
            <w:r>
              <w:rPr>
                <w:rFonts w:hint="eastAsia" w:ascii="宋体" w:hAnsi="宋体" w:eastAsia="宋体" w:cs="宋体"/>
                <w:sz w:val="24"/>
                <w:szCs w:val="24"/>
              </w:rPr>
              <w:t>。</w:t>
            </w:r>
          </w:p>
          <w:p w14:paraId="560FD9D6">
            <w:pPr>
              <w:jc w:val="left"/>
              <w:outlineLvl w:val="0"/>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color w:val="auto"/>
                <w:sz w:val="24"/>
                <w:szCs w:val="24"/>
                <w:highlight w:val="none"/>
                <w:lang w:val="en-US" w:eastAsia="zh-CN"/>
              </w:rPr>
              <w:t>提供有效的证书扫描件及全国认证认可信息公共服务平台（http://cx.cnca.cn）网站查询截图（查询状态为有效），不提供的不得分。</w:t>
            </w:r>
          </w:p>
        </w:tc>
        <w:tc>
          <w:tcPr>
            <w:tcW w:w="647" w:type="dxa"/>
            <w:vAlign w:val="center"/>
          </w:tcPr>
          <w:p w14:paraId="60FD39C0">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005" w:type="dxa"/>
            <w:vAlign w:val="center"/>
          </w:tcPr>
          <w:p w14:paraId="561C68AF">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客观分</w:t>
            </w:r>
          </w:p>
        </w:tc>
        <w:tc>
          <w:tcPr>
            <w:tcW w:w="1465" w:type="dxa"/>
          </w:tcPr>
          <w:p w14:paraId="0B7A8455">
            <w:pPr>
              <w:snapToGrid w:val="0"/>
              <w:jc w:val="center"/>
              <w:rPr>
                <w:rFonts w:hint="eastAsia" w:ascii="宋体" w:hAnsi="宋体" w:eastAsia="宋体" w:cs="宋体"/>
                <w:sz w:val="24"/>
                <w:szCs w:val="24"/>
              </w:rPr>
            </w:pPr>
          </w:p>
        </w:tc>
      </w:tr>
      <w:tr w14:paraId="74E7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673367F">
            <w:pPr>
              <w:snapToGrid w:val="0"/>
              <w:jc w:val="center"/>
              <w:rPr>
                <w:rFonts w:hint="eastAsia" w:ascii="宋体" w:hAnsi="宋体" w:eastAsia="宋体" w:cs="宋体"/>
                <w:sz w:val="24"/>
                <w:szCs w:val="24"/>
              </w:rPr>
            </w:pPr>
            <w:r>
              <w:rPr>
                <w:rFonts w:hint="eastAsia" w:ascii="宋体" w:hAnsi="宋体" w:eastAsia="宋体" w:cs="宋体"/>
                <w:sz w:val="24"/>
                <w:szCs w:val="24"/>
              </w:rPr>
              <w:t>2</w:t>
            </w:r>
          </w:p>
        </w:tc>
        <w:tc>
          <w:tcPr>
            <w:tcW w:w="4800" w:type="dxa"/>
            <w:vAlign w:val="center"/>
          </w:tcPr>
          <w:p w14:paraId="261892EF">
            <w:pPr>
              <w:jc w:val="left"/>
              <w:outlineLvl w:val="0"/>
              <w:rPr>
                <w:rFonts w:hint="eastAsia" w:ascii="宋体" w:hAnsi="宋体" w:eastAsia="宋体" w:cs="宋体"/>
                <w:sz w:val="24"/>
                <w:szCs w:val="24"/>
              </w:rPr>
            </w:pPr>
            <w:r>
              <w:rPr>
                <w:rFonts w:hint="eastAsia" w:ascii="宋体" w:hAnsi="宋体" w:eastAsia="宋体" w:cs="宋体"/>
                <w:sz w:val="24"/>
                <w:szCs w:val="24"/>
              </w:rPr>
              <w:t>投标人202</w:t>
            </w:r>
            <w:r>
              <w:rPr>
                <w:rFonts w:hint="eastAsia" w:ascii="宋体" w:hAnsi="宋体" w:eastAsia="宋体" w:cs="宋体"/>
                <w:sz w:val="24"/>
                <w:szCs w:val="24"/>
                <w:lang w:val="en-US" w:eastAsia="zh-CN"/>
              </w:rPr>
              <w:t>2</w:t>
            </w:r>
            <w:r>
              <w:rPr>
                <w:rFonts w:hint="eastAsia" w:ascii="宋体" w:hAnsi="宋体" w:eastAsia="宋体" w:cs="宋体"/>
                <w:sz w:val="24"/>
                <w:szCs w:val="24"/>
              </w:rPr>
              <w:t>年以来（以合同签订时间为准）已完成（或在管）的类似项目业绩情况，每提供一项有效业绩得0.5分，最高得1分。</w:t>
            </w:r>
            <w:r>
              <w:rPr>
                <w:rFonts w:hint="eastAsia" w:ascii="宋体" w:hAnsi="宋体" w:eastAsia="宋体" w:cs="宋体"/>
                <w:sz w:val="24"/>
                <w:szCs w:val="24"/>
                <w:lang w:val="en-US" w:eastAsia="zh-CN"/>
              </w:rPr>
              <w:t>注：</w:t>
            </w:r>
            <w:r>
              <w:rPr>
                <w:rFonts w:hint="eastAsia" w:ascii="宋体" w:hAnsi="宋体" w:eastAsia="宋体" w:cs="宋体"/>
                <w:sz w:val="24"/>
                <w:szCs w:val="24"/>
              </w:rPr>
              <w:t>须</w:t>
            </w:r>
            <w:r>
              <w:rPr>
                <w:rFonts w:hint="eastAsia" w:ascii="宋体" w:hAnsi="宋体" w:eastAsia="宋体" w:cs="宋体"/>
                <w:color w:val="000000"/>
                <w:kern w:val="0"/>
                <w:sz w:val="24"/>
                <w:szCs w:val="24"/>
              </w:rPr>
              <w:t>提供合同扫描件。</w:t>
            </w:r>
          </w:p>
        </w:tc>
        <w:tc>
          <w:tcPr>
            <w:tcW w:w="647" w:type="dxa"/>
            <w:vAlign w:val="center"/>
          </w:tcPr>
          <w:p w14:paraId="5C214BEA">
            <w:pPr>
              <w:widowControl/>
              <w:jc w:val="center"/>
              <w:rPr>
                <w:rFonts w:hint="eastAsia" w:ascii="宋体" w:hAnsi="宋体" w:eastAsia="宋体" w:cs="宋体"/>
                <w:sz w:val="24"/>
                <w:szCs w:val="24"/>
              </w:rPr>
            </w:pPr>
            <w:r>
              <w:rPr>
                <w:rFonts w:hint="eastAsia" w:ascii="宋体" w:hAnsi="宋体" w:eastAsia="宋体" w:cs="宋体"/>
                <w:sz w:val="24"/>
                <w:szCs w:val="24"/>
              </w:rPr>
              <w:t>1</w:t>
            </w:r>
          </w:p>
        </w:tc>
        <w:tc>
          <w:tcPr>
            <w:tcW w:w="1005" w:type="dxa"/>
            <w:vAlign w:val="center"/>
          </w:tcPr>
          <w:p w14:paraId="6E6FB084">
            <w:pPr>
              <w:snapToGrid w:val="0"/>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465" w:type="dxa"/>
          </w:tcPr>
          <w:p w14:paraId="4D31DEA7">
            <w:pPr>
              <w:snapToGrid w:val="0"/>
              <w:jc w:val="center"/>
              <w:rPr>
                <w:rFonts w:hint="eastAsia" w:ascii="宋体" w:hAnsi="宋体" w:eastAsia="宋体" w:cs="宋体"/>
                <w:sz w:val="24"/>
                <w:szCs w:val="24"/>
              </w:rPr>
            </w:pPr>
          </w:p>
        </w:tc>
      </w:tr>
      <w:tr w14:paraId="3954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B9FAD55">
            <w:pPr>
              <w:snapToGrid w:val="0"/>
              <w:jc w:val="center"/>
              <w:rPr>
                <w:rFonts w:hint="eastAsia" w:ascii="宋体" w:hAnsi="宋体" w:eastAsia="宋体" w:cs="宋体"/>
                <w:sz w:val="24"/>
                <w:szCs w:val="24"/>
              </w:rPr>
            </w:pPr>
            <w:r>
              <w:rPr>
                <w:rFonts w:hint="eastAsia" w:ascii="宋体" w:hAnsi="宋体" w:eastAsia="宋体" w:cs="宋体"/>
                <w:sz w:val="24"/>
                <w:szCs w:val="24"/>
              </w:rPr>
              <w:t>3</w:t>
            </w:r>
          </w:p>
        </w:tc>
        <w:tc>
          <w:tcPr>
            <w:tcW w:w="4800" w:type="dxa"/>
            <w:vAlign w:val="center"/>
          </w:tcPr>
          <w:p w14:paraId="18D11482">
            <w:pPr>
              <w:rPr>
                <w:rFonts w:hint="eastAsia" w:ascii="宋体" w:hAnsi="宋体" w:eastAsia="宋体" w:cs="宋体"/>
                <w:sz w:val="24"/>
                <w:szCs w:val="24"/>
              </w:rPr>
            </w:pPr>
            <w:r>
              <w:rPr>
                <w:rFonts w:hint="eastAsia" w:ascii="宋体" w:hAnsi="宋体" w:eastAsia="宋体" w:cs="宋体"/>
                <w:sz w:val="24"/>
                <w:szCs w:val="24"/>
              </w:rPr>
              <w:t>投标人的整体方案：</w:t>
            </w:r>
          </w:p>
        </w:tc>
        <w:tc>
          <w:tcPr>
            <w:tcW w:w="647" w:type="dxa"/>
            <w:vAlign w:val="center"/>
          </w:tcPr>
          <w:p w14:paraId="24809899">
            <w:pPr>
              <w:widowControl/>
              <w:jc w:val="center"/>
              <w:rPr>
                <w:rFonts w:hint="eastAsia" w:ascii="宋体" w:hAnsi="宋体" w:eastAsia="宋体" w:cs="宋体"/>
                <w:sz w:val="24"/>
                <w:szCs w:val="24"/>
              </w:rPr>
            </w:pPr>
            <w:r>
              <w:rPr>
                <w:rFonts w:hint="eastAsia" w:ascii="宋体" w:hAnsi="宋体" w:eastAsia="宋体" w:cs="宋体"/>
                <w:sz w:val="24"/>
                <w:szCs w:val="24"/>
              </w:rPr>
              <w:t>/</w:t>
            </w:r>
          </w:p>
        </w:tc>
        <w:tc>
          <w:tcPr>
            <w:tcW w:w="1005" w:type="dxa"/>
            <w:vAlign w:val="center"/>
          </w:tcPr>
          <w:p w14:paraId="4E0DA50A">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1465" w:type="dxa"/>
          </w:tcPr>
          <w:p w14:paraId="79107E3A">
            <w:pPr>
              <w:snapToGrid w:val="0"/>
              <w:jc w:val="center"/>
              <w:rPr>
                <w:rFonts w:hint="eastAsia" w:ascii="宋体" w:hAnsi="宋体" w:eastAsia="宋体" w:cs="宋体"/>
                <w:sz w:val="24"/>
                <w:szCs w:val="24"/>
              </w:rPr>
            </w:pPr>
          </w:p>
        </w:tc>
      </w:tr>
      <w:tr w14:paraId="036F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BB7C82A">
            <w:pPr>
              <w:snapToGrid w:val="0"/>
              <w:jc w:val="center"/>
              <w:rPr>
                <w:rFonts w:hint="eastAsia" w:ascii="宋体" w:hAnsi="宋体" w:eastAsia="宋体" w:cs="宋体"/>
                <w:sz w:val="24"/>
                <w:szCs w:val="24"/>
              </w:rPr>
            </w:pPr>
            <w:r>
              <w:rPr>
                <w:rFonts w:hint="eastAsia" w:ascii="宋体" w:hAnsi="宋体" w:eastAsia="宋体" w:cs="宋体"/>
                <w:sz w:val="24"/>
                <w:szCs w:val="24"/>
              </w:rPr>
              <w:t>3.1</w:t>
            </w:r>
          </w:p>
        </w:tc>
        <w:tc>
          <w:tcPr>
            <w:tcW w:w="4800" w:type="dxa"/>
            <w:vAlign w:val="center"/>
          </w:tcPr>
          <w:p w14:paraId="1EBA362F">
            <w:pPr>
              <w:rPr>
                <w:rFonts w:hint="eastAsia" w:ascii="宋体" w:hAnsi="宋体" w:eastAsia="宋体" w:cs="宋体"/>
                <w:sz w:val="24"/>
                <w:szCs w:val="24"/>
              </w:rPr>
            </w:pPr>
            <w:r>
              <w:rPr>
                <w:rFonts w:hint="eastAsia" w:ascii="宋体" w:hAnsi="宋体" w:eastAsia="宋体" w:cs="宋体"/>
                <w:sz w:val="24"/>
                <w:szCs w:val="24"/>
              </w:rPr>
              <w:t>对本项目背景、现状的理解与分析以及针对本项目对采购人实际情况需求的把握。</w:t>
            </w:r>
          </w:p>
          <w:p w14:paraId="4B2BFB3D">
            <w:pPr>
              <w:rPr>
                <w:rFonts w:hint="eastAsia" w:ascii="宋体" w:hAnsi="宋体" w:eastAsia="宋体" w:cs="宋体"/>
                <w:sz w:val="24"/>
                <w:szCs w:val="24"/>
              </w:rPr>
            </w:pPr>
            <w:r>
              <w:rPr>
                <w:rFonts w:hint="eastAsia" w:ascii="宋体" w:hAnsi="宋体" w:eastAsia="宋体" w:cs="宋体"/>
                <w:sz w:val="24"/>
                <w:szCs w:val="24"/>
              </w:rPr>
              <w:t>能够贴合项目实际情况，切合实际、合理可行、全面详细的得5分；能够贴合项目实际情况，切合实际但不够全面详细的得4分；基本符合实际、可行详细的得3分；基本符合实际、大致可行、略有疏漏的得2分；思路不切实际、可行性较差的得1分；未提供不得分。</w:t>
            </w:r>
          </w:p>
        </w:tc>
        <w:tc>
          <w:tcPr>
            <w:tcW w:w="647" w:type="dxa"/>
            <w:vAlign w:val="center"/>
          </w:tcPr>
          <w:p w14:paraId="25F7A28D">
            <w:pPr>
              <w:widowControl/>
              <w:jc w:val="center"/>
              <w:rPr>
                <w:rFonts w:hint="eastAsia" w:ascii="宋体" w:hAnsi="宋体" w:eastAsia="宋体" w:cs="宋体"/>
                <w:sz w:val="24"/>
                <w:szCs w:val="24"/>
              </w:rPr>
            </w:pPr>
            <w:r>
              <w:rPr>
                <w:rFonts w:hint="eastAsia" w:ascii="宋体" w:hAnsi="宋体" w:eastAsia="宋体" w:cs="宋体"/>
                <w:sz w:val="24"/>
                <w:szCs w:val="24"/>
              </w:rPr>
              <w:t>5</w:t>
            </w:r>
          </w:p>
        </w:tc>
        <w:tc>
          <w:tcPr>
            <w:tcW w:w="1005" w:type="dxa"/>
            <w:vAlign w:val="center"/>
          </w:tcPr>
          <w:p w14:paraId="6FB2CD36">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20ADB448">
            <w:pPr>
              <w:snapToGrid w:val="0"/>
              <w:jc w:val="center"/>
              <w:rPr>
                <w:rFonts w:hint="eastAsia" w:ascii="宋体" w:hAnsi="宋体" w:eastAsia="宋体" w:cs="宋体"/>
                <w:sz w:val="24"/>
                <w:szCs w:val="24"/>
              </w:rPr>
            </w:pPr>
          </w:p>
        </w:tc>
      </w:tr>
      <w:tr w14:paraId="3A4A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846C06F">
            <w:pPr>
              <w:snapToGrid w:val="0"/>
              <w:jc w:val="center"/>
              <w:rPr>
                <w:rFonts w:hint="eastAsia" w:ascii="宋体" w:hAnsi="宋体" w:eastAsia="宋体" w:cs="宋体"/>
                <w:sz w:val="24"/>
                <w:szCs w:val="24"/>
              </w:rPr>
            </w:pPr>
            <w:r>
              <w:rPr>
                <w:rFonts w:hint="eastAsia" w:ascii="宋体" w:hAnsi="宋体" w:eastAsia="宋体" w:cs="宋体"/>
                <w:sz w:val="24"/>
                <w:szCs w:val="24"/>
              </w:rPr>
              <w:t>3.2</w:t>
            </w:r>
          </w:p>
        </w:tc>
        <w:tc>
          <w:tcPr>
            <w:tcW w:w="4800" w:type="dxa"/>
            <w:vAlign w:val="center"/>
          </w:tcPr>
          <w:p w14:paraId="220ECC41">
            <w:pPr>
              <w:rPr>
                <w:rFonts w:hint="eastAsia" w:ascii="宋体" w:hAnsi="宋体" w:eastAsia="宋体" w:cs="宋体"/>
                <w:sz w:val="24"/>
                <w:szCs w:val="24"/>
              </w:rPr>
            </w:pPr>
            <w:r>
              <w:rPr>
                <w:rFonts w:hint="eastAsia" w:ascii="宋体" w:hAnsi="宋体" w:eastAsia="宋体" w:cs="宋体"/>
                <w:sz w:val="24"/>
                <w:szCs w:val="24"/>
              </w:rPr>
              <w:t>对本项目方案的全面性、完整性、价值性及可操作性的综合评审。</w:t>
            </w:r>
          </w:p>
          <w:p w14:paraId="767AB74B">
            <w:pPr>
              <w:rPr>
                <w:rFonts w:hint="eastAsia" w:ascii="宋体" w:hAnsi="宋体" w:eastAsia="宋体" w:cs="宋体"/>
                <w:sz w:val="24"/>
                <w:szCs w:val="24"/>
              </w:rPr>
            </w:pPr>
            <w:r>
              <w:rPr>
                <w:rFonts w:hint="eastAsia" w:ascii="宋体" w:hAnsi="宋体" w:eastAsia="宋体" w:cs="宋体"/>
                <w:sz w:val="24"/>
                <w:szCs w:val="24"/>
              </w:rPr>
              <w:t>方案设计清晰、完整，完全吻合项目需求的得5分；方案略有瑕疵，基本满足项目需求的得4分；方案内容简单清晰得3分；方案内容不清晰，内容缺失的得2分；方案内容混乱，内容缺失严重的得1分；未提供方案不得分。</w:t>
            </w:r>
          </w:p>
        </w:tc>
        <w:tc>
          <w:tcPr>
            <w:tcW w:w="647" w:type="dxa"/>
            <w:vAlign w:val="center"/>
          </w:tcPr>
          <w:p w14:paraId="1DE08ACD">
            <w:pPr>
              <w:widowControl/>
              <w:jc w:val="center"/>
              <w:rPr>
                <w:rFonts w:hint="eastAsia" w:ascii="宋体" w:hAnsi="宋体" w:eastAsia="宋体" w:cs="宋体"/>
                <w:sz w:val="24"/>
                <w:szCs w:val="24"/>
              </w:rPr>
            </w:pPr>
            <w:r>
              <w:rPr>
                <w:rFonts w:hint="eastAsia" w:ascii="宋体" w:hAnsi="宋体" w:eastAsia="宋体" w:cs="宋体"/>
                <w:sz w:val="24"/>
                <w:szCs w:val="24"/>
              </w:rPr>
              <w:t>5</w:t>
            </w:r>
          </w:p>
        </w:tc>
        <w:tc>
          <w:tcPr>
            <w:tcW w:w="1005" w:type="dxa"/>
            <w:vAlign w:val="center"/>
          </w:tcPr>
          <w:p w14:paraId="53F572B6">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4680C9FE">
            <w:pPr>
              <w:snapToGrid w:val="0"/>
              <w:jc w:val="center"/>
              <w:rPr>
                <w:rFonts w:hint="eastAsia" w:ascii="宋体" w:hAnsi="宋体" w:eastAsia="宋体" w:cs="宋体"/>
                <w:sz w:val="24"/>
                <w:szCs w:val="24"/>
              </w:rPr>
            </w:pPr>
          </w:p>
        </w:tc>
      </w:tr>
      <w:tr w14:paraId="3D78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5D3CB623">
            <w:pPr>
              <w:snapToGrid w:val="0"/>
              <w:jc w:val="center"/>
              <w:rPr>
                <w:rFonts w:hint="eastAsia" w:ascii="宋体" w:hAnsi="宋体" w:eastAsia="宋体" w:cs="宋体"/>
                <w:sz w:val="24"/>
                <w:szCs w:val="24"/>
              </w:rPr>
            </w:pPr>
            <w:r>
              <w:rPr>
                <w:rFonts w:hint="eastAsia" w:ascii="宋体" w:hAnsi="宋体" w:eastAsia="宋体" w:cs="宋体"/>
                <w:sz w:val="24"/>
                <w:szCs w:val="24"/>
              </w:rPr>
              <w:t>3.3</w:t>
            </w:r>
          </w:p>
        </w:tc>
        <w:tc>
          <w:tcPr>
            <w:tcW w:w="4800" w:type="dxa"/>
            <w:vAlign w:val="center"/>
          </w:tcPr>
          <w:p w14:paraId="08ACC6CB">
            <w:pPr>
              <w:jc w:val="left"/>
              <w:outlineLvl w:val="0"/>
              <w:rPr>
                <w:rFonts w:hint="eastAsia" w:ascii="宋体" w:hAnsi="宋体" w:eastAsia="宋体" w:cs="宋体"/>
                <w:sz w:val="24"/>
                <w:szCs w:val="24"/>
              </w:rPr>
            </w:pPr>
            <w:r>
              <w:rPr>
                <w:rFonts w:hint="eastAsia" w:ascii="宋体" w:hAnsi="宋体" w:eastAsia="宋体" w:cs="宋体"/>
                <w:sz w:val="24"/>
                <w:szCs w:val="24"/>
              </w:rPr>
              <w:t>对本项目采购需求关键点和难点的把握和理解（详细说明），以及更优化的建议等。</w:t>
            </w:r>
          </w:p>
          <w:p w14:paraId="4C2009AB">
            <w:pPr>
              <w:jc w:val="left"/>
              <w:outlineLvl w:val="0"/>
              <w:rPr>
                <w:rFonts w:hint="eastAsia" w:ascii="宋体" w:hAnsi="宋体" w:eastAsia="宋体" w:cs="宋体"/>
                <w:sz w:val="24"/>
                <w:szCs w:val="24"/>
              </w:rPr>
            </w:pPr>
            <w:r>
              <w:rPr>
                <w:rFonts w:hint="eastAsia" w:ascii="宋体" w:hAnsi="宋体" w:eastAsia="宋体" w:cs="宋体"/>
                <w:sz w:val="24"/>
                <w:szCs w:val="24"/>
              </w:rPr>
              <w:t>关键点和难点分析全面准确，建议与措施全面可行、重点突出的得5分；关键点和难点分析基本合理，建议与措施合理可行的4分；关键点和难点分析基本合理，建议与措施欠缺的3分；关键点和难点分析片面、欠合理，解决方法与措施描述笼统不清晰得2分；说明内容混乱，缺失严重的得1分；未提供不得分。</w:t>
            </w:r>
          </w:p>
        </w:tc>
        <w:tc>
          <w:tcPr>
            <w:tcW w:w="647" w:type="dxa"/>
            <w:vAlign w:val="center"/>
          </w:tcPr>
          <w:p w14:paraId="52102AF7">
            <w:pPr>
              <w:widowControl/>
              <w:jc w:val="center"/>
              <w:rPr>
                <w:rFonts w:hint="eastAsia" w:ascii="宋体" w:hAnsi="宋体" w:eastAsia="宋体" w:cs="宋体"/>
                <w:sz w:val="24"/>
                <w:szCs w:val="24"/>
              </w:rPr>
            </w:pPr>
            <w:r>
              <w:rPr>
                <w:rFonts w:hint="eastAsia" w:ascii="宋体" w:hAnsi="宋体" w:eastAsia="宋体" w:cs="宋体"/>
                <w:sz w:val="24"/>
                <w:szCs w:val="24"/>
              </w:rPr>
              <w:t>5</w:t>
            </w:r>
          </w:p>
        </w:tc>
        <w:tc>
          <w:tcPr>
            <w:tcW w:w="1005" w:type="dxa"/>
            <w:vAlign w:val="center"/>
          </w:tcPr>
          <w:p w14:paraId="679DF504">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192390CD">
            <w:pPr>
              <w:snapToGrid w:val="0"/>
              <w:jc w:val="center"/>
              <w:rPr>
                <w:rFonts w:hint="eastAsia" w:ascii="宋体" w:hAnsi="宋体" w:eastAsia="宋体" w:cs="宋体"/>
                <w:sz w:val="24"/>
                <w:szCs w:val="24"/>
              </w:rPr>
            </w:pPr>
          </w:p>
        </w:tc>
      </w:tr>
      <w:tr w14:paraId="52E0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228BF69">
            <w:pPr>
              <w:snapToGrid w:val="0"/>
              <w:jc w:val="center"/>
              <w:rPr>
                <w:rFonts w:hint="eastAsia" w:ascii="宋体" w:hAnsi="宋体" w:eastAsia="宋体" w:cs="宋体"/>
                <w:sz w:val="24"/>
                <w:szCs w:val="24"/>
              </w:rPr>
            </w:pPr>
            <w:r>
              <w:rPr>
                <w:rFonts w:hint="eastAsia" w:ascii="宋体" w:hAnsi="宋体" w:eastAsia="宋体" w:cs="宋体"/>
                <w:sz w:val="24"/>
                <w:szCs w:val="24"/>
              </w:rPr>
              <w:t>4</w:t>
            </w:r>
          </w:p>
        </w:tc>
        <w:tc>
          <w:tcPr>
            <w:tcW w:w="4800" w:type="dxa"/>
            <w:vAlign w:val="center"/>
          </w:tcPr>
          <w:p w14:paraId="751FF5A0">
            <w:pPr>
              <w:rPr>
                <w:rFonts w:hint="eastAsia" w:ascii="宋体" w:hAnsi="宋体" w:eastAsia="宋体" w:cs="宋体"/>
                <w:sz w:val="24"/>
                <w:szCs w:val="24"/>
              </w:rPr>
            </w:pPr>
            <w:r>
              <w:rPr>
                <w:rFonts w:hint="eastAsia" w:ascii="宋体" w:hAnsi="宋体" w:eastAsia="宋体" w:cs="宋体"/>
                <w:sz w:val="24"/>
                <w:szCs w:val="24"/>
              </w:rPr>
              <w:t>投标人的服务方案：</w:t>
            </w:r>
          </w:p>
        </w:tc>
        <w:tc>
          <w:tcPr>
            <w:tcW w:w="647" w:type="dxa"/>
            <w:vAlign w:val="center"/>
          </w:tcPr>
          <w:p w14:paraId="4543E3CC">
            <w:pPr>
              <w:widowControl/>
              <w:jc w:val="center"/>
              <w:rPr>
                <w:rFonts w:hint="eastAsia" w:ascii="宋体" w:hAnsi="宋体" w:eastAsia="宋体" w:cs="宋体"/>
                <w:sz w:val="24"/>
                <w:szCs w:val="24"/>
              </w:rPr>
            </w:pPr>
            <w:r>
              <w:rPr>
                <w:rFonts w:hint="eastAsia" w:ascii="宋体" w:hAnsi="宋体" w:eastAsia="宋体" w:cs="宋体"/>
                <w:sz w:val="24"/>
                <w:szCs w:val="24"/>
              </w:rPr>
              <w:t>/</w:t>
            </w:r>
          </w:p>
        </w:tc>
        <w:tc>
          <w:tcPr>
            <w:tcW w:w="1005" w:type="dxa"/>
            <w:vAlign w:val="center"/>
          </w:tcPr>
          <w:p w14:paraId="145BFA44">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1465" w:type="dxa"/>
          </w:tcPr>
          <w:p w14:paraId="3C0463DD">
            <w:pPr>
              <w:snapToGrid w:val="0"/>
              <w:jc w:val="center"/>
              <w:rPr>
                <w:rFonts w:hint="eastAsia" w:ascii="宋体" w:hAnsi="宋体" w:eastAsia="宋体" w:cs="宋体"/>
                <w:sz w:val="24"/>
                <w:szCs w:val="24"/>
              </w:rPr>
            </w:pPr>
          </w:p>
        </w:tc>
      </w:tr>
      <w:tr w14:paraId="4C58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2FFF259">
            <w:pPr>
              <w:snapToGrid w:val="0"/>
              <w:jc w:val="center"/>
              <w:rPr>
                <w:rFonts w:hint="eastAsia" w:ascii="宋体" w:hAnsi="宋体" w:eastAsia="宋体" w:cs="宋体"/>
                <w:sz w:val="24"/>
                <w:szCs w:val="24"/>
              </w:rPr>
            </w:pPr>
            <w:r>
              <w:rPr>
                <w:rFonts w:hint="eastAsia" w:ascii="宋体" w:hAnsi="宋体" w:eastAsia="宋体" w:cs="宋体"/>
                <w:sz w:val="24"/>
                <w:szCs w:val="24"/>
              </w:rPr>
              <w:t>4.1</w:t>
            </w:r>
          </w:p>
        </w:tc>
        <w:tc>
          <w:tcPr>
            <w:tcW w:w="4800" w:type="dxa"/>
            <w:vAlign w:val="center"/>
          </w:tcPr>
          <w:p w14:paraId="3A6F3EE5">
            <w:pPr>
              <w:jc w:val="left"/>
              <w:outlineLvl w:val="0"/>
              <w:rPr>
                <w:rFonts w:hint="eastAsia" w:ascii="宋体" w:hAnsi="宋体" w:eastAsia="宋体" w:cs="宋体"/>
                <w:sz w:val="24"/>
                <w:szCs w:val="24"/>
              </w:rPr>
            </w:pPr>
            <w:r>
              <w:rPr>
                <w:rFonts w:hint="eastAsia" w:ascii="宋体" w:hAnsi="宋体" w:eastAsia="宋体" w:cs="宋体"/>
                <w:sz w:val="24"/>
                <w:szCs w:val="24"/>
              </w:rPr>
              <w:t>针对本项目设计一套可行服务方案：</w:t>
            </w:r>
          </w:p>
        </w:tc>
        <w:tc>
          <w:tcPr>
            <w:tcW w:w="647" w:type="dxa"/>
            <w:vAlign w:val="center"/>
          </w:tcPr>
          <w:p w14:paraId="7097512F">
            <w:pPr>
              <w:widowControl/>
              <w:jc w:val="center"/>
              <w:rPr>
                <w:rFonts w:hint="eastAsia" w:ascii="宋体" w:hAnsi="宋体" w:eastAsia="宋体" w:cs="宋体"/>
                <w:sz w:val="24"/>
                <w:szCs w:val="24"/>
              </w:rPr>
            </w:pPr>
            <w:r>
              <w:rPr>
                <w:rFonts w:hint="eastAsia" w:ascii="宋体" w:hAnsi="宋体" w:eastAsia="宋体" w:cs="宋体"/>
                <w:sz w:val="24"/>
                <w:szCs w:val="24"/>
              </w:rPr>
              <w:t>/</w:t>
            </w:r>
          </w:p>
        </w:tc>
        <w:tc>
          <w:tcPr>
            <w:tcW w:w="1005" w:type="dxa"/>
            <w:vAlign w:val="center"/>
          </w:tcPr>
          <w:p w14:paraId="5B891B56">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1465" w:type="dxa"/>
          </w:tcPr>
          <w:p w14:paraId="233D4C22">
            <w:pPr>
              <w:snapToGrid w:val="0"/>
              <w:jc w:val="center"/>
              <w:rPr>
                <w:rFonts w:hint="eastAsia" w:ascii="宋体" w:hAnsi="宋体" w:eastAsia="宋体" w:cs="宋体"/>
                <w:sz w:val="24"/>
                <w:szCs w:val="24"/>
              </w:rPr>
            </w:pPr>
          </w:p>
        </w:tc>
      </w:tr>
      <w:tr w14:paraId="107A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17A586AB">
            <w:pPr>
              <w:snapToGrid w:val="0"/>
              <w:jc w:val="center"/>
              <w:rPr>
                <w:rFonts w:hint="eastAsia" w:ascii="宋体" w:hAnsi="宋体" w:eastAsia="宋体" w:cs="宋体"/>
                <w:sz w:val="24"/>
                <w:szCs w:val="24"/>
              </w:rPr>
            </w:pPr>
            <w:r>
              <w:rPr>
                <w:rFonts w:hint="eastAsia" w:ascii="宋体" w:hAnsi="宋体" w:eastAsia="宋体" w:cs="宋体"/>
                <w:sz w:val="24"/>
                <w:szCs w:val="24"/>
              </w:rPr>
              <w:t>4.1.1</w:t>
            </w:r>
          </w:p>
        </w:tc>
        <w:tc>
          <w:tcPr>
            <w:tcW w:w="4800" w:type="dxa"/>
            <w:vAlign w:val="center"/>
          </w:tcPr>
          <w:p w14:paraId="082CFF22">
            <w:pPr>
              <w:jc w:val="left"/>
              <w:outlineLvl w:val="0"/>
              <w:rPr>
                <w:rFonts w:hint="eastAsia" w:ascii="宋体" w:hAnsi="宋体" w:eastAsia="宋体" w:cs="宋体"/>
                <w:sz w:val="24"/>
                <w:szCs w:val="24"/>
              </w:rPr>
            </w:pPr>
            <w:r>
              <w:rPr>
                <w:rFonts w:hint="eastAsia" w:ascii="宋体" w:hAnsi="宋体" w:eastAsia="宋体" w:cs="宋体"/>
                <w:sz w:val="24"/>
                <w:szCs w:val="24"/>
              </w:rPr>
              <w:t>综合运行维修保障服务方案：</w:t>
            </w:r>
          </w:p>
          <w:p w14:paraId="6EC0D124">
            <w:pPr>
              <w:jc w:val="left"/>
              <w:outlineLvl w:val="0"/>
              <w:rPr>
                <w:rFonts w:hint="eastAsia" w:ascii="宋体" w:hAnsi="宋体" w:eastAsia="宋体" w:cs="宋体"/>
                <w:sz w:val="24"/>
                <w:szCs w:val="24"/>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429A260A">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05" w:type="dxa"/>
            <w:vAlign w:val="center"/>
          </w:tcPr>
          <w:p w14:paraId="0F0519EF">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39D64D24">
            <w:pPr>
              <w:snapToGrid w:val="0"/>
              <w:jc w:val="center"/>
              <w:rPr>
                <w:rFonts w:hint="eastAsia" w:ascii="宋体" w:hAnsi="宋体" w:eastAsia="宋体" w:cs="宋体"/>
                <w:sz w:val="24"/>
                <w:szCs w:val="24"/>
              </w:rPr>
            </w:pPr>
          </w:p>
        </w:tc>
      </w:tr>
      <w:tr w14:paraId="0A20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841966D">
            <w:pPr>
              <w:snapToGrid w:val="0"/>
              <w:jc w:val="center"/>
              <w:rPr>
                <w:rFonts w:hint="eastAsia" w:ascii="宋体" w:hAnsi="宋体" w:eastAsia="宋体" w:cs="宋体"/>
                <w:sz w:val="24"/>
                <w:szCs w:val="24"/>
              </w:rPr>
            </w:pPr>
            <w:r>
              <w:rPr>
                <w:rFonts w:hint="eastAsia" w:ascii="宋体" w:hAnsi="宋体" w:eastAsia="宋体" w:cs="宋体"/>
                <w:sz w:val="24"/>
                <w:szCs w:val="24"/>
              </w:rPr>
              <w:t>4.1.2</w:t>
            </w:r>
          </w:p>
        </w:tc>
        <w:tc>
          <w:tcPr>
            <w:tcW w:w="4800" w:type="dxa"/>
            <w:vAlign w:val="center"/>
          </w:tcPr>
          <w:p w14:paraId="6568EB61">
            <w:pPr>
              <w:jc w:val="left"/>
              <w:outlineLvl w:val="0"/>
              <w:rPr>
                <w:rFonts w:hint="eastAsia" w:ascii="宋体" w:hAnsi="宋体" w:eastAsia="宋体" w:cs="宋体"/>
                <w:sz w:val="24"/>
                <w:szCs w:val="24"/>
              </w:rPr>
            </w:pPr>
            <w:r>
              <w:rPr>
                <w:rFonts w:hint="eastAsia" w:ascii="宋体" w:hAnsi="宋体" w:eastAsia="宋体" w:cs="宋体"/>
                <w:sz w:val="24"/>
                <w:szCs w:val="24"/>
              </w:rPr>
              <w:t>高压配电运行保障服务方案：</w:t>
            </w:r>
          </w:p>
          <w:p w14:paraId="2A3A1B2A">
            <w:pPr>
              <w:jc w:val="left"/>
              <w:outlineLvl w:val="0"/>
              <w:rPr>
                <w:rFonts w:hint="eastAsia" w:ascii="宋体" w:hAnsi="宋体" w:eastAsia="宋体" w:cs="宋体"/>
                <w:sz w:val="24"/>
                <w:szCs w:val="24"/>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76E1B9AC">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05" w:type="dxa"/>
            <w:vAlign w:val="center"/>
          </w:tcPr>
          <w:p w14:paraId="2783DCB9">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4B435EC6">
            <w:pPr>
              <w:snapToGrid w:val="0"/>
              <w:jc w:val="center"/>
              <w:rPr>
                <w:rFonts w:hint="eastAsia" w:ascii="宋体" w:hAnsi="宋体" w:eastAsia="宋体" w:cs="宋体"/>
                <w:sz w:val="24"/>
                <w:szCs w:val="24"/>
              </w:rPr>
            </w:pPr>
          </w:p>
        </w:tc>
      </w:tr>
      <w:tr w14:paraId="43E0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DD547FC">
            <w:pPr>
              <w:snapToGrid w:val="0"/>
              <w:jc w:val="center"/>
              <w:rPr>
                <w:rFonts w:hint="eastAsia" w:ascii="宋体" w:hAnsi="宋体" w:eastAsia="宋体" w:cs="宋体"/>
                <w:sz w:val="24"/>
                <w:szCs w:val="24"/>
              </w:rPr>
            </w:pPr>
            <w:r>
              <w:rPr>
                <w:rFonts w:hint="eastAsia" w:ascii="宋体" w:hAnsi="宋体" w:eastAsia="宋体" w:cs="宋体"/>
                <w:sz w:val="24"/>
                <w:szCs w:val="24"/>
              </w:rPr>
              <w:t>4.1.3</w:t>
            </w:r>
          </w:p>
        </w:tc>
        <w:tc>
          <w:tcPr>
            <w:tcW w:w="4800" w:type="dxa"/>
            <w:vAlign w:val="center"/>
          </w:tcPr>
          <w:p w14:paraId="2D0DD6E2">
            <w:pPr>
              <w:jc w:val="left"/>
              <w:outlineLvl w:val="0"/>
              <w:rPr>
                <w:rFonts w:hint="eastAsia" w:ascii="宋体" w:hAnsi="宋体" w:eastAsia="宋体" w:cs="宋体"/>
                <w:sz w:val="24"/>
                <w:szCs w:val="24"/>
              </w:rPr>
            </w:pPr>
            <w:r>
              <w:rPr>
                <w:rFonts w:hint="eastAsia" w:ascii="宋体" w:hAnsi="宋体" w:eastAsia="宋体" w:cs="宋体"/>
                <w:color w:val="000000"/>
                <w:kern w:val="0"/>
                <w:sz w:val="24"/>
                <w:szCs w:val="24"/>
              </w:rPr>
              <w:t>中央空调、热水锅炉及净化系统运行保障服务方案</w:t>
            </w:r>
            <w:r>
              <w:rPr>
                <w:rFonts w:hint="eastAsia" w:ascii="宋体" w:hAnsi="宋体" w:eastAsia="宋体" w:cs="宋体"/>
                <w:sz w:val="24"/>
                <w:szCs w:val="24"/>
              </w:rPr>
              <w:t>：</w:t>
            </w:r>
          </w:p>
          <w:p w14:paraId="21B0604D">
            <w:pPr>
              <w:jc w:val="left"/>
              <w:outlineLvl w:val="0"/>
              <w:rPr>
                <w:rFonts w:hint="eastAsia" w:ascii="宋体" w:hAnsi="宋体" w:eastAsia="宋体" w:cs="宋体"/>
                <w:sz w:val="24"/>
                <w:szCs w:val="24"/>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382F9274">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05" w:type="dxa"/>
            <w:vAlign w:val="center"/>
          </w:tcPr>
          <w:p w14:paraId="14BEE47C">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058F76BC">
            <w:pPr>
              <w:snapToGrid w:val="0"/>
              <w:jc w:val="center"/>
              <w:rPr>
                <w:rFonts w:hint="eastAsia" w:ascii="宋体" w:hAnsi="宋体" w:eastAsia="宋体" w:cs="宋体"/>
                <w:sz w:val="24"/>
                <w:szCs w:val="24"/>
              </w:rPr>
            </w:pPr>
          </w:p>
        </w:tc>
      </w:tr>
      <w:tr w14:paraId="5CF0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0DC0BA5">
            <w:pPr>
              <w:snapToGrid w:val="0"/>
              <w:jc w:val="center"/>
              <w:rPr>
                <w:rFonts w:hint="eastAsia" w:ascii="宋体" w:hAnsi="宋体" w:eastAsia="宋体" w:cs="宋体"/>
                <w:sz w:val="24"/>
                <w:szCs w:val="24"/>
              </w:rPr>
            </w:pPr>
            <w:r>
              <w:rPr>
                <w:rFonts w:hint="eastAsia" w:ascii="宋体" w:hAnsi="宋体" w:eastAsia="宋体" w:cs="宋体"/>
                <w:sz w:val="24"/>
                <w:szCs w:val="24"/>
              </w:rPr>
              <w:t>4.1.4</w:t>
            </w:r>
          </w:p>
        </w:tc>
        <w:tc>
          <w:tcPr>
            <w:tcW w:w="4800" w:type="dxa"/>
            <w:vAlign w:val="center"/>
          </w:tcPr>
          <w:p w14:paraId="75C9BA18">
            <w:pPr>
              <w:jc w:val="left"/>
              <w:outlineLvl w:val="0"/>
              <w:rPr>
                <w:rFonts w:hint="eastAsia" w:ascii="宋体" w:hAnsi="宋体" w:eastAsia="宋体" w:cs="宋体"/>
                <w:sz w:val="24"/>
                <w:szCs w:val="24"/>
              </w:rPr>
            </w:pPr>
            <w:r>
              <w:rPr>
                <w:rFonts w:hint="eastAsia" w:ascii="宋体" w:hAnsi="宋体" w:eastAsia="宋体" w:cs="宋体"/>
                <w:color w:val="000000"/>
                <w:kern w:val="0"/>
                <w:sz w:val="24"/>
                <w:szCs w:val="24"/>
              </w:rPr>
              <w:t>医用气体和中央纯水系统运行保障服务方案</w:t>
            </w:r>
            <w:r>
              <w:rPr>
                <w:rFonts w:hint="eastAsia" w:ascii="宋体" w:hAnsi="宋体" w:eastAsia="宋体" w:cs="宋体"/>
                <w:sz w:val="24"/>
                <w:szCs w:val="24"/>
              </w:rPr>
              <w:t>：</w:t>
            </w:r>
          </w:p>
          <w:p w14:paraId="0827388C">
            <w:pPr>
              <w:rPr>
                <w:rFonts w:hint="eastAsia" w:ascii="宋体" w:hAnsi="宋体" w:eastAsia="宋体" w:cs="宋体"/>
                <w:sz w:val="24"/>
                <w:szCs w:val="24"/>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5BB2B4DD">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05" w:type="dxa"/>
            <w:vAlign w:val="center"/>
          </w:tcPr>
          <w:p w14:paraId="23C339F6">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6C28CB3A">
            <w:pPr>
              <w:snapToGrid w:val="0"/>
              <w:jc w:val="center"/>
              <w:rPr>
                <w:rFonts w:hint="eastAsia" w:ascii="宋体" w:hAnsi="宋体" w:eastAsia="宋体" w:cs="宋体"/>
                <w:sz w:val="24"/>
                <w:szCs w:val="24"/>
              </w:rPr>
            </w:pPr>
          </w:p>
        </w:tc>
      </w:tr>
      <w:tr w14:paraId="56EF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9987081">
            <w:pPr>
              <w:snapToGrid w:val="0"/>
              <w:jc w:val="center"/>
              <w:rPr>
                <w:rFonts w:hint="eastAsia" w:ascii="宋体" w:hAnsi="宋体" w:eastAsia="宋体" w:cs="宋体"/>
                <w:sz w:val="24"/>
                <w:szCs w:val="24"/>
              </w:rPr>
            </w:pPr>
            <w:r>
              <w:rPr>
                <w:rFonts w:hint="eastAsia" w:ascii="宋体" w:hAnsi="宋体" w:eastAsia="宋体" w:cs="宋体"/>
                <w:sz w:val="24"/>
                <w:szCs w:val="24"/>
              </w:rPr>
              <w:t>4.1.5</w:t>
            </w:r>
          </w:p>
        </w:tc>
        <w:tc>
          <w:tcPr>
            <w:tcW w:w="4800" w:type="dxa"/>
            <w:vAlign w:val="center"/>
          </w:tcPr>
          <w:p w14:paraId="50820EF8">
            <w:pPr>
              <w:jc w:val="left"/>
              <w:outlineLvl w:val="0"/>
              <w:rPr>
                <w:rFonts w:hint="eastAsia" w:ascii="宋体" w:hAnsi="宋体" w:eastAsia="宋体" w:cs="宋体"/>
                <w:sz w:val="24"/>
                <w:szCs w:val="24"/>
              </w:rPr>
            </w:pPr>
            <w:r>
              <w:rPr>
                <w:rFonts w:hint="eastAsia" w:ascii="宋体" w:hAnsi="宋体" w:eastAsia="宋体" w:cs="宋体"/>
                <w:color w:val="000000"/>
                <w:kern w:val="0"/>
                <w:sz w:val="24"/>
                <w:szCs w:val="24"/>
              </w:rPr>
              <w:t>污水处理系统运行保障服务方案</w:t>
            </w:r>
            <w:r>
              <w:rPr>
                <w:rFonts w:hint="eastAsia" w:ascii="宋体" w:hAnsi="宋体" w:eastAsia="宋体" w:cs="宋体"/>
                <w:sz w:val="24"/>
                <w:szCs w:val="24"/>
              </w:rPr>
              <w:t>：</w:t>
            </w:r>
          </w:p>
          <w:p w14:paraId="61D575F5">
            <w:pPr>
              <w:rPr>
                <w:rFonts w:hint="eastAsia" w:ascii="宋体" w:hAnsi="宋体" w:eastAsia="宋体" w:cs="宋体"/>
                <w:sz w:val="24"/>
                <w:szCs w:val="24"/>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0657C598">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05" w:type="dxa"/>
            <w:vAlign w:val="center"/>
          </w:tcPr>
          <w:p w14:paraId="416E87D9">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48C366CC">
            <w:pPr>
              <w:snapToGrid w:val="0"/>
              <w:jc w:val="center"/>
              <w:rPr>
                <w:rFonts w:hint="eastAsia" w:ascii="宋体" w:hAnsi="宋体" w:eastAsia="宋体" w:cs="宋体"/>
                <w:sz w:val="24"/>
                <w:szCs w:val="24"/>
              </w:rPr>
            </w:pPr>
          </w:p>
        </w:tc>
      </w:tr>
      <w:tr w14:paraId="02F5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6A97135">
            <w:pPr>
              <w:snapToGrid w:val="0"/>
              <w:jc w:val="center"/>
              <w:rPr>
                <w:rFonts w:hint="eastAsia" w:ascii="宋体" w:hAnsi="宋体" w:eastAsia="宋体" w:cs="宋体"/>
                <w:sz w:val="24"/>
                <w:szCs w:val="24"/>
              </w:rPr>
            </w:pPr>
            <w:r>
              <w:rPr>
                <w:rFonts w:hint="eastAsia" w:ascii="宋体" w:hAnsi="宋体" w:eastAsia="宋体" w:cs="宋体"/>
                <w:sz w:val="24"/>
                <w:szCs w:val="24"/>
              </w:rPr>
              <w:t>4.1.6</w:t>
            </w:r>
          </w:p>
        </w:tc>
        <w:tc>
          <w:tcPr>
            <w:tcW w:w="4800" w:type="dxa"/>
            <w:vAlign w:val="center"/>
          </w:tcPr>
          <w:p w14:paraId="318AE244">
            <w:pPr>
              <w:jc w:val="left"/>
              <w:outlineLvl w:val="0"/>
              <w:rPr>
                <w:rFonts w:hint="eastAsia" w:ascii="宋体" w:hAnsi="宋体" w:eastAsia="宋体" w:cs="宋体"/>
                <w:sz w:val="24"/>
                <w:szCs w:val="24"/>
              </w:rPr>
            </w:pPr>
            <w:r>
              <w:rPr>
                <w:rFonts w:hint="eastAsia" w:ascii="宋体" w:hAnsi="宋体" w:eastAsia="宋体" w:cs="宋体"/>
                <w:sz w:val="24"/>
                <w:szCs w:val="24"/>
              </w:rPr>
              <w:t>智慧后勤综合</w:t>
            </w:r>
            <w:r>
              <w:rPr>
                <w:rFonts w:hint="eastAsia" w:ascii="宋体" w:hAnsi="宋体" w:eastAsia="宋体" w:cs="宋体"/>
                <w:color w:val="000000"/>
                <w:kern w:val="0"/>
                <w:sz w:val="24"/>
                <w:szCs w:val="24"/>
              </w:rPr>
              <w:t>受理服务及通讯保障服务方案</w:t>
            </w:r>
            <w:r>
              <w:rPr>
                <w:rFonts w:hint="eastAsia" w:ascii="宋体" w:hAnsi="宋体" w:eastAsia="宋体" w:cs="宋体"/>
                <w:sz w:val="24"/>
                <w:szCs w:val="24"/>
              </w:rPr>
              <w:t>：</w:t>
            </w:r>
          </w:p>
          <w:p w14:paraId="22F66257">
            <w:pPr>
              <w:rPr>
                <w:rFonts w:hint="eastAsia" w:ascii="宋体" w:hAnsi="宋体" w:eastAsia="宋体" w:cs="宋体"/>
                <w:sz w:val="24"/>
                <w:szCs w:val="24"/>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50B923DC">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05" w:type="dxa"/>
            <w:vAlign w:val="center"/>
          </w:tcPr>
          <w:p w14:paraId="3E830BE8">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6673C8B2">
            <w:pPr>
              <w:snapToGrid w:val="0"/>
              <w:jc w:val="center"/>
              <w:rPr>
                <w:rFonts w:hint="eastAsia" w:ascii="宋体" w:hAnsi="宋体" w:eastAsia="宋体" w:cs="宋体"/>
                <w:sz w:val="24"/>
                <w:szCs w:val="24"/>
              </w:rPr>
            </w:pPr>
          </w:p>
        </w:tc>
      </w:tr>
      <w:tr w14:paraId="1AB6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D44622C">
            <w:pPr>
              <w:snapToGrid w:val="0"/>
              <w:jc w:val="center"/>
              <w:rPr>
                <w:rFonts w:hint="eastAsia" w:ascii="宋体" w:hAnsi="宋体" w:eastAsia="宋体" w:cs="宋体"/>
                <w:sz w:val="24"/>
                <w:szCs w:val="24"/>
              </w:rPr>
            </w:pPr>
            <w:r>
              <w:rPr>
                <w:rFonts w:hint="eastAsia" w:ascii="宋体" w:hAnsi="宋体" w:eastAsia="宋体" w:cs="宋体"/>
                <w:sz w:val="24"/>
                <w:szCs w:val="24"/>
              </w:rPr>
              <w:t>4.1.7</w:t>
            </w:r>
          </w:p>
        </w:tc>
        <w:tc>
          <w:tcPr>
            <w:tcW w:w="4800" w:type="dxa"/>
            <w:vAlign w:val="center"/>
          </w:tcPr>
          <w:p w14:paraId="62CD193D">
            <w:pPr>
              <w:jc w:val="left"/>
              <w:outlineLvl w:val="0"/>
              <w:rPr>
                <w:rFonts w:hint="eastAsia" w:ascii="宋体" w:hAnsi="宋体" w:eastAsia="宋体" w:cs="宋体"/>
                <w:sz w:val="24"/>
                <w:szCs w:val="24"/>
              </w:rPr>
            </w:pPr>
            <w:r>
              <w:rPr>
                <w:rFonts w:hint="eastAsia" w:ascii="宋体" w:hAnsi="宋体" w:eastAsia="宋体" w:cs="宋体"/>
                <w:sz w:val="24"/>
                <w:szCs w:val="24"/>
              </w:rPr>
              <w:t>供应室器械清洗消毒保障服务方案：</w:t>
            </w:r>
          </w:p>
          <w:p w14:paraId="4326DA7B">
            <w:pPr>
              <w:rPr>
                <w:rFonts w:hint="eastAsia" w:ascii="宋体" w:hAnsi="宋体" w:eastAsia="宋体" w:cs="宋体"/>
                <w:sz w:val="24"/>
                <w:szCs w:val="24"/>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2B16017B">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05" w:type="dxa"/>
            <w:vAlign w:val="center"/>
          </w:tcPr>
          <w:p w14:paraId="1C011E4F">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75E87C5E">
            <w:pPr>
              <w:snapToGrid w:val="0"/>
              <w:jc w:val="center"/>
              <w:rPr>
                <w:rFonts w:hint="eastAsia" w:ascii="宋体" w:hAnsi="宋体" w:eastAsia="宋体" w:cs="宋体"/>
                <w:sz w:val="24"/>
                <w:szCs w:val="24"/>
              </w:rPr>
            </w:pPr>
          </w:p>
        </w:tc>
      </w:tr>
      <w:tr w14:paraId="03E3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6F9228E">
            <w:pPr>
              <w:snapToGrid w:val="0"/>
              <w:jc w:val="center"/>
              <w:rPr>
                <w:rFonts w:hint="eastAsia" w:ascii="宋体" w:hAnsi="宋体" w:eastAsia="宋体" w:cs="宋体"/>
                <w:sz w:val="24"/>
                <w:szCs w:val="24"/>
              </w:rPr>
            </w:pPr>
            <w:r>
              <w:rPr>
                <w:rFonts w:hint="eastAsia" w:ascii="宋体" w:hAnsi="宋体" w:eastAsia="宋体" w:cs="宋体"/>
                <w:sz w:val="24"/>
                <w:szCs w:val="24"/>
              </w:rPr>
              <w:t>4.1.8</w:t>
            </w:r>
          </w:p>
        </w:tc>
        <w:tc>
          <w:tcPr>
            <w:tcW w:w="4800" w:type="dxa"/>
            <w:vAlign w:val="center"/>
          </w:tcPr>
          <w:p w14:paraId="67A9D4B7">
            <w:pPr>
              <w:jc w:val="left"/>
              <w:outlineLvl w:val="0"/>
              <w:rPr>
                <w:rFonts w:hint="eastAsia" w:ascii="宋体" w:hAnsi="宋体" w:eastAsia="宋体" w:cs="宋体"/>
                <w:sz w:val="24"/>
                <w:szCs w:val="24"/>
              </w:rPr>
            </w:pPr>
            <w:r>
              <w:rPr>
                <w:rFonts w:hint="eastAsia" w:ascii="宋体" w:hAnsi="宋体" w:eastAsia="宋体" w:cs="宋体"/>
                <w:sz w:val="24"/>
                <w:szCs w:val="24"/>
              </w:rPr>
              <w:t>餐饮生产供应保障服务方案：</w:t>
            </w:r>
          </w:p>
          <w:p w14:paraId="23DD1FF4">
            <w:pPr>
              <w:rPr>
                <w:rFonts w:hint="eastAsia" w:ascii="宋体" w:hAnsi="宋体" w:eastAsia="宋体" w:cs="宋体"/>
                <w:sz w:val="24"/>
                <w:szCs w:val="24"/>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50CF05FE">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1005" w:type="dxa"/>
            <w:vAlign w:val="center"/>
          </w:tcPr>
          <w:p w14:paraId="002D147D">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7946045B">
            <w:pPr>
              <w:snapToGrid w:val="0"/>
              <w:jc w:val="center"/>
              <w:rPr>
                <w:rFonts w:hint="eastAsia" w:ascii="宋体" w:hAnsi="宋体" w:eastAsia="宋体" w:cs="宋体"/>
                <w:sz w:val="24"/>
                <w:szCs w:val="24"/>
              </w:rPr>
            </w:pPr>
          </w:p>
        </w:tc>
      </w:tr>
      <w:tr w14:paraId="48DB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54BA5D01">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4.1.9</w:t>
            </w:r>
          </w:p>
        </w:tc>
        <w:tc>
          <w:tcPr>
            <w:tcW w:w="4800" w:type="dxa"/>
            <w:vAlign w:val="center"/>
          </w:tcPr>
          <w:p w14:paraId="2C8ECF36">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超声辅助服务</w:t>
            </w:r>
            <w:r>
              <w:rPr>
                <w:rFonts w:hint="eastAsia" w:ascii="宋体" w:hAnsi="宋体" w:eastAsia="宋体" w:cs="宋体"/>
                <w:sz w:val="24"/>
                <w:szCs w:val="24"/>
                <w:highlight w:val="none"/>
                <w:lang w:val="en-US" w:eastAsia="zh-CN"/>
              </w:rPr>
              <w:t>方案：</w:t>
            </w:r>
          </w:p>
          <w:p w14:paraId="7B07F11C">
            <w:pP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342C3F7C">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005" w:type="dxa"/>
            <w:vAlign w:val="center"/>
          </w:tcPr>
          <w:p w14:paraId="008AE661">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2F663830">
            <w:pPr>
              <w:snapToGrid w:val="0"/>
              <w:jc w:val="center"/>
              <w:rPr>
                <w:rFonts w:hint="eastAsia" w:ascii="宋体" w:hAnsi="宋体" w:eastAsia="宋体" w:cs="宋体"/>
                <w:sz w:val="24"/>
                <w:szCs w:val="24"/>
              </w:rPr>
            </w:pPr>
          </w:p>
        </w:tc>
      </w:tr>
      <w:tr w14:paraId="03B3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5AD34FB9">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4.1.10</w:t>
            </w:r>
          </w:p>
        </w:tc>
        <w:tc>
          <w:tcPr>
            <w:tcW w:w="4800" w:type="dxa"/>
            <w:vAlign w:val="center"/>
          </w:tcPr>
          <w:p w14:paraId="79E40A8B">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导医服务</w:t>
            </w:r>
            <w:r>
              <w:rPr>
                <w:rFonts w:hint="eastAsia" w:ascii="宋体" w:hAnsi="宋体" w:eastAsia="宋体" w:cs="宋体"/>
                <w:sz w:val="24"/>
                <w:szCs w:val="24"/>
                <w:highlight w:val="none"/>
                <w:lang w:val="en-US" w:eastAsia="zh-CN"/>
              </w:rPr>
              <w:t>方案：</w:t>
            </w:r>
          </w:p>
          <w:p w14:paraId="515BDA2F">
            <w:pP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68C8690E">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005" w:type="dxa"/>
            <w:vAlign w:val="center"/>
          </w:tcPr>
          <w:p w14:paraId="0CF09A2D">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4602A60F">
            <w:pPr>
              <w:snapToGrid w:val="0"/>
              <w:jc w:val="center"/>
              <w:rPr>
                <w:rFonts w:hint="eastAsia" w:ascii="宋体" w:hAnsi="宋体" w:eastAsia="宋体" w:cs="宋体"/>
                <w:sz w:val="24"/>
                <w:szCs w:val="24"/>
              </w:rPr>
            </w:pPr>
          </w:p>
        </w:tc>
      </w:tr>
      <w:tr w14:paraId="2838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D611458">
            <w:pPr>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4.1.11</w:t>
            </w:r>
          </w:p>
        </w:tc>
        <w:tc>
          <w:tcPr>
            <w:tcW w:w="4800" w:type="dxa"/>
            <w:vAlign w:val="center"/>
          </w:tcPr>
          <w:p w14:paraId="4CAE4A7D">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停车收费服务</w:t>
            </w:r>
            <w:r>
              <w:rPr>
                <w:rFonts w:hint="eastAsia" w:ascii="宋体" w:hAnsi="宋体" w:eastAsia="宋体" w:cs="宋体"/>
                <w:sz w:val="24"/>
                <w:szCs w:val="24"/>
                <w:highlight w:val="none"/>
                <w:lang w:val="en-US" w:eastAsia="zh-CN"/>
              </w:rPr>
              <w:t>方案：</w:t>
            </w:r>
          </w:p>
          <w:p w14:paraId="2EE42E14">
            <w:pP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647" w:type="dxa"/>
            <w:vAlign w:val="center"/>
          </w:tcPr>
          <w:p w14:paraId="606072B3">
            <w:pPr>
              <w:widowControl/>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005" w:type="dxa"/>
            <w:vAlign w:val="center"/>
          </w:tcPr>
          <w:p w14:paraId="02DD324F">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6879434E">
            <w:pPr>
              <w:snapToGrid w:val="0"/>
              <w:jc w:val="center"/>
              <w:rPr>
                <w:rFonts w:hint="eastAsia" w:ascii="宋体" w:hAnsi="宋体" w:eastAsia="宋体" w:cs="宋体"/>
                <w:sz w:val="24"/>
                <w:szCs w:val="24"/>
              </w:rPr>
            </w:pPr>
          </w:p>
        </w:tc>
      </w:tr>
      <w:tr w14:paraId="2FBD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BBC877B">
            <w:pPr>
              <w:snapToGrid w:val="0"/>
              <w:jc w:val="center"/>
              <w:rPr>
                <w:rFonts w:hint="eastAsia" w:ascii="宋体" w:hAnsi="宋体" w:eastAsia="宋体" w:cs="宋体"/>
                <w:sz w:val="24"/>
                <w:szCs w:val="24"/>
              </w:rPr>
            </w:pPr>
            <w:r>
              <w:rPr>
                <w:rFonts w:hint="eastAsia" w:ascii="宋体" w:hAnsi="宋体" w:eastAsia="宋体" w:cs="宋体"/>
                <w:sz w:val="24"/>
                <w:szCs w:val="24"/>
              </w:rPr>
              <w:t>4.2</w:t>
            </w:r>
          </w:p>
        </w:tc>
        <w:tc>
          <w:tcPr>
            <w:tcW w:w="4800" w:type="dxa"/>
            <w:vAlign w:val="center"/>
          </w:tcPr>
          <w:p w14:paraId="1BCA87FC">
            <w:pPr>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针对员工工资发放水平、人员配置、服务交接等服务方案：</w:t>
            </w:r>
          </w:p>
          <w:p w14:paraId="469F342D">
            <w:pPr>
              <w:jc w:val="left"/>
              <w:outlineLvl w:val="0"/>
              <w:rPr>
                <w:rFonts w:hint="eastAsia" w:ascii="宋体" w:hAnsi="宋体" w:eastAsia="宋体" w:cs="宋体"/>
                <w:sz w:val="24"/>
                <w:szCs w:val="24"/>
              </w:rPr>
            </w:pPr>
            <w:r>
              <w:rPr>
                <w:rFonts w:hint="eastAsia" w:ascii="宋体" w:hAnsi="宋体" w:eastAsia="宋体" w:cs="宋体"/>
                <w:sz w:val="24"/>
                <w:szCs w:val="24"/>
              </w:rPr>
              <w:t>方案清晰、完整，完全吻合项目需求的得5分；方案略有瑕疵，基本满足项目需求的得4分；方案内容简单的得3分；方案内容不清晰，内容缺失的得2分；方案内容混乱，内容缺失严重的得1分；未提供不得分。</w:t>
            </w:r>
          </w:p>
        </w:tc>
        <w:tc>
          <w:tcPr>
            <w:tcW w:w="647" w:type="dxa"/>
            <w:vAlign w:val="center"/>
          </w:tcPr>
          <w:p w14:paraId="1FD69F3C">
            <w:pPr>
              <w:widowControl/>
              <w:jc w:val="center"/>
              <w:rPr>
                <w:rFonts w:hint="eastAsia" w:ascii="宋体" w:hAnsi="宋体" w:eastAsia="宋体" w:cs="宋体"/>
                <w:sz w:val="24"/>
                <w:szCs w:val="24"/>
                <w:highlight w:val="yellow"/>
              </w:rPr>
            </w:pPr>
            <w:r>
              <w:rPr>
                <w:rFonts w:hint="eastAsia" w:ascii="宋体" w:hAnsi="宋体" w:eastAsia="宋体" w:cs="宋体"/>
                <w:sz w:val="24"/>
                <w:szCs w:val="24"/>
              </w:rPr>
              <w:t>5</w:t>
            </w:r>
          </w:p>
        </w:tc>
        <w:tc>
          <w:tcPr>
            <w:tcW w:w="1005" w:type="dxa"/>
            <w:vAlign w:val="center"/>
          </w:tcPr>
          <w:p w14:paraId="5BAB7093">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0038324F">
            <w:pPr>
              <w:snapToGrid w:val="0"/>
              <w:jc w:val="center"/>
              <w:rPr>
                <w:rFonts w:hint="eastAsia" w:ascii="宋体" w:hAnsi="宋体" w:eastAsia="宋体" w:cs="宋体"/>
                <w:sz w:val="24"/>
                <w:szCs w:val="24"/>
              </w:rPr>
            </w:pPr>
          </w:p>
        </w:tc>
      </w:tr>
      <w:tr w14:paraId="2636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B8D8092">
            <w:pPr>
              <w:snapToGrid w:val="0"/>
              <w:jc w:val="center"/>
              <w:rPr>
                <w:rFonts w:hint="eastAsia" w:ascii="宋体" w:hAnsi="宋体" w:eastAsia="宋体" w:cs="宋体"/>
                <w:sz w:val="24"/>
                <w:szCs w:val="24"/>
              </w:rPr>
            </w:pPr>
            <w:r>
              <w:rPr>
                <w:rFonts w:hint="eastAsia" w:ascii="宋体" w:hAnsi="宋体" w:eastAsia="宋体" w:cs="宋体"/>
                <w:sz w:val="24"/>
                <w:szCs w:val="24"/>
              </w:rPr>
              <w:t>4.3</w:t>
            </w:r>
          </w:p>
        </w:tc>
        <w:tc>
          <w:tcPr>
            <w:tcW w:w="4800" w:type="dxa"/>
            <w:vAlign w:val="center"/>
          </w:tcPr>
          <w:p w14:paraId="4BD3BEBF">
            <w:pPr>
              <w:jc w:val="left"/>
              <w:outlineLvl w:val="0"/>
              <w:rPr>
                <w:rFonts w:hint="eastAsia" w:ascii="宋体" w:hAnsi="宋体" w:eastAsia="宋体" w:cs="宋体"/>
                <w:color w:val="000000"/>
                <w:kern w:val="0"/>
                <w:sz w:val="24"/>
                <w:szCs w:val="24"/>
              </w:rPr>
            </w:pPr>
            <w:r>
              <w:rPr>
                <w:rFonts w:hint="eastAsia" w:ascii="宋体" w:hAnsi="宋体" w:eastAsia="宋体" w:cs="宋体"/>
                <w:sz w:val="24"/>
                <w:szCs w:val="24"/>
              </w:rPr>
              <w:t>针对本项目制订完整的人力资源管理方案</w:t>
            </w:r>
            <w:r>
              <w:rPr>
                <w:rFonts w:hint="eastAsia" w:ascii="宋体" w:hAnsi="宋体" w:eastAsia="宋体" w:cs="宋体"/>
                <w:color w:val="000000"/>
                <w:kern w:val="0"/>
                <w:sz w:val="24"/>
                <w:szCs w:val="24"/>
              </w:rPr>
              <w:t>：</w:t>
            </w:r>
          </w:p>
          <w:p w14:paraId="746D52EF">
            <w:pPr>
              <w:jc w:val="left"/>
              <w:outlineLvl w:val="0"/>
              <w:rPr>
                <w:rFonts w:hint="eastAsia" w:ascii="宋体" w:hAnsi="宋体" w:eastAsia="宋体" w:cs="宋体"/>
                <w:sz w:val="24"/>
                <w:szCs w:val="24"/>
              </w:rPr>
            </w:pPr>
            <w:r>
              <w:rPr>
                <w:rFonts w:hint="eastAsia" w:ascii="宋体" w:hAnsi="宋体" w:eastAsia="宋体" w:cs="宋体"/>
                <w:sz w:val="24"/>
                <w:szCs w:val="24"/>
              </w:rPr>
              <w:t>方案清晰、完整，完全吻合项目需求的得5分；方案略有瑕疵，基本满足项目需求的得4分；方案内容简单的得3分；方案内容不清晰，内容缺失的得2分；方案内容混乱，内容缺失严重的得1分；未提供不得分。</w:t>
            </w:r>
          </w:p>
        </w:tc>
        <w:tc>
          <w:tcPr>
            <w:tcW w:w="647" w:type="dxa"/>
            <w:vAlign w:val="center"/>
          </w:tcPr>
          <w:p w14:paraId="048A67CA">
            <w:pPr>
              <w:widowControl/>
              <w:jc w:val="center"/>
              <w:rPr>
                <w:rFonts w:hint="eastAsia" w:ascii="宋体" w:hAnsi="宋体" w:eastAsia="宋体" w:cs="宋体"/>
                <w:sz w:val="24"/>
                <w:szCs w:val="24"/>
                <w:highlight w:val="yellow"/>
              </w:rPr>
            </w:pPr>
            <w:r>
              <w:rPr>
                <w:rFonts w:hint="eastAsia" w:ascii="宋体" w:hAnsi="宋体" w:eastAsia="宋体" w:cs="宋体"/>
                <w:sz w:val="24"/>
                <w:szCs w:val="24"/>
              </w:rPr>
              <w:t>5</w:t>
            </w:r>
          </w:p>
        </w:tc>
        <w:tc>
          <w:tcPr>
            <w:tcW w:w="1005" w:type="dxa"/>
            <w:vAlign w:val="center"/>
          </w:tcPr>
          <w:p w14:paraId="0197B013">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7A31BCBB">
            <w:pPr>
              <w:snapToGrid w:val="0"/>
              <w:jc w:val="center"/>
              <w:rPr>
                <w:rFonts w:hint="eastAsia" w:ascii="宋体" w:hAnsi="宋体" w:eastAsia="宋体" w:cs="宋体"/>
                <w:sz w:val="24"/>
                <w:szCs w:val="24"/>
              </w:rPr>
            </w:pPr>
          </w:p>
        </w:tc>
      </w:tr>
      <w:tr w14:paraId="7D90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027134B">
            <w:pPr>
              <w:widowControl/>
              <w:jc w:val="center"/>
              <w:rPr>
                <w:rFonts w:hint="eastAsia" w:ascii="宋体" w:hAnsi="宋体" w:eastAsia="宋体" w:cs="宋体"/>
                <w:sz w:val="24"/>
                <w:szCs w:val="24"/>
              </w:rPr>
            </w:pPr>
            <w:r>
              <w:rPr>
                <w:rFonts w:hint="eastAsia" w:ascii="宋体" w:hAnsi="宋体" w:eastAsia="宋体" w:cs="宋体"/>
                <w:kern w:val="0"/>
                <w:sz w:val="24"/>
                <w:szCs w:val="24"/>
              </w:rPr>
              <w:t>5</w:t>
            </w:r>
          </w:p>
        </w:tc>
        <w:tc>
          <w:tcPr>
            <w:tcW w:w="4800" w:type="dxa"/>
            <w:vAlign w:val="center"/>
          </w:tcPr>
          <w:p w14:paraId="6091A2A5">
            <w:pPr>
              <w:rPr>
                <w:rFonts w:hint="eastAsia" w:ascii="宋体" w:hAnsi="宋体" w:eastAsia="宋体" w:cs="宋体"/>
                <w:sz w:val="24"/>
                <w:szCs w:val="24"/>
              </w:rPr>
            </w:pPr>
            <w:r>
              <w:rPr>
                <w:rFonts w:hint="eastAsia" w:ascii="宋体" w:hAnsi="宋体" w:eastAsia="宋体" w:cs="宋体"/>
                <w:sz w:val="24"/>
                <w:szCs w:val="24"/>
              </w:rPr>
              <w:t>服务质量保障措施：针对本项目制定合理可行的服务质量控制保证措施：</w:t>
            </w:r>
          </w:p>
          <w:p w14:paraId="4C75BDE8">
            <w:pPr>
              <w:rPr>
                <w:rFonts w:hint="eastAsia" w:ascii="宋体" w:hAnsi="宋体" w:eastAsia="宋体" w:cs="宋体"/>
                <w:sz w:val="24"/>
                <w:szCs w:val="24"/>
              </w:rPr>
            </w:pPr>
            <w:r>
              <w:rPr>
                <w:rFonts w:hint="eastAsia" w:ascii="宋体" w:hAnsi="宋体" w:eastAsia="宋体" w:cs="宋体"/>
                <w:sz w:val="24"/>
                <w:szCs w:val="24"/>
              </w:rPr>
              <w:t>措施内容清晰、完整，完全吻合项目需求的得5分；措施略有瑕疵，基本满足项目需求的得4分；措施内容简单的得3分；措施内容不清晰，内容缺失的得2分；措施内容混乱，内容缺失严重的得1分；未提供不得分。</w:t>
            </w:r>
          </w:p>
        </w:tc>
        <w:tc>
          <w:tcPr>
            <w:tcW w:w="647" w:type="dxa"/>
            <w:vAlign w:val="center"/>
          </w:tcPr>
          <w:p w14:paraId="60456117">
            <w:pPr>
              <w:widowControl/>
              <w:jc w:val="center"/>
              <w:rPr>
                <w:rFonts w:hint="eastAsia" w:ascii="宋体" w:hAnsi="宋体" w:eastAsia="宋体" w:cs="宋体"/>
                <w:sz w:val="24"/>
                <w:szCs w:val="24"/>
              </w:rPr>
            </w:pPr>
            <w:r>
              <w:rPr>
                <w:rFonts w:hint="eastAsia" w:ascii="宋体" w:hAnsi="宋体" w:eastAsia="宋体" w:cs="宋体"/>
                <w:color w:val="000000"/>
                <w:kern w:val="0"/>
                <w:sz w:val="24"/>
                <w:szCs w:val="24"/>
              </w:rPr>
              <w:t>5</w:t>
            </w:r>
          </w:p>
        </w:tc>
        <w:tc>
          <w:tcPr>
            <w:tcW w:w="1005" w:type="dxa"/>
            <w:vAlign w:val="center"/>
          </w:tcPr>
          <w:p w14:paraId="1D2E54D7">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3C1AEAD8">
            <w:pPr>
              <w:snapToGrid w:val="0"/>
              <w:jc w:val="center"/>
              <w:rPr>
                <w:rFonts w:hint="eastAsia" w:ascii="宋体" w:hAnsi="宋体" w:eastAsia="宋体" w:cs="宋体"/>
                <w:sz w:val="24"/>
                <w:szCs w:val="24"/>
              </w:rPr>
            </w:pPr>
          </w:p>
        </w:tc>
      </w:tr>
      <w:tr w14:paraId="4FE4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tcPr>
          <w:p w14:paraId="1F5E8E4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800" w:type="dxa"/>
            <w:vAlign w:val="center"/>
          </w:tcPr>
          <w:p w14:paraId="345D0298">
            <w:pPr>
              <w:widowControl/>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安全及</w:t>
            </w:r>
            <w:r>
              <w:rPr>
                <w:rFonts w:hint="eastAsia" w:ascii="宋体" w:hAnsi="宋体" w:eastAsia="宋体" w:cs="宋体"/>
                <w:sz w:val="24"/>
                <w:szCs w:val="24"/>
              </w:rPr>
              <w:t>应急保障方案：</w:t>
            </w:r>
          </w:p>
        </w:tc>
        <w:tc>
          <w:tcPr>
            <w:tcW w:w="647" w:type="dxa"/>
            <w:vAlign w:val="center"/>
          </w:tcPr>
          <w:p w14:paraId="7ECC19A0">
            <w:pPr>
              <w:widowControl/>
              <w:jc w:val="center"/>
              <w:rPr>
                <w:rFonts w:hint="eastAsia" w:ascii="宋体" w:hAnsi="宋体" w:eastAsia="宋体" w:cs="宋体"/>
                <w:sz w:val="24"/>
                <w:szCs w:val="24"/>
              </w:rPr>
            </w:pPr>
            <w:r>
              <w:rPr>
                <w:rFonts w:hint="eastAsia" w:ascii="宋体" w:hAnsi="宋体" w:eastAsia="宋体" w:cs="宋体"/>
                <w:sz w:val="24"/>
                <w:szCs w:val="24"/>
              </w:rPr>
              <w:t>/</w:t>
            </w:r>
          </w:p>
        </w:tc>
        <w:tc>
          <w:tcPr>
            <w:tcW w:w="1005" w:type="dxa"/>
            <w:vAlign w:val="center"/>
          </w:tcPr>
          <w:p w14:paraId="1AF3065E">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1465" w:type="dxa"/>
          </w:tcPr>
          <w:p w14:paraId="19AD3558">
            <w:pPr>
              <w:snapToGrid w:val="0"/>
              <w:jc w:val="center"/>
              <w:rPr>
                <w:rFonts w:hint="eastAsia" w:ascii="宋体" w:hAnsi="宋体" w:eastAsia="宋体" w:cs="宋体"/>
                <w:sz w:val="24"/>
                <w:szCs w:val="24"/>
              </w:rPr>
            </w:pPr>
          </w:p>
        </w:tc>
      </w:tr>
      <w:tr w14:paraId="1555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D03BD0A">
            <w:pPr>
              <w:widowControl/>
              <w:jc w:val="center"/>
              <w:rPr>
                <w:rFonts w:hint="eastAsia" w:ascii="宋体" w:hAnsi="宋体" w:eastAsia="宋体" w:cs="宋体"/>
                <w:sz w:val="24"/>
                <w:szCs w:val="24"/>
              </w:rPr>
            </w:pPr>
            <w:r>
              <w:rPr>
                <w:rFonts w:hint="eastAsia" w:ascii="宋体" w:hAnsi="宋体" w:eastAsia="宋体" w:cs="宋体"/>
                <w:kern w:val="0"/>
                <w:sz w:val="24"/>
                <w:szCs w:val="24"/>
              </w:rPr>
              <w:t>6.1</w:t>
            </w:r>
          </w:p>
        </w:tc>
        <w:tc>
          <w:tcPr>
            <w:tcW w:w="4800" w:type="dxa"/>
            <w:vAlign w:val="center"/>
          </w:tcPr>
          <w:p w14:paraId="577BB80F">
            <w:pPr>
              <w:widowControl/>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针对本项目安全风险要求的分析与控制方案：</w:t>
            </w:r>
          </w:p>
          <w:p w14:paraId="3928101C">
            <w:pPr>
              <w:widowControl/>
              <w:textAlignment w:val="center"/>
              <w:rPr>
                <w:rFonts w:hint="eastAsia" w:ascii="宋体" w:hAnsi="宋体" w:eastAsia="宋体" w:cs="宋体"/>
                <w:sz w:val="24"/>
                <w:szCs w:val="24"/>
              </w:rPr>
            </w:pPr>
            <w:r>
              <w:rPr>
                <w:rFonts w:hint="eastAsia" w:ascii="宋体" w:hAnsi="宋体" w:eastAsia="宋体" w:cs="宋体"/>
                <w:sz w:val="24"/>
                <w:szCs w:val="24"/>
              </w:rPr>
              <w:t>方案清晰、完整，完全吻合项目需求的得5分；方案略有瑕疵，基本满足项目需求的得4分；方案内容简单的得3分；方案内容不清晰，内容缺失的得2分；方案内容混乱，内容缺失严重的得1分；未提供不得分。</w:t>
            </w:r>
          </w:p>
        </w:tc>
        <w:tc>
          <w:tcPr>
            <w:tcW w:w="647" w:type="dxa"/>
            <w:vAlign w:val="center"/>
          </w:tcPr>
          <w:p w14:paraId="4DF21D58">
            <w:pPr>
              <w:widowControl/>
              <w:jc w:val="center"/>
              <w:rPr>
                <w:rFonts w:hint="eastAsia" w:ascii="宋体" w:hAnsi="宋体" w:eastAsia="宋体" w:cs="宋体"/>
                <w:sz w:val="24"/>
                <w:szCs w:val="24"/>
                <w:highlight w:val="yellow"/>
              </w:rPr>
            </w:pPr>
            <w:r>
              <w:rPr>
                <w:rFonts w:hint="eastAsia" w:ascii="宋体" w:hAnsi="宋体" w:eastAsia="宋体" w:cs="宋体"/>
                <w:sz w:val="24"/>
                <w:szCs w:val="24"/>
              </w:rPr>
              <w:t>5</w:t>
            </w:r>
          </w:p>
        </w:tc>
        <w:tc>
          <w:tcPr>
            <w:tcW w:w="1005" w:type="dxa"/>
            <w:vAlign w:val="center"/>
          </w:tcPr>
          <w:p w14:paraId="0ABD2D28">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07035762">
            <w:pPr>
              <w:snapToGrid w:val="0"/>
              <w:jc w:val="center"/>
              <w:rPr>
                <w:rFonts w:hint="eastAsia" w:ascii="宋体" w:hAnsi="宋体" w:eastAsia="宋体" w:cs="宋体"/>
                <w:sz w:val="24"/>
                <w:szCs w:val="24"/>
              </w:rPr>
            </w:pPr>
          </w:p>
        </w:tc>
      </w:tr>
      <w:tr w14:paraId="5546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DA6DDB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6.2</w:t>
            </w:r>
          </w:p>
        </w:tc>
        <w:tc>
          <w:tcPr>
            <w:tcW w:w="4800" w:type="dxa"/>
            <w:vAlign w:val="center"/>
          </w:tcPr>
          <w:p w14:paraId="2BB407A3">
            <w:pPr>
              <w:jc w:val="left"/>
              <w:outlineLvl w:val="0"/>
              <w:rPr>
                <w:rFonts w:hint="eastAsia" w:ascii="宋体" w:hAnsi="宋体" w:eastAsia="宋体" w:cs="宋体"/>
                <w:color w:val="000000"/>
                <w:kern w:val="0"/>
                <w:sz w:val="24"/>
                <w:szCs w:val="24"/>
              </w:rPr>
            </w:pPr>
            <w:r>
              <w:rPr>
                <w:rFonts w:hint="eastAsia" w:ascii="宋体" w:hAnsi="宋体" w:eastAsia="宋体" w:cs="宋体"/>
                <w:sz w:val="24"/>
                <w:szCs w:val="24"/>
              </w:rPr>
              <w:t>针对本项目制订相关应急预案，能及时完成采购人的突发、应急保障任务</w:t>
            </w:r>
            <w:r>
              <w:rPr>
                <w:rFonts w:hint="eastAsia" w:ascii="宋体" w:hAnsi="宋体" w:eastAsia="宋体" w:cs="宋体"/>
                <w:color w:val="000000"/>
                <w:kern w:val="0"/>
                <w:sz w:val="24"/>
                <w:szCs w:val="24"/>
              </w:rPr>
              <w:t>：</w:t>
            </w:r>
          </w:p>
          <w:p w14:paraId="5E7EA21B">
            <w:pPr>
              <w:jc w:val="left"/>
              <w:outlineLvl w:val="0"/>
              <w:rPr>
                <w:rFonts w:hint="eastAsia" w:ascii="宋体" w:hAnsi="宋体" w:eastAsia="宋体" w:cs="宋体"/>
                <w:color w:val="000000"/>
                <w:kern w:val="0"/>
                <w:sz w:val="24"/>
                <w:szCs w:val="24"/>
              </w:rPr>
            </w:pPr>
            <w:r>
              <w:rPr>
                <w:rFonts w:hint="eastAsia" w:ascii="宋体" w:hAnsi="宋体" w:eastAsia="宋体" w:cs="宋体"/>
                <w:sz w:val="24"/>
                <w:szCs w:val="24"/>
              </w:rPr>
              <w:t>方案清晰、完整，完全吻合项目需求的得5分；方案略有瑕疵，基本满足项目需求的得4分；方案内容简单的得3分；方案内容不清晰，内容缺失的得2分；方案内容混乱，内容缺失严重的得1分；未提供不得分。</w:t>
            </w:r>
          </w:p>
        </w:tc>
        <w:tc>
          <w:tcPr>
            <w:tcW w:w="647" w:type="dxa"/>
            <w:vAlign w:val="center"/>
          </w:tcPr>
          <w:p w14:paraId="3F3B22C1">
            <w:pPr>
              <w:widowControl/>
              <w:jc w:val="center"/>
              <w:rPr>
                <w:rFonts w:hint="eastAsia" w:ascii="宋体" w:hAnsi="宋体" w:eastAsia="宋体" w:cs="宋体"/>
                <w:sz w:val="24"/>
                <w:szCs w:val="24"/>
                <w:highlight w:val="yellow"/>
              </w:rPr>
            </w:pPr>
            <w:r>
              <w:rPr>
                <w:rFonts w:hint="eastAsia" w:ascii="宋体" w:hAnsi="宋体" w:eastAsia="宋体" w:cs="宋体"/>
                <w:sz w:val="24"/>
                <w:szCs w:val="24"/>
              </w:rPr>
              <w:t>5</w:t>
            </w:r>
          </w:p>
        </w:tc>
        <w:tc>
          <w:tcPr>
            <w:tcW w:w="1005" w:type="dxa"/>
            <w:vAlign w:val="center"/>
          </w:tcPr>
          <w:p w14:paraId="1D057A8B">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78B305DC">
            <w:pPr>
              <w:snapToGrid w:val="0"/>
              <w:jc w:val="center"/>
              <w:rPr>
                <w:rFonts w:hint="eastAsia" w:ascii="宋体" w:hAnsi="宋体" w:eastAsia="宋体" w:cs="宋体"/>
                <w:sz w:val="24"/>
                <w:szCs w:val="24"/>
              </w:rPr>
            </w:pPr>
          </w:p>
        </w:tc>
      </w:tr>
      <w:tr w14:paraId="213B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63E6B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800" w:type="dxa"/>
            <w:vAlign w:val="center"/>
          </w:tcPr>
          <w:p w14:paraId="17CEF19E">
            <w:pPr>
              <w:jc w:val="left"/>
              <w:outlineLvl w:val="0"/>
              <w:rPr>
                <w:rFonts w:hint="eastAsia" w:ascii="宋体" w:hAnsi="宋体" w:eastAsia="宋体" w:cs="宋体"/>
                <w:color w:val="000000"/>
                <w:kern w:val="0"/>
                <w:sz w:val="24"/>
                <w:szCs w:val="24"/>
              </w:rPr>
            </w:pPr>
            <w:r>
              <w:rPr>
                <w:rFonts w:hint="eastAsia" w:ascii="宋体" w:hAnsi="宋体" w:eastAsia="宋体" w:cs="宋体"/>
                <w:sz w:val="24"/>
                <w:szCs w:val="24"/>
              </w:rPr>
              <w:t>项目实施的人员安排总体情况：</w:t>
            </w:r>
          </w:p>
        </w:tc>
        <w:tc>
          <w:tcPr>
            <w:tcW w:w="647" w:type="dxa"/>
            <w:vAlign w:val="center"/>
          </w:tcPr>
          <w:p w14:paraId="5CC94C9E">
            <w:pPr>
              <w:widowControl/>
              <w:jc w:val="center"/>
              <w:rPr>
                <w:rFonts w:hint="eastAsia" w:ascii="宋体" w:hAnsi="宋体" w:eastAsia="宋体" w:cs="宋体"/>
                <w:sz w:val="24"/>
                <w:szCs w:val="24"/>
              </w:rPr>
            </w:pPr>
            <w:r>
              <w:rPr>
                <w:rFonts w:hint="eastAsia" w:ascii="宋体" w:hAnsi="宋体" w:eastAsia="宋体" w:cs="宋体"/>
                <w:sz w:val="24"/>
                <w:szCs w:val="24"/>
              </w:rPr>
              <w:t>/</w:t>
            </w:r>
          </w:p>
        </w:tc>
        <w:tc>
          <w:tcPr>
            <w:tcW w:w="1005" w:type="dxa"/>
            <w:vAlign w:val="center"/>
          </w:tcPr>
          <w:p w14:paraId="129B0CCD">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1465" w:type="dxa"/>
          </w:tcPr>
          <w:p w14:paraId="783BCD81">
            <w:pPr>
              <w:snapToGrid w:val="0"/>
              <w:jc w:val="center"/>
              <w:rPr>
                <w:rFonts w:hint="eastAsia" w:ascii="宋体" w:hAnsi="宋体" w:eastAsia="宋体" w:cs="宋体"/>
                <w:sz w:val="24"/>
                <w:szCs w:val="24"/>
              </w:rPr>
            </w:pPr>
          </w:p>
        </w:tc>
      </w:tr>
      <w:tr w14:paraId="330B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5645314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7.1</w:t>
            </w:r>
          </w:p>
        </w:tc>
        <w:tc>
          <w:tcPr>
            <w:tcW w:w="4800" w:type="dxa"/>
            <w:vAlign w:val="center"/>
          </w:tcPr>
          <w:p w14:paraId="32BC926D">
            <w:pPr>
              <w:jc w:val="left"/>
              <w:outlineLvl w:val="0"/>
              <w:rPr>
                <w:rFonts w:hint="eastAsia" w:ascii="宋体" w:hAnsi="宋体" w:eastAsia="宋体" w:cs="宋体"/>
                <w:sz w:val="24"/>
                <w:szCs w:val="24"/>
              </w:rPr>
            </w:pPr>
            <w:r>
              <w:rPr>
                <w:rFonts w:hint="eastAsia" w:ascii="宋体" w:hAnsi="宋体" w:eastAsia="宋体" w:cs="宋体"/>
                <w:color w:val="000000"/>
                <w:kern w:val="0"/>
                <w:sz w:val="24"/>
                <w:szCs w:val="24"/>
              </w:rPr>
              <w:t>本项目人员组织架构、岗位配置及人员响应。</w:t>
            </w:r>
            <w:r>
              <w:rPr>
                <w:rFonts w:hint="eastAsia" w:ascii="宋体" w:hAnsi="宋体" w:eastAsia="宋体" w:cs="宋体"/>
                <w:sz w:val="24"/>
                <w:szCs w:val="24"/>
              </w:rPr>
              <w:t>方案内容详实，逻辑缜密，具有针对性，可实施性强的得3分；方案略有瑕疵，基本能符合采购需要，具有一定的针对性、可实施性的得2分；方案明显存在缺陷的，得1分；未提供不得分。</w:t>
            </w:r>
          </w:p>
        </w:tc>
        <w:tc>
          <w:tcPr>
            <w:tcW w:w="647" w:type="dxa"/>
            <w:vAlign w:val="center"/>
          </w:tcPr>
          <w:p w14:paraId="673E2335">
            <w:pPr>
              <w:widowControl/>
              <w:jc w:val="center"/>
              <w:rPr>
                <w:rFonts w:hint="eastAsia" w:ascii="宋体" w:hAnsi="宋体" w:eastAsia="宋体" w:cs="宋体"/>
                <w:sz w:val="24"/>
                <w:szCs w:val="24"/>
              </w:rPr>
            </w:pPr>
            <w:r>
              <w:rPr>
                <w:rFonts w:hint="eastAsia" w:ascii="宋体" w:hAnsi="宋体" w:eastAsia="宋体" w:cs="宋体"/>
                <w:sz w:val="24"/>
                <w:szCs w:val="24"/>
              </w:rPr>
              <w:t>3</w:t>
            </w:r>
          </w:p>
        </w:tc>
        <w:tc>
          <w:tcPr>
            <w:tcW w:w="1005" w:type="dxa"/>
            <w:vAlign w:val="center"/>
          </w:tcPr>
          <w:p w14:paraId="05FA700D">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38A895AF">
            <w:pPr>
              <w:snapToGrid w:val="0"/>
              <w:jc w:val="center"/>
              <w:rPr>
                <w:rFonts w:hint="eastAsia" w:ascii="宋体" w:hAnsi="宋体" w:eastAsia="宋体" w:cs="宋体"/>
                <w:sz w:val="24"/>
                <w:szCs w:val="24"/>
              </w:rPr>
            </w:pPr>
          </w:p>
        </w:tc>
      </w:tr>
      <w:tr w14:paraId="4858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8F3F96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7.2</w:t>
            </w:r>
          </w:p>
        </w:tc>
        <w:tc>
          <w:tcPr>
            <w:tcW w:w="4800" w:type="dxa"/>
            <w:vAlign w:val="center"/>
          </w:tcPr>
          <w:p w14:paraId="343D8205">
            <w:pPr>
              <w:jc w:val="lef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工程技术主管的资质、能力基本情况介绍。</w:t>
            </w:r>
            <w:r>
              <w:rPr>
                <w:rFonts w:hint="eastAsia" w:ascii="宋体" w:hAnsi="宋体" w:eastAsia="宋体" w:cs="宋体"/>
                <w:sz w:val="24"/>
                <w:szCs w:val="24"/>
              </w:rPr>
              <w:t>方案内容详实，</w:t>
            </w:r>
            <w:r>
              <w:rPr>
                <w:rFonts w:hint="eastAsia" w:ascii="宋体" w:hAnsi="宋体" w:eastAsia="宋体" w:cs="宋体"/>
                <w:sz w:val="24"/>
                <w:szCs w:val="24"/>
                <w:lang w:val="en-US" w:eastAsia="zh-CN"/>
              </w:rPr>
              <w:t>主管经验丰富、综合能力强</w:t>
            </w:r>
            <w:r>
              <w:rPr>
                <w:rFonts w:hint="eastAsia" w:ascii="宋体" w:hAnsi="宋体" w:eastAsia="宋体" w:cs="宋体"/>
                <w:sz w:val="24"/>
                <w:szCs w:val="24"/>
              </w:rPr>
              <w:t>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val="en-US" w:eastAsia="zh-CN"/>
              </w:rPr>
              <w:t>主管经验较丰富、综合能力较强</w:t>
            </w:r>
            <w:r>
              <w:rPr>
                <w:rFonts w:hint="eastAsia" w:ascii="宋体" w:hAnsi="宋体" w:eastAsia="宋体" w:cs="宋体"/>
                <w:sz w:val="24"/>
                <w:szCs w:val="24"/>
              </w:rPr>
              <w:t>，</w:t>
            </w:r>
            <w:r>
              <w:rPr>
                <w:rFonts w:hint="eastAsia" w:ascii="宋体" w:hAnsi="宋体" w:eastAsia="宋体" w:cs="宋体"/>
                <w:sz w:val="24"/>
                <w:szCs w:val="24"/>
                <w:lang w:val="en-US" w:eastAsia="zh-CN"/>
              </w:rPr>
              <w:t>大致</w:t>
            </w:r>
            <w:r>
              <w:rPr>
                <w:rFonts w:hint="eastAsia" w:ascii="宋体" w:hAnsi="宋体" w:eastAsia="宋体" w:cs="宋体"/>
                <w:sz w:val="24"/>
                <w:szCs w:val="24"/>
              </w:rPr>
              <w:t>能符合采购需要</w:t>
            </w:r>
            <w:r>
              <w:rPr>
                <w:rFonts w:hint="eastAsia" w:ascii="宋体" w:hAnsi="宋体" w:eastAsia="宋体" w:cs="宋体"/>
                <w:sz w:val="24"/>
                <w:szCs w:val="24"/>
                <w:lang w:val="en-US"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val="en-US" w:eastAsia="zh-CN"/>
              </w:rPr>
              <w:t>主管有基本的经验和能力</w:t>
            </w:r>
            <w:r>
              <w:rPr>
                <w:rFonts w:hint="eastAsia" w:ascii="宋体" w:hAnsi="宋体" w:eastAsia="宋体" w:cs="宋体"/>
                <w:sz w:val="24"/>
                <w:szCs w:val="24"/>
              </w:rPr>
              <w:t>，基本能符合采购需要的得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分；方案明显存在缺陷的，得1分；未提供不得分。</w:t>
            </w:r>
          </w:p>
          <w:p w14:paraId="64176FDD">
            <w:pPr>
              <w:jc w:val="left"/>
              <w:outlineLvl w:val="0"/>
              <w:rPr>
                <w:rFonts w:hint="eastAsia" w:ascii="宋体" w:hAnsi="宋体" w:eastAsia="宋体" w:cs="宋体"/>
                <w:color w:val="000000"/>
                <w:kern w:val="0"/>
                <w:sz w:val="24"/>
                <w:szCs w:val="24"/>
                <w:lang w:eastAsia="zh-CN"/>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sz w:val="24"/>
                <w:szCs w:val="24"/>
              </w:rPr>
              <w:t>须提供工程技术主管在本单位的社保证明、相关工作经验证明材料及证书扫描件</w:t>
            </w:r>
            <w:r>
              <w:rPr>
                <w:rFonts w:hint="eastAsia" w:ascii="宋体" w:hAnsi="宋体" w:eastAsia="宋体" w:cs="宋体"/>
                <w:color w:val="000000"/>
                <w:sz w:val="24"/>
                <w:szCs w:val="24"/>
                <w:lang w:eastAsia="zh-CN"/>
              </w:rPr>
              <w:t>。</w:t>
            </w:r>
          </w:p>
        </w:tc>
        <w:tc>
          <w:tcPr>
            <w:tcW w:w="647" w:type="dxa"/>
            <w:vAlign w:val="center"/>
          </w:tcPr>
          <w:p w14:paraId="510EC4AC">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005" w:type="dxa"/>
            <w:vAlign w:val="center"/>
          </w:tcPr>
          <w:p w14:paraId="1E2A1DF4">
            <w:pPr>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主观分</w:t>
            </w:r>
          </w:p>
        </w:tc>
        <w:tc>
          <w:tcPr>
            <w:tcW w:w="1465" w:type="dxa"/>
          </w:tcPr>
          <w:p w14:paraId="7289F706">
            <w:pPr>
              <w:snapToGrid w:val="0"/>
              <w:jc w:val="center"/>
              <w:rPr>
                <w:rFonts w:hint="eastAsia" w:ascii="宋体" w:hAnsi="宋体" w:eastAsia="宋体" w:cs="宋体"/>
                <w:sz w:val="24"/>
                <w:szCs w:val="24"/>
              </w:rPr>
            </w:pPr>
          </w:p>
        </w:tc>
      </w:tr>
      <w:tr w14:paraId="1536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83E826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7.3</w:t>
            </w:r>
          </w:p>
        </w:tc>
        <w:tc>
          <w:tcPr>
            <w:tcW w:w="4800" w:type="dxa"/>
            <w:vAlign w:val="center"/>
          </w:tcPr>
          <w:p w14:paraId="65050AE4">
            <w:pPr>
              <w:rPr>
                <w:rFonts w:hint="eastAsia" w:ascii="宋体" w:hAnsi="宋体" w:eastAsia="宋体" w:cs="宋体"/>
                <w:color w:val="000000"/>
                <w:sz w:val="24"/>
                <w:szCs w:val="24"/>
              </w:rPr>
            </w:pPr>
            <w:r>
              <w:rPr>
                <w:rFonts w:hint="eastAsia" w:ascii="宋体" w:hAnsi="宋体" w:eastAsia="宋体" w:cs="宋体"/>
                <w:color w:val="000000"/>
                <w:sz w:val="24"/>
                <w:szCs w:val="24"/>
              </w:rPr>
              <w:t>拟派遣工程人员配置（除工程技术主管外）。</w:t>
            </w:r>
            <w:r>
              <w:rPr>
                <w:rFonts w:hint="eastAsia" w:ascii="宋体" w:hAnsi="宋体" w:eastAsia="宋体" w:cs="宋体"/>
                <w:color w:val="000000"/>
                <w:sz w:val="24"/>
                <w:szCs w:val="24"/>
                <w:lang w:val="en-US" w:eastAsia="zh-CN"/>
              </w:rPr>
              <w:t>注：</w:t>
            </w:r>
            <w:r>
              <w:rPr>
                <w:rFonts w:hint="eastAsia" w:ascii="宋体" w:hAnsi="宋体" w:eastAsia="宋体" w:cs="宋体"/>
                <w:sz w:val="24"/>
                <w:szCs w:val="24"/>
              </w:rPr>
              <w:t>同人多份证书不重复计分，提供证书扫描件及在本单位缴纳的社保证明，不提供不得分。</w:t>
            </w:r>
          </w:p>
        </w:tc>
        <w:tc>
          <w:tcPr>
            <w:tcW w:w="647" w:type="dxa"/>
            <w:vAlign w:val="center"/>
          </w:tcPr>
          <w:p w14:paraId="57E79BB2">
            <w:pPr>
              <w:widowControl/>
              <w:jc w:val="center"/>
              <w:rPr>
                <w:rFonts w:hint="eastAsia" w:ascii="宋体" w:hAnsi="宋体" w:eastAsia="宋体" w:cs="宋体"/>
                <w:sz w:val="24"/>
                <w:szCs w:val="24"/>
              </w:rPr>
            </w:pPr>
            <w:r>
              <w:rPr>
                <w:rFonts w:hint="eastAsia" w:ascii="宋体" w:hAnsi="宋体" w:eastAsia="宋体" w:cs="宋体"/>
                <w:sz w:val="24"/>
                <w:szCs w:val="24"/>
              </w:rPr>
              <w:t>/</w:t>
            </w:r>
          </w:p>
        </w:tc>
        <w:tc>
          <w:tcPr>
            <w:tcW w:w="1005" w:type="dxa"/>
            <w:vAlign w:val="center"/>
          </w:tcPr>
          <w:p w14:paraId="64805045">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1465" w:type="dxa"/>
          </w:tcPr>
          <w:p w14:paraId="5558B57A">
            <w:pPr>
              <w:snapToGrid w:val="0"/>
              <w:jc w:val="center"/>
              <w:rPr>
                <w:rFonts w:hint="eastAsia" w:ascii="宋体" w:hAnsi="宋体" w:eastAsia="宋体" w:cs="宋体"/>
                <w:sz w:val="24"/>
                <w:szCs w:val="24"/>
              </w:rPr>
            </w:pPr>
          </w:p>
        </w:tc>
      </w:tr>
      <w:tr w14:paraId="5792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B99E89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7.3.1</w:t>
            </w:r>
          </w:p>
        </w:tc>
        <w:tc>
          <w:tcPr>
            <w:tcW w:w="4800" w:type="dxa"/>
            <w:vAlign w:val="center"/>
          </w:tcPr>
          <w:p w14:paraId="4D28E4CB">
            <w:pPr>
              <w:widowControl/>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每提供一份低压电工证得0.5分，满分2分；</w:t>
            </w:r>
          </w:p>
        </w:tc>
        <w:tc>
          <w:tcPr>
            <w:tcW w:w="647" w:type="dxa"/>
            <w:vAlign w:val="center"/>
          </w:tcPr>
          <w:p w14:paraId="74A1CBE9">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1005" w:type="dxa"/>
            <w:vAlign w:val="center"/>
          </w:tcPr>
          <w:p w14:paraId="1A82C259">
            <w:pPr>
              <w:snapToGrid w:val="0"/>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465" w:type="dxa"/>
          </w:tcPr>
          <w:p w14:paraId="3768F9AF">
            <w:pPr>
              <w:snapToGrid w:val="0"/>
              <w:jc w:val="center"/>
              <w:rPr>
                <w:rFonts w:hint="eastAsia" w:ascii="宋体" w:hAnsi="宋体" w:eastAsia="宋体" w:cs="宋体"/>
                <w:sz w:val="24"/>
                <w:szCs w:val="24"/>
              </w:rPr>
            </w:pPr>
          </w:p>
        </w:tc>
      </w:tr>
      <w:tr w14:paraId="6E45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1747C39">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7.3.2</w:t>
            </w:r>
          </w:p>
        </w:tc>
        <w:tc>
          <w:tcPr>
            <w:tcW w:w="4800" w:type="dxa"/>
            <w:vAlign w:val="center"/>
          </w:tcPr>
          <w:p w14:paraId="52809CF1">
            <w:pPr>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每提供一份高压电工证得0.5分，满分2分；</w:t>
            </w:r>
          </w:p>
        </w:tc>
        <w:tc>
          <w:tcPr>
            <w:tcW w:w="647" w:type="dxa"/>
            <w:vAlign w:val="center"/>
          </w:tcPr>
          <w:p w14:paraId="40553C7A">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1005" w:type="dxa"/>
            <w:vAlign w:val="center"/>
          </w:tcPr>
          <w:p w14:paraId="29D56BD3">
            <w:pPr>
              <w:snapToGrid w:val="0"/>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465" w:type="dxa"/>
          </w:tcPr>
          <w:p w14:paraId="04478393">
            <w:pPr>
              <w:snapToGrid w:val="0"/>
              <w:jc w:val="center"/>
              <w:rPr>
                <w:rFonts w:hint="eastAsia" w:ascii="宋体" w:hAnsi="宋体" w:eastAsia="宋体" w:cs="宋体"/>
                <w:sz w:val="24"/>
                <w:szCs w:val="24"/>
              </w:rPr>
            </w:pPr>
          </w:p>
        </w:tc>
      </w:tr>
      <w:tr w14:paraId="15C7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440800C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7.3.3</w:t>
            </w:r>
          </w:p>
        </w:tc>
        <w:tc>
          <w:tcPr>
            <w:tcW w:w="4800" w:type="dxa"/>
            <w:vAlign w:val="center"/>
          </w:tcPr>
          <w:p w14:paraId="14278F8B">
            <w:pPr>
              <w:jc w:val="left"/>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每提供一份制冷与空调设备运行操作证得0.5分，满分2分；</w:t>
            </w:r>
          </w:p>
        </w:tc>
        <w:tc>
          <w:tcPr>
            <w:tcW w:w="647" w:type="dxa"/>
            <w:vAlign w:val="center"/>
          </w:tcPr>
          <w:p w14:paraId="7081A87F">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1005" w:type="dxa"/>
            <w:vAlign w:val="center"/>
          </w:tcPr>
          <w:p w14:paraId="2798A711">
            <w:pPr>
              <w:snapToGrid w:val="0"/>
              <w:jc w:val="center"/>
              <w:rPr>
                <w:rFonts w:hint="eastAsia" w:ascii="宋体" w:hAnsi="宋体" w:eastAsia="宋体" w:cs="宋体"/>
                <w:sz w:val="24"/>
                <w:szCs w:val="24"/>
              </w:rPr>
            </w:pPr>
            <w:r>
              <w:rPr>
                <w:rFonts w:hint="eastAsia" w:ascii="宋体" w:hAnsi="宋体" w:eastAsia="宋体" w:cs="宋体"/>
                <w:sz w:val="24"/>
                <w:szCs w:val="24"/>
              </w:rPr>
              <w:t>客观分</w:t>
            </w:r>
          </w:p>
        </w:tc>
        <w:tc>
          <w:tcPr>
            <w:tcW w:w="1465" w:type="dxa"/>
          </w:tcPr>
          <w:p w14:paraId="49757DF1">
            <w:pPr>
              <w:snapToGrid w:val="0"/>
              <w:jc w:val="center"/>
              <w:rPr>
                <w:rFonts w:hint="eastAsia" w:ascii="宋体" w:hAnsi="宋体" w:eastAsia="宋体" w:cs="宋体"/>
                <w:sz w:val="24"/>
                <w:szCs w:val="24"/>
              </w:rPr>
            </w:pPr>
          </w:p>
        </w:tc>
      </w:tr>
      <w:tr w14:paraId="42B3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0F1401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7.4</w:t>
            </w:r>
          </w:p>
        </w:tc>
        <w:tc>
          <w:tcPr>
            <w:tcW w:w="4800" w:type="dxa"/>
            <w:vAlign w:val="center"/>
          </w:tcPr>
          <w:p w14:paraId="15D048E8">
            <w:pPr>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后续的人员培训计划及思路：</w:t>
            </w:r>
          </w:p>
          <w:p w14:paraId="545AB987">
            <w:pPr>
              <w:jc w:val="left"/>
              <w:outlineLvl w:val="0"/>
              <w:rPr>
                <w:rFonts w:hint="eastAsia" w:ascii="宋体" w:hAnsi="宋体" w:eastAsia="宋体" w:cs="宋体"/>
                <w:color w:val="000000"/>
                <w:sz w:val="24"/>
                <w:szCs w:val="24"/>
              </w:rPr>
            </w:pPr>
            <w:r>
              <w:rPr>
                <w:rFonts w:hint="eastAsia" w:ascii="宋体" w:hAnsi="宋体" w:eastAsia="宋体" w:cs="宋体"/>
                <w:sz w:val="24"/>
                <w:szCs w:val="24"/>
              </w:rPr>
              <w:t>方案详细合理可行的得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方案内容</w:t>
            </w:r>
            <w:r>
              <w:rPr>
                <w:rFonts w:hint="eastAsia" w:ascii="宋体" w:hAnsi="宋体" w:eastAsia="宋体" w:cs="宋体"/>
                <w:sz w:val="24"/>
                <w:szCs w:val="24"/>
                <w:lang w:val="en-US" w:eastAsia="zh-CN"/>
              </w:rPr>
              <w:t>略有</w:t>
            </w:r>
            <w:r>
              <w:rPr>
                <w:rFonts w:hint="eastAsia" w:ascii="宋体" w:hAnsi="宋体" w:eastAsia="宋体" w:cs="宋体"/>
                <w:sz w:val="24"/>
                <w:szCs w:val="24"/>
              </w:rPr>
              <w:t>缺陷</w:t>
            </w:r>
            <w:r>
              <w:rPr>
                <w:rFonts w:hint="eastAsia" w:ascii="宋体" w:hAnsi="宋体" w:eastAsia="宋体" w:cs="宋体"/>
                <w:sz w:val="24"/>
                <w:szCs w:val="24"/>
                <w:lang w:val="en-US" w:eastAsia="zh-CN"/>
              </w:rPr>
              <w:t>但基本可行</w:t>
            </w:r>
            <w:r>
              <w:rPr>
                <w:rFonts w:hint="eastAsia" w:ascii="宋体" w:hAnsi="宋体" w:eastAsia="宋体" w:cs="宋体"/>
                <w:sz w:val="24"/>
                <w:szCs w:val="24"/>
              </w:rPr>
              <w:t>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分；方案内容存在缺陷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可行性不大</w:t>
            </w:r>
            <w:r>
              <w:rPr>
                <w:rFonts w:hint="eastAsia" w:ascii="宋体" w:hAnsi="宋体" w:eastAsia="宋体" w:cs="宋体"/>
                <w:sz w:val="24"/>
                <w:szCs w:val="24"/>
              </w:rPr>
              <w:t>的得1分；不提供不得分。</w:t>
            </w:r>
          </w:p>
        </w:tc>
        <w:tc>
          <w:tcPr>
            <w:tcW w:w="647" w:type="dxa"/>
            <w:vAlign w:val="center"/>
          </w:tcPr>
          <w:p w14:paraId="5C77C296">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005" w:type="dxa"/>
            <w:vAlign w:val="center"/>
          </w:tcPr>
          <w:p w14:paraId="20AA3EBE">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4D780D77">
            <w:pPr>
              <w:snapToGrid w:val="0"/>
              <w:jc w:val="center"/>
              <w:rPr>
                <w:rFonts w:hint="eastAsia" w:ascii="宋体" w:hAnsi="宋体" w:eastAsia="宋体" w:cs="宋体"/>
                <w:sz w:val="24"/>
                <w:szCs w:val="24"/>
              </w:rPr>
            </w:pPr>
          </w:p>
        </w:tc>
      </w:tr>
      <w:tr w14:paraId="682C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51B921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7.5</w:t>
            </w:r>
          </w:p>
        </w:tc>
        <w:tc>
          <w:tcPr>
            <w:tcW w:w="4800" w:type="dxa"/>
            <w:vAlign w:val="center"/>
          </w:tcPr>
          <w:p w14:paraId="7DD9B625">
            <w:pPr>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人员职责与管理方案：</w:t>
            </w:r>
          </w:p>
          <w:p w14:paraId="1F144A4D">
            <w:pPr>
              <w:jc w:val="left"/>
              <w:outlineLvl w:val="0"/>
              <w:rPr>
                <w:rFonts w:hint="eastAsia" w:ascii="宋体" w:hAnsi="宋体" w:eastAsia="宋体" w:cs="宋体"/>
                <w:color w:val="000000"/>
                <w:sz w:val="24"/>
                <w:szCs w:val="24"/>
              </w:rPr>
            </w:pPr>
            <w:r>
              <w:rPr>
                <w:rFonts w:hint="eastAsia" w:ascii="宋体" w:hAnsi="宋体" w:eastAsia="宋体" w:cs="宋体"/>
                <w:sz w:val="24"/>
                <w:szCs w:val="24"/>
              </w:rPr>
              <w:t>方案详细合理可行的得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方案内容</w:t>
            </w:r>
            <w:r>
              <w:rPr>
                <w:rFonts w:hint="eastAsia" w:ascii="宋体" w:hAnsi="宋体" w:eastAsia="宋体" w:cs="宋体"/>
                <w:sz w:val="24"/>
                <w:szCs w:val="24"/>
                <w:lang w:val="en-US" w:eastAsia="zh-CN"/>
              </w:rPr>
              <w:t>略有</w:t>
            </w:r>
            <w:r>
              <w:rPr>
                <w:rFonts w:hint="eastAsia" w:ascii="宋体" w:hAnsi="宋体" w:eastAsia="宋体" w:cs="宋体"/>
                <w:sz w:val="24"/>
                <w:szCs w:val="24"/>
              </w:rPr>
              <w:t>缺陷</w:t>
            </w:r>
            <w:r>
              <w:rPr>
                <w:rFonts w:hint="eastAsia" w:ascii="宋体" w:hAnsi="宋体" w:eastAsia="宋体" w:cs="宋体"/>
                <w:sz w:val="24"/>
                <w:szCs w:val="24"/>
                <w:lang w:val="en-US" w:eastAsia="zh-CN"/>
              </w:rPr>
              <w:t>但基本可行</w:t>
            </w:r>
            <w:r>
              <w:rPr>
                <w:rFonts w:hint="eastAsia" w:ascii="宋体" w:hAnsi="宋体" w:eastAsia="宋体" w:cs="宋体"/>
                <w:sz w:val="24"/>
                <w:szCs w:val="24"/>
              </w:rPr>
              <w:t>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分；方案内容存在缺陷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可行性不大</w:t>
            </w:r>
            <w:r>
              <w:rPr>
                <w:rFonts w:hint="eastAsia" w:ascii="宋体" w:hAnsi="宋体" w:eastAsia="宋体" w:cs="宋体"/>
                <w:sz w:val="24"/>
                <w:szCs w:val="24"/>
              </w:rPr>
              <w:t>的得1分；不提供不得分。</w:t>
            </w:r>
          </w:p>
        </w:tc>
        <w:tc>
          <w:tcPr>
            <w:tcW w:w="647" w:type="dxa"/>
            <w:vAlign w:val="center"/>
          </w:tcPr>
          <w:p w14:paraId="57B3ED86">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005" w:type="dxa"/>
            <w:vAlign w:val="center"/>
          </w:tcPr>
          <w:p w14:paraId="09DE594C">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5F5D1558">
            <w:pPr>
              <w:snapToGrid w:val="0"/>
              <w:jc w:val="center"/>
              <w:rPr>
                <w:rFonts w:hint="eastAsia" w:ascii="宋体" w:hAnsi="宋体" w:eastAsia="宋体" w:cs="宋体"/>
                <w:sz w:val="24"/>
                <w:szCs w:val="24"/>
              </w:rPr>
            </w:pPr>
          </w:p>
        </w:tc>
      </w:tr>
      <w:tr w14:paraId="3274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C38F7CE">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7.6</w:t>
            </w:r>
          </w:p>
        </w:tc>
        <w:tc>
          <w:tcPr>
            <w:tcW w:w="4800" w:type="dxa"/>
            <w:vAlign w:val="center"/>
          </w:tcPr>
          <w:p w14:paraId="1121A7F5">
            <w:pPr>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投诉处理方案：</w:t>
            </w:r>
          </w:p>
          <w:p w14:paraId="7DF62442">
            <w:pPr>
              <w:jc w:val="left"/>
              <w:outlineLvl w:val="0"/>
              <w:rPr>
                <w:rFonts w:hint="eastAsia" w:ascii="宋体" w:hAnsi="宋体" w:eastAsia="宋体" w:cs="宋体"/>
                <w:color w:val="000000"/>
                <w:sz w:val="24"/>
                <w:szCs w:val="24"/>
              </w:rPr>
            </w:pPr>
            <w:r>
              <w:rPr>
                <w:rFonts w:hint="eastAsia" w:ascii="宋体" w:hAnsi="宋体" w:eastAsia="宋体" w:cs="宋体"/>
                <w:sz w:val="24"/>
                <w:szCs w:val="24"/>
              </w:rPr>
              <w:t>方案详细合理可行的得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分；方案内容存在缺陷的得1分；不提供不得分。</w:t>
            </w:r>
          </w:p>
        </w:tc>
        <w:tc>
          <w:tcPr>
            <w:tcW w:w="647" w:type="dxa"/>
            <w:vAlign w:val="center"/>
          </w:tcPr>
          <w:p w14:paraId="682AA104">
            <w:pPr>
              <w:widowControl/>
              <w:jc w:val="center"/>
              <w:rPr>
                <w:rFonts w:hint="eastAsia" w:ascii="宋体" w:hAnsi="宋体" w:eastAsia="宋体" w:cs="宋体"/>
                <w:sz w:val="24"/>
                <w:szCs w:val="24"/>
              </w:rPr>
            </w:pPr>
            <w:r>
              <w:rPr>
                <w:rFonts w:hint="eastAsia" w:ascii="宋体" w:hAnsi="宋体" w:eastAsia="宋体" w:cs="宋体"/>
                <w:sz w:val="24"/>
                <w:szCs w:val="24"/>
              </w:rPr>
              <w:t>2</w:t>
            </w:r>
          </w:p>
        </w:tc>
        <w:tc>
          <w:tcPr>
            <w:tcW w:w="1005" w:type="dxa"/>
            <w:vAlign w:val="center"/>
          </w:tcPr>
          <w:p w14:paraId="33F2AD18">
            <w:pPr>
              <w:snapToGrid w:val="0"/>
              <w:jc w:val="center"/>
              <w:rPr>
                <w:rFonts w:hint="eastAsia" w:ascii="宋体" w:hAnsi="宋体" w:eastAsia="宋体" w:cs="宋体"/>
                <w:sz w:val="24"/>
                <w:szCs w:val="24"/>
              </w:rPr>
            </w:pPr>
            <w:r>
              <w:rPr>
                <w:rFonts w:hint="eastAsia" w:ascii="宋体" w:hAnsi="宋体" w:eastAsia="宋体" w:cs="宋体"/>
                <w:sz w:val="24"/>
                <w:szCs w:val="24"/>
              </w:rPr>
              <w:t>主观分</w:t>
            </w:r>
          </w:p>
        </w:tc>
        <w:tc>
          <w:tcPr>
            <w:tcW w:w="1465" w:type="dxa"/>
          </w:tcPr>
          <w:p w14:paraId="67945CA0">
            <w:pPr>
              <w:snapToGrid w:val="0"/>
              <w:jc w:val="center"/>
              <w:rPr>
                <w:rFonts w:hint="eastAsia" w:ascii="宋体" w:hAnsi="宋体" w:eastAsia="宋体" w:cs="宋体"/>
                <w:sz w:val="24"/>
                <w:szCs w:val="24"/>
              </w:rPr>
            </w:pPr>
          </w:p>
        </w:tc>
      </w:tr>
      <w:tr w14:paraId="7CBD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66AEBADB">
            <w:pPr>
              <w:widowControl/>
              <w:jc w:val="center"/>
              <w:rPr>
                <w:rFonts w:hint="eastAsia" w:ascii="宋体" w:hAnsi="宋体" w:eastAsia="宋体" w:cs="宋体"/>
                <w:sz w:val="24"/>
                <w:szCs w:val="24"/>
              </w:rPr>
            </w:pPr>
            <w:r>
              <w:rPr>
                <w:rFonts w:hint="eastAsia" w:ascii="宋体" w:hAnsi="宋体" w:eastAsia="宋体" w:cs="宋体"/>
                <w:kern w:val="0"/>
                <w:sz w:val="24"/>
                <w:szCs w:val="24"/>
              </w:rPr>
              <w:t>8</w:t>
            </w:r>
          </w:p>
        </w:tc>
        <w:tc>
          <w:tcPr>
            <w:tcW w:w="4800" w:type="dxa"/>
          </w:tcPr>
          <w:p w14:paraId="616009E0">
            <w:pPr>
              <w:rPr>
                <w:rFonts w:hint="eastAsia" w:ascii="宋体" w:hAnsi="宋体" w:eastAsia="宋体" w:cs="宋体"/>
                <w:kern w:val="0"/>
                <w:sz w:val="24"/>
                <w:szCs w:val="24"/>
              </w:rPr>
            </w:pPr>
            <w:r>
              <w:rPr>
                <w:rFonts w:hint="eastAsia" w:ascii="宋体" w:hAnsi="宋体" w:eastAsia="宋体" w:cs="宋体"/>
                <w:kern w:val="0"/>
                <w:sz w:val="24"/>
                <w:szCs w:val="24"/>
              </w:rPr>
              <w:t>特色服务及承诺：投标人提出针对本项目的实质性特色服务及承诺。</w:t>
            </w:r>
          </w:p>
          <w:p w14:paraId="33DA778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每提供一条</w:t>
            </w:r>
            <w:r>
              <w:rPr>
                <w:rFonts w:hint="eastAsia" w:ascii="宋体" w:hAnsi="宋体" w:eastAsia="宋体" w:cs="宋体"/>
                <w:kern w:val="0"/>
                <w:sz w:val="24"/>
                <w:szCs w:val="24"/>
              </w:rPr>
              <w:t>实质性特色服务</w:t>
            </w:r>
            <w:r>
              <w:rPr>
                <w:rFonts w:hint="eastAsia" w:ascii="宋体" w:hAnsi="宋体" w:eastAsia="宋体" w:cs="宋体"/>
                <w:kern w:val="0"/>
                <w:sz w:val="24"/>
                <w:szCs w:val="24"/>
                <w:lang w:val="en-US" w:eastAsia="zh-CN"/>
              </w:rPr>
              <w:t>或</w:t>
            </w:r>
            <w:r>
              <w:rPr>
                <w:rFonts w:hint="eastAsia" w:ascii="宋体" w:hAnsi="宋体" w:eastAsia="宋体" w:cs="宋体"/>
                <w:kern w:val="0"/>
                <w:sz w:val="24"/>
                <w:szCs w:val="24"/>
              </w:rPr>
              <w:t>承诺</w:t>
            </w:r>
            <w:r>
              <w:rPr>
                <w:rFonts w:hint="eastAsia" w:ascii="宋体" w:hAnsi="宋体" w:eastAsia="宋体" w:cs="宋体"/>
                <w:kern w:val="0"/>
                <w:sz w:val="24"/>
                <w:szCs w:val="24"/>
                <w:lang w:val="en-US" w:eastAsia="zh-CN"/>
              </w:rPr>
              <w:t>得1分，本项最多得3分。</w:t>
            </w:r>
          </w:p>
        </w:tc>
        <w:tc>
          <w:tcPr>
            <w:tcW w:w="647" w:type="dxa"/>
            <w:vAlign w:val="center"/>
          </w:tcPr>
          <w:p w14:paraId="03F60CAD">
            <w:pPr>
              <w:widowControl/>
              <w:jc w:val="center"/>
              <w:rPr>
                <w:rFonts w:hint="eastAsia" w:ascii="宋体" w:hAnsi="宋体" w:eastAsia="宋体" w:cs="宋体"/>
                <w:sz w:val="24"/>
                <w:szCs w:val="24"/>
              </w:rPr>
            </w:pPr>
            <w:r>
              <w:rPr>
                <w:rFonts w:hint="eastAsia" w:ascii="宋体" w:hAnsi="宋体" w:eastAsia="宋体" w:cs="宋体"/>
                <w:color w:val="000000"/>
                <w:kern w:val="0"/>
                <w:sz w:val="24"/>
                <w:szCs w:val="24"/>
              </w:rPr>
              <w:t>3</w:t>
            </w:r>
          </w:p>
        </w:tc>
        <w:tc>
          <w:tcPr>
            <w:tcW w:w="1005" w:type="dxa"/>
            <w:vAlign w:val="center"/>
          </w:tcPr>
          <w:p w14:paraId="4B3BEAC0">
            <w:pPr>
              <w:snapToGrid w:val="0"/>
              <w:jc w:val="center"/>
              <w:rPr>
                <w:rFonts w:hint="eastAsia" w:ascii="宋体" w:hAnsi="宋体" w:eastAsia="宋体" w:cs="宋体"/>
                <w:sz w:val="24"/>
                <w:szCs w:val="24"/>
              </w:rPr>
            </w:pPr>
            <w:r>
              <w:rPr>
                <w:rFonts w:hint="eastAsia" w:ascii="宋体" w:hAnsi="宋体" w:eastAsia="宋体" w:cs="宋体"/>
                <w:sz w:val="24"/>
                <w:szCs w:val="24"/>
                <w:lang w:val="en-US" w:eastAsia="zh-CN"/>
              </w:rPr>
              <w:t>客观</w:t>
            </w:r>
            <w:r>
              <w:rPr>
                <w:rFonts w:hint="eastAsia" w:ascii="宋体" w:hAnsi="宋体" w:eastAsia="宋体" w:cs="宋体"/>
                <w:sz w:val="24"/>
                <w:szCs w:val="24"/>
              </w:rPr>
              <w:t>分</w:t>
            </w:r>
          </w:p>
        </w:tc>
        <w:tc>
          <w:tcPr>
            <w:tcW w:w="1465" w:type="dxa"/>
          </w:tcPr>
          <w:p w14:paraId="18873CF5">
            <w:pPr>
              <w:snapToGrid w:val="0"/>
              <w:jc w:val="center"/>
              <w:rPr>
                <w:rFonts w:hint="eastAsia" w:ascii="宋体" w:hAnsi="宋体" w:eastAsia="宋体" w:cs="宋体"/>
                <w:sz w:val="24"/>
                <w:szCs w:val="24"/>
              </w:rPr>
            </w:pPr>
          </w:p>
        </w:tc>
      </w:tr>
      <w:tr w14:paraId="06FF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B151F18">
            <w:pPr>
              <w:snapToGrid w:val="0"/>
              <w:jc w:val="center"/>
              <w:rPr>
                <w:rFonts w:hint="eastAsia" w:ascii="宋体" w:hAnsi="宋体" w:eastAsia="宋体" w:cs="宋体"/>
                <w:sz w:val="24"/>
                <w:szCs w:val="24"/>
              </w:rPr>
            </w:pPr>
            <w:r>
              <w:rPr>
                <w:rFonts w:hint="eastAsia" w:ascii="宋体" w:hAnsi="宋体" w:eastAsia="宋体" w:cs="宋体"/>
                <w:sz w:val="24"/>
                <w:szCs w:val="24"/>
              </w:rPr>
              <w:t>9</w:t>
            </w:r>
          </w:p>
        </w:tc>
        <w:tc>
          <w:tcPr>
            <w:tcW w:w="4800" w:type="dxa"/>
          </w:tcPr>
          <w:p w14:paraId="3C4B871A">
            <w:pPr>
              <w:outlineLvl w:val="0"/>
              <w:rPr>
                <w:rFonts w:hint="eastAsia" w:ascii="宋体" w:hAnsi="宋体" w:eastAsia="宋体" w:cs="宋体"/>
                <w:sz w:val="24"/>
                <w:szCs w:val="24"/>
              </w:rPr>
            </w:pPr>
            <w:r>
              <w:rPr>
                <w:rFonts w:hint="eastAsia" w:ascii="宋体" w:hAnsi="宋体" w:eastAsia="宋体" w:cs="宋体"/>
                <w:sz w:val="24"/>
                <w:szCs w:val="24"/>
              </w:rPr>
              <w:t>有效投标报价的最低价作为评标基准价，其最低报价为满分；按［投标报价得分=（评标基准价/投标报价）*10］的计算公式计算。</w:t>
            </w:r>
          </w:p>
          <w:p w14:paraId="409A47B1">
            <w:pPr>
              <w:widowControl/>
              <w:shd w:val="clear" w:color="auto" w:fill="FFFFFF"/>
              <w:adjustRightInd/>
              <w:spacing w:after="225"/>
              <w:ind w:firstLine="420"/>
              <w:jc w:val="left"/>
              <w:rPr>
                <w:rFonts w:hint="eastAsia" w:ascii="宋体" w:hAnsi="宋体" w:eastAsia="宋体" w:cs="宋体"/>
                <w:sz w:val="24"/>
                <w:szCs w:val="24"/>
              </w:rPr>
            </w:pPr>
            <w:r>
              <w:rPr>
                <w:rFonts w:hint="eastAsia" w:ascii="宋体" w:hAnsi="宋体" w:eastAsia="宋体" w:cs="宋体"/>
                <w:sz w:val="24"/>
                <w:szCs w:val="24"/>
              </w:rPr>
              <w:t>评标过程中，不得去掉报价中的最高报价和最低报价。</w:t>
            </w:r>
          </w:p>
          <w:p w14:paraId="739B4BB6">
            <w:pPr>
              <w:widowControl/>
              <w:shd w:val="clear" w:color="auto" w:fill="FFFFFF"/>
              <w:adjustRightInd/>
              <w:spacing w:after="225"/>
              <w:ind w:firstLine="420"/>
              <w:jc w:val="left"/>
              <w:rPr>
                <w:rFonts w:hint="eastAsia" w:ascii="宋体" w:hAnsi="宋体" w:eastAsia="宋体" w:cs="宋体"/>
                <w:sz w:val="24"/>
                <w:szCs w:val="24"/>
              </w:rPr>
            </w:pPr>
            <w:r>
              <w:rPr>
                <w:rFonts w:hint="eastAsia" w:ascii="宋体" w:hAnsi="宋体" w:eastAsia="宋体" w:cs="宋体"/>
                <w:sz w:val="24"/>
                <w:szCs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647" w:type="dxa"/>
            <w:vAlign w:val="center"/>
          </w:tcPr>
          <w:p w14:paraId="05D607A3">
            <w:pPr>
              <w:jc w:val="center"/>
              <w:outlineLvl w:val="0"/>
              <w:rPr>
                <w:rFonts w:hint="eastAsia" w:ascii="宋体" w:hAnsi="宋体" w:eastAsia="宋体" w:cs="宋体"/>
                <w:sz w:val="24"/>
                <w:szCs w:val="24"/>
              </w:rPr>
            </w:pPr>
            <w:r>
              <w:rPr>
                <w:rFonts w:hint="eastAsia" w:ascii="宋体" w:hAnsi="宋体" w:eastAsia="宋体" w:cs="宋体"/>
                <w:sz w:val="24"/>
                <w:szCs w:val="24"/>
              </w:rPr>
              <w:t>10</w:t>
            </w:r>
          </w:p>
        </w:tc>
        <w:tc>
          <w:tcPr>
            <w:tcW w:w="1005" w:type="dxa"/>
            <w:vAlign w:val="center"/>
          </w:tcPr>
          <w:p w14:paraId="04652A3E">
            <w:pPr>
              <w:jc w:val="center"/>
              <w:outlineLvl w:val="0"/>
              <w:rPr>
                <w:rFonts w:hint="eastAsia" w:ascii="宋体" w:hAnsi="宋体" w:eastAsia="宋体" w:cs="宋体"/>
                <w:sz w:val="24"/>
                <w:szCs w:val="24"/>
              </w:rPr>
            </w:pPr>
            <w:r>
              <w:rPr>
                <w:rFonts w:hint="eastAsia" w:ascii="宋体" w:hAnsi="宋体" w:eastAsia="宋体" w:cs="宋体"/>
                <w:sz w:val="24"/>
                <w:szCs w:val="24"/>
              </w:rPr>
              <w:t>客观分</w:t>
            </w:r>
          </w:p>
        </w:tc>
        <w:tc>
          <w:tcPr>
            <w:tcW w:w="1465" w:type="dxa"/>
            <w:vAlign w:val="center"/>
          </w:tcPr>
          <w:p w14:paraId="7FF9F78D">
            <w:pPr>
              <w:jc w:val="center"/>
              <w:outlineLvl w:val="0"/>
              <w:rPr>
                <w:rFonts w:hint="eastAsia" w:ascii="宋体" w:hAnsi="宋体" w:eastAsia="宋体" w:cs="宋体"/>
                <w:sz w:val="24"/>
                <w:szCs w:val="24"/>
              </w:rPr>
            </w:pPr>
            <w:r>
              <w:rPr>
                <w:rFonts w:hint="eastAsia" w:ascii="宋体" w:hAnsi="宋体" w:eastAsia="宋体" w:cs="宋体"/>
                <w:sz w:val="24"/>
                <w:szCs w:val="24"/>
              </w:rPr>
              <w:t>/</w:t>
            </w:r>
          </w:p>
        </w:tc>
      </w:tr>
    </w:tbl>
    <w:p w14:paraId="2EE5E0EB">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3名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cs="宋体"/>
          <w:color w:val="auto"/>
          <w:highlight w:val="none"/>
        </w:rPr>
      </w:pPr>
    </w:p>
    <w:bookmarkEnd w:id="27"/>
    <w:p w14:paraId="414513D2">
      <w:pPr>
        <w:rPr>
          <w:rFonts w:ascii="宋体" w:hAnsi="宋体" w:cs="宋体"/>
          <w:b/>
          <w:color w:val="auto"/>
          <w:sz w:val="36"/>
          <w:szCs w:val="36"/>
          <w:highlight w:val="none"/>
        </w:rPr>
      </w:pPr>
      <w:bookmarkStart w:id="401" w:name="第五部分"/>
      <w:bookmarkStart w:id="402" w:name="_Toc86217003"/>
      <w:r>
        <w:rPr>
          <w:rFonts w:ascii="宋体" w:hAnsi="宋体" w:cs="宋体"/>
          <w:b/>
          <w:color w:val="auto"/>
          <w:sz w:val="36"/>
          <w:szCs w:val="36"/>
          <w:highlight w:val="none"/>
        </w:rPr>
        <w:br w:type="page"/>
      </w:r>
    </w:p>
    <w:p w14:paraId="3CEA968D">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74DBCAED">
      <w:pPr>
        <w:spacing w:line="360" w:lineRule="auto"/>
        <w:ind w:firstLine="477" w:firstLineChars="198"/>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特别提示：以下为合同范本，仅供参考，不宜照搬。合同条款的具体内容应严格按照招标文件、投标文件、评标结果及中标人的承诺来拟订。</w:t>
      </w:r>
    </w:p>
    <w:p w14:paraId="37E7A026">
      <w:pPr>
        <w:pStyle w:val="33"/>
        <w:snapToGrid w:val="0"/>
        <w:spacing w:line="360" w:lineRule="auto"/>
        <w:ind w:left="2" w:leftChars="-85" w:hanging="180" w:hangingChars="75"/>
        <w:rPr>
          <w:rFonts w:hint="eastAsia" w:ascii="宋体" w:hAnsi="宋体" w:eastAsia="宋体" w:cs="宋体"/>
          <w:color w:val="000000"/>
          <w:sz w:val="24"/>
          <w:szCs w:val="24"/>
        </w:rPr>
      </w:pPr>
    </w:p>
    <w:p w14:paraId="1C126FD8">
      <w:pPr>
        <w:snapToGrid w:val="0"/>
        <w:spacing w:line="360" w:lineRule="auto"/>
        <w:rPr>
          <w:rFonts w:ascii="宋体"/>
          <w:color w:val="000000"/>
          <w:kern w:val="0"/>
          <w:sz w:val="24"/>
        </w:rPr>
      </w:pPr>
      <w:r>
        <w:rPr>
          <w:rFonts w:ascii="宋体" w:hAnsi="宋体"/>
          <w:color w:val="000000"/>
          <w:kern w:val="0"/>
          <w:sz w:val="24"/>
        </w:rPr>
        <w:t>委托方（以下简称甲方）：</w:t>
      </w:r>
    </w:p>
    <w:p w14:paraId="47125416">
      <w:pPr>
        <w:snapToGrid w:val="0"/>
        <w:spacing w:line="360" w:lineRule="auto"/>
        <w:rPr>
          <w:rFonts w:ascii="宋体"/>
          <w:color w:val="000000"/>
          <w:kern w:val="0"/>
          <w:sz w:val="24"/>
        </w:rPr>
      </w:pPr>
      <w:r>
        <w:rPr>
          <w:rFonts w:ascii="宋体" w:hAnsi="宋体"/>
          <w:color w:val="000000"/>
          <w:kern w:val="0"/>
          <w:sz w:val="24"/>
        </w:rPr>
        <w:t>受托方（以下简称乙方）：</w:t>
      </w:r>
    </w:p>
    <w:p w14:paraId="6C577B9C">
      <w:pPr>
        <w:snapToGrid w:val="0"/>
        <w:spacing w:line="360" w:lineRule="auto"/>
        <w:ind w:firstLine="480" w:firstLineChars="200"/>
        <w:rPr>
          <w:sz w:val="24"/>
        </w:rPr>
      </w:pPr>
    </w:p>
    <w:p w14:paraId="40C0E26B">
      <w:pPr>
        <w:snapToGrid w:val="0"/>
        <w:spacing w:line="360" w:lineRule="auto"/>
        <w:ind w:firstLine="480" w:firstLineChars="200"/>
        <w:rPr>
          <w:b/>
          <w:sz w:val="24"/>
        </w:rPr>
      </w:pPr>
      <w:r>
        <w:rPr>
          <w:sz w:val="24"/>
        </w:rPr>
        <w:t>根据《中华人民共和国政府采购法》和《中华人民共和国民法典》、地方有关法律、法规和政策，在平等、自愿、协商一致的基础上，就</w:t>
      </w:r>
      <w:r>
        <w:rPr>
          <w:rFonts w:hint="eastAsia"/>
          <w:sz w:val="24"/>
        </w:rPr>
        <w:t>甲方</w:t>
      </w:r>
      <w:r>
        <w:rPr>
          <w:sz w:val="24"/>
        </w:rPr>
        <w:t>委托</w:t>
      </w:r>
      <w:r>
        <w:rPr>
          <w:rFonts w:hint="eastAsia"/>
          <w:sz w:val="24"/>
        </w:rPr>
        <w:t>乙方</w:t>
      </w:r>
      <w:r>
        <w:rPr>
          <w:sz w:val="24"/>
        </w:rPr>
        <w:t>对</w:t>
      </w:r>
      <w:r>
        <w:rPr>
          <w:rFonts w:hint="eastAsia"/>
          <w:sz w:val="24"/>
        </w:rPr>
        <w:t>杭州市丁桥医院</w:t>
      </w:r>
      <w:r>
        <w:rPr>
          <w:rFonts w:hint="eastAsia" w:ascii="宋体" w:hAnsi="宋体" w:cs="宋体"/>
          <w:bCs/>
          <w:sz w:val="24"/>
        </w:rPr>
        <w:t>后勤技术保障部分服务采购项目</w:t>
      </w:r>
      <w:r>
        <w:rPr>
          <w:sz w:val="24"/>
        </w:rPr>
        <w:t>订立本合同。</w:t>
      </w:r>
    </w:p>
    <w:p w14:paraId="5BCDA00E">
      <w:pPr>
        <w:widowControl/>
        <w:spacing w:line="360" w:lineRule="auto"/>
        <w:ind w:firstLine="360" w:firstLineChars="150"/>
        <w:jc w:val="left"/>
        <w:rPr>
          <w:sz w:val="24"/>
        </w:rPr>
      </w:pPr>
      <w:bookmarkStart w:id="403" w:name="_Toc2406_WPSOffice_Level2"/>
      <w:bookmarkStart w:id="404" w:name="_Toc31350_WPSOffice_Level2"/>
      <w:bookmarkStart w:id="405" w:name="_Toc8454_WPSOffice_Level2"/>
      <w:r>
        <w:rPr>
          <w:sz w:val="24"/>
        </w:rPr>
        <w:t>一、服务内容</w:t>
      </w:r>
      <w:bookmarkEnd w:id="403"/>
      <w:bookmarkEnd w:id="404"/>
      <w:bookmarkEnd w:id="405"/>
      <w:bookmarkStart w:id="406" w:name="_Toc3907_WPSOffice_Level2"/>
      <w:bookmarkStart w:id="407" w:name="_Toc24643_WPSOffice_Level2"/>
      <w:bookmarkStart w:id="408" w:name="_Toc12811_WPSOffice_Level2"/>
    </w:p>
    <w:p w14:paraId="47756B00">
      <w:pPr>
        <w:spacing w:line="360" w:lineRule="auto"/>
        <w:ind w:firstLine="480" w:firstLineChars="200"/>
        <w:rPr>
          <w:sz w:val="24"/>
          <w:lang w:eastAsia="zh-Hans"/>
        </w:rPr>
      </w:pPr>
      <w:r>
        <w:rPr>
          <w:sz w:val="24"/>
        </w:rPr>
        <w:t>杭州市丁桥医院后勤技术保障部分服务采购项目</w:t>
      </w:r>
      <w:r>
        <w:rPr>
          <w:rFonts w:hint="eastAsia"/>
          <w:sz w:val="24"/>
          <w:lang w:val="en-US" w:eastAsia="zh-CN"/>
        </w:rPr>
        <w:t>主要涵盖</w:t>
      </w:r>
      <w:r>
        <w:rPr>
          <w:sz w:val="24"/>
        </w:rPr>
        <w:t>：</w:t>
      </w:r>
      <w:r>
        <w:rPr>
          <w:rFonts w:hint="eastAsia" w:ascii="宋体" w:hAnsi="宋体" w:cs="仿宋_GB2312"/>
          <w:sz w:val="24"/>
          <w:highlight w:val="none"/>
        </w:rPr>
        <w:t>综合运行维修保障服务、高压配电运行保障服务、中央空调热水锅炉和净化系统运行保障服务、医用气体和中央纯水系统运行保障服务、污水处理系统运行保障服务、</w:t>
      </w:r>
      <w:r>
        <w:rPr>
          <w:rFonts w:hint="eastAsia" w:ascii="宋体" w:hAnsi="宋体" w:cs="仿宋_GB2312"/>
          <w:sz w:val="24"/>
          <w:highlight w:val="none"/>
          <w:lang w:eastAsia="zh-CN"/>
        </w:rPr>
        <w:t>智慧后勤综合</w:t>
      </w:r>
      <w:r>
        <w:rPr>
          <w:rFonts w:hint="eastAsia" w:ascii="宋体" w:hAnsi="宋体" w:cs="仿宋_GB2312"/>
          <w:sz w:val="24"/>
          <w:highlight w:val="none"/>
        </w:rPr>
        <w:t>受理服务</w:t>
      </w:r>
      <w:r>
        <w:rPr>
          <w:rFonts w:hint="eastAsia" w:ascii="宋体" w:hAnsi="宋体" w:cs="仿宋_GB2312"/>
          <w:sz w:val="24"/>
          <w:highlight w:val="none"/>
          <w:lang w:eastAsia="zh-CN"/>
        </w:rPr>
        <w:t>、供应室器械清洗消毒保障服务、餐饮生产供应保障服务、</w:t>
      </w:r>
      <w:r>
        <w:rPr>
          <w:rFonts w:hint="eastAsia" w:ascii="宋体" w:hAnsi="宋体" w:eastAsia="宋体" w:cs="仿宋_GB2312"/>
          <w:sz w:val="24"/>
          <w:highlight w:val="none"/>
          <w:lang w:eastAsia="zh-CN"/>
        </w:rPr>
        <w:t>超声辅助服务、导医服务、停车收费服务</w:t>
      </w:r>
      <w:r>
        <w:rPr>
          <w:rFonts w:hint="eastAsia" w:ascii="宋体" w:hAnsi="宋体" w:cs="仿宋_GB2312"/>
          <w:sz w:val="24"/>
          <w:highlight w:val="none"/>
          <w:lang w:eastAsia="zh-CN"/>
        </w:rPr>
        <w:t>、</w:t>
      </w:r>
      <w:r>
        <w:rPr>
          <w:rFonts w:hint="eastAsia" w:ascii="宋体" w:hAnsi="宋体" w:cs="仿宋_GB2312"/>
          <w:sz w:val="24"/>
          <w:highlight w:val="none"/>
          <w:lang w:val="en-US" w:eastAsia="zh-CN"/>
        </w:rPr>
        <w:t>病案室窗口服务</w:t>
      </w:r>
      <w:r>
        <w:rPr>
          <w:rFonts w:hint="eastAsia" w:ascii="宋体" w:hAnsi="宋体" w:eastAsia="宋体" w:cs="仿宋_GB2312"/>
          <w:sz w:val="24"/>
          <w:highlight w:val="none"/>
          <w:lang w:eastAsia="zh-CN"/>
        </w:rPr>
        <w:t>共</w:t>
      </w:r>
      <w:r>
        <w:rPr>
          <w:rFonts w:hint="eastAsia" w:ascii="宋体" w:hAnsi="宋体" w:cs="仿宋_GB2312"/>
          <w:sz w:val="24"/>
          <w:highlight w:val="none"/>
        </w:rPr>
        <w:t>计</w:t>
      </w:r>
      <w:r>
        <w:rPr>
          <w:rFonts w:hint="eastAsia" w:ascii="宋体" w:hAnsi="宋体" w:cs="仿宋_GB2312"/>
          <w:sz w:val="24"/>
          <w:highlight w:val="none"/>
          <w:lang w:val="en-US" w:eastAsia="zh-CN"/>
        </w:rPr>
        <w:t>12项</w:t>
      </w:r>
      <w:r>
        <w:rPr>
          <w:rFonts w:hint="eastAsia" w:ascii="宋体" w:hAnsi="宋体" w:cs="仿宋_GB2312"/>
          <w:sz w:val="24"/>
          <w:highlight w:val="none"/>
        </w:rPr>
        <w:t>后勤技术保障服务</w:t>
      </w:r>
      <w:r>
        <w:rPr>
          <w:rFonts w:hint="eastAsia" w:ascii="宋体" w:hAnsi="宋体" w:cs="仿宋_GB2312"/>
          <w:sz w:val="24"/>
          <w:highlight w:val="none"/>
          <w:lang w:eastAsia="zh-CN"/>
        </w:rPr>
        <w:t>。</w:t>
      </w:r>
      <w:r>
        <w:rPr>
          <w:sz w:val="24"/>
        </w:rPr>
        <w:t>同时严格履行安全生产职责，全方位保障设备设施正常运行、餐饮生产供应有序、就医引导高效，为医院高效运转与患者优质就医体验提供坚实后盾。</w:t>
      </w:r>
      <w:r>
        <w:rPr>
          <w:rFonts w:hint="eastAsia"/>
          <w:sz w:val="24"/>
          <w:lang w:eastAsia="zh-Hans"/>
        </w:rPr>
        <w:t>详见采购需求</w:t>
      </w:r>
      <w:r>
        <w:rPr>
          <w:sz w:val="24"/>
          <w:lang w:eastAsia="zh-Hans"/>
        </w:rPr>
        <w:t>。</w:t>
      </w:r>
    </w:p>
    <w:p w14:paraId="68E79CEF">
      <w:pPr>
        <w:widowControl/>
        <w:spacing w:line="360" w:lineRule="auto"/>
        <w:ind w:firstLine="360" w:firstLineChars="150"/>
        <w:jc w:val="left"/>
        <w:rPr>
          <w:sz w:val="24"/>
        </w:rPr>
      </w:pPr>
      <w:r>
        <w:rPr>
          <w:sz w:val="24"/>
        </w:rPr>
        <w:t>二、合同金额</w:t>
      </w:r>
      <w:bookmarkEnd w:id="406"/>
      <w:bookmarkEnd w:id="407"/>
      <w:bookmarkEnd w:id="408"/>
    </w:p>
    <w:p w14:paraId="6126BAE1">
      <w:pPr>
        <w:snapToGrid w:val="0"/>
        <w:spacing w:line="360" w:lineRule="auto"/>
        <w:ind w:firstLine="480" w:firstLineChars="200"/>
        <w:rPr>
          <w:sz w:val="24"/>
          <w:lang w:eastAsia="zh-Hans"/>
        </w:rPr>
      </w:pPr>
      <w:bookmarkStart w:id="409" w:name="_Toc20002_WPSOffice_Level2"/>
      <w:bookmarkStart w:id="410" w:name="_Toc19327_WPSOffice_Level2"/>
      <w:bookmarkStart w:id="411" w:name="_Toc30045_WPSOffice_Level2"/>
      <w:r>
        <w:rPr>
          <w:sz w:val="24"/>
        </w:rPr>
        <w:t>合同</w:t>
      </w:r>
      <w:r>
        <w:rPr>
          <w:rFonts w:hint="eastAsia"/>
          <w:sz w:val="24"/>
        </w:rPr>
        <w:t>总金额</w:t>
      </w:r>
      <w:r>
        <w:rPr>
          <w:rFonts w:hint="eastAsia"/>
          <w:sz w:val="24"/>
          <w:lang w:eastAsia="zh-Hans"/>
        </w:rPr>
        <w:t>暂定为人民币</w:t>
      </w:r>
      <w:r>
        <w:rPr>
          <w:rFonts w:hint="eastAsia"/>
          <w:sz w:val="24"/>
        </w:rPr>
        <w:t>：</w:t>
      </w:r>
      <w:r>
        <w:rPr>
          <w:sz w:val="24"/>
        </w:rPr>
        <w:t>（￥</w:t>
      </w:r>
      <w:r>
        <w:rPr>
          <w:rFonts w:hint="eastAsia"/>
          <w:sz w:val="24"/>
        </w:rPr>
        <w:t>：</w:t>
      </w:r>
      <w:r>
        <w:rPr>
          <w:rFonts w:hint="eastAsia"/>
          <w:sz w:val="24"/>
          <w:u w:val="single"/>
        </w:rPr>
        <w:t xml:space="preserve"> </w:t>
      </w:r>
      <w:r>
        <w:rPr>
          <w:sz w:val="24"/>
          <w:u w:val="single"/>
        </w:rPr>
        <w:t xml:space="preserve">           </w:t>
      </w:r>
      <w:r>
        <w:rPr>
          <w:sz w:val="24"/>
        </w:rPr>
        <w:t>元，</w:t>
      </w:r>
      <w:r>
        <w:rPr>
          <w:rFonts w:hint="eastAsia"/>
          <w:sz w:val="24"/>
          <w:lang w:eastAsia="zh-Hans"/>
        </w:rPr>
        <w:t>为含税价格</w:t>
      </w:r>
      <w:r>
        <w:rPr>
          <w:sz w:val="24"/>
          <w:lang w:eastAsia="zh-Hans"/>
        </w:rPr>
        <w:t>）</w:t>
      </w:r>
      <w:r>
        <w:rPr>
          <w:sz w:val="24"/>
        </w:rPr>
        <w:t>，</w:t>
      </w:r>
      <w:r>
        <w:rPr>
          <w:rFonts w:hint="eastAsia"/>
          <w:sz w:val="24"/>
          <w:lang w:eastAsia="zh-Hans"/>
        </w:rPr>
        <w:t>最终依据本合同约定据实结算</w:t>
      </w:r>
      <w:r>
        <w:rPr>
          <w:sz w:val="24"/>
          <w:lang w:eastAsia="zh-Hans"/>
        </w:rPr>
        <w:t>，</w:t>
      </w:r>
      <w:r>
        <w:rPr>
          <w:rFonts w:hint="eastAsia"/>
          <w:sz w:val="24"/>
          <w:lang w:eastAsia="zh-Hans"/>
        </w:rPr>
        <w:t>但最高不超过本合同总金额</w:t>
      </w:r>
      <w:r>
        <w:rPr>
          <w:sz w:val="24"/>
        </w:rPr>
        <w:t>（￥</w:t>
      </w:r>
      <w:r>
        <w:rPr>
          <w:rFonts w:hint="eastAsia"/>
          <w:sz w:val="24"/>
        </w:rPr>
        <w:t>：</w:t>
      </w:r>
      <w:r>
        <w:rPr>
          <w:rFonts w:hint="eastAsia"/>
          <w:sz w:val="24"/>
          <w:u w:val="single"/>
        </w:rPr>
        <w:t xml:space="preserve"> </w:t>
      </w:r>
      <w:r>
        <w:rPr>
          <w:sz w:val="24"/>
          <w:u w:val="single"/>
        </w:rPr>
        <w:t xml:space="preserve">           </w:t>
      </w:r>
      <w:r>
        <w:rPr>
          <w:sz w:val="24"/>
        </w:rPr>
        <w:t>元</w:t>
      </w:r>
      <w:r>
        <w:rPr>
          <w:sz w:val="24"/>
          <w:lang w:eastAsia="zh-Hans"/>
        </w:rPr>
        <w:t>）。</w:t>
      </w:r>
    </w:p>
    <w:p w14:paraId="24F5B437">
      <w:pPr>
        <w:snapToGrid w:val="0"/>
        <w:spacing w:line="360" w:lineRule="auto"/>
        <w:ind w:firstLine="480" w:firstLineChars="200"/>
        <w:rPr>
          <w:sz w:val="24"/>
        </w:rPr>
      </w:pPr>
      <w:r>
        <w:rPr>
          <w:rFonts w:hint="eastAsia"/>
          <w:sz w:val="24"/>
          <w:lang w:eastAsia="zh-Hans"/>
        </w:rPr>
        <w:t>本合同总金额</w:t>
      </w:r>
      <w:r>
        <w:rPr>
          <w:color w:val="000000"/>
          <w:sz w:val="24"/>
        </w:rPr>
        <w:t>包括</w:t>
      </w:r>
      <w:r>
        <w:rPr>
          <w:rFonts w:hint="eastAsia"/>
          <w:color w:val="000000"/>
          <w:sz w:val="24"/>
          <w:lang w:eastAsia="zh-Hans"/>
        </w:rPr>
        <w:t>乙方</w:t>
      </w:r>
      <w:r>
        <w:rPr>
          <w:color w:val="000000"/>
          <w:sz w:val="24"/>
        </w:rPr>
        <w:t>完成本次服务全部工作所需的一切费用，此报价</w:t>
      </w:r>
      <w:r>
        <w:rPr>
          <w:color w:val="000000"/>
          <w:kern w:val="0"/>
          <w:sz w:val="24"/>
        </w:rPr>
        <w:t>包括但不限于人工成本（人员工资、奖金、社保、各种加班费等）、员工住宿费、保险费、体检费、服装费、管理费、利润、</w:t>
      </w:r>
      <w:r>
        <w:rPr>
          <w:b/>
          <w:sz w:val="24"/>
        </w:rPr>
        <w:t>年社保费（含五险一金）、</w:t>
      </w:r>
      <w:r>
        <w:rPr>
          <w:b/>
          <w:bCs/>
          <w:snapToGrid w:val="0"/>
          <w:color w:val="000000"/>
          <w:kern w:val="0"/>
          <w:sz w:val="24"/>
        </w:rPr>
        <w:t>税金（包含须由</w:t>
      </w:r>
      <w:r>
        <w:rPr>
          <w:rFonts w:hint="eastAsia"/>
          <w:b/>
          <w:bCs/>
          <w:snapToGrid w:val="0"/>
          <w:color w:val="000000"/>
          <w:kern w:val="0"/>
          <w:sz w:val="24"/>
          <w:lang w:eastAsia="zh-Hans"/>
        </w:rPr>
        <w:t>乙方</w:t>
      </w:r>
      <w:r>
        <w:rPr>
          <w:b/>
          <w:bCs/>
          <w:snapToGrid w:val="0"/>
          <w:color w:val="000000"/>
          <w:kern w:val="0"/>
          <w:sz w:val="24"/>
        </w:rPr>
        <w:t>承担的各种税费）、其它需</w:t>
      </w:r>
      <w:r>
        <w:rPr>
          <w:rFonts w:hint="eastAsia"/>
          <w:b/>
          <w:bCs/>
          <w:snapToGrid w:val="0"/>
          <w:color w:val="000000"/>
          <w:kern w:val="0"/>
          <w:sz w:val="24"/>
          <w:lang w:eastAsia="zh-Hans"/>
        </w:rPr>
        <w:t>乙方</w:t>
      </w:r>
      <w:r>
        <w:rPr>
          <w:b/>
          <w:bCs/>
          <w:snapToGrid w:val="0"/>
          <w:color w:val="000000"/>
          <w:kern w:val="0"/>
          <w:sz w:val="24"/>
        </w:rPr>
        <w:t>承担的</w:t>
      </w:r>
      <w:r>
        <w:rPr>
          <w:b/>
          <w:bCs/>
          <w:snapToGrid w:val="0"/>
          <w:kern w:val="0"/>
          <w:sz w:val="24"/>
        </w:rPr>
        <w:t>费用及潜在可能涉及的一切费用</w:t>
      </w:r>
      <w:r>
        <w:rPr>
          <w:b/>
          <w:sz w:val="24"/>
        </w:rPr>
        <w:t>。</w:t>
      </w:r>
      <w:r>
        <w:rPr>
          <w:sz w:val="24"/>
          <w:u w:val="single"/>
        </w:rPr>
        <w:t>如遇国家相关用工政策调整</w:t>
      </w:r>
      <w:r>
        <w:rPr>
          <w:rFonts w:hint="eastAsia"/>
          <w:sz w:val="24"/>
          <w:u w:val="single"/>
          <w:lang w:eastAsia="zh-CN"/>
        </w:rPr>
        <w:t>（社保基数、最低工资标准等），</w:t>
      </w:r>
      <w:r>
        <w:rPr>
          <w:sz w:val="24"/>
          <w:u w:val="single"/>
        </w:rPr>
        <w:t>则双方协商后予以相应调整。</w:t>
      </w:r>
    </w:p>
    <w:p w14:paraId="66DC0D88">
      <w:pPr>
        <w:widowControl/>
        <w:spacing w:line="360" w:lineRule="auto"/>
        <w:ind w:left="-134" w:leftChars="-64" w:firstLine="480" w:firstLineChars="200"/>
        <w:jc w:val="left"/>
        <w:rPr>
          <w:sz w:val="24"/>
        </w:rPr>
      </w:pPr>
      <w:r>
        <w:rPr>
          <w:sz w:val="24"/>
        </w:rPr>
        <w:t>三、</w:t>
      </w:r>
      <w:bookmarkEnd w:id="409"/>
      <w:bookmarkEnd w:id="410"/>
      <w:bookmarkEnd w:id="411"/>
      <w:r>
        <w:rPr>
          <w:sz w:val="24"/>
        </w:rPr>
        <w:t>服务期限</w:t>
      </w:r>
    </w:p>
    <w:p w14:paraId="4E1A1412">
      <w:pPr>
        <w:spacing w:line="360" w:lineRule="auto"/>
        <w:ind w:firstLine="480" w:firstLineChars="200"/>
        <w:rPr>
          <w:sz w:val="24"/>
        </w:rPr>
      </w:pPr>
      <w:bookmarkStart w:id="412" w:name="_Toc6657_WPSOffice_Level2"/>
      <w:bookmarkStart w:id="413" w:name="_Toc9309_WPSOffice_Level2"/>
      <w:bookmarkStart w:id="414" w:name="_Toc32635_WPSOffice_Level2"/>
      <w:r>
        <w:rPr>
          <w:rFonts w:hint="eastAsia"/>
          <w:snapToGrid w:val="0"/>
          <w:color w:val="000000"/>
          <w:kern w:val="0"/>
          <w:sz w:val="24"/>
          <w:lang w:val="en-US" w:eastAsia="zh-CN"/>
        </w:rPr>
        <w:t>本合同</w:t>
      </w:r>
      <w:r>
        <w:rPr>
          <w:rFonts w:hint="eastAsia"/>
          <w:snapToGrid w:val="0"/>
          <w:color w:val="000000"/>
          <w:kern w:val="0"/>
          <w:sz w:val="24"/>
        </w:rPr>
        <w:t>服务期限自</w:t>
      </w:r>
      <w:r>
        <w:rPr>
          <w:rFonts w:hint="eastAsia"/>
          <w:snapToGrid w:val="0"/>
          <w:color w:val="000000"/>
          <w:kern w:val="0"/>
          <w:sz w:val="24"/>
          <w:u w:val="single"/>
          <w:lang w:val="en-US" w:eastAsia="zh-CN"/>
        </w:rPr>
        <w:t xml:space="preserve">    </w:t>
      </w:r>
      <w:r>
        <w:rPr>
          <w:rFonts w:hint="eastAsia"/>
          <w:snapToGrid w:val="0"/>
          <w:color w:val="000000"/>
          <w:kern w:val="0"/>
          <w:sz w:val="24"/>
        </w:rPr>
        <w:t>年</w:t>
      </w:r>
      <w:r>
        <w:rPr>
          <w:rFonts w:hint="eastAsia"/>
          <w:snapToGrid w:val="0"/>
          <w:color w:val="000000"/>
          <w:kern w:val="0"/>
          <w:sz w:val="24"/>
          <w:u w:val="single"/>
          <w:lang w:val="en-US" w:eastAsia="zh-CN"/>
        </w:rPr>
        <w:t xml:space="preserve">    </w:t>
      </w:r>
      <w:r>
        <w:rPr>
          <w:rFonts w:hint="eastAsia"/>
          <w:snapToGrid w:val="0"/>
          <w:color w:val="000000"/>
          <w:kern w:val="0"/>
          <w:sz w:val="24"/>
        </w:rPr>
        <w:t>月</w:t>
      </w:r>
      <w:r>
        <w:rPr>
          <w:rFonts w:hint="eastAsia"/>
          <w:snapToGrid w:val="0"/>
          <w:color w:val="000000"/>
          <w:kern w:val="0"/>
          <w:sz w:val="24"/>
          <w:u w:val="single"/>
          <w:lang w:val="en-US" w:eastAsia="zh-CN"/>
        </w:rPr>
        <w:t xml:space="preserve">    </w:t>
      </w:r>
      <w:r>
        <w:rPr>
          <w:rFonts w:hint="eastAsia"/>
          <w:snapToGrid w:val="0"/>
          <w:color w:val="000000"/>
          <w:kern w:val="0"/>
          <w:sz w:val="24"/>
        </w:rPr>
        <w:t>日—</w:t>
      </w:r>
      <w:r>
        <w:rPr>
          <w:rFonts w:hint="eastAsia"/>
          <w:snapToGrid w:val="0"/>
          <w:color w:val="000000"/>
          <w:kern w:val="0"/>
          <w:sz w:val="24"/>
          <w:u w:val="single"/>
          <w:lang w:val="en-US" w:eastAsia="zh-CN"/>
        </w:rPr>
        <w:t xml:space="preserve">    </w:t>
      </w:r>
      <w:r>
        <w:rPr>
          <w:rFonts w:hint="eastAsia"/>
          <w:snapToGrid w:val="0"/>
          <w:color w:val="000000"/>
          <w:kern w:val="0"/>
          <w:sz w:val="24"/>
        </w:rPr>
        <w:t>年</w:t>
      </w:r>
      <w:r>
        <w:rPr>
          <w:rFonts w:hint="eastAsia"/>
          <w:snapToGrid w:val="0"/>
          <w:color w:val="000000"/>
          <w:kern w:val="0"/>
          <w:sz w:val="24"/>
          <w:u w:val="single"/>
          <w:lang w:val="en-US" w:eastAsia="zh-CN"/>
        </w:rPr>
        <w:t xml:space="preserve">    </w:t>
      </w:r>
      <w:r>
        <w:rPr>
          <w:rFonts w:hint="eastAsia"/>
          <w:snapToGrid w:val="0"/>
          <w:color w:val="000000"/>
          <w:kern w:val="0"/>
          <w:sz w:val="24"/>
        </w:rPr>
        <w:t>月</w:t>
      </w:r>
      <w:r>
        <w:rPr>
          <w:rFonts w:hint="eastAsia"/>
          <w:snapToGrid w:val="0"/>
          <w:color w:val="000000"/>
          <w:kern w:val="0"/>
          <w:sz w:val="24"/>
          <w:u w:val="single"/>
          <w:lang w:val="en-US" w:eastAsia="zh-CN"/>
        </w:rPr>
        <w:t xml:space="preserve">    </w:t>
      </w:r>
      <w:r>
        <w:rPr>
          <w:rFonts w:hint="eastAsia"/>
          <w:snapToGrid w:val="0"/>
          <w:color w:val="000000"/>
          <w:kern w:val="0"/>
          <w:sz w:val="24"/>
        </w:rPr>
        <w:t>日。</w:t>
      </w:r>
      <w:r>
        <w:rPr>
          <w:sz w:val="24"/>
        </w:rPr>
        <w:t>合同</w:t>
      </w:r>
      <w:r>
        <w:rPr>
          <w:rFonts w:hint="eastAsia"/>
          <w:sz w:val="24"/>
          <w:lang w:val="en-US" w:eastAsia="zh-CN"/>
        </w:rPr>
        <w:t>服务</w:t>
      </w:r>
      <w:r>
        <w:rPr>
          <w:sz w:val="24"/>
        </w:rPr>
        <w:t>期</w:t>
      </w:r>
      <w:r>
        <w:rPr>
          <w:rFonts w:hint="eastAsia"/>
          <w:sz w:val="24"/>
          <w:lang w:val="en-US" w:eastAsia="zh-CN"/>
        </w:rPr>
        <w:t>限</w:t>
      </w:r>
      <w:r>
        <w:rPr>
          <w:sz w:val="24"/>
        </w:rPr>
        <w:t>内，</w:t>
      </w:r>
      <w:r>
        <w:rPr>
          <w:rFonts w:hint="eastAsia"/>
          <w:sz w:val="24"/>
          <w:lang w:val="en-US" w:eastAsia="zh-CN"/>
        </w:rPr>
        <w:t>乙方</w:t>
      </w:r>
      <w:r>
        <w:rPr>
          <w:sz w:val="24"/>
        </w:rPr>
        <w:t>能严格履行合同，通过</w:t>
      </w:r>
      <w:r>
        <w:rPr>
          <w:rFonts w:hint="eastAsia"/>
          <w:sz w:val="24"/>
          <w:lang w:val="en-US" w:eastAsia="zh-CN"/>
        </w:rPr>
        <w:t>甲方</w:t>
      </w:r>
      <w:r>
        <w:rPr>
          <w:sz w:val="24"/>
        </w:rPr>
        <w:t>的考核，绩效评价好、服务对象满意度高，</w:t>
      </w:r>
      <w:r>
        <w:rPr>
          <w:rFonts w:hint="eastAsia"/>
          <w:sz w:val="24"/>
          <w:lang w:eastAsia="zh-Hans"/>
        </w:rPr>
        <w:t>甲方</w:t>
      </w:r>
      <w:r>
        <w:rPr>
          <w:sz w:val="24"/>
        </w:rPr>
        <w:t>报经批准同意可以</w:t>
      </w:r>
      <w:r>
        <w:rPr>
          <w:rFonts w:hint="eastAsia"/>
          <w:sz w:val="24"/>
          <w:lang w:val="en-US" w:eastAsia="zh-CN"/>
        </w:rPr>
        <w:t>续签一年</w:t>
      </w:r>
      <w:r>
        <w:rPr>
          <w:rFonts w:hint="eastAsia"/>
          <w:sz w:val="24"/>
          <w:lang w:eastAsia="zh-CN"/>
        </w:rPr>
        <w:t>，</w:t>
      </w:r>
      <w:r>
        <w:rPr>
          <w:rFonts w:hint="eastAsia"/>
          <w:sz w:val="24"/>
          <w:lang w:val="en-US" w:eastAsia="zh-CN"/>
        </w:rPr>
        <w:t>但一共不超过两年</w:t>
      </w:r>
      <w:r>
        <w:rPr>
          <w:rFonts w:hint="eastAsia"/>
          <w:sz w:val="24"/>
        </w:rPr>
        <w:t>。</w:t>
      </w:r>
    </w:p>
    <w:p w14:paraId="348D5A13">
      <w:pPr>
        <w:spacing w:line="360" w:lineRule="auto"/>
        <w:ind w:firstLine="480" w:firstLineChars="200"/>
        <w:rPr>
          <w:sz w:val="24"/>
        </w:rPr>
      </w:pPr>
      <w:r>
        <w:rPr>
          <w:sz w:val="24"/>
        </w:rPr>
        <w:t>四、双方的权利与义务</w:t>
      </w:r>
    </w:p>
    <w:p w14:paraId="579974A9">
      <w:pPr>
        <w:spacing w:line="360" w:lineRule="auto"/>
        <w:ind w:firstLine="480" w:firstLineChars="200"/>
        <w:rPr>
          <w:sz w:val="24"/>
        </w:rPr>
      </w:pPr>
      <w:r>
        <w:rPr>
          <w:sz w:val="24"/>
        </w:rPr>
        <w:t>1、甲方权利与义务</w:t>
      </w:r>
    </w:p>
    <w:p w14:paraId="49FF9B92">
      <w:pPr>
        <w:spacing w:line="360" w:lineRule="auto"/>
        <w:ind w:firstLine="480" w:firstLineChars="200"/>
        <w:rPr>
          <w:rFonts w:ascii="宋体" w:hAnsi="宋体" w:cs="宋体"/>
          <w:sz w:val="24"/>
          <w:highlight w:val="none"/>
        </w:rPr>
      </w:pPr>
      <w:r>
        <w:rPr>
          <w:sz w:val="24"/>
        </w:rPr>
        <w:t>1）</w:t>
      </w:r>
      <w:r>
        <w:rPr>
          <w:sz w:val="24"/>
          <w:highlight w:val="none"/>
        </w:rPr>
        <w:t>甲方有权按医院奖惩管理办法考核乙方派驻人员</w:t>
      </w:r>
      <w:r>
        <w:rPr>
          <w:rFonts w:hint="eastAsia"/>
          <w:sz w:val="24"/>
          <w:highlight w:val="none"/>
          <w:lang w:val="en-US" w:eastAsia="zh-CN"/>
        </w:rPr>
        <w:t>，</w:t>
      </w:r>
      <w:r>
        <w:rPr>
          <w:sz w:val="24"/>
          <w:highlight w:val="none"/>
        </w:rPr>
        <w:t>对于不符合</w:t>
      </w:r>
      <w:r>
        <w:rPr>
          <w:rFonts w:hint="eastAsia"/>
          <w:sz w:val="24"/>
          <w:highlight w:val="none"/>
          <w:lang w:val="en-US" w:eastAsia="zh-CN"/>
        </w:rPr>
        <w:t>要求</w:t>
      </w:r>
      <w:r>
        <w:rPr>
          <w:sz w:val="24"/>
          <w:highlight w:val="none"/>
        </w:rPr>
        <w:t>的人员有权要求解除合同或退还乙方</w:t>
      </w:r>
      <w:r>
        <w:rPr>
          <w:rFonts w:hint="eastAsia"/>
          <w:sz w:val="24"/>
          <w:highlight w:val="none"/>
          <w:lang w:eastAsia="zh-Hans"/>
        </w:rPr>
        <w:t>并更换</w:t>
      </w:r>
      <w:r>
        <w:rPr>
          <w:rFonts w:hint="eastAsia"/>
          <w:sz w:val="24"/>
          <w:highlight w:val="none"/>
        </w:rPr>
        <w:t>。</w:t>
      </w:r>
      <w:r>
        <w:rPr>
          <w:sz w:val="24"/>
          <w:highlight w:val="none"/>
        </w:rPr>
        <w:t>若在合同履行期限内，因甲方提出退换要求的乙方驻点人员累计达3人次及以上，</w:t>
      </w:r>
      <w:r>
        <w:rPr>
          <w:rFonts w:hint="eastAsia"/>
          <w:sz w:val="24"/>
          <w:highlight w:val="none"/>
          <w:lang w:val="en-US" w:eastAsia="zh-CN"/>
        </w:rPr>
        <w:t>甲方</w:t>
      </w:r>
      <w:r>
        <w:rPr>
          <w:rFonts w:hint="eastAsia"/>
          <w:sz w:val="24"/>
          <w:highlight w:val="none"/>
        </w:rPr>
        <w:t>有权终止合同并主张违约责任</w:t>
      </w:r>
      <w:r>
        <w:rPr>
          <w:rFonts w:hint="eastAsia" w:ascii="宋体" w:hAnsi="宋体" w:cs="宋体"/>
          <w:sz w:val="24"/>
          <w:highlight w:val="none"/>
        </w:rPr>
        <w:t>的索赔。</w:t>
      </w:r>
    </w:p>
    <w:p w14:paraId="632DBB15">
      <w:pPr>
        <w:spacing w:line="360" w:lineRule="auto"/>
        <w:ind w:firstLine="480" w:firstLineChars="200"/>
        <w:rPr>
          <w:sz w:val="24"/>
        </w:rPr>
      </w:pPr>
      <w:r>
        <w:rPr>
          <w:sz w:val="24"/>
        </w:rPr>
        <w:t>2）甲方督促乙方负责招募各岗位人员，并要求乙方加强业务指导和日常的管理</w:t>
      </w:r>
      <w:r>
        <w:rPr>
          <w:rFonts w:hint="eastAsia"/>
          <w:sz w:val="24"/>
        </w:rPr>
        <w:t>，</w:t>
      </w:r>
      <w:r>
        <w:rPr>
          <w:sz w:val="24"/>
        </w:rPr>
        <w:t>指导乙方做好各岗位人员的教育培训工作，积极采纳乙方提出的合理化意见和建议。</w:t>
      </w:r>
    </w:p>
    <w:p w14:paraId="4F634936">
      <w:pPr>
        <w:spacing w:line="360" w:lineRule="auto"/>
        <w:ind w:firstLine="480" w:firstLineChars="200"/>
        <w:rPr>
          <w:sz w:val="24"/>
        </w:rPr>
      </w:pPr>
      <w:r>
        <w:rPr>
          <w:rFonts w:hint="eastAsia"/>
          <w:sz w:val="24"/>
        </w:rPr>
        <w:t>3）</w:t>
      </w:r>
      <w:r>
        <w:rPr>
          <w:sz w:val="24"/>
        </w:rPr>
        <w:t>甲方有权监督乙方的用工及薪资发放情况，但不承担因乙方用工、薪资发放问题而产生的责任</w:t>
      </w:r>
      <w:r>
        <w:rPr>
          <w:rFonts w:hint="eastAsia"/>
          <w:sz w:val="24"/>
        </w:rPr>
        <w:t>。</w:t>
      </w:r>
    </w:p>
    <w:p w14:paraId="2E1D2531">
      <w:pPr>
        <w:spacing w:line="360" w:lineRule="auto"/>
        <w:ind w:firstLine="480" w:firstLineChars="200"/>
        <w:rPr>
          <w:sz w:val="24"/>
        </w:rPr>
      </w:pPr>
      <w:r>
        <w:rPr>
          <w:sz w:val="24"/>
        </w:rPr>
        <w:t>2、乙方权利与义务</w:t>
      </w:r>
    </w:p>
    <w:p w14:paraId="60149649">
      <w:pPr>
        <w:spacing w:line="360" w:lineRule="auto"/>
        <w:ind w:firstLine="480" w:firstLineChars="200"/>
        <w:rPr>
          <w:sz w:val="24"/>
        </w:rPr>
      </w:pPr>
      <w:r>
        <w:rPr>
          <w:sz w:val="24"/>
        </w:rPr>
        <w:t>1）根据协议约定向甲方收取报酬。</w:t>
      </w:r>
    </w:p>
    <w:p w14:paraId="7FC7017E">
      <w:pPr>
        <w:spacing w:line="360" w:lineRule="auto"/>
        <w:ind w:firstLine="480" w:firstLineChars="200"/>
        <w:rPr>
          <w:sz w:val="24"/>
        </w:rPr>
      </w:pPr>
      <w:r>
        <w:rPr>
          <w:sz w:val="24"/>
        </w:rPr>
        <w:t>2）乙方需落实</w:t>
      </w:r>
      <w:r>
        <w:rPr>
          <w:rFonts w:hint="eastAsia"/>
          <w:sz w:val="24"/>
        </w:rPr>
        <w:t>甲方</w:t>
      </w:r>
      <w:r>
        <w:rPr>
          <w:sz w:val="24"/>
        </w:rPr>
        <w:t>所需人员按时提供，并加强业务指导和日常的管理、做好教育培训工作。</w:t>
      </w:r>
      <w:r>
        <w:rPr>
          <w:rFonts w:hint="eastAsia"/>
          <w:sz w:val="24"/>
        </w:rPr>
        <w:t>本项目乙方项目负责人</w:t>
      </w:r>
      <w:r>
        <w:rPr>
          <w:rFonts w:hint="eastAsia"/>
          <w:sz w:val="24"/>
          <w:lang w:eastAsia="zh-Hans"/>
        </w:rPr>
        <w:t>（姓名</w:t>
      </w:r>
      <w:r>
        <w:rPr>
          <w:rFonts w:hint="eastAsia"/>
          <w:sz w:val="24"/>
        </w:rPr>
        <w:t>：______________；联系方式：____________，</w:t>
      </w:r>
      <w:r>
        <w:rPr>
          <w:sz w:val="24"/>
        </w:rPr>
        <w:t>全权代表乙方与甲方</w:t>
      </w:r>
      <w:r>
        <w:rPr>
          <w:color w:val="000000"/>
          <w:sz w:val="24"/>
        </w:rPr>
        <w:t>在服务期内进行工作对接和安排，服务</w:t>
      </w:r>
      <w:r>
        <w:rPr>
          <w:rFonts w:hint="eastAsia"/>
          <w:color w:val="000000"/>
          <w:sz w:val="24"/>
        </w:rPr>
        <w:t>期</w:t>
      </w:r>
      <w:r>
        <w:rPr>
          <w:color w:val="000000"/>
          <w:sz w:val="24"/>
        </w:rPr>
        <w:t>内投标人不得</w:t>
      </w:r>
      <w:r>
        <w:rPr>
          <w:rFonts w:hint="eastAsia"/>
          <w:color w:val="000000"/>
          <w:sz w:val="24"/>
        </w:rPr>
        <w:t>主动</w:t>
      </w:r>
      <w:r>
        <w:rPr>
          <w:color w:val="000000"/>
          <w:sz w:val="24"/>
        </w:rPr>
        <w:t>更换项目负责人</w:t>
      </w:r>
      <w:r>
        <w:rPr>
          <w:sz w:val="24"/>
        </w:rPr>
        <w:t>。根据综合考评或工作情况，甲方有权要求乙方在一个星期内更换</w:t>
      </w:r>
      <w:r>
        <w:rPr>
          <w:rFonts w:hint="eastAsia"/>
          <w:sz w:val="24"/>
          <w:lang w:eastAsia="zh-Hans"/>
        </w:rPr>
        <w:t>不得低于原相应人员资质的</w:t>
      </w:r>
      <w:r>
        <w:rPr>
          <w:sz w:val="24"/>
        </w:rPr>
        <w:t>项目负责人、相关骨干人员。</w:t>
      </w:r>
    </w:p>
    <w:p w14:paraId="27A3FD7D">
      <w:pPr>
        <w:spacing w:line="360" w:lineRule="auto"/>
        <w:ind w:firstLine="480" w:firstLineChars="200"/>
        <w:rPr>
          <w:sz w:val="24"/>
        </w:rPr>
      </w:pPr>
      <w:r>
        <w:rPr>
          <w:sz w:val="24"/>
        </w:rPr>
        <w:t>3）乙方应与提供服务的每个岗位工作人员签订合法的劳动</w:t>
      </w:r>
      <w:r>
        <w:rPr>
          <w:rFonts w:hint="eastAsia"/>
          <w:sz w:val="24"/>
          <w:lang w:eastAsia="zh-Hans"/>
        </w:rPr>
        <w:t>合同</w:t>
      </w:r>
      <w:r>
        <w:rPr>
          <w:sz w:val="24"/>
        </w:rPr>
        <w:t>。乙方独立负责招录聘用、管理、考核及劳务管理（包括工伤、投诉、纠纷等事项），乙方</w:t>
      </w:r>
      <w:r>
        <w:rPr>
          <w:rFonts w:hint="eastAsia"/>
          <w:sz w:val="24"/>
          <w:lang w:val="en-US" w:eastAsia="zh-CN"/>
        </w:rPr>
        <w:t>提供服务</w:t>
      </w:r>
      <w:r>
        <w:rPr>
          <w:sz w:val="24"/>
        </w:rPr>
        <w:t>的人员应经甲方面试及审核通过才可使用</w:t>
      </w:r>
      <w:r>
        <w:rPr>
          <w:rFonts w:hint="eastAsia"/>
          <w:sz w:val="24"/>
        </w:rPr>
        <w:t>，人员的辞退及替换也须经甲方的同意认可。</w:t>
      </w:r>
      <w:r>
        <w:rPr>
          <w:sz w:val="24"/>
        </w:rPr>
        <w:t>乙方所有人员仅与乙方建立劳动合同关系，</w:t>
      </w:r>
      <w:r>
        <w:rPr>
          <w:rFonts w:hint="eastAsia"/>
          <w:sz w:val="24"/>
          <w:lang w:val="en-US" w:eastAsia="zh-CN"/>
        </w:rPr>
        <w:t>与甲方不成立劳动关系，</w:t>
      </w:r>
      <w:r>
        <w:rPr>
          <w:sz w:val="24"/>
        </w:rPr>
        <w:t>且所有人员使用须符合</w:t>
      </w:r>
      <w:r>
        <w:rPr>
          <w:rFonts w:hint="eastAsia"/>
          <w:sz w:val="24"/>
          <w:lang w:eastAsia="zh-Hans"/>
        </w:rPr>
        <w:t>《劳动法》</w:t>
      </w:r>
      <w:r>
        <w:rPr>
          <w:sz w:val="24"/>
        </w:rPr>
        <w:t>《劳动合同法》</w:t>
      </w:r>
      <w:r>
        <w:rPr>
          <w:rFonts w:hint="eastAsia"/>
          <w:sz w:val="24"/>
          <w:lang w:eastAsia="zh-Hans"/>
        </w:rPr>
        <w:t>等相关法律法规和司法解释</w:t>
      </w:r>
      <w:r>
        <w:rPr>
          <w:sz w:val="24"/>
        </w:rPr>
        <w:t>的有关规定。乙方人员发生任何事故或与乙方发生劳动争议均由乙方自行全权负责，相关费用乙方自行承担，以保证甲方在乙方人员索赔时不受任何责任的约束。</w:t>
      </w:r>
    </w:p>
    <w:p w14:paraId="026F1C42">
      <w:pPr>
        <w:spacing w:line="360" w:lineRule="auto"/>
        <w:ind w:firstLine="480" w:firstLineChars="200"/>
        <w:jc w:val="left"/>
        <w:rPr>
          <w:rFonts w:ascii="宋体" w:hAnsi="宋体"/>
          <w:sz w:val="24"/>
          <w:u w:val="single"/>
        </w:rPr>
      </w:pPr>
      <w:r>
        <w:rPr>
          <w:sz w:val="24"/>
        </w:rPr>
        <w:t>4）乙方</w:t>
      </w:r>
      <w:r>
        <w:rPr>
          <w:rFonts w:hint="eastAsia"/>
          <w:sz w:val="24"/>
        </w:rPr>
        <w:t>按照国家相关政策规定</w:t>
      </w:r>
      <w:r>
        <w:rPr>
          <w:sz w:val="24"/>
        </w:rPr>
        <w:t>如实全额支付上述岗位人员的工资、奖金与各种福利待遇，并缴纳社会保险及公积金</w:t>
      </w:r>
      <w:r>
        <w:rPr>
          <w:rFonts w:hint="eastAsia"/>
          <w:sz w:val="24"/>
        </w:rPr>
        <w:t>（五险一金）</w:t>
      </w:r>
      <w:r>
        <w:rPr>
          <w:sz w:val="24"/>
        </w:rPr>
        <w:t>，于</w:t>
      </w:r>
      <w:r>
        <w:rPr>
          <w:rFonts w:hint="eastAsia"/>
          <w:sz w:val="24"/>
        </w:rPr>
        <w:t>次月</w:t>
      </w:r>
      <w:r>
        <w:rPr>
          <w:sz w:val="24"/>
        </w:rPr>
        <w:t>发放前一月人员月薪。</w:t>
      </w:r>
      <w:r>
        <w:rPr>
          <w:rFonts w:ascii="宋体" w:hAnsi="宋体"/>
          <w:sz w:val="24"/>
          <w:u w:val="single"/>
        </w:rPr>
        <w:t>如遇国家相关用工政策调整</w:t>
      </w:r>
      <w:r>
        <w:rPr>
          <w:rFonts w:hint="eastAsia" w:ascii="宋体" w:hAnsi="宋体"/>
          <w:sz w:val="24"/>
          <w:u w:val="single"/>
          <w:lang w:eastAsia="zh-CN"/>
        </w:rPr>
        <w:t>，</w:t>
      </w:r>
      <w:r>
        <w:rPr>
          <w:rFonts w:ascii="宋体" w:hAnsi="宋体"/>
          <w:sz w:val="24"/>
          <w:u w:val="single"/>
        </w:rPr>
        <w:t>则双方协商后予以相应调整。</w:t>
      </w:r>
    </w:p>
    <w:p w14:paraId="4238B3C1">
      <w:pPr>
        <w:spacing w:line="360" w:lineRule="auto"/>
        <w:ind w:firstLine="480" w:firstLineChars="200"/>
        <w:rPr>
          <w:sz w:val="24"/>
        </w:rPr>
      </w:pPr>
      <w:r>
        <w:rPr>
          <w:rFonts w:hint="eastAsia"/>
          <w:sz w:val="24"/>
        </w:rPr>
        <w:t>5</w:t>
      </w:r>
      <w:r>
        <w:rPr>
          <w:sz w:val="24"/>
        </w:rPr>
        <w:t>）乙方负责做好各岗位人员针对甲方服务要求及管理制度的岗前、岗中等教育培训工作，经培训合格后方可上岗。乙方聘用的工作人员必须符合劳动部门有关用工规定，并经乙方相关专业考核合格后持证上岗，甲方有权进行审核，该类费用开支由乙方负担。</w:t>
      </w:r>
    </w:p>
    <w:p w14:paraId="3719F83D">
      <w:pPr>
        <w:spacing w:line="360" w:lineRule="auto"/>
        <w:ind w:firstLine="480" w:firstLineChars="200"/>
        <w:rPr>
          <w:sz w:val="24"/>
        </w:rPr>
      </w:pPr>
      <w:r>
        <w:rPr>
          <w:rFonts w:hint="eastAsia"/>
          <w:sz w:val="24"/>
        </w:rPr>
        <w:t>6</w:t>
      </w:r>
      <w:r>
        <w:rPr>
          <w:sz w:val="24"/>
        </w:rPr>
        <w:t>）乙方提供的各岗位人员，须服从甲方内部的各项管理和考核、考勤制度，执行甲方的工作要求。</w:t>
      </w:r>
    </w:p>
    <w:p w14:paraId="7811AF6F">
      <w:pPr>
        <w:spacing w:line="360" w:lineRule="auto"/>
        <w:ind w:firstLine="480" w:firstLineChars="200"/>
        <w:rPr>
          <w:sz w:val="24"/>
        </w:rPr>
      </w:pPr>
      <w:r>
        <w:rPr>
          <w:rFonts w:hint="eastAsia"/>
          <w:sz w:val="24"/>
        </w:rPr>
        <w:t>7</w:t>
      </w:r>
      <w:r>
        <w:rPr>
          <w:sz w:val="24"/>
        </w:rPr>
        <w:t>）乙方需按</w:t>
      </w:r>
      <w:r>
        <w:rPr>
          <w:rFonts w:hint="eastAsia"/>
          <w:sz w:val="24"/>
        </w:rPr>
        <w:t>甲方</w:t>
      </w:r>
      <w:r>
        <w:rPr>
          <w:sz w:val="24"/>
        </w:rPr>
        <w:t>要求提供合适的岗位人员，对不适合或甲方提出要求更换的人员，乙方须及时进行处理和调换。</w:t>
      </w:r>
    </w:p>
    <w:p w14:paraId="7A85FCEA">
      <w:pPr>
        <w:spacing w:line="360" w:lineRule="auto"/>
        <w:ind w:firstLine="480" w:firstLineChars="200"/>
        <w:rPr>
          <w:rFonts w:ascii="宋体" w:hAnsi="宋体" w:cs="宋体"/>
          <w:sz w:val="24"/>
        </w:rPr>
      </w:pPr>
      <w:r>
        <w:rPr>
          <w:rFonts w:hint="eastAsia"/>
          <w:sz w:val="24"/>
        </w:rPr>
        <w:t>8）</w:t>
      </w:r>
      <w:r>
        <w:rPr>
          <w:rFonts w:hint="eastAsia" w:ascii="宋体" w:hAnsi="宋体" w:cs="宋体"/>
          <w:sz w:val="24"/>
        </w:rPr>
        <w:t>乙方有责任配合</w:t>
      </w:r>
      <w:r>
        <w:rPr>
          <w:rFonts w:hint="eastAsia" w:ascii="宋体" w:hAnsi="宋体" w:cs="宋体"/>
          <w:sz w:val="24"/>
          <w:lang w:eastAsia="zh-Hans"/>
        </w:rPr>
        <w:t>甲方</w:t>
      </w:r>
      <w:r>
        <w:rPr>
          <w:rFonts w:hint="eastAsia" w:ascii="宋体" w:hAnsi="宋体" w:cs="宋体"/>
          <w:sz w:val="24"/>
        </w:rPr>
        <w:t>接受上级领导部门的监督、检查，提供必须的资料。</w:t>
      </w:r>
    </w:p>
    <w:p w14:paraId="0BC052C7">
      <w:pPr>
        <w:tabs>
          <w:tab w:val="left" w:pos="540"/>
          <w:tab w:val="left" w:pos="780"/>
        </w:tabs>
        <w:spacing w:line="360" w:lineRule="auto"/>
        <w:ind w:firstLine="480" w:firstLineChars="200"/>
        <w:rPr>
          <w:color w:val="000000"/>
          <w:sz w:val="24"/>
        </w:rPr>
      </w:pPr>
      <w:r>
        <w:rPr>
          <w:rFonts w:hint="eastAsia"/>
          <w:sz w:val="24"/>
        </w:rPr>
        <w:t>9）</w:t>
      </w:r>
      <w:r>
        <w:rPr>
          <w:rFonts w:hint="eastAsia"/>
          <w:color w:val="000000"/>
          <w:sz w:val="24"/>
        </w:rPr>
        <w:t>乙方</w:t>
      </w:r>
      <w:r>
        <w:rPr>
          <w:color w:val="000000"/>
          <w:sz w:val="24"/>
        </w:rPr>
        <w:t>不</w:t>
      </w:r>
      <w:r>
        <w:rPr>
          <w:rFonts w:hint="eastAsia"/>
          <w:color w:val="000000"/>
          <w:sz w:val="24"/>
          <w:lang w:eastAsia="zh-Hans"/>
        </w:rPr>
        <w:t>得</w:t>
      </w:r>
      <w:r>
        <w:rPr>
          <w:color w:val="000000"/>
          <w:sz w:val="24"/>
        </w:rPr>
        <w:t>以任何形式转租、转让、抵押服务区域，在服务区域只从事</w:t>
      </w:r>
      <w:r>
        <w:rPr>
          <w:rFonts w:hint="eastAsia"/>
          <w:color w:val="000000"/>
          <w:sz w:val="24"/>
        </w:rPr>
        <w:t>采购人</w:t>
      </w:r>
      <w:r>
        <w:rPr>
          <w:color w:val="000000"/>
          <w:sz w:val="24"/>
        </w:rPr>
        <w:t>认可的服务工作。在服务期间，</w:t>
      </w:r>
      <w:r>
        <w:rPr>
          <w:rFonts w:hint="eastAsia"/>
          <w:color w:val="000000"/>
          <w:sz w:val="24"/>
        </w:rPr>
        <w:t>乙方</w:t>
      </w:r>
      <w:r>
        <w:rPr>
          <w:color w:val="000000"/>
          <w:sz w:val="24"/>
        </w:rPr>
        <w:t>的任何股份配置变动应通知</w:t>
      </w:r>
      <w:r>
        <w:rPr>
          <w:rFonts w:hint="eastAsia"/>
          <w:color w:val="000000"/>
          <w:sz w:val="24"/>
        </w:rPr>
        <w:t>甲方</w:t>
      </w:r>
      <w:r>
        <w:rPr>
          <w:color w:val="000000"/>
          <w:sz w:val="24"/>
        </w:rPr>
        <w:t>。未经</w:t>
      </w:r>
      <w:r>
        <w:rPr>
          <w:rFonts w:hint="eastAsia"/>
          <w:color w:val="000000"/>
          <w:sz w:val="24"/>
        </w:rPr>
        <w:t>甲方</w:t>
      </w:r>
      <w:r>
        <w:rPr>
          <w:color w:val="000000"/>
          <w:sz w:val="24"/>
        </w:rPr>
        <w:t>书面批准，任何占有支配地位的股份转让者将视为</w:t>
      </w:r>
      <w:r>
        <w:rPr>
          <w:rFonts w:hint="eastAsia"/>
          <w:color w:val="000000"/>
          <w:sz w:val="24"/>
        </w:rPr>
        <w:t>乙方</w:t>
      </w:r>
      <w:r>
        <w:rPr>
          <w:color w:val="000000"/>
          <w:sz w:val="24"/>
        </w:rPr>
        <w:t>出租、转让的行为。</w:t>
      </w:r>
    </w:p>
    <w:p w14:paraId="20D73D01">
      <w:pPr>
        <w:tabs>
          <w:tab w:val="left" w:pos="540"/>
          <w:tab w:val="left" w:pos="780"/>
        </w:tabs>
        <w:spacing w:line="360" w:lineRule="auto"/>
        <w:ind w:firstLine="480" w:firstLineChars="200"/>
        <w:rPr>
          <w:color w:val="000000"/>
          <w:sz w:val="24"/>
        </w:rPr>
      </w:pPr>
      <w:r>
        <w:rPr>
          <w:rFonts w:hint="eastAsia"/>
          <w:sz w:val="24"/>
        </w:rPr>
        <w:t>10）</w:t>
      </w:r>
      <w:r>
        <w:rPr>
          <w:rFonts w:hint="eastAsia"/>
          <w:color w:val="000000"/>
          <w:sz w:val="24"/>
        </w:rPr>
        <w:t>在本项目服务过程中出现的疑难技术问题，乙方应提供自身拥有的丰富技术力量及时组织相应工程技术人员赴现场指导协助解决</w:t>
      </w:r>
      <w:r>
        <w:rPr>
          <w:color w:val="000000"/>
          <w:sz w:val="24"/>
        </w:rPr>
        <w:t>。</w:t>
      </w:r>
    </w:p>
    <w:p w14:paraId="1955D343">
      <w:pPr>
        <w:spacing w:line="360" w:lineRule="auto"/>
        <w:ind w:firstLine="470" w:firstLineChars="196"/>
        <w:rPr>
          <w:rFonts w:ascii="宋体" w:hAnsi="宋体" w:cs="宋体"/>
          <w:sz w:val="24"/>
        </w:rPr>
      </w:pPr>
      <w:r>
        <w:rPr>
          <w:rFonts w:hint="eastAsia"/>
          <w:sz w:val="24"/>
        </w:rPr>
        <w:t>11）</w:t>
      </w:r>
      <w:r>
        <w:rPr>
          <w:rFonts w:hint="eastAsia" w:ascii="宋体" w:hAnsi="宋体" w:cs="宋体"/>
          <w:sz w:val="24"/>
        </w:rPr>
        <w:t>医院为特殊公共事业服务单位，实行全年24小时不间断服务制度，乙方根据甲方的具体工作时间要求，自行采用安排轮岗、轮休或加班等形式满足甲方的需求。全部服务人员的工作时间应严格按国家有关法律、法规要求的标准执行，因工作原因产生的加班（含节假日加班）应严格按国家有关法律、法规要求的标准给付员工加班薪资</w:t>
      </w:r>
      <w:r>
        <w:rPr>
          <w:rFonts w:ascii="宋体" w:hAnsi="宋体" w:cs="宋体"/>
          <w:sz w:val="24"/>
        </w:rPr>
        <w:t>。</w:t>
      </w:r>
      <w:r>
        <w:rPr>
          <w:rFonts w:hint="eastAsia" w:ascii="宋体" w:hAnsi="宋体" w:cs="宋体"/>
          <w:sz w:val="24"/>
        </w:rPr>
        <w:t>因乙方未按规定执行导致处罚</w:t>
      </w:r>
      <w:r>
        <w:rPr>
          <w:rFonts w:ascii="宋体" w:hAnsi="宋体" w:cs="宋体"/>
          <w:sz w:val="24"/>
        </w:rPr>
        <w:t>、</w:t>
      </w:r>
      <w:r>
        <w:rPr>
          <w:rFonts w:hint="eastAsia" w:ascii="宋体" w:hAnsi="宋体" w:cs="宋体"/>
          <w:sz w:val="24"/>
        </w:rPr>
        <w:t>赔偿等</w:t>
      </w:r>
      <w:r>
        <w:rPr>
          <w:rFonts w:ascii="宋体" w:hAnsi="宋体" w:cs="宋体"/>
          <w:sz w:val="24"/>
        </w:rPr>
        <w:t>，</w:t>
      </w:r>
      <w:r>
        <w:rPr>
          <w:rFonts w:hint="eastAsia" w:ascii="宋体" w:hAnsi="宋体" w:cs="宋体"/>
          <w:sz w:val="24"/>
        </w:rPr>
        <w:t>由乙方自行承担</w:t>
      </w:r>
      <w:r>
        <w:rPr>
          <w:rFonts w:ascii="宋体" w:hAnsi="宋体" w:cs="宋体"/>
          <w:sz w:val="24"/>
        </w:rPr>
        <w:t>。</w:t>
      </w:r>
    </w:p>
    <w:p w14:paraId="0AF09143">
      <w:pPr>
        <w:spacing w:line="360" w:lineRule="auto"/>
        <w:ind w:firstLine="480" w:firstLineChars="200"/>
        <w:rPr>
          <w:sz w:val="24"/>
        </w:rPr>
      </w:pPr>
      <w:r>
        <w:rPr>
          <w:rFonts w:hint="eastAsia"/>
          <w:sz w:val="24"/>
        </w:rPr>
        <w:t>12)</w:t>
      </w:r>
      <w:r>
        <w:rPr>
          <w:rFonts w:hint="eastAsia" w:ascii="宋体" w:hAnsi="宋体" w:cs="宋体"/>
          <w:sz w:val="24"/>
        </w:rPr>
        <w:t xml:space="preserve"> 乙方应制定并完善针对本项目所涉及的各类突发事件的应急预案，并配合甲方做好</w:t>
      </w:r>
      <w:r>
        <w:rPr>
          <w:rFonts w:hint="eastAsia" w:ascii="宋体" w:hAnsi="宋体" w:cs="宋体"/>
          <w:sz w:val="24"/>
          <w:lang w:val="en-US" w:eastAsia="zh-CN"/>
        </w:rPr>
        <w:t>院感及</w:t>
      </w:r>
      <w:r>
        <w:rPr>
          <w:rFonts w:hint="eastAsia" w:ascii="宋体" w:hAnsi="宋体" w:cs="宋体"/>
          <w:sz w:val="24"/>
        </w:rPr>
        <w:t>疫情防控工作。</w:t>
      </w:r>
    </w:p>
    <w:p w14:paraId="49D18263">
      <w:pPr>
        <w:spacing w:line="360" w:lineRule="auto"/>
        <w:ind w:firstLine="480" w:firstLineChars="200"/>
        <w:rPr>
          <w:sz w:val="24"/>
        </w:rPr>
      </w:pPr>
      <w:r>
        <w:rPr>
          <w:rFonts w:hint="eastAsia"/>
          <w:sz w:val="24"/>
        </w:rPr>
        <w:t>13</w:t>
      </w:r>
      <w:r>
        <w:rPr>
          <w:sz w:val="24"/>
        </w:rPr>
        <w:t>）乙方应即时响应甲方的服务需求，遵守甲方的各项规章制度。</w:t>
      </w:r>
    </w:p>
    <w:p w14:paraId="08DFF1D4">
      <w:pPr>
        <w:spacing w:line="360" w:lineRule="auto"/>
        <w:ind w:firstLine="480" w:firstLineChars="200"/>
        <w:rPr>
          <w:sz w:val="24"/>
        </w:rPr>
      </w:pPr>
      <w:r>
        <w:rPr>
          <w:sz w:val="24"/>
        </w:rPr>
        <w:t>1</w:t>
      </w:r>
      <w:r>
        <w:rPr>
          <w:rFonts w:hint="eastAsia"/>
          <w:sz w:val="24"/>
        </w:rPr>
        <w:t>4</w:t>
      </w:r>
      <w:r>
        <w:rPr>
          <w:sz w:val="24"/>
        </w:rPr>
        <w:t>）乙方的工作人员在提供服务中所获悉的有关甲方的一切机密事项，绝不准向任何人泄露，否则由乙方承担相关责任。</w:t>
      </w:r>
    </w:p>
    <w:p w14:paraId="39E3BAA2">
      <w:pPr>
        <w:spacing w:line="360" w:lineRule="auto"/>
        <w:ind w:firstLine="480" w:firstLineChars="200"/>
        <w:rPr>
          <w:sz w:val="24"/>
        </w:rPr>
      </w:pPr>
      <w:r>
        <w:rPr>
          <w:sz w:val="24"/>
        </w:rPr>
        <w:t>1</w:t>
      </w:r>
      <w:r>
        <w:rPr>
          <w:rFonts w:hint="eastAsia"/>
          <w:sz w:val="24"/>
        </w:rPr>
        <w:t>5</w:t>
      </w:r>
      <w:r>
        <w:rPr>
          <w:sz w:val="24"/>
        </w:rPr>
        <w:t>）本合同期间，乙方提供的人员因执行本合同约定的事务与任何第三方发生纠纷，或造成他人伤亡的，均由乙方负责解决，所产生的赔偿费用，由乙方承担，与甲方无关。</w:t>
      </w:r>
    </w:p>
    <w:p w14:paraId="5D2279DC">
      <w:pPr>
        <w:snapToGrid w:val="0"/>
        <w:spacing w:line="360" w:lineRule="auto"/>
        <w:ind w:firstLine="480" w:firstLineChars="200"/>
        <w:outlineLvl w:val="1"/>
        <w:rPr>
          <w:color w:val="000000"/>
          <w:sz w:val="24"/>
        </w:rPr>
      </w:pPr>
      <w:r>
        <w:rPr>
          <w:rFonts w:hint="eastAsia"/>
          <w:color w:val="000000"/>
          <w:sz w:val="24"/>
        </w:rPr>
        <w:t>五、</w:t>
      </w:r>
      <w:r>
        <w:rPr>
          <w:color w:val="000000"/>
          <w:sz w:val="24"/>
        </w:rPr>
        <w:t>支付方式：</w:t>
      </w:r>
    </w:p>
    <w:p w14:paraId="3A2D6BA5">
      <w:pPr>
        <w:snapToGrid w:val="0"/>
        <w:spacing w:line="360" w:lineRule="auto"/>
        <w:ind w:firstLine="600" w:firstLineChars="250"/>
        <w:outlineLvl w:val="1"/>
      </w:pPr>
      <w:r>
        <w:rPr>
          <w:rFonts w:ascii="Times New Roman" w:hAnsi="Times New Roman" w:eastAsia="宋体" w:cs="Times New Roman"/>
          <w:color w:val="000000"/>
          <w:sz w:val="24"/>
          <w:highlight w:val="none"/>
        </w:rPr>
        <w:t>本项目采用按月支付方式，双方每月根据</w:t>
      </w:r>
      <w:r>
        <w:rPr>
          <w:rFonts w:hint="eastAsia" w:cs="Times New Roman"/>
          <w:color w:val="000000"/>
          <w:sz w:val="24"/>
          <w:highlight w:val="none"/>
          <w:lang w:val="en-US" w:eastAsia="zh-CN"/>
        </w:rPr>
        <w:t>乙方</w:t>
      </w:r>
      <w:r>
        <w:rPr>
          <w:rFonts w:ascii="Times New Roman" w:hAnsi="Times New Roman" w:eastAsia="宋体" w:cs="Times New Roman"/>
          <w:color w:val="000000"/>
          <w:sz w:val="24"/>
          <w:highlight w:val="none"/>
        </w:rPr>
        <w:t>实际履约</w:t>
      </w:r>
      <w:r>
        <w:rPr>
          <w:rFonts w:hint="eastAsia" w:cs="Times New Roman"/>
          <w:color w:val="000000"/>
          <w:sz w:val="24"/>
          <w:highlight w:val="none"/>
          <w:lang w:val="en-US" w:eastAsia="zh-CN"/>
        </w:rPr>
        <w:t>考评</w:t>
      </w:r>
      <w:r>
        <w:rPr>
          <w:rFonts w:ascii="Times New Roman" w:hAnsi="Times New Roman" w:eastAsia="宋体" w:cs="Times New Roman"/>
          <w:color w:val="000000"/>
          <w:sz w:val="24"/>
          <w:highlight w:val="none"/>
        </w:rPr>
        <w:t>情况进行据实结算，于</w:t>
      </w:r>
      <w:r>
        <w:rPr>
          <w:rFonts w:hint="eastAsia" w:cs="Times New Roman"/>
          <w:color w:val="000000"/>
          <w:sz w:val="24"/>
          <w:highlight w:val="none"/>
          <w:lang w:val="en-US" w:eastAsia="zh-CN"/>
        </w:rPr>
        <w:t>每</w:t>
      </w:r>
      <w:r>
        <w:rPr>
          <w:rFonts w:ascii="Times New Roman" w:hAnsi="Times New Roman" w:eastAsia="宋体" w:cs="Times New Roman"/>
          <w:color w:val="000000"/>
          <w:sz w:val="24"/>
          <w:highlight w:val="none"/>
        </w:rPr>
        <w:t>月30 日前完成上一月服务费结算工作。</w:t>
      </w:r>
      <w:r>
        <w:rPr>
          <w:rFonts w:hint="eastAsia" w:ascii="宋体" w:hAnsi="宋体" w:cs="宋体"/>
          <w:sz w:val="24"/>
        </w:rPr>
        <w:t>如双方结算过程中发生争议</w:t>
      </w:r>
      <w:r>
        <w:rPr>
          <w:rFonts w:ascii="宋体" w:hAnsi="宋体" w:cs="宋体"/>
          <w:sz w:val="24"/>
        </w:rPr>
        <w:t>，</w:t>
      </w:r>
      <w:r>
        <w:rPr>
          <w:rFonts w:hint="eastAsia" w:ascii="宋体" w:hAnsi="宋体" w:cs="宋体"/>
          <w:sz w:val="24"/>
          <w:lang w:val="en-US" w:eastAsia="zh-CN"/>
        </w:rPr>
        <w:t>甲方</w:t>
      </w:r>
      <w:r>
        <w:rPr>
          <w:rFonts w:hint="eastAsia" w:ascii="宋体" w:hAnsi="宋体" w:cs="宋体"/>
          <w:sz w:val="24"/>
        </w:rPr>
        <w:t>有权延迟支付</w:t>
      </w:r>
      <w:r>
        <w:rPr>
          <w:rFonts w:ascii="宋体" w:hAnsi="宋体" w:cs="宋体"/>
          <w:sz w:val="24"/>
        </w:rPr>
        <w:t>，</w:t>
      </w:r>
      <w:r>
        <w:rPr>
          <w:rFonts w:hint="eastAsia" w:ascii="宋体" w:hAnsi="宋体" w:cs="宋体"/>
          <w:sz w:val="24"/>
        </w:rPr>
        <w:t>并不因此构成违约</w:t>
      </w:r>
      <w:r>
        <w:rPr>
          <w:rFonts w:hint="eastAsia" w:ascii="宋体" w:hAnsi="宋体" w:cs="宋体"/>
          <w:sz w:val="24"/>
          <w:lang w:eastAsia="zh-CN"/>
        </w:rPr>
        <w:t>。</w:t>
      </w:r>
      <w:r>
        <w:rPr>
          <w:rFonts w:ascii="Times New Roman" w:hAnsi="Times New Roman" w:eastAsia="宋体" w:cs="Times New Roman"/>
          <w:color w:val="000000"/>
          <w:sz w:val="24"/>
          <w:highlight w:val="none"/>
        </w:rPr>
        <w:t>双方对结算结果（即实际结算金额）确认无误后</w:t>
      </w:r>
      <w:r>
        <w:rPr>
          <w:rFonts w:hint="eastAsia" w:ascii="Times New Roman" w:hAnsi="Times New Roman" w:eastAsia="宋体" w:cs="Times New Roman"/>
          <w:color w:val="000000"/>
          <w:sz w:val="24"/>
          <w:highlight w:val="none"/>
          <w:lang w:eastAsia="zh-CN"/>
        </w:rPr>
        <w:t>，</w:t>
      </w:r>
      <w:r>
        <w:rPr>
          <w:rFonts w:hint="eastAsia" w:ascii="Times New Roman" w:hAnsi="Times New Roman" w:eastAsia="宋体" w:cs="Times New Roman"/>
          <w:color w:val="000000"/>
          <w:sz w:val="24"/>
          <w:highlight w:val="none"/>
          <w:lang w:val="en-US" w:eastAsia="zh-CN"/>
        </w:rPr>
        <w:t>则</w:t>
      </w:r>
      <w:r>
        <w:rPr>
          <w:rFonts w:ascii="Times New Roman" w:hAnsi="Times New Roman" w:eastAsia="宋体" w:cs="Times New Roman"/>
          <w:color w:val="000000"/>
          <w:sz w:val="24"/>
          <w:highlight w:val="none"/>
        </w:rPr>
        <w:t>该结算</w:t>
      </w:r>
      <w:r>
        <w:rPr>
          <w:rFonts w:hint="eastAsia" w:ascii="Times New Roman" w:hAnsi="Times New Roman" w:eastAsia="宋体" w:cs="Times New Roman"/>
          <w:color w:val="000000"/>
          <w:sz w:val="24"/>
          <w:highlight w:val="none"/>
          <w:lang w:val="en-US" w:eastAsia="zh-CN"/>
        </w:rPr>
        <w:t>金额</w:t>
      </w:r>
      <w:r>
        <w:rPr>
          <w:rFonts w:ascii="Times New Roman" w:hAnsi="Times New Roman" w:eastAsia="宋体" w:cs="Times New Roman"/>
          <w:color w:val="000000"/>
          <w:sz w:val="24"/>
          <w:highlight w:val="none"/>
        </w:rPr>
        <w:t>即作为当期应支付款项。服务期间，</w:t>
      </w:r>
      <w:r>
        <w:rPr>
          <w:rFonts w:hint="eastAsia" w:cs="Times New Roman"/>
          <w:color w:val="000000"/>
          <w:sz w:val="24"/>
          <w:highlight w:val="none"/>
          <w:lang w:val="en-US" w:eastAsia="zh-CN"/>
        </w:rPr>
        <w:t>乙方</w:t>
      </w:r>
      <w:r>
        <w:rPr>
          <w:rFonts w:ascii="Times New Roman" w:hAnsi="Times New Roman" w:eastAsia="宋体" w:cs="Times New Roman"/>
          <w:color w:val="000000"/>
          <w:sz w:val="24"/>
          <w:highlight w:val="none"/>
        </w:rPr>
        <w:t>须按实际结算金额向</w:t>
      </w:r>
      <w:r>
        <w:rPr>
          <w:rFonts w:hint="eastAsia" w:cs="Times New Roman"/>
          <w:color w:val="000000"/>
          <w:sz w:val="24"/>
          <w:highlight w:val="none"/>
          <w:lang w:val="en-US" w:eastAsia="zh-CN"/>
        </w:rPr>
        <w:t>甲方</w:t>
      </w:r>
      <w:r>
        <w:rPr>
          <w:rFonts w:ascii="Times New Roman" w:hAnsi="Times New Roman" w:eastAsia="宋体" w:cs="Times New Roman"/>
          <w:color w:val="000000"/>
          <w:sz w:val="24"/>
          <w:highlight w:val="none"/>
        </w:rPr>
        <w:t>开具合法有效的增值税发票，并于</w:t>
      </w:r>
      <w:r>
        <w:rPr>
          <w:rFonts w:hint="default" w:ascii="Times New Roman" w:hAnsi="Times New Roman" w:eastAsia="宋体" w:cs="Times New Roman"/>
          <w:color w:val="000000"/>
          <w:sz w:val="24"/>
          <w:highlight w:val="none"/>
          <w:lang w:val="en-US"/>
        </w:rPr>
        <w:t>次</w:t>
      </w:r>
      <w:r>
        <w:rPr>
          <w:rFonts w:ascii="Times New Roman" w:hAnsi="Times New Roman" w:eastAsia="宋体" w:cs="Times New Roman"/>
          <w:color w:val="000000"/>
          <w:sz w:val="24"/>
          <w:highlight w:val="none"/>
        </w:rPr>
        <w:t>月</w:t>
      </w:r>
      <w:r>
        <w:rPr>
          <w:rFonts w:hint="eastAsia" w:cs="Times New Roman"/>
          <w:color w:val="000000"/>
          <w:sz w:val="24"/>
          <w:highlight w:val="none"/>
          <w:lang w:val="en-US" w:eastAsia="zh-CN"/>
        </w:rPr>
        <w:t>20</w:t>
      </w:r>
      <w:r>
        <w:rPr>
          <w:rFonts w:ascii="Times New Roman" w:hAnsi="Times New Roman" w:eastAsia="宋体" w:cs="Times New Roman"/>
          <w:color w:val="000000"/>
          <w:sz w:val="24"/>
          <w:highlight w:val="none"/>
        </w:rPr>
        <w:t>日前向</w:t>
      </w:r>
      <w:r>
        <w:rPr>
          <w:rFonts w:hint="eastAsia" w:cs="Times New Roman"/>
          <w:color w:val="000000"/>
          <w:sz w:val="24"/>
          <w:highlight w:val="none"/>
          <w:lang w:val="en-US" w:eastAsia="zh-CN"/>
        </w:rPr>
        <w:t>甲方</w:t>
      </w:r>
      <w:r>
        <w:rPr>
          <w:rFonts w:ascii="Times New Roman" w:hAnsi="Times New Roman" w:eastAsia="宋体" w:cs="Times New Roman"/>
          <w:color w:val="000000"/>
          <w:sz w:val="24"/>
          <w:highlight w:val="none"/>
        </w:rPr>
        <w:t>提交当月费用清单</w:t>
      </w:r>
      <w:r>
        <w:rPr>
          <w:rFonts w:hint="eastAsia" w:cs="Times New Roman"/>
          <w:color w:val="000000"/>
          <w:sz w:val="24"/>
          <w:highlight w:val="none"/>
          <w:lang w:eastAsia="zh-CN"/>
        </w:rPr>
        <w:t>、</w:t>
      </w:r>
      <w:r>
        <w:rPr>
          <w:rFonts w:ascii="Times New Roman" w:hAnsi="Times New Roman" w:eastAsia="宋体" w:cs="Times New Roman"/>
          <w:color w:val="000000"/>
          <w:sz w:val="24"/>
          <w:highlight w:val="none"/>
        </w:rPr>
        <w:t>等额发票</w:t>
      </w:r>
      <w:r>
        <w:rPr>
          <w:rFonts w:hint="eastAsia" w:cs="Times New Roman"/>
          <w:color w:val="000000"/>
          <w:sz w:val="24"/>
          <w:highlight w:val="none"/>
          <w:lang w:eastAsia="zh-CN"/>
        </w:rPr>
        <w:t>等支付材料</w:t>
      </w:r>
      <w:r>
        <w:rPr>
          <w:rFonts w:ascii="Times New Roman" w:hAnsi="Times New Roman" w:eastAsia="宋体" w:cs="Times New Roman"/>
          <w:color w:val="000000"/>
          <w:sz w:val="24"/>
          <w:highlight w:val="none"/>
        </w:rPr>
        <w:t>。</w:t>
      </w:r>
      <w:r>
        <w:rPr>
          <w:rFonts w:hint="eastAsia" w:cs="Times New Roman"/>
          <w:color w:val="000000"/>
          <w:sz w:val="24"/>
          <w:highlight w:val="none"/>
          <w:lang w:val="en-US" w:eastAsia="zh-CN"/>
        </w:rPr>
        <w:t>甲方</w:t>
      </w:r>
      <w:r>
        <w:rPr>
          <w:rFonts w:ascii="Times New Roman" w:hAnsi="Times New Roman" w:eastAsia="宋体" w:cs="Times New Roman"/>
          <w:color w:val="000000"/>
          <w:sz w:val="24"/>
          <w:highlight w:val="none"/>
        </w:rPr>
        <w:t>在收到完整支付材料并审核确认无误后，将相应费用划入</w:t>
      </w:r>
      <w:r>
        <w:rPr>
          <w:rFonts w:hint="eastAsia" w:cs="Times New Roman"/>
          <w:color w:val="000000"/>
          <w:sz w:val="24"/>
          <w:highlight w:val="none"/>
          <w:lang w:val="en-US" w:eastAsia="zh-CN"/>
        </w:rPr>
        <w:t>乙方</w:t>
      </w:r>
      <w:r>
        <w:rPr>
          <w:rFonts w:ascii="Times New Roman" w:hAnsi="Times New Roman" w:eastAsia="宋体" w:cs="Times New Roman"/>
          <w:color w:val="000000"/>
          <w:sz w:val="24"/>
          <w:highlight w:val="none"/>
        </w:rPr>
        <w:t>指定银行账户</w:t>
      </w:r>
      <w:r>
        <w:rPr>
          <w:rFonts w:hint="eastAsia" w:ascii="Times New Roman" w:hAnsi="Times New Roman" w:eastAsia="宋体" w:cs="Times New Roman"/>
          <w:color w:val="000000"/>
          <w:sz w:val="24"/>
          <w:highlight w:val="none"/>
          <w:lang w:eastAsia="zh-CN"/>
        </w:rPr>
        <w:t>。</w:t>
      </w:r>
    </w:p>
    <w:p w14:paraId="701E3245">
      <w:pPr>
        <w:snapToGrid w:val="0"/>
        <w:spacing w:line="360" w:lineRule="auto"/>
        <w:ind w:firstLine="480" w:firstLineChars="200"/>
        <w:rPr>
          <w:rFonts w:ascii="宋体" w:hAnsi="宋体" w:cs="宋体"/>
          <w:sz w:val="24"/>
        </w:rPr>
      </w:pPr>
    </w:p>
    <w:p w14:paraId="61185B02">
      <w:pPr>
        <w:snapToGrid w:val="0"/>
        <w:spacing w:line="360" w:lineRule="auto"/>
        <w:rPr>
          <w:rFonts w:ascii="宋体" w:hAnsi="宋体" w:cs="宋体"/>
          <w:sz w:val="24"/>
        </w:rPr>
      </w:pPr>
      <w:r>
        <w:rPr>
          <w:rFonts w:hint="eastAsia" w:ascii="宋体" w:hAnsi="宋体" w:cs="宋体"/>
          <w:sz w:val="24"/>
        </w:rPr>
        <w:t>甲方开票信息：</w:t>
      </w:r>
    </w:p>
    <w:p w14:paraId="560691C1">
      <w:pPr>
        <w:snapToGrid w:val="0"/>
        <w:spacing w:line="360" w:lineRule="auto"/>
        <w:ind w:left="105" w:leftChars="50" w:firstLine="360" w:firstLineChars="150"/>
        <w:rPr>
          <w:rFonts w:ascii="宋体" w:hAnsi="宋体" w:cs="宋体"/>
          <w:sz w:val="24"/>
        </w:rPr>
      </w:pPr>
      <w:r>
        <w:rPr>
          <w:rFonts w:hint="eastAsia" w:ascii="宋体" w:hAnsi="宋体" w:cs="宋体"/>
          <w:sz w:val="24"/>
        </w:rPr>
        <w:t>企业名称：</w:t>
      </w:r>
    </w:p>
    <w:p w14:paraId="2508582A">
      <w:pPr>
        <w:snapToGrid w:val="0"/>
        <w:spacing w:line="360" w:lineRule="auto"/>
        <w:ind w:left="105" w:leftChars="50" w:firstLine="360" w:firstLineChars="150"/>
        <w:rPr>
          <w:rFonts w:ascii="宋体" w:hAnsi="宋体" w:cs="宋体"/>
          <w:sz w:val="24"/>
        </w:rPr>
      </w:pPr>
      <w:r>
        <w:rPr>
          <w:rFonts w:hint="eastAsia" w:ascii="宋体" w:hAnsi="宋体" w:cs="宋体"/>
          <w:sz w:val="24"/>
        </w:rPr>
        <w:t>纳税人统一识别代码：</w:t>
      </w:r>
    </w:p>
    <w:p w14:paraId="6D0049A5">
      <w:pPr>
        <w:snapToGrid w:val="0"/>
        <w:spacing w:line="360" w:lineRule="auto"/>
        <w:ind w:left="105" w:leftChars="50" w:firstLine="360" w:firstLineChars="150"/>
        <w:rPr>
          <w:rFonts w:ascii="宋体" w:hAnsi="宋体" w:cs="宋体"/>
          <w:sz w:val="24"/>
        </w:rPr>
      </w:pPr>
      <w:r>
        <w:rPr>
          <w:rFonts w:hint="eastAsia" w:ascii="宋体" w:hAnsi="宋体" w:cs="宋体"/>
          <w:sz w:val="24"/>
        </w:rPr>
        <w:t>开户行及账号：</w:t>
      </w:r>
    </w:p>
    <w:p w14:paraId="3CD06863">
      <w:pPr>
        <w:spacing w:line="360" w:lineRule="auto"/>
        <w:ind w:firstLine="480" w:firstLineChars="200"/>
        <w:rPr>
          <w:bCs/>
          <w:sz w:val="24"/>
        </w:rPr>
      </w:pPr>
      <w:r>
        <w:rPr>
          <w:rFonts w:hint="eastAsia" w:ascii="宋体" w:hAnsi="宋体" w:cs="宋体"/>
          <w:sz w:val="24"/>
        </w:rPr>
        <w:t>联系电话及地址：</w:t>
      </w:r>
    </w:p>
    <w:p w14:paraId="0942F1A3">
      <w:pPr>
        <w:snapToGrid w:val="0"/>
        <w:spacing w:line="360" w:lineRule="auto"/>
        <w:rPr>
          <w:rFonts w:ascii="宋体" w:hAnsi="宋体" w:cs="宋体"/>
          <w:sz w:val="24"/>
        </w:rPr>
      </w:pPr>
      <w:r>
        <w:rPr>
          <w:rFonts w:hint="eastAsia" w:ascii="宋体" w:hAnsi="宋体" w:cs="宋体"/>
          <w:sz w:val="24"/>
        </w:rPr>
        <w:t>乙方指定收款账户信息：</w:t>
      </w:r>
    </w:p>
    <w:p w14:paraId="52E15A6D">
      <w:pPr>
        <w:snapToGrid w:val="0"/>
        <w:spacing w:line="360" w:lineRule="auto"/>
        <w:ind w:left="105" w:leftChars="50" w:firstLine="360" w:firstLineChars="150"/>
        <w:rPr>
          <w:rFonts w:ascii="宋体" w:hAnsi="宋体" w:cs="宋体"/>
          <w:sz w:val="24"/>
        </w:rPr>
      </w:pPr>
      <w:r>
        <w:rPr>
          <w:rFonts w:hint="eastAsia" w:ascii="宋体" w:hAnsi="宋体" w:cs="宋体"/>
          <w:sz w:val="24"/>
        </w:rPr>
        <w:t>账户名称：</w:t>
      </w:r>
    </w:p>
    <w:p w14:paraId="6BCA05FC">
      <w:pPr>
        <w:snapToGrid w:val="0"/>
        <w:spacing w:line="360" w:lineRule="auto"/>
        <w:ind w:left="105" w:leftChars="50" w:firstLine="360" w:firstLineChars="150"/>
        <w:rPr>
          <w:rFonts w:ascii="宋体" w:hAnsi="宋体" w:cs="宋体"/>
          <w:sz w:val="24"/>
        </w:rPr>
      </w:pPr>
      <w:r>
        <w:rPr>
          <w:rFonts w:hint="eastAsia" w:ascii="宋体" w:hAnsi="宋体" w:cs="宋体"/>
          <w:sz w:val="24"/>
        </w:rPr>
        <w:t>开户行：</w:t>
      </w:r>
    </w:p>
    <w:p w14:paraId="666AB043">
      <w:pPr>
        <w:snapToGrid w:val="0"/>
        <w:spacing w:line="360" w:lineRule="auto"/>
        <w:ind w:left="105" w:leftChars="50" w:firstLine="360" w:firstLineChars="150"/>
        <w:rPr>
          <w:rFonts w:ascii="宋体" w:hAnsi="宋体" w:cs="宋体"/>
          <w:sz w:val="24"/>
        </w:rPr>
      </w:pPr>
      <w:r>
        <w:rPr>
          <w:rFonts w:hint="eastAsia" w:ascii="宋体" w:hAnsi="宋体" w:cs="宋体"/>
          <w:sz w:val="24"/>
        </w:rPr>
        <w:t>账号：</w:t>
      </w:r>
    </w:p>
    <w:p w14:paraId="5DEE595A">
      <w:pPr>
        <w:spacing w:line="360" w:lineRule="auto"/>
        <w:ind w:firstLine="120" w:firstLineChars="50"/>
        <w:rPr>
          <w:sz w:val="24"/>
        </w:rPr>
      </w:pPr>
      <w:r>
        <w:rPr>
          <w:rFonts w:hint="eastAsia"/>
          <w:sz w:val="24"/>
        </w:rPr>
        <w:t>六</w:t>
      </w:r>
      <w:r>
        <w:rPr>
          <w:sz w:val="24"/>
        </w:rPr>
        <w:t>、其他约定事项</w:t>
      </w:r>
    </w:p>
    <w:p w14:paraId="7AE56DB7">
      <w:pPr>
        <w:spacing w:line="360" w:lineRule="auto"/>
        <w:ind w:firstLine="480" w:firstLineChars="200"/>
        <w:rPr>
          <w:sz w:val="24"/>
        </w:rPr>
      </w:pPr>
      <w:r>
        <w:rPr>
          <w:rFonts w:hint="eastAsia"/>
          <w:sz w:val="24"/>
        </w:rPr>
        <w:t>1、</w:t>
      </w:r>
      <w:r>
        <w:rPr>
          <w:sz w:val="24"/>
        </w:rPr>
        <w:t>本</w:t>
      </w:r>
      <w:r>
        <w:rPr>
          <w:rFonts w:hint="eastAsia"/>
          <w:sz w:val="24"/>
        </w:rPr>
        <w:t>项目服务</w:t>
      </w:r>
      <w:r>
        <w:rPr>
          <w:sz w:val="24"/>
        </w:rPr>
        <w:t>期内，有增减用工人员，支付费用时按实际用人数和各个岗位用人成本计算。</w:t>
      </w:r>
    </w:p>
    <w:p w14:paraId="79A9CF63">
      <w:pPr>
        <w:spacing w:line="360" w:lineRule="auto"/>
        <w:ind w:firstLine="480" w:firstLineChars="200"/>
        <w:rPr>
          <w:sz w:val="24"/>
        </w:rPr>
      </w:pPr>
      <w:r>
        <w:rPr>
          <w:rFonts w:hint="eastAsia"/>
          <w:sz w:val="24"/>
        </w:rPr>
        <w:t>2</w:t>
      </w:r>
      <w:r>
        <w:rPr>
          <w:sz w:val="24"/>
        </w:rPr>
        <w:t>、具体的服务要求、管理职责、</w:t>
      </w:r>
      <w:r>
        <w:rPr>
          <w:rFonts w:hint="eastAsia"/>
          <w:sz w:val="24"/>
        </w:rPr>
        <w:t>绩效</w:t>
      </w:r>
      <w:r>
        <w:rPr>
          <w:sz w:val="24"/>
        </w:rPr>
        <w:t>考核办法等另行制定。</w:t>
      </w:r>
    </w:p>
    <w:p w14:paraId="26AE667B">
      <w:pPr>
        <w:spacing w:line="360" w:lineRule="auto"/>
        <w:ind w:firstLine="480" w:firstLineChars="200"/>
        <w:rPr>
          <w:sz w:val="24"/>
        </w:rPr>
      </w:pPr>
      <w:r>
        <w:rPr>
          <w:rFonts w:hint="eastAsia"/>
          <w:sz w:val="24"/>
        </w:rPr>
        <w:t>3</w:t>
      </w:r>
      <w:r>
        <w:rPr>
          <w:sz w:val="24"/>
        </w:rPr>
        <w:t>、乙方有权拒绝提供本合同约定范围以外的服务。</w:t>
      </w:r>
    </w:p>
    <w:p w14:paraId="5F54DCEA">
      <w:pPr>
        <w:spacing w:line="360" w:lineRule="auto"/>
        <w:ind w:firstLine="480" w:firstLineChars="200"/>
        <w:rPr>
          <w:sz w:val="24"/>
        </w:rPr>
      </w:pPr>
      <w:r>
        <w:rPr>
          <w:rFonts w:hint="eastAsia"/>
          <w:sz w:val="24"/>
        </w:rPr>
        <w:t>4</w:t>
      </w:r>
      <w:r>
        <w:rPr>
          <w:sz w:val="24"/>
        </w:rPr>
        <w:t>、双方确认岗位工资仅是代表乙方提供服务的职务行为，与甲方不具有劳动关系和用工关系。</w:t>
      </w:r>
    </w:p>
    <w:p w14:paraId="77D1123A">
      <w:pPr>
        <w:spacing w:line="360" w:lineRule="auto"/>
        <w:ind w:firstLine="480" w:firstLineChars="200"/>
        <w:rPr>
          <w:sz w:val="24"/>
        </w:rPr>
      </w:pPr>
      <w:r>
        <w:rPr>
          <w:rFonts w:hint="eastAsia"/>
          <w:sz w:val="24"/>
        </w:rPr>
        <w:t>5</w:t>
      </w:r>
      <w:r>
        <w:rPr>
          <w:sz w:val="24"/>
        </w:rPr>
        <w:t>、如乙方提供的各岗位人员故意、过失给甲方造成重大损失，或从事违法犯罪活动的，损坏甲方声誉，造成恶劣社会舆情的，甲方有权单方解除本协议向乙方追偿损失，并由乙方承担法律责任。</w:t>
      </w:r>
    </w:p>
    <w:p w14:paraId="34DE8C5C">
      <w:pPr>
        <w:spacing w:line="360" w:lineRule="auto"/>
        <w:ind w:firstLine="480" w:firstLineChars="200"/>
        <w:rPr>
          <w:sz w:val="24"/>
        </w:rPr>
      </w:pPr>
      <w:r>
        <w:rPr>
          <w:rFonts w:hint="eastAsia"/>
          <w:sz w:val="24"/>
        </w:rPr>
        <w:t>七</w:t>
      </w:r>
      <w:r>
        <w:rPr>
          <w:sz w:val="24"/>
        </w:rPr>
        <w:t>、合同履行地点</w:t>
      </w:r>
    </w:p>
    <w:p w14:paraId="234F5456">
      <w:pPr>
        <w:spacing w:line="360" w:lineRule="auto"/>
        <w:ind w:firstLine="480" w:firstLineChars="200"/>
        <w:rPr>
          <w:rFonts w:hint="default" w:eastAsia="宋体"/>
          <w:sz w:val="24"/>
          <w:lang w:val="en-US" w:eastAsia="zh-CN"/>
        </w:rPr>
      </w:pPr>
      <w:r>
        <w:rPr>
          <w:sz w:val="24"/>
        </w:rPr>
        <w:t>1、履行地点：杭州市</w:t>
      </w:r>
      <w:r>
        <w:rPr>
          <w:rFonts w:hint="eastAsia"/>
          <w:sz w:val="24"/>
        </w:rPr>
        <w:t>丁桥</w:t>
      </w:r>
      <w:r>
        <w:rPr>
          <w:sz w:val="24"/>
        </w:rPr>
        <w:t>医院内</w:t>
      </w:r>
      <w:r>
        <w:rPr>
          <w:rFonts w:hint="eastAsia"/>
          <w:sz w:val="24"/>
          <w:lang w:val="en-US" w:eastAsia="zh-CN"/>
        </w:rPr>
        <w:t>及甲方指定的其他办公场所。</w:t>
      </w:r>
    </w:p>
    <w:p w14:paraId="09748D4B">
      <w:pPr>
        <w:spacing w:line="360" w:lineRule="auto"/>
        <w:ind w:firstLine="480" w:firstLineChars="200"/>
        <w:rPr>
          <w:sz w:val="24"/>
        </w:rPr>
      </w:pPr>
      <w:r>
        <w:rPr>
          <w:sz w:val="24"/>
        </w:rPr>
        <w:t>八、质量保证及后续服务</w:t>
      </w:r>
    </w:p>
    <w:p w14:paraId="1FF1F8E8">
      <w:pPr>
        <w:spacing w:line="360" w:lineRule="auto"/>
        <w:ind w:firstLine="480" w:firstLineChars="200"/>
        <w:rPr>
          <w:sz w:val="24"/>
        </w:rPr>
      </w:pPr>
      <w:r>
        <w:rPr>
          <w:sz w:val="24"/>
        </w:rPr>
        <w:t>1、乙方应按招标文件规定向甲方提供服务，</w:t>
      </w:r>
      <w:r>
        <w:rPr>
          <w:rFonts w:hint="eastAsia"/>
          <w:sz w:val="24"/>
          <w:lang w:eastAsia="zh-Hans"/>
        </w:rPr>
        <w:t>否则视为乙方违约</w:t>
      </w:r>
      <w:r>
        <w:rPr>
          <w:sz w:val="24"/>
          <w:lang w:eastAsia="zh-Hans"/>
        </w:rPr>
        <w:t>，</w:t>
      </w:r>
      <w:r>
        <w:rPr>
          <w:rFonts w:hint="eastAsia"/>
          <w:sz w:val="24"/>
          <w:lang w:eastAsia="zh-Hans"/>
        </w:rPr>
        <w:t>给甲方造成损失的乙方应另行赔偿</w:t>
      </w:r>
      <w:r>
        <w:rPr>
          <w:sz w:val="24"/>
        </w:rPr>
        <w:t>。</w:t>
      </w:r>
    </w:p>
    <w:p w14:paraId="00DB75AC">
      <w:pPr>
        <w:snapToGrid w:val="0"/>
        <w:spacing w:line="360" w:lineRule="auto"/>
        <w:ind w:firstLine="480" w:firstLineChars="200"/>
        <w:rPr>
          <w:rFonts w:ascii="宋体" w:hAnsi="宋体" w:cs="宋体"/>
          <w:snapToGrid w:val="0"/>
          <w:kern w:val="0"/>
          <w:sz w:val="24"/>
        </w:rPr>
      </w:pPr>
      <w:r>
        <w:rPr>
          <w:rFonts w:hint="eastAsia"/>
          <w:sz w:val="24"/>
        </w:rPr>
        <w:t>2、</w:t>
      </w:r>
      <w:r>
        <w:rPr>
          <w:rFonts w:hint="eastAsia" w:ascii="宋体" w:hAnsi="宋体" w:cs="宋体"/>
          <w:snapToGrid w:val="0"/>
          <w:kern w:val="0"/>
          <w:sz w:val="24"/>
        </w:rPr>
        <w:t>乙方应保证提供的服务人员满足甲方的各项要求（具体要求详见招标文件采购需求），否则视为乙方违约，甲方有权追究相应的违约责任。</w:t>
      </w:r>
    </w:p>
    <w:p w14:paraId="5DF56087">
      <w:pPr>
        <w:spacing w:line="360" w:lineRule="auto"/>
        <w:ind w:firstLine="480" w:firstLineChars="200"/>
        <w:rPr>
          <w:sz w:val="24"/>
        </w:rPr>
      </w:pPr>
      <w:r>
        <w:rPr>
          <w:rFonts w:hint="eastAsia"/>
          <w:sz w:val="24"/>
        </w:rPr>
        <w:t>3、</w:t>
      </w:r>
      <w:r>
        <w:rPr>
          <w:sz w:val="24"/>
        </w:rPr>
        <w:t>乙方提供各岗位人员发生问题或被退回，乙方应负责继续提供符合要求的服务。</w:t>
      </w:r>
    </w:p>
    <w:p w14:paraId="7DD098E4">
      <w:pPr>
        <w:snapToGrid w:val="0"/>
        <w:spacing w:line="360" w:lineRule="auto"/>
        <w:ind w:firstLine="480" w:firstLineChars="200"/>
        <w:rPr>
          <w:rFonts w:ascii="宋体" w:hAnsi="宋体" w:cs="宋体"/>
          <w:snapToGrid w:val="0"/>
          <w:kern w:val="0"/>
          <w:sz w:val="24"/>
        </w:rPr>
      </w:pPr>
      <w:r>
        <w:rPr>
          <w:rFonts w:hint="eastAsia"/>
          <w:sz w:val="24"/>
        </w:rPr>
        <w:t>4、</w:t>
      </w:r>
      <w:r>
        <w:rPr>
          <w:rFonts w:hint="eastAsia" w:ascii="宋体" w:hAnsi="宋体" w:cs="宋体"/>
          <w:snapToGrid w:val="0"/>
          <w:kern w:val="0"/>
          <w:sz w:val="24"/>
        </w:rPr>
        <w:t>甲方有权按照采购需求及本合同约定对乙方提供的服务进行考核，并作出相应处罚措施。</w:t>
      </w:r>
    </w:p>
    <w:p w14:paraId="49BE8ED2">
      <w:pPr>
        <w:spacing w:line="360" w:lineRule="auto"/>
        <w:ind w:firstLine="480" w:firstLineChars="200"/>
        <w:rPr>
          <w:sz w:val="24"/>
        </w:rPr>
      </w:pPr>
      <w:r>
        <w:rPr>
          <w:sz w:val="24"/>
        </w:rPr>
        <w:t>九、保险</w:t>
      </w:r>
    </w:p>
    <w:p w14:paraId="348948C2">
      <w:pPr>
        <w:spacing w:line="360" w:lineRule="auto"/>
        <w:ind w:firstLine="556"/>
        <w:rPr>
          <w:sz w:val="24"/>
        </w:rPr>
      </w:pPr>
      <w:r>
        <w:rPr>
          <w:sz w:val="24"/>
        </w:rPr>
        <w:t>1、第三者责任保险</w:t>
      </w:r>
    </w:p>
    <w:p w14:paraId="0A773958">
      <w:pPr>
        <w:spacing w:line="360" w:lineRule="auto"/>
        <w:ind w:firstLine="556"/>
        <w:rPr>
          <w:sz w:val="24"/>
        </w:rPr>
      </w:pPr>
      <w:r>
        <w:rPr>
          <w:sz w:val="24"/>
        </w:rPr>
        <w:t>乙方应对乙方人员以及第三方全权负责，在乙方的责任区内由于乙方原因导致自己员工或第三方的事故由乙方负责，甲方不承担任何责任。</w:t>
      </w:r>
    </w:p>
    <w:p w14:paraId="1937CA20">
      <w:pPr>
        <w:spacing w:line="360" w:lineRule="auto"/>
        <w:ind w:firstLine="556"/>
        <w:rPr>
          <w:sz w:val="24"/>
        </w:rPr>
      </w:pPr>
      <w:r>
        <w:rPr>
          <w:sz w:val="24"/>
        </w:rPr>
        <w:t>2、员工人身意外</w:t>
      </w:r>
    </w:p>
    <w:p w14:paraId="14773A45">
      <w:pPr>
        <w:spacing w:line="360" w:lineRule="auto"/>
        <w:ind w:firstLine="556"/>
        <w:rPr>
          <w:sz w:val="24"/>
        </w:rPr>
      </w:pPr>
      <w:r>
        <w:rPr>
          <w:sz w:val="24"/>
        </w:rPr>
        <w:t>在</w:t>
      </w:r>
      <w:r>
        <w:rPr>
          <w:rFonts w:hint="eastAsia"/>
          <w:sz w:val="24"/>
          <w:lang w:val="en-US" w:eastAsia="zh-CN"/>
        </w:rPr>
        <w:t>服务期限</w:t>
      </w:r>
      <w:r>
        <w:rPr>
          <w:sz w:val="24"/>
        </w:rPr>
        <w:t>内，乙方所有人员的事故由乙方自行全权负责(如乙方应对其员工投保人身意外险)，以保证甲方在乙方工作人员索赔时不受任何责任的约束。</w:t>
      </w:r>
    </w:p>
    <w:p w14:paraId="6AC0EADC">
      <w:pPr>
        <w:spacing w:line="360" w:lineRule="auto"/>
        <w:ind w:firstLine="556"/>
        <w:rPr>
          <w:sz w:val="24"/>
        </w:rPr>
      </w:pPr>
      <w:r>
        <w:rPr>
          <w:sz w:val="24"/>
        </w:rPr>
        <w:t>3、其他保险及费用</w:t>
      </w:r>
    </w:p>
    <w:p w14:paraId="1B6A7225">
      <w:pPr>
        <w:spacing w:line="360" w:lineRule="auto"/>
        <w:ind w:firstLine="480" w:firstLineChars="200"/>
        <w:rPr>
          <w:sz w:val="24"/>
        </w:rPr>
      </w:pPr>
      <w:r>
        <w:rPr>
          <w:sz w:val="24"/>
        </w:rPr>
        <w:t>乙方须按《劳动合同法》和政府有关各部门规定为全体服务人员交纳所有相关的社会保险、加班工资及其他相关费用。乙方对此全权负责</w:t>
      </w:r>
      <w:r>
        <w:rPr>
          <w:rFonts w:hint="eastAsia"/>
          <w:sz w:val="24"/>
        </w:rPr>
        <w:t>。</w:t>
      </w:r>
    </w:p>
    <w:p w14:paraId="4AA299DC">
      <w:pPr>
        <w:spacing w:line="360" w:lineRule="auto"/>
        <w:ind w:firstLine="480" w:firstLineChars="200"/>
        <w:rPr>
          <w:sz w:val="24"/>
        </w:rPr>
      </w:pPr>
      <w:r>
        <w:rPr>
          <w:sz w:val="24"/>
        </w:rPr>
        <w:t>十、违约责任</w:t>
      </w:r>
    </w:p>
    <w:p w14:paraId="7167B578">
      <w:pPr>
        <w:spacing w:line="360" w:lineRule="auto"/>
        <w:ind w:firstLine="480" w:firstLineChars="200"/>
        <w:rPr>
          <w:sz w:val="24"/>
        </w:rPr>
      </w:pPr>
      <w:r>
        <w:rPr>
          <w:sz w:val="24"/>
        </w:rPr>
        <w:t>1、甲方无正当理由拒收接受服务的，甲方向乙方偿付合同</w:t>
      </w:r>
      <w:r>
        <w:rPr>
          <w:rFonts w:hint="eastAsia"/>
          <w:sz w:val="24"/>
          <w:lang w:eastAsia="zh-Hans"/>
        </w:rPr>
        <w:t>总金额的</w:t>
      </w:r>
      <w:r>
        <w:rPr>
          <w:sz w:val="24"/>
        </w:rPr>
        <w:t>百分之五作为违约金。</w:t>
      </w:r>
    </w:p>
    <w:p w14:paraId="1B7A7129">
      <w:pPr>
        <w:spacing w:line="360" w:lineRule="auto"/>
        <w:ind w:firstLine="480" w:firstLineChars="200"/>
        <w:rPr>
          <w:sz w:val="24"/>
        </w:rPr>
      </w:pPr>
      <w:r>
        <w:rPr>
          <w:sz w:val="24"/>
        </w:rPr>
        <w:t>2、甲方无故逾期验收和办理款项支付手续的，甲方应按逾期付款总额每日万分之五向乙方支付违约金。</w:t>
      </w:r>
    </w:p>
    <w:p w14:paraId="4E962946">
      <w:pPr>
        <w:spacing w:line="360" w:lineRule="auto"/>
        <w:ind w:firstLine="480" w:firstLineChars="200"/>
        <w:rPr>
          <w:sz w:val="24"/>
        </w:rPr>
      </w:pPr>
      <w:r>
        <w:rPr>
          <w:sz w:val="24"/>
        </w:rPr>
        <w:t>3、乙方未能如期提供服务的，每日向甲方支付合同</w:t>
      </w:r>
      <w:r>
        <w:rPr>
          <w:rFonts w:hint="eastAsia"/>
          <w:sz w:val="24"/>
          <w:lang w:eastAsia="zh-Hans"/>
        </w:rPr>
        <w:t>总金额</w:t>
      </w:r>
      <w:r>
        <w:rPr>
          <w:sz w:val="24"/>
        </w:rPr>
        <w:t>的千分之五作为违约金。乙方超过约定日期5个工作日仍不能提供服务的，甲方可解除本合同</w:t>
      </w:r>
      <w:r>
        <w:rPr>
          <w:rFonts w:hint="eastAsia"/>
          <w:sz w:val="24"/>
          <w:lang w:eastAsia="zh-Hans"/>
        </w:rPr>
        <w:t>，并不承担违约责任</w:t>
      </w:r>
      <w:r>
        <w:rPr>
          <w:sz w:val="24"/>
        </w:rPr>
        <w:t>。乙方因未能如期提供服务或因其他违约行为导致甲方解除合同的，乙方应向甲方支付合同总</w:t>
      </w:r>
      <w:r>
        <w:rPr>
          <w:rFonts w:hint="eastAsia"/>
          <w:sz w:val="24"/>
          <w:lang w:eastAsia="zh-Hans"/>
        </w:rPr>
        <w:t>金额的</w:t>
      </w:r>
      <w:r>
        <w:rPr>
          <w:sz w:val="24"/>
        </w:rPr>
        <w:t>10%的违约金，如造成甲方损失超过违约金的，超出部分由乙方继续承担赔偿责任。</w:t>
      </w:r>
    </w:p>
    <w:p w14:paraId="78D3BF9D">
      <w:pPr>
        <w:spacing w:line="360" w:lineRule="auto"/>
        <w:ind w:firstLine="480" w:firstLineChars="200"/>
        <w:rPr>
          <w:sz w:val="24"/>
        </w:rPr>
      </w:pPr>
      <w:r>
        <w:rPr>
          <w:rFonts w:hint="eastAsia"/>
          <w:sz w:val="24"/>
        </w:rPr>
        <w:t>4、经核实，乙方未能如期支付</w:t>
      </w:r>
      <w:r>
        <w:rPr>
          <w:sz w:val="24"/>
        </w:rPr>
        <w:t>服务人员</w:t>
      </w:r>
      <w:r>
        <w:rPr>
          <w:rFonts w:hint="eastAsia"/>
          <w:sz w:val="24"/>
        </w:rPr>
        <w:t>月薪的，每日向甲方支付逾期付款总额的百分之五作为违约金，乙方超过约定日期5个工作日仍不能支付的，甲方可解除本合同，如造成甲方损失的，由乙方承担赔偿责任。</w:t>
      </w:r>
    </w:p>
    <w:p w14:paraId="7212B57C">
      <w:pPr>
        <w:spacing w:line="360" w:lineRule="auto"/>
        <w:ind w:firstLine="480" w:firstLineChars="200"/>
        <w:rPr>
          <w:sz w:val="24"/>
          <w:lang w:eastAsia="zh-Hans"/>
        </w:rPr>
      </w:pPr>
      <w:r>
        <w:rPr>
          <w:rFonts w:hint="eastAsia"/>
          <w:sz w:val="24"/>
        </w:rPr>
        <w:t>5、</w:t>
      </w:r>
      <w:r>
        <w:rPr>
          <w:sz w:val="24"/>
          <w:lang w:eastAsia="zh-Hans"/>
        </w:rPr>
        <w:t>招标文件中对违约责任已经有约定的</w:t>
      </w:r>
      <w:r>
        <w:rPr>
          <w:rFonts w:hint="eastAsia"/>
          <w:sz w:val="24"/>
          <w:lang w:eastAsia="zh-Hans"/>
        </w:rPr>
        <w:t>，从其约定</w:t>
      </w:r>
      <w:r>
        <w:rPr>
          <w:sz w:val="24"/>
          <w:lang w:eastAsia="zh-Hans"/>
        </w:rPr>
        <w:t>，本合同不再赘述</w:t>
      </w:r>
      <w:r>
        <w:rPr>
          <w:rFonts w:hint="eastAsia"/>
          <w:sz w:val="24"/>
          <w:lang w:eastAsia="zh-Hans"/>
        </w:rPr>
        <w:t>。</w:t>
      </w:r>
    </w:p>
    <w:p w14:paraId="4093D640">
      <w:pPr>
        <w:spacing w:line="360" w:lineRule="auto"/>
        <w:ind w:firstLine="480" w:firstLineChars="200"/>
        <w:rPr>
          <w:sz w:val="24"/>
          <w:lang w:eastAsia="zh-Hans"/>
        </w:rPr>
      </w:pPr>
      <w:r>
        <w:rPr>
          <w:rFonts w:hint="eastAsia"/>
          <w:sz w:val="24"/>
          <w:lang w:eastAsia="zh-Hans"/>
        </w:rPr>
        <w:t>6、</w:t>
      </w:r>
      <w:r>
        <w:rPr>
          <w:sz w:val="24"/>
          <w:lang w:eastAsia="zh-Hans"/>
        </w:rPr>
        <w:t>本合同对违约责任另有约定的从其约定</w:t>
      </w:r>
      <w:r>
        <w:rPr>
          <w:rFonts w:hint="eastAsia"/>
          <w:sz w:val="24"/>
          <w:lang w:eastAsia="zh-Hans"/>
        </w:rPr>
        <w:t>。</w:t>
      </w:r>
    </w:p>
    <w:p w14:paraId="292FAF4A">
      <w:pPr>
        <w:spacing w:line="360" w:lineRule="auto"/>
        <w:ind w:firstLine="480" w:firstLineChars="200"/>
        <w:rPr>
          <w:sz w:val="24"/>
          <w:lang w:eastAsia="zh-Hans"/>
        </w:rPr>
      </w:pPr>
      <w:r>
        <w:rPr>
          <w:rFonts w:hint="eastAsia"/>
          <w:sz w:val="24"/>
          <w:lang w:eastAsia="zh-Hans"/>
        </w:rPr>
        <w:t>7、</w:t>
      </w:r>
      <w:r>
        <w:rPr>
          <w:sz w:val="24"/>
          <w:lang w:eastAsia="zh-Hans"/>
        </w:rPr>
        <w:t>违约金不足以弥补违约方给守约方造成的损失的</w:t>
      </w:r>
      <w:r>
        <w:rPr>
          <w:rFonts w:hint="eastAsia"/>
          <w:sz w:val="24"/>
          <w:lang w:eastAsia="zh-Hans"/>
        </w:rPr>
        <w:t>，</w:t>
      </w:r>
      <w:r>
        <w:rPr>
          <w:sz w:val="24"/>
          <w:lang w:eastAsia="zh-Hans"/>
        </w:rPr>
        <w:t>违约方应另行补足</w:t>
      </w:r>
      <w:r>
        <w:rPr>
          <w:rFonts w:hint="eastAsia"/>
          <w:sz w:val="24"/>
          <w:lang w:eastAsia="zh-Hans"/>
        </w:rPr>
        <w:t>。</w:t>
      </w:r>
    </w:p>
    <w:p w14:paraId="34B7DF65">
      <w:pPr>
        <w:spacing w:line="360" w:lineRule="auto"/>
        <w:ind w:firstLine="480" w:firstLineChars="200"/>
        <w:rPr>
          <w:sz w:val="24"/>
        </w:rPr>
      </w:pPr>
      <w:r>
        <w:rPr>
          <w:sz w:val="24"/>
        </w:rPr>
        <w:t>十一、不可抗力事件处理</w:t>
      </w:r>
    </w:p>
    <w:p w14:paraId="5F79E238">
      <w:pPr>
        <w:spacing w:line="360" w:lineRule="auto"/>
        <w:ind w:firstLine="480" w:firstLineChars="200"/>
        <w:rPr>
          <w:sz w:val="24"/>
        </w:rPr>
      </w:pPr>
      <w:r>
        <w:rPr>
          <w:sz w:val="24"/>
        </w:rPr>
        <w:t>1、在合同有效期内，任何一方因不可抗力事件导致不能履行</w:t>
      </w:r>
      <w:r>
        <w:rPr>
          <w:rFonts w:hint="eastAsia"/>
          <w:sz w:val="24"/>
          <w:lang w:eastAsia="zh-Hans"/>
        </w:rPr>
        <w:t>本</w:t>
      </w:r>
      <w:r>
        <w:rPr>
          <w:sz w:val="24"/>
        </w:rPr>
        <w:t>合同，则合同履行期可延长，其延长期与不可抗力影响期相同。</w:t>
      </w:r>
    </w:p>
    <w:p w14:paraId="5C6EE409">
      <w:pPr>
        <w:spacing w:line="360" w:lineRule="auto"/>
        <w:ind w:firstLine="480" w:firstLineChars="200"/>
        <w:rPr>
          <w:sz w:val="24"/>
        </w:rPr>
      </w:pPr>
      <w:r>
        <w:rPr>
          <w:sz w:val="24"/>
        </w:rPr>
        <w:t>2、不可抗力事件发生后，应立即通知对方，并寄送有关权威机构出具的证明。</w:t>
      </w:r>
    </w:p>
    <w:p w14:paraId="58F7B166">
      <w:pPr>
        <w:spacing w:line="360" w:lineRule="auto"/>
        <w:ind w:firstLine="480" w:firstLineChars="200"/>
        <w:rPr>
          <w:sz w:val="24"/>
        </w:rPr>
      </w:pPr>
      <w:r>
        <w:rPr>
          <w:sz w:val="24"/>
        </w:rPr>
        <w:t>3、不可抗力事件延续</w:t>
      </w:r>
      <w:r>
        <w:rPr>
          <w:rFonts w:hint="eastAsia"/>
          <w:sz w:val="24"/>
          <w:lang w:val="en-US" w:eastAsia="zh-CN"/>
        </w:rPr>
        <w:t>60</w:t>
      </w:r>
      <w:r>
        <w:rPr>
          <w:sz w:val="24"/>
        </w:rPr>
        <w:t>天以上，双方应通过友好协商，确定是否继续履行合同。</w:t>
      </w:r>
    </w:p>
    <w:p w14:paraId="7224FB10">
      <w:pPr>
        <w:pStyle w:val="25"/>
        <w:snapToGrid w:val="0"/>
        <w:spacing w:line="360" w:lineRule="auto"/>
        <w:rPr>
          <w:rFonts w:ascii="Times New Roman" w:hAnsi="Times New Roman"/>
          <w:color w:val="000000"/>
        </w:rPr>
      </w:pPr>
      <w:r>
        <w:rPr>
          <w:rFonts w:ascii="Times New Roman" w:hAnsi="Times New Roman"/>
        </w:rPr>
        <w:t>十二、</w:t>
      </w:r>
      <w:r>
        <w:rPr>
          <w:rFonts w:ascii="Times New Roman" w:hAnsi="Times New Roman"/>
          <w:color w:val="000000"/>
        </w:rPr>
        <w:t>争端的解决</w:t>
      </w:r>
    </w:p>
    <w:p w14:paraId="20A511D6">
      <w:pPr>
        <w:pStyle w:val="25"/>
        <w:snapToGrid w:val="0"/>
        <w:spacing w:line="360" w:lineRule="auto"/>
        <w:rPr>
          <w:rFonts w:ascii="Times New Roman" w:hAnsi="Times New Roman"/>
          <w:color w:val="000000"/>
        </w:rPr>
      </w:pPr>
      <w:r>
        <w:rPr>
          <w:rFonts w:ascii="Times New Roman" w:hAnsi="Times New Roman"/>
          <w:color w:val="000000"/>
        </w:rPr>
        <w:t>1、本协议未尽事宜，双方可协商达成补充协议。补充协议与本协议具同等法律效力。</w:t>
      </w:r>
    </w:p>
    <w:p w14:paraId="4A9E121D">
      <w:pPr>
        <w:pStyle w:val="25"/>
        <w:snapToGrid w:val="0"/>
        <w:spacing w:line="360" w:lineRule="auto"/>
        <w:rPr>
          <w:rFonts w:ascii="Times New Roman" w:hAnsi="Times New Roman"/>
          <w:color w:val="000000"/>
        </w:rPr>
      </w:pPr>
      <w:r>
        <w:rPr>
          <w:rFonts w:ascii="Times New Roman" w:hAnsi="Times New Roman"/>
          <w:color w:val="000000"/>
        </w:rPr>
        <w:t>2、协议履行过程中发生的任何争议，若双方不能通过友好协商的方式加以解决，可向甲方所在地人民法院提起诉讼，</w:t>
      </w:r>
      <w:r>
        <w:rPr>
          <w:rFonts w:hint="eastAsia" w:ascii="Times New Roman" w:hAnsi="Times New Roman"/>
          <w:color w:val="000000"/>
          <w:lang w:eastAsia="zh-Hans"/>
        </w:rPr>
        <w:t>由败诉方承担守约方实现债权所产生的全部费用</w:t>
      </w:r>
      <w:r>
        <w:rPr>
          <w:rFonts w:ascii="Times New Roman" w:hAnsi="Times New Roman"/>
          <w:color w:val="000000"/>
          <w:lang w:eastAsia="zh-Hans"/>
        </w:rPr>
        <w:t>（</w:t>
      </w:r>
      <w:r>
        <w:rPr>
          <w:rFonts w:hint="eastAsia" w:ascii="Times New Roman" w:hAnsi="Times New Roman"/>
          <w:color w:val="000000"/>
          <w:lang w:eastAsia="zh-Hans"/>
        </w:rPr>
        <w:t>包括但不限于律师费</w:t>
      </w:r>
      <w:r>
        <w:rPr>
          <w:rFonts w:ascii="Times New Roman" w:hAnsi="Times New Roman"/>
          <w:color w:val="000000"/>
          <w:lang w:eastAsia="zh-Hans"/>
        </w:rPr>
        <w:t>、</w:t>
      </w:r>
      <w:r>
        <w:rPr>
          <w:rFonts w:hint="eastAsia" w:ascii="Times New Roman" w:hAnsi="Times New Roman"/>
          <w:color w:val="000000"/>
          <w:lang w:eastAsia="zh-Hans"/>
        </w:rPr>
        <w:t>差旅费</w:t>
      </w:r>
      <w:r>
        <w:rPr>
          <w:rFonts w:ascii="Times New Roman" w:hAnsi="Times New Roman"/>
          <w:color w:val="000000"/>
          <w:lang w:eastAsia="zh-Hans"/>
        </w:rPr>
        <w:t>、</w:t>
      </w:r>
      <w:r>
        <w:rPr>
          <w:rFonts w:hint="eastAsia" w:ascii="Times New Roman" w:hAnsi="Times New Roman"/>
          <w:color w:val="000000"/>
          <w:lang w:eastAsia="zh-Hans"/>
        </w:rPr>
        <w:t>公证费</w:t>
      </w:r>
      <w:r>
        <w:rPr>
          <w:rFonts w:ascii="Times New Roman" w:hAnsi="Times New Roman"/>
          <w:color w:val="000000"/>
          <w:lang w:eastAsia="zh-Hans"/>
        </w:rPr>
        <w:t>、</w:t>
      </w:r>
      <w:r>
        <w:rPr>
          <w:rFonts w:hint="eastAsia" w:ascii="Times New Roman" w:hAnsi="Times New Roman"/>
          <w:color w:val="000000"/>
          <w:lang w:eastAsia="zh-Hans"/>
        </w:rPr>
        <w:t>鉴定费等</w:t>
      </w:r>
      <w:r>
        <w:rPr>
          <w:rFonts w:ascii="Times New Roman" w:hAnsi="Times New Roman"/>
          <w:color w:val="000000"/>
          <w:lang w:eastAsia="zh-Hans"/>
        </w:rPr>
        <w:t>）</w:t>
      </w:r>
      <w:r>
        <w:rPr>
          <w:rFonts w:ascii="Times New Roman" w:hAnsi="Times New Roman"/>
          <w:color w:val="000000"/>
        </w:rPr>
        <w:t>。</w:t>
      </w:r>
    </w:p>
    <w:p w14:paraId="2E837F44">
      <w:pPr>
        <w:pStyle w:val="25"/>
        <w:snapToGrid w:val="0"/>
        <w:spacing w:line="360" w:lineRule="auto"/>
        <w:rPr>
          <w:rFonts w:ascii="Times New Roman" w:hAnsi="Times New Roman"/>
        </w:rPr>
      </w:pPr>
      <w:r>
        <w:rPr>
          <w:rFonts w:ascii="Times New Roman" w:hAnsi="Times New Roman"/>
          <w:color w:val="000000"/>
        </w:rPr>
        <w:t>3、在法院审理期间，除提交法院审理的事项外，协议其它事项和条款仍应继续履行。</w:t>
      </w:r>
    </w:p>
    <w:p w14:paraId="339B6548">
      <w:pPr>
        <w:spacing w:line="360" w:lineRule="auto"/>
        <w:ind w:firstLine="480" w:firstLineChars="200"/>
        <w:rPr>
          <w:sz w:val="24"/>
        </w:rPr>
      </w:pPr>
      <w:r>
        <w:rPr>
          <w:sz w:val="24"/>
        </w:rPr>
        <w:t>十三、合同生效及其它</w:t>
      </w:r>
    </w:p>
    <w:p w14:paraId="7224E86A">
      <w:pPr>
        <w:autoSpaceDE w:val="0"/>
        <w:autoSpaceDN w:val="0"/>
        <w:spacing w:line="360" w:lineRule="auto"/>
        <w:ind w:firstLine="480" w:firstLineChars="200"/>
        <w:jc w:val="left"/>
        <w:rPr>
          <w:kern w:val="0"/>
          <w:sz w:val="24"/>
        </w:rPr>
      </w:pPr>
      <w:r>
        <w:rPr>
          <w:sz w:val="24"/>
        </w:rPr>
        <w:t>1、</w:t>
      </w:r>
      <w:r>
        <w:rPr>
          <w:kern w:val="0"/>
          <w:sz w:val="24"/>
          <w:lang w:val="zh-CN"/>
        </w:rPr>
        <w:t>本合同</w:t>
      </w:r>
      <w:r>
        <w:rPr>
          <w:kern w:val="0"/>
          <w:sz w:val="24"/>
        </w:rPr>
        <w:t>（□</w:t>
      </w:r>
      <w:r>
        <w:rPr>
          <w:kern w:val="0"/>
          <w:sz w:val="24"/>
          <w:lang w:val="zh-CN"/>
        </w:rPr>
        <w:t>是</w:t>
      </w:r>
      <w:r>
        <w:rPr>
          <w:kern w:val="0"/>
          <w:sz w:val="24"/>
        </w:rPr>
        <w:t xml:space="preserve">  □</w:t>
      </w:r>
      <w:r>
        <w:rPr>
          <w:rFonts w:hint="eastAsia" w:ascii="宋体" w:hAnsi="宋体"/>
          <w:kern w:val="0"/>
          <w:sz w:val="24"/>
        </w:rPr>
        <w:t>√</w:t>
      </w:r>
      <w:r>
        <w:rPr>
          <w:kern w:val="0"/>
          <w:sz w:val="24"/>
          <w:lang w:val="zh-CN"/>
        </w:rPr>
        <w:t>否</w:t>
      </w:r>
      <w:r>
        <w:rPr>
          <w:kern w:val="0"/>
          <w:sz w:val="24"/>
        </w:rPr>
        <w:t>）</w:t>
      </w:r>
      <w:r>
        <w:rPr>
          <w:kern w:val="0"/>
          <w:sz w:val="24"/>
          <w:lang w:val="zh-CN"/>
        </w:rPr>
        <w:t>为可融资合同</w:t>
      </w:r>
      <w:r>
        <w:rPr>
          <w:kern w:val="0"/>
          <w:sz w:val="24"/>
        </w:rPr>
        <w:t>，</w:t>
      </w:r>
      <w:r>
        <w:rPr>
          <w:kern w:val="0"/>
          <w:sz w:val="24"/>
          <w:lang w:val="zh-CN"/>
        </w:rPr>
        <w:t>关于中小企业信用融资事项可登陆杭州市政府采购网</w:t>
      </w:r>
      <w:r>
        <w:rPr>
          <w:kern w:val="0"/>
          <w:sz w:val="24"/>
        </w:rPr>
        <w:t>（http://cg.hzft.gov.cn）“</w:t>
      </w:r>
      <w:r>
        <w:rPr>
          <w:kern w:val="0"/>
          <w:sz w:val="24"/>
          <w:lang w:val="zh-CN"/>
        </w:rPr>
        <w:t>中小企业信用融资</w:t>
      </w:r>
      <w:r>
        <w:rPr>
          <w:kern w:val="0"/>
          <w:sz w:val="24"/>
        </w:rPr>
        <w:t>”</w:t>
      </w:r>
      <w:r>
        <w:rPr>
          <w:kern w:val="0"/>
          <w:sz w:val="24"/>
          <w:lang w:val="zh-CN"/>
        </w:rPr>
        <w:t>专栏进行查询。</w:t>
      </w:r>
    </w:p>
    <w:p w14:paraId="1D2CB835">
      <w:pPr>
        <w:spacing w:line="360" w:lineRule="auto"/>
        <w:ind w:firstLine="480"/>
        <w:outlineLvl w:val="0"/>
        <w:rPr>
          <w:kern w:val="0"/>
          <w:sz w:val="24"/>
          <w:lang w:val="zh-CN"/>
        </w:rPr>
      </w:pPr>
      <w:r>
        <w:rPr>
          <w:sz w:val="24"/>
        </w:rPr>
        <w:t>2、</w:t>
      </w:r>
      <w:r>
        <w:rPr>
          <w:kern w:val="0"/>
          <w:sz w:val="24"/>
          <w:lang w:val="zh-CN"/>
        </w:rPr>
        <w:t>本合同（□是  □</w:t>
      </w:r>
      <w:r>
        <w:rPr>
          <w:rFonts w:hint="eastAsia" w:ascii="宋体" w:hAnsi="宋体"/>
          <w:kern w:val="0"/>
          <w:sz w:val="24"/>
          <w:lang w:val="zh-CN"/>
        </w:rPr>
        <w:t>√</w:t>
      </w:r>
      <w:r>
        <w:rPr>
          <w:kern w:val="0"/>
          <w:sz w:val="24"/>
          <w:lang w:val="zh-CN"/>
        </w:rPr>
        <w:t>否）为中小企业预留合同。</w:t>
      </w:r>
    </w:p>
    <w:p w14:paraId="6DA19733">
      <w:pPr>
        <w:spacing w:line="360" w:lineRule="auto"/>
        <w:ind w:firstLine="480" w:firstLineChars="200"/>
        <w:rPr>
          <w:sz w:val="24"/>
        </w:rPr>
      </w:pPr>
      <w:r>
        <w:rPr>
          <w:sz w:val="24"/>
        </w:rPr>
        <w:t>3、</w:t>
      </w:r>
      <w:r>
        <w:rPr>
          <w:rFonts w:hint="eastAsia"/>
          <w:sz w:val="24"/>
        </w:rPr>
        <w:t>本</w:t>
      </w:r>
      <w:r>
        <w:rPr>
          <w:sz w:val="24"/>
        </w:rPr>
        <w:t>合同经双方法定代表人（或授权代表）签字并加盖单位公章（</w:t>
      </w:r>
      <w:r>
        <w:rPr>
          <w:rFonts w:hint="eastAsia"/>
          <w:sz w:val="24"/>
          <w:lang w:eastAsia="zh-Hans"/>
        </w:rPr>
        <w:t>或合同专用章</w:t>
      </w:r>
      <w:r>
        <w:rPr>
          <w:sz w:val="24"/>
          <w:lang w:eastAsia="zh-Hans"/>
        </w:rPr>
        <w:t>）</w:t>
      </w:r>
      <w:r>
        <w:rPr>
          <w:sz w:val="24"/>
        </w:rPr>
        <w:t>后生效。</w:t>
      </w:r>
    </w:p>
    <w:p w14:paraId="1719A1C0">
      <w:pPr>
        <w:spacing w:line="360" w:lineRule="auto"/>
        <w:ind w:firstLine="480" w:firstLineChars="200"/>
        <w:rPr>
          <w:sz w:val="24"/>
        </w:rPr>
      </w:pPr>
      <w:r>
        <w:rPr>
          <w:sz w:val="24"/>
        </w:rPr>
        <w:t>4、招标文件、投标文件及评标过程中形成的文字资料、询标纪要均作为本合同的组成部分，具有同等效力。本合同未尽事宜，遵照《</w:t>
      </w:r>
      <w:r>
        <w:rPr>
          <w:rFonts w:hint="eastAsia"/>
          <w:sz w:val="24"/>
        </w:rPr>
        <w:t>民法典</w:t>
      </w:r>
      <w:r>
        <w:rPr>
          <w:sz w:val="24"/>
        </w:rPr>
        <w:t>》有关条文执行。</w:t>
      </w:r>
    </w:p>
    <w:p w14:paraId="5F096F05">
      <w:pPr>
        <w:spacing w:line="360" w:lineRule="auto"/>
        <w:ind w:firstLine="480" w:firstLineChars="200"/>
        <w:rPr>
          <w:sz w:val="24"/>
        </w:rPr>
      </w:pPr>
      <w:r>
        <w:rPr>
          <w:sz w:val="24"/>
        </w:rPr>
        <w:t>5、本合同一式</w:t>
      </w:r>
      <w:r>
        <w:rPr>
          <w:rFonts w:hint="eastAsia"/>
          <w:sz w:val="24"/>
        </w:rPr>
        <w:t>陆</w:t>
      </w:r>
      <w:r>
        <w:rPr>
          <w:sz w:val="24"/>
        </w:rPr>
        <w:t>份，具有同等法律效力，甲</w:t>
      </w:r>
      <w:r>
        <w:rPr>
          <w:rFonts w:hint="eastAsia"/>
          <w:sz w:val="24"/>
        </w:rPr>
        <w:t>方</w:t>
      </w:r>
      <w:r>
        <w:rPr>
          <w:sz w:val="24"/>
        </w:rPr>
        <w:t>执</w:t>
      </w:r>
      <w:r>
        <w:rPr>
          <w:rFonts w:hint="eastAsia"/>
          <w:sz w:val="24"/>
        </w:rPr>
        <w:t>肆</w:t>
      </w:r>
      <w:r>
        <w:rPr>
          <w:sz w:val="24"/>
        </w:rPr>
        <w:t>份</w:t>
      </w:r>
      <w:r>
        <w:rPr>
          <w:rFonts w:hint="eastAsia"/>
          <w:sz w:val="24"/>
        </w:rPr>
        <w:t>，乙方执贰份</w:t>
      </w:r>
      <w:bookmarkEnd w:id="412"/>
      <w:bookmarkEnd w:id="413"/>
      <w:bookmarkEnd w:id="414"/>
      <w:r>
        <w:rPr>
          <w:rFonts w:hint="eastAsia"/>
          <w:sz w:val="24"/>
        </w:rPr>
        <w:t>。</w:t>
      </w:r>
    </w:p>
    <w:p w14:paraId="72C6B5D1">
      <w:pPr>
        <w:pStyle w:val="25"/>
        <w:snapToGrid w:val="0"/>
        <w:spacing w:line="360" w:lineRule="auto"/>
        <w:ind w:left="55" w:leftChars="26" w:right="-624" w:rightChars="-297" w:firstLine="57" w:firstLineChars="24"/>
        <w:rPr>
          <w:rFonts w:ascii="Times New Roman" w:hAnsi="Times New Roman"/>
          <w:color w:val="000000"/>
        </w:rPr>
      </w:pPr>
    </w:p>
    <w:p w14:paraId="5168D5C8">
      <w:pPr>
        <w:pStyle w:val="25"/>
        <w:snapToGrid w:val="0"/>
        <w:spacing w:line="360" w:lineRule="auto"/>
        <w:ind w:left="55" w:leftChars="26" w:right="-624" w:rightChars="-297" w:firstLine="57" w:firstLineChars="24"/>
        <w:rPr>
          <w:rFonts w:ascii="Times New Roman" w:hAnsi="Times New Roman"/>
          <w:color w:val="000000"/>
        </w:rPr>
      </w:pPr>
    </w:p>
    <w:p w14:paraId="2E13AE1D">
      <w:pPr>
        <w:pStyle w:val="25"/>
        <w:snapToGrid w:val="0"/>
        <w:spacing w:line="360" w:lineRule="auto"/>
        <w:ind w:left="55" w:leftChars="26" w:right="-624" w:rightChars="-297" w:firstLine="57" w:firstLineChars="24"/>
        <w:rPr>
          <w:rFonts w:ascii="Times New Roman" w:hAnsi="Times New Roman"/>
          <w:color w:val="000000"/>
        </w:rPr>
      </w:pPr>
      <w:r>
        <w:rPr>
          <w:rFonts w:ascii="Times New Roman" w:hAnsi="Times New Roman"/>
          <w:color w:val="000000"/>
        </w:rPr>
        <w:t>甲方（公章）：</w:t>
      </w:r>
      <w:r>
        <w:rPr>
          <w:rFonts w:hint="eastAsia" w:ascii="Times New Roman" w:hAnsi="Times New Roman"/>
          <w:color w:val="000000"/>
        </w:rPr>
        <w:t xml:space="preserve"> </w:t>
      </w:r>
      <w:r>
        <w:rPr>
          <w:rFonts w:ascii="Times New Roman" w:hAnsi="Times New Roman"/>
          <w:color w:val="000000"/>
        </w:rPr>
        <w:t xml:space="preserve">                       乙方（公章）：</w:t>
      </w:r>
    </w:p>
    <w:p w14:paraId="50685A7C">
      <w:pPr>
        <w:pStyle w:val="25"/>
        <w:snapToGrid w:val="0"/>
        <w:spacing w:line="360" w:lineRule="auto"/>
        <w:ind w:left="55" w:leftChars="26" w:right="-624" w:rightChars="-297" w:firstLine="57" w:firstLineChars="24"/>
        <w:rPr>
          <w:rFonts w:ascii="Times New Roman" w:hAnsi="Times New Roman"/>
          <w:color w:val="000000"/>
        </w:rPr>
      </w:pPr>
      <w:r>
        <w:rPr>
          <w:rFonts w:ascii="Times New Roman" w:hAnsi="Times New Roman"/>
          <w:color w:val="000000"/>
        </w:rPr>
        <w:t>单位名称：                            单位名称：</w:t>
      </w:r>
    </w:p>
    <w:p w14:paraId="359F5AB2">
      <w:pPr>
        <w:pStyle w:val="25"/>
        <w:snapToGrid w:val="0"/>
        <w:spacing w:line="360" w:lineRule="auto"/>
        <w:ind w:left="55" w:leftChars="26" w:right="-624" w:rightChars="-297" w:firstLine="57" w:firstLineChars="24"/>
        <w:rPr>
          <w:rFonts w:ascii="Times New Roman" w:hAnsi="Times New Roman"/>
          <w:color w:val="000000"/>
        </w:rPr>
      </w:pPr>
      <w:r>
        <w:rPr>
          <w:rFonts w:ascii="Times New Roman" w:hAnsi="Times New Roman"/>
          <w:color w:val="000000"/>
        </w:rPr>
        <w:t>法人代表</w:t>
      </w:r>
      <w:r>
        <w:rPr>
          <w:rFonts w:hint="eastAsia" w:ascii="Times New Roman" w:hAnsi="Times New Roman"/>
          <w:color w:val="000000"/>
        </w:rPr>
        <w:t>或授权委托人</w:t>
      </w:r>
      <w:r>
        <w:rPr>
          <w:rFonts w:ascii="Times New Roman" w:hAnsi="Times New Roman"/>
          <w:color w:val="000000"/>
        </w:rPr>
        <w:t>：                法人代表</w:t>
      </w:r>
      <w:r>
        <w:rPr>
          <w:rFonts w:hint="eastAsia" w:ascii="Times New Roman" w:hAnsi="Times New Roman"/>
          <w:color w:val="000000"/>
        </w:rPr>
        <w:t>或</w:t>
      </w:r>
      <w:r>
        <w:rPr>
          <w:rFonts w:ascii="Times New Roman" w:hAnsi="Times New Roman"/>
          <w:color w:val="000000"/>
        </w:rPr>
        <w:t>授权委托人：</w:t>
      </w:r>
    </w:p>
    <w:p w14:paraId="2C1BCCD1">
      <w:pPr>
        <w:pStyle w:val="25"/>
        <w:snapToGrid w:val="0"/>
        <w:spacing w:line="360" w:lineRule="auto"/>
        <w:ind w:left="55" w:leftChars="26" w:right="-624" w:rightChars="-297" w:firstLine="57" w:firstLineChars="24"/>
        <w:rPr>
          <w:rFonts w:ascii="Times New Roman" w:hAnsi="Times New Roman"/>
        </w:rPr>
      </w:pPr>
      <w:r>
        <w:rPr>
          <w:rFonts w:ascii="Times New Roman" w:hAnsi="Times New Roman"/>
          <w:color w:val="000000"/>
        </w:rPr>
        <w:t>日期：年月日　　　                    日期：年月日</w:t>
      </w:r>
    </w:p>
    <w:p w14:paraId="72A241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  </w:t>
      </w:r>
    </w:p>
    <w:p w14:paraId="265D86D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1"/>
      <w:r>
        <w:rPr>
          <w:rFonts w:hint="eastAsia" w:ascii="宋体" w:hAnsi="宋体" w:cs="宋体"/>
          <w:b/>
          <w:color w:val="auto"/>
          <w:sz w:val="36"/>
          <w:szCs w:val="20"/>
          <w:highlight w:val="none"/>
        </w:rPr>
        <w:t xml:space="preserve"> </w:t>
      </w:r>
      <w:bookmarkEnd w:id="402"/>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杭州市丁桥医院后勤技术保障部分服务采购项目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HSZB-2025-604</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杭州市丁桥医院后勤技术保障部分服务采购项目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HSZB-2025-604</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15" w:name="_Hlk101257010"/>
      <w:r>
        <w:rPr>
          <w:rFonts w:hint="eastAsia" w:ascii="宋体" w:hAnsi="宋体" w:cs="宋体"/>
          <w:color w:val="auto"/>
          <w:sz w:val="24"/>
          <w:highlight w:val="none"/>
        </w:rPr>
        <w:t>（如果有)</w:t>
      </w:r>
      <w:bookmarkEnd w:id="41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246F5383">
      <w:pPr>
        <w:jc w:val="center"/>
        <w:rPr>
          <w:rFonts w:hint="eastAsia" w:ascii="宋体" w:hAnsi="宋体" w:cs="宋体"/>
          <w:b/>
          <w:color w:val="auto"/>
          <w:kern w:val="0"/>
          <w:sz w:val="32"/>
          <w:szCs w:val="32"/>
          <w:highlight w:val="none"/>
          <w:lang w:val="zh-CN"/>
        </w:rPr>
      </w:pPr>
    </w:p>
    <w:p w14:paraId="58E042D6">
      <w:pPr>
        <w:jc w:val="center"/>
        <w:rPr>
          <w:rFonts w:hint="eastAsia" w:ascii="宋体" w:hAnsi="宋体" w:cs="宋体"/>
          <w:b/>
          <w:color w:val="auto"/>
          <w:kern w:val="0"/>
          <w:sz w:val="32"/>
          <w:szCs w:val="32"/>
          <w:highlight w:val="none"/>
          <w:lang w:val="zh-CN"/>
        </w:rPr>
      </w:pPr>
    </w:p>
    <w:p w14:paraId="0BBB3D30">
      <w:pPr>
        <w:jc w:val="center"/>
        <w:rPr>
          <w:rFonts w:hint="eastAsia" w:ascii="宋体" w:hAnsi="宋体" w:cs="宋体"/>
          <w:b/>
          <w:color w:val="auto"/>
          <w:kern w:val="0"/>
          <w:sz w:val="32"/>
          <w:szCs w:val="32"/>
          <w:highlight w:val="none"/>
          <w:lang w:val="zh-CN"/>
        </w:rPr>
      </w:pPr>
    </w:p>
    <w:p w14:paraId="171E77B8">
      <w:pPr>
        <w:jc w:val="center"/>
        <w:rPr>
          <w:rFonts w:hint="eastAsia" w:ascii="宋体" w:hAnsi="宋体" w:cs="宋体"/>
          <w:b/>
          <w:color w:val="auto"/>
          <w:kern w:val="0"/>
          <w:sz w:val="32"/>
          <w:szCs w:val="32"/>
          <w:highlight w:val="none"/>
          <w:lang w:val="zh-CN"/>
        </w:rPr>
      </w:pPr>
    </w:p>
    <w:p w14:paraId="22B31A50">
      <w:pPr>
        <w:jc w:val="center"/>
        <w:rPr>
          <w:rFonts w:hint="eastAsia" w:ascii="宋体" w:hAnsi="宋体" w:cs="宋体"/>
          <w:b/>
          <w:color w:val="auto"/>
          <w:kern w:val="0"/>
          <w:sz w:val="32"/>
          <w:szCs w:val="32"/>
          <w:highlight w:val="none"/>
          <w:lang w:val="zh-CN"/>
        </w:rPr>
      </w:pPr>
    </w:p>
    <w:p w14:paraId="25B76F5E">
      <w:pPr>
        <w:jc w:val="center"/>
        <w:rPr>
          <w:rFonts w:hint="eastAsia" w:ascii="宋体" w:hAnsi="宋体" w:cs="宋体"/>
          <w:b/>
          <w:color w:val="auto"/>
          <w:kern w:val="0"/>
          <w:sz w:val="32"/>
          <w:szCs w:val="32"/>
          <w:highlight w:val="none"/>
          <w:lang w:val="zh-CN"/>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杭州市丁桥医院后勤技术保障部分服务采购项目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杭州市丁桥医院后勤技术保障部分服务采购项目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0AC8089C">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50"/>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3A8920AB">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54FBE042">
      <w:pPr>
        <w:jc w:val="center"/>
        <w:rPr>
          <w:rFonts w:hint="eastAsia" w:ascii="宋体" w:hAnsi="宋体" w:cs="宋体"/>
          <w:b/>
          <w:color w:val="auto"/>
          <w:kern w:val="0"/>
          <w:sz w:val="32"/>
          <w:szCs w:val="32"/>
          <w:highlight w:val="none"/>
        </w:rPr>
      </w:pPr>
    </w:p>
    <w:p w14:paraId="64BCD908">
      <w:pPr>
        <w:jc w:val="center"/>
        <w:rPr>
          <w:rFonts w:hint="eastAsia"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6134"/>
        <w:gridCol w:w="2195"/>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6" w:type="dxa"/>
            <w:vAlign w:val="center"/>
          </w:tcPr>
          <w:p w14:paraId="454B70B6">
            <w:pPr>
              <w:snapToGrid w:val="0"/>
              <w:spacing w:line="240" w:lineRule="auto"/>
              <w:jc w:val="center"/>
              <w:rPr>
                <w:rFonts w:hint="default" w:ascii="Times New Roman" w:hAnsi="Times New Roman" w:eastAsia="宋体" w:cs="Times New Roman"/>
                <w:b w:val="0"/>
                <w:bCs/>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序号</w:t>
            </w:r>
          </w:p>
        </w:tc>
        <w:tc>
          <w:tcPr>
            <w:tcW w:w="6134" w:type="dxa"/>
            <w:vAlign w:val="center"/>
          </w:tcPr>
          <w:p w14:paraId="7094874F">
            <w:pPr>
              <w:snapToGrid w:val="0"/>
              <w:spacing w:line="240" w:lineRule="auto"/>
              <w:jc w:val="center"/>
              <w:rPr>
                <w:rFonts w:hint="default" w:ascii="Times New Roman" w:hAnsi="Times New Roman" w:eastAsia="宋体" w:cs="Times New Roman"/>
                <w:b w:val="0"/>
                <w:bCs/>
                <w:color w:val="auto"/>
                <w:sz w:val="24"/>
                <w:szCs w:val="24"/>
                <w:highlight w:val="none"/>
                <w:vertAlign w:val="baseline"/>
              </w:rPr>
            </w:pPr>
            <w:r>
              <w:rPr>
                <w:rFonts w:hint="default" w:ascii="Times New Roman" w:hAnsi="Times New Roman" w:eastAsia="宋体" w:cs="Times New Roman"/>
                <w:b w:val="0"/>
                <w:bCs/>
                <w:color w:val="auto"/>
                <w:sz w:val="24"/>
                <w:szCs w:val="24"/>
                <w:highlight w:val="none"/>
              </w:rPr>
              <w:t>投标文件中评标标准相应的商务技术资料目录*</w:t>
            </w:r>
          </w:p>
        </w:tc>
        <w:tc>
          <w:tcPr>
            <w:tcW w:w="2195" w:type="dxa"/>
            <w:vAlign w:val="center"/>
          </w:tcPr>
          <w:p w14:paraId="0D4E9F7F">
            <w:pPr>
              <w:snapToGrid w:val="0"/>
              <w:spacing w:line="240" w:lineRule="auto"/>
              <w:jc w:val="center"/>
              <w:rPr>
                <w:rFonts w:hint="default" w:ascii="Times New Roman" w:hAnsi="Times New Roman" w:eastAsia="宋体" w:cs="Times New Roman"/>
                <w:b w:val="0"/>
                <w:bCs/>
                <w:color w:val="auto"/>
                <w:sz w:val="24"/>
                <w:szCs w:val="24"/>
                <w:highlight w:val="none"/>
                <w:vertAlign w:val="baseline"/>
                <w:lang w:val="en-US" w:eastAsia="zh-CN"/>
              </w:rPr>
            </w:pPr>
            <w:r>
              <w:rPr>
                <w:rFonts w:hint="default" w:ascii="Times New Roman" w:hAnsi="Times New Roman" w:eastAsia="宋体" w:cs="Times New Roman"/>
                <w:b w:val="0"/>
                <w:bCs/>
                <w:color w:val="auto"/>
                <w:sz w:val="24"/>
                <w:szCs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7E1A295D">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6134" w:type="dxa"/>
            <w:shd w:val="clear" w:color="auto" w:fill="auto"/>
            <w:vAlign w:val="center"/>
          </w:tcPr>
          <w:p w14:paraId="423732E4">
            <w:pPr>
              <w:spacing w:line="240" w:lineRule="auto"/>
              <w:rPr>
                <w:rFonts w:hint="eastAsia" w:ascii="宋体" w:hAnsi="宋体" w:eastAsia="宋体" w:cs="宋体"/>
                <w:sz w:val="24"/>
                <w:szCs w:val="24"/>
              </w:rPr>
            </w:pPr>
            <w:r>
              <w:rPr>
                <w:rFonts w:hint="eastAsia" w:ascii="宋体" w:hAnsi="宋体" w:eastAsia="宋体" w:cs="宋体"/>
                <w:sz w:val="24"/>
                <w:szCs w:val="24"/>
              </w:rPr>
              <w:t>投标人资信：</w:t>
            </w:r>
          </w:p>
          <w:p w14:paraId="5A978268">
            <w:pPr>
              <w:spacing w:line="240" w:lineRule="auto"/>
              <w:rPr>
                <w:rFonts w:hint="eastAsia" w:ascii="宋体" w:hAnsi="宋体" w:eastAsia="宋体" w:cs="宋体"/>
                <w:sz w:val="24"/>
                <w:szCs w:val="24"/>
              </w:rPr>
            </w:pPr>
            <w:r>
              <w:rPr>
                <w:rFonts w:hint="eastAsia" w:ascii="宋体" w:hAnsi="宋体" w:eastAsia="宋体" w:cs="宋体"/>
                <w:sz w:val="24"/>
                <w:szCs w:val="24"/>
              </w:rPr>
              <w:t>投标人具有质量管理体系认证证书、环境管理体系认证证书</w:t>
            </w:r>
            <w:r>
              <w:rPr>
                <w:rFonts w:hint="eastAsia" w:ascii="宋体" w:hAnsi="宋体" w:eastAsia="宋体" w:cs="宋体"/>
                <w:sz w:val="24"/>
                <w:szCs w:val="24"/>
                <w:lang w:eastAsia="zh-CN"/>
              </w:rPr>
              <w:t>、</w:t>
            </w:r>
            <w:r>
              <w:rPr>
                <w:rFonts w:hint="eastAsia" w:ascii="宋体" w:hAnsi="宋体" w:eastAsia="宋体" w:cs="宋体"/>
                <w:sz w:val="24"/>
                <w:szCs w:val="24"/>
              </w:rPr>
              <w:t>职业健康安全管理体系认证证书且在有效期内，每提供一个证书得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最多得3分</w:t>
            </w:r>
            <w:r>
              <w:rPr>
                <w:rFonts w:hint="eastAsia" w:ascii="宋体" w:hAnsi="宋体" w:eastAsia="宋体" w:cs="宋体"/>
                <w:sz w:val="24"/>
                <w:szCs w:val="24"/>
              </w:rPr>
              <w:t>。</w:t>
            </w:r>
          </w:p>
          <w:p w14:paraId="235CCE9B">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注：</w:t>
            </w:r>
            <w:r>
              <w:rPr>
                <w:rFonts w:hint="eastAsia" w:ascii="宋体" w:hAnsi="宋体" w:eastAsia="宋体" w:cs="宋体"/>
                <w:color w:val="auto"/>
                <w:sz w:val="24"/>
                <w:szCs w:val="24"/>
                <w:highlight w:val="none"/>
                <w:lang w:val="en-US" w:eastAsia="zh-CN"/>
              </w:rPr>
              <w:t>提供有效的证书扫描件及全国认证认可信息公共服务平台（http://cx.cnca.cn）网站查询截图（查询状态为有效），不提供的不得分。</w:t>
            </w:r>
          </w:p>
        </w:tc>
        <w:tc>
          <w:tcPr>
            <w:tcW w:w="2195" w:type="dxa"/>
            <w:vAlign w:val="center"/>
          </w:tcPr>
          <w:p w14:paraId="0CA3674D">
            <w:pPr>
              <w:snapToGrid/>
              <w:spacing w:line="240" w:lineRule="auto"/>
              <w:jc w:val="center"/>
              <w:rPr>
                <w:rFonts w:hint="default" w:ascii="Times New Roman" w:hAnsi="Times New Roman" w:eastAsia="宋体" w:cs="Times New Roman"/>
                <w:b w:val="0"/>
                <w:bCs/>
                <w:color w:val="auto"/>
                <w:sz w:val="24"/>
                <w:szCs w:val="24"/>
                <w:highlight w:val="none"/>
                <w:vertAlign w:val="baseli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35EFBF41">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6134" w:type="dxa"/>
            <w:shd w:val="clear" w:color="auto" w:fill="auto"/>
            <w:vAlign w:val="center"/>
          </w:tcPr>
          <w:p w14:paraId="2A99AA40">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投标人202</w:t>
            </w:r>
            <w:r>
              <w:rPr>
                <w:rFonts w:hint="eastAsia" w:ascii="宋体" w:hAnsi="宋体" w:eastAsia="宋体" w:cs="宋体"/>
                <w:sz w:val="24"/>
                <w:szCs w:val="24"/>
                <w:lang w:val="en-US" w:eastAsia="zh-CN"/>
              </w:rPr>
              <w:t>2</w:t>
            </w:r>
            <w:r>
              <w:rPr>
                <w:rFonts w:hint="eastAsia" w:ascii="宋体" w:hAnsi="宋体" w:eastAsia="宋体" w:cs="宋体"/>
                <w:sz w:val="24"/>
                <w:szCs w:val="24"/>
              </w:rPr>
              <w:t>年以来（以合同签订时间为准）已完成（或在管）的类似项目业绩情况，每提供一项有效业绩得0.5分，最高得1分。</w:t>
            </w:r>
            <w:r>
              <w:rPr>
                <w:rFonts w:hint="eastAsia" w:ascii="宋体" w:hAnsi="宋体" w:eastAsia="宋体" w:cs="宋体"/>
                <w:sz w:val="24"/>
                <w:szCs w:val="24"/>
                <w:lang w:val="en-US" w:eastAsia="zh-CN"/>
              </w:rPr>
              <w:t>注：</w:t>
            </w:r>
            <w:r>
              <w:rPr>
                <w:rFonts w:hint="eastAsia" w:ascii="宋体" w:hAnsi="宋体" w:eastAsia="宋体" w:cs="宋体"/>
                <w:sz w:val="24"/>
                <w:szCs w:val="24"/>
              </w:rPr>
              <w:t>须</w:t>
            </w:r>
            <w:r>
              <w:rPr>
                <w:rFonts w:hint="eastAsia" w:ascii="宋体" w:hAnsi="宋体" w:eastAsia="宋体" w:cs="宋体"/>
                <w:color w:val="000000"/>
                <w:kern w:val="0"/>
                <w:sz w:val="24"/>
                <w:szCs w:val="24"/>
              </w:rPr>
              <w:t>提供合同扫描件。</w:t>
            </w:r>
          </w:p>
        </w:tc>
        <w:tc>
          <w:tcPr>
            <w:tcW w:w="2195" w:type="dxa"/>
            <w:vAlign w:val="center"/>
          </w:tcPr>
          <w:p w14:paraId="249E10E5">
            <w:pPr>
              <w:snapToGrid/>
              <w:spacing w:line="240" w:lineRule="auto"/>
              <w:jc w:val="center"/>
              <w:rPr>
                <w:rFonts w:hint="default" w:ascii="Times New Roman" w:hAnsi="Times New Roman" w:eastAsia="宋体" w:cs="Times New Roman"/>
                <w:b w:val="0"/>
                <w:bCs/>
                <w:color w:val="auto"/>
                <w:sz w:val="24"/>
                <w:szCs w:val="24"/>
                <w:highlight w:val="none"/>
                <w:vertAlign w:val="baseli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70869D8B">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6134" w:type="dxa"/>
            <w:shd w:val="clear" w:color="auto" w:fill="auto"/>
            <w:vAlign w:val="center"/>
          </w:tcPr>
          <w:p w14:paraId="0E1A2FB7">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投标人的整体方案：</w:t>
            </w:r>
          </w:p>
        </w:tc>
        <w:tc>
          <w:tcPr>
            <w:tcW w:w="2195" w:type="dxa"/>
            <w:vAlign w:val="center"/>
          </w:tcPr>
          <w:p w14:paraId="5F158C9F">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25FB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43C24D82">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3.1</w:t>
            </w:r>
          </w:p>
        </w:tc>
        <w:tc>
          <w:tcPr>
            <w:tcW w:w="6134" w:type="dxa"/>
            <w:shd w:val="clear" w:color="auto" w:fill="auto"/>
            <w:vAlign w:val="center"/>
          </w:tcPr>
          <w:p w14:paraId="07BBE200">
            <w:pPr>
              <w:rPr>
                <w:rFonts w:hint="eastAsia" w:ascii="宋体" w:hAnsi="宋体" w:eastAsia="宋体" w:cs="宋体"/>
                <w:sz w:val="24"/>
                <w:szCs w:val="24"/>
              </w:rPr>
            </w:pPr>
            <w:r>
              <w:rPr>
                <w:rFonts w:hint="eastAsia" w:ascii="宋体" w:hAnsi="宋体" w:eastAsia="宋体" w:cs="宋体"/>
                <w:sz w:val="24"/>
                <w:szCs w:val="24"/>
              </w:rPr>
              <w:t>对本项目背景、现状的理解与分析以及针对本项目对采购人实际情况需求的把握。</w:t>
            </w:r>
          </w:p>
          <w:p w14:paraId="692553C5">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能够贴合项目实际情况，切合实际、合理可行、全面详细的得5分；能够贴合项目实际情况，切合实际但不够全面详细的得4分；基本符合实际、可行详细的得3分；基本符合实际、大致可行、略有疏漏的得2分；思路不切实际、可行性较差的得1分；未提供不得分。</w:t>
            </w:r>
          </w:p>
        </w:tc>
        <w:tc>
          <w:tcPr>
            <w:tcW w:w="2195" w:type="dxa"/>
            <w:vAlign w:val="center"/>
          </w:tcPr>
          <w:p w14:paraId="31C685AB">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61F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7B1F69E9">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3.2</w:t>
            </w:r>
          </w:p>
        </w:tc>
        <w:tc>
          <w:tcPr>
            <w:tcW w:w="6134" w:type="dxa"/>
            <w:shd w:val="clear" w:color="auto" w:fill="auto"/>
            <w:vAlign w:val="center"/>
          </w:tcPr>
          <w:p w14:paraId="154EC33B">
            <w:pPr>
              <w:rPr>
                <w:rFonts w:hint="eastAsia" w:ascii="宋体" w:hAnsi="宋体" w:eastAsia="宋体" w:cs="宋体"/>
                <w:sz w:val="24"/>
                <w:szCs w:val="24"/>
              </w:rPr>
            </w:pPr>
            <w:r>
              <w:rPr>
                <w:rFonts w:hint="eastAsia" w:ascii="宋体" w:hAnsi="宋体" w:eastAsia="宋体" w:cs="宋体"/>
                <w:sz w:val="24"/>
                <w:szCs w:val="24"/>
              </w:rPr>
              <w:t>对本项目方案的全面性、完整性、价值性及可操作性的综合评审。</w:t>
            </w:r>
          </w:p>
          <w:p w14:paraId="4E0451B0">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设计清晰、完整，完全吻合项目需求的得5分；方案略有瑕疵，基本满足项目需求的得4分；方案内容简单清晰得3分；方案内容不清晰，内容缺失的得2分；方案内容混乱，内容缺失严重的得1分；未提供方案不得分。</w:t>
            </w:r>
          </w:p>
        </w:tc>
        <w:tc>
          <w:tcPr>
            <w:tcW w:w="2195" w:type="dxa"/>
            <w:vAlign w:val="center"/>
          </w:tcPr>
          <w:p w14:paraId="4C0C66DA">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576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6DEB7760">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3.3</w:t>
            </w:r>
          </w:p>
        </w:tc>
        <w:tc>
          <w:tcPr>
            <w:tcW w:w="6134" w:type="dxa"/>
            <w:shd w:val="clear" w:color="auto" w:fill="auto"/>
            <w:vAlign w:val="center"/>
          </w:tcPr>
          <w:p w14:paraId="217A3474">
            <w:pPr>
              <w:jc w:val="left"/>
              <w:outlineLvl w:val="0"/>
              <w:rPr>
                <w:rFonts w:hint="eastAsia" w:ascii="宋体" w:hAnsi="宋体" w:eastAsia="宋体" w:cs="宋体"/>
                <w:sz w:val="24"/>
                <w:szCs w:val="24"/>
              </w:rPr>
            </w:pPr>
            <w:r>
              <w:rPr>
                <w:rFonts w:hint="eastAsia" w:ascii="宋体" w:hAnsi="宋体" w:eastAsia="宋体" w:cs="宋体"/>
                <w:sz w:val="24"/>
                <w:szCs w:val="24"/>
              </w:rPr>
              <w:t>对本项目采购需求关键点和难点的把握和理解（详细说明），以及更优化的建议等。</w:t>
            </w:r>
          </w:p>
          <w:p w14:paraId="32E4E426">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关键点和难点分析全面准确，建议与措施全面可行、重点突出的得5分；关键点和难点分析基本合理，建议与措施合理可行的4分；关键点和难点分析基本合理，建议与措施欠缺的3分；关键点和难点分析片面、欠合理，解决方法与措施描述笼统不清晰得2分；说明内容混乱，缺失严重的得1分；未提供不得分。</w:t>
            </w:r>
          </w:p>
        </w:tc>
        <w:tc>
          <w:tcPr>
            <w:tcW w:w="2195" w:type="dxa"/>
            <w:vAlign w:val="center"/>
          </w:tcPr>
          <w:p w14:paraId="5B82858C">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676F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00F93A9B">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6134" w:type="dxa"/>
            <w:shd w:val="clear" w:color="auto" w:fill="auto"/>
            <w:vAlign w:val="center"/>
          </w:tcPr>
          <w:p w14:paraId="48C6A340">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投标人的服务方案：</w:t>
            </w:r>
          </w:p>
        </w:tc>
        <w:tc>
          <w:tcPr>
            <w:tcW w:w="2195" w:type="dxa"/>
            <w:vAlign w:val="center"/>
          </w:tcPr>
          <w:p w14:paraId="0C03BC69">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CFE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5DAB5E71">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4.1</w:t>
            </w:r>
          </w:p>
        </w:tc>
        <w:tc>
          <w:tcPr>
            <w:tcW w:w="6134" w:type="dxa"/>
            <w:shd w:val="clear" w:color="auto" w:fill="auto"/>
            <w:vAlign w:val="center"/>
          </w:tcPr>
          <w:p w14:paraId="2F6818A4">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针对本项目设计一套可行服务方案：</w:t>
            </w:r>
          </w:p>
        </w:tc>
        <w:tc>
          <w:tcPr>
            <w:tcW w:w="2195" w:type="dxa"/>
            <w:vAlign w:val="center"/>
          </w:tcPr>
          <w:p w14:paraId="1D69AB38">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59A8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6FDC7CA7">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4.1.1</w:t>
            </w:r>
          </w:p>
        </w:tc>
        <w:tc>
          <w:tcPr>
            <w:tcW w:w="6134" w:type="dxa"/>
            <w:shd w:val="clear" w:color="auto" w:fill="auto"/>
            <w:vAlign w:val="center"/>
          </w:tcPr>
          <w:p w14:paraId="17219929">
            <w:pPr>
              <w:jc w:val="left"/>
              <w:outlineLvl w:val="0"/>
              <w:rPr>
                <w:rFonts w:hint="eastAsia" w:ascii="宋体" w:hAnsi="宋体" w:eastAsia="宋体" w:cs="宋体"/>
                <w:sz w:val="24"/>
                <w:szCs w:val="24"/>
              </w:rPr>
            </w:pPr>
            <w:r>
              <w:rPr>
                <w:rFonts w:hint="eastAsia" w:ascii="宋体" w:hAnsi="宋体" w:eastAsia="宋体" w:cs="宋体"/>
                <w:sz w:val="24"/>
                <w:szCs w:val="24"/>
              </w:rPr>
              <w:t>综合运行维修保障服务方案：</w:t>
            </w:r>
          </w:p>
          <w:p w14:paraId="73215C67">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02E674A6">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09CF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76D7327F">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4.1.2</w:t>
            </w:r>
          </w:p>
        </w:tc>
        <w:tc>
          <w:tcPr>
            <w:tcW w:w="6134" w:type="dxa"/>
            <w:shd w:val="clear" w:color="auto" w:fill="auto"/>
            <w:vAlign w:val="center"/>
          </w:tcPr>
          <w:p w14:paraId="3C8A5CB9">
            <w:pPr>
              <w:jc w:val="left"/>
              <w:outlineLvl w:val="0"/>
              <w:rPr>
                <w:rFonts w:hint="eastAsia" w:ascii="宋体" w:hAnsi="宋体" w:eastAsia="宋体" w:cs="宋体"/>
                <w:sz w:val="24"/>
                <w:szCs w:val="24"/>
              </w:rPr>
            </w:pPr>
            <w:r>
              <w:rPr>
                <w:rFonts w:hint="eastAsia" w:ascii="宋体" w:hAnsi="宋体" w:eastAsia="宋体" w:cs="宋体"/>
                <w:sz w:val="24"/>
                <w:szCs w:val="24"/>
              </w:rPr>
              <w:t>高压配电运行保障服务方案：</w:t>
            </w:r>
          </w:p>
          <w:p w14:paraId="1DFD547C">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1FC81B5E">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13A9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358DD0C4">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4.1.3</w:t>
            </w:r>
          </w:p>
        </w:tc>
        <w:tc>
          <w:tcPr>
            <w:tcW w:w="6134" w:type="dxa"/>
            <w:shd w:val="clear" w:color="auto" w:fill="auto"/>
            <w:vAlign w:val="center"/>
          </w:tcPr>
          <w:p w14:paraId="572B3C8C">
            <w:pPr>
              <w:jc w:val="left"/>
              <w:outlineLvl w:val="0"/>
              <w:rPr>
                <w:rFonts w:hint="eastAsia" w:ascii="宋体" w:hAnsi="宋体" w:eastAsia="宋体" w:cs="宋体"/>
                <w:sz w:val="24"/>
                <w:szCs w:val="24"/>
              </w:rPr>
            </w:pPr>
            <w:r>
              <w:rPr>
                <w:rFonts w:hint="eastAsia" w:ascii="宋体" w:hAnsi="宋体" w:eastAsia="宋体" w:cs="宋体"/>
                <w:color w:val="000000"/>
                <w:kern w:val="0"/>
                <w:sz w:val="24"/>
                <w:szCs w:val="24"/>
              </w:rPr>
              <w:t>中央空调、热水锅炉及净化系统运行保障服务方案</w:t>
            </w:r>
            <w:r>
              <w:rPr>
                <w:rFonts w:hint="eastAsia" w:ascii="宋体" w:hAnsi="宋体" w:eastAsia="宋体" w:cs="宋体"/>
                <w:sz w:val="24"/>
                <w:szCs w:val="24"/>
              </w:rPr>
              <w:t>：</w:t>
            </w:r>
          </w:p>
          <w:p w14:paraId="0F68BC97">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65522DC0">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B59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44C6B7DE">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4.1.4</w:t>
            </w:r>
          </w:p>
        </w:tc>
        <w:tc>
          <w:tcPr>
            <w:tcW w:w="6134" w:type="dxa"/>
            <w:shd w:val="clear" w:color="auto" w:fill="auto"/>
            <w:vAlign w:val="center"/>
          </w:tcPr>
          <w:p w14:paraId="7A1ED372">
            <w:pPr>
              <w:jc w:val="left"/>
              <w:outlineLvl w:val="0"/>
              <w:rPr>
                <w:rFonts w:hint="eastAsia" w:ascii="宋体" w:hAnsi="宋体" w:eastAsia="宋体" w:cs="宋体"/>
                <w:sz w:val="24"/>
                <w:szCs w:val="24"/>
              </w:rPr>
            </w:pPr>
            <w:r>
              <w:rPr>
                <w:rFonts w:hint="eastAsia" w:ascii="宋体" w:hAnsi="宋体" w:eastAsia="宋体" w:cs="宋体"/>
                <w:color w:val="000000"/>
                <w:kern w:val="0"/>
                <w:sz w:val="24"/>
                <w:szCs w:val="24"/>
              </w:rPr>
              <w:t>医用气体和中央纯水系统运行保障服务方案</w:t>
            </w:r>
            <w:r>
              <w:rPr>
                <w:rFonts w:hint="eastAsia" w:ascii="宋体" w:hAnsi="宋体" w:eastAsia="宋体" w:cs="宋体"/>
                <w:sz w:val="24"/>
                <w:szCs w:val="24"/>
              </w:rPr>
              <w:t>：</w:t>
            </w:r>
          </w:p>
          <w:p w14:paraId="486D08B0">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3D6DD632">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691F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0AF2DE2E">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4.1.5</w:t>
            </w:r>
          </w:p>
        </w:tc>
        <w:tc>
          <w:tcPr>
            <w:tcW w:w="6134" w:type="dxa"/>
            <w:shd w:val="clear" w:color="auto" w:fill="auto"/>
            <w:vAlign w:val="center"/>
          </w:tcPr>
          <w:p w14:paraId="0F443707">
            <w:pPr>
              <w:jc w:val="left"/>
              <w:outlineLvl w:val="0"/>
              <w:rPr>
                <w:rFonts w:hint="eastAsia" w:ascii="宋体" w:hAnsi="宋体" w:eastAsia="宋体" w:cs="宋体"/>
                <w:sz w:val="24"/>
                <w:szCs w:val="24"/>
              </w:rPr>
            </w:pPr>
            <w:r>
              <w:rPr>
                <w:rFonts w:hint="eastAsia" w:ascii="宋体" w:hAnsi="宋体" w:eastAsia="宋体" w:cs="宋体"/>
                <w:color w:val="000000"/>
                <w:kern w:val="0"/>
                <w:sz w:val="24"/>
                <w:szCs w:val="24"/>
              </w:rPr>
              <w:t>污水处理系统运行保障服务方案</w:t>
            </w:r>
            <w:r>
              <w:rPr>
                <w:rFonts w:hint="eastAsia" w:ascii="宋体" w:hAnsi="宋体" w:eastAsia="宋体" w:cs="宋体"/>
                <w:sz w:val="24"/>
                <w:szCs w:val="24"/>
              </w:rPr>
              <w:t>：</w:t>
            </w:r>
          </w:p>
          <w:p w14:paraId="480671B2">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3614F489">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7DB8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428E076A">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4.1.6</w:t>
            </w:r>
          </w:p>
        </w:tc>
        <w:tc>
          <w:tcPr>
            <w:tcW w:w="6134" w:type="dxa"/>
            <w:shd w:val="clear" w:color="auto" w:fill="auto"/>
            <w:vAlign w:val="center"/>
          </w:tcPr>
          <w:p w14:paraId="5634B134">
            <w:pPr>
              <w:jc w:val="left"/>
              <w:outlineLvl w:val="0"/>
              <w:rPr>
                <w:rFonts w:hint="eastAsia" w:ascii="宋体" w:hAnsi="宋体" w:eastAsia="宋体" w:cs="宋体"/>
                <w:sz w:val="24"/>
                <w:szCs w:val="24"/>
              </w:rPr>
            </w:pPr>
            <w:r>
              <w:rPr>
                <w:rFonts w:hint="eastAsia" w:ascii="宋体" w:hAnsi="宋体" w:eastAsia="宋体" w:cs="宋体"/>
                <w:sz w:val="24"/>
                <w:szCs w:val="24"/>
              </w:rPr>
              <w:t>智慧后勤综合</w:t>
            </w:r>
            <w:r>
              <w:rPr>
                <w:rFonts w:hint="eastAsia" w:ascii="宋体" w:hAnsi="宋体" w:eastAsia="宋体" w:cs="宋体"/>
                <w:color w:val="000000"/>
                <w:kern w:val="0"/>
                <w:sz w:val="24"/>
                <w:szCs w:val="24"/>
              </w:rPr>
              <w:t>受理服务及通讯保障服务方案</w:t>
            </w:r>
            <w:r>
              <w:rPr>
                <w:rFonts w:hint="eastAsia" w:ascii="宋体" w:hAnsi="宋体" w:eastAsia="宋体" w:cs="宋体"/>
                <w:sz w:val="24"/>
                <w:szCs w:val="24"/>
              </w:rPr>
              <w:t>：</w:t>
            </w:r>
          </w:p>
          <w:p w14:paraId="44664867">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6A3BD8ED">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0379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1A10C84F">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4.1.7</w:t>
            </w:r>
          </w:p>
        </w:tc>
        <w:tc>
          <w:tcPr>
            <w:tcW w:w="6134" w:type="dxa"/>
            <w:shd w:val="clear" w:color="auto" w:fill="auto"/>
            <w:vAlign w:val="center"/>
          </w:tcPr>
          <w:p w14:paraId="6AA1BC3F">
            <w:pPr>
              <w:jc w:val="left"/>
              <w:outlineLvl w:val="0"/>
              <w:rPr>
                <w:rFonts w:hint="eastAsia" w:ascii="宋体" w:hAnsi="宋体" w:eastAsia="宋体" w:cs="宋体"/>
                <w:sz w:val="24"/>
                <w:szCs w:val="24"/>
              </w:rPr>
            </w:pPr>
            <w:r>
              <w:rPr>
                <w:rFonts w:hint="eastAsia" w:ascii="宋体" w:hAnsi="宋体" w:eastAsia="宋体" w:cs="宋体"/>
                <w:sz w:val="24"/>
                <w:szCs w:val="24"/>
              </w:rPr>
              <w:t>供应室器械清洗消毒保障服务方案：</w:t>
            </w:r>
          </w:p>
          <w:p w14:paraId="0C61C0C0">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0BE46459">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63F6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340AD69A">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4.1.8</w:t>
            </w:r>
          </w:p>
        </w:tc>
        <w:tc>
          <w:tcPr>
            <w:tcW w:w="6134" w:type="dxa"/>
            <w:shd w:val="clear" w:color="auto" w:fill="auto"/>
            <w:vAlign w:val="center"/>
          </w:tcPr>
          <w:p w14:paraId="633E4278">
            <w:pPr>
              <w:jc w:val="left"/>
              <w:outlineLvl w:val="0"/>
              <w:rPr>
                <w:rFonts w:hint="eastAsia" w:ascii="宋体" w:hAnsi="宋体" w:eastAsia="宋体" w:cs="宋体"/>
                <w:sz w:val="24"/>
                <w:szCs w:val="24"/>
              </w:rPr>
            </w:pPr>
            <w:r>
              <w:rPr>
                <w:rFonts w:hint="eastAsia" w:ascii="宋体" w:hAnsi="宋体" w:eastAsia="宋体" w:cs="宋体"/>
                <w:sz w:val="24"/>
                <w:szCs w:val="24"/>
              </w:rPr>
              <w:t>餐饮生产供应保障服务方案：</w:t>
            </w:r>
          </w:p>
          <w:p w14:paraId="64EF1B0A">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1556C6C7">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12E2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150F4762">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4.1.9</w:t>
            </w:r>
          </w:p>
        </w:tc>
        <w:tc>
          <w:tcPr>
            <w:tcW w:w="6134" w:type="dxa"/>
            <w:shd w:val="clear" w:color="auto" w:fill="auto"/>
            <w:vAlign w:val="center"/>
          </w:tcPr>
          <w:p w14:paraId="2ED476D7">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超声辅助服务</w:t>
            </w:r>
            <w:r>
              <w:rPr>
                <w:rFonts w:hint="eastAsia" w:ascii="宋体" w:hAnsi="宋体" w:eastAsia="宋体" w:cs="宋体"/>
                <w:sz w:val="24"/>
                <w:szCs w:val="24"/>
                <w:highlight w:val="none"/>
                <w:lang w:val="en-US" w:eastAsia="zh-CN"/>
              </w:rPr>
              <w:t>方案：</w:t>
            </w:r>
          </w:p>
          <w:p w14:paraId="08FC4401">
            <w:pP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32068EB3">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844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795E75CC">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4.1.10</w:t>
            </w:r>
          </w:p>
        </w:tc>
        <w:tc>
          <w:tcPr>
            <w:tcW w:w="6134" w:type="dxa"/>
            <w:shd w:val="clear" w:color="auto" w:fill="auto"/>
            <w:vAlign w:val="center"/>
          </w:tcPr>
          <w:p w14:paraId="7B276D30">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导医服务</w:t>
            </w:r>
            <w:r>
              <w:rPr>
                <w:rFonts w:hint="eastAsia" w:ascii="宋体" w:hAnsi="宋体" w:eastAsia="宋体" w:cs="宋体"/>
                <w:sz w:val="24"/>
                <w:szCs w:val="24"/>
                <w:highlight w:val="none"/>
                <w:lang w:val="en-US" w:eastAsia="zh-CN"/>
              </w:rPr>
              <w:t>方案：</w:t>
            </w:r>
          </w:p>
          <w:p w14:paraId="0FC4D31A">
            <w:pP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44A71342">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1864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4FAA38FA">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4.1.11</w:t>
            </w:r>
          </w:p>
        </w:tc>
        <w:tc>
          <w:tcPr>
            <w:tcW w:w="6134" w:type="dxa"/>
            <w:shd w:val="clear" w:color="auto" w:fill="auto"/>
            <w:vAlign w:val="center"/>
          </w:tcPr>
          <w:p w14:paraId="2686A114">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停车收费服务</w:t>
            </w:r>
            <w:r>
              <w:rPr>
                <w:rFonts w:hint="eastAsia" w:ascii="宋体" w:hAnsi="宋体" w:eastAsia="宋体" w:cs="宋体"/>
                <w:sz w:val="24"/>
                <w:szCs w:val="24"/>
                <w:highlight w:val="none"/>
                <w:lang w:val="en-US" w:eastAsia="zh-CN"/>
              </w:rPr>
              <w:t>方案：</w:t>
            </w:r>
          </w:p>
          <w:p w14:paraId="168A8D34">
            <w:pP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sz w:val="24"/>
                <w:szCs w:val="24"/>
              </w:rPr>
              <w:t>方案内容详实，逻辑缜密，具有针对性，可实施性强的得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分；方案有瑕疵，基本能符合采购需要，具有一定的针对性、可实施性的得</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分；未提供不得分。</w:t>
            </w:r>
          </w:p>
        </w:tc>
        <w:tc>
          <w:tcPr>
            <w:tcW w:w="2195" w:type="dxa"/>
            <w:vAlign w:val="center"/>
          </w:tcPr>
          <w:p w14:paraId="2DF7DC37">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6071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19B25FA6">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4.2</w:t>
            </w:r>
          </w:p>
        </w:tc>
        <w:tc>
          <w:tcPr>
            <w:tcW w:w="6134" w:type="dxa"/>
            <w:shd w:val="clear" w:color="auto" w:fill="auto"/>
            <w:vAlign w:val="center"/>
          </w:tcPr>
          <w:p w14:paraId="36FA28B3">
            <w:pPr>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针对员工工资发放水平、人员配置、服务交接等服务方案：</w:t>
            </w:r>
          </w:p>
          <w:p w14:paraId="158D9C6A">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方案清晰、完整，完全吻合项目需求的得5分；方案略有瑕疵，基本满足项目需求的得4分；方案内容简单的得3分；方案内容不清晰，内容缺失的得2分；方案内容混乱，内容缺失严重的得1分；未提供不得分。</w:t>
            </w:r>
          </w:p>
        </w:tc>
        <w:tc>
          <w:tcPr>
            <w:tcW w:w="2195" w:type="dxa"/>
            <w:vAlign w:val="center"/>
          </w:tcPr>
          <w:p w14:paraId="5AA18F0F">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2B5B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76F7638C">
            <w:pPr>
              <w:snapToGrid w:val="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4.3</w:t>
            </w:r>
          </w:p>
        </w:tc>
        <w:tc>
          <w:tcPr>
            <w:tcW w:w="6134" w:type="dxa"/>
            <w:shd w:val="clear" w:color="auto" w:fill="auto"/>
            <w:vAlign w:val="center"/>
          </w:tcPr>
          <w:p w14:paraId="67BC0E55">
            <w:pPr>
              <w:jc w:val="left"/>
              <w:outlineLvl w:val="0"/>
              <w:rPr>
                <w:rFonts w:hint="eastAsia" w:ascii="宋体" w:hAnsi="宋体" w:eastAsia="宋体" w:cs="宋体"/>
                <w:color w:val="000000"/>
                <w:kern w:val="0"/>
                <w:sz w:val="24"/>
                <w:szCs w:val="24"/>
              </w:rPr>
            </w:pPr>
            <w:r>
              <w:rPr>
                <w:rFonts w:hint="eastAsia" w:ascii="宋体" w:hAnsi="宋体" w:eastAsia="宋体" w:cs="宋体"/>
                <w:sz w:val="24"/>
                <w:szCs w:val="24"/>
              </w:rPr>
              <w:t>针对本项目制订完整的人力资源管理方案</w:t>
            </w:r>
            <w:r>
              <w:rPr>
                <w:rFonts w:hint="eastAsia" w:ascii="宋体" w:hAnsi="宋体" w:eastAsia="宋体" w:cs="宋体"/>
                <w:color w:val="000000"/>
                <w:kern w:val="0"/>
                <w:sz w:val="24"/>
                <w:szCs w:val="24"/>
              </w:rPr>
              <w:t>：</w:t>
            </w:r>
          </w:p>
          <w:p w14:paraId="3B5DE927">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方案清晰、完整，完全吻合项目需求的得5分；方案略有瑕疵，基本满足项目需求的得4分；方案内容简单的得3分；方案内容不清晰，内容缺失的得2分；方案内容混乱，内容缺失严重的得1分；未提供不得分。</w:t>
            </w:r>
          </w:p>
        </w:tc>
        <w:tc>
          <w:tcPr>
            <w:tcW w:w="2195" w:type="dxa"/>
            <w:vAlign w:val="center"/>
          </w:tcPr>
          <w:p w14:paraId="7642BDFD">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34F9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218EC7E8">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szCs w:val="24"/>
              </w:rPr>
              <w:t>5</w:t>
            </w:r>
          </w:p>
        </w:tc>
        <w:tc>
          <w:tcPr>
            <w:tcW w:w="6134" w:type="dxa"/>
            <w:shd w:val="clear" w:color="auto" w:fill="auto"/>
            <w:vAlign w:val="center"/>
          </w:tcPr>
          <w:p w14:paraId="6DD33F31">
            <w:pPr>
              <w:rPr>
                <w:rFonts w:hint="eastAsia" w:ascii="宋体" w:hAnsi="宋体" w:eastAsia="宋体" w:cs="宋体"/>
                <w:sz w:val="24"/>
                <w:szCs w:val="24"/>
              </w:rPr>
            </w:pPr>
            <w:r>
              <w:rPr>
                <w:rFonts w:hint="eastAsia" w:ascii="宋体" w:hAnsi="宋体" w:eastAsia="宋体" w:cs="宋体"/>
                <w:sz w:val="24"/>
                <w:szCs w:val="24"/>
              </w:rPr>
              <w:t>服务质量保障措施：针对本项目制定合理可行的服务质量控制保证措施：</w:t>
            </w:r>
          </w:p>
          <w:p w14:paraId="6EA09394">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措施内容清晰、完整，完全吻合项目需求的得5分；措施略有瑕疵，基本满足项目需求的得4分；措施内容简单的得3分；措施内容不清晰，内容缺失的得2分；措施内容混乱，内容缺失严重的得1分；未提供不得分。</w:t>
            </w:r>
          </w:p>
        </w:tc>
        <w:tc>
          <w:tcPr>
            <w:tcW w:w="2195" w:type="dxa"/>
            <w:vAlign w:val="center"/>
          </w:tcPr>
          <w:p w14:paraId="154D56C0">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CBFA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top"/>
          </w:tcPr>
          <w:p w14:paraId="325D6F82">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6</w:t>
            </w:r>
          </w:p>
        </w:tc>
        <w:tc>
          <w:tcPr>
            <w:tcW w:w="6134" w:type="dxa"/>
            <w:shd w:val="clear" w:color="auto" w:fill="auto"/>
            <w:vAlign w:val="center"/>
          </w:tcPr>
          <w:p w14:paraId="582776B5">
            <w:pPr>
              <w:widowControl/>
              <w:textAlignment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安全及</w:t>
            </w:r>
            <w:r>
              <w:rPr>
                <w:rFonts w:hint="eastAsia" w:ascii="宋体" w:hAnsi="宋体" w:eastAsia="宋体" w:cs="宋体"/>
                <w:sz w:val="24"/>
                <w:szCs w:val="24"/>
              </w:rPr>
              <w:t>应急保障方案：</w:t>
            </w:r>
          </w:p>
        </w:tc>
        <w:tc>
          <w:tcPr>
            <w:tcW w:w="2195" w:type="dxa"/>
            <w:vAlign w:val="center"/>
          </w:tcPr>
          <w:p w14:paraId="20EBE6C0">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3D12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68BD5DF5">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szCs w:val="24"/>
              </w:rPr>
              <w:t>6.1</w:t>
            </w:r>
          </w:p>
        </w:tc>
        <w:tc>
          <w:tcPr>
            <w:tcW w:w="6134" w:type="dxa"/>
            <w:shd w:val="clear" w:color="auto" w:fill="auto"/>
            <w:vAlign w:val="center"/>
          </w:tcPr>
          <w:p w14:paraId="074648E9">
            <w:pPr>
              <w:widowControl/>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针对本项目安全风险要求的分析与控制方案：</w:t>
            </w:r>
          </w:p>
          <w:p w14:paraId="7AA1D40F">
            <w:pPr>
              <w:widowControl/>
              <w:textAlignment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方案清晰、完整，完全吻合项目需求的得5分；方案略有瑕疵，基本满足项目需求的得4分；方案内容简单的得3分；方案内容不清晰，内容缺失的得2分；方案内容混乱，内容缺失严重的得1分；未提供不得分。</w:t>
            </w:r>
          </w:p>
        </w:tc>
        <w:tc>
          <w:tcPr>
            <w:tcW w:w="2195" w:type="dxa"/>
            <w:vAlign w:val="center"/>
          </w:tcPr>
          <w:p w14:paraId="4ACD0525">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5C22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6749A7A7">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6.2</w:t>
            </w:r>
          </w:p>
        </w:tc>
        <w:tc>
          <w:tcPr>
            <w:tcW w:w="6134" w:type="dxa"/>
            <w:shd w:val="clear" w:color="auto" w:fill="auto"/>
            <w:vAlign w:val="center"/>
          </w:tcPr>
          <w:p w14:paraId="6243F74E">
            <w:pPr>
              <w:jc w:val="left"/>
              <w:outlineLvl w:val="0"/>
              <w:rPr>
                <w:rFonts w:hint="eastAsia" w:ascii="宋体" w:hAnsi="宋体" w:eastAsia="宋体" w:cs="宋体"/>
                <w:color w:val="000000"/>
                <w:kern w:val="0"/>
                <w:sz w:val="24"/>
                <w:szCs w:val="24"/>
              </w:rPr>
            </w:pPr>
            <w:r>
              <w:rPr>
                <w:rFonts w:hint="eastAsia" w:ascii="宋体" w:hAnsi="宋体" w:eastAsia="宋体" w:cs="宋体"/>
                <w:sz w:val="24"/>
                <w:szCs w:val="24"/>
              </w:rPr>
              <w:t>针对本项目制订相关应急预案，能及时完成采购人的突发、应急保障任务</w:t>
            </w:r>
            <w:r>
              <w:rPr>
                <w:rFonts w:hint="eastAsia" w:ascii="宋体" w:hAnsi="宋体" w:eastAsia="宋体" w:cs="宋体"/>
                <w:color w:val="000000"/>
                <w:kern w:val="0"/>
                <w:sz w:val="24"/>
                <w:szCs w:val="24"/>
              </w:rPr>
              <w:t>：</w:t>
            </w:r>
          </w:p>
          <w:p w14:paraId="5B0D0A81">
            <w:pPr>
              <w:jc w:val="left"/>
              <w:outlineLvl w:val="0"/>
              <w:rPr>
                <w:rFonts w:hint="default" w:ascii="宋体" w:hAnsi="宋体" w:eastAsia="宋体" w:cs="宋体"/>
                <w:color w:val="000000"/>
                <w:kern w:val="0"/>
                <w:sz w:val="24"/>
                <w:szCs w:val="24"/>
                <w:lang w:val="en-US" w:eastAsia="zh-CN" w:bidi="ar-SA"/>
              </w:rPr>
            </w:pPr>
            <w:r>
              <w:rPr>
                <w:rFonts w:hint="eastAsia" w:ascii="宋体" w:hAnsi="宋体" w:eastAsia="宋体" w:cs="宋体"/>
                <w:sz w:val="24"/>
                <w:szCs w:val="24"/>
              </w:rPr>
              <w:t>方案清晰、完整，完全吻合项目需求的得5分；方案略有瑕疵，基本满足项目需求的得4分；方案内容简单的得3分；方案内容不清晰，内容缺失的得2分；方案内容混乱，内容缺失严重的得1分；未提供不得分。</w:t>
            </w:r>
          </w:p>
        </w:tc>
        <w:tc>
          <w:tcPr>
            <w:tcW w:w="2195" w:type="dxa"/>
            <w:vAlign w:val="center"/>
          </w:tcPr>
          <w:p w14:paraId="0CE9DFC8">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132B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0813892C">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w:t>
            </w:r>
          </w:p>
        </w:tc>
        <w:tc>
          <w:tcPr>
            <w:tcW w:w="6134" w:type="dxa"/>
            <w:shd w:val="clear" w:color="auto" w:fill="auto"/>
            <w:vAlign w:val="center"/>
          </w:tcPr>
          <w:p w14:paraId="59EF21AE">
            <w:pPr>
              <w:jc w:val="left"/>
              <w:outlineLvl w:val="0"/>
              <w:rPr>
                <w:rFonts w:hint="default" w:ascii="宋体" w:hAnsi="宋体" w:eastAsia="宋体" w:cs="宋体"/>
                <w:color w:val="000000"/>
                <w:kern w:val="0"/>
                <w:sz w:val="24"/>
                <w:szCs w:val="24"/>
                <w:lang w:val="en-US" w:eastAsia="zh-CN" w:bidi="ar-SA"/>
              </w:rPr>
            </w:pPr>
            <w:r>
              <w:rPr>
                <w:rFonts w:hint="eastAsia" w:ascii="宋体" w:hAnsi="宋体" w:eastAsia="宋体" w:cs="宋体"/>
                <w:sz w:val="24"/>
                <w:szCs w:val="24"/>
              </w:rPr>
              <w:t>项目实施的人员安排总体情况：</w:t>
            </w:r>
          </w:p>
        </w:tc>
        <w:tc>
          <w:tcPr>
            <w:tcW w:w="2195" w:type="dxa"/>
            <w:vAlign w:val="center"/>
          </w:tcPr>
          <w:p w14:paraId="1C4B0640">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3CA7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06166B76">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7.1</w:t>
            </w:r>
          </w:p>
        </w:tc>
        <w:tc>
          <w:tcPr>
            <w:tcW w:w="6134" w:type="dxa"/>
            <w:shd w:val="clear" w:color="auto" w:fill="auto"/>
            <w:vAlign w:val="center"/>
          </w:tcPr>
          <w:p w14:paraId="683F8E70">
            <w:pPr>
              <w:jc w:val="left"/>
              <w:outlineLvl w:val="0"/>
              <w:rPr>
                <w:rFonts w:hint="default" w:ascii="宋体" w:hAnsi="宋体" w:eastAsia="宋体" w:cs="宋体"/>
                <w:kern w:val="2"/>
                <w:sz w:val="24"/>
                <w:szCs w:val="24"/>
                <w:lang w:val="en-US" w:eastAsia="zh-CN" w:bidi="ar-SA"/>
              </w:rPr>
            </w:pPr>
            <w:r>
              <w:rPr>
                <w:rFonts w:hint="eastAsia" w:ascii="宋体" w:hAnsi="宋体" w:eastAsia="宋体" w:cs="宋体"/>
                <w:color w:val="000000"/>
                <w:kern w:val="0"/>
                <w:sz w:val="24"/>
                <w:szCs w:val="24"/>
              </w:rPr>
              <w:t>本项目人员组织架构、岗位配置及人员响应。</w:t>
            </w:r>
            <w:r>
              <w:rPr>
                <w:rFonts w:hint="eastAsia" w:ascii="宋体" w:hAnsi="宋体" w:eastAsia="宋体" w:cs="宋体"/>
                <w:sz w:val="24"/>
                <w:szCs w:val="24"/>
              </w:rPr>
              <w:t>方案内容详实，逻辑缜密，具有针对性，可实施性强的得3分；方案略有瑕疵，基本能符合采购需要，具有一定的针对性、可实施性的得2分；方案明显存在缺陷的，得1分；未提供不得分。</w:t>
            </w:r>
          </w:p>
        </w:tc>
        <w:tc>
          <w:tcPr>
            <w:tcW w:w="2195" w:type="dxa"/>
            <w:vAlign w:val="center"/>
          </w:tcPr>
          <w:p w14:paraId="0413719E">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2D07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083C2E56">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7.2</w:t>
            </w:r>
          </w:p>
        </w:tc>
        <w:tc>
          <w:tcPr>
            <w:tcW w:w="6134" w:type="dxa"/>
            <w:shd w:val="clear" w:color="auto" w:fill="auto"/>
            <w:vAlign w:val="center"/>
          </w:tcPr>
          <w:p w14:paraId="4E9C4CA8">
            <w:pPr>
              <w:jc w:val="left"/>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工程技术主管的资质、能力基本情况介绍。</w:t>
            </w:r>
            <w:r>
              <w:rPr>
                <w:rFonts w:hint="eastAsia" w:ascii="宋体" w:hAnsi="宋体" w:eastAsia="宋体" w:cs="宋体"/>
                <w:sz w:val="24"/>
                <w:szCs w:val="24"/>
              </w:rPr>
              <w:t>方案内容详实，</w:t>
            </w:r>
            <w:r>
              <w:rPr>
                <w:rFonts w:hint="eastAsia" w:ascii="宋体" w:hAnsi="宋体" w:eastAsia="宋体" w:cs="宋体"/>
                <w:sz w:val="24"/>
                <w:szCs w:val="24"/>
                <w:lang w:val="en-US" w:eastAsia="zh-CN"/>
              </w:rPr>
              <w:t>主管经验丰富、综合能力强</w:t>
            </w:r>
            <w:r>
              <w:rPr>
                <w:rFonts w:hint="eastAsia" w:ascii="宋体" w:hAnsi="宋体" w:eastAsia="宋体" w:cs="宋体"/>
                <w:sz w:val="24"/>
                <w:szCs w:val="24"/>
              </w:rPr>
              <w:t>的得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val="en-US" w:eastAsia="zh-CN"/>
              </w:rPr>
              <w:t>主管经验较丰富、综合能力较强</w:t>
            </w:r>
            <w:r>
              <w:rPr>
                <w:rFonts w:hint="eastAsia" w:ascii="宋体" w:hAnsi="宋体" w:eastAsia="宋体" w:cs="宋体"/>
                <w:sz w:val="24"/>
                <w:szCs w:val="24"/>
              </w:rPr>
              <w:t>，</w:t>
            </w:r>
            <w:r>
              <w:rPr>
                <w:rFonts w:hint="eastAsia" w:ascii="宋体" w:hAnsi="宋体" w:eastAsia="宋体" w:cs="宋体"/>
                <w:sz w:val="24"/>
                <w:szCs w:val="24"/>
                <w:lang w:val="en-US" w:eastAsia="zh-CN"/>
              </w:rPr>
              <w:t>大致</w:t>
            </w:r>
            <w:r>
              <w:rPr>
                <w:rFonts w:hint="eastAsia" w:ascii="宋体" w:hAnsi="宋体" w:eastAsia="宋体" w:cs="宋体"/>
                <w:sz w:val="24"/>
                <w:szCs w:val="24"/>
              </w:rPr>
              <w:t>能符合采购需要</w:t>
            </w:r>
            <w:r>
              <w:rPr>
                <w:rFonts w:hint="eastAsia" w:ascii="宋体" w:hAnsi="宋体" w:eastAsia="宋体" w:cs="宋体"/>
                <w:sz w:val="24"/>
                <w:szCs w:val="24"/>
                <w:lang w:val="en-US" w:eastAsia="zh-CN"/>
              </w:rPr>
              <w:t>的</w:t>
            </w:r>
            <w:r>
              <w:rPr>
                <w:rFonts w:hint="eastAsia" w:ascii="宋体" w:hAnsi="宋体" w:eastAsia="宋体" w:cs="宋体"/>
                <w:sz w:val="24"/>
                <w:szCs w:val="24"/>
              </w:rPr>
              <w:t>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val="en-US" w:eastAsia="zh-CN"/>
              </w:rPr>
              <w:t>主管有基本的经验和能力</w:t>
            </w:r>
            <w:r>
              <w:rPr>
                <w:rFonts w:hint="eastAsia" w:ascii="宋体" w:hAnsi="宋体" w:eastAsia="宋体" w:cs="宋体"/>
                <w:sz w:val="24"/>
                <w:szCs w:val="24"/>
              </w:rPr>
              <w:t>，基本能符合采购需要的得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分；方案明显存在缺陷的，得1分；未提供不得分。</w:t>
            </w:r>
          </w:p>
          <w:p w14:paraId="2FEF63D3">
            <w:pPr>
              <w:jc w:val="left"/>
              <w:outlineLvl w:val="0"/>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lang w:val="en-US" w:eastAsia="zh-CN"/>
              </w:rPr>
              <w:t>注：</w:t>
            </w:r>
            <w:r>
              <w:rPr>
                <w:rFonts w:hint="eastAsia" w:ascii="宋体" w:hAnsi="宋体" w:eastAsia="宋体" w:cs="宋体"/>
                <w:color w:val="000000"/>
                <w:sz w:val="24"/>
                <w:szCs w:val="24"/>
              </w:rPr>
              <w:t>须提供工程技术主管在本单位的社保证明、相关工作经验证明材料及证书扫描件</w:t>
            </w:r>
            <w:r>
              <w:rPr>
                <w:rFonts w:hint="eastAsia" w:ascii="宋体" w:hAnsi="宋体" w:eastAsia="宋体" w:cs="宋体"/>
                <w:color w:val="000000"/>
                <w:sz w:val="24"/>
                <w:szCs w:val="24"/>
                <w:lang w:eastAsia="zh-CN"/>
              </w:rPr>
              <w:t>。</w:t>
            </w:r>
          </w:p>
        </w:tc>
        <w:tc>
          <w:tcPr>
            <w:tcW w:w="2195" w:type="dxa"/>
            <w:vAlign w:val="center"/>
          </w:tcPr>
          <w:p w14:paraId="2815C9FE">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04DC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54ABB843">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7.3</w:t>
            </w:r>
          </w:p>
        </w:tc>
        <w:tc>
          <w:tcPr>
            <w:tcW w:w="6134" w:type="dxa"/>
            <w:shd w:val="clear" w:color="auto" w:fill="auto"/>
            <w:vAlign w:val="center"/>
          </w:tcPr>
          <w:p w14:paraId="0ECD150E">
            <w:pP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拟派遣工程人员配置（除工程技术主管外）。</w:t>
            </w:r>
            <w:r>
              <w:rPr>
                <w:rFonts w:hint="eastAsia" w:ascii="宋体" w:hAnsi="宋体" w:eastAsia="宋体" w:cs="宋体"/>
                <w:color w:val="000000"/>
                <w:sz w:val="24"/>
                <w:szCs w:val="24"/>
                <w:lang w:val="en-US" w:eastAsia="zh-CN"/>
              </w:rPr>
              <w:t>注：</w:t>
            </w:r>
            <w:r>
              <w:rPr>
                <w:rFonts w:hint="eastAsia" w:ascii="宋体" w:hAnsi="宋体" w:eastAsia="宋体" w:cs="宋体"/>
                <w:sz w:val="24"/>
                <w:szCs w:val="24"/>
              </w:rPr>
              <w:t>同人多份证书不重复计分，提供证书扫描件及在本单位缴纳的社保证明，不提供不得分。</w:t>
            </w:r>
          </w:p>
        </w:tc>
        <w:tc>
          <w:tcPr>
            <w:tcW w:w="2195" w:type="dxa"/>
            <w:vAlign w:val="center"/>
          </w:tcPr>
          <w:p w14:paraId="69A50E49">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14E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3A53B901">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7.3.1</w:t>
            </w:r>
          </w:p>
        </w:tc>
        <w:tc>
          <w:tcPr>
            <w:tcW w:w="6134" w:type="dxa"/>
            <w:shd w:val="clear" w:color="auto" w:fill="auto"/>
            <w:vAlign w:val="center"/>
          </w:tcPr>
          <w:p w14:paraId="0A437146">
            <w:pPr>
              <w:widowControl/>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每提供一份低压电工证得0.5分，满分2分；</w:t>
            </w:r>
          </w:p>
        </w:tc>
        <w:tc>
          <w:tcPr>
            <w:tcW w:w="2195" w:type="dxa"/>
            <w:vAlign w:val="center"/>
          </w:tcPr>
          <w:p w14:paraId="54E8C4E8">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676B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2C78ACDF">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7.3.2</w:t>
            </w:r>
          </w:p>
        </w:tc>
        <w:tc>
          <w:tcPr>
            <w:tcW w:w="6134" w:type="dxa"/>
            <w:shd w:val="clear" w:color="auto" w:fill="auto"/>
            <w:vAlign w:val="center"/>
          </w:tcPr>
          <w:p w14:paraId="5FE0DFCE">
            <w:pPr>
              <w:jc w:val="left"/>
              <w:outlineLvl w:val="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每提供一份高压电工证得0.5分，满分2分；</w:t>
            </w:r>
          </w:p>
        </w:tc>
        <w:tc>
          <w:tcPr>
            <w:tcW w:w="2195" w:type="dxa"/>
            <w:vAlign w:val="center"/>
          </w:tcPr>
          <w:p w14:paraId="2BBDA55D">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5064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35FD00FB">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7.3.3</w:t>
            </w:r>
          </w:p>
        </w:tc>
        <w:tc>
          <w:tcPr>
            <w:tcW w:w="6134" w:type="dxa"/>
            <w:shd w:val="clear" w:color="auto" w:fill="auto"/>
            <w:vAlign w:val="center"/>
          </w:tcPr>
          <w:p w14:paraId="630D16A9">
            <w:pPr>
              <w:jc w:val="left"/>
              <w:outlineLvl w:val="0"/>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每提供一份制冷与空调设备运行操作证得0.5分，满分2分；</w:t>
            </w:r>
          </w:p>
        </w:tc>
        <w:tc>
          <w:tcPr>
            <w:tcW w:w="2195" w:type="dxa"/>
            <w:vAlign w:val="center"/>
          </w:tcPr>
          <w:p w14:paraId="3FF108EC">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691E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0FFC9457">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7.4</w:t>
            </w:r>
          </w:p>
        </w:tc>
        <w:tc>
          <w:tcPr>
            <w:tcW w:w="6134" w:type="dxa"/>
            <w:shd w:val="clear" w:color="auto" w:fill="auto"/>
            <w:vAlign w:val="center"/>
          </w:tcPr>
          <w:p w14:paraId="274DFD00">
            <w:pPr>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后续的人员培训计划及思路：</w:t>
            </w:r>
          </w:p>
          <w:p w14:paraId="43D35BDD">
            <w:pPr>
              <w:jc w:val="left"/>
              <w:outlineLvl w:val="0"/>
              <w:rPr>
                <w:rFonts w:hint="default" w:ascii="宋体" w:hAnsi="宋体" w:eastAsia="宋体" w:cs="宋体"/>
                <w:color w:val="000000"/>
                <w:kern w:val="2"/>
                <w:sz w:val="24"/>
                <w:szCs w:val="24"/>
                <w:lang w:val="en-US" w:eastAsia="zh-CN" w:bidi="ar-SA"/>
              </w:rPr>
            </w:pPr>
            <w:r>
              <w:rPr>
                <w:rFonts w:hint="eastAsia" w:ascii="宋体" w:hAnsi="宋体" w:eastAsia="宋体" w:cs="宋体"/>
                <w:sz w:val="24"/>
                <w:szCs w:val="24"/>
              </w:rPr>
              <w:t>方案详细合理可行的得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方案内容</w:t>
            </w:r>
            <w:r>
              <w:rPr>
                <w:rFonts w:hint="eastAsia" w:ascii="宋体" w:hAnsi="宋体" w:eastAsia="宋体" w:cs="宋体"/>
                <w:sz w:val="24"/>
                <w:szCs w:val="24"/>
                <w:lang w:val="en-US" w:eastAsia="zh-CN"/>
              </w:rPr>
              <w:t>略有</w:t>
            </w:r>
            <w:r>
              <w:rPr>
                <w:rFonts w:hint="eastAsia" w:ascii="宋体" w:hAnsi="宋体" w:eastAsia="宋体" w:cs="宋体"/>
                <w:sz w:val="24"/>
                <w:szCs w:val="24"/>
              </w:rPr>
              <w:t>缺陷</w:t>
            </w:r>
            <w:r>
              <w:rPr>
                <w:rFonts w:hint="eastAsia" w:ascii="宋体" w:hAnsi="宋体" w:eastAsia="宋体" w:cs="宋体"/>
                <w:sz w:val="24"/>
                <w:szCs w:val="24"/>
                <w:lang w:val="en-US" w:eastAsia="zh-CN"/>
              </w:rPr>
              <w:t>但基本可行</w:t>
            </w:r>
            <w:r>
              <w:rPr>
                <w:rFonts w:hint="eastAsia" w:ascii="宋体" w:hAnsi="宋体" w:eastAsia="宋体" w:cs="宋体"/>
                <w:sz w:val="24"/>
                <w:szCs w:val="24"/>
              </w:rPr>
              <w:t>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分；方案内容存在缺陷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可行性不大</w:t>
            </w:r>
            <w:r>
              <w:rPr>
                <w:rFonts w:hint="eastAsia" w:ascii="宋体" w:hAnsi="宋体" w:eastAsia="宋体" w:cs="宋体"/>
                <w:sz w:val="24"/>
                <w:szCs w:val="24"/>
              </w:rPr>
              <w:t>的得1分；不提供不得分。</w:t>
            </w:r>
          </w:p>
        </w:tc>
        <w:tc>
          <w:tcPr>
            <w:tcW w:w="2195" w:type="dxa"/>
            <w:vAlign w:val="center"/>
          </w:tcPr>
          <w:p w14:paraId="390FD0D3">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051D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1B9C8599">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7.5</w:t>
            </w:r>
          </w:p>
        </w:tc>
        <w:tc>
          <w:tcPr>
            <w:tcW w:w="6134" w:type="dxa"/>
            <w:shd w:val="clear" w:color="auto" w:fill="auto"/>
            <w:vAlign w:val="center"/>
          </w:tcPr>
          <w:p w14:paraId="048EBC16">
            <w:pPr>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人员职责与管理方案：</w:t>
            </w:r>
          </w:p>
          <w:p w14:paraId="512BF273">
            <w:pPr>
              <w:jc w:val="left"/>
              <w:outlineLvl w:val="0"/>
              <w:rPr>
                <w:rFonts w:hint="default" w:ascii="宋体" w:hAnsi="宋体" w:eastAsia="宋体" w:cs="宋体"/>
                <w:color w:val="000000"/>
                <w:kern w:val="2"/>
                <w:sz w:val="24"/>
                <w:szCs w:val="24"/>
                <w:lang w:val="en-US" w:eastAsia="zh-CN" w:bidi="ar-SA"/>
              </w:rPr>
            </w:pPr>
            <w:r>
              <w:rPr>
                <w:rFonts w:hint="eastAsia" w:ascii="宋体" w:hAnsi="宋体" w:eastAsia="宋体" w:cs="宋体"/>
                <w:sz w:val="24"/>
                <w:szCs w:val="24"/>
              </w:rPr>
              <w:t>方案详细合理可行的得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方案内容</w:t>
            </w:r>
            <w:r>
              <w:rPr>
                <w:rFonts w:hint="eastAsia" w:ascii="宋体" w:hAnsi="宋体" w:eastAsia="宋体" w:cs="宋体"/>
                <w:sz w:val="24"/>
                <w:szCs w:val="24"/>
                <w:lang w:val="en-US" w:eastAsia="zh-CN"/>
              </w:rPr>
              <w:t>略有</w:t>
            </w:r>
            <w:r>
              <w:rPr>
                <w:rFonts w:hint="eastAsia" w:ascii="宋体" w:hAnsi="宋体" w:eastAsia="宋体" w:cs="宋体"/>
                <w:sz w:val="24"/>
                <w:szCs w:val="24"/>
              </w:rPr>
              <w:t>缺陷</w:t>
            </w:r>
            <w:r>
              <w:rPr>
                <w:rFonts w:hint="eastAsia" w:ascii="宋体" w:hAnsi="宋体" w:eastAsia="宋体" w:cs="宋体"/>
                <w:sz w:val="24"/>
                <w:szCs w:val="24"/>
                <w:lang w:val="en-US" w:eastAsia="zh-CN"/>
              </w:rPr>
              <w:t>但基本可行</w:t>
            </w:r>
            <w:r>
              <w:rPr>
                <w:rFonts w:hint="eastAsia" w:ascii="宋体" w:hAnsi="宋体" w:eastAsia="宋体" w:cs="宋体"/>
                <w:sz w:val="24"/>
                <w:szCs w:val="24"/>
              </w:rPr>
              <w:t>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分；方案内容存在缺陷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可行性不大</w:t>
            </w:r>
            <w:r>
              <w:rPr>
                <w:rFonts w:hint="eastAsia" w:ascii="宋体" w:hAnsi="宋体" w:eastAsia="宋体" w:cs="宋体"/>
                <w:sz w:val="24"/>
                <w:szCs w:val="24"/>
              </w:rPr>
              <w:t>的得1分；不提供不得分。</w:t>
            </w:r>
          </w:p>
        </w:tc>
        <w:tc>
          <w:tcPr>
            <w:tcW w:w="2195" w:type="dxa"/>
            <w:vAlign w:val="center"/>
          </w:tcPr>
          <w:p w14:paraId="4CC1D6DB">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019D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542391A8">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rPr>
              <w:t>7.6</w:t>
            </w:r>
          </w:p>
        </w:tc>
        <w:tc>
          <w:tcPr>
            <w:tcW w:w="6134" w:type="dxa"/>
            <w:shd w:val="clear" w:color="auto" w:fill="auto"/>
            <w:vAlign w:val="center"/>
          </w:tcPr>
          <w:p w14:paraId="20A3F2A6">
            <w:pPr>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投诉处理方案：</w:t>
            </w:r>
          </w:p>
          <w:p w14:paraId="760512D8">
            <w:pPr>
              <w:jc w:val="left"/>
              <w:outlineLvl w:val="0"/>
              <w:rPr>
                <w:rFonts w:hint="default" w:ascii="宋体" w:hAnsi="宋体" w:eastAsia="宋体" w:cs="宋体"/>
                <w:color w:val="000000"/>
                <w:kern w:val="2"/>
                <w:sz w:val="24"/>
                <w:szCs w:val="24"/>
                <w:lang w:val="en-US" w:eastAsia="zh-CN" w:bidi="ar-SA"/>
              </w:rPr>
            </w:pPr>
            <w:r>
              <w:rPr>
                <w:rFonts w:hint="eastAsia" w:ascii="宋体" w:hAnsi="宋体" w:eastAsia="宋体" w:cs="宋体"/>
                <w:sz w:val="24"/>
                <w:szCs w:val="24"/>
              </w:rPr>
              <w:t>方案详细合理可行的得</w:t>
            </w:r>
            <w:r>
              <w:rPr>
                <w:rFonts w:hint="eastAsia" w:ascii="宋体" w:hAnsi="宋体" w:eastAsia="宋体" w:cs="宋体"/>
                <w:sz w:val="24"/>
                <w:szCs w:val="24"/>
                <w:lang w:val="en-US" w:eastAsia="zh-CN"/>
              </w:rPr>
              <w:t>2</w:t>
            </w:r>
            <w:r>
              <w:rPr>
                <w:rFonts w:hint="eastAsia" w:ascii="宋体" w:hAnsi="宋体" w:eastAsia="宋体" w:cs="宋体"/>
                <w:sz w:val="24"/>
                <w:szCs w:val="24"/>
              </w:rPr>
              <w:t>分；方案内容存在缺陷的得1分；不提供不得分。</w:t>
            </w:r>
          </w:p>
        </w:tc>
        <w:tc>
          <w:tcPr>
            <w:tcW w:w="2195" w:type="dxa"/>
            <w:vAlign w:val="center"/>
          </w:tcPr>
          <w:p w14:paraId="09BD5D12">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r w14:paraId="4C54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shd w:val="clear" w:color="auto" w:fill="auto"/>
            <w:vAlign w:val="center"/>
          </w:tcPr>
          <w:p w14:paraId="128826DC">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kern w:val="0"/>
                <w:sz w:val="24"/>
                <w:szCs w:val="24"/>
              </w:rPr>
              <w:t>8</w:t>
            </w:r>
          </w:p>
        </w:tc>
        <w:tc>
          <w:tcPr>
            <w:tcW w:w="6134" w:type="dxa"/>
            <w:shd w:val="clear" w:color="auto" w:fill="auto"/>
            <w:vAlign w:val="top"/>
          </w:tcPr>
          <w:p w14:paraId="4198754C">
            <w:pPr>
              <w:rPr>
                <w:rFonts w:hint="eastAsia" w:ascii="宋体" w:hAnsi="宋体" w:eastAsia="宋体" w:cs="宋体"/>
                <w:kern w:val="0"/>
                <w:sz w:val="24"/>
                <w:szCs w:val="24"/>
              </w:rPr>
            </w:pPr>
            <w:r>
              <w:rPr>
                <w:rFonts w:hint="eastAsia" w:ascii="宋体" w:hAnsi="宋体" w:eastAsia="宋体" w:cs="宋体"/>
                <w:kern w:val="0"/>
                <w:sz w:val="24"/>
                <w:szCs w:val="24"/>
              </w:rPr>
              <w:t>特色服务及承诺：投标人提出针对本项目的实质性特色服务及承诺。</w:t>
            </w:r>
          </w:p>
          <w:p w14:paraId="72A2CF81">
            <w:pP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每提供一条</w:t>
            </w:r>
            <w:r>
              <w:rPr>
                <w:rFonts w:hint="eastAsia" w:ascii="宋体" w:hAnsi="宋体" w:eastAsia="宋体" w:cs="宋体"/>
                <w:kern w:val="0"/>
                <w:sz w:val="24"/>
                <w:szCs w:val="24"/>
              </w:rPr>
              <w:t>实质性特色服务</w:t>
            </w:r>
            <w:r>
              <w:rPr>
                <w:rFonts w:hint="eastAsia" w:ascii="宋体" w:hAnsi="宋体" w:eastAsia="宋体" w:cs="宋体"/>
                <w:kern w:val="0"/>
                <w:sz w:val="24"/>
                <w:szCs w:val="24"/>
                <w:lang w:val="en-US" w:eastAsia="zh-CN"/>
              </w:rPr>
              <w:t>或</w:t>
            </w:r>
            <w:r>
              <w:rPr>
                <w:rFonts w:hint="eastAsia" w:ascii="宋体" w:hAnsi="宋体" w:eastAsia="宋体" w:cs="宋体"/>
                <w:kern w:val="0"/>
                <w:sz w:val="24"/>
                <w:szCs w:val="24"/>
              </w:rPr>
              <w:t>承诺</w:t>
            </w:r>
            <w:r>
              <w:rPr>
                <w:rFonts w:hint="eastAsia" w:ascii="宋体" w:hAnsi="宋体" w:eastAsia="宋体" w:cs="宋体"/>
                <w:kern w:val="0"/>
                <w:sz w:val="24"/>
                <w:szCs w:val="24"/>
                <w:lang w:val="en-US" w:eastAsia="zh-CN"/>
              </w:rPr>
              <w:t>得1分，本项最多得3分。</w:t>
            </w:r>
          </w:p>
        </w:tc>
        <w:tc>
          <w:tcPr>
            <w:tcW w:w="2195" w:type="dxa"/>
            <w:vAlign w:val="center"/>
          </w:tcPr>
          <w:p w14:paraId="788BB39D">
            <w:pPr>
              <w:snapToGrid/>
              <w:spacing w:line="240" w:lineRule="auto"/>
              <w:jc w:val="center"/>
              <w:rPr>
                <w:rFonts w:hint="default" w:ascii="Times New Roman" w:hAnsi="Times New Roman" w:eastAsia="宋体" w:cs="Times New Roman"/>
                <w:b w:val="0"/>
                <w:bCs/>
                <w:color w:val="auto"/>
                <w:sz w:val="24"/>
                <w:szCs w:val="24"/>
                <w:highlight w:val="none"/>
              </w:rPr>
            </w:pPr>
            <w:r>
              <w:rPr>
                <w:rFonts w:hint="default" w:ascii="Times New Roman" w:hAnsi="Times New Roman" w:eastAsia="宋体" w:cs="Times New Roman"/>
                <w:b w:val="0"/>
                <w:bCs/>
                <w:color w:val="auto"/>
                <w:sz w:val="24"/>
                <w:szCs w:val="24"/>
                <w:highlight w:val="none"/>
              </w:rPr>
              <w:t>见投标文件第</w:t>
            </w:r>
            <w:r>
              <w:rPr>
                <w:rFonts w:hint="default" w:ascii="Times New Roman" w:hAnsi="Times New Roman" w:eastAsia="宋体" w:cs="Times New Roman"/>
                <w:b w:val="0"/>
                <w:bCs/>
                <w:color w:val="auto"/>
                <w:sz w:val="24"/>
                <w:szCs w:val="24"/>
                <w:highlight w:val="none"/>
                <w:u w:val="single"/>
              </w:rPr>
              <w:t xml:space="preserve">  </w:t>
            </w:r>
            <w:r>
              <w:rPr>
                <w:rFonts w:hint="default" w:ascii="Times New Roman" w:hAnsi="Times New Roman" w:eastAsia="宋体" w:cs="Times New Roman"/>
                <w:b w:val="0"/>
                <w:bCs/>
                <w:color w:val="auto"/>
                <w:sz w:val="24"/>
                <w:szCs w:val="24"/>
                <w:highlight w:val="none"/>
              </w:rPr>
              <w:t>页</w:t>
            </w:r>
          </w:p>
        </w:tc>
      </w:tr>
    </w:tbl>
    <w:p w14:paraId="27F903F7">
      <w:pPr>
        <w:pStyle w:val="80"/>
        <w:rPr>
          <w:color w:val="auto"/>
          <w:highlight w:val="none"/>
        </w:rPr>
      </w:pPr>
    </w:p>
    <w:p w14:paraId="00E0E54A">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2A8BA7A8">
      <w:pPr>
        <w:pStyle w:val="23"/>
        <w:rPr>
          <w:rFonts w:ascii="宋体" w:hAnsi="宋体" w:cs="宋体"/>
          <w:b/>
          <w:color w:val="auto"/>
          <w:kern w:val="0"/>
          <w:sz w:val="32"/>
          <w:szCs w:val="32"/>
          <w:highlight w:val="none"/>
        </w:rPr>
      </w:pPr>
    </w:p>
    <w:p w14:paraId="23272148">
      <w:pPr>
        <w:pStyle w:val="24"/>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47"/>
        <w:gridCol w:w="2067"/>
        <w:gridCol w:w="1733"/>
        <w:gridCol w:w="1347"/>
        <w:gridCol w:w="1097"/>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947"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067" w:type="dxa"/>
            <w:tcBorders>
              <w:top w:val="single" w:color="auto" w:sz="4" w:space="0"/>
              <w:left w:val="single" w:color="auto" w:sz="4" w:space="0"/>
              <w:bottom w:val="single" w:color="auto" w:sz="4" w:space="0"/>
              <w:right w:val="single" w:color="auto" w:sz="4" w:space="0"/>
            </w:tcBorders>
            <w:vAlign w:val="center"/>
          </w:tcPr>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733"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347"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97"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947"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p>
        </w:tc>
        <w:tc>
          <w:tcPr>
            <w:tcW w:w="2067"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947"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p>
        </w:tc>
        <w:tc>
          <w:tcPr>
            <w:tcW w:w="2067"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947"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097"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EAE497E">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1"/>
        <w:rPr>
          <w:rFonts w:hint="eastAsia"/>
          <w:color w:val="auto"/>
          <w:highlight w:val="none"/>
        </w:rPr>
      </w:pPr>
    </w:p>
    <w:p w14:paraId="4DA9F2CD">
      <w:pPr>
        <w:pStyle w:val="81"/>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E2B06EF">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1B9D21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杭州市丁桥医院</w:t>
      </w:r>
      <w:r>
        <w:rPr>
          <w:rFonts w:hint="eastAsia" w:ascii="宋体" w:hAnsi="宋体" w:cs="宋体"/>
          <w:color w:val="auto"/>
          <w:sz w:val="24"/>
          <w:highlight w:val="none"/>
        </w:rPr>
        <w:t>、</w:t>
      </w:r>
      <w:r>
        <w:rPr>
          <w:rFonts w:hint="eastAsia" w:ascii="宋体" w:hAnsi="宋体" w:cs="宋体"/>
          <w:color w:val="auto"/>
          <w:sz w:val="24"/>
          <w:highlight w:val="none"/>
          <w:lang w:eastAsia="zh-CN"/>
        </w:rPr>
        <w:t>浙江豪圣建设项目管理有限公司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杭州市丁桥医院后勤技术保障部分服务采购项目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HSZB-2025-604</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E70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8A132E7">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282ECAED">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7474F6E7">
            <w:pPr>
              <w:spacing w:line="360" w:lineRule="auto"/>
              <w:jc w:val="center"/>
              <w:rPr>
                <w:rFonts w:ascii="宋体" w:hAnsi="宋体" w:cs="宋体"/>
                <w:b/>
                <w:sz w:val="24"/>
              </w:rPr>
            </w:pPr>
          </w:p>
          <w:p w14:paraId="56C0BED6">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32526F28">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1729BCAF">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310AE1C7">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3E4F00F5">
            <w:pPr>
              <w:spacing w:line="360" w:lineRule="auto"/>
              <w:jc w:val="center"/>
              <w:rPr>
                <w:rFonts w:ascii="宋体" w:hAnsi="宋体" w:cs="宋体"/>
                <w:b/>
                <w:sz w:val="24"/>
              </w:rPr>
            </w:pPr>
          </w:p>
          <w:p w14:paraId="10CEF6D0">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5A44EDF2">
            <w:pPr>
              <w:spacing w:line="360" w:lineRule="auto"/>
              <w:jc w:val="center"/>
              <w:rPr>
                <w:rFonts w:ascii="宋体" w:hAnsi="宋体" w:cs="宋体"/>
                <w:b/>
                <w:sz w:val="24"/>
              </w:rPr>
            </w:pPr>
          </w:p>
          <w:p w14:paraId="10502D30">
            <w:pPr>
              <w:spacing w:line="360" w:lineRule="auto"/>
              <w:jc w:val="center"/>
              <w:rPr>
                <w:rFonts w:ascii="宋体" w:hAnsi="宋体" w:cs="宋体"/>
                <w:b/>
                <w:sz w:val="24"/>
              </w:rPr>
            </w:pPr>
            <w:r>
              <w:rPr>
                <w:rFonts w:hint="eastAsia" w:ascii="宋体" w:hAnsi="宋体" w:cs="宋体"/>
                <w:b/>
                <w:sz w:val="24"/>
              </w:rPr>
              <w:t>备注（如果有）</w:t>
            </w:r>
          </w:p>
          <w:p w14:paraId="3DAD54DC">
            <w:pPr>
              <w:spacing w:line="360" w:lineRule="auto"/>
              <w:jc w:val="center"/>
              <w:rPr>
                <w:rFonts w:ascii="宋体" w:hAnsi="宋体" w:cs="宋体"/>
                <w:b/>
                <w:sz w:val="24"/>
              </w:rPr>
            </w:pPr>
          </w:p>
        </w:tc>
      </w:tr>
      <w:tr w14:paraId="3DB1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C6D52A2">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7B87E509">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125F74EC">
            <w:pPr>
              <w:snapToGrid w:val="0"/>
              <w:spacing w:line="360" w:lineRule="auto"/>
              <w:jc w:val="center"/>
              <w:rPr>
                <w:rFonts w:ascii="宋体" w:hAnsi="宋体" w:cs="宋体"/>
                <w:sz w:val="24"/>
              </w:rPr>
            </w:pPr>
          </w:p>
        </w:tc>
        <w:tc>
          <w:tcPr>
            <w:tcW w:w="2410" w:type="dxa"/>
            <w:vAlign w:val="center"/>
          </w:tcPr>
          <w:p w14:paraId="5248E9F3">
            <w:pPr>
              <w:snapToGrid w:val="0"/>
              <w:spacing w:line="360" w:lineRule="auto"/>
              <w:jc w:val="center"/>
              <w:rPr>
                <w:rFonts w:ascii="宋体" w:hAnsi="宋体" w:cs="宋体"/>
                <w:sz w:val="24"/>
              </w:rPr>
            </w:pPr>
          </w:p>
        </w:tc>
        <w:tc>
          <w:tcPr>
            <w:tcW w:w="2268" w:type="dxa"/>
            <w:vAlign w:val="center"/>
          </w:tcPr>
          <w:p w14:paraId="7EC54023">
            <w:pPr>
              <w:snapToGrid w:val="0"/>
              <w:spacing w:line="360" w:lineRule="auto"/>
              <w:jc w:val="center"/>
              <w:rPr>
                <w:rFonts w:ascii="宋体" w:hAnsi="宋体" w:cs="宋体"/>
                <w:sz w:val="24"/>
              </w:rPr>
            </w:pPr>
          </w:p>
        </w:tc>
        <w:tc>
          <w:tcPr>
            <w:tcW w:w="2126" w:type="dxa"/>
            <w:vAlign w:val="center"/>
          </w:tcPr>
          <w:p w14:paraId="1AEB5E64">
            <w:pPr>
              <w:spacing w:line="360" w:lineRule="auto"/>
              <w:jc w:val="center"/>
              <w:rPr>
                <w:rFonts w:ascii="宋体" w:hAnsi="宋体" w:cs="宋体"/>
                <w:sz w:val="24"/>
              </w:rPr>
            </w:pPr>
          </w:p>
        </w:tc>
        <w:tc>
          <w:tcPr>
            <w:tcW w:w="2127" w:type="dxa"/>
          </w:tcPr>
          <w:p w14:paraId="7E9CC9DA">
            <w:pPr>
              <w:spacing w:line="360" w:lineRule="auto"/>
              <w:jc w:val="center"/>
              <w:rPr>
                <w:rFonts w:ascii="宋体" w:hAnsi="宋体" w:cs="宋体"/>
                <w:sz w:val="24"/>
              </w:rPr>
            </w:pPr>
          </w:p>
        </w:tc>
        <w:tc>
          <w:tcPr>
            <w:tcW w:w="2126" w:type="dxa"/>
            <w:vAlign w:val="center"/>
          </w:tcPr>
          <w:p w14:paraId="62ABB0F6">
            <w:pPr>
              <w:spacing w:line="360" w:lineRule="auto"/>
              <w:jc w:val="center"/>
              <w:rPr>
                <w:rFonts w:ascii="宋体" w:hAnsi="宋体" w:cs="宋体"/>
                <w:sz w:val="24"/>
              </w:rPr>
            </w:pPr>
          </w:p>
        </w:tc>
      </w:tr>
      <w:tr w14:paraId="0DAB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97648D">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54B6B140">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C3C3303">
            <w:pPr>
              <w:snapToGrid w:val="0"/>
              <w:spacing w:line="360" w:lineRule="auto"/>
              <w:jc w:val="center"/>
              <w:rPr>
                <w:rFonts w:ascii="宋体" w:hAnsi="宋体" w:cs="宋体"/>
                <w:sz w:val="24"/>
              </w:rPr>
            </w:pPr>
          </w:p>
        </w:tc>
        <w:tc>
          <w:tcPr>
            <w:tcW w:w="2410" w:type="dxa"/>
            <w:vAlign w:val="center"/>
          </w:tcPr>
          <w:p w14:paraId="77B147A1">
            <w:pPr>
              <w:snapToGrid w:val="0"/>
              <w:spacing w:line="360" w:lineRule="auto"/>
              <w:jc w:val="center"/>
              <w:rPr>
                <w:rFonts w:ascii="宋体" w:hAnsi="宋体" w:cs="宋体"/>
                <w:sz w:val="24"/>
              </w:rPr>
            </w:pPr>
          </w:p>
        </w:tc>
        <w:tc>
          <w:tcPr>
            <w:tcW w:w="2268" w:type="dxa"/>
            <w:vAlign w:val="center"/>
          </w:tcPr>
          <w:p w14:paraId="415C4450">
            <w:pPr>
              <w:snapToGrid w:val="0"/>
              <w:spacing w:line="360" w:lineRule="auto"/>
              <w:jc w:val="center"/>
              <w:rPr>
                <w:rFonts w:ascii="宋体" w:hAnsi="宋体" w:cs="宋体"/>
                <w:sz w:val="24"/>
              </w:rPr>
            </w:pPr>
          </w:p>
        </w:tc>
        <w:tc>
          <w:tcPr>
            <w:tcW w:w="2126" w:type="dxa"/>
            <w:vAlign w:val="center"/>
          </w:tcPr>
          <w:p w14:paraId="5947F5D7">
            <w:pPr>
              <w:spacing w:line="360" w:lineRule="auto"/>
              <w:jc w:val="center"/>
              <w:rPr>
                <w:rFonts w:ascii="宋体" w:hAnsi="宋体" w:cs="宋体"/>
                <w:sz w:val="24"/>
              </w:rPr>
            </w:pPr>
          </w:p>
        </w:tc>
        <w:tc>
          <w:tcPr>
            <w:tcW w:w="2127" w:type="dxa"/>
          </w:tcPr>
          <w:p w14:paraId="509A5D8E">
            <w:pPr>
              <w:spacing w:line="360" w:lineRule="auto"/>
              <w:jc w:val="center"/>
              <w:rPr>
                <w:rFonts w:ascii="宋体" w:hAnsi="宋体" w:cs="宋体"/>
                <w:sz w:val="24"/>
              </w:rPr>
            </w:pPr>
          </w:p>
        </w:tc>
        <w:tc>
          <w:tcPr>
            <w:tcW w:w="2126" w:type="dxa"/>
            <w:vAlign w:val="center"/>
          </w:tcPr>
          <w:p w14:paraId="6A25D418">
            <w:pPr>
              <w:spacing w:line="360" w:lineRule="auto"/>
              <w:jc w:val="center"/>
              <w:rPr>
                <w:rFonts w:ascii="宋体" w:hAnsi="宋体" w:cs="宋体"/>
                <w:sz w:val="24"/>
              </w:rPr>
            </w:pPr>
          </w:p>
        </w:tc>
      </w:tr>
      <w:tr w14:paraId="371D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EDE6B2">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64A1044D">
            <w:pPr>
              <w:snapToGrid w:val="0"/>
              <w:spacing w:line="360" w:lineRule="auto"/>
              <w:jc w:val="center"/>
              <w:rPr>
                <w:rFonts w:ascii="宋体" w:hAnsi="宋体" w:cs="宋体"/>
                <w:sz w:val="24"/>
              </w:rPr>
            </w:pPr>
          </w:p>
        </w:tc>
        <w:tc>
          <w:tcPr>
            <w:tcW w:w="2268" w:type="dxa"/>
            <w:vAlign w:val="center"/>
          </w:tcPr>
          <w:p w14:paraId="329E2346">
            <w:pPr>
              <w:snapToGrid w:val="0"/>
              <w:spacing w:line="360" w:lineRule="auto"/>
              <w:jc w:val="center"/>
              <w:rPr>
                <w:rFonts w:ascii="宋体" w:hAnsi="宋体" w:cs="宋体"/>
                <w:sz w:val="24"/>
              </w:rPr>
            </w:pPr>
          </w:p>
        </w:tc>
        <w:tc>
          <w:tcPr>
            <w:tcW w:w="2410" w:type="dxa"/>
            <w:vAlign w:val="center"/>
          </w:tcPr>
          <w:p w14:paraId="6F782BC8">
            <w:pPr>
              <w:snapToGrid w:val="0"/>
              <w:spacing w:line="360" w:lineRule="auto"/>
              <w:jc w:val="center"/>
              <w:rPr>
                <w:rFonts w:ascii="宋体" w:hAnsi="宋体" w:cs="宋体"/>
                <w:sz w:val="24"/>
              </w:rPr>
            </w:pPr>
          </w:p>
        </w:tc>
        <w:tc>
          <w:tcPr>
            <w:tcW w:w="2268" w:type="dxa"/>
            <w:vAlign w:val="center"/>
          </w:tcPr>
          <w:p w14:paraId="03E8E8D7">
            <w:pPr>
              <w:snapToGrid w:val="0"/>
              <w:spacing w:line="360" w:lineRule="auto"/>
              <w:jc w:val="center"/>
              <w:rPr>
                <w:rFonts w:ascii="宋体" w:hAnsi="宋体" w:cs="宋体"/>
                <w:sz w:val="24"/>
              </w:rPr>
            </w:pPr>
          </w:p>
        </w:tc>
        <w:tc>
          <w:tcPr>
            <w:tcW w:w="2126" w:type="dxa"/>
            <w:vAlign w:val="center"/>
          </w:tcPr>
          <w:p w14:paraId="617C996E">
            <w:pPr>
              <w:spacing w:line="360" w:lineRule="auto"/>
              <w:jc w:val="center"/>
              <w:rPr>
                <w:rFonts w:ascii="宋体" w:hAnsi="宋体" w:cs="宋体"/>
                <w:sz w:val="24"/>
              </w:rPr>
            </w:pPr>
          </w:p>
        </w:tc>
        <w:tc>
          <w:tcPr>
            <w:tcW w:w="2127" w:type="dxa"/>
          </w:tcPr>
          <w:p w14:paraId="5BC66BED">
            <w:pPr>
              <w:spacing w:line="360" w:lineRule="auto"/>
              <w:jc w:val="center"/>
              <w:rPr>
                <w:rFonts w:ascii="宋体" w:hAnsi="宋体" w:cs="宋体"/>
                <w:sz w:val="24"/>
              </w:rPr>
            </w:pPr>
          </w:p>
        </w:tc>
        <w:tc>
          <w:tcPr>
            <w:tcW w:w="2126" w:type="dxa"/>
            <w:vAlign w:val="center"/>
          </w:tcPr>
          <w:p w14:paraId="5C54B74D">
            <w:pPr>
              <w:spacing w:line="360" w:lineRule="auto"/>
              <w:jc w:val="center"/>
              <w:rPr>
                <w:rFonts w:ascii="宋体" w:hAnsi="宋体" w:cs="宋体"/>
                <w:sz w:val="24"/>
              </w:rPr>
            </w:pPr>
          </w:p>
        </w:tc>
      </w:tr>
      <w:tr w14:paraId="7431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487" w:type="dxa"/>
            <w:gridSpan w:val="4"/>
            <w:vAlign w:val="center"/>
          </w:tcPr>
          <w:p w14:paraId="52A1D74D">
            <w:pPr>
              <w:spacing w:line="360" w:lineRule="auto"/>
              <w:jc w:val="center"/>
              <w:rPr>
                <w:rFonts w:ascii="宋体" w:hAnsi="宋体" w:cs="宋体"/>
                <w:sz w:val="24"/>
              </w:rPr>
            </w:pPr>
            <w:r>
              <w:rPr>
                <w:rFonts w:hint="eastAsia" w:ascii="宋体" w:hAnsi="宋体" w:cs="宋体"/>
                <w:b/>
                <w:sz w:val="24"/>
              </w:rPr>
              <w:t>投标报价（单年）（小写）</w:t>
            </w:r>
          </w:p>
        </w:tc>
        <w:tc>
          <w:tcPr>
            <w:tcW w:w="8647" w:type="dxa"/>
            <w:gridSpan w:val="4"/>
          </w:tcPr>
          <w:p w14:paraId="2D0DB65D">
            <w:pPr>
              <w:spacing w:line="360" w:lineRule="auto"/>
              <w:jc w:val="center"/>
              <w:rPr>
                <w:rFonts w:ascii="宋体" w:hAnsi="宋体" w:cs="宋体"/>
                <w:sz w:val="24"/>
              </w:rPr>
            </w:pPr>
          </w:p>
        </w:tc>
      </w:tr>
      <w:tr w14:paraId="0A44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87" w:type="dxa"/>
            <w:gridSpan w:val="4"/>
            <w:vAlign w:val="center"/>
          </w:tcPr>
          <w:p w14:paraId="27C501A4">
            <w:pPr>
              <w:spacing w:line="360" w:lineRule="auto"/>
              <w:jc w:val="center"/>
              <w:rPr>
                <w:rFonts w:ascii="宋体" w:hAnsi="宋体" w:cs="宋体"/>
                <w:sz w:val="24"/>
              </w:rPr>
            </w:pPr>
            <w:r>
              <w:rPr>
                <w:rFonts w:hint="eastAsia" w:ascii="宋体" w:hAnsi="宋体" w:cs="宋体"/>
                <w:b/>
                <w:sz w:val="24"/>
              </w:rPr>
              <w:t>投标报价（单年）（大写）</w:t>
            </w:r>
          </w:p>
        </w:tc>
        <w:tc>
          <w:tcPr>
            <w:tcW w:w="8647" w:type="dxa"/>
            <w:gridSpan w:val="4"/>
          </w:tcPr>
          <w:p w14:paraId="283F7242">
            <w:pPr>
              <w:spacing w:line="360" w:lineRule="auto"/>
              <w:jc w:val="center"/>
              <w:rPr>
                <w:rFonts w:ascii="宋体" w:hAnsi="宋体" w:cs="宋体"/>
                <w:sz w:val="24"/>
              </w:rPr>
            </w:pPr>
          </w:p>
        </w:tc>
      </w:tr>
      <w:tr w14:paraId="7836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87" w:type="dxa"/>
            <w:gridSpan w:val="4"/>
            <w:vAlign w:val="center"/>
          </w:tcPr>
          <w:p w14:paraId="31ADB6F2">
            <w:pPr>
              <w:spacing w:line="360" w:lineRule="auto"/>
              <w:jc w:val="center"/>
              <w:rPr>
                <w:rFonts w:hint="eastAsia" w:ascii="宋体" w:hAnsi="宋体" w:cs="宋体"/>
                <w:b/>
                <w:sz w:val="24"/>
              </w:rPr>
            </w:pPr>
            <w:r>
              <w:rPr>
                <w:rFonts w:hint="eastAsia" w:ascii="宋体" w:hAnsi="宋体" w:cs="宋体"/>
                <w:b/>
                <w:sz w:val="24"/>
              </w:rPr>
              <w:t>投标报价（两年）（小写）</w:t>
            </w:r>
          </w:p>
        </w:tc>
        <w:tc>
          <w:tcPr>
            <w:tcW w:w="8647" w:type="dxa"/>
            <w:gridSpan w:val="4"/>
          </w:tcPr>
          <w:p w14:paraId="07402828">
            <w:pPr>
              <w:spacing w:line="360" w:lineRule="auto"/>
              <w:jc w:val="center"/>
              <w:rPr>
                <w:rFonts w:ascii="宋体" w:hAnsi="宋体" w:cs="宋体"/>
                <w:sz w:val="24"/>
              </w:rPr>
            </w:pPr>
          </w:p>
        </w:tc>
      </w:tr>
      <w:tr w14:paraId="204D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87" w:type="dxa"/>
            <w:gridSpan w:val="4"/>
            <w:vAlign w:val="center"/>
          </w:tcPr>
          <w:p w14:paraId="327F3BF4">
            <w:pPr>
              <w:spacing w:line="360" w:lineRule="auto"/>
              <w:jc w:val="center"/>
              <w:rPr>
                <w:rFonts w:hint="eastAsia" w:ascii="宋体" w:hAnsi="宋体" w:cs="宋体"/>
                <w:b/>
                <w:sz w:val="24"/>
              </w:rPr>
            </w:pPr>
            <w:r>
              <w:rPr>
                <w:rFonts w:hint="eastAsia" w:ascii="宋体" w:hAnsi="宋体" w:cs="宋体"/>
                <w:b/>
                <w:sz w:val="24"/>
              </w:rPr>
              <w:t>投标报价（两年）（大写）</w:t>
            </w:r>
          </w:p>
        </w:tc>
        <w:tc>
          <w:tcPr>
            <w:tcW w:w="8647" w:type="dxa"/>
            <w:gridSpan w:val="4"/>
          </w:tcPr>
          <w:p w14:paraId="44EFBC70">
            <w:pPr>
              <w:spacing w:line="360" w:lineRule="auto"/>
              <w:jc w:val="center"/>
              <w:rPr>
                <w:rFonts w:ascii="宋体" w:hAnsi="宋体" w:cs="宋体"/>
                <w:sz w:val="24"/>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4FC466F">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snapToGrid w:val="0"/>
        <w:spacing w:line="360" w:lineRule="auto"/>
        <w:ind w:firstLine="482" w:firstLineChars="200"/>
        <w:jc w:val="left"/>
        <w:rPr>
          <w:rFonts w:hint="default" w:ascii="宋体" w:hAnsi="宋体" w:eastAsia="宋体" w:cs="宋体"/>
          <w:color w:val="auto"/>
          <w:kern w:val="2"/>
          <w:sz w:val="32"/>
          <w:szCs w:val="32"/>
          <w:highlight w:val="green"/>
          <w:lang w:val="en-US" w:eastAsia="zh-CN"/>
        </w:rPr>
      </w:pPr>
      <w:r>
        <w:rPr>
          <w:rFonts w:hint="eastAsia" w:ascii="宋体" w:hAnsi="宋体" w:cs="宋体"/>
          <w:b/>
          <w:bCs/>
          <w:color w:val="auto"/>
          <w:kern w:val="0"/>
          <w:sz w:val="24"/>
          <w:highlight w:val="none"/>
          <w:lang w:val="en-US" w:eastAsia="zh-CN"/>
        </w:rPr>
        <w:t>4、</w:t>
      </w:r>
      <w:r>
        <w:rPr>
          <w:rFonts w:hint="eastAsia" w:ascii="宋体" w:hAnsi="宋体" w:cs="宋体"/>
          <w:b/>
          <w:bCs/>
          <w:kern w:val="0"/>
          <w:sz w:val="24"/>
        </w:rPr>
        <w:t>最高限价：</w:t>
      </w:r>
      <w:r>
        <w:rPr>
          <w:rFonts w:hint="eastAsia" w:ascii="宋体" w:hAnsi="宋体" w:cs="宋体"/>
          <w:b/>
          <w:bCs/>
          <w:kern w:val="0"/>
          <w:sz w:val="24"/>
          <w:lang w:val="en-US" w:eastAsia="zh-CN"/>
        </w:rPr>
        <w:t>7500000</w:t>
      </w:r>
      <w:r>
        <w:rPr>
          <w:rFonts w:hint="eastAsia" w:ascii="宋体" w:hAnsi="宋体" w:cs="宋体"/>
          <w:b/>
          <w:bCs/>
          <w:kern w:val="0"/>
          <w:sz w:val="24"/>
        </w:rPr>
        <w:t>.00元/年。</w:t>
      </w:r>
    </w:p>
    <w:p w14:paraId="2067EAD4">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74E8D46A">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03CF4B98">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2768454E">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7F51D546">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0DA80473">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148648E8">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24FFA5D0">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708B53AF">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4A166E9F">
      <w:pPr>
        <w:pStyle w:val="694"/>
        <w:keepNext w:val="0"/>
        <w:pageBreakBefore w:val="0"/>
        <w:tabs>
          <w:tab w:val="clear" w:pos="720"/>
        </w:tabs>
        <w:snapToGrid w:val="0"/>
        <w:spacing w:before="120" w:after="120"/>
        <w:ind w:firstLine="643"/>
        <w:jc w:val="both"/>
        <w:outlineLvl w:val="9"/>
        <w:rPr>
          <w:rFonts w:hint="default" w:ascii="Times New Roman" w:hAnsi="Times New Roman" w:eastAsia="宋体" w:cs="Times New Roman"/>
          <w:color w:val="auto"/>
          <w:sz w:val="24"/>
          <w:szCs w:val="24"/>
          <w:highlight w:val="none"/>
          <w:lang w:val="en-US" w:eastAsia="zh-CN"/>
        </w:rPr>
      </w:pPr>
    </w:p>
    <w:p w14:paraId="2E2BF48B">
      <w:pPr>
        <w:pStyle w:val="694"/>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pPr>
      <w:r>
        <w:rPr>
          <w:rFonts w:hint="default" w:ascii="Times New Roman" w:hAnsi="Times New Roman" w:eastAsia="宋体" w:cs="Times New Roman"/>
          <w:color w:val="auto"/>
          <w:sz w:val="24"/>
          <w:szCs w:val="24"/>
          <w:highlight w:val="none"/>
          <w:lang w:val="en-US" w:eastAsia="zh-CN"/>
        </w:rPr>
        <w:t>附：人员费用表</w:t>
      </w:r>
    </w:p>
    <w:tbl>
      <w:tblPr>
        <w:tblStyle w:val="6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4551"/>
        <w:gridCol w:w="758"/>
        <w:gridCol w:w="1123"/>
        <w:gridCol w:w="1123"/>
        <w:gridCol w:w="1527"/>
        <w:gridCol w:w="1108"/>
        <w:gridCol w:w="1108"/>
        <w:gridCol w:w="711"/>
        <w:gridCol w:w="1108"/>
        <w:gridCol w:w="656"/>
      </w:tblGrid>
      <w:tr w14:paraId="44C4A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0" w:type="auto"/>
            <w:vAlign w:val="center"/>
          </w:tcPr>
          <w:p w14:paraId="7900F738">
            <w:pPr>
              <w:spacing w:line="360" w:lineRule="auto"/>
              <w:jc w:val="center"/>
              <w:rPr>
                <w:color w:val="000000"/>
                <w:sz w:val="24"/>
              </w:rPr>
            </w:pPr>
            <w:r>
              <w:rPr>
                <w:color w:val="000000"/>
                <w:sz w:val="24"/>
              </w:rPr>
              <w:t>序号</w:t>
            </w:r>
          </w:p>
        </w:tc>
        <w:tc>
          <w:tcPr>
            <w:tcW w:w="0" w:type="auto"/>
            <w:vAlign w:val="center"/>
          </w:tcPr>
          <w:p w14:paraId="4B77EF00">
            <w:pPr>
              <w:spacing w:line="360" w:lineRule="auto"/>
              <w:jc w:val="center"/>
              <w:rPr>
                <w:color w:val="000000"/>
                <w:sz w:val="24"/>
              </w:rPr>
            </w:pPr>
            <w:r>
              <w:rPr>
                <w:color w:val="000000"/>
                <w:sz w:val="24"/>
              </w:rPr>
              <w:t>岗位</w:t>
            </w:r>
          </w:p>
        </w:tc>
        <w:tc>
          <w:tcPr>
            <w:tcW w:w="0" w:type="auto"/>
            <w:vAlign w:val="center"/>
          </w:tcPr>
          <w:p w14:paraId="65189C91">
            <w:pPr>
              <w:spacing w:line="360" w:lineRule="auto"/>
              <w:jc w:val="center"/>
              <w:rPr>
                <w:color w:val="000000"/>
                <w:sz w:val="24"/>
              </w:rPr>
            </w:pPr>
            <w:r>
              <w:rPr>
                <w:color w:val="000000"/>
                <w:sz w:val="24"/>
              </w:rPr>
              <w:t>人数</w:t>
            </w:r>
          </w:p>
        </w:tc>
        <w:tc>
          <w:tcPr>
            <w:tcW w:w="0" w:type="auto"/>
            <w:vAlign w:val="center"/>
          </w:tcPr>
          <w:p w14:paraId="20752923">
            <w:pPr>
              <w:spacing w:line="360" w:lineRule="auto"/>
              <w:jc w:val="center"/>
              <w:rPr>
                <w:color w:val="000000"/>
                <w:sz w:val="24"/>
              </w:rPr>
            </w:pPr>
            <w:bookmarkStart w:id="425" w:name="_GoBack"/>
            <w:bookmarkEnd w:id="425"/>
            <w:r>
              <w:rPr>
                <w:color w:val="000000"/>
                <w:sz w:val="24"/>
              </w:rPr>
              <w:t>月工资</w:t>
            </w:r>
          </w:p>
          <w:p w14:paraId="70BFBC14">
            <w:pPr>
              <w:spacing w:line="360" w:lineRule="auto"/>
              <w:jc w:val="center"/>
              <w:rPr>
                <w:color w:val="000000"/>
                <w:sz w:val="24"/>
              </w:rPr>
            </w:pPr>
            <w:r>
              <w:rPr>
                <w:color w:val="000000"/>
                <w:sz w:val="24"/>
              </w:rPr>
              <w:t>元/月/人</w:t>
            </w:r>
          </w:p>
        </w:tc>
        <w:tc>
          <w:tcPr>
            <w:tcW w:w="0" w:type="auto"/>
            <w:vAlign w:val="center"/>
          </w:tcPr>
          <w:p w14:paraId="6FE14A74">
            <w:pPr>
              <w:spacing w:line="360" w:lineRule="auto"/>
              <w:jc w:val="center"/>
              <w:rPr>
                <w:color w:val="000000"/>
                <w:sz w:val="24"/>
              </w:rPr>
            </w:pPr>
            <w:r>
              <w:rPr>
                <w:color w:val="000000"/>
                <w:sz w:val="24"/>
              </w:rPr>
              <w:t>年</w:t>
            </w:r>
          </w:p>
          <w:p w14:paraId="6F2651C0">
            <w:pPr>
              <w:spacing w:line="360" w:lineRule="auto"/>
              <w:jc w:val="center"/>
              <w:rPr>
                <w:color w:val="000000"/>
                <w:sz w:val="24"/>
              </w:rPr>
            </w:pPr>
            <w:r>
              <w:rPr>
                <w:color w:val="000000"/>
                <w:sz w:val="24"/>
              </w:rPr>
              <w:t>工资</w:t>
            </w:r>
          </w:p>
          <w:p w14:paraId="26889204">
            <w:pPr>
              <w:spacing w:line="360" w:lineRule="auto"/>
              <w:jc w:val="center"/>
              <w:rPr>
                <w:color w:val="000000"/>
                <w:sz w:val="24"/>
              </w:rPr>
            </w:pPr>
            <w:r>
              <w:rPr>
                <w:color w:val="000000"/>
                <w:sz w:val="24"/>
              </w:rPr>
              <w:t>元/年/人</w:t>
            </w:r>
          </w:p>
        </w:tc>
        <w:tc>
          <w:tcPr>
            <w:tcW w:w="0" w:type="auto"/>
            <w:vAlign w:val="center"/>
          </w:tcPr>
          <w:p w14:paraId="7B78B1EB">
            <w:pPr>
              <w:spacing w:line="360" w:lineRule="auto"/>
              <w:jc w:val="center"/>
              <w:rPr>
                <w:color w:val="000000"/>
                <w:sz w:val="24"/>
              </w:rPr>
            </w:pPr>
            <w:r>
              <w:rPr>
                <w:color w:val="000000"/>
                <w:sz w:val="24"/>
              </w:rPr>
              <w:t>年终绩效/人</w:t>
            </w:r>
          </w:p>
        </w:tc>
        <w:tc>
          <w:tcPr>
            <w:tcW w:w="0" w:type="auto"/>
            <w:vAlign w:val="center"/>
          </w:tcPr>
          <w:p w14:paraId="4FA95887">
            <w:pPr>
              <w:spacing w:line="360" w:lineRule="auto"/>
              <w:jc w:val="center"/>
              <w:rPr>
                <w:color w:val="000000"/>
                <w:sz w:val="24"/>
              </w:rPr>
            </w:pPr>
            <w:r>
              <w:rPr>
                <w:color w:val="000000"/>
                <w:sz w:val="24"/>
              </w:rPr>
              <w:t>年福利及</w:t>
            </w:r>
          </w:p>
          <w:p w14:paraId="7D3F276C">
            <w:pPr>
              <w:spacing w:line="360" w:lineRule="auto"/>
              <w:jc w:val="center"/>
              <w:rPr>
                <w:color w:val="000000"/>
                <w:sz w:val="24"/>
              </w:rPr>
            </w:pPr>
            <w:r>
              <w:rPr>
                <w:color w:val="000000"/>
                <w:sz w:val="24"/>
              </w:rPr>
              <w:t>高温费/人</w:t>
            </w:r>
          </w:p>
        </w:tc>
        <w:tc>
          <w:tcPr>
            <w:tcW w:w="0" w:type="auto"/>
            <w:vAlign w:val="center"/>
          </w:tcPr>
          <w:p w14:paraId="2D4AD023">
            <w:pPr>
              <w:spacing w:line="360" w:lineRule="auto"/>
              <w:jc w:val="center"/>
              <w:rPr>
                <w:color w:val="000000"/>
                <w:sz w:val="24"/>
              </w:rPr>
            </w:pPr>
            <w:r>
              <w:rPr>
                <w:color w:val="000000"/>
                <w:sz w:val="24"/>
              </w:rPr>
              <w:t>体检费/人</w:t>
            </w:r>
          </w:p>
        </w:tc>
        <w:tc>
          <w:tcPr>
            <w:tcW w:w="0" w:type="auto"/>
            <w:vAlign w:val="center"/>
          </w:tcPr>
          <w:p w14:paraId="4A298183">
            <w:pPr>
              <w:spacing w:line="360" w:lineRule="auto"/>
              <w:jc w:val="center"/>
              <w:rPr>
                <w:color w:val="000000"/>
                <w:sz w:val="24"/>
              </w:rPr>
            </w:pPr>
            <w:r>
              <w:rPr>
                <w:color w:val="000000"/>
                <w:sz w:val="24"/>
              </w:rPr>
              <w:t>年</w:t>
            </w:r>
          </w:p>
          <w:p w14:paraId="27AE3828">
            <w:pPr>
              <w:spacing w:line="360" w:lineRule="auto"/>
              <w:jc w:val="center"/>
              <w:rPr>
                <w:color w:val="000000"/>
                <w:sz w:val="24"/>
              </w:rPr>
            </w:pPr>
            <w:r>
              <w:rPr>
                <w:color w:val="000000"/>
                <w:sz w:val="24"/>
              </w:rPr>
              <w:t>社保</w:t>
            </w:r>
          </w:p>
          <w:p w14:paraId="1FC6BE83">
            <w:pPr>
              <w:spacing w:line="360" w:lineRule="auto"/>
              <w:jc w:val="center"/>
              <w:rPr>
                <w:color w:val="000000"/>
                <w:sz w:val="24"/>
              </w:rPr>
            </w:pPr>
            <w:r>
              <w:rPr>
                <w:color w:val="000000"/>
                <w:sz w:val="24"/>
              </w:rPr>
              <w:t>费/人</w:t>
            </w:r>
          </w:p>
        </w:tc>
        <w:tc>
          <w:tcPr>
            <w:tcW w:w="0" w:type="auto"/>
            <w:shd w:val="clear" w:color="auto" w:fill="auto"/>
            <w:vAlign w:val="center"/>
          </w:tcPr>
          <w:p w14:paraId="79E121AF">
            <w:pPr>
              <w:spacing w:line="360" w:lineRule="auto"/>
              <w:jc w:val="center"/>
              <w:rPr>
                <w:rFonts w:ascii="Times New Roman" w:hAnsi="Times New Roman" w:eastAsia="宋体" w:cs="Times New Roman"/>
                <w:color w:val="000000"/>
                <w:kern w:val="2"/>
                <w:sz w:val="24"/>
                <w:szCs w:val="24"/>
                <w:lang w:val="en-US" w:eastAsia="zh-CN" w:bidi="ar-SA"/>
              </w:rPr>
            </w:pPr>
            <w:r>
              <w:rPr>
                <w:color w:val="000000"/>
                <w:sz w:val="24"/>
              </w:rPr>
              <w:t>年费用/人</w:t>
            </w:r>
          </w:p>
        </w:tc>
        <w:tc>
          <w:tcPr>
            <w:tcW w:w="0" w:type="auto"/>
            <w:shd w:val="clear" w:color="auto" w:fill="auto"/>
            <w:vAlign w:val="center"/>
          </w:tcPr>
          <w:p w14:paraId="083D9884">
            <w:pPr>
              <w:spacing w:line="360" w:lineRule="auto"/>
              <w:jc w:val="center"/>
              <w:rPr>
                <w:rFonts w:hint="default" w:ascii="Times New Roman" w:hAnsi="Times New Roman" w:eastAsia="宋体" w:cs="Times New Roman"/>
                <w:color w:val="000000"/>
                <w:kern w:val="2"/>
                <w:sz w:val="24"/>
                <w:szCs w:val="24"/>
                <w:lang w:val="en-US" w:eastAsia="zh-CN" w:bidi="ar-SA"/>
              </w:rPr>
            </w:pPr>
            <w:r>
              <w:rPr>
                <w:rFonts w:hint="eastAsia"/>
                <w:color w:val="000000"/>
                <w:sz w:val="24"/>
                <w:lang w:val="en-US" w:eastAsia="zh-CN"/>
              </w:rPr>
              <w:t>合计</w:t>
            </w:r>
          </w:p>
        </w:tc>
      </w:tr>
      <w:tr w14:paraId="6B67C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1B1A378E">
            <w:pPr>
              <w:spacing w:line="360" w:lineRule="auto"/>
              <w:jc w:val="center"/>
              <w:rPr>
                <w:color w:val="000000"/>
                <w:sz w:val="24"/>
              </w:rPr>
            </w:pPr>
            <w:r>
              <w:rPr>
                <w:color w:val="000000"/>
                <w:sz w:val="24"/>
              </w:rPr>
              <w:t>1</w:t>
            </w:r>
          </w:p>
        </w:tc>
        <w:tc>
          <w:tcPr>
            <w:tcW w:w="0" w:type="auto"/>
            <w:vAlign w:val="center"/>
          </w:tcPr>
          <w:p w14:paraId="48D79789">
            <w:pPr>
              <w:spacing w:line="360" w:lineRule="auto"/>
              <w:jc w:val="center"/>
              <w:rPr>
                <w:color w:val="000000"/>
                <w:sz w:val="24"/>
              </w:rPr>
            </w:pPr>
            <w:r>
              <w:rPr>
                <w:color w:val="000000"/>
                <w:sz w:val="24"/>
              </w:rPr>
              <w:t>工程技术主管</w:t>
            </w:r>
          </w:p>
        </w:tc>
        <w:tc>
          <w:tcPr>
            <w:tcW w:w="0" w:type="auto"/>
            <w:vAlign w:val="center"/>
          </w:tcPr>
          <w:p w14:paraId="56DE6E7E">
            <w:pPr>
              <w:spacing w:line="360" w:lineRule="auto"/>
              <w:jc w:val="center"/>
              <w:rPr>
                <w:color w:val="000000"/>
                <w:sz w:val="24"/>
              </w:rPr>
            </w:pPr>
            <w:r>
              <w:rPr>
                <w:color w:val="000000"/>
                <w:sz w:val="24"/>
              </w:rPr>
              <w:t>1</w:t>
            </w:r>
          </w:p>
        </w:tc>
        <w:tc>
          <w:tcPr>
            <w:tcW w:w="0" w:type="auto"/>
            <w:vAlign w:val="center"/>
          </w:tcPr>
          <w:p w14:paraId="24A2A6B4">
            <w:pPr>
              <w:spacing w:line="360" w:lineRule="auto"/>
              <w:jc w:val="center"/>
              <w:rPr>
                <w:color w:val="000000"/>
                <w:sz w:val="24"/>
              </w:rPr>
            </w:pPr>
          </w:p>
        </w:tc>
        <w:tc>
          <w:tcPr>
            <w:tcW w:w="0" w:type="auto"/>
            <w:vAlign w:val="center"/>
          </w:tcPr>
          <w:p w14:paraId="6B8BE1B7">
            <w:pPr>
              <w:spacing w:line="360" w:lineRule="auto"/>
              <w:jc w:val="center"/>
              <w:rPr>
                <w:color w:val="000000"/>
                <w:sz w:val="24"/>
              </w:rPr>
            </w:pPr>
          </w:p>
        </w:tc>
        <w:tc>
          <w:tcPr>
            <w:tcW w:w="0" w:type="auto"/>
            <w:vAlign w:val="center"/>
          </w:tcPr>
          <w:p w14:paraId="5B06B580">
            <w:pPr>
              <w:spacing w:line="360" w:lineRule="auto"/>
              <w:jc w:val="center"/>
              <w:rPr>
                <w:color w:val="000000"/>
                <w:sz w:val="24"/>
              </w:rPr>
            </w:pPr>
          </w:p>
        </w:tc>
        <w:tc>
          <w:tcPr>
            <w:tcW w:w="0" w:type="auto"/>
            <w:vAlign w:val="center"/>
          </w:tcPr>
          <w:p w14:paraId="57BECDC8">
            <w:pPr>
              <w:spacing w:line="360" w:lineRule="auto"/>
              <w:jc w:val="center"/>
              <w:rPr>
                <w:color w:val="000000"/>
                <w:sz w:val="24"/>
              </w:rPr>
            </w:pPr>
          </w:p>
        </w:tc>
        <w:tc>
          <w:tcPr>
            <w:tcW w:w="0" w:type="auto"/>
            <w:vAlign w:val="center"/>
          </w:tcPr>
          <w:p w14:paraId="56C472DD">
            <w:pPr>
              <w:spacing w:line="360" w:lineRule="auto"/>
              <w:jc w:val="center"/>
              <w:rPr>
                <w:color w:val="000000"/>
                <w:sz w:val="24"/>
              </w:rPr>
            </w:pPr>
          </w:p>
        </w:tc>
        <w:tc>
          <w:tcPr>
            <w:tcW w:w="0" w:type="auto"/>
            <w:vAlign w:val="center"/>
          </w:tcPr>
          <w:p w14:paraId="265019E9">
            <w:pPr>
              <w:spacing w:line="360" w:lineRule="auto"/>
              <w:jc w:val="center"/>
              <w:rPr>
                <w:color w:val="000000"/>
                <w:sz w:val="24"/>
              </w:rPr>
            </w:pPr>
          </w:p>
        </w:tc>
        <w:tc>
          <w:tcPr>
            <w:tcW w:w="0" w:type="auto"/>
            <w:vAlign w:val="center"/>
          </w:tcPr>
          <w:p w14:paraId="2CCA3688">
            <w:pPr>
              <w:spacing w:line="360" w:lineRule="auto"/>
              <w:jc w:val="center"/>
              <w:rPr>
                <w:color w:val="000000"/>
                <w:sz w:val="24"/>
              </w:rPr>
            </w:pPr>
          </w:p>
        </w:tc>
        <w:tc>
          <w:tcPr>
            <w:tcW w:w="0" w:type="auto"/>
            <w:vAlign w:val="center"/>
          </w:tcPr>
          <w:p w14:paraId="1D481B6B">
            <w:pPr>
              <w:spacing w:line="360" w:lineRule="auto"/>
              <w:jc w:val="center"/>
              <w:rPr>
                <w:color w:val="000000"/>
                <w:sz w:val="24"/>
              </w:rPr>
            </w:pPr>
          </w:p>
        </w:tc>
      </w:tr>
      <w:tr w14:paraId="65E61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506BAC6">
            <w:pPr>
              <w:spacing w:line="360" w:lineRule="auto"/>
              <w:jc w:val="center"/>
              <w:rPr>
                <w:color w:val="000000"/>
                <w:sz w:val="24"/>
              </w:rPr>
            </w:pPr>
            <w:r>
              <w:rPr>
                <w:color w:val="000000"/>
                <w:sz w:val="24"/>
              </w:rPr>
              <w:t>2</w:t>
            </w:r>
          </w:p>
        </w:tc>
        <w:tc>
          <w:tcPr>
            <w:tcW w:w="0" w:type="auto"/>
            <w:vAlign w:val="center"/>
          </w:tcPr>
          <w:p w14:paraId="216C0AB3">
            <w:pPr>
              <w:spacing w:line="360" w:lineRule="auto"/>
              <w:jc w:val="center"/>
              <w:rPr>
                <w:color w:val="000000"/>
                <w:sz w:val="24"/>
              </w:rPr>
            </w:pPr>
            <w:r>
              <w:rPr>
                <w:color w:val="000000"/>
                <w:sz w:val="24"/>
              </w:rPr>
              <w:t>综合运行维修副组长</w:t>
            </w:r>
          </w:p>
        </w:tc>
        <w:tc>
          <w:tcPr>
            <w:tcW w:w="0" w:type="auto"/>
            <w:vAlign w:val="center"/>
          </w:tcPr>
          <w:p w14:paraId="393034BA">
            <w:pPr>
              <w:spacing w:line="360" w:lineRule="auto"/>
              <w:jc w:val="center"/>
              <w:rPr>
                <w:color w:val="000000"/>
                <w:sz w:val="24"/>
              </w:rPr>
            </w:pPr>
            <w:r>
              <w:rPr>
                <w:color w:val="000000"/>
                <w:sz w:val="24"/>
              </w:rPr>
              <w:t>1</w:t>
            </w:r>
          </w:p>
        </w:tc>
        <w:tc>
          <w:tcPr>
            <w:tcW w:w="0" w:type="auto"/>
            <w:vAlign w:val="center"/>
          </w:tcPr>
          <w:p w14:paraId="210DA169">
            <w:pPr>
              <w:spacing w:line="360" w:lineRule="auto"/>
              <w:jc w:val="center"/>
              <w:rPr>
                <w:color w:val="000000"/>
                <w:sz w:val="24"/>
              </w:rPr>
            </w:pPr>
          </w:p>
        </w:tc>
        <w:tc>
          <w:tcPr>
            <w:tcW w:w="0" w:type="auto"/>
            <w:vAlign w:val="center"/>
          </w:tcPr>
          <w:p w14:paraId="21C8CF9E">
            <w:pPr>
              <w:spacing w:line="360" w:lineRule="auto"/>
              <w:jc w:val="center"/>
              <w:rPr>
                <w:color w:val="000000"/>
                <w:sz w:val="24"/>
              </w:rPr>
            </w:pPr>
          </w:p>
        </w:tc>
        <w:tc>
          <w:tcPr>
            <w:tcW w:w="0" w:type="auto"/>
            <w:vAlign w:val="center"/>
          </w:tcPr>
          <w:p w14:paraId="6BB2AA35">
            <w:pPr>
              <w:spacing w:line="360" w:lineRule="auto"/>
              <w:jc w:val="center"/>
              <w:rPr>
                <w:color w:val="000000"/>
                <w:sz w:val="24"/>
              </w:rPr>
            </w:pPr>
          </w:p>
        </w:tc>
        <w:tc>
          <w:tcPr>
            <w:tcW w:w="0" w:type="auto"/>
            <w:vAlign w:val="center"/>
          </w:tcPr>
          <w:p w14:paraId="0A80CEFF">
            <w:pPr>
              <w:spacing w:line="360" w:lineRule="auto"/>
              <w:jc w:val="center"/>
              <w:rPr>
                <w:color w:val="000000"/>
                <w:sz w:val="24"/>
              </w:rPr>
            </w:pPr>
          </w:p>
        </w:tc>
        <w:tc>
          <w:tcPr>
            <w:tcW w:w="0" w:type="auto"/>
            <w:vAlign w:val="center"/>
          </w:tcPr>
          <w:p w14:paraId="41214568">
            <w:pPr>
              <w:spacing w:line="360" w:lineRule="auto"/>
              <w:jc w:val="center"/>
              <w:rPr>
                <w:color w:val="000000"/>
                <w:sz w:val="24"/>
              </w:rPr>
            </w:pPr>
          </w:p>
        </w:tc>
        <w:tc>
          <w:tcPr>
            <w:tcW w:w="0" w:type="auto"/>
            <w:vAlign w:val="center"/>
          </w:tcPr>
          <w:p w14:paraId="1236B6A2">
            <w:pPr>
              <w:spacing w:line="360" w:lineRule="auto"/>
              <w:jc w:val="center"/>
              <w:rPr>
                <w:color w:val="000000"/>
                <w:sz w:val="24"/>
              </w:rPr>
            </w:pPr>
          </w:p>
        </w:tc>
        <w:tc>
          <w:tcPr>
            <w:tcW w:w="0" w:type="auto"/>
            <w:vAlign w:val="center"/>
          </w:tcPr>
          <w:p w14:paraId="1F76AC89">
            <w:pPr>
              <w:spacing w:line="360" w:lineRule="auto"/>
              <w:jc w:val="center"/>
              <w:rPr>
                <w:color w:val="000000"/>
                <w:sz w:val="24"/>
              </w:rPr>
            </w:pPr>
          </w:p>
        </w:tc>
        <w:tc>
          <w:tcPr>
            <w:tcW w:w="0" w:type="auto"/>
            <w:vAlign w:val="center"/>
          </w:tcPr>
          <w:p w14:paraId="7C5617B6">
            <w:pPr>
              <w:spacing w:line="360" w:lineRule="auto"/>
              <w:jc w:val="center"/>
              <w:rPr>
                <w:color w:val="000000"/>
                <w:sz w:val="24"/>
              </w:rPr>
            </w:pPr>
          </w:p>
        </w:tc>
      </w:tr>
      <w:tr w14:paraId="1BBF1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0DBA0095">
            <w:pPr>
              <w:spacing w:line="360" w:lineRule="auto"/>
              <w:jc w:val="center"/>
              <w:rPr>
                <w:color w:val="000000"/>
                <w:sz w:val="24"/>
              </w:rPr>
            </w:pPr>
            <w:r>
              <w:rPr>
                <w:color w:val="000000"/>
                <w:sz w:val="24"/>
              </w:rPr>
              <w:t>3</w:t>
            </w:r>
          </w:p>
        </w:tc>
        <w:tc>
          <w:tcPr>
            <w:tcW w:w="0" w:type="auto"/>
            <w:vAlign w:val="center"/>
          </w:tcPr>
          <w:p w14:paraId="5E9F5723">
            <w:pPr>
              <w:spacing w:line="360" w:lineRule="auto"/>
              <w:jc w:val="center"/>
              <w:rPr>
                <w:color w:val="000000"/>
                <w:sz w:val="24"/>
                <w:highlight w:val="none"/>
              </w:rPr>
            </w:pPr>
            <w:r>
              <w:rPr>
                <w:color w:val="000000"/>
                <w:sz w:val="24"/>
                <w:highlight w:val="none"/>
              </w:rPr>
              <w:t>综合运行维修员</w:t>
            </w:r>
          </w:p>
        </w:tc>
        <w:tc>
          <w:tcPr>
            <w:tcW w:w="0" w:type="auto"/>
            <w:vAlign w:val="center"/>
          </w:tcPr>
          <w:p w14:paraId="2C38CF8C">
            <w:pPr>
              <w:spacing w:line="360" w:lineRule="auto"/>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0" w:type="auto"/>
            <w:vAlign w:val="center"/>
          </w:tcPr>
          <w:p w14:paraId="58745D4C">
            <w:pPr>
              <w:spacing w:line="360" w:lineRule="auto"/>
              <w:jc w:val="center"/>
              <w:rPr>
                <w:color w:val="000000"/>
                <w:sz w:val="24"/>
              </w:rPr>
            </w:pPr>
          </w:p>
        </w:tc>
        <w:tc>
          <w:tcPr>
            <w:tcW w:w="0" w:type="auto"/>
            <w:vAlign w:val="center"/>
          </w:tcPr>
          <w:p w14:paraId="13BAEA49">
            <w:pPr>
              <w:spacing w:line="360" w:lineRule="auto"/>
              <w:jc w:val="center"/>
              <w:rPr>
                <w:color w:val="000000"/>
                <w:sz w:val="24"/>
              </w:rPr>
            </w:pPr>
          </w:p>
        </w:tc>
        <w:tc>
          <w:tcPr>
            <w:tcW w:w="0" w:type="auto"/>
            <w:vAlign w:val="center"/>
          </w:tcPr>
          <w:p w14:paraId="3D414185">
            <w:pPr>
              <w:spacing w:line="360" w:lineRule="auto"/>
              <w:jc w:val="center"/>
              <w:rPr>
                <w:color w:val="000000"/>
                <w:sz w:val="24"/>
              </w:rPr>
            </w:pPr>
          </w:p>
        </w:tc>
        <w:tc>
          <w:tcPr>
            <w:tcW w:w="0" w:type="auto"/>
            <w:vAlign w:val="center"/>
          </w:tcPr>
          <w:p w14:paraId="202B490D">
            <w:pPr>
              <w:spacing w:line="360" w:lineRule="auto"/>
              <w:jc w:val="center"/>
              <w:rPr>
                <w:color w:val="000000"/>
                <w:sz w:val="24"/>
              </w:rPr>
            </w:pPr>
          </w:p>
        </w:tc>
        <w:tc>
          <w:tcPr>
            <w:tcW w:w="0" w:type="auto"/>
            <w:vAlign w:val="center"/>
          </w:tcPr>
          <w:p w14:paraId="2D689F9B">
            <w:pPr>
              <w:spacing w:line="360" w:lineRule="auto"/>
              <w:jc w:val="center"/>
              <w:rPr>
                <w:color w:val="000000"/>
                <w:sz w:val="24"/>
              </w:rPr>
            </w:pPr>
          </w:p>
        </w:tc>
        <w:tc>
          <w:tcPr>
            <w:tcW w:w="0" w:type="auto"/>
            <w:vAlign w:val="center"/>
          </w:tcPr>
          <w:p w14:paraId="78218475">
            <w:pPr>
              <w:spacing w:line="360" w:lineRule="auto"/>
              <w:jc w:val="center"/>
              <w:rPr>
                <w:color w:val="000000"/>
                <w:sz w:val="24"/>
              </w:rPr>
            </w:pPr>
          </w:p>
        </w:tc>
        <w:tc>
          <w:tcPr>
            <w:tcW w:w="0" w:type="auto"/>
            <w:vAlign w:val="center"/>
          </w:tcPr>
          <w:p w14:paraId="078ADA0C">
            <w:pPr>
              <w:spacing w:line="360" w:lineRule="auto"/>
              <w:jc w:val="center"/>
              <w:rPr>
                <w:color w:val="000000"/>
                <w:sz w:val="24"/>
              </w:rPr>
            </w:pPr>
          </w:p>
        </w:tc>
        <w:tc>
          <w:tcPr>
            <w:tcW w:w="0" w:type="auto"/>
            <w:vAlign w:val="center"/>
          </w:tcPr>
          <w:p w14:paraId="64360D57">
            <w:pPr>
              <w:spacing w:line="360" w:lineRule="auto"/>
              <w:jc w:val="center"/>
              <w:rPr>
                <w:color w:val="000000"/>
                <w:sz w:val="24"/>
              </w:rPr>
            </w:pPr>
          </w:p>
        </w:tc>
      </w:tr>
      <w:tr w14:paraId="4510E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139F464">
            <w:pPr>
              <w:spacing w:line="360" w:lineRule="auto"/>
              <w:jc w:val="center"/>
              <w:rPr>
                <w:color w:val="000000"/>
                <w:sz w:val="24"/>
              </w:rPr>
            </w:pPr>
            <w:r>
              <w:rPr>
                <w:color w:val="000000"/>
                <w:sz w:val="24"/>
              </w:rPr>
              <w:t>4</w:t>
            </w:r>
          </w:p>
        </w:tc>
        <w:tc>
          <w:tcPr>
            <w:tcW w:w="0" w:type="auto"/>
            <w:vAlign w:val="center"/>
          </w:tcPr>
          <w:p w14:paraId="04F682C9">
            <w:pPr>
              <w:spacing w:line="360" w:lineRule="auto"/>
              <w:jc w:val="center"/>
              <w:rPr>
                <w:color w:val="000000"/>
                <w:sz w:val="24"/>
              </w:rPr>
            </w:pPr>
            <w:r>
              <w:rPr>
                <w:color w:val="000000"/>
                <w:sz w:val="24"/>
              </w:rPr>
              <w:t>高压配电运行副组长</w:t>
            </w:r>
          </w:p>
        </w:tc>
        <w:tc>
          <w:tcPr>
            <w:tcW w:w="0" w:type="auto"/>
            <w:vAlign w:val="center"/>
          </w:tcPr>
          <w:p w14:paraId="4490A412">
            <w:pPr>
              <w:spacing w:line="360" w:lineRule="auto"/>
              <w:jc w:val="center"/>
              <w:rPr>
                <w:color w:val="000000"/>
                <w:sz w:val="24"/>
              </w:rPr>
            </w:pPr>
            <w:r>
              <w:rPr>
                <w:color w:val="000000"/>
                <w:sz w:val="24"/>
              </w:rPr>
              <w:t>1</w:t>
            </w:r>
          </w:p>
        </w:tc>
        <w:tc>
          <w:tcPr>
            <w:tcW w:w="0" w:type="auto"/>
            <w:vAlign w:val="center"/>
          </w:tcPr>
          <w:p w14:paraId="15C6D015">
            <w:pPr>
              <w:spacing w:line="360" w:lineRule="auto"/>
              <w:jc w:val="center"/>
              <w:rPr>
                <w:color w:val="000000"/>
                <w:sz w:val="24"/>
              </w:rPr>
            </w:pPr>
          </w:p>
        </w:tc>
        <w:tc>
          <w:tcPr>
            <w:tcW w:w="0" w:type="auto"/>
            <w:vAlign w:val="center"/>
          </w:tcPr>
          <w:p w14:paraId="0F567343">
            <w:pPr>
              <w:spacing w:line="360" w:lineRule="auto"/>
              <w:jc w:val="center"/>
              <w:rPr>
                <w:color w:val="000000"/>
                <w:sz w:val="24"/>
              </w:rPr>
            </w:pPr>
          </w:p>
        </w:tc>
        <w:tc>
          <w:tcPr>
            <w:tcW w:w="0" w:type="auto"/>
            <w:vAlign w:val="center"/>
          </w:tcPr>
          <w:p w14:paraId="0AD30B55">
            <w:pPr>
              <w:spacing w:line="360" w:lineRule="auto"/>
              <w:jc w:val="center"/>
              <w:rPr>
                <w:color w:val="000000"/>
                <w:sz w:val="24"/>
              </w:rPr>
            </w:pPr>
          </w:p>
        </w:tc>
        <w:tc>
          <w:tcPr>
            <w:tcW w:w="0" w:type="auto"/>
            <w:vAlign w:val="center"/>
          </w:tcPr>
          <w:p w14:paraId="5CBE8401">
            <w:pPr>
              <w:spacing w:line="360" w:lineRule="auto"/>
              <w:jc w:val="center"/>
              <w:rPr>
                <w:color w:val="000000"/>
                <w:sz w:val="24"/>
              </w:rPr>
            </w:pPr>
          </w:p>
        </w:tc>
        <w:tc>
          <w:tcPr>
            <w:tcW w:w="0" w:type="auto"/>
            <w:vAlign w:val="center"/>
          </w:tcPr>
          <w:p w14:paraId="21C94970">
            <w:pPr>
              <w:spacing w:line="360" w:lineRule="auto"/>
              <w:jc w:val="center"/>
              <w:rPr>
                <w:color w:val="000000"/>
                <w:sz w:val="24"/>
              </w:rPr>
            </w:pPr>
          </w:p>
        </w:tc>
        <w:tc>
          <w:tcPr>
            <w:tcW w:w="0" w:type="auto"/>
            <w:vAlign w:val="center"/>
          </w:tcPr>
          <w:p w14:paraId="1CBB7AF8">
            <w:pPr>
              <w:spacing w:line="360" w:lineRule="auto"/>
              <w:jc w:val="center"/>
              <w:rPr>
                <w:color w:val="000000"/>
                <w:sz w:val="24"/>
              </w:rPr>
            </w:pPr>
          </w:p>
        </w:tc>
        <w:tc>
          <w:tcPr>
            <w:tcW w:w="0" w:type="auto"/>
            <w:vAlign w:val="center"/>
          </w:tcPr>
          <w:p w14:paraId="5F0AC57D">
            <w:pPr>
              <w:spacing w:line="360" w:lineRule="auto"/>
              <w:jc w:val="center"/>
              <w:rPr>
                <w:color w:val="000000"/>
                <w:sz w:val="24"/>
              </w:rPr>
            </w:pPr>
          </w:p>
        </w:tc>
        <w:tc>
          <w:tcPr>
            <w:tcW w:w="0" w:type="auto"/>
            <w:vAlign w:val="center"/>
          </w:tcPr>
          <w:p w14:paraId="11F9C9D2">
            <w:pPr>
              <w:spacing w:line="360" w:lineRule="auto"/>
              <w:jc w:val="center"/>
              <w:rPr>
                <w:color w:val="000000"/>
                <w:sz w:val="24"/>
              </w:rPr>
            </w:pPr>
          </w:p>
        </w:tc>
      </w:tr>
      <w:tr w14:paraId="653AC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1769D227">
            <w:pPr>
              <w:spacing w:line="360" w:lineRule="auto"/>
              <w:jc w:val="center"/>
              <w:rPr>
                <w:color w:val="000000"/>
                <w:sz w:val="24"/>
              </w:rPr>
            </w:pPr>
            <w:r>
              <w:rPr>
                <w:color w:val="000000"/>
                <w:sz w:val="24"/>
              </w:rPr>
              <w:t>5</w:t>
            </w:r>
          </w:p>
        </w:tc>
        <w:tc>
          <w:tcPr>
            <w:tcW w:w="0" w:type="auto"/>
            <w:vAlign w:val="center"/>
          </w:tcPr>
          <w:p w14:paraId="63E54681">
            <w:pPr>
              <w:spacing w:line="360" w:lineRule="auto"/>
              <w:jc w:val="center"/>
              <w:rPr>
                <w:color w:val="000000"/>
                <w:sz w:val="24"/>
              </w:rPr>
            </w:pPr>
            <w:r>
              <w:rPr>
                <w:color w:val="000000"/>
                <w:sz w:val="24"/>
              </w:rPr>
              <w:t>高压配电运行值班员</w:t>
            </w:r>
          </w:p>
        </w:tc>
        <w:tc>
          <w:tcPr>
            <w:tcW w:w="0" w:type="auto"/>
            <w:vAlign w:val="center"/>
          </w:tcPr>
          <w:p w14:paraId="0C88DB7A">
            <w:pPr>
              <w:spacing w:line="360" w:lineRule="auto"/>
              <w:jc w:val="center"/>
              <w:rPr>
                <w:color w:val="000000"/>
                <w:sz w:val="24"/>
              </w:rPr>
            </w:pPr>
            <w:r>
              <w:rPr>
                <w:color w:val="000000"/>
                <w:sz w:val="24"/>
              </w:rPr>
              <w:t>7</w:t>
            </w:r>
          </w:p>
        </w:tc>
        <w:tc>
          <w:tcPr>
            <w:tcW w:w="0" w:type="auto"/>
            <w:vAlign w:val="center"/>
          </w:tcPr>
          <w:p w14:paraId="3069CE52">
            <w:pPr>
              <w:spacing w:line="360" w:lineRule="auto"/>
              <w:jc w:val="center"/>
              <w:rPr>
                <w:color w:val="000000"/>
                <w:sz w:val="24"/>
              </w:rPr>
            </w:pPr>
          </w:p>
        </w:tc>
        <w:tc>
          <w:tcPr>
            <w:tcW w:w="0" w:type="auto"/>
            <w:vAlign w:val="center"/>
          </w:tcPr>
          <w:p w14:paraId="575C2512">
            <w:pPr>
              <w:spacing w:line="360" w:lineRule="auto"/>
              <w:jc w:val="center"/>
              <w:rPr>
                <w:color w:val="000000"/>
                <w:sz w:val="24"/>
              </w:rPr>
            </w:pPr>
          </w:p>
        </w:tc>
        <w:tc>
          <w:tcPr>
            <w:tcW w:w="0" w:type="auto"/>
            <w:vAlign w:val="center"/>
          </w:tcPr>
          <w:p w14:paraId="4DB041A3">
            <w:pPr>
              <w:spacing w:line="360" w:lineRule="auto"/>
              <w:jc w:val="center"/>
              <w:rPr>
                <w:color w:val="000000"/>
                <w:sz w:val="24"/>
              </w:rPr>
            </w:pPr>
          </w:p>
        </w:tc>
        <w:tc>
          <w:tcPr>
            <w:tcW w:w="0" w:type="auto"/>
            <w:vAlign w:val="center"/>
          </w:tcPr>
          <w:p w14:paraId="671AD3E1">
            <w:pPr>
              <w:spacing w:line="360" w:lineRule="auto"/>
              <w:jc w:val="center"/>
              <w:rPr>
                <w:color w:val="000000"/>
                <w:sz w:val="24"/>
              </w:rPr>
            </w:pPr>
          </w:p>
        </w:tc>
        <w:tc>
          <w:tcPr>
            <w:tcW w:w="0" w:type="auto"/>
            <w:vAlign w:val="center"/>
          </w:tcPr>
          <w:p w14:paraId="44660D94">
            <w:pPr>
              <w:spacing w:line="360" w:lineRule="auto"/>
              <w:jc w:val="center"/>
              <w:rPr>
                <w:color w:val="000000"/>
                <w:sz w:val="24"/>
              </w:rPr>
            </w:pPr>
          </w:p>
        </w:tc>
        <w:tc>
          <w:tcPr>
            <w:tcW w:w="0" w:type="auto"/>
            <w:vAlign w:val="center"/>
          </w:tcPr>
          <w:p w14:paraId="49B3B7B1">
            <w:pPr>
              <w:spacing w:line="360" w:lineRule="auto"/>
              <w:jc w:val="center"/>
              <w:rPr>
                <w:color w:val="000000"/>
                <w:sz w:val="24"/>
              </w:rPr>
            </w:pPr>
          </w:p>
        </w:tc>
        <w:tc>
          <w:tcPr>
            <w:tcW w:w="0" w:type="auto"/>
            <w:vAlign w:val="center"/>
          </w:tcPr>
          <w:p w14:paraId="431CC6F4">
            <w:pPr>
              <w:spacing w:line="360" w:lineRule="auto"/>
              <w:jc w:val="center"/>
              <w:rPr>
                <w:color w:val="000000"/>
                <w:sz w:val="24"/>
              </w:rPr>
            </w:pPr>
          </w:p>
        </w:tc>
        <w:tc>
          <w:tcPr>
            <w:tcW w:w="0" w:type="auto"/>
            <w:vAlign w:val="center"/>
          </w:tcPr>
          <w:p w14:paraId="6D304B53">
            <w:pPr>
              <w:spacing w:line="360" w:lineRule="auto"/>
              <w:jc w:val="center"/>
              <w:rPr>
                <w:color w:val="000000"/>
                <w:sz w:val="24"/>
              </w:rPr>
            </w:pPr>
          </w:p>
        </w:tc>
      </w:tr>
      <w:tr w14:paraId="5067A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FD292BE">
            <w:pPr>
              <w:spacing w:line="360" w:lineRule="auto"/>
              <w:jc w:val="center"/>
              <w:rPr>
                <w:color w:val="000000"/>
                <w:sz w:val="24"/>
              </w:rPr>
            </w:pPr>
            <w:r>
              <w:rPr>
                <w:color w:val="000000"/>
                <w:sz w:val="24"/>
              </w:rPr>
              <w:t>6</w:t>
            </w:r>
          </w:p>
        </w:tc>
        <w:tc>
          <w:tcPr>
            <w:tcW w:w="0" w:type="auto"/>
            <w:vAlign w:val="center"/>
          </w:tcPr>
          <w:p w14:paraId="285D79B4">
            <w:pPr>
              <w:spacing w:line="360" w:lineRule="auto"/>
              <w:jc w:val="center"/>
              <w:rPr>
                <w:color w:val="000000"/>
                <w:sz w:val="24"/>
              </w:rPr>
            </w:pPr>
            <w:r>
              <w:rPr>
                <w:color w:val="000000"/>
                <w:sz w:val="24"/>
              </w:rPr>
              <w:t>中央空调热水锅炉及净化系统运行值班员</w:t>
            </w:r>
          </w:p>
        </w:tc>
        <w:tc>
          <w:tcPr>
            <w:tcW w:w="0" w:type="auto"/>
            <w:vAlign w:val="center"/>
          </w:tcPr>
          <w:p w14:paraId="3751C766">
            <w:pPr>
              <w:spacing w:line="360" w:lineRule="auto"/>
              <w:jc w:val="center"/>
              <w:rPr>
                <w:color w:val="000000"/>
                <w:sz w:val="24"/>
              </w:rPr>
            </w:pPr>
            <w:r>
              <w:rPr>
                <w:color w:val="000000"/>
                <w:sz w:val="24"/>
              </w:rPr>
              <w:t>6</w:t>
            </w:r>
          </w:p>
        </w:tc>
        <w:tc>
          <w:tcPr>
            <w:tcW w:w="0" w:type="auto"/>
            <w:vAlign w:val="center"/>
          </w:tcPr>
          <w:p w14:paraId="1F07A1FF">
            <w:pPr>
              <w:spacing w:line="360" w:lineRule="auto"/>
              <w:jc w:val="center"/>
              <w:rPr>
                <w:color w:val="000000"/>
                <w:sz w:val="24"/>
              </w:rPr>
            </w:pPr>
          </w:p>
        </w:tc>
        <w:tc>
          <w:tcPr>
            <w:tcW w:w="0" w:type="auto"/>
            <w:vAlign w:val="center"/>
          </w:tcPr>
          <w:p w14:paraId="5C98B99F">
            <w:pPr>
              <w:spacing w:line="360" w:lineRule="auto"/>
              <w:jc w:val="center"/>
              <w:rPr>
                <w:color w:val="000000"/>
                <w:sz w:val="24"/>
              </w:rPr>
            </w:pPr>
          </w:p>
        </w:tc>
        <w:tc>
          <w:tcPr>
            <w:tcW w:w="0" w:type="auto"/>
            <w:vAlign w:val="center"/>
          </w:tcPr>
          <w:p w14:paraId="674493A1">
            <w:pPr>
              <w:spacing w:line="360" w:lineRule="auto"/>
              <w:jc w:val="center"/>
              <w:rPr>
                <w:color w:val="000000"/>
                <w:sz w:val="24"/>
              </w:rPr>
            </w:pPr>
          </w:p>
        </w:tc>
        <w:tc>
          <w:tcPr>
            <w:tcW w:w="0" w:type="auto"/>
            <w:vAlign w:val="center"/>
          </w:tcPr>
          <w:p w14:paraId="0A7EADD9">
            <w:pPr>
              <w:spacing w:line="360" w:lineRule="auto"/>
              <w:jc w:val="center"/>
              <w:rPr>
                <w:color w:val="000000"/>
                <w:sz w:val="24"/>
              </w:rPr>
            </w:pPr>
          </w:p>
        </w:tc>
        <w:tc>
          <w:tcPr>
            <w:tcW w:w="0" w:type="auto"/>
            <w:vAlign w:val="center"/>
          </w:tcPr>
          <w:p w14:paraId="4BE94279">
            <w:pPr>
              <w:spacing w:line="360" w:lineRule="auto"/>
              <w:jc w:val="center"/>
              <w:rPr>
                <w:color w:val="000000"/>
                <w:sz w:val="24"/>
              </w:rPr>
            </w:pPr>
          </w:p>
        </w:tc>
        <w:tc>
          <w:tcPr>
            <w:tcW w:w="0" w:type="auto"/>
            <w:vAlign w:val="center"/>
          </w:tcPr>
          <w:p w14:paraId="7940D322">
            <w:pPr>
              <w:spacing w:line="360" w:lineRule="auto"/>
              <w:jc w:val="center"/>
              <w:rPr>
                <w:color w:val="000000"/>
                <w:sz w:val="24"/>
              </w:rPr>
            </w:pPr>
          </w:p>
        </w:tc>
        <w:tc>
          <w:tcPr>
            <w:tcW w:w="0" w:type="auto"/>
            <w:vAlign w:val="center"/>
          </w:tcPr>
          <w:p w14:paraId="5D64DB39">
            <w:pPr>
              <w:spacing w:line="360" w:lineRule="auto"/>
              <w:jc w:val="center"/>
              <w:rPr>
                <w:color w:val="000000"/>
                <w:sz w:val="24"/>
              </w:rPr>
            </w:pPr>
          </w:p>
        </w:tc>
        <w:tc>
          <w:tcPr>
            <w:tcW w:w="0" w:type="auto"/>
            <w:vAlign w:val="center"/>
          </w:tcPr>
          <w:p w14:paraId="7C832B34">
            <w:pPr>
              <w:spacing w:line="360" w:lineRule="auto"/>
              <w:jc w:val="center"/>
              <w:rPr>
                <w:color w:val="000000"/>
                <w:sz w:val="24"/>
              </w:rPr>
            </w:pPr>
          </w:p>
        </w:tc>
      </w:tr>
      <w:tr w14:paraId="29E0F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160DA92C">
            <w:pPr>
              <w:spacing w:line="360" w:lineRule="auto"/>
              <w:jc w:val="center"/>
              <w:rPr>
                <w:color w:val="000000"/>
                <w:sz w:val="24"/>
              </w:rPr>
            </w:pPr>
            <w:r>
              <w:rPr>
                <w:color w:val="000000"/>
                <w:sz w:val="24"/>
              </w:rPr>
              <w:t>7</w:t>
            </w:r>
          </w:p>
        </w:tc>
        <w:tc>
          <w:tcPr>
            <w:tcW w:w="0" w:type="auto"/>
            <w:vAlign w:val="center"/>
          </w:tcPr>
          <w:p w14:paraId="0001EB71">
            <w:pPr>
              <w:spacing w:line="360" w:lineRule="auto"/>
              <w:jc w:val="center"/>
              <w:rPr>
                <w:color w:val="000000"/>
                <w:sz w:val="24"/>
                <w:highlight w:val="none"/>
              </w:rPr>
            </w:pPr>
            <w:r>
              <w:rPr>
                <w:color w:val="000000"/>
                <w:sz w:val="24"/>
                <w:highlight w:val="none"/>
              </w:rPr>
              <w:t>医用气体及中央纯水系统运行值班员</w:t>
            </w:r>
          </w:p>
        </w:tc>
        <w:tc>
          <w:tcPr>
            <w:tcW w:w="0" w:type="auto"/>
            <w:vAlign w:val="center"/>
          </w:tcPr>
          <w:p w14:paraId="0F2EAFD4">
            <w:pPr>
              <w:spacing w:line="360" w:lineRule="auto"/>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0" w:type="auto"/>
            <w:vAlign w:val="center"/>
          </w:tcPr>
          <w:p w14:paraId="7B5DE3F9">
            <w:pPr>
              <w:spacing w:line="360" w:lineRule="auto"/>
              <w:jc w:val="center"/>
              <w:rPr>
                <w:color w:val="000000"/>
                <w:sz w:val="24"/>
              </w:rPr>
            </w:pPr>
          </w:p>
        </w:tc>
        <w:tc>
          <w:tcPr>
            <w:tcW w:w="0" w:type="auto"/>
            <w:vAlign w:val="center"/>
          </w:tcPr>
          <w:p w14:paraId="69890467">
            <w:pPr>
              <w:spacing w:line="360" w:lineRule="auto"/>
              <w:jc w:val="center"/>
              <w:rPr>
                <w:color w:val="000000"/>
                <w:sz w:val="24"/>
              </w:rPr>
            </w:pPr>
          </w:p>
        </w:tc>
        <w:tc>
          <w:tcPr>
            <w:tcW w:w="0" w:type="auto"/>
            <w:vAlign w:val="center"/>
          </w:tcPr>
          <w:p w14:paraId="05502F27">
            <w:pPr>
              <w:spacing w:line="360" w:lineRule="auto"/>
              <w:jc w:val="center"/>
              <w:rPr>
                <w:color w:val="000000"/>
                <w:sz w:val="24"/>
              </w:rPr>
            </w:pPr>
          </w:p>
        </w:tc>
        <w:tc>
          <w:tcPr>
            <w:tcW w:w="0" w:type="auto"/>
            <w:vAlign w:val="center"/>
          </w:tcPr>
          <w:p w14:paraId="30D7F3C0">
            <w:pPr>
              <w:spacing w:line="360" w:lineRule="auto"/>
              <w:jc w:val="center"/>
              <w:rPr>
                <w:color w:val="000000"/>
                <w:sz w:val="24"/>
              </w:rPr>
            </w:pPr>
          </w:p>
        </w:tc>
        <w:tc>
          <w:tcPr>
            <w:tcW w:w="0" w:type="auto"/>
            <w:vAlign w:val="center"/>
          </w:tcPr>
          <w:p w14:paraId="1FCDF271">
            <w:pPr>
              <w:spacing w:line="360" w:lineRule="auto"/>
              <w:jc w:val="center"/>
              <w:rPr>
                <w:color w:val="000000"/>
                <w:sz w:val="24"/>
              </w:rPr>
            </w:pPr>
          </w:p>
        </w:tc>
        <w:tc>
          <w:tcPr>
            <w:tcW w:w="0" w:type="auto"/>
            <w:vAlign w:val="center"/>
          </w:tcPr>
          <w:p w14:paraId="50ED6C8C">
            <w:pPr>
              <w:spacing w:line="360" w:lineRule="auto"/>
              <w:jc w:val="center"/>
              <w:rPr>
                <w:color w:val="000000"/>
                <w:sz w:val="24"/>
              </w:rPr>
            </w:pPr>
          </w:p>
        </w:tc>
        <w:tc>
          <w:tcPr>
            <w:tcW w:w="0" w:type="auto"/>
            <w:vAlign w:val="center"/>
          </w:tcPr>
          <w:p w14:paraId="28D902E0">
            <w:pPr>
              <w:spacing w:line="360" w:lineRule="auto"/>
              <w:jc w:val="center"/>
              <w:rPr>
                <w:color w:val="000000"/>
                <w:sz w:val="24"/>
              </w:rPr>
            </w:pPr>
          </w:p>
        </w:tc>
        <w:tc>
          <w:tcPr>
            <w:tcW w:w="0" w:type="auto"/>
            <w:vAlign w:val="center"/>
          </w:tcPr>
          <w:p w14:paraId="0D18A862">
            <w:pPr>
              <w:spacing w:line="360" w:lineRule="auto"/>
              <w:jc w:val="center"/>
              <w:rPr>
                <w:color w:val="000000"/>
                <w:sz w:val="24"/>
              </w:rPr>
            </w:pPr>
          </w:p>
        </w:tc>
      </w:tr>
      <w:tr w14:paraId="1DEBD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4AFCD4D1">
            <w:pPr>
              <w:spacing w:line="360" w:lineRule="auto"/>
              <w:jc w:val="center"/>
              <w:rPr>
                <w:color w:val="000000"/>
                <w:sz w:val="24"/>
              </w:rPr>
            </w:pPr>
            <w:r>
              <w:rPr>
                <w:color w:val="000000"/>
                <w:sz w:val="24"/>
              </w:rPr>
              <w:t>8</w:t>
            </w:r>
          </w:p>
        </w:tc>
        <w:tc>
          <w:tcPr>
            <w:tcW w:w="0" w:type="auto"/>
            <w:vAlign w:val="center"/>
          </w:tcPr>
          <w:p w14:paraId="24C7792A">
            <w:pPr>
              <w:spacing w:line="360" w:lineRule="auto"/>
              <w:jc w:val="center"/>
              <w:rPr>
                <w:color w:val="000000"/>
                <w:sz w:val="24"/>
              </w:rPr>
            </w:pPr>
            <w:r>
              <w:rPr>
                <w:color w:val="000000"/>
                <w:sz w:val="24"/>
              </w:rPr>
              <w:t>污水处理系统运行值班员</w:t>
            </w:r>
          </w:p>
        </w:tc>
        <w:tc>
          <w:tcPr>
            <w:tcW w:w="0" w:type="auto"/>
            <w:vAlign w:val="center"/>
          </w:tcPr>
          <w:p w14:paraId="2CFFD50A">
            <w:pPr>
              <w:spacing w:line="360" w:lineRule="auto"/>
              <w:jc w:val="center"/>
              <w:rPr>
                <w:color w:val="000000"/>
                <w:sz w:val="24"/>
              </w:rPr>
            </w:pPr>
            <w:r>
              <w:rPr>
                <w:color w:val="000000"/>
                <w:sz w:val="24"/>
              </w:rPr>
              <w:t>2</w:t>
            </w:r>
          </w:p>
        </w:tc>
        <w:tc>
          <w:tcPr>
            <w:tcW w:w="0" w:type="auto"/>
            <w:vAlign w:val="center"/>
          </w:tcPr>
          <w:p w14:paraId="28B2663A">
            <w:pPr>
              <w:spacing w:line="360" w:lineRule="auto"/>
              <w:jc w:val="center"/>
              <w:rPr>
                <w:color w:val="000000"/>
                <w:sz w:val="24"/>
              </w:rPr>
            </w:pPr>
          </w:p>
        </w:tc>
        <w:tc>
          <w:tcPr>
            <w:tcW w:w="0" w:type="auto"/>
            <w:vAlign w:val="center"/>
          </w:tcPr>
          <w:p w14:paraId="5A40F928">
            <w:pPr>
              <w:spacing w:line="360" w:lineRule="auto"/>
              <w:jc w:val="center"/>
              <w:rPr>
                <w:color w:val="000000"/>
                <w:sz w:val="24"/>
              </w:rPr>
            </w:pPr>
          </w:p>
        </w:tc>
        <w:tc>
          <w:tcPr>
            <w:tcW w:w="0" w:type="auto"/>
            <w:vAlign w:val="center"/>
          </w:tcPr>
          <w:p w14:paraId="2926A477">
            <w:pPr>
              <w:spacing w:line="360" w:lineRule="auto"/>
              <w:jc w:val="center"/>
              <w:rPr>
                <w:color w:val="000000"/>
                <w:sz w:val="24"/>
              </w:rPr>
            </w:pPr>
          </w:p>
        </w:tc>
        <w:tc>
          <w:tcPr>
            <w:tcW w:w="0" w:type="auto"/>
            <w:vAlign w:val="center"/>
          </w:tcPr>
          <w:p w14:paraId="63D354B0">
            <w:pPr>
              <w:spacing w:line="360" w:lineRule="auto"/>
              <w:jc w:val="center"/>
              <w:rPr>
                <w:color w:val="000000"/>
                <w:sz w:val="24"/>
              </w:rPr>
            </w:pPr>
          </w:p>
        </w:tc>
        <w:tc>
          <w:tcPr>
            <w:tcW w:w="0" w:type="auto"/>
            <w:vAlign w:val="center"/>
          </w:tcPr>
          <w:p w14:paraId="7C58F939">
            <w:pPr>
              <w:spacing w:line="360" w:lineRule="auto"/>
              <w:jc w:val="center"/>
              <w:rPr>
                <w:color w:val="000000"/>
                <w:sz w:val="24"/>
              </w:rPr>
            </w:pPr>
          </w:p>
        </w:tc>
        <w:tc>
          <w:tcPr>
            <w:tcW w:w="0" w:type="auto"/>
            <w:vAlign w:val="center"/>
          </w:tcPr>
          <w:p w14:paraId="7E07CDCC">
            <w:pPr>
              <w:spacing w:line="360" w:lineRule="auto"/>
              <w:jc w:val="center"/>
              <w:rPr>
                <w:color w:val="000000"/>
                <w:sz w:val="24"/>
              </w:rPr>
            </w:pPr>
          </w:p>
        </w:tc>
        <w:tc>
          <w:tcPr>
            <w:tcW w:w="0" w:type="auto"/>
            <w:vAlign w:val="center"/>
          </w:tcPr>
          <w:p w14:paraId="527D524C">
            <w:pPr>
              <w:spacing w:line="360" w:lineRule="auto"/>
              <w:jc w:val="center"/>
              <w:rPr>
                <w:color w:val="000000"/>
                <w:sz w:val="24"/>
              </w:rPr>
            </w:pPr>
          </w:p>
        </w:tc>
        <w:tc>
          <w:tcPr>
            <w:tcW w:w="0" w:type="auto"/>
            <w:vAlign w:val="center"/>
          </w:tcPr>
          <w:p w14:paraId="10AED2E5">
            <w:pPr>
              <w:spacing w:line="360" w:lineRule="auto"/>
              <w:jc w:val="center"/>
              <w:rPr>
                <w:color w:val="000000"/>
                <w:sz w:val="24"/>
              </w:rPr>
            </w:pPr>
          </w:p>
        </w:tc>
      </w:tr>
      <w:tr w14:paraId="39662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267A084D">
            <w:pPr>
              <w:spacing w:line="360" w:lineRule="auto"/>
              <w:jc w:val="center"/>
              <w:rPr>
                <w:color w:val="000000"/>
                <w:sz w:val="24"/>
              </w:rPr>
            </w:pPr>
            <w:r>
              <w:rPr>
                <w:color w:val="000000"/>
                <w:sz w:val="24"/>
              </w:rPr>
              <w:t>9</w:t>
            </w:r>
          </w:p>
        </w:tc>
        <w:tc>
          <w:tcPr>
            <w:tcW w:w="0" w:type="auto"/>
            <w:vAlign w:val="center"/>
          </w:tcPr>
          <w:p w14:paraId="32027806">
            <w:pPr>
              <w:spacing w:line="360" w:lineRule="auto"/>
              <w:jc w:val="center"/>
              <w:rPr>
                <w:color w:val="000000"/>
                <w:sz w:val="24"/>
              </w:rPr>
            </w:pPr>
            <w:r>
              <w:rPr>
                <w:color w:val="000000"/>
                <w:sz w:val="24"/>
              </w:rPr>
              <w:t>污水处理系统运行值班员（兼综合维修）</w:t>
            </w:r>
          </w:p>
        </w:tc>
        <w:tc>
          <w:tcPr>
            <w:tcW w:w="0" w:type="auto"/>
            <w:vAlign w:val="center"/>
          </w:tcPr>
          <w:p w14:paraId="0C855448">
            <w:pPr>
              <w:spacing w:line="360" w:lineRule="auto"/>
              <w:jc w:val="center"/>
              <w:rPr>
                <w:color w:val="000000"/>
                <w:sz w:val="24"/>
              </w:rPr>
            </w:pPr>
            <w:r>
              <w:rPr>
                <w:color w:val="000000"/>
                <w:sz w:val="24"/>
              </w:rPr>
              <w:t>2</w:t>
            </w:r>
          </w:p>
        </w:tc>
        <w:tc>
          <w:tcPr>
            <w:tcW w:w="0" w:type="auto"/>
            <w:vAlign w:val="center"/>
          </w:tcPr>
          <w:p w14:paraId="02D991E3">
            <w:pPr>
              <w:spacing w:line="360" w:lineRule="auto"/>
              <w:jc w:val="center"/>
              <w:rPr>
                <w:color w:val="000000"/>
                <w:sz w:val="24"/>
              </w:rPr>
            </w:pPr>
          </w:p>
        </w:tc>
        <w:tc>
          <w:tcPr>
            <w:tcW w:w="0" w:type="auto"/>
            <w:vAlign w:val="center"/>
          </w:tcPr>
          <w:p w14:paraId="293A795F">
            <w:pPr>
              <w:spacing w:line="360" w:lineRule="auto"/>
              <w:jc w:val="center"/>
              <w:rPr>
                <w:color w:val="000000"/>
                <w:sz w:val="24"/>
              </w:rPr>
            </w:pPr>
          </w:p>
        </w:tc>
        <w:tc>
          <w:tcPr>
            <w:tcW w:w="0" w:type="auto"/>
            <w:vAlign w:val="center"/>
          </w:tcPr>
          <w:p w14:paraId="47F506F3">
            <w:pPr>
              <w:spacing w:line="360" w:lineRule="auto"/>
              <w:jc w:val="center"/>
              <w:rPr>
                <w:color w:val="000000"/>
                <w:sz w:val="24"/>
              </w:rPr>
            </w:pPr>
          </w:p>
        </w:tc>
        <w:tc>
          <w:tcPr>
            <w:tcW w:w="0" w:type="auto"/>
            <w:vAlign w:val="center"/>
          </w:tcPr>
          <w:p w14:paraId="46336BEB">
            <w:pPr>
              <w:spacing w:line="360" w:lineRule="auto"/>
              <w:jc w:val="center"/>
              <w:rPr>
                <w:color w:val="000000"/>
                <w:sz w:val="24"/>
              </w:rPr>
            </w:pPr>
          </w:p>
        </w:tc>
        <w:tc>
          <w:tcPr>
            <w:tcW w:w="0" w:type="auto"/>
            <w:vAlign w:val="center"/>
          </w:tcPr>
          <w:p w14:paraId="2ACDB2F8">
            <w:pPr>
              <w:spacing w:line="360" w:lineRule="auto"/>
              <w:jc w:val="center"/>
              <w:rPr>
                <w:color w:val="000000"/>
                <w:sz w:val="24"/>
              </w:rPr>
            </w:pPr>
          </w:p>
        </w:tc>
        <w:tc>
          <w:tcPr>
            <w:tcW w:w="0" w:type="auto"/>
            <w:vAlign w:val="center"/>
          </w:tcPr>
          <w:p w14:paraId="1D17F0D3">
            <w:pPr>
              <w:spacing w:line="360" w:lineRule="auto"/>
              <w:jc w:val="center"/>
              <w:rPr>
                <w:color w:val="000000"/>
                <w:sz w:val="24"/>
              </w:rPr>
            </w:pPr>
          </w:p>
        </w:tc>
        <w:tc>
          <w:tcPr>
            <w:tcW w:w="0" w:type="auto"/>
            <w:vAlign w:val="center"/>
          </w:tcPr>
          <w:p w14:paraId="02D86C87">
            <w:pPr>
              <w:spacing w:line="360" w:lineRule="auto"/>
              <w:jc w:val="center"/>
              <w:rPr>
                <w:color w:val="000000"/>
                <w:sz w:val="24"/>
              </w:rPr>
            </w:pPr>
          </w:p>
        </w:tc>
        <w:tc>
          <w:tcPr>
            <w:tcW w:w="0" w:type="auto"/>
            <w:vAlign w:val="center"/>
          </w:tcPr>
          <w:p w14:paraId="771C0903">
            <w:pPr>
              <w:spacing w:line="360" w:lineRule="auto"/>
              <w:jc w:val="center"/>
              <w:rPr>
                <w:color w:val="000000"/>
                <w:sz w:val="24"/>
              </w:rPr>
            </w:pPr>
          </w:p>
        </w:tc>
      </w:tr>
      <w:tr w14:paraId="6F6D3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6C687175">
            <w:pPr>
              <w:spacing w:line="360" w:lineRule="auto"/>
              <w:jc w:val="center"/>
              <w:rPr>
                <w:color w:val="000000"/>
                <w:sz w:val="24"/>
              </w:rPr>
            </w:pPr>
            <w:r>
              <w:rPr>
                <w:color w:val="000000"/>
                <w:sz w:val="24"/>
              </w:rPr>
              <w:t>10</w:t>
            </w:r>
          </w:p>
        </w:tc>
        <w:tc>
          <w:tcPr>
            <w:tcW w:w="0" w:type="auto"/>
            <w:vAlign w:val="center"/>
          </w:tcPr>
          <w:p w14:paraId="2F687112">
            <w:pPr>
              <w:spacing w:line="360" w:lineRule="auto"/>
              <w:jc w:val="center"/>
              <w:rPr>
                <w:color w:val="000000"/>
                <w:sz w:val="24"/>
              </w:rPr>
            </w:pPr>
            <w:r>
              <w:rPr>
                <w:color w:val="000000"/>
                <w:sz w:val="24"/>
              </w:rPr>
              <w:t>智慧后勤综合受理员</w:t>
            </w:r>
          </w:p>
        </w:tc>
        <w:tc>
          <w:tcPr>
            <w:tcW w:w="0" w:type="auto"/>
            <w:vAlign w:val="center"/>
          </w:tcPr>
          <w:p w14:paraId="12E72461">
            <w:pPr>
              <w:spacing w:line="360" w:lineRule="auto"/>
              <w:jc w:val="center"/>
              <w:rPr>
                <w:color w:val="000000"/>
                <w:sz w:val="24"/>
              </w:rPr>
            </w:pPr>
            <w:r>
              <w:rPr>
                <w:color w:val="000000"/>
                <w:sz w:val="24"/>
              </w:rPr>
              <w:t>2</w:t>
            </w:r>
          </w:p>
        </w:tc>
        <w:tc>
          <w:tcPr>
            <w:tcW w:w="0" w:type="auto"/>
            <w:vAlign w:val="center"/>
          </w:tcPr>
          <w:p w14:paraId="3F142C7F">
            <w:pPr>
              <w:spacing w:line="360" w:lineRule="auto"/>
              <w:jc w:val="center"/>
              <w:rPr>
                <w:color w:val="000000"/>
                <w:sz w:val="24"/>
              </w:rPr>
            </w:pPr>
          </w:p>
        </w:tc>
        <w:tc>
          <w:tcPr>
            <w:tcW w:w="0" w:type="auto"/>
            <w:vAlign w:val="center"/>
          </w:tcPr>
          <w:p w14:paraId="2948457B">
            <w:pPr>
              <w:spacing w:line="360" w:lineRule="auto"/>
              <w:jc w:val="center"/>
              <w:rPr>
                <w:color w:val="000000"/>
                <w:sz w:val="24"/>
              </w:rPr>
            </w:pPr>
          </w:p>
        </w:tc>
        <w:tc>
          <w:tcPr>
            <w:tcW w:w="0" w:type="auto"/>
            <w:vAlign w:val="center"/>
          </w:tcPr>
          <w:p w14:paraId="631F0719">
            <w:pPr>
              <w:spacing w:line="360" w:lineRule="auto"/>
              <w:jc w:val="center"/>
              <w:rPr>
                <w:color w:val="000000"/>
                <w:sz w:val="24"/>
              </w:rPr>
            </w:pPr>
          </w:p>
        </w:tc>
        <w:tc>
          <w:tcPr>
            <w:tcW w:w="0" w:type="auto"/>
            <w:vAlign w:val="center"/>
          </w:tcPr>
          <w:p w14:paraId="19DBF338">
            <w:pPr>
              <w:spacing w:line="360" w:lineRule="auto"/>
              <w:jc w:val="center"/>
              <w:rPr>
                <w:color w:val="000000"/>
                <w:sz w:val="24"/>
              </w:rPr>
            </w:pPr>
          </w:p>
        </w:tc>
        <w:tc>
          <w:tcPr>
            <w:tcW w:w="0" w:type="auto"/>
            <w:vAlign w:val="center"/>
          </w:tcPr>
          <w:p w14:paraId="7D497233">
            <w:pPr>
              <w:spacing w:line="360" w:lineRule="auto"/>
              <w:jc w:val="center"/>
              <w:rPr>
                <w:color w:val="000000"/>
                <w:sz w:val="24"/>
              </w:rPr>
            </w:pPr>
          </w:p>
        </w:tc>
        <w:tc>
          <w:tcPr>
            <w:tcW w:w="0" w:type="auto"/>
            <w:vAlign w:val="center"/>
          </w:tcPr>
          <w:p w14:paraId="7FE8309A">
            <w:pPr>
              <w:spacing w:line="360" w:lineRule="auto"/>
              <w:jc w:val="center"/>
              <w:rPr>
                <w:color w:val="000000"/>
                <w:sz w:val="24"/>
              </w:rPr>
            </w:pPr>
          </w:p>
        </w:tc>
        <w:tc>
          <w:tcPr>
            <w:tcW w:w="0" w:type="auto"/>
            <w:vAlign w:val="center"/>
          </w:tcPr>
          <w:p w14:paraId="27F05A40">
            <w:pPr>
              <w:spacing w:line="360" w:lineRule="auto"/>
              <w:jc w:val="center"/>
              <w:rPr>
                <w:color w:val="000000"/>
                <w:sz w:val="24"/>
              </w:rPr>
            </w:pPr>
          </w:p>
        </w:tc>
        <w:tc>
          <w:tcPr>
            <w:tcW w:w="0" w:type="auto"/>
            <w:vAlign w:val="center"/>
          </w:tcPr>
          <w:p w14:paraId="17B0599C">
            <w:pPr>
              <w:spacing w:line="360" w:lineRule="auto"/>
              <w:jc w:val="center"/>
              <w:rPr>
                <w:color w:val="000000"/>
                <w:sz w:val="24"/>
              </w:rPr>
            </w:pPr>
          </w:p>
        </w:tc>
      </w:tr>
      <w:tr w14:paraId="75485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0D0CB371">
            <w:pPr>
              <w:spacing w:line="360" w:lineRule="auto"/>
              <w:jc w:val="center"/>
              <w:rPr>
                <w:color w:val="000000"/>
                <w:sz w:val="24"/>
              </w:rPr>
            </w:pPr>
            <w:r>
              <w:rPr>
                <w:color w:val="000000"/>
                <w:sz w:val="24"/>
              </w:rPr>
              <w:t>11</w:t>
            </w:r>
          </w:p>
        </w:tc>
        <w:tc>
          <w:tcPr>
            <w:tcW w:w="0" w:type="auto"/>
            <w:vAlign w:val="center"/>
          </w:tcPr>
          <w:p w14:paraId="228DAAB2">
            <w:pPr>
              <w:spacing w:line="360" w:lineRule="auto"/>
              <w:jc w:val="center"/>
              <w:rPr>
                <w:color w:val="000000"/>
                <w:sz w:val="24"/>
                <w:highlight w:val="none"/>
              </w:rPr>
            </w:pPr>
            <w:r>
              <w:rPr>
                <w:color w:val="000000"/>
                <w:sz w:val="24"/>
                <w:highlight w:val="none"/>
              </w:rPr>
              <w:t>供应室器械清洗员</w:t>
            </w:r>
          </w:p>
        </w:tc>
        <w:tc>
          <w:tcPr>
            <w:tcW w:w="0" w:type="auto"/>
            <w:vAlign w:val="center"/>
          </w:tcPr>
          <w:p w14:paraId="2163AF4B">
            <w:pPr>
              <w:spacing w:line="360" w:lineRule="auto"/>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0" w:type="auto"/>
            <w:vAlign w:val="center"/>
          </w:tcPr>
          <w:p w14:paraId="55F15D96">
            <w:pPr>
              <w:spacing w:line="360" w:lineRule="auto"/>
              <w:jc w:val="center"/>
              <w:rPr>
                <w:color w:val="000000"/>
                <w:sz w:val="24"/>
              </w:rPr>
            </w:pPr>
          </w:p>
        </w:tc>
        <w:tc>
          <w:tcPr>
            <w:tcW w:w="0" w:type="auto"/>
            <w:vAlign w:val="center"/>
          </w:tcPr>
          <w:p w14:paraId="39DBACDA">
            <w:pPr>
              <w:spacing w:line="360" w:lineRule="auto"/>
              <w:jc w:val="center"/>
              <w:rPr>
                <w:color w:val="000000"/>
                <w:sz w:val="24"/>
              </w:rPr>
            </w:pPr>
          </w:p>
        </w:tc>
        <w:tc>
          <w:tcPr>
            <w:tcW w:w="0" w:type="auto"/>
            <w:vAlign w:val="center"/>
          </w:tcPr>
          <w:p w14:paraId="6FEEC0CE">
            <w:pPr>
              <w:spacing w:line="360" w:lineRule="auto"/>
              <w:jc w:val="center"/>
              <w:rPr>
                <w:color w:val="000000"/>
                <w:sz w:val="24"/>
              </w:rPr>
            </w:pPr>
          </w:p>
        </w:tc>
        <w:tc>
          <w:tcPr>
            <w:tcW w:w="0" w:type="auto"/>
            <w:vAlign w:val="center"/>
          </w:tcPr>
          <w:p w14:paraId="41C59B6B">
            <w:pPr>
              <w:spacing w:line="360" w:lineRule="auto"/>
              <w:jc w:val="center"/>
              <w:rPr>
                <w:color w:val="000000"/>
                <w:sz w:val="24"/>
              </w:rPr>
            </w:pPr>
          </w:p>
        </w:tc>
        <w:tc>
          <w:tcPr>
            <w:tcW w:w="0" w:type="auto"/>
            <w:vAlign w:val="center"/>
          </w:tcPr>
          <w:p w14:paraId="55D6E24B">
            <w:pPr>
              <w:spacing w:line="360" w:lineRule="auto"/>
              <w:jc w:val="center"/>
              <w:rPr>
                <w:color w:val="000000"/>
                <w:sz w:val="24"/>
              </w:rPr>
            </w:pPr>
          </w:p>
        </w:tc>
        <w:tc>
          <w:tcPr>
            <w:tcW w:w="0" w:type="auto"/>
            <w:vAlign w:val="center"/>
          </w:tcPr>
          <w:p w14:paraId="67F825F6">
            <w:pPr>
              <w:spacing w:line="360" w:lineRule="auto"/>
              <w:jc w:val="center"/>
              <w:rPr>
                <w:color w:val="000000"/>
                <w:sz w:val="24"/>
              </w:rPr>
            </w:pPr>
          </w:p>
        </w:tc>
        <w:tc>
          <w:tcPr>
            <w:tcW w:w="0" w:type="auto"/>
            <w:vAlign w:val="center"/>
          </w:tcPr>
          <w:p w14:paraId="047026EB">
            <w:pPr>
              <w:spacing w:line="360" w:lineRule="auto"/>
              <w:jc w:val="center"/>
              <w:rPr>
                <w:color w:val="000000"/>
                <w:sz w:val="24"/>
              </w:rPr>
            </w:pPr>
          </w:p>
        </w:tc>
        <w:tc>
          <w:tcPr>
            <w:tcW w:w="0" w:type="auto"/>
            <w:vAlign w:val="center"/>
          </w:tcPr>
          <w:p w14:paraId="63DA259C">
            <w:pPr>
              <w:spacing w:line="360" w:lineRule="auto"/>
              <w:jc w:val="center"/>
              <w:rPr>
                <w:color w:val="000000"/>
                <w:sz w:val="24"/>
              </w:rPr>
            </w:pPr>
          </w:p>
        </w:tc>
      </w:tr>
      <w:tr w14:paraId="1103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578668B0">
            <w:pPr>
              <w:spacing w:line="360" w:lineRule="auto"/>
              <w:jc w:val="center"/>
              <w:rPr>
                <w:color w:val="000000"/>
                <w:sz w:val="24"/>
              </w:rPr>
            </w:pPr>
            <w:r>
              <w:rPr>
                <w:color w:val="000000"/>
                <w:sz w:val="24"/>
              </w:rPr>
              <w:t>12</w:t>
            </w:r>
          </w:p>
        </w:tc>
        <w:tc>
          <w:tcPr>
            <w:tcW w:w="0" w:type="auto"/>
            <w:vAlign w:val="center"/>
          </w:tcPr>
          <w:p w14:paraId="199363BE">
            <w:pPr>
              <w:spacing w:line="360" w:lineRule="auto"/>
              <w:jc w:val="center"/>
              <w:rPr>
                <w:color w:val="000000"/>
                <w:sz w:val="24"/>
              </w:rPr>
            </w:pPr>
            <w:r>
              <w:rPr>
                <w:color w:val="000000"/>
                <w:sz w:val="24"/>
              </w:rPr>
              <w:t>高级厨师</w:t>
            </w:r>
          </w:p>
        </w:tc>
        <w:tc>
          <w:tcPr>
            <w:tcW w:w="0" w:type="auto"/>
            <w:vAlign w:val="center"/>
          </w:tcPr>
          <w:p w14:paraId="64F25A71">
            <w:pPr>
              <w:spacing w:line="360" w:lineRule="auto"/>
              <w:jc w:val="center"/>
              <w:rPr>
                <w:color w:val="000000"/>
                <w:sz w:val="24"/>
              </w:rPr>
            </w:pPr>
            <w:r>
              <w:rPr>
                <w:color w:val="000000"/>
                <w:sz w:val="24"/>
              </w:rPr>
              <w:t>4</w:t>
            </w:r>
          </w:p>
        </w:tc>
        <w:tc>
          <w:tcPr>
            <w:tcW w:w="0" w:type="auto"/>
            <w:vAlign w:val="center"/>
          </w:tcPr>
          <w:p w14:paraId="75B58A84">
            <w:pPr>
              <w:spacing w:line="360" w:lineRule="auto"/>
              <w:jc w:val="center"/>
              <w:rPr>
                <w:color w:val="000000"/>
                <w:sz w:val="24"/>
              </w:rPr>
            </w:pPr>
          </w:p>
        </w:tc>
        <w:tc>
          <w:tcPr>
            <w:tcW w:w="0" w:type="auto"/>
            <w:vAlign w:val="center"/>
          </w:tcPr>
          <w:p w14:paraId="2D7C3A82">
            <w:pPr>
              <w:spacing w:line="360" w:lineRule="auto"/>
              <w:jc w:val="center"/>
              <w:rPr>
                <w:color w:val="000000"/>
                <w:sz w:val="24"/>
              </w:rPr>
            </w:pPr>
          </w:p>
        </w:tc>
        <w:tc>
          <w:tcPr>
            <w:tcW w:w="0" w:type="auto"/>
            <w:vAlign w:val="center"/>
          </w:tcPr>
          <w:p w14:paraId="62F21D53">
            <w:pPr>
              <w:spacing w:line="360" w:lineRule="auto"/>
              <w:jc w:val="center"/>
              <w:rPr>
                <w:color w:val="000000"/>
                <w:sz w:val="24"/>
              </w:rPr>
            </w:pPr>
          </w:p>
        </w:tc>
        <w:tc>
          <w:tcPr>
            <w:tcW w:w="0" w:type="auto"/>
            <w:vAlign w:val="center"/>
          </w:tcPr>
          <w:p w14:paraId="68DBE352">
            <w:pPr>
              <w:spacing w:line="360" w:lineRule="auto"/>
              <w:jc w:val="center"/>
              <w:rPr>
                <w:color w:val="000000"/>
                <w:sz w:val="24"/>
              </w:rPr>
            </w:pPr>
          </w:p>
        </w:tc>
        <w:tc>
          <w:tcPr>
            <w:tcW w:w="0" w:type="auto"/>
            <w:vAlign w:val="center"/>
          </w:tcPr>
          <w:p w14:paraId="07A74751">
            <w:pPr>
              <w:spacing w:line="360" w:lineRule="auto"/>
              <w:jc w:val="center"/>
              <w:rPr>
                <w:color w:val="000000"/>
                <w:sz w:val="24"/>
              </w:rPr>
            </w:pPr>
          </w:p>
        </w:tc>
        <w:tc>
          <w:tcPr>
            <w:tcW w:w="0" w:type="auto"/>
            <w:vAlign w:val="center"/>
          </w:tcPr>
          <w:p w14:paraId="498D78C8">
            <w:pPr>
              <w:spacing w:line="360" w:lineRule="auto"/>
              <w:jc w:val="center"/>
              <w:rPr>
                <w:color w:val="000000"/>
                <w:sz w:val="24"/>
              </w:rPr>
            </w:pPr>
          </w:p>
        </w:tc>
        <w:tc>
          <w:tcPr>
            <w:tcW w:w="0" w:type="auto"/>
            <w:vAlign w:val="center"/>
          </w:tcPr>
          <w:p w14:paraId="37579006">
            <w:pPr>
              <w:spacing w:line="360" w:lineRule="auto"/>
              <w:jc w:val="center"/>
              <w:rPr>
                <w:color w:val="000000"/>
                <w:sz w:val="24"/>
              </w:rPr>
            </w:pPr>
          </w:p>
        </w:tc>
        <w:tc>
          <w:tcPr>
            <w:tcW w:w="0" w:type="auto"/>
            <w:vAlign w:val="center"/>
          </w:tcPr>
          <w:p w14:paraId="186B2E54">
            <w:pPr>
              <w:spacing w:line="360" w:lineRule="auto"/>
              <w:jc w:val="center"/>
              <w:rPr>
                <w:color w:val="000000"/>
                <w:sz w:val="24"/>
              </w:rPr>
            </w:pPr>
          </w:p>
        </w:tc>
      </w:tr>
      <w:tr w14:paraId="223E2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26B10FA">
            <w:pPr>
              <w:spacing w:line="360" w:lineRule="auto"/>
              <w:jc w:val="center"/>
              <w:rPr>
                <w:color w:val="000000"/>
                <w:sz w:val="24"/>
              </w:rPr>
            </w:pPr>
            <w:r>
              <w:rPr>
                <w:color w:val="000000"/>
                <w:sz w:val="24"/>
              </w:rPr>
              <w:t>13</w:t>
            </w:r>
          </w:p>
        </w:tc>
        <w:tc>
          <w:tcPr>
            <w:tcW w:w="0" w:type="auto"/>
            <w:vAlign w:val="center"/>
          </w:tcPr>
          <w:p w14:paraId="330E61B1">
            <w:pPr>
              <w:spacing w:line="360" w:lineRule="auto"/>
              <w:jc w:val="center"/>
              <w:rPr>
                <w:color w:val="000000"/>
                <w:sz w:val="24"/>
              </w:rPr>
            </w:pPr>
            <w:r>
              <w:rPr>
                <w:color w:val="000000"/>
                <w:sz w:val="24"/>
              </w:rPr>
              <w:t>普通厨师</w:t>
            </w:r>
          </w:p>
        </w:tc>
        <w:tc>
          <w:tcPr>
            <w:tcW w:w="0" w:type="auto"/>
            <w:vAlign w:val="center"/>
          </w:tcPr>
          <w:p w14:paraId="7E74160B">
            <w:pPr>
              <w:spacing w:line="360" w:lineRule="auto"/>
              <w:jc w:val="center"/>
              <w:rPr>
                <w:color w:val="000000"/>
                <w:sz w:val="24"/>
              </w:rPr>
            </w:pPr>
            <w:r>
              <w:rPr>
                <w:color w:val="000000"/>
                <w:sz w:val="24"/>
              </w:rPr>
              <w:t>4</w:t>
            </w:r>
          </w:p>
        </w:tc>
        <w:tc>
          <w:tcPr>
            <w:tcW w:w="0" w:type="auto"/>
            <w:vAlign w:val="center"/>
          </w:tcPr>
          <w:p w14:paraId="020831BF">
            <w:pPr>
              <w:spacing w:line="360" w:lineRule="auto"/>
              <w:jc w:val="center"/>
              <w:rPr>
                <w:color w:val="000000"/>
                <w:sz w:val="24"/>
              </w:rPr>
            </w:pPr>
          </w:p>
        </w:tc>
        <w:tc>
          <w:tcPr>
            <w:tcW w:w="0" w:type="auto"/>
            <w:vAlign w:val="center"/>
          </w:tcPr>
          <w:p w14:paraId="790ED6DF">
            <w:pPr>
              <w:spacing w:line="360" w:lineRule="auto"/>
              <w:jc w:val="center"/>
              <w:rPr>
                <w:color w:val="000000"/>
                <w:sz w:val="24"/>
              </w:rPr>
            </w:pPr>
          </w:p>
        </w:tc>
        <w:tc>
          <w:tcPr>
            <w:tcW w:w="0" w:type="auto"/>
            <w:vAlign w:val="center"/>
          </w:tcPr>
          <w:p w14:paraId="6C3E688A">
            <w:pPr>
              <w:spacing w:line="360" w:lineRule="auto"/>
              <w:jc w:val="center"/>
              <w:rPr>
                <w:color w:val="000000"/>
                <w:sz w:val="24"/>
              </w:rPr>
            </w:pPr>
          </w:p>
        </w:tc>
        <w:tc>
          <w:tcPr>
            <w:tcW w:w="0" w:type="auto"/>
            <w:vAlign w:val="center"/>
          </w:tcPr>
          <w:p w14:paraId="5002D5D8">
            <w:pPr>
              <w:spacing w:line="360" w:lineRule="auto"/>
              <w:jc w:val="center"/>
              <w:rPr>
                <w:color w:val="000000"/>
                <w:sz w:val="24"/>
              </w:rPr>
            </w:pPr>
          </w:p>
        </w:tc>
        <w:tc>
          <w:tcPr>
            <w:tcW w:w="0" w:type="auto"/>
            <w:vAlign w:val="center"/>
          </w:tcPr>
          <w:p w14:paraId="6E1372D8">
            <w:pPr>
              <w:spacing w:line="360" w:lineRule="auto"/>
              <w:jc w:val="center"/>
              <w:rPr>
                <w:color w:val="000000"/>
                <w:sz w:val="24"/>
              </w:rPr>
            </w:pPr>
          </w:p>
        </w:tc>
        <w:tc>
          <w:tcPr>
            <w:tcW w:w="0" w:type="auto"/>
            <w:vAlign w:val="center"/>
          </w:tcPr>
          <w:p w14:paraId="009B443D">
            <w:pPr>
              <w:spacing w:line="360" w:lineRule="auto"/>
              <w:jc w:val="center"/>
              <w:rPr>
                <w:color w:val="000000"/>
                <w:sz w:val="24"/>
              </w:rPr>
            </w:pPr>
          </w:p>
        </w:tc>
        <w:tc>
          <w:tcPr>
            <w:tcW w:w="0" w:type="auto"/>
            <w:vAlign w:val="center"/>
          </w:tcPr>
          <w:p w14:paraId="530DD632">
            <w:pPr>
              <w:spacing w:line="360" w:lineRule="auto"/>
              <w:jc w:val="center"/>
              <w:rPr>
                <w:color w:val="000000"/>
                <w:sz w:val="24"/>
              </w:rPr>
            </w:pPr>
          </w:p>
        </w:tc>
        <w:tc>
          <w:tcPr>
            <w:tcW w:w="0" w:type="auto"/>
            <w:vAlign w:val="center"/>
          </w:tcPr>
          <w:p w14:paraId="64DB416C">
            <w:pPr>
              <w:spacing w:line="360" w:lineRule="auto"/>
              <w:jc w:val="center"/>
              <w:rPr>
                <w:color w:val="000000"/>
                <w:sz w:val="24"/>
              </w:rPr>
            </w:pPr>
          </w:p>
        </w:tc>
      </w:tr>
      <w:tr w14:paraId="25BB7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5D282DE9">
            <w:pPr>
              <w:spacing w:line="360" w:lineRule="auto"/>
              <w:jc w:val="center"/>
              <w:rPr>
                <w:color w:val="000000"/>
                <w:sz w:val="24"/>
              </w:rPr>
            </w:pPr>
            <w:r>
              <w:rPr>
                <w:color w:val="000000"/>
                <w:sz w:val="24"/>
              </w:rPr>
              <w:t>14</w:t>
            </w:r>
          </w:p>
        </w:tc>
        <w:tc>
          <w:tcPr>
            <w:tcW w:w="0" w:type="auto"/>
            <w:vAlign w:val="center"/>
          </w:tcPr>
          <w:p w14:paraId="793487E1">
            <w:pPr>
              <w:spacing w:line="360" w:lineRule="auto"/>
              <w:jc w:val="center"/>
              <w:rPr>
                <w:color w:val="000000"/>
                <w:sz w:val="24"/>
              </w:rPr>
            </w:pPr>
            <w:r>
              <w:rPr>
                <w:color w:val="000000"/>
                <w:sz w:val="24"/>
              </w:rPr>
              <w:t>高级面点师</w:t>
            </w:r>
          </w:p>
        </w:tc>
        <w:tc>
          <w:tcPr>
            <w:tcW w:w="0" w:type="auto"/>
            <w:vAlign w:val="center"/>
          </w:tcPr>
          <w:p w14:paraId="5CBA24A0">
            <w:pPr>
              <w:spacing w:line="360" w:lineRule="auto"/>
              <w:jc w:val="center"/>
              <w:rPr>
                <w:color w:val="000000"/>
                <w:sz w:val="24"/>
              </w:rPr>
            </w:pPr>
            <w:r>
              <w:rPr>
                <w:color w:val="000000"/>
                <w:sz w:val="24"/>
              </w:rPr>
              <w:t>2</w:t>
            </w:r>
          </w:p>
        </w:tc>
        <w:tc>
          <w:tcPr>
            <w:tcW w:w="0" w:type="auto"/>
            <w:vAlign w:val="center"/>
          </w:tcPr>
          <w:p w14:paraId="1DA5F6B7">
            <w:pPr>
              <w:spacing w:line="360" w:lineRule="auto"/>
              <w:jc w:val="center"/>
              <w:rPr>
                <w:color w:val="000000"/>
                <w:sz w:val="24"/>
              </w:rPr>
            </w:pPr>
          </w:p>
        </w:tc>
        <w:tc>
          <w:tcPr>
            <w:tcW w:w="0" w:type="auto"/>
            <w:vAlign w:val="center"/>
          </w:tcPr>
          <w:p w14:paraId="057122F4">
            <w:pPr>
              <w:spacing w:line="360" w:lineRule="auto"/>
              <w:jc w:val="center"/>
              <w:rPr>
                <w:color w:val="000000"/>
                <w:sz w:val="24"/>
              </w:rPr>
            </w:pPr>
          </w:p>
        </w:tc>
        <w:tc>
          <w:tcPr>
            <w:tcW w:w="0" w:type="auto"/>
            <w:vAlign w:val="center"/>
          </w:tcPr>
          <w:p w14:paraId="043E3DBF">
            <w:pPr>
              <w:spacing w:line="360" w:lineRule="auto"/>
              <w:jc w:val="center"/>
              <w:rPr>
                <w:color w:val="000000"/>
                <w:sz w:val="24"/>
              </w:rPr>
            </w:pPr>
          </w:p>
        </w:tc>
        <w:tc>
          <w:tcPr>
            <w:tcW w:w="0" w:type="auto"/>
            <w:vAlign w:val="center"/>
          </w:tcPr>
          <w:p w14:paraId="5113EC54">
            <w:pPr>
              <w:spacing w:line="360" w:lineRule="auto"/>
              <w:jc w:val="center"/>
              <w:rPr>
                <w:color w:val="000000"/>
                <w:sz w:val="24"/>
              </w:rPr>
            </w:pPr>
          </w:p>
        </w:tc>
        <w:tc>
          <w:tcPr>
            <w:tcW w:w="0" w:type="auto"/>
            <w:vAlign w:val="center"/>
          </w:tcPr>
          <w:p w14:paraId="475BF91A">
            <w:pPr>
              <w:spacing w:line="360" w:lineRule="auto"/>
              <w:jc w:val="center"/>
              <w:rPr>
                <w:color w:val="000000"/>
                <w:sz w:val="24"/>
              </w:rPr>
            </w:pPr>
          </w:p>
        </w:tc>
        <w:tc>
          <w:tcPr>
            <w:tcW w:w="0" w:type="auto"/>
            <w:vAlign w:val="center"/>
          </w:tcPr>
          <w:p w14:paraId="2DF7DFFB">
            <w:pPr>
              <w:spacing w:line="360" w:lineRule="auto"/>
              <w:jc w:val="center"/>
              <w:rPr>
                <w:color w:val="000000"/>
                <w:sz w:val="24"/>
              </w:rPr>
            </w:pPr>
          </w:p>
        </w:tc>
        <w:tc>
          <w:tcPr>
            <w:tcW w:w="0" w:type="auto"/>
            <w:vAlign w:val="center"/>
          </w:tcPr>
          <w:p w14:paraId="72446838">
            <w:pPr>
              <w:spacing w:line="360" w:lineRule="auto"/>
              <w:jc w:val="center"/>
              <w:rPr>
                <w:color w:val="000000"/>
                <w:sz w:val="24"/>
              </w:rPr>
            </w:pPr>
          </w:p>
        </w:tc>
        <w:tc>
          <w:tcPr>
            <w:tcW w:w="0" w:type="auto"/>
            <w:vAlign w:val="center"/>
          </w:tcPr>
          <w:p w14:paraId="2B356B99">
            <w:pPr>
              <w:spacing w:line="360" w:lineRule="auto"/>
              <w:jc w:val="center"/>
              <w:rPr>
                <w:color w:val="000000"/>
                <w:sz w:val="24"/>
              </w:rPr>
            </w:pPr>
          </w:p>
        </w:tc>
      </w:tr>
      <w:tr w14:paraId="22DBF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5104E9B7">
            <w:pPr>
              <w:spacing w:line="360" w:lineRule="auto"/>
              <w:jc w:val="center"/>
              <w:rPr>
                <w:color w:val="000000"/>
                <w:sz w:val="24"/>
              </w:rPr>
            </w:pPr>
            <w:r>
              <w:rPr>
                <w:color w:val="000000"/>
                <w:sz w:val="24"/>
              </w:rPr>
              <w:t>15</w:t>
            </w:r>
          </w:p>
        </w:tc>
        <w:tc>
          <w:tcPr>
            <w:tcW w:w="0" w:type="auto"/>
            <w:vAlign w:val="center"/>
          </w:tcPr>
          <w:p w14:paraId="2F456015">
            <w:pPr>
              <w:spacing w:line="360" w:lineRule="auto"/>
              <w:jc w:val="center"/>
              <w:rPr>
                <w:color w:val="000000"/>
                <w:sz w:val="24"/>
              </w:rPr>
            </w:pPr>
            <w:r>
              <w:rPr>
                <w:color w:val="000000"/>
                <w:sz w:val="24"/>
              </w:rPr>
              <w:t>普通面点师</w:t>
            </w:r>
          </w:p>
        </w:tc>
        <w:tc>
          <w:tcPr>
            <w:tcW w:w="0" w:type="auto"/>
            <w:vAlign w:val="center"/>
          </w:tcPr>
          <w:p w14:paraId="6C7C7D34">
            <w:pPr>
              <w:spacing w:line="360" w:lineRule="auto"/>
              <w:jc w:val="center"/>
              <w:rPr>
                <w:color w:val="000000"/>
                <w:sz w:val="24"/>
              </w:rPr>
            </w:pPr>
            <w:r>
              <w:rPr>
                <w:color w:val="000000"/>
                <w:sz w:val="24"/>
              </w:rPr>
              <w:t>2</w:t>
            </w:r>
          </w:p>
        </w:tc>
        <w:tc>
          <w:tcPr>
            <w:tcW w:w="0" w:type="auto"/>
            <w:vAlign w:val="center"/>
          </w:tcPr>
          <w:p w14:paraId="00E1770E">
            <w:pPr>
              <w:spacing w:line="360" w:lineRule="auto"/>
              <w:jc w:val="center"/>
              <w:rPr>
                <w:color w:val="000000"/>
                <w:sz w:val="24"/>
              </w:rPr>
            </w:pPr>
          </w:p>
        </w:tc>
        <w:tc>
          <w:tcPr>
            <w:tcW w:w="0" w:type="auto"/>
            <w:vAlign w:val="center"/>
          </w:tcPr>
          <w:p w14:paraId="772C3907">
            <w:pPr>
              <w:spacing w:line="360" w:lineRule="auto"/>
              <w:jc w:val="center"/>
              <w:rPr>
                <w:color w:val="000000"/>
                <w:sz w:val="24"/>
              </w:rPr>
            </w:pPr>
          </w:p>
        </w:tc>
        <w:tc>
          <w:tcPr>
            <w:tcW w:w="0" w:type="auto"/>
            <w:vAlign w:val="center"/>
          </w:tcPr>
          <w:p w14:paraId="04BFB990">
            <w:pPr>
              <w:spacing w:line="360" w:lineRule="auto"/>
              <w:jc w:val="center"/>
              <w:rPr>
                <w:color w:val="000000"/>
                <w:sz w:val="24"/>
              </w:rPr>
            </w:pPr>
          </w:p>
        </w:tc>
        <w:tc>
          <w:tcPr>
            <w:tcW w:w="0" w:type="auto"/>
            <w:vAlign w:val="center"/>
          </w:tcPr>
          <w:p w14:paraId="44207119">
            <w:pPr>
              <w:spacing w:line="360" w:lineRule="auto"/>
              <w:jc w:val="center"/>
              <w:rPr>
                <w:color w:val="000000"/>
                <w:sz w:val="24"/>
              </w:rPr>
            </w:pPr>
          </w:p>
        </w:tc>
        <w:tc>
          <w:tcPr>
            <w:tcW w:w="0" w:type="auto"/>
            <w:vAlign w:val="center"/>
          </w:tcPr>
          <w:p w14:paraId="7C6AB4D9">
            <w:pPr>
              <w:spacing w:line="360" w:lineRule="auto"/>
              <w:jc w:val="center"/>
              <w:rPr>
                <w:color w:val="000000"/>
                <w:sz w:val="24"/>
              </w:rPr>
            </w:pPr>
          </w:p>
        </w:tc>
        <w:tc>
          <w:tcPr>
            <w:tcW w:w="0" w:type="auto"/>
            <w:vAlign w:val="center"/>
          </w:tcPr>
          <w:p w14:paraId="07589589">
            <w:pPr>
              <w:spacing w:line="360" w:lineRule="auto"/>
              <w:jc w:val="center"/>
              <w:rPr>
                <w:color w:val="000000"/>
                <w:sz w:val="24"/>
              </w:rPr>
            </w:pPr>
          </w:p>
        </w:tc>
        <w:tc>
          <w:tcPr>
            <w:tcW w:w="0" w:type="auto"/>
            <w:vAlign w:val="center"/>
          </w:tcPr>
          <w:p w14:paraId="6E7BF733">
            <w:pPr>
              <w:spacing w:line="360" w:lineRule="auto"/>
              <w:jc w:val="center"/>
              <w:rPr>
                <w:color w:val="000000"/>
                <w:sz w:val="24"/>
              </w:rPr>
            </w:pPr>
          </w:p>
        </w:tc>
        <w:tc>
          <w:tcPr>
            <w:tcW w:w="0" w:type="auto"/>
            <w:vAlign w:val="center"/>
          </w:tcPr>
          <w:p w14:paraId="70468C39">
            <w:pPr>
              <w:spacing w:line="360" w:lineRule="auto"/>
              <w:jc w:val="center"/>
              <w:rPr>
                <w:color w:val="000000"/>
                <w:sz w:val="24"/>
              </w:rPr>
            </w:pPr>
          </w:p>
        </w:tc>
      </w:tr>
      <w:tr w14:paraId="2F825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012DAD86">
            <w:pPr>
              <w:spacing w:line="360" w:lineRule="auto"/>
              <w:jc w:val="center"/>
              <w:rPr>
                <w:color w:val="000000"/>
                <w:sz w:val="24"/>
              </w:rPr>
            </w:pPr>
            <w:r>
              <w:rPr>
                <w:color w:val="000000"/>
                <w:sz w:val="24"/>
              </w:rPr>
              <w:t>16</w:t>
            </w:r>
          </w:p>
        </w:tc>
        <w:tc>
          <w:tcPr>
            <w:tcW w:w="0" w:type="auto"/>
            <w:vAlign w:val="center"/>
          </w:tcPr>
          <w:p w14:paraId="644F0B0E">
            <w:pPr>
              <w:spacing w:line="360" w:lineRule="auto"/>
              <w:jc w:val="center"/>
              <w:rPr>
                <w:color w:val="000000"/>
                <w:sz w:val="24"/>
              </w:rPr>
            </w:pPr>
            <w:r>
              <w:rPr>
                <w:color w:val="000000"/>
                <w:sz w:val="24"/>
              </w:rPr>
              <w:t>营养辅助员</w:t>
            </w:r>
          </w:p>
        </w:tc>
        <w:tc>
          <w:tcPr>
            <w:tcW w:w="0" w:type="auto"/>
            <w:vAlign w:val="center"/>
          </w:tcPr>
          <w:p w14:paraId="05E42FE3">
            <w:pPr>
              <w:spacing w:line="360" w:lineRule="auto"/>
              <w:jc w:val="center"/>
              <w:rPr>
                <w:color w:val="000000"/>
                <w:sz w:val="24"/>
              </w:rPr>
            </w:pPr>
            <w:r>
              <w:rPr>
                <w:color w:val="000000"/>
                <w:sz w:val="24"/>
              </w:rPr>
              <w:t>1</w:t>
            </w:r>
          </w:p>
        </w:tc>
        <w:tc>
          <w:tcPr>
            <w:tcW w:w="0" w:type="auto"/>
            <w:vAlign w:val="center"/>
          </w:tcPr>
          <w:p w14:paraId="5384C2DF">
            <w:pPr>
              <w:spacing w:line="360" w:lineRule="auto"/>
              <w:jc w:val="center"/>
              <w:rPr>
                <w:color w:val="000000"/>
                <w:sz w:val="24"/>
              </w:rPr>
            </w:pPr>
          </w:p>
        </w:tc>
        <w:tc>
          <w:tcPr>
            <w:tcW w:w="0" w:type="auto"/>
            <w:vAlign w:val="center"/>
          </w:tcPr>
          <w:p w14:paraId="799D991F">
            <w:pPr>
              <w:spacing w:line="360" w:lineRule="auto"/>
              <w:jc w:val="center"/>
              <w:rPr>
                <w:color w:val="000000"/>
                <w:sz w:val="24"/>
              </w:rPr>
            </w:pPr>
          </w:p>
        </w:tc>
        <w:tc>
          <w:tcPr>
            <w:tcW w:w="0" w:type="auto"/>
            <w:vAlign w:val="center"/>
          </w:tcPr>
          <w:p w14:paraId="6A96C044">
            <w:pPr>
              <w:spacing w:line="360" w:lineRule="auto"/>
              <w:jc w:val="center"/>
              <w:rPr>
                <w:color w:val="000000"/>
                <w:sz w:val="24"/>
              </w:rPr>
            </w:pPr>
          </w:p>
        </w:tc>
        <w:tc>
          <w:tcPr>
            <w:tcW w:w="0" w:type="auto"/>
            <w:vAlign w:val="center"/>
          </w:tcPr>
          <w:p w14:paraId="597AE4BC">
            <w:pPr>
              <w:spacing w:line="360" w:lineRule="auto"/>
              <w:jc w:val="center"/>
              <w:rPr>
                <w:color w:val="000000"/>
                <w:sz w:val="24"/>
              </w:rPr>
            </w:pPr>
          </w:p>
        </w:tc>
        <w:tc>
          <w:tcPr>
            <w:tcW w:w="0" w:type="auto"/>
            <w:vAlign w:val="center"/>
          </w:tcPr>
          <w:p w14:paraId="131D5434">
            <w:pPr>
              <w:spacing w:line="360" w:lineRule="auto"/>
              <w:jc w:val="center"/>
              <w:rPr>
                <w:color w:val="000000"/>
                <w:sz w:val="24"/>
              </w:rPr>
            </w:pPr>
          </w:p>
        </w:tc>
        <w:tc>
          <w:tcPr>
            <w:tcW w:w="0" w:type="auto"/>
            <w:vAlign w:val="center"/>
          </w:tcPr>
          <w:p w14:paraId="50D55EA8">
            <w:pPr>
              <w:spacing w:line="360" w:lineRule="auto"/>
              <w:jc w:val="center"/>
              <w:rPr>
                <w:color w:val="000000"/>
                <w:sz w:val="24"/>
              </w:rPr>
            </w:pPr>
          </w:p>
        </w:tc>
        <w:tc>
          <w:tcPr>
            <w:tcW w:w="0" w:type="auto"/>
            <w:vAlign w:val="center"/>
          </w:tcPr>
          <w:p w14:paraId="550A4956">
            <w:pPr>
              <w:spacing w:line="360" w:lineRule="auto"/>
              <w:jc w:val="center"/>
              <w:rPr>
                <w:color w:val="000000"/>
                <w:sz w:val="24"/>
              </w:rPr>
            </w:pPr>
          </w:p>
        </w:tc>
        <w:tc>
          <w:tcPr>
            <w:tcW w:w="0" w:type="auto"/>
            <w:vAlign w:val="center"/>
          </w:tcPr>
          <w:p w14:paraId="60B7F813">
            <w:pPr>
              <w:spacing w:line="360" w:lineRule="auto"/>
              <w:jc w:val="center"/>
              <w:rPr>
                <w:color w:val="000000"/>
                <w:sz w:val="24"/>
              </w:rPr>
            </w:pPr>
          </w:p>
        </w:tc>
      </w:tr>
      <w:tr w14:paraId="33624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78B51961">
            <w:pPr>
              <w:spacing w:line="360" w:lineRule="auto"/>
              <w:jc w:val="center"/>
              <w:rPr>
                <w:rFonts w:hint="default" w:eastAsia="宋体"/>
                <w:color w:val="000000"/>
                <w:sz w:val="24"/>
                <w:lang w:val="en-US" w:eastAsia="zh-CN"/>
              </w:rPr>
            </w:pPr>
            <w:r>
              <w:rPr>
                <w:rFonts w:hint="eastAsia"/>
                <w:color w:val="000000"/>
                <w:sz w:val="24"/>
                <w:lang w:val="en-US" w:eastAsia="zh-CN"/>
              </w:rPr>
              <w:t>17</w:t>
            </w:r>
          </w:p>
        </w:tc>
        <w:tc>
          <w:tcPr>
            <w:tcW w:w="0" w:type="auto"/>
            <w:vAlign w:val="center"/>
          </w:tcPr>
          <w:p w14:paraId="78B1BFBF">
            <w:pPr>
              <w:spacing w:line="360" w:lineRule="auto"/>
              <w:jc w:val="center"/>
              <w:rPr>
                <w:rFonts w:hint="eastAsia" w:eastAsia="宋体"/>
                <w:color w:val="000000"/>
                <w:sz w:val="24"/>
                <w:highlight w:val="none"/>
                <w:lang w:eastAsia="zh-CN"/>
              </w:rPr>
            </w:pPr>
            <w:r>
              <w:rPr>
                <w:rFonts w:hint="eastAsia"/>
                <w:color w:val="000000"/>
                <w:sz w:val="24"/>
                <w:highlight w:val="none"/>
                <w:lang w:eastAsia="zh-CN"/>
              </w:rPr>
              <w:t>超声辅助员</w:t>
            </w:r>
          </w:p>
        </w:tc>
        <w:tc>
          <w:tcPr>
            <w:tcW w:w="0" w:type="auto"/>
            <w:vAlign w:val="center"/>
          </w:tcPr>
          <w:p w14:paraId="72C25D13">
            <w:pPr>
              <w:spacing w:line="360" w:lineRule="auto"/>
              <w:jc w:val="center"/>
              <w:rPr>
                <w:rFonts w:hint="eastAsia" w:eastAsia="宋体"/>
                <w:color w:val="000000"/>
                <w:sz w:val="24"/>
                <w:highlight w:val="none"/>
                <w:lang w:val="en-US" w:eastAsia="zh-CN"/>
              </w:rPr>
            </w:pPr>
            <w:r>
              <w:rPr>
                <w:rFonts w:hint="eastAsia"/>
                <w:color w:val="000000"/>
                <w:sz w:val="24"/>
                <w:highlight w:val="none"/>
                <w:lang w:val="en-US" w:eastAsia="zh-CN"/>
              </w:rPr>
              <w:t>2</w:t>
            </w:r>
          </w:p>
        </w:tc>
        <w:tc>
          <w:tcPr>
            <w:tcW w:w="0" w:type="auto"/>
            <w:vAlign w:val="center"/>
          </w:tcPr>
          <w:p w14:paraId="6744FEC7">
            <w:pPr>
              <w:spacing w:line="360" w:lineRule="auto"/>
              <w:jc w:val="center"/>
              <w:rPr>
                <w:color w:val="000000"/>
                <w:sz w:val="24"/>
              </w:rPr>
            </w:pPr>
          </w:p>
        </w:tc>
        <w:tc>
          <w:tcPr>
            <w:tcW w:w="0" w:type="auto"/>
            <w:vAlign w:val="center"/>
          </w:tcPr>
          <w:p w14:paraId="35287F64">
            <w:pPr>
              <w:spacing w:line="360" w:lineRule="auto"/>
              <w:jc w:val="center"/>
              <w:rPr>
                <w:color w:val="000000"/>
                <w:sz w:val="24"/>
              </w:rPr>
            </w:pPr>
          </w:p>
        </w:tc>
        <w:tc>
          <w:tcPr>
            <w:tcW w:w="0" w:type="auto"/>
            <w:vAlign w:val="center"/>
          </w:tcPr>
          <w:p w14:paraId="2F2702BF">
            <w:pPr>
              <w:spacing w:line="360" w:lineRule="auto"/>
              <w:jc w:val="center"/>
              <w:rPr>
                <w:color w:val="000000"/>
                <w:sz w:val="24"/>
              </w:rPr>
            </w:pPr>
          </w:p>
        </w:tc>
        <w:tc>
          <w:tcPr>
            <w:tcW w:w="0" w:type="auto"/>
            <w:vAlign w:val="center"/>
          </w:tcPr>
          <w:p w14:paraId="7AC4711D">
            <w:pPr>
              <w:spacing w:line="360" w:lineRule="auto"/>
              <w:jc w:val="center"/>
              <w:rPr>
                <w:color w:val="000000"/>
                <w:sz w:val="24"/>
              </w:rPr>
            </w:pPr>
          </w:p>
        </w:tc>
        <w:tc>
          <w:tcPr>
            <w:tcW w:w="0" w:type="auto"/>
            <w:vAlign w:val="center"/>
          </w:tcPr>
          <w:p w14:paraId="1BBB336E">
            <w:pPr>
              <w:spacing w:line="360" w:lineRule="auto"/>
              <w:jc w:val="center"/>
              <w:rPr>
                <w:color w:val="000000"/>
                <w:sz w:val="24"/>
              </w:rPr>
            </w:pPr>
          </w:p>
        </w:tc>
        <w:tc>
          <w:tcPr>
            <w:tcW w:w="0" w:type="auto"/>
            <w:vAlign w:val="center"/>
          </w:tcPr>
          <w:p w14:paraId="1CF53764">
            <w:pPr>
              <w:spacing w:line="360" w:lineRule="auto"/>
              <w:jc w:val="center"/>
              <w:rPr>
                <w:color w:val="000000"/>
                <w:sz w:val="24"/>
              </w:rPr>
            </w:pPr>
          </w:p>
        </w:tc>
        <w:tc>
          <w:tcPr>
            <w:tcW w:w="0" w:type="auto"/>
            <w:vAlign w:val="center"/>
          </w:tcPr>
          <w:p w14:paraId="16832CC5">
            <w:pPr>
              <w:spacing w:line="360" w:lineRule="auto"/>
              <w:jc w:val="center"/>
              <w:rPr>
                <w:color w:val="000000"/>
                <w:sz w:val="24"/>
              </w:rPr>
            </w:pPr>
          </w:p>
        </w:tc>
        <w:tc>
          <w:tcPr>
            <w:tcW w:w="0" w:type="auto"/>
            <w:vAlign w:val="center"/>
          </w:tcPr>
          <w:p w14:paraId="2C70C5C1">
            <w:pPr>
              <w:spacing w:line="360" w:lineRule="auto"/>
              <w:jc w:val="center"/>
              <w:rPr>
                <w:color w:val="000000"/>
                <w:sz w:val="24"/>
              </w:rPr>
            </w:pPr>
          </w:p>
        </w:tc>
      </w:tr>
      <w:tr w14:paraId="1AE9C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549CA61">
            <w:pPr>
              <w:spacing w:line="360" w:lineRule="auto"/>
              <w:jc w:val="center"/>
              <w:rPr>
                <w:rFonts w:hint="default" w:eastAsia="宋体"/>
                <w:color w:val="000000"/>
                <w:sz w:val="24"/>
                <w:lang w:val="en-US" w:eastAsia="zh-CN"/>
              </w:rPr>
            </w:pPr>
            <w:r>
              <w:rPr>
                <w:rFonts w:hint="eastAsia"/>
                <w:color w:val="000000"/>
                <w:sz w:val="24"/>
                <w:lang w:val="en-US" w:eastAsia="zh-CN"/>
              </w:rPr>
              <w:t>18</w:t>
            </w:r>
          </w:p>
        </w:tc>
        <w:tc>
          <w:tcPr>
            <w:tcW w:w="0" w:type="auto"/>
            <w:vAlign w:val="center"/>
          </w:tcPr>
          <w:p w14:paraId="5564C069">
            <w:pPr>
              <w:spacing w:line="360" w:lineRule="auto"/>
              <w:jc w:val="center"/>
              <w:rPr>
                <w:rFonts w:hint="eastAsia" w:eastAsia="宋体"/>
                <w:color w:val="000000"/>
                <w:sz w:val="24"/>
                <w:highlight w:val="none"/>
                <w:lang w:eastAsia="zh-CN"/>
              </w:rPr>
            </w:pPr>
            <w:r>
              <w:rPr>
                <w:rFonts w:hint="eastAsia"/>
                <w:color w:val="000000"/>
                <w:sz w:val="24"/>
                <w:highlight w:val="none"/>
                <w:lang w:eastAsia="zh-CN"/>
              </w:rPr>
              <w:t>导医引导员</w:t>
            </w:r>
          </w:p>
        </w:tc>
        <w:tc>
          <w:tcPr>
            <w:tcW w:w="0" w:type="auto"/>
            <w:vAlign w:val="center"/>
          </w:tcPr>
          <w:p w14:paraId="66D582E6">
            <w:pPr>
              <w:spacing w:line="360" w:lineRule="auto"/>
              <w:jc w:val="center"/>
              <w:rPr>
                <w:rFonts w:hint="eastAsia" w:eastAsia="宋体"/>
                <w:color w:val="000000"/>
                <w:sz w:val="24"/>
                <w:highlight w:val="none"/>
                <w:lang w:val="en-US" w:eastAsia="zh-CN"/>
              </w:rPr>
            </w:pPr>
            <w:r>
              <w:rPr>
                <w:rFonts w:hint="eastAsia"/>
                <w:color w:val="000000"/>
                <w:sz w:val="24"/>
                <w:highlight w:val="none"/>
                <w:lang w:val="en-US" w:eastAsia="zh-CN"/>
              </w:rPr>
              <w:t>3</w:t>
            </w:r>
          </w:p>
        </w:tc>
        <w:tc>
          <w:tcPr>
            <w:tcW w:w="0" w:type="auto"/>
            <w:vAlign w:val="center"/>
          </w:tcPr>
          <w:p w14:paraId="4AE52A1A">
            <w:pPr>
              <w:spacing w:line="360" w:lineRule="auto"/>
              <w:jc w:val="center"/>
              <w:rPr>
                <w:color w:val="000000"/>
                <w:sz w:val="24"/>
              </w:rPr>
            </w:pPr>
          </w:p>
        </w:tc>
        <w:tc>
          <w:tcPr>
            <w:tcW w:w="0" w:type="auto"/>
            <w:vAlign w:val="center"/>
          </w:tcPr>
          <w:p w14:paraId="02C902E8">
            <w:pPr>
              <w:spacing w:line="360" w:lineRule="auto"/>
              <w:jc w:val="center"/>
              <w:rPr>
                <w:color w:val="000000"/>
                <w:sz w:val="24"/>
              </w:rPr>
            </w:pPr>
          </w:p>
        </w:tc>
        <w:tc>
          <w:tcPr>
            <w:tcW w:w="0" w:type="auto"/>
            <w:vAlign w:val="center"/>
          </w:tcPr>
          <w:p w14:paraId="73F6A319">
            <w:pPr>
              <w:spacing w:line="360" w:lineRule="auto"/>
              <w:jc w:val="center"/>
              <w:rPr>
                <w:color w:val="000000"/>
                <w:sz w:val="24"/>
              </w:rPr>
            </w:pPr>
          </w:p>
        </w:tc>
        <w:tc>
          <w:tcPr>
            <w:tcW w:w="0" w:type="auto"/>
            <w:vAlign w:val="center"/>
          </w:tcPr>
          <w:p w14:paraId="1130C414">
            <w:pPr>
              <w:spacing w:line="360" w:lineRule="auto"/>
              <w:jc w:val="center"/>
              <w:rPr>
                <w:color w:val="000000"/>
                <w:sz w:val="24"/>
              </w:rPr>
            </w:pPr>
          </w:p>
        </w:tc>
        <w:tc>
          <w:tcPr>
            <w:tcW w:w="0" w:type="auto"/>
            <w:vAlign w:val="center"/>
          </w:tcPr>
          <w:p w14:paraId="37F099C4">
            <w:pPr>
              <w:spacing w:line="360" w:lineRule="auto"/>
              <w:jc w:val="center"/>
              <w:rPr>
                <w:color w:val="000000"/>
                <w:sz w:val="24"/>
              </w:rPr>
            </w:pPr>
          </w:p>
        </w:tc>
        <w:tc>
          <w:tcPr>
            <w:tcW w:w="0" w:type="auto"/>
            <w:vAlign w:val="center"/>
          </w:tcPr>
          <w:p w14:paraId="710A5D94">
            <w:pPr>
              <w:spacing w:line="360" w:lineRule="auto"/>
              <w:jc w:val="center"/>
              <w:rPr>
                <w:color w:val="000000"/>
                <w:sz w:val="24"/>
              </w:rPr>
            </w:pPr>
          </w:p>
        </w:tc>
        <w:tc>
          <w:tcPr>
            <w:tcW w:w="0" w:type="auto"/>
            <w:vAlign w:val="center"/>
          </w:tcPr>
          <w:p w14:paraId="7A5F913A">
            <w:pPr>
              <w:spacing w:line="360" w:lineRule="auto"/>
              <w:jc w:val="center"/>
              <w:rPr>
                <w:color w:val="000000"/>
                <w:sz w:val="24"/>
              </w:rPr>
            </w:pPr>
          </w:p>
        </w:tc>
        <w:tc>
          <w:tcPr>
            <w:tcW w:w="0" w:type="auto"/>
            <w:vAlign w:val="center"/>
          </w:tcPr>
          <w:p w14:paraId="06358770">
            <w:pPr>
              <w:spacing w:line="360" w:lineRule="auto"/>
              <w:jc w:val="center"/>
              <w:rPr>
                <w:color w:val="000000"/>
                <w:sz w:val="24"/>
              </w:rPr>
            </w:pPr>
          </w:p>
        </w:tc>
      </w:tr>
      <w:tr w14:paraId="4725A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313C8B0B">
            <w:pPr>
              <w:spacing w:line="360" w:lineRule="auto"/>
              <w:jc w:val="center"/>
              <w:rPr>
                <w:rFonts w:hint="default" w:eastAsia="宋体"/>
                <w:color w:val="000000"/>
                <w:sz w:val="24"/>
                <w:lang w:val="en-US" w:eastAsia="zh-CN"/>
              </w:rPr>
            </w:pPr>
            <w:r>
              <w:rPr>
                <w:rFonts w:hint="eastAsia"/>
                <w:color w:val="000000"/>
                <w:sz w:val="24"/>
                <w:lang w:val="en-US" w:eastAsia="zh-CN"/>
              </w:rPr>
              <w:t>19</w:t>
            </w:r>
          </w:p>
        </w:tc>
        <w:tc>
          <w:tcPr>
            <w:tcW w:w="0" w:type="auto"/>
            <w:vAlign w:val="center"/>
          </w:tcPr>
          <w:p w14:paraId="73E4C075">
            <w:pPr>
              <w:spacing w:line="360" w:lineRule="auto"/>
              <w:jc w:val="center"/>
              <w:rPr>
                <w:rFonts w:hint="eastAsia" w:eastAsia="宋体"/>
                <w:color w:val="000000"/>
                <w:sz w:val="24"/>
                <w:highlight w:val="none"/>
                <w:lang w:eastAsia="zh-CN"/>
              </w:rPr>
            </w:pPr>
            <w:r>
              <w:rPr>
                <w:rFonts w:hint="eastAsia"/>
                <w:color w:val="000000"/>
                <w:sz w:val="24"/>
                <w:highlight w:val="none"/>
                <w:lang w:eastAsia="zh-CN"/>
              </w:rPr>
              <w:t>停车收费员</w:t>
            </w:r>
          </w:p>
        </w:tc>
        <w:tc>
          <w:tcPr>
            <w:tcW w:w="0" w:type="auto"/>
            <w:vAlign w:val="center"/>
          </w:tcPr>
          <w:p w14:paraId="1BC109FF">
            <w:pPr>
              <w:spacing w:line="360" w:lineRule="auto"/>
              <w:jc w:val="center"/>
              <w:rPr>
                <w:rFonts w:hint="eastAsia" w:eastAsia="宋体"/>
                <w:color w:val="000000"/>
                <w:sz w:val="24"/>
                <w:highlight w:val="none"/>
                <w:lang w:val="en-US" w:eastAsia="zh-CN"/>
              </w:rPr>
            </w:pPr>
            <w:r>
              <w:rPr>
                <w:rFonts w:hint="eastAsia"/>
                <w:color w:val="000000"/>
                <w:sz w:val="24"/>
                <w:highlight w:val="none"/>
                <w:lang w:val="en-US" w:eastAsia="zh-CN"/>
              </w:rPr>
              <w:t>2</w:t>
            </w:r>
          </w:p>
        </w:tc>
        <w:tc>
          <w:tcPr>
            <w:tcW w:w="0" w:type="auto"/>
            <w:vAlign w:val="center"/>
          </w:tcPr>
          <w:p w14:paraId="77CDA1BD">
            <w:pPr>
              <w:spacing w:line="360" w:lineRule="auto"/>
              <w:jc w:val="center"/>
              <w:rPr>
                <w:color w:val="000000"/>
                <w:sz w:val="24"/>
              </w:rPr>
            </w:pPr>
          </w:p>
        </w:tc>
        <w:tc>
          <w:tcPr>
            <w:tcW w:w="0" w:type="auto"/>
            <w:vAlign w:val="center"/>
          </w:tcPr>
          <w:p w14:paraId="286F42D1">
            <w:pPr>
              <w:spacing w:line="360" w:lineRule="auto"/>
              <w:jc w:val="center"/>
              <w:rPr>
                <w:color w:val="000000"/>
                <w:sz w:val="24"/>
              </w:rPr>
            </w:pPr>
          </w:p>
        </w:tc>
        <w:tc>
          <w:tcPr>
            <w:tcW w:w="0" w:type="auto"/>
            <w:vAlign w:val="center"/>
          </w:tcPr>
          <w:p w14:paraId="7090EEA7">
            <w:pPr>
              <w:spacing w:line="360" w:lineRule="auto"/>
              <w:jc w:val="center"/>
              <w:rPr>
                <w:color w:val="000000"/>
                <w:sz w:val="24"/>
              </w:rPr>
            </w:pPr>
          </w:p>
        </w:tc>
        <w:tc>
          <w:tcPr>
            <w:tcW w:w="0" w:type="auto"/>
            <w:vAlign w:val="center"/>
          </w:tcPr>
          <w:p w14:paraId="1EAAF15C">
            <w:pPr>
              <w:spacing w:line="360" w:lineRule="auto"/>
              <w:jc w:val="center"/>
              <w:rPr>
                <w:color w:val="000000"/>
                <w:sz w:val="24"/>
              </w:rPr>
            </w:pPr>
          </w:p>
        </w:tc>
        <w:tc>
          <w:tcPr>
            <w:tcW w:w="0" w:type="auto"/>
            <w:vAlign w:val="center"/>
          </w:tcPr>
          <w:p w14:paraId="6F6B8780">
            <w:pPr>
              <w:spacing w:line="360" w:lineRule="auto"/>
              <w:jc w:val="center"/>
              <w:rPr>
                <w:color w:val="000000"/>
                <w:sz w:val="24"/>
              </w:rPr>
            </w:pPr>
          </w:p>
        </w:tc>
        <w:tc>
          <w:tcPr>
            <w:tcW w:w="0" w:type="auto"/>
            <w:vAlign w:val="center"/>
          </w:tcPr>
          <w:p w14:paraId="54E46FE9">
            <w:pPr>
              <w:spacing w:line="360" w:lineRule="auto"/>
              <w:jc w:val="center"/>
              <w:rPr>
                <w:color w:val="000000"/>
                <w:sz w:val="24"/>
              </w:rPr>
            </w:pPr>
          </w:p>
        </w:tc>
        <w:tc>
          <w:tcPr>
            <w:tcW w:w="0" w:type="auto"/>
            <w:vAlign w:val="center"/>
          </w:tcPr>
          <w:p w14:paraId="6B2952A8">
            <w:pPr>
              <w:spacing w:line="360" w:lineRule="auto"/>
              <w:jc w:val="center"/>
              <w:rPr>
                <w:color w:val="000000"/>
                <w:sz w:val="24"/>
              </w:rPr>
            </w:pPr>
          </w:p>
        </w:tc>
        <w:tc>
          <w:tcPr>
            <w:tcW w:w="0" w:type="auto"/>
            <w:vAlign w:val="center"/>
          </w:tcPr>
          <w:p w14:paraId="78009F2F">
            <w:pPr>
              <w:spacing w:line="360" w:lineRule="auto"/>
              <w:jc w:val="center"/>
              <w:rPr>
                <w:color w:val="000000"/>
                <w:sz w:val="24"/>
              </w:rPr>
            </w:pPr>
          </w:p>
        </w:tc>
      </w:tr>
      <w:tr w14:paraId="134D6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0" w:type="auto"/>
            <w:vAlign w:val="center"/>
          </w:tcPr>
          <w:p w14:paraId="592E6B6A">
            <w:pPr>
              <w:spacing w:line="360" w:lineRule="auto"/>
              <w:jc w:val="center"/>
              <w:rPr>
                <w:rFonts w:hint="default"/>
                <w:color w:val="000000"/>
                <w:sz w:val="24"/>
                <w:lang w:val="en-US" w:eastAsia="zh-CN"/>
              </w:rPr>
            </w:pPr>
            <w:r>
              <w:rPr>
                <w:rFonts w:hint="eastAsia"/>
                <w:color w:val="000000"/>
                <w:sz w:val="24"/>
                <w:lang w:val="en-US" w:eastAsia="zh-CN"/>
              </w:rPr>
              <w:t>20</w:t>
            </w:r>
          </w:p>
        </w:tc>
        <w:tc>
          <w:tcPr>
            <w:tcW w:w="0" w:type="auto"/>
            <w:vAlign w:val="center"/>
          </w:tcPr>
          <w:p w14:paraId="42F1C737">
            <w:pPr>
              <w:spacing w:line="360" w:lineRule="auto"/>
              <w:jc w:val="center"/>
              <w:rPr>
                <w:rFonts w:hint="default"/>
                <w:color w:val="000000"/>
                <w:sz w:val="24"/>
                <w:highlight w:val="none"/>
                <w:lang w:val="en-US" w:eastAsia="zh-CN"/>
              </w:rPr>
            </w:pPr>
            <w:r>
              <w:rPr>
                <w:rFonts w:hint="eastAsia"/>
                <w:color w:val="000000"/>
                <w:sz w:val="24"/>
                <w:highlight w:val="none"/>
                <w:lang w:val="en-US" w:eastAsia="zh-CN"/>
              </w:rPr>
              <w:t>病案室窗口工作人员</w:t>
            </w:r>
          </w:p>
        </w:tc>
        <w:tc>
          <w:tcPr>
            <w:tcW w:w="0" w:type="auto"/>
            <w:vAlign w:val="center"/>
          </w:tcPr>
          <w:p w14:paraId="2F806B61">
            <w:pPr>
              <w:spacing w:line="360" w:lineRule="auto"/>
              <w:jc w:val="center"/>
              <w:rPr>
                <w:rFonts w:hint="default"/>
                <w:color w:val="000000"/>
                <w:sz w:val="24"/>
                <w:highlight w:val="none"/>
                <w:lang w:val="en-US" w:eastAsia="zh-CN"/>
              </w:rPr>
            </w:pPr>
            <w:r>
              <w:rPr>
                <w:rFonts w:hint="eastAsia"/>
                <w:color w:val="000000"/>
                <w:sz w:val="24"/>
                <w:highlight w:val="none"/>
                <w:lang w:val="en-US" w:eastAsia="zh-CN"/>
              </w:rPr>
              <w:t>1</w:t>
            </w:r>
          </w:p>
        </w:tc>
        <w:tc>
          <w:tcPr>
            <w:tcW w:w="0" w:type="auto"/>
            <w:vAlign w:val="center"/>
          </w:tcPr>
          <w:p w14:paraId="570EAF6D">
            <w:pPr>
              <w:spacing w:line="360" w:lineRule="auto"/>
              <w:jc w:val="center"/>
              <w:rPr>
                <w:color w:val="000000"/>
                <w:sz w:val="24"/>
              </w:rPr>
            </w:pPr>
          </w:p>
        </w:tc>
        <w:tc>
          <w:tcPr>
            <w:tcW w:w="0" w:type="auto"/>
            <w:vAlign w:val="center"/>
          </w:tcPr>
          <w:p w14:paraId="6024C32A">
            <w:pPr>
              <w:spacing w:line="360" w:lineRule="auto"/>
              <w:jc w:val="center"/>
              <w:rPr>
                <w:color w:val="000000"/>
                <w:sz w:val="24"/>
              </w:rPr>
            </w:pPr>
          </w:p>
        </w:tc>
        <w:tc>
          <w:tcPr>
            <w:tcW w:w="0" w:type="auto"/>
            <w:vAlign w:val="center"/>
          </w:tcPr>
          <w:p w14:paraId="099C70FC">
            <w:pPr>
              <w:spacing w:line="360" w:lineRule="auto"/>
              <w:jc w:val="center"/>
              <w:rPr>
                <w:color w:val="000000"/>
                <w:sz w:val="24"/>
              </w:rPr>
            </w:pPr>
          </w:p>
        </w:tc>
        <w:tc>
          <w:tcPr>
            <w:tcW w:w="0" w:type="auto"/>
            <w:vAlign w:val="center"/>
          </w:tcPr>
          <w:p w14:paraId="405FE164">
            <w:pPr>
              <w:spacing w:line="360" w:lineRule="auto"/>
              <w:jc w:val="center"/>
              <w:rPr>
                <w:color w:val="000000"/>
                <w:sz w:val="24"/>
              </w:rPr>
            </w:pPr>
          </w:p>
        </w:tc>
        <w:tc>
          <w:tcPr>
            <w:tcW w:w="0" w:type="auto"/>
            <w:vAlign w:val="center"/>
          </w:tcPr>
          <w:p w14:paraId="210065C7">
            <w:pPr>
              <w:spacing w:line="360" w:lineRule="auto"/>
              <w:jc w:val="center"/>
              <w:rPr>
                <w:color w:val="000000"/>
                <w:sz w:val="24"/>
              </w:rPr>
            </w:pPr>
          </w:p>
        </w:tc>
        <w:tc>
          <w:tcPr>
            <w:tcW w:w="0" w:type="auto"/>
            <w:vAlign w:val="center"/>
          </w:tcPr>
          <w:p w14:paraId="78D664AE">
            <w:pPr>
              <w:spacing w:line="360" w:lineRule="auto"/>
              <w:jc w:val="center"/>
              <w:rPr>
                <w:color w:val="000000"/>
                <w:sz w:val="24"/>
              </w:rPr>
            </w:pPr>
          </w:p>
        </w:tc>
        <w:tc>
          <w:tcPr>
            <w:tcW w:w="0" w:type="auto"/>
            <w:vAlign w:val="center"/>
          </w:tcPr>
          <w:p w14:paraId="7BED450A">
            <w:pPr>
              <w:spacing w:line="360" w:lineRule="auto"/>
              <w:jc w:val="center"/>
              <w:rPr>
                <w:color w:val="000000"/>
                <w:sz w:val="24"/>
              </w:rPr>
            </w:pPr>
          </w:p>
        </w:tc>
        <w:tc>
          <w:tcPr>
            <w:tcW w:w="0" w:type="auto"/>
            <w:vAlign w:val="center"/>
          </w:tcPr>
          <w:p w14:paraId="54077AA8">
            <w:pPr>
              <w:spacing w:line="360" w:lineRule="auto"/>
              <w:jc w:val="center"/>
              <w:rPr>
                <w:color w:val="000000"/>
                <w:sz w:val="24"/>
              </w:rPr>
            </w:pPr>
          </w:p>
        </w:tc>
      </w:tr>
      <w:tr w14:paraId="5E3A5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5386425B">
            <w:pPr>
              <w:spacing w:line="360" w:lineRule="auto"/>
              <w:jc w:val="center"/>
              <w:rPr>
                <w:rFonts w:hint="default" w:eastAsia="宋体"/>
                <w:color w:val="000000"/>
                <w:sz w:val="24"/>
                <w:lang w:val="en-US" w:eastAsia="zh-CN"/>
              </w:rPr>
            </w:pPr>
            <w:r>
              <w:rPr>
                <w:rFonts w:hint="eastAsia"/>
                <w:color w:val="000000"/>
                <w:sz w:val="24"/>
                <w:lang w:val="en-US" w:eastAsia="zh-CN"/>
              </w:rPr>
              <w:t>人员费用合计</w:t>
            </w:r>
          </w:p>
        </w:tc>
        <w:tc>
          <w:tcPr>
            <w:tcW w:w="0" w:type="auto"/>
            <w:gridSpan w:val="5"/>
            <w:vAlign w:val="center"/>
          </w:tcPr>
          <w:p w14:paraId="58F9B79A">
            <w:pPr>
              <w:spacing w:line="360" w:lineRule="auto"/>
              <w:jc w:val="center"/>
              <w:rPr>
                <w:color w:val="000000"/>
                <w:sz w:val="24"/>
              </w:rPr>
            </w:pPr>
          </w:p>
        </w:tc>
      </w:tr>
      <w:tr w14:paraId="7E8A8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15BE5EAC">
            <w:pPr>
              <w:spacing w:line="360" w:lineRule="auto"/>
              <w:jc w:val="center"/>
              <w:rPr>
                <w:rFonts w:hint="default" w:eastAsia="宋体"/>
                <w:color w:val="000000"/>
                <w:sz w:val="24"/>
                <w:lang w:val="en-US" w:eastAsia="zh-CN"/>
              </w:rPr>
            </w:pPr>
            <w:r>
              <w:rPr>
                <w:rFonts w:hint="eastAsia"/>
                <w:color w:val="000000"/>
                <w:sz w:val="24"/>
                <w:lang w:val="en-US" w:eastAsia="zh-CN"/>
              </w:rPr>
              <w:t>住宿费用</w:t>
            </w:r>
          </w:p>
        </w:tc>
        <w:tc>
          <w:tcPr>
            <w:tcW w:w="0" w:type="auto"/>
            <w:gridSpan w:val="5"/>
            <w:vAlign w:val="center"/>
          </w:tcPr>
          <w:p w14:paraId="083024C6">
            <w:pPr>
              <w:spacing w:line="360" w:lineRule="auto"/>
              <w:jc w:val="center"/>
              <w:rPr>
                <w:rFonts w:hint="default" w:eastAsia="宋体"/>
                <w:color w:val="000000"/>
                <w:sz w:val="24"/>
                <w:lang w:val="en-US" w:eastAsia="zh-CN"/>
              </w:rPr>
            </w:pPr>
            <w:r>
              <w:rPr>
                <w:rFonts w:hint="eastAsia"/>
                <w:color w:val="000000"/>
                <w:sz w:val="24"/>
                <w:lang w:val="en-US" w:eastAsia="zh-CN"/>
              </w:rPr>
              <w:t>75000元</w:t>
            </w:r>
          </w:p>
        </w:tc>
      </w:tr>
      <w:tr w14:paraId="27ABE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75EF79E4">
            <w:pPr>
              <w:spacing w:line="360" w:lineRule="auto"/>
              <w:jc w:val="center"/>
              <w:rPr>
                <w:rFonts w:hint="default" w:eastAsia="宋体"/>
                <w:color w:val="000000"/>
                <w:sz w:val="24"/>
                <w:lang w:val="en-US" w:eastAsia="zh-CN"/>
              </w:rPr>
            </w:pPr>
            <w:r>
              <w:rPr>
                <w:rFonts w:hint="eastAsia"/>
                <w:color w:val="000000"/>
                <w:sz w:val="24"/>
                <w:lang w:val="en-US" w:eastAsia="zh-CN"/>
              </w:rPr>
              <w:t>法定节假日加班费、年休补贴费</w:t>
            </w:r>
          </w:p>
        </w:tc>
        <w:tc>
          <w:tcPr>
            <w:tcW w:w="0" w:type="auto"/>
            <w:gridSpan w:val="5"/>
            <w:vAlign w:val="center"/>
          </w:tcPr>
          <w:p w14:paraId="4DAFA61C">
            <w:pPr>
              <w:spacing w:line="360" w:lineRule="auto"/>
              <w:jc w:val="center"/>
              <w:rPr>
                <w:rFonts w:hint="default" w:eastAsia="宋体"/>
                <w:color w:val="000000"/>
                <w:sz w:val="24"/>
                <w:lang w:val="en-US" w:eastAsia="zh-CN"/>
              </w:rPr>
            </w:pPr>
            <w:r>
              <w:rPr>
                <w:rFonts w:hint="eastAsia"/>
                <w:color w:val="000000"/>
                <w:sz w:val="24"/>
                <w:lang w:val="en-US" w:eastAsia="zh-CN"/>
              </w:rPr>
              <w:t>300000元</w:t>
            </w:r>
          </w:p>
        </w:tc>
      </w:tr>
      <w:tr w14:paraId="30B6B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51AC2111">
            <w:pPr>
              <w:spacing w:line="360" w:lineRule="auto"/>
              <w:jc w:val="center"/>
              <w:rPr>
                <w:rFonts w:hint="default" w:eastAsia="宋体"/>
                <w:color w:val="000000"/>
                <w:sz w:val="24"/>
                <w:lang w:val="en-US" w:eastAsia="zh-CN"/>
              </w:rPr>
            </w:pPr>
            <w:r>
              <w:rPr>
                <w:rFonts w:hint="eastAsia"/>
                <w:color w:val="000000"/>
                <w:sz w:val="24"/>
                <w:lang w:val="en-US" w:eastAsia="zh-CN"/>
              </w:rPr>
              <w:t>其他费用（各类超时、临时任务加班费、兼职人员费用、器械服装购置费、人员证件复审费、激励奖等）</w:t>
            </w:r>
          </w:p>
        </w:tc>
        <w:tc>
          <w:tcPr>
            <w:tcW w:w="0" w:type="auto"/>
            <w:gridSpan w:val="5"/>
            <w:vAlign w:val="center"/>
          </w:tcPr>
          <w:p w14:paraId="1F6F755C">
            <w:pPr>
              <w:spacing w:line="360" w:lineRule="auto"/>
              <w:jc w:val="center"/>
              <w:rPr>
                <w:rFonts w:hint="default" w:eastAsia="宋体"/>
                <w:color w:val="000000"/>
                <w:sz w:val="24"/>
                <w:lang w:val="en-US" w:eastAsia="zh-CN"/>
              </w:rPr>
            </w:pPr>
            <w:r>
              <w:rPr>
                <w:rFonts w:hint="eastAsia"/>
                <w:color w:val="000000"/>
                <w:sz w:val="24"/>
                <w:lang w:val="en-US" w:eastAsia="zh-CN"/>
              </w:rPr>
              <w:t>400000元</w:t>
            </w:r>
          </w:p>
        </w:tc>
      </w:tr>
      <w:tr w14:paraId="12FB1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059C1B08">
            <w:pPr>
              <w:spacing w:line="360" w:lineRule="auto"/>
              <w:jc w:val="center"/>
              <w:rPr>
                <w:rFonts w:hint="eastAsia" w:eastAsia="宋体"/>
                <w:color w:val="000000"/>
                <w:sz w:val="24"/>
                <w:lang w:val="en-US" w:eastAsia="zh-CN"/>
              </w:rPr>
            </w:pPr>
            <w:r>
              <w:rPr>
                <w:rFonts w:hint="eastAsia"/>
                <w:color w:val="000000"/>
                <w:sz w:val="24"/>
                <w:lang w:val="en-US" w:eastAsia="zh-CN"/>
              </w:rPr>
              <w:t>管理费</w:t>
            </w:r>
          </w:p>
        </w:tc>
        <w:tc>
          <w:tcPr>
            <w:tcW w:w="0" w:type="auto"/>
            <w:gridSpan w:val="5"/>
            <w:vAlign w:val="center"/>
          </w:tcPr>
          <w:p w14:paraId="1CB96314">
            <w:pPr>
              <w:spacing w:line="360" w:lineRule="auto"/>
              <w:jc w:val="center"/>
              <w:rPr>
                <w:rFonts w:hint="default" w:eastAsia="宋体"/>
                <w:color w:val="000000"/>
                <w:sz w:val="24"/>
                <w:lang w:val="en-US" w:eastAsia="zh-CN"/>
              </w:rPr>
            </w:pPr>
            <w:r>
              <w:rPr>
                <w:rFonts w:hint="eastAsia"/>
                <w:color w:val="000000"/>
                <w:sz w:val="24"/>
                <w:lang w:val="en-US" w:eastAsia="zh-CN"/>
              </w:rPr>
              <w:t>请备注管理费费率：    %</w:t>
            </w:r>
          </w:p>
        </w:tc>
      </w:tr>
      <w:tr w14:paraId="16055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28B5C4A3">
            <w:pPr>
              <w:spacing w:line="360" w:lineRule="auto"/>
              <w:jc w:val="center"/>
              <w:rPr>
                <w:rFonts w:hint="eastAsia" w:eastAsia="宋体"/>
                <w:color w:val="000000"/>
                <w:sz w:val="24"/>
                <w:lang w:val="en-US" w:eastAsia="zh-CN"/>
              </w:rPr>
            </w:pPr>
            <w:r>
              <w:rPr>
                <w:rFonts w:hint="eastAsia"/>
                <w:color w:val="000000"/>
                <w:sz w:val="24"/>
                <w:lang w:val="en-US" w:eastAsia="zh-CN"/>
              </w:rPr>
              <w:t>税金</w:t>
            </w:r>
          </w:p>
        </w:tc>
        <w:tc>
          <w:tcPr>
            <w:tcW w:w="0" w:type="auto"/>
            <w:gridSpan w:val="5"/>
            <w:vAlign w:val="center"/>
          </w:tcPr>
          <w:p w14:paraId="2A6789DB">
            <w:pPr>
              <w:spacing w:line="360" w:lineRule="auto"/>
              <w:jc w:val="center"/>
              <w:rPr>
                <w:color w:val="000000"/>
                <w:sz w:val="24"/>
              </w:rPr>
            </w:pPr>
          </w:p>
        </w:tc>
      </w:tr>
      <w:tr w14:paraId="284CF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6BF99923">
            <w:pPr>
              <w:spacing w:line="360" w:lineRule="auto"/>
              <w:jc w:val="center"/>
              <w:rPr>
                <w:rFonts w:hint="default" w:eastAsia="宋体"/>
                <w:color w:val="000000"/>
                <w:sz w:val="24"/>
                <w:lang w:val="en-US" w:eastAsia="zh-CN"/>
              </w:rPr>
            </w:pPr>
            <w:r>
              <w:rPr>
                <w:rFonts w:hint="eastAsia"/>
                <w:color w:val="000000"/>
                <w:sz w:val="24"/>
                <w:lang w:val="en-US" w:eastAsia="zh-CN"/>
              </w:rPr>
              <w:t>单年投标总报价</w:t>
            </w:r>
          </w:p>
        </w:tc>
        <w:tc>
          <w:tcPr>
            <w:tcW w:w="0" w:type="auto"/>
            <w:gridSpan w:val="5"/>
            <w:vAlign w:val="center"/>
          </w:tcPr>
          <w:p w14:paraId="36E04625">
            <w:pPr>
              <w:spacing w:line="360" w:lineRule="auto"/>
              <w:jc w:val="center"/>
              <w:rPr>
                <w:color w:val="000000"/>
                <w:sz w:val="24"/>
              </w:rPr>
            </w:pPr>
          </w:p>
        </w:tc>
      </w:tr>
      <w:tr w14:paraId="6FB28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0" w:type="auto"/>
            <w:gridSpan w:val="6"/>
            <w:vAlign w:val="center"/>
          </w:tcPr>
          <w:p w14:paraId="2DC41044">
            <w:pPr>
              <w:spacing w:line="360" w:lineRule="auto"/>
              <w:jc w:val="center"/>
              <w:rPr>
                <w:rFonts w:hint="eastAsia"/>
                <w:color w:val="000000"/>
                <w:sz w:val="24"/>
                <w:lang w:val="en-US" w:eastAsia="zh-CN"/>
              </w:rPr>
            </w:pPr>
            <w:r>
              <w:rPr>
                <w:rFonts w:hint="eastAsia"/>
                <w:color w:val="000000"/>
                <w:sz w:val="24"/>
                <w:lang w:val="en-US" w:eastAsia="zh-CN"/>
              </w:rPr>
              <w:t>两年投标总报价</w:t>
            </w:r>
          </w:p>
        </w:tc>
        <w:tc>
          <w:tcPr>
            <w:tcW w:w="0" w:type="auto"/>
            <w:gridSpan w:val="5"/>
            <w:vAlign w:val="center"/>
          </w:tcPr>
          <w:p w14:paraId="45A75F05">
            <w:pPr>
              <w:spacing w:line="360" w:lineRule="auto"/>
              <w:jc w:val="center"/>
              <w:rPr>
                <w:color w:val="000000"/>
                <w:sz w:val="24"/>
              </w:rPr>
            </w:pPr>
          </w:p>
        </w:tc>
      </w:tr>
    </w:tbl>
    <w:p w14:paraId="214F27C7">
      <w:pPr>
        <w:pStyle w:val="694"/>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pPr>
      <w:r>
        <w:rPr>
          <w:rFonts w:hint="eastAsia" w:ascii="宋体" w:hAnsi="宋体" w:eastAsia="宋体" w:cs="宋体"/>
          <w:sz w:val="24"/>
          <w:szCs w:val="24"/>
        </w:rPr>
        <w:t>注：</w:t>
      </w:r>
      <w:r>
        <w:rPr>
          <w:rFonts w:hint="eastAsia" w:ascii="宋体" w:hAnsi="宋体" w:eastAsia="宋体" w:cs="宋体"/>
          <w:sz w:val="24"/>
          <w:szCs w:val="24"/>
          <w:highlight w:val="none"/>
        </w:rPr>
        <w:t>以上人员费用表为1年的各项费用组成，</w:t>
      </w:r>
      <w:r>
        <w:rPr>
          <w:rFonts w:hint="eastAsia" w:ascii="宋体" w:hAnsi="宋体" w:eastAsia="宋体" w:cs="宋体"/>
          <w:sz w:val="24"/>
          <w:szCs w:val="24"/>
          <w:highlight w:val="none"/>
          <w:lang w:val="en-US" w:eastAsia="zh-CN"/>
        </w:rPr>
        <w:t>具体说明如下：</w:t>
      </w:r>
      <w:r>
        <w:rPr>
          <w:rFonts w:hint="eastAsia" w:ascii="宋体" w:hAnsi="宋体" w:eastAsia="宋体" w:cs="宋体"/>
          <w:sz w:val="24"/>
          <w:szCs w:val="24"/>
          <w:highlight w:val="none"/>
        </w:rPr>
        <w:t>法定节假日加班费、年休补贴费用以投标当年杭州市区最低工资标准作为计取基数</w:t>
      </w:r>
      <w:r>
        <w:rPr>
          <w:rFonts w:hint="eastAsia" w:ascii="宋体" w:hAnsi="宋体" w:eastAsia="宋体" w:cs="宋体"/>
          <w:sz w:val="24"/>
          <w:szCs w:val="24"/>
          <w:highlight w:val="none"/>
          <w:lang w:val="en-US" w:eastAsia="zh-CN"/>
        </w:rPr>
        <w:t>，且年度累计支付金额原则上不得突破该项相应限额；</w:t>
      </w:r>
      <w:r>
        <w:rPr>
          <w:rFonts w:hint="eastAsia" w:ascii="宋体" w:hAnsi="宋体" w:eastAsia="宋体" w:cs="宋体"/>
          <w:sz w:val="24"/>
          <w:szCs w:val="24"/>
          <w:highlight w:val="none"/>
        </w:rPr>
        <w:t>管理费根据当月实际产生费用和投标百分比计算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住宿费用及其他费用根据实际产生结算，且年度累计支付金额原则上不得突破该项相应限额；年社保费按国家及地方政策规定的最低基数比例缴纳支付，如遇</w:t>
      </w:r>
      <w:r>
        <w:rPr>
          <w:rFonts w:hint="eastAsia" w:ascii="宋体" w:hAnsi="宋体" w:eastAsia="宋体" w:cs="宋体"/>
          <w:sz w:val="24"/>
          <w:szCs w:val="24"/>
          <w:highlight w:val="none"/>
        </w:rPr>
        <w:t>国家相关用工政策调整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则双方协商</w:t>
      </w:r>
      <w:r>
        <w:rPr>
          <w:rFonts w:hint="eastAsia" w:ascii="宋体" w:hAnsi="宋体" w:eastAsia="宋体" w:cs="宋体"/>
          <w:sz w:val="24"/>
          <w:szCs w:val="24"/>
          <w:highlight w:val="none"/>
          <w:lang w:val="en-US" w:eastAsia="zh-CN"/>
        </w:rPr>
        <w:t>一致</w:t>
      </w:r>
      <w:r>
        <w:rPr>
          <w:rFonts w:hint="eastAsia" w:ascii="宋体" w:hAnsi="宋体" w:eastAsia="宋体" w:cs="宋体"/>
          <w:sz w:val="24"/>
          <w:szCs w:val="24"/>
          <w:highlight w:val="none"/>
        </w:rPr>
        <w:t>后予以相应调整</w:t>
      </w:r>
      <w:r>
        <w:rPr>
          <w:rFonts w:hint="eastAsia" w:ascii="宋体" w:hAnsi="宋体" w:eastAsia="宋体" w:cs="宋体"/>
          <w:sz w:val="24"/>
          <w:szCs w:val="24"/>
          <w:highlight w:val="none"/>
          <w:lang w:eastAsia="zh-CN"/>
        </w:rPr>
        <w:t>；其余</w:t>
      </w:r>
      <w:r>
        <w:rPr>
          <w:rFonts w:hint="eastAsia" w:ascii="宋体" w:hAnsi="宋体" w:eastAsia="宋体" w:cs="宋体"/>
          <w:sz w:val="24"/>
          <w:szCs w:val="24"/>
          <w:highlight w:val="none"/>
        </w:rPr>
        <w:t>支付费用标准按照投标报价执行，但最终服务费用按实际发生结算。项目年度累计结算费用不得超过</w:t>
      </w:r>
      <w:r>
        <w:rPr>
          <w:rFonts w:hint="eastAsia" w:ascii="宋体" w:hAnsi="宋体" w:eastAsia="宋体" w:cs="宋体"/>
          <w:sz w:val="24"/>
          <w:szCs w:val="24"/>
          <w:highlight w:val="none"/>
          <w:lang w:val="en-US" w:eastAsia="zh-CN"/>
        </w:rPr>
        <w:t>单年</w:t>
      </w: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报价。</w:t>
      </w:r>
    </w:p>
    <w:p w14:paraId="0FDB8079">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0995715E">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1"/>
        <w:rPr>
          <w:rFonts w:hint="eastAsia" w:ascii="宋体" w:hAnsi="宋体" w:cs="宋体"/>
          <w:b/>
          <w:color w:val="auto"/>
          <w:sz w:val="24"/>
          <w:highlight w:val="none"/>
        </w:rPr>
      </w:pPr>
    </w:p>
    <w:p w14:paraId="1AA2EA6C">
      <w:pPr>
        <w:pStyle w:val="81"/>
        <w:rPr>
          <w:rFonts w:hint="eastAsia" w:ascii="宋体" w:hAnsi="宋体" w:cs="宋体"/>
          <w:b/>
          <w:color w:val="auto"/>
          <w:sz w:val="24"/>
          <w:highlight w:val="none"/>
        </w:rPr>
      </w:pPr>
    </w:p>
    <w:p w14:paraId="4AF87534">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16" w:name="OLE_LINK14"/>
      <w:bookmarkStart w:id="417" w:name="OLE_LINK13"/>
      <w:r>
        <w:rPr>
          <w:rFonts w:hint="eastAsia" w:ascii="宋体" w:hAnsi="宋体" w:cs="宋体"/>
          <w:b/>
          <w:color w:val="auto"/>
          <w:spacing w:val="6"/>
          <w:sz w:val="32"/>
          <w:szCs w:val="32"/>
          <w:highlight w:val="none"/>
        </w:rPr>
        <w:t>残疾人福利性单位声明函</w:t>
      </w:r>
    </w:p>
    <w:bookmarkEnd w:id="416"/>
    <w:bookmarkEnd w:id="41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杭州市丁桥医院后勤技术保障部分服务采购项目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BD1D21F">
      <w:pPr>
        <w:spacing w:line="360" w:lineRule="auto"/>
        <w:jc w:val="left"/>
        <w:rPr>
          <w:rFonts w:hint="eastAsia" w:ascii="宋体" w:hAnsi="宋体" w:cs="宋体"/>
          <w:b/>
          <w:color w:val="auto"/>
          <w:spacing w:val="6"/>
          <w:sz w:val="32"/>
          <w:szCs w:val="32"/>
          <w:highlight w:val="none"/>
        </w:rPr>
      </w:pPr>
    </w:p>
    <w:p w14:paraId="2BD99174">
      <w:pPr>
        <w:spacing w:line="360" w:lineRule="auto"/>
        <w:jc w:val="left"/>
        <w:rPr>
          <w:rFonts w:hint="eastAsia" w:ascii="宋体" w:hAnsi="宋体" w:cs="宋体"/>
          <w:b/>
          <w:color w:val="auto"/>
          <w:spacing w:val="6"/>
          <w:sz w:val="32"/>
          <w:szCs w:val="32"/>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D5438C3">
      <w:pPr>
        <w:spacing w:line="360" w:lineRule="auto"/>
        <w:rPr>
          <w:rFonts w:hint="eastAsia" w:ascii="宋体" w:hAnsi="宋体" w:cs="宋体"/>
          <w:b/>
          <w:color w:val="auto"/>
          <w:sz w:val="24"/>
          <w:highlight w:val="none"/>
        </w:rPr>
      </w:pPr>
    </w:p>
    <w:p w14:paraId="6C9CF5D7">
      <w:pPr>
        <w:spacing w:line="360" w:lineRule="auto"/>
        <w:rPr>
          <w:rFonts w:hint="eastAsia" w:ascii="宋体" w:hAnsi="宋体" w:cs="宋体"/>
          <w:b/>
          <w:color w:val="auto"/>
          <w:sz w:val="24"/>
          <w:highlight w:val="none"/>
        </w:rPr>
      </w:pPr>
    </w:p>
    <w:p w14:paraId="2BB63FC6">
      <w:pPr>
        <w:spacing w:line="360" w:lineRule="auto"/>
        <w:rPr>
          <w:rFonts w:hint="eastAsia" w:ascii="宋体" w:hAnsi="宋体" w:cs="宋体"/>
          <w:b/>
          <w:color w:val="auto"/>
          <w:sz w:val="24"/>
          <w:highlight w:val="none"/>
        </w:rPr>
      </w:pP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0CC783C1">
      <w:pPr>
        <w:spacing w:line="360" w:lineRule="auto"/>
        <w:jc w:val="left"/>
        <w:rPr>
          <w:rFonts w:hint="eastAsia" w:ascii="宋体" w:hAnsi="宋体" w:cs="宋体"/>
          <w:b/>
          <w:color w:val="auto"/>
          <w:spacing w:val="6"/>
          <w:sz w:val="32"/>
          <w:szCs w:val="32"/>
          <w:highlight w:val="none"/>
        </w:rPr>
      </w:pPr>
    </w:p>
    <w:p w14:paraId="364755E8">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9B6E4DC">
      <w:pPr>
        <w:spacing w:line="360" w:lineRule="auto"/>
        <w:rPr>
          <w:rFonts w:hint="eastAsia" w:ascii="宋体" w:hAnsi="宋体" w:cs="宋体"/>
          <w:b/>
          <w:color w:val="auto"/>
          <w:sz w:val="24"/>
          <w:highlight w:val="none"/>
        </w:rPr>
      </w:pP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3D8CB834">
      <w:pPr>
        <w:autoSpaceDE w:val="0"/>
        <w:autoSpaceDN w:val="0"/>
        <w:jc w:val="center"/>
        <w:rPr>
          <w:rFonts w:hint="eastAsia" w:ascii="宋体" w:hAnsi="宋体" w:cs="宋体"/>
          <w:b/>
          <w:color w:val="auto"/>
          <w:spacing w:val="6"/>
          <w:sz w:val="32"/>
          <w:szCs w:val="32"/>
          <w:highlight w:val="none"/>
        </w:rPr>
      </w:pPr>
    </w:p>
    <w:p w14:paraId="473EF253">
      <w:pPr>
        <w:autoSpaceDE w:val="0"/>
        <w:autoSpaceDN w:val="0"/>
        <w:jc w:val="center"/>
        <w:rPr>
          <w:rFonts w:hint="eastAsia" w:ascii="宋体" w:hAnsi="宋体" w:cs="宋体"/>
          <w:b/>
          <w:color w:val="auto"/>
          <w:spacing w:val="6"/>
          <w:sz w:val="32"/>
          <w:szCs w:val="32"/>
          <w:highlight w:val="none"/>
        </w:rPr>
      </w:pPr>
    </w:p>
    <w:p w14:paraId="2E236749">
      <w:pPr>
        <w:autoSpaceDE w:val="0"/>
        <w:autoSpaceDN w:val="0"/>
        <w:jc w:val="center"/>
        <w:rPr>
          <w:rFonts w:hint="eastAsia" w:ascii="宋体" w:hAnsi="宋体" w:cs="宋体"/>
          <w:b/>
          <w:color w:val="auto"/>
          <w:spacing w:val="6"/>
          <w:sz w:val="32"/>
          <w:szCs w:val="32"/>
          <w:highlight w:val="none"/>
        </w:rPr>
      </w:pPr>
    </w:p>
    <w:p w14:paraId="45B4A89A">
      <w:pPr>
        <w:autoSpaceDE w:val="0"/>
        <w:autoSpaceDN w:val="0"/>
        <w:jc w:val="center"/>
        <w:rPr>
          <w:rFonts w:hint="eastAsia" w:ascii="宋体" w:hAnsi="宋体" w:cs="宋体"/>
          <w:b/>
          <w:color w:val="auto"/>
          <w:spacing w:val="6"/>
          <w:sz w:val="32"/>
          <w:szCs w:val="32"/>
          <w:highlight w:val="none"/>
        </w:rPr>
      </w:pPr>
    </w:p>
    <w:p w14:paraId="5EE56428">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杭州市丁桥医院</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浙江豪圣建设项目管理有限公司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杭州市丁桥医院后勤技术保障部分服务采购项目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HSZB-2025-604</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6E9A397D">
      <w:pPr>
        <w:autoSpaceDE w:val="0"/>
        <w:autoSpaceDN w:val="0"/>
        <w:jc w:val="center"/>
        <w:rPr>
          <w:rFonts w:hint="eastAsia" w:ascii="宋体" w:hAnsi="宋体" w:cs="宋体"/>
          <w:b/>
          <w:color w:val="auto"/>
          <w:spacing w:val="6"/>
          <w:sz w:val="32"/>
          <w:szCs w:val="32"/>
          <w:highlight w:val="none"/>
        </w:rPr>
      </w:pPr>
    </w:p>
    <w:p w14:paraId="5E8B6CF8">
      <w:pPr>
        <w:autoSpaceDE w:val="0"/>
        <w:autoSpaceDN w:val="0"/>
        <w:jc w:val="center"/>
        <w:rPr>
          <w:rFonts w:hint="eastAsia" w:ascii="宋体" w:hAnsi="宋体" w:cs="宋体"/>
          <w:b/>
          <w:color w:val="auto"/>
          <w:spacing w:val="6"/>
          <w:sz w:val="32"/>
          <w:szCs w:val="32"/>
          <w:highlight w:val="none"/>
        </w:rPr>
      </w:pPr>
    </w:p>
    <w:p w14:paraId="71CA9073">
      <w:pPr>
        <w:autoSpaceDE w:val="0"/>
        <w:autoSpaceDN w:val="0"/>
        <w:jc w:val="center"/>
        <w:rPr>
          <w:rFonts w:hint="eastAsia" w:ascii="宋体" w:hAnsi="宋体" w:cs="宋体"/>
          <w:b/>
          <w:color w:val="auto"/>
          <w:spacing w:val="6"/>
          <w:sz w:val="32"/>
          <w:szCs w:val="32"/>
          <w:highlight w:val="none"/>
        </w:rPr>
      </w:pPr>
    </w:p>
    <w:p w14:paraId="19B47B28">
      <w:pPr>
        <w:autoSpaceDE w:val="0"/>
        <w:autoSpaceDN w:val="0"/>
        <w:jc w:val="center"/>
        <w:rPr>
          <w:rFonts w:hint="eastAsia" w:ascii="宋体" w:hAnsi="宋体" w:cs="宋体"/>
          <w:b/>
          <w:color w:val="auto"/>
          <w:spacing w:val="6"/>
          <w:sz w:val="32"/>
          <w:szCs w:val="32"/>
          <w:highlight w:val="none"/>
        </w:rPr>
      </w:pPr>
    </w:p>
    <w:p w14:paraId="49FA54F1">
      <w:pPr>
        <w:autoSpaceDE w:val="0"/>
        <w:autoSpaceDN w:val="0"/>
        <w:jc w:val="center"/>
        <w:rPr>
          <w:rFonts w:hint="eastAsia" w:ascii="宋体" w:hAnsi="宋体" w:cs="宋体"/>
          <w:b/>
          <w:color w:val="auto"/>
          <w:spacing w:val="6"/>
          <w:sz w:val="32"/>
          <w:szCs w:val="32"/>
          <w:highlight w:val="none"/>
        </w:rPr>
      </w:pPr>
    </w:p>
    <w:p w14:paraId="4D213343">
      <w:pPr>
        <w:autoSpaceDE w:val="0"/>
        <w:autoSpaceDN w:val="0"/>
        <w:jc w:val="center"/>
        <w:rPr>
          <w:rFonts w:hint="eastAsia" w:ascii="宋体" w:hAnsi="宋体" w:cs="宋体"/>
          <w:b/>
          <w:color w:val="auto"/>
          <w:spacing w:val="6"/>
          <w:sz w:val="32"/>
          <w:szCs w:val="32"/>
          <w:highlight w:val="none"/>
        </w:rPr>
      </w:pPr>
    </w:p>
    <w:p w14:paraId="7FFED5CA">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杭州市丁桥医院后勤技术保障部分服务采购项目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1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1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1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1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2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2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8EA845">
      <w:pPr>
        <w:snapToGrid w:val="0"/>
        <w:spacing w:line="360" w:lineRule="auto"/>
        <w:jc w:val="center"/>
        <w:rPr>
          <w:rFonts w:hint="eastAsia" w:ascii="宋体" w:hAnsi="宋体" w:cs="宋体"/>
          <w:b/>
          <w:color w:val="auto"/>
          <w:spacing w:val="6"/>
          <w:sz w:val="32"/>
          <w:szCs w:val="32"/>
          <w:highlight w:val="none"/>
        </w:rPr>
      </w:pPr>
    </w:p>
    <w:p w14:paraId="0DE66B7B">
      <w:pPr>
        <w:snapToGrid w:val="0"/>
        <w:spacing w:line="360" w:lineRule="auto"/>
        <w:jc w:val="center"/>
        <w:rPr>
          <w:rFonts w:hint="eastAsia" w:ascii="宋体" w:hAnsi="宋体" w:cs="宋体"/>
          <w:b/>
          <w:color w:val="auto"/>
          <w:spacing w:val="6"/>
          <w:sz w:val="32"/>
          <w:szCs w:val="32"/>
          <w:highlight w:val="none"/>
        </w:rPr>
      </w:pPr>
    </w:p>
    <w:p w14:paraId="5431F5B0">
      <w:pPr>
        <w:snapToGrid w:val="0"/>
        <w:spacing w:line="360" w:lineRule="auto"/>
        <w:jc w:val="center"/>
        <w:rPr>
          <w:rFonts w:hint="eastAsia" w:ascii="宋体" w:hAnsi="宋体" w:cs="宋体"/>
          <w:b/>
          <w:color w:val="auto"/>
          <w:spacing w:val="6"/>
          <w:sz w:val="32"/>
          <w:szCs w:val="32"/>
          <w:highlight w:val="none"/>
        </w:rPr>
      </w:pPr>
    </w:p>
    <w:p w14:paraId="09C556DA">
      <w:pPr>
        <w:snapToGrid w:val="0"/>
        <w:spacing w:line="360" w:lineRule="auto"/>
        <w:jc w:val="center"/>
        <w:rPr>
          <w:rFonts w:hint="eastAsia" w:ascii="宋体" w:hAnsi="宋体" w:cs="宋体"/>
          <w:b/>
          <w:color w:val="auto"/>
          <w:spacing w:val="6"/>
          <w:sz w:val="32"/>
          <w:szCs w:val="32"/>
          <w:highlight w:val="none"/>
        </w:rPr>
      </w:pPr>
    </w:p>
    <w:p w14:paraId="4C7DF329">
      <w:pPr>
        <w:snapToGrid w:val="0"/>
        <w:spacing w:line="360" w:lineRule="auto"/>
        <w:jc w:val="center"/>
        <w:rPr>
          <w:rFonts w:hint="eastAsia" w:ascii="宋体" w:hAnsi="宋体" w:cs="宋体"/>
          <w:b/>
          <w:color w:val="auto"/>
          <w:spacing w:val="6"/>
          <w:sz w:val="32"/>
          <w:szCs w:val="32"/>
          <w:highlight w:val="none"/>
        </w:rPr>
      </w:pP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杭州市丁桥医院后勤技术保障部分服务采购项目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HSZB-2025-604</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544D6D61">
      <w:pPr>
        <w:spacing w:line="360" w:lineRule="auto"/>
        <w:jc w:val="left"/>
        <w:outlineLvl w:val="0"/>
        <w:rPr>
          <w:rFonts w:hint="eastAsia" w:ascii="宋体" w:hAnsi="宋体" w:cs="宋体"/>
          <w:b/>
          <w:color w:val="auto"/>
          <w:sz w:val="36"/>
          <w:szCs w:val="20"/>
          <w:highlight w:val="none"/>
        </w:rPr>
      </w:pPr>
    </w:p>
    <w:p w14:paraId="4D0021F2">
      <w:pPr>
        <w:spacing w:line="360" w:lineRule="auto"/>
        <w:jc w:val="left"/>
        <w:outlineLvl w:val="0"/>
        <w:rPr>
          <w:rFonts w:hint="eastAsia" w:ascii="宋体" w:hAnsi="宋体" w:cs="宋体"/>
          <w:b/>
          <w:color w:val="auto"/>
          <w:sz w:val="36"/>
          <w:szCs w:val="20"/>
          <w:highlight w:val="none"/>
        </w:rPr>
      </w:pPr>
    </w:p>
    <w:p w14:paraId="522BE805">
      <w:pPr>
        <w:spacing w:line="360" w:lineRule="auto"/>
        <w:jc w:val="left"/>
        <w:outlineLvl w:val="0"/>
        <w:rPr>
          <w:rFonts w:hint="eastAsia" w:ascii="宋体" w:hAnsi="宋体" w:cs="宋体"/>
          <w:b/>
          <w:color w:val="auto"/>
          <w:sz w:val="36"/>
          <w:szCs w:val="20"/>
          <w:highlight w:val="none"/>
        </w:rPr>
      </w:pPr>
    </w:p>
    <w:p w14:paraId="5C8D3F24">
      <w:pPr>
        <w:spacing w:line="360" w:lineRule="auto"/>
        <w:jc w:val="left"/>
        <w:outlineLvl w:val="0"/>
        <w:rPr>
          <w:rFonts w:hint="eastAsia" w:ascii="宋体" w:hAnsi="宋体" w:cs="宋体"/>
          <w:b/>
          <w:color w:val="auto"/>
          <w:sz w:val="36"/>
          <w:szCs w:val="20"/>
          <w:highlight w:val="none"/>
        </w:rPr>
      </w:pPr>
    </w:p>
    <w:p w14:paraId="6CC22D28">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杭州市丁桥医院</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杭州市丁桥医院后勤技术保障部分服务采购项目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杭州市丁桥医院后勤技术保障部分服务采购项目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kern w:val="0"/>
          <w:sz w:val="24"/>
          <w:u w:val="single"/>
        </w:rPr>
        <w:t>其他未列明行业</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75944B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3"/>
      </w:rPr>
    </w:pPr>
    <w:r>
      <w:fldChar w:fldCharType="begin"/>
    </w:r>
    <w:r>
      <w:rPr>
        <w:rStyle w:val="73"/>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21" w:name="_Toc91899912"/>
    <w:bookmarkStart w:id="422" w:name="_Toc131845147"/>
    <w:bookmarkStart w:id="423" w:name="_Toc164085800"/>
    <w:bookmarkStart w:id="424" w:name="_Toc36110187"/>
    <w:r>
      <w:rPr>
        <w:rFonts w:hint="eastAsia" w:ascii="仿宋_GB2312" w:eastAsia="仿宋_GB2312"/>
        <w:kern w:val="0"/>
        <w:szCs w:val="21"/>
      </w:rPr>
      <w:t xml:space="preserve"> 页</w:t>
    </w:r>
    <w:bookmarkEnd w:id="421"/>
    <w:bookmarkEnd w:id="422"/>
    <w:bookmarkEnd w:id="423"/>
    <w:bookmarkEnd w:id="4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3"/>
      </w:rPr>
    </w:pPr>
    <w:r>
      <w:fldChar w:fldCharType="begin"/>
    </w:r>
    <w:r>
      <w:rPr>
        <w:rStyle w:val="73"/>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84A"/>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B87"/>
    <w:rsid w:val="011F6449"/>
    <w:rsid w:val="01236AFB"/>
    <w:rsid w:val="019F7441"/>
    <w:rsid w:val="01B37585"/>
    <w:rsid w:val="01BB5A85"/>
    <w:rsid w:val="01D55165"/>
    <w:rsid w:val="01DE2912"/>
    <w:rsid w:val="01DF6BF8"/>
    <w:rsid w:val="01EC2C57"/>
    <w:rsid w:val="025F0711"/>
    <w:rsid w:val="026B2E25"/>
    <w:rsid w:val="02824D4D"/>
    <w:rsid w:val="02DC4B10"/>
    <w:rsid w:val="02DD76CE"/>
    <w:rsid w:val="02F36323"/>
    <w:rsid w:val="02F5619C"/>
    <w:rsid w:val="0326446A"/>
    <w:rsid w:val="032D5555"/>
    <w:rsid w:val="03396571"/>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541027"/>
    <w:rsid w:val="0779354C"/>
    <w:rsid w:val="077B6931"/>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50B64"/>
    <w:rsid w:val="09772C16"/>
    <w:rsid w:val="098353B5"/>
    <w:rsid w:val="09A92330"/>
    <w:rsid w:val="09B06B87"/>
    <w:rsid w:val="09C13146"/>
    <w:rsid w:val="09E04166"/>
    <w:rsid w:val="0A1C0718"/>
    <w:rsid w:val="0A314687"/>
    <w:rsid w:val="0A3E7710"/>
    <w:rsid w:val="0A4E70E3"/>
    <w:rsid w:val="0A5B7E63"/>
    <w:rsid w:val="0AA374A5"/>
    <w:rsid w:val="0AAB7649"/>
    <w:rsid w:val="0ABC5606"/>
    <w:rsid w:val="0AF30130"/>
    <w:rsid w:val="0B30404E"/>
    <w:rsid w:val="0B4C6C14"/>
    <w:rsid w:val="0B547599"/>
    <w:rsid w:val="0B631A88"/>
    <w:rsid w:val="0B683D45"/>
    <w:rsid w:val="0B7F3F11"/>
    <w:rsid w:val="0B884417"/>
    <w:rsid w:val="0BA852CC"/>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17B3B"/>
    <w:rsid w:val="0DD63300"/>
    <w:rsid w:val="0DF50604"/>
    <w:rsid w:val="0DF702FE"/>
    <w:rsid w:val="0E060E51"/>
    <w:rsid w:val="0E07617E"/>
    <w:rsid w:val="0E2855BD"/>
    <w:rsid w:val="0E5604B2"/>
    <w:rsid w:val="0E6B438E"/>
    <w:rsid w:val="0E6D5D79"/>
    <w:rsid w:val="0E9D0089"/>
    <w:rsid w:val="0EB803EE"/>
    <w:rsid w:val="0EF94D4B"/>
    <w:rsid w:val="0F44530B"/>
    <w:rsid w:val="0F4958DC"/>
    <w:rsid w:val="0F515DF7"/>
    <w:rsid w:val="0F596BA8"/>
    <w:rsid w:val="0F6248D2"/>
    <w:rsid w:val="0F693536"/>
    <w:rsid w:val="0F7B0511"/>
    <w:rsid w:val="0F7B76D9"/>
    <w:rsid w:val="0F816ACD"/>
    <w:rsid w:val="0F9832DB"/>
    <w:rsid w:val="0FBF3FD2"/>
    <w:rsid w:val="0FBF7FF3"/>
    <w:rsid w:val="104141B1"/>
    <w:rsid w:val="10646583"/>
    <w:rsid w:val="1071384D"/>
    <w:rsid w:val="107D4B15"/>
    <w:rsid w:val="108A3C80"/>
    <w:rsid w:val="10C26171"/>
    <w:rsid w:val="10F33360"/>
    <w:rsid w:val="10FC16EA"/>
    <w:rsid w:val="110F1D40"/>
    <w:rsid w:val="11266F33"/>
    <w:rsid w:val="113B44EC"/>
    <w:rsid w:val="1144683A"/>
    <w:rsid w:val="118963A1"/>
    <w:rsid w:val="11C6522A"/>
    <w:rsid w:val="11E104CC"/>
    <w:rsid w:val="11E20309"/>
    <w:rsid w:val="12255233"/>
    <w:rsid w:val="12530213"/>
    <w:rsid w:val="127723A9"/>
    <w:rsid w:val="12862074"/>
    <w:rsid w:val="12883966"/>
    <w:rsid w:val="129E45B4"/>
    <w:rsid w:val="12C329EB"/>
    <w:rsid w:val="12D81596"/>
    <w:rsid w:val="13072A44"/>
    <w:rsid w:val="132A2A6A"/>
    <w:rsid w:val="135F4BE2"/>
    <w:rsid w:val="139B1A0A"/>
    <w:rsid w:val="139D25C7"/>
    <w:rsid w:val="13A12593"/>
    <w:rsid w:val="13BF3CE4"/>
    <w:rsid w:val="13CE750E"/>
    <w:rsid w:val="141008D8"/>
    <w:rsid w:val="14125FE6"/>
    <w:rsid w:val="146D271E"/>
    <w:rsid w:val="14982588"/>
    <w:rsid w:val="149A5AD9"/>
    <w:rsid w:val="14A7619D"/>
    <w:rsid w:val="14C227B2"/>
    <w:rsid w:val="150536C3"/>
    <w:rsid w:val="150C1963"/>
    <w:rsid w:val="151447A0"/>
    <w:rsid w:val="15257097"/>
    <w:rsid w:val="154A6454"/>
    <w:rsid w:val="15762120"/>
    <w:rsid w:val="15F5735F"/>
    <w:rsid w:val="16A8729C"/>
    <w:rsid w:val="16B33777"/>
    <w:rsid w:val="16B34625"/>
    <w:rsid w:val="16BC70A7"/>
    <w:rsid w:val="16C6339E"/>
    <w:rsid w:val="17061B57"/>
    <w:rsid w:val="172F2D79"/>
    <w:rsid w:val="17557BEF"/>
    <w:rsid w:val="17D349C1"/>
    <w:rsid w:val="18016BC3"/>
    <w:rsid w:val="18291542"/>
    <w:rsid w:val="1830729E"/>
    <w:rsid w:val="1870062C"/>
    <w:rsid w:val="18817102"/>
    <w:rsid w:val="18830A15"/>
    <w:rsid w:val="18852B28"/>
    <w:rsid w:val="188B5321"/>
    <w:rsid w:val="19932372"/>
    <w:rsid w:val="19A20DD5"/>
    <w:rsid w:val="19A5109C"/>
    <w:rsid w:val="19AE03F1"/>
    <w:rsid w:val="1A071A03"/>
    <w:rsid w:val="1A1F16AE"/>
    <w:rsid w:val="1A3B5C77"/>
    <w:rsid w:val="1A984BAD"/>
    <w:rsid w:val="1AB8220E"/>
    <w:rsid w:val="1ADD35C8"/>
    <w:rsid w:val="1AE4166C"/>
    <w:rsid w:val="1AF06CFB"/>
    <w:rsid w:val="1AF11B8D"/>
    <w:rsid w:val="1B11359C"/>
    <w:rsid w:val="1B2A271F"/>
    <w:rsid w:val="1B373F76"/>
    <w:rsid w:val="1B530544"/>
    <w:rsid w:val="1B713184"/>
    <w:rsid w:val="1BA209CF"/>
    <w:rsid w:val="1BB4777D"/>
    <w:rsid w:val="1BCA4DEA"/>
    <w:rsid w:val="1BD75AB8"/>
    <w:rsid w:val="1C0459C2"/>
    <w:rsid w:val="1C1B3B4A"/>
    <w:rsid w:val="1C88086E"/>
    <w:rsid w:val="1C9A4EF8"/>
    <w:rsid w:val="1CCA1E4A"/>
    <w:rsid w:val="1D105F13"/>
    <w:rsid w:val="1D266CE1"/>
    <w:rsid w:val="1D3963AF"/>
    <w:rsid w:val="1D6A673C"/>
    <w:rsid w:val="1D777A02"/>
    <w:rsid w:val="1D8E0B42"/>
    <w:rsid w:val="1D9247AE"/>
    <w:rsid w:val="1DB567EC"/>
    <w:rsid w:val="1DF51A98"/>
    <w:rsid w:val="1E3D060F"/>
    <w:rsid w:val="1E3F7D2E"/>
    <w:rsid w:val="1E4134E4"/>
    <w:rsid w:val="1E5062B3"/>
    <w:rsid w:val="1E523514"/>
    <w:rsid w:val="1E714A66"/>
    <w:rsid w:val="1E802593"/>
    <w:rsid w:val="1E8B6156"/>
    <w:rsid w:val="1EA703CC"/>
    <w:rsid w:val="1EB7330C"/>
    <w:rsid w:val="1EFD7285"/>
    <w:rsid w:val="1F0A0FF3"/>
    <w:rsid w:val="1F122543"/>
    <w:rsid w:val="1F5771FF"/>
    <w:rsid w:val="1F9A2D26"/>
    <w:rsid w:val="1FBA1788"/>
    <w:rsid w:val="1FD52DD5"/>
    <w:rsid w:val="1FE868A9"/>
    <w:rsid w:val="20034907"/>
    <w:rsid w:val="20173E4B"/>
    <w:rsid w:val="204E48BC"/>
    <w:rsid w:val="208921B3"/>
    <w:rsid w:val="20973DEB"/>
    <w:rsid w:val="20B26522"/>
    <w:rsid w:val="20B44310"/>
    <w:rsid w:val="2107263D"/>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A5F446"/>
    <w:rsid w:val="23B64EC2"/>
    <w:rsid w:val="23B908A4"/>
    <w:rsid w:val="23E95BEF"/>
    <w:rsid w:val="23FD0064"/>
    <w:rsid w:val="244C66FF"/>
    <w:rsid w:val="245375B0"/>
    <w:rsid w:val="24642C0A"/>
    <w:rsid w:val="24B22173"/>
    <w:rsid w:val="24B95AD9"/>
    <w:rsid w:val="24BE24DA"/>
    <w:rsid w:val="24CF5825"/>
    <w:rsid w:val="24D663E6"/>
    <w:rsid w:val="24D77F2B"/>
    <w:rsid w:val="25320BFF"/>
    <w:rsid w:val="258B00E2"/>
    <w:rsid w:val="25A917A6"/>
    <w:rsid w:val="25BE27CC"/>
    <w:rsid w:val="25F74A5C"/>
    <w:rsid w:val="2628662C"/>
    <w:rsid w:val="262D45DE"/>
    <w:rsid w:val="26871DC8"/>
    <w:rsid w:val="26A53EF9"/>
    <w:rsid w:val="26A94201"/>
    <w:rsid w:val="26AC274F"/>
    <w:rsid w:val="26F21BA3"/>
    <w:rsid w:val="27044A29"/>
    <w:rsid w:val="271D34C8"/>
    <w:rsid w:val="276142BF"/>
    <w:rsid w:val="27783712"/>
    <w:rsid w:val="27907362"/>
    <w:rsid w:val="282D4584"/>
    <w:rsid w:val="28333E1D"/>
    <w:rsid w:val="28454BD6"/>
    <w:rsid w:val="28455253"/>
    <w:rsid w:val="28551971"/>
    <w:rsid w:val="285B1C53"/>
    <w:rsid w:val="289F315B"/>
    <w:rsid w:val="289F7086"/>
    <w:rsid w:val="28C32028"/>
    <w:rsid w:val="28CC490F"/>
    <w:rsid w:val="28DE40AA"/>
    <w:rsid w:val="29345E77"/>
    <w:rsid w:val="294251C9"/>
    <w:rsid w:val="294C65AD"/>
    <w:rsid w:val="29806583"/>
    <w:rsid w:val="298B3C4C"/>
    <w:rsid w:val="29F26D24"/>
    <w:rsid w:val="2A15033F"/>
    <w:rsid w:val="2A1662C1"/>
    <w:rsid w:val="2A1C7367"/>
    <w:rsid w:val="2A2815FA"/>
    <w:rsid w:val="2A6D6092"/>
    <w:rsid w:val="2A7D76B4"/>
    <w:rsid w:val="2B2660F8"/>
    <w:rsid w:val="2B437463"/>
    <w:rsid w:val="2B7807EE"/>
    <w:rsid w:val="2BA50BF7"/>
    <w:rsid w:val="2BBF00EC"/>
    <w:rsid w:val="2BC37CFD"/>
    <w:rsid w:val="2BD5237F"/>
    <w:rsid w:val="2BE536CE"/>
    <w:rsid w:val="2BE758D9"/>
    <w:rsid w:val="2C09049E"/>
    <w:rsid w:val="2C0A653C"/>
    <w:rsid w:val="2C191F85"/>
    <w:rsid w:val="2C601AF8"/>
    <w:rsid w:val="2CAB7455"/>
    <w:rsid w:val="2CE82D6F"/>
    <w:rsid w:val="2D343236"/>
    <w:rsid w:val="2DBB4593"/>
    <w:rsid w:val="2DD15014"/>
    <w:rsid w:val="2DD80383"/>
    <w:rsid w:val="2DF72DE4"/>
    <w:rsid w:val="2E0220AF"/>
    <w:rsid w:val="2E4B082A"/>
    <w:rsid w:val="2E5D4E86"/>
    <w:rsid w:val="2E5D790B"/>
    <w:rsid w:val="2E9A3C18"/>
    <w:rsid w:val="2EBB0FEE"/>
    <w:rsid w:val="2EC63002"/>
    <w:rsid w:val="2F0A6B38"/>
    <w:rsid w:val="2F946CCB"/>
    <w:rsid w:val="2FD25781"/>
    <w:rsid w:val="2FDA48BA"/>
    <w:rsid w:val="2FDC745C"/>
    <w:rsid w:val="2FFD7934"/>
    <w:rsid w:val="30733ACD"/>
    <w:rsid w:val="308C3862"/>
    <w:rsid w:val="309379D8"/>
    <w:rsid w:val="30A270F7"/>
    <w:rsid w:val="30DF1478"/>
    <w:rsid w:val="30E36B95"/>
    <w:rsid w:val="30EC586F"/>
    <w:rsid w:val="310402C4"/>
    <w:rsid w:val="314550B7"/>
    <w:rsid w:val="319C6071"/>
    <w:rsid w:val="31AC537E"/>
    <w:rsid w:val="31BE5977"/>
    <w:rsid w:val="31E3679B"/>
    <w:rsid w:val="31E732FD"/>
    <w:rsid w:val="31FC33CC"/>
    <w:rsid w:val="32517576"/>
    <w:rsid w:val="3291539D"/>
    <w:rsid w:val="32BE5C2C"/>
    <w:rsid w:val="32C0408B"/>
    <w:rsid w:val="32FB6478"/>
    <w:rsid w:val="33263B3F"/>
    <w:rsid w:val="33294694"/>
    <w:rsid w:val="336963EB"/>
    <w:rsid w:val="33816EEB"/>
    <w:rsid w:val="33934EC5"/>
    <w:rsid w:val="33EB55CD"/>
    <w:rsid w:val="33EC4C02"/>
    <w:rsid w:val="340D2360"/>
    <w:rsid w:val="3410665D"/>
    <w:rsid w:val="34211214"/>
    <w:rsid w:val="342E63AB"/>
    <w:rsid w:val="344649D6"/>
    <w:rsid w:val="345D5BA7"/>
    <w:rsid w:val="34950E68"/>
    <w:rsid w:val="34986E94"/>
    <w:rsid w:val="34AF62C9"/>
    <w:rsid w:val="34CB4388"/>
    <w:rsid w:val="34DD6C8D"/>
    <w:rsid w:val="34FA6E12"/>
    <w:rsid w:val="354D7158"/>
    <w:rsid w:val="358D5588"/>
    <w:rsid w:val="363A3B40"/>
    <w:rsid w:val="365302AE"/>
    <w:rsid w:val="36607A0A"/>
    <w:rsid w:val="366E227C"/>
    <w:rsid w:val="366F2E0D"/>
    <w:rsid w:val="367B6A5C"/>
    <w:rsid w:val="36A74ADA"/>
    <w:rsid w:val="36AD60D5"/>
    <w:rsid w:val="36B224F9"/>
    <w:rsid w:val="36EC0CC9"/>
    <w:rsid w:val="373F410B"/>
    <w:rsid w:val="37A34A15"/>
    <w:rsid w:val="37EE7094"/>
    <w:rsid w:val="38296C89"/>
    <w:rsid w:val="383002EB"/>
    <w:rsid w:val="38586797"/>
    <w:rsid w:val="38BC0149"/>
    <w:rsid w:val="38D87D1C"/>
    <w:rsid w:val="39636459"/>
    <w:rsid w:val="396B7F6C"/>
    <w:rsid w:val="39755F3E"/>
    <w:rsid w:val="39B417A9"/>
    <w:rsid w:val="39FC5695"/>
    <w:rsid w:val="3A006D8E"/>
    <w:rsid w:val="3A3651E5"/>
    <w:rsid w:val="3A744481"/>
    <w:rsid w:val="3A8C7BEF"/>
    <w:rsid w:val="3A906246"/>
    <w:rsid w:val="3B2349B7"/>
    <w:rsid w:val="3B616CFF"/>
    <w:rsid w:val="3B6259F6"/>
    <w:rsid w:val="3B976654"/>
    <w:rsid w:val="3B9C1EA7"/>
    <w:rsid w:val="3BB42FEE"/>
    <w:rsid w:val="3BBF5CFB"/>
    <w:rsid w:val="3BC01EFC"/>
    <w:rsid w:val="3BCA786A"/>
    <w:rsid w:val="3BD31E2F"/>
    <w:rsid w:val="3BF15831"/>
    <w:rsid w:val="3C105946"/>
    <w:rsid w:val="3C1D466B"/>
    <w:rsid w:val="3C471448"/>
    <w:rsid w:val="3C5F759A"/>
    <w:rsid w:val="3C6C525A"/>
    <w:rsid w:val="3C7A1ECB"/>
    <w:rsid w:val="3CCE23CB"/>
    <w:rsid w:val="3CD17D17"/>
    <w:rsid w:val="3D3C7F39"/>
    <w:rsid w:val="3D440F09"/>
    <w:rsid w:val="3D4504A0"/>
    <w:rsid w:val="3D8734BB"/>
    <w:rsid w:val="3D9A11D4"/>
    <w:rsid w:val="3DA16D89"/>
    <w:rsid w:val="3DA364BE"/>
    <w:rsid w:val="3DC84517"/>
    <w:rsid w:val="3DE041CB"/>
    <w:rsid w:val="3DF3A738"/>
    <w:rsid w:val="3E0D48F6"/>
    <w:rsid w:val="3E1868B4"/>
    <w:rsid w:val="3E330175"/>
    <w:rsid w:val="3E377251"/>
    <w:rsid w:val="3E42664B"/>
    <w:rsid w:val="3E5A7334"/>
    <w:rsid w:val="3E6E6475"/>
    <w:rsid w:val="3E7B5D6B"/>
    <w:rsid w:val="3E843E66"/>
    <w:rsid w:val="3E8F51FE"/>
    <w:rsid w:val="3E926F87"/>
    <w:rsid w:val="3E9A59DE"/>
    <w:rsid w:val="3EA5765F"/>
    <w:rsid w:val="3EAF4836"/>
    <w:rsid w:val="3EC33DFA"/>
    <w:rsid w:val="3F060E16"/>
    <w:rsid w:val="3F1D1096"/>
    <w:rsid w:val="3F2F0234"/>
    <w:rsid w:val="3F3568EC"/>
    <w:rsid w:val="3F6363FE"/>
    <w:rsid w:val="3F756B8F"/>
    <w:rsid w:val="3F7E8434"/>
    <w:rsid w:val="3F95482B"/>
    <w:rsid w:val="3FAC42F5"/>
    <w:rsid w:val="4019356B"/>
    <w:rsid w:val="40592157"/>
    <w:rsid w:val="406E1CAE"/>
    <w:rsid w:val="40A0133A"/>
    <w:rsid w:val="40AB1671"/>
    <w:rsid w:val="40C31A53"/>
    <w:rsid w:val="40FF545D"/>
    <w:rsid w:val="410067C8"/>
    <w:rsid w:val="418F0D2A"/>
    <w:rsid w:val="41D01505"/>
    <w:rsid w:val="42474939"/>
    <w:rsid w:val="424C3C57"/>
    <w:rsid w:val="42613FF3"/>
    <w:rsid w:val="42660D96"/>
    <w:rsid w:val="428667D2"/>
    <w:rsid w:val="42927B60"/>
    <w:rsid w:val="42CD1CE0"/>
    <w:rsid w:val="42E1381E"/>
    <w:rsid w:val="42ED6459"/>
    <w:rsid w:val="42FE58DD"/>
    <w:rsid w:val="43174B3D"/>
    <w:rsid w:val="43282273"/>
    <w:rsid w:val="434B790E"/>
    <w:rsid w:val="4360274F"/>
    <w:rsid w:val="43977AB6"/>
    <w:rsid w:val="43A3342B"/>
    <w:rsid w:val="43C77C27"/>
    <w:rsid w:val="43DE09EE"/>
    <w:rsid w:val="43E96A97"/>
    <w:rsid w:val="44002FAD"/>
    <w:rsid w:val="441C16FE"/>
    <w:rsid w:val="44315157"/>
    <w:rsid w:val="449101DD"/>
    <w:rsid w:val="44DE1391"/>
    <w:rsid w:val="4507035D"/>
    <w:rsid w:val="451B225C"/>
    <w:rsid w:val="452410C9"/>
    <w:rsid w:val="45317DFB"/>
    <w:rsid w:val="456D3CE4"/>
    <w:rsid w:val="4579042C"/>
    <w:rsid w:val="457F0571"/>
    <w:rsid w:val="45851176"/>
    <w:rsid w:val="45C63B94"/>
    <w:rsid w:val="45F0507D"/>
    <w:rsid w:val="460E7DA5"/>
    <w:rsid w:val="46422483"/>
    <w:rsid w:val="4659254A"/>
    <w:rsid w:val="465B0637"/>
    <w:rsid w:val="465E3F0D"/>
    <w:rsid w:val="466A16E6"/>
    <w:rsid w:val="46893F2B"/>
    <w:rsid w:val="46C4686E"/>
    <w:rsid w:val="477B778F"/>
    <w:rsid w:val="478203EC"/>
    <w:rsid w:val="47B025FA"/>
    <w:rsid w:val="47B731F5"/>
    <w:rsid w:val="47BC567F"/>
    <w:rsid w:val="4809698F"/>
    <w:rsid w:val="4811697D"/>
    <w:rsid w:val="487A3E25"/>
    <w:rsid w:val="488B5503"/>
    <w:rsid w:val="48937E21"/>
    <w:rsid w:val="489A0361"/>
    <w:rsid w:val="48B94FF3"/>
    <w:rsid w:val="48E37AAB"/>
    <w:rsid w:val="48ED2767"/>
    <w:rsid w:val="48FD4B4C"/>
    <w:rsid w:val="490A68E0"/>
    <w:rsid w:val="491055FE"/>
    <w:rsid w:val="495F5B3E"/>
    <w:rsid w:val="496F77D7"/>
    <w:rsid w:val="497654FD"/>
    <w:rsid w:val="49B64211"/>
    <w:rsid w:val="49E56AF9"/>
    <w:rsid w:val="49EF5898"/>
    <w:rsid w:val="49F6167F"/>
    <w:rsid w:val="4A064FA0"/>
    <w:rsid w:val="4A16615C"/>
    <w:rsid w:val="4A4424D7"/>
    <w:rsid w:val="4AB82D0F"/>
    <w:rsid w:val="4AEB7664"/>
    <w:rsid w:val="4AFD7C19"/>
    <w:rsid w:val="4B0567D1"/>
    <w:rsid w:val="4B236AAE"/>
    <w:rsid w:val="4B65492A"/>
    <w:rsid w:val="4B707271"/>
    <w:rsid w:val="4B7D23CB"/>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D43C9F"/>
    <w:rsid w:val="4FE625E0"/>
    <w:rsid w:val="5021480F"/>
    <w:rsid w:val="50962ECB"/>
    <w:rsid w:val="50A42E38"/>
    <w:rsid w:val="50A4577F"/>
    <w:rsid w:val="50B73D1F"/>
    <w:rsid w:val="50BD5BC9"/>
    <w:rsid w:val="50C11EEE"/>
    <w:rsid w:val="50E802D7"/>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DF1365"/>
    <w:rsid w:val="53F65A75"/>
    <w:rsid w:val="54013861"/>
    <w:rsid w:val="5404023B"/>
    <w:rsid w:val="54487265"/>
    <w:rsid w:val="544D6070"/>
    <w:rsid w:val="54605E1E"/>
    <w:rsid w:val="548231FD"/>
    <w:rsid w:val="54B3506A"/>
    <w:rsid w:val="54CA0D16"/>
    <w:rsid w:val="54DD4057"/>
    <w:rsid w:val="54E7490F"/>
    <w:rsid w:val="550764A4"/>
    <w:rsid w:val="550B2BF6"/>
    <w:rsid w:val="55214EB5"/>
    <w:rsid w:val="55364EFD"/>
    <w:rsid w:val="55546456"/>
    <w:rsid w:val="555D4828"/>
    <w:rsid w:val="557A4C8B"/>
    <w:rsid w:val="558666E5"/>
    <w:rsid w:val="558931E1"/>
    <w:rsid w:val="55923347"/>
    <w:rsid w:val="55925180"/>
    <w:rsid w:val="55983B1B"/>
    <w:rsid w:val="55A8376B"/>
    <w:rsid w:val="55D516E0"/>
    <w:rsid w:val="55DC29B6"/>
    <w:rsid w:val="55DD4241"/>
    <w:rsid w:val="56513437"/>
    <w:rsid w:val="565C10AE"/>
    <w:rsid w:val="566B6D1E"/>
    <w:rsid w:val="569E48CE"/>
    <w:rsid w:val="57032A2C"/>
    <w:rsid w:val="570F5219"/>
    <w:rsid w:val="575D12B5"/>
    <w:rsid w:val="57610A87"/>
    <w:rsid w:val="576507C5"/>
    <w:rsid w:val="577B1140"/>
    <w:rsid w:val="577B7F21"/>
    <w:rsid w:val="577F181B"/>
    <w:rsid w:val="57921984"/>
    <w:rsid w:val="579737F0"/>
    <w:rsid w:val="57AB7B30"/>
    <w:rsid w:val="57AD33F1"/>
    <w:rsid w:val="57AF5251"/>
    <w:rsid w:val="57B26373"/>
    <w:rsid w:val="57B63F04"/>
    <w:rsid w:val="57CD20C2"/>
    <w:rsid w:val="57D675AB"/>
    <w:rsid w:val="57D95FDD"/>
    <w:rsid w:val="58917D2F"/>
    <w:rsid w:val="5894085C"/>
    <w:rsid w:val="58AE4F0C"/>
    <w:rsid w:val="58B85899"/>
    <w:rsid w:val="58E363A9"/>
    <w:rsid w:val="59381C91"/>
    <w:rsid w:val="595E1678"/>
    <w:rsid w:val="596D5BD4"/>
    <w:rsid w:val="597E3DD8"/>
    <w:rsid w:val="59BB7545"/>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139CE"/>
    <w:rsid w:val="5B9E2B54"/>
    <w:rsid w:val="5C02690E"/>
    <w:rsid w:val="5C196DA7"/>
    <w:rsid w:val="5C2A048C"/>
    <w:rsid w:val="5C80234E"/>
    <w:rsid w:val="5C8A680C"/>
    <w:rsid w:val="5CF35D1E"/>
    <w:rsid w:val="5CF90E99"/>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BD37BE"/>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6D448D"/>
    <w:rsid w:val="6182292A"/>
    <w:rsid w:val="619F7F92"/>
    <w:rsid w:val="61F94C26"/>
    <w:rsid w:val="62000E56"/>
    <w:rsid w:val="624F3E49"/>
    <w:rsid w:val="62632286"/>
    <w:rsid w:val="62885958"/>
    <w:rsid w:val="62E33340"/>
    <w:rsid w:val="62F40B65"/>
    <w:rsid w:val="62FC2CFE"/>
    <w:rsid w:val="62FF4020"/>
    <w:rsid w:val="63024505"/>
    <w:rsid w:val="635600A5"/>
    <w:rsid w:val="635B1DB5"/>
    <w:rsid w:val="63711FED"/>
    <w:rsid w:val="63880DDC"/>
    <w:rsid w:val="638D750D"/>
    <w:rsid w:val="63AC6CC0"/>
    <w:rsid w:val="63BEF30A"/>
    <w:rsid w:val="64055776"/>
    <w:rsid w:val="64240056"/>
    <w:rsid w:val="643E143A"/>
    <w:rsid w:val="64491666"/>
    <w:rsid w:val="647238AC"/>
    <w:rsid w:val="647D020E"/>
    <w:rsid w:val="648B6EEF"/>
    <w:rsid w:val="64C158BF"/>
    <w:rsid w:val="64CE2EAA"/>
    <w:rsid w:val="650E0E71"/>
    <w:rsid w:val="653C3090"/>
    <w:rsid w:val="65854376"/>
    <w:rsid w:val="658767BE"/>
    <w:rsid w:val="65876E75"/>
    <w:rsid w:val="65892531"/>
    <w:rsid w:val="659550EE"/>
    <w:rsid w:val="66195831"/>
    <w:rsid w:val="662E75B1"/>
    <w:rsid w:val="66342C2E"/>
    <w:rsid w:val="663A49AB"/>
    <w:rsid w:val="663E784C"/>
    <w:rsid w:val="668B6A45"/>
    <w:rsid w:val="67011F07"/>
    <w:rsid w:val="67115D74"/>
    <w:rsid w:val="672F3F24"/>
    <w:rsid w:val="673E055F"/>
    <w:rsid w:val="67551CE3"/>
    <w:rsid w:val="67A22552"/>
    <w:rsid w:val="67B22DCC"/>
    <w:rsid w:val="67BE71AA"/>
    <w:rsid w:val="67D90273"/>
    <w:rsid w:val="67DE5875"/>
    <w:rsid w:val="67E55852"/>
    <w:rsid w:val="67EB1AB4"/>
    <w:rsid w:val="67FA1285"/>
    <w:rsid w:val="68551F4F"/>
    <w:rsid w:val="6873723D"/>
    <w:rsid w:val="687C10C9"/>
    <w:rsid w:val="68840C16"/>
    <w:rsid w:val="68872541"/>
    <w:rsid w:val="68876EFB"/>
    <w:rsid w:val="68884654"/>
    <w:rsid w:val="68941DCB"/>
    <w:rsid w:val="689F444F"/>
    <w:rsid w:val="68B96DBB"/>
    <w:rsid w:val="68CA2805"/>
    <w:rsid w:val="68E937A3"/>
    <w:rsid w:val="691664E5"/>
    <w:rsid w:val="693E15D3"/>
    <w:rsid w:val="69450BD9"/>
    <w:rsid w:val="69627681"/>
    <w:rsid w:val="6977531D"/>
    <w:rsid w:val="69CC2BFF"/>
    <w:rsid w:val="69FD55B8"/>
    <w:rsid w:val="6A0B1C62"/>
    <w:rsid w:val="6A2406C8"/>
    <w:rsid w:val="6A896156"/>
    <w:rsid w:val="6ADE0BD1"/>
    <w:rsid w:val="6AE96859"/>
    <w:rsid w:val="6B147746"/>
    <w:rsid w:val="6B1A0B73"/>
    <w:rsid w:val="6B24787C"/>
    <w:rsid w:val="6B573233"/>
    <w:rsid w:val="6B5B6274"/>
    <w:rsid w:val="6B7C465A"/>
    <w:rsid w:val="6B935D53"/>
    <w:rsid w:val="6C196F71"/>
    <w:rsid w:val="6C226FCB"/>
    <w:rsid w:val="6C31226F"/>
    <w:rsid w:val="6C552F0B"/>
    <w:rsid w:val="6C8C67B7"/>
    <w:rsid w:val="6C951E7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ED50C51"/>
    <w:rsid w:val="6F1F10E3"/>
    <w:rsid w:val="6F2A7D94"/>
    <w:rsid w:val="6F8331F1"/>
    <w:rsid w:val="6FA44F4E"/>
    <w:rsid w:val="6FAE1A09"/>
    <w:rsid w:val="6FD42CB7"/>
    <w:rsid w:val="6FD75BF8"/>
    <w:rsid w:val="704B4683"/>
    <w:rsid w:val="707723D0"/>
    <w:rsid w:val="70DE6CE2"/>
    <w:rsid w:val="70F5661B"/>
    <w:rsid w:val="71360107"/>
    <w:rsid w:val="713B688E"/>
    <w:rsid w:val="71D43752"/>
    <w:rsid w:val="71D874D1"/>
    <w:rsid w:val="71F1796A"/>
    <w:rsid w:val="72154626"/>
    <w:rsid w:val="72262B5D"/>
    <w:rsid w:val="72283FF7"/>
    <w:rsid w:val="722E7212"/>
    <w:rsid w:val="723A0474"/>
    <w:rsid w:val="723B294B"/>
    <w:rsid w:val="725923E4"/>
    <w:rsid w:val="72864BF7"/>
    <w:rsid w:val="729023FC"/>
    <w:rsid w:val="72D67462"/>
    <w:rsid w:val="72EA0C55"/>
    <w:rsid w:val="73C0646E"/>
    <w:rsid w:val="73E7CF11"/>
    <w:rsid w:val="7420249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2635B"/>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148D9"/>
    <w:rsid w:val="78F846CC"/>
    <w:rsid w:val="7904172F"/>
    <w:rsid w:val="790F7E27"/>
    <w:rsid w:val="792A231A"/>
    <w:rsid w:val="79316829"/>
    <w:rsid w:val="793B22BA"/>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F86DF"/>
    <w:rsid w:val="7B5A2978"/>
    <w:rsid w:val="7B5A7E4C"/>
    <w:rsid w:val="7B667AF9"/>
    <w:rsid w:val="7B7468F8"/>
    <w:rsid w:val="7BA9702E"/>
    <w:rsid w:val="7BD63A52"/>
    <w:rsid w:val="7BEE0103"/>
    <w:rsid w:val="7C0A0FE4"/>
    <w:rsid w:val="7C254906"/>
    <w:rsid w:val="7C590818"/>
    <w:rsid w:val="7C7C10F6"/>
    <w:rsid w:val="7C853BEA"/>
    <w:rsid w:val="7C881368"/>
    <w:rsid w:val="7C8915E7"/>
    <w:rsid w:val="7CD47A92"/>
    <w:rsid w:val="7CE27788"/>
    <w:rsid w:val="7D0C32F1"/>
    <w:rsid w:val="7D0F408D"/>
    <w:rsid w:val="7D491C6C"/>
    <w:rsid w:val="7D5429C0"/>
    <w:rsid w:val="7D6E6D43"/>
    <w:rsid w:val="7D733B0F"/>
    <w:rsid w:val="7DB57A34"/>
    <w:rsid w:val="7DE60973"/>
    <w:rsid w:val="7DEF0916"/>
    <w:rsid w:val="7E1E5218"/>
    <w:rsid w:val="7E5A3F95"/>
    <w:rsid w:val="7E9A4E1F"/>
    <w:rsid w:val="7EA7723A"/>
    <w:rsid w:val="7EF56FBB"/>
    <w:rsid w:val="7F0768EB"/>
    <w:rsid w:val="7F143BEC"/>
    <w:rsid w:val="7F715AF2"/>
    <w:rsid w:val="7F886E69"/>
    <w:rsid w:val="7FE32453"/>
    <w:rsid w:val="7FFFC40A"/>
    <w:rsid w:val="BB7FA927"/>
    <w:rsid w:val="BD5F0DCD"/>
    <w:rsid w:val="DBEB9C2C"/>
    <w:rsid w:val="EEEA1041"/>
    <w:rsid w:val="F5FFD31F"/>
    <w:rsid w:val="F6EFB1BB"/>
    <w:rsid w:val="F6FF6924"/>
    <w:rsid w:val="FBBF6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22"/>
    <w:qFormat/>
    <w:uiPriority w:val="0"/>
    <w:pPr>
      <w:ind w:firstLine="420"/>
    </w:pPr>
    <w:rPr>
      <w:rFonts w:hAnsi="Calibri" w:cs="Times New Roman"/>
      <w:snapToGrid/>
      <w:szCs w:val="20"/>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envelope return"/>
    <w:basedOn w:val="1"/>
    <w:unhideWhenUsed/>
    <w:qFormat/>
    <w:uiPriority w:val="99"/>
    <w:pPr>
      <w:snapToGrid w:val="0"/>
    </w:pPr>
    <w:rPr>
      <w:rFonts w:ascii="Arial" w:hAnsi="Arial"/>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3"/>
    <w:qFormat/>
    <w:uiPriority w:val="0"/>
    <w:pPr>
      <w:spacing w:after="120" w:line="480" w:lineRule="auto"/>
    </w:pPr>
  </w:style>
  <w:style w:type="paragraph" w:styleId="58">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7"/>
    <w:qFormat/>
    <w:uiPriority w:val="0"/>
    <w:rPr>
      <w:b/>
      <w:bCs/>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0"/>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8"/>
    <w:qFormat/>
    <w:uiPriority w:val="0"/>
    <w:rPr>
      <w:rFonts w:ascii="黑体" w:hAnsi="Courier New" w:eastAsia="黑体"/>
    </w:rPr>
  </w:style>
  <w:style w:type="character" w:customStyle="1" w:styleId="303">
    <w:name w:val="正文文本 2 Char1"/>
    <w:link w:val="57"/>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Normal_12"/>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967">
    <w:name w:val="Normal_18"/>
    <w:qFormat/>
    <w:uiPriority w:val="0"/>
    <w:pPr>
      <w:spacing w:before="120" w:after="240"/>
      <w:jc w:val="both"/>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886</Words>
  <Characters>1009</Characters>
  <Lines>281</Lines>
  <Paragraphs>79</Paragraphs>
  <TotalTime>21</TotalTime>
  <ScaleCrop>false</ScaleCrop>
  <LinksUpToDate>false</LinksUpToDate>
  <CharactersWithSpaces>1116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2021-08-04T00:22:00Z</dcterms:created>
  <dc:creator>玥</dc:creator>
  <cp:lastModifiedBy>豪圣</cp:lastModifiedBy>
  <cp:lastPrinted>2022-01-01T03:06:00Z</cp:lastPrinted>
  <dcterms:modified xsi:type="dcterms:W3CDTF">2025-06-30T04:23:22Z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eyJoZGlkIjoiZTE2MDA2MGQ0NzE3ZWRkZTE1OTkxZTlmNzYxZjQwNzUiLCJ1c2VySWQiOiI3OTI1NTY2MzkifQ==</vt:lpwstr>
  </property>
</Properties>
</file>