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49E1E4">
      <w:pPr>
        <w:spacing w:line="360" w:lineRule="auto"/>
        <w:jc w:val="center"/>
        <w:rPr>
          <w:rFonts w:hint="eastAsia" w:ascii="仿宋" w:hAnsi="仿宋" w:eastAsia="仿宋" w:cs="仿宋"/>
          <w:b/>
          <w:color w:val="auto"/>
          <w:sz w:val="24"/>
          <w:highlight w:val="none"/>
        </w:rPr>
      </w:pPr>
      <w:bookmarkStart w:id="168" w:name="_GoBack"/>
    </w:p>
    <w:p w14:paraId="2E7F3367">
      <w:pPr>
        <w:adjustRightInd/>
        <w:spacing w:line="360" w:lineRule="auto"/>
        <w:jc w:val="center"/>
        <w:rPr>
          <w:rFonts w:hint="eastAsia" w:ascii="仿宋" w:hAnsi="仿宋" w:eastAsia="仿宋" w:cs="仿宋"/>
          <w:b/>
          <w:color w:val="auto"/>
          <w:sz w:val="48"/>
          <w:szCs w:val="48"/>
          <w:highlight w:val="none"/>
          <w:lang w:eastAsia="zh-CN"/>
        </w:rPr>
      </w:pPr>
    </w:p>
    <w:p w14:paraId="107E8B61">
      <w:pPr>
        <w:adjustRightInd/>
        <w:spacing w:line="360" w:lineRule="auto"/>
        <w:jc w:val="center"/>
        <w:rPr>
          <w:rFonts w:hint="eastAsia" w:ascii="仿宋" w:hAnsi="仿宋" w:eastAsia="仿宋" w:cs="仿宋"/>
          <w:b/>
          <w:color w:val="auto"/>
          <w:sz w:val="52"/>
          <w:szCs w:val="52"/>
          <w:highlight w:val="none"/>
          <w:lang w:eastAsia="zh-CN"/>
        </w:rPr>
      </w:pPr>
      <w:r>
        <w:rPr>
          <w:rFonts w:hint="eastAsia" w:ascii="仿宋" w:hAnsi="仿宋" w:eastAsia="仿宋" w:cs="仿宋"/>
          <w:b/>
          <w:color w:val="auto"/>
          <w:sz w:val="52"/>
          <w:szCs w:val="52"/>
          <w:highlight w:val="none"/>
          <w:lang w:eastAsia="zh-CN"/>
        </w:rPr>
        <w:t>建德经济开发区管理委员会2025年-2026年安全生产社会化服务采购项目</w:t>
      </w:r>
    </w:p>
    <w:p w14:paraId="30F30CB3">
      <w:pPr>
        <w:pStyle w:val="60"/>
        <w:rPr>
          <w:rFonts w:hint="eastAsia" w:ascii="仿宋" w:hAnsi="仿宋" w:eastAsia="仿宋" w:cs="仿宋"/>
          <w:color w:val="auto"/>
          <w:highlight w:val="none"/>
          <w:lang w:val="zh-CN"/>
        </w:rPr>
      </w:pPr>
    </w:p>
    <w:p w14:paraId="1F4B689A">
      <w:pPr>
        <w:adjustRightInd/>
        <w:spacing w:line="360" w:lineRule="auto"/>
        <w:jc w:val="center"/>
        <w:rPr>
          <w:rFonts w:hint="eastAsia" w:ascii="仿宋" w:hAnsi="仿宋" w:eastAsia="仿宋" w:cs="仿宋"/>
          <w:b/>
          <w:color w:val="auto"/>
          <w:sz w:val="72"/>
          <w:szCs w:val="72"/>
          <w:highlight w:val="none"/>
        </w:rPr>
      </w:pPr>
      <w:r>
        <w:rPr>
          <w:rFonts w:hint="eastAsia" w:ascii="仿宋" w:hAnsi="仿宋" w:eastAsia="仿宋" w:cs="仿宋"/>
          <w:b/>
          <w:bCs/>
          <w:color w:val="auto"/>
          <w:w w:val="95"/>
          <w:sz w:val="72"/>
          <w:szCs w:val="72"/>
          <w:highlight w:val="none"/>
          <w:lang w:val="zh-CN"/>
        </w:rPr>
        <w:t>竞争性磋商</w:t>
      </w:r>
      <w:r>
        <w:rPr>
          <w:rFonts w:hint="eastAsia" w:ascii="仿宋" w:hAnsi="仿宋" w:eastAsia="仿宋" w:cs="仿宋"/>
          <w:b/>
          <w:color w:val="auto"/>
          <w:sz w:val="72"/>
          <w:szCs w:val="72"/>
          <w:highlight w:val="none"/>
        </w:rPr>
        <w:t>文件</w:t>
      </w:r>
    </w:p>
    <w:p w14:paraId="59D115B8">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（电子交易）</w:t>
      </w:r>
    </w:p>
    <w:p w14:paraId="03A67BA0">
      <w:pPr>
        <w:snapToGrid w:val="0"/>
        <w:spacing w:line="360" w:lineRule="auto"/>
        <w:jc w:val="center"/>
        <w:rPr>
          <w:rFonts w:hint="eastAsia" w:ascii="仿宋" w:hAnsi="仿宋" w:eastAsia="仿宋" w:cs="仿宋"/>
          <w:color w:val="auto"/>
          <w:sz w:val="30"/>
          <w:szCs w:val="30"/>
          <w:highlight w:val="none"/>
        </w:rPr>
      </w:pPr>
    </w:p>
    <w:p w14:paraId="753FF26C">
      <w:pPr>
        <w:snapToGrid w:val="0"/>
        <w:spacing w:line="360" w:lineRule="auto"/>
        <w:jc w:val="center"/>
        <w:rPr>
          <w:rFonts w:hint="default" w:ascii="仿宋" w:hAnsi="仿宋" w:eastAsia="仿宋" w:cs="仿宋"/>
          <w:color w:val="auto"/>
          <w:sz w:val="30"/>
          <w:szCs w:val="30"/>
          <w:highlight w:val="none"/>
          <w:lang w:val="en-US"/>
        </w:rPr>
      </w:pPr>
      <w:r>
        <w:rPr>
          <w:rFonts w:hint="eastAsia" w:ascii="仿宋" w:hAnsi="仿宋" w:eastAsia="仿宋" w:cs="仿宋"/>
          <w:color w:val="auto"/>
          <w:sz w:val="30"/>
          <w:szCs w:val="30"/>
          <w:highlight w:val="none"/>
        </w:rPr>
        <w:t>项目编号:</w:t>
      </w:r>
      <w:r>
        <w:rPr>
          <w:rFonts w:hint="eastAsia" w:ascii="仿宋" w:hAnsi="仿宋" w:eastAsia="仿宋" w:cs="仿宋"/>
          <w:color w:val="auto"/>
          <w:sz w:val="30"/>
          <w:szCs w:val="30"/>
          <w:highlight w:val="none"/>
          <w:lang w:eastAsia="zh-CN"/>
        </w:rPr>
        <w:t>JD2025BF-080</w:t>
      </w:r>
    </w:p>
    <w:p w14:paraId="058732B5">
      <w:pPr>
        <w:adjustRightInd/>
        <w:spacing w:line="360" w:lineRule="auto"/>
        <w:rPr>
          <w:rFonts w:hint="eastAsia" w:ascii="仿宋" w:hAnsi="仿宋" w:eastAsia="仿宋" w:cs="仿宋"/>
          <w:color w:val="auto"/>
          <w:sz w:val="28"/>
          <w:szCs w:val="20"/>
          <w:highlight w:val="none"/>
        </w:rPr>
      </w:pPr>
    </w:p>
    <w:p w14:paraId="5FAE1573">
      <w:pPr>
        <w:spacing w:line="360" w:lineRule="auto"/>
        <w:jc w:val="center"/>
        <w:rPr>
          <w:rFonts w:hint="eastAsia" w:ascii="仿宋" w:hAnsi="仿宋" w:eastAsia="仿宋" w:cs="仿宋"/>
          <w:color w:val="auto"/>
          <w:sz w:val="24"/>
          <w:highlight w:val="none"/>
        </w:rPr>
      </w:pPr>
    </w:p>
    <w:p w14:paraId="4732CCEF">
      <w:pPr>
        <w:spacing w:line="360" w:lineRule="auto"/>
        <w:jc w:val="center"/>
        <w:rPr>
          <w:rFonts w:hint="eastAsia" w:ascii="仿宋" w:hAnsi="仿宋" w:eastAsia="仿宋" w:cs="仿宋"/>
          <w:color w:val="auto"/>
          <w:sz w:val="24"/>
          <w:highlight w:val="none"/>
        </w:rPr>
      </w:pPr>
    </w:p>
    <w:p w14:paraId="75237D0A">
      <w:pPr>
        <w:pStyle w:val="185"/>
        <w:widowControl w:val="0"/>
        <w:spacing w:before="0" w:beforeAutospacing="0" w:after="0" w:afterAutospacing="0" w:line="360" w:lineRule="auto"/>
        <w:textAlignment w:val="auto"/>
        <w:rPr>
          <w:rFonts w:hint="eastAsia" w:ascii="仿宋" w:hAnsi="仿宋" w:eastAsia="仿宋" w:cs="仿宋"/>
          <w:color w:val="auto"/>
          <w:kern w:val="2"/>
          <w:highlight w:val="none"/>
        </w:rPr>
      </w:pPr>
    </w:p>
    <w:p w14:paraId="54B1528B">
      <w:pPr>
        <w:pStyle w:val="185"/>
        <w:widowControl w:val="0"/>
        <w:spacing w:before="0" w:beforeAutospacing="0" w:after="0" w:afterAutospacing="0" w:line="360" w:lineRule="auto"/>
        <w:textAlignment w:val="auto"/>
        <w:rPr>
          <w:rFonts w:hint="eastAsia" w:ascii="仿宋" w:hAnsi="仿宋" w:eastAsia="仿宋" w:cs="仿宋"/>
          <w:color w:val="auto"/>
          <w:kern w:val="2"/>
          <w:highlight w:val="none"/>
        </w:rPr>
      </w:pPr>
    </w:p>
    <w:p w14:paraId="5FFF6455">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                                      </w:t>
      </w:r>
    </w:p>
    <w:p w14:paraId="49E0DF50">
      <w:pPr>
        <w:snapToGrid w:val="0"/>
        <w:spacing w:line="360" w:lineRule="auto"/>
        <w:jc w:val="center"/>
        <w:rPr>
          <w:rFonts w:hint="eastAsia" w:ascii="仿宋" w:hAnsi="仿宋" w:eastAsia="仿宋" w:cs="仿宋"/>
          <w:color w:val="auto"/>
          <w:sz w:val="32"/>
          <w:szCs w:val="32"/>
          <w:highlight w:val="none"/>
        </w:rPr>
      </w:pPr>
    </w:p>
    <w:tbl>
      <w:tblPr>
        <w:tblStyle w:val="62"/>
        <w:tblW w:w="8354" w:type="dxa"/>
        <w:jc w:val="center"/>
        <w:tblLayout w:type="fixed"/>
        <w:tblCellMar>
          <w:top w:w="0" w:type="dxa"/>
          <w:left w:w="108" w:type="dxa"/>
          <w:bottom w:w="0" w:type="dxa"/>
          <w:right w:w="108" w:type="dxa"/>
        </w:tblCellMar>
      </w:tblPr>
      <w:tblGrid>
        <w:gridCol w:w="2032"/>
        <w:gridCol w:w="516"/>
        <w:gridCol w:w="5806"/>
      </w:tblGrid>
      <w:tr w14:paraId="438E5F0A">
        <w:tblPrEx>
          <w:tblCellMar>
            <w:top w:w="0" w:type="dxa"/>
            <w:left w:w="108" w:type="dxa"/>
            <w:bottom w:w="0" w:type="dxa"/>
            <w:right w:w="108" w:type="dxa"/>
          </w:tblCellMar>
        </w:tblPrEx>
        <w:trPr>
          <w:trHeight w:val="680" w:hRule="atLeast"/>
          <w:jc w:val="center"/>
        </w:trPr>
        <w:tc>
          <w:tcPr>
            <w:tcW w:w="2032" w:type="dxa"/>
            <w:vAlign w:val="center"/>
          </w:tcPr>
          <w:p w14:paraId="3AE1CA50">
            <w:pPr>
              <w:snapToGrid w:val="0"/>
              <w:jc w:val="distribute"/>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采购人</w:t>
            </w:r>
          </w:p>
        </w:tc>
        <w:tc>
          <w:tcPr>
            <w:tcW w:w="516" w:type="dxa"/>
            <w:vAlign w:val="center"/>
          </w:tcPr>
          <w:p w14:paraId="21683ED3">
            <w:pPr>
              <w:snapToGrid w:val="0"/>
              <w:jc w:val="distribute"/>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tc>
        <w:tc>
          <w:tcPr>
            <w:tcW w:w="5806" w:type="dxa"/>
            <w:vAlign w:val="center"/>
          </w:tcPr>
          <w:p w14:paraId="1EC8A78C">
            <w:pPr>
              <w:snapToGrid w:val="0"/>
              <w:jc w:val="distribute"/>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建德经济开发区管理委员会</w:t>
            </w:r>
          </w:p>
        </w:tc>
      </w:tr>
      <w:tr w14:paraId="55CCE34B">
        <w:tblPrEx>
          <w:tblCellMar>
            <w:top w:w="0" w:type="dxa"/>
            <w:left w:w="108" w:type="dxa"/>
            <w:bottom w:w="0" w:type="dxa"/>
            <w:right w:w="108" w:type="dxa"/>
          </w:tblCellMar>
        </w:tblPrEx>
        <w:trPr>
          <w:trHeight w:val="297" w:hRule="atLeast"/>
          <w:jc w:val="center"/>
        </w:trPr>
        <w:tc>
          <w:tcPr>
            <w:tcW w:w="2032" w:type="dxa"/>
            <w:vAlign w:val="center"/>
          </w:tcPr>
          <w:p w14:paraId="5A7C5B5E">
            <w:pPr>
              <w:snapToGrid w:val="0"/>
              <w:jc w:val="distribute"/>
              <w:rPr>
                <w:rFonts w:hint="eastAsia" w:ascii="仿宋" w:hAnsi="仿宋" w:eastAsia="仿宋" w:cs="仿宋"/>
                <w:color w:val="auto"/>
                <w:szCs w:val="21"/>
                <w:highlight w:val="none"/>
              </w:rPr>
            </w:pPr>
          </w:p>
        </w:tc>
        <w:tc>
          <w:tcPr>
            <w:tcW w:w="516" w:type="dxa"/>
            <w:vAlign w:val="center"/>
          </w:tcPr>
          <w:p w14:paraId="0BFA85ED">
            <w:pPr>
              <w:snapToGrid w:val="0"/>
              <w:jc w:val="distribute"/>
              <w:rPr>
                <w:rFonts w:hint="eastAsia" w:ascii="仿宋" w:hAnsi="仿宋" w:eastAsia="仿宋" w:cs="仿宋"/>
                <w:color w:val="auto"/>
                <w:szCs w:val="21"/>
                <w:highlight w:val="none"/>
              </w:rPr>
            </w:pPr>
          </w:p>
        </w:tc>
        <w:tc>
          <w:tcPr>
            <w:tcW w:w="5806" w:type="dxa"/>
            <w:vAlign w:val="center"/>
          </w:tcPr>
          <w:p w14:paraId="510700BC">
            <w:pPr>
              <w:snapToGrid w:val="0"/>
              <w:jc w:val="distribute"/>
              <w:rPr>
                <w:rFonts w:hint="eastAsia" w:ascii="仿宋" w:hAnsi="仿宋" w:eastAsia="仿宋" w:cs="仿宋"/>
                <w:color w:val="auto"/>
                <w:szCs w:val="21"/>
                <w:highlight w:val="none"/>
              </w:rPr>
            </w:pPr>
          </w:p>
        </w:tc>
      </w:tr>
      <w:tr w14:paraId="2F2F8304">
        <w:tblPrEx>
          <w:tblCellMar>
            <w:top w:w="0" w:type="dxa"/>
            <w:left w:w="108" w:type="dxa"/>
            <w:bottom w:w="0" w:type="dxa"/>
            <w:right w:w="108" w:type="dxa"/>
          </w:tblCellMar>
        </w:tblPrEx>
        <w:trPr>
          <w:trHeight w:val="680" w:hRule="atLeast"/>
          <w:jc w:val="center"/>
        </w:trPr>
        <w:tc>
          <w:tcPr>
            <w:tcW w:w="2032" w:type="dxa"/>
            <w:vAlign w:val="center"/>
          </w:tcPr>
          <w:p w14:paraId="4F7016AB">
            <w:pPr>
              <w:snapToGrid w:val="0"/>
              <w:jc w:val="distribute"/>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采购代理机构</w:t>
            </w:r>
          </w:p>
        </w:tc>
        <w:tc>
          <w:tcPr>
            <w:tcW w:w="516" w:type="dxa"/>
            <w:vAlign w:val="center"/>
          </w:tcPr>
          <w:p w14:paraId="76582855">
            <w:pPr>
              <w:snapToGrid w:val="0"/>
              <w:jc w:val="distribute"/>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tc>
        <w:tc>
          <w:tcPr>
            <w:tcW w:w="5806" w:type="dxa"/>
            <w:vAlign w:val="center"/>
          </w:tcPr>
          <w:p w14:paraId="6FB3AA31">
            <w:pPr>
              <w:snapToGrid w:val="0"/>
              <w:jc w:val="distribute"/>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杭州博望建设工程招标投标代理有限公司</w:t>
            </w:r>
          </w:p>
        </w:tc>
      </w:tr>
    </w:tbl>
    <w:p w14:paraId="4F434A06">
      <w:pPr>
        <w:snapToGrid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二〇二五年</w:t>
      </w:r>
      <w:r>
        <w:rPr>
          <w:rFonts w:hint="eastAsia" w:ascii="仿宋" w:hAnsi="仿宋" w:eastAsia="仿宋" w:cs="仿宋"/>
          <w:bCs/>
          <w:color w:val="auto"/>
          <w:sz w:val="32"/>
          <w:szCs w:val="32"/>
          <w:highlight w:val="none"/>
          <w:lang w:val="en-US" w:eastAsia="zh-CN"/>
        </w:rPr>
        <w:t>七</w:t>
      </w:r>
      <w:r>
        <w:rPr>
          <w:rFonts w:hint="eastAsia" w:ascii="仿宋" w:hAnsi="仿宋" w:eastAsia="仿宋" w:cs="仿宋"/>
          <w:bCs/>
          <w:color w:val="auto"/>
          <w:sz w:val="32"/>
          <w:szCs w:val="32"/>
          <w:highlight w:val="none"/>
          <w:lang w:eastAsia="zh-CN"/>
        </w:rPr>
        <w:t>月</w:t>
      </w:r>
      <w:r>
        <w:rPr>
          <w:rFonts w:hint="eastAsia" w:ascii="仿宋" w:hAnsi="仿宋" w:eastAsia="仿宋" w:cs="仿宋"/>
          <w:bCs/>
          <w:color w:val="auto"/>
          <w:sz w:val="32"/>
          <w:szCs w:val="32"/>
          <w:highlight w:val="none"/>
          <w:lang w:val="en-US" w:eastAsia="zh-CN"/>
        </w:rPr>
        <w:t>七</w:t>
      </w:r>
      <w:r>
        <w:rPr>
          <w:rFonts w:hint="eastAsia" w:ascii="仿宋" w:hAnsi="仿宋" w:eastAsia="仿宋" w:cs="仿宋"/>
          <w:bCs/>
          <w:color w:val="auto"/>
          <w:sz w:val="32"/>
          <w:szCs w:val="32"/>
          <w:highlight w:val="none"/>
          <w:lang w:eastAsia="zh-CN"/>
        </w:rPr>
        <w:t>日</w:t>
      </w:r>
    </w:p>
    <w:p w14:paraId="2A22834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2C3DE910">
      <w:pPr>
        <w:tabs>
          <w:tab w:val="left" w:pos="2268"/>
        </w:tabs>
        <w:spacing w:line="360" w:lineRule="auto"/>
        <w:jc w:val="center"/>
        <w:rPr>
          <w:rFonts w:hint="eastAsia" w:ascii="仿宋" w:hAnsi="仿宋" w:eastAsia="仿宋" w:cs="仿宋"/>
          <w:color w:val="auto"/>
          <w:sz w:val="24"/>
          <w:highlight w:val="none"/>
        </w:rPr>
      </w:pPr>
    </w:p>
    <w:p w14:paraId="65975CD4">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3215EC31">
      <w:pPr>
        <w:spacing w:line="360" w:lineRule="auto"/>
        <w:rPr>
          <w:rFonts w:hint="eastAsia" w:ascii="仿宋" w:hAnsi="仿宋" w:eastAsia="仿宋" w:cs="仿宋"/>
          <w:color w:val="auto"/>
          <w:sz w:val="32"/>
          <w:szCs w:val="32"/>
          <w:highlight w:val="none"/>
        </w:rPr>
      </w:pPr>
    </w:p>
    <w:p w14:paraId="03276BB8">
      <w:pPr>
        <w:spacing w:line="360" w:lineRule="auto"/>
        <w:rPr>
          <w:rFonts w:hint="eastAsia" w:ascii="仿宋" w:hAnsi="仿宋" w:eastAsia="仿宋" w:cs="仿宋"/>
          <w:color w:val="auto"/>
          <w:sz w:val="32"/>
          <w:szCs w:val="32"/>
          <w:highlight w:val="none"/>
        </w:rPr>
      </w:pPr>
    </w:p>
    <w:p w14:paraId="0A5DC78B">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邀请供应商</w:t>
      </w:r>
    </w:p>
    <w:p w14:paraId="1C8B8DA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竞争性磋商流程</w:t>
      </w:r>
    </w:p>
    <w:p w14:paraId="1A33AA30">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供应商须知</w:t>
      </w:r>
    </w:p>
    <w:p w14:paraId="37F2B65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采购需求</w:t>
      </w:r>
    </w:p>
    <w:p w14:paraId="0EA3A0BC">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评审方法及评审标准</w:t>
      </w:r>
    </w:p>
    <w:p w14:paraId="4C62B7B8">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拟签订的合同文本</w:t>
      </w:r>
    </w:p>
    <w:p w14:paraId="10C26782">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第七部分      应提交的有关格式范例</w:t>
      </w:r>
    </w:p>
    <w:p w14:paraId="742CA87C">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第八部分      最后报价格式</w:t>
      </w:r>
    </w:p>
    <w:p w14:paraId="00D442AF">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09FC506C">
      <w:pPr>
        <w:spacing w:line="360" w:lineRule="auto"/>
        <w:ind w:firstLine="549" w:firstLineChars="229"/>
        <w:rPr>
          <w:rFonts w:hint="eastAsia" w:ascii="仿宋" w:hAnsi="仿宋" w:eastAsia="仿宋" w:cs="仿宋"/>
          <w:color w:val="auto"/>
          <w:sz w:val="24"/>
          <w:highlight w:val="none"/>
        </w:rPr>
      </w:pPr>
    </w:p>
    <w:p w14:paraId="22D0B46C">
      <w:pPr>
        <w:spacing w:line="360" w:lineRule="auto"/>
        <w:ind w:firstLine="549" w:firstLineChars="229"/>
        <w:rPr>
          <w:rFonts w:hint="eastAsia" w:ascii="仿宋" w:hAnsi="仿宋" w:eastAsia="仿宋" w:cs="仿宋"/>
          <w:color w:val="auto"/>
          <w:sz w:val="24"/>
          <w:highlight w:val="none"/>
        </w:rPr>
      </w:pPr>
    </w:p>
    <w:p w14:paraId="5BAA82C1">
      <w:pPr>
        <w:spacing w:line="360" w:lineRule="auto"/>
        <w:ind w:firstLine="549" w:firstLineChars="229"/>
        <w:rPr>
          <w:rFonts w:hint="eastAsia" w:ascii="仿宋" w:hAnsi="仿宋" w:eastAsia="仿宋" w:cs="仿宋"/>
          <w:color w:val="auto"/>
          <w:sz w:val="24"/>
          <w:highlight w:val="none"/>
        </w:rPr>
      </w:pPr>
    </w:p>
    <w:p w14:paraId="779CEB73">
      <w:pPr>
        <w:spacing w:line="360" w:lineRule="auto"/>
        <w:ind w:firstLine="549" w:firstLineChars="229"/>
        <w:rPr>
          <w:rFonts w:hint="eastAsia" w:ascii="仿宋" w:hAnsi="仿宋" w:eastAsia="仿宋" w:cs="仿宋"/>
          <w:color w:val="auto"/>
          <w:sz w:val="24"/>
          <w:highlight w:val="none"/>
        </w:rPr>
      </w:pPr>
    </w:p>
    <w:p w14:paraId="25AF14D4">
      <w:pPr>
        <w:spacing w:line="360" w:lineRule="auto"/>
        <w:ind w:firstLine="549" w:firstLineChars="229"/>
        <w:rPr>
          <w:rFonts w:hint="eastAsia" w:ascii="仿宋" w:hAnsi="仿宋" w:eastAsia="仿宋" w:cs="仿宋"/>
          <w:color w:val="auto"/>
          <w:sz w:val="24"/>
          <w:highlight w:val="none"/>
        </w:rPr>
      </w:pPr>
    </w:p>
    <w:p w14:paraId="7E9D4471">
      <w:pPr>
        <w:spacing w:line="360" w:lineRule="auto"/>
        <w:ind w:firstLine="549" w:firstLineChars="229"/>
        <w:rPr>
          <w:rFonts w:hint="eastAsia" w:ascii="仿宋" w:hAnsi="仿宋" w:eastAsia="仿宋" w:cs="仿宋"/>
          <w:color w:val="auto"/>
          <w:sz w:val="24"/>
          <w:highlight w:val="none"/>
        </w:rPr>
      </w:pPr>
    </w:p>
    <w:p w14:paraId="270961DC">
      <w:pPr>
        <w:spacing w:line="360" w:lineRule="auto"/>
        <w:ind w:firstLine="549" w:firstLineChars="229"/>
        <w:rPr>
          <w:rFonts w:hint="eastAsia" w:ascii="仿宋" w:hAnsi="仿宋" w:eastAsia="仿宋" w:cs="仿宋"/>
          <w:color w:val="auto"/>
          <w:sz w:val="24"/>
          <w:highlight w:val="none"/>
        </w:rPr>
      </w:pPr>
    </w:p>
    <w:p w14:paraId="7E516DE8">
      <w:pPr>
        <w:spacing w:line="360" w:lineRule="auto"/>
        <w:ind w:firstLine="549" w:firstLineChars="229"/>
        <w:rPr>
          <w:rFonts w:hint="eastAsia" w:ascii="仿宋" w:hAnsi="仿宋" w:eastAsia="仿宋" w:cs="仿宋"/>
          <w:color w:val="auto"/>
          <w:sz w:val="24"/>
          <w:highlight w:val="none"/>
        </w:rPr>
      </w:pPr>
    </w:p>
    <w:p w14:paraId="407338FB">
      <w:pPr>
        <w:spacing w:line="360" w:lineRule="auto"/>
        <w:ind w:firstLine="549" w:firstLineChars="229"/>
        <w:rPr>
          <w:rFonts w:hint="eastAsia" w:ascii="仿宋" w:hAnsi="仿宋" w:eastAsia="仿宋" w:cs="仿宋"/>
          <w:color w:val="auto"/>
          <w:sz w:val="24"/>
          <w:highlight w:val="none"/>
        </w:rPr>
      </w:pPr>
    </w:p>
    <w:p w14:paraId="5DA25410">
      <w:pPr>
        <w:spacing w:line="360" w:lineRule="auto"/>
        <w:ind w:firstLine="549" w:firstLineChars="229"/>
        <w:rPr>
          <w:rFonts w:hint="eastAsia" w:ascii="仿宋" w:hAnsi="仿宋" w:eastAsia="仿宋" w:cs="仿宋"/>
          <w:color w:val="auto"/>
          <w:sz w:val="24"/>
          <w:highlight w:val="none"/>
        </w:rPr>
      </w:pPr>
    </w:p>
    <w:p w14:paraId="4F0EDB85">
      <w:pPr>
        <w:spacing w:line="360" w:lineRule="auto"/>
        <w:ind w:firstLine="549" w:firstLineChars="229"/>
        <w:rPr>
          <w:rFonts w:hint="eastAsia" w:ascii="仿宋" w:hAnsi="仿宋" w:eastAsia="仿宋" w:cs="仿宋"/>
          <w:color w:val="auto"/>
          <w:sz w:val="24"/>
          <w:highlight w:val="none"/>
        </w:rPr>
      </w:pPr>
    </w:p>
    <w:p w14:paraId="05A1B0EE">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邀请供应商</w:t>
      </w:r>
    </w:p>
    <w:p w14:paraId="2B3D9CA0">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竞争性磋商邀请公告</w:t>
      </w:r>
    </w:p>
    <w:p w14:paraId="3CCD1387">
      <w:pPr>
        <w:spacing w:line="360" w:lineRule="auto"/>
        <w:rPr>
          <w:rFonts w:hint="eastAsia" w:ascii="仿宋" w:hAnsi="仿宋" w:eastAsia="仿宋" w:cs="仿宋"/>
          <w:color w:val="auto"/>
          <w:sz w:val="24"/>
          <w:highlight w:val="none"/>
        </w:rPr>
      </w:pPr>
    </w:p>
    <w:p w14:paraId="68C776A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635A2C86">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建德经济开发区管理委员会2025年-2026年安全生产社会化服务采购项目</w:t>
      </w:r>
      <w:r>
        <w:rPr>
          <w:rFonts w:hint="eastAsia" w:ascii="仿宋" w:hAnsi="仿宋" w:eastAsia="仿宋" w:cs="仿宋"/>
          <w:color w:val="auto"/>
          <w:sz w:val="24"/>
          <w:highlight w:val="none"/>
        </w:rPr>
        <w:t>的潜在供应商应在</w:t>
      </w:r>
      <w:r>
        <w:rPr>
          <w:rFonts w:hint="eastAsia" w:ascii="仿宋" w:hAnsi="仿宋" w:eastAsia="仿宋" w:cs="仿宋"/>
          <w:color w:val="auto"/>
          <w:sz w:val="24"/>
          <w:highlight w:val="none"/>
          <w:u w:val="single"/>
        </w:rPr>
        <w:t>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 </w:instrText>
      </w:r>
      <w:r>
        <w:rPr>
          <w:rFonts w:hint="eastAsia" w:ascii="仿宋" w:hAnsi="仿宋" w:eastAsia="仿宋" w:cs="仿宋"/>
          <w:color w:val="auto"/>
          <w:highlight w:val="none"/>
        </w:rPr>
        <w:fldChar w:fldCharType="separate"/>
      </w:r>
      <w:r>
        <w:rPr>
          <w:rStyle w:val="70"/>
          <w:rFonts w:hint="eastAsia" w:ascii="仿宋" w:hAnsi="仿宋" w:eastAsia="仿宋" w:cs="仿宋"/>
          <w:color w:val="auto"/>
          <w:sz w:val="24"/>
          <w:highlight w:val="none"/>
          <w:u w:val="single"/>
        </w:rPr>
        <w:t>https://www.zcygov.cn/</w:t>
      </w:r>
      <w:r>
        <w:rPr>
          <w:rStyle w:val="70"/>
          <w:rFonts w:hint="eastAsia" w:ascii="仿宋" w:hAnsi="仿宋" w:eastAsia="仿宋" w:cs="仿宋"/>
          <w:color w:val="auto"/>
          <w:sz w:val="24"/>
          <w:highlight w:val="none"/>
          <w:u w:val="single"/>
        </w:rPr>
        <w:fldChar w:fldCharType="end"/>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获取采购文件，并于</w:t>
      </w:r>
      <w:r>
        <w:rPr>
          <w:rFonts w:hint="eastAsia" w:ascii="仿宋" w:hAnsi="仿宋" w:eastAsia="仿宋" w:cs="仿宋"/>
          <w:color w:val="auto"/>
          <w:sz w:val="24"/>
          <w:highlight w:val="none"/>
          <w:u w:val="single"/>
          <w:lang w:eastAsia="zh-CN"/>
        </w:rPr>
        <w:t>2025年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lang w:eastAsia="zh-CN"/>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lang w:eastAsia="zh-CN"/>
        </w:rPr>
        <w:t>分</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lang w:eastAsia="zh-CN"/>
        </w:rPr>
        <w:t>秒</w:t>
      </w:r>
      <w:r>
        <w:rPr>
          <w:rFonts w:hint="eastAsia" w:ascii="仿宋" w:hAnsi="仿宋" w:eastAsia="仿宋" w:cs="仿宋"/>
          <w:bCs/>
          <w:color w:val="auto"/>
          <w:sz w:val="24"/>
          <w:highlight w:val="none"/>
        </w:rPr>
        <w:t>（北京时间）前提交响应文件</w:t>
      </w:r>
      <w:r>
        <w:rPr>
          <w:rFonts w:hint="eastAsia" w:ascii="仿宋" w:hAnsi="仿宋" w:eastAsia="仿宋" w:cs="仿宋"/>
          <w:color w:val="auto"/>
          <w:sz w:val="24"/>
          <w:highlight w:val="none"/>
        </w:rPr>
        <w:t>。</w:t>
      </w:r>
    </w:p>
    <w:p w14:paraId="4F5B9071">
      <w:pPr>
        <w:spacing w:line="360" w:lineRule="auto"/>
        <w:rPr>
          <w:rFonts w:hint="eastAsia" w:ascii="仿宋" w:hAnsi="仿宋" w:eastAsia="仿宋" w:cs="仿宋"/>
          <w:color w:val="auto"/>
          <w:sz w:val="24"/>
          <w:highlight w:val="none"/>
        </w:rPr>
      </w:pPr>
    </w:p>
    <w:p w14:paraId="7362F65B">
      <w:pPr>
        <w:pStyle w:val="4"/>
        <w:numPr>
          <w:ilvl w:val="0"/>
          <w:numId w:val="0"/>
        </w:numPr>
        <w:ind w:left="432" w:hanging="432"/>
        <w:rPr>
          <w:rFonts w:hint="eastAsia" w:ascii="仿宋" w:hAnsi="仿宋" w:eastAsia="仿宋" w:cs="仿宋"/>
          <w:color w:val="auto"/>
          <w:sz w:val="24"/>
          <w:szCs w:val="24"/>
          <w:highlight w:val="none"/>
        </w:rPr>
      </w:pPr>
      <w:bookmarkStart w:id="11" w:name="_Toc28359012"/>
      <w:bookmarkStart w:id="12" w:name="_Toc35393629"/>
      <w:bookmarkStart w:id="13" w:name="_Toc35393798"/>
      <w:bookmarkStart w:id="14" w:name="_Toc28359089"/>
      <w:r>
        <w:rPr>
          <w:rFonts w:hint="eastAsia" w:ascii="仿宋" w:hAnsi="仿宋" w:eastAsia="仿宋" w:cs="仿宋"/>
          <w:color w:val="auto"/>
          <w:sz w:val="24"/>
          <w:szCs w:val="24"/>
          <w:highlight w:val="none"/>
        </w:rPr>
        <w:t>一、项目基本情况</w:t>
      </w:r>
      <w:bookmarkEnd w:id="11"/>
      <w:bookmarkEnd w:id="12"/>
      <w:bookmarkEnd w:id="13"/>
      <w:bookmarkEnd w:id="14"/>
    </w:p>
    <w:p w14:paraId="4DF28D9D">
      <w:pPr>
        <w:spacing w:line="360" w:lineRule="auto"/>
        <w:ind w:firstLine="482" w:firstLineChars="200"/>
        <w:rPr>
          <w:rFonts w:hint="default" w:ascii="仿宋" w:hAnsi="仿宋" w:eastAsia="仿宋" w:cs="仿宋"/>
          <w:color w:val="auto"/>
          <w:sz w:val="24"/>
          <w:highlight w:val="none"/>
          <w:lang w:val="en-US"/>
        </w:rPr>
      </w:pP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lang w:eastAsia="zh-CN"/>
        </w:rPr>
        <w:t>JD2025BF-080</w:t>
      </w:r>
    </w:p>
    <w:p w14:paraId="51899895">
      <w:pPr>
        <w:spacing w:line="360" w:lineRule="auto"/>
        <w:ind w:firstLine="482" w:firstLineChars="200"/>
        <w:rPr>
          <w:rFonts w:hint="eastAsia" w:ascii="仿宋" w:hAnsi="仿宋" w:eastAsia="仿宋" w:cs="仿宋"/>
          <w:b w:val="0"/>
          <w:bCs/>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b w:val="0"/>
          <w:bCs/>
          <w:color w:val="auto"/>
          <w:sz w:val="24"/>
          <w:highlight w:val="none"/>
          <w:lang w:eastAsia="zh-CN"/>
        </w:rPr>
        <w:t>建德经济开发区管理委员会2025年-2026年安全生产社会化服务采购项目</w:t>
      </w:r>
    </w:p>
    <w:p w14:paraId="2A2FB10D">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采购方式：</w:t>
      </w:r>
      <w:r>
        <w:rPr>
          <w:rFonts w:hint="eastAsia" w:ascii="仿宋" w:hAnsi="仿宋" w:eastAsia="仿宋" w:cs="仿宋"/>
          <w:color w:val="auto"/>
          <w:sz w:val="24"/>
          <w:highlight w:val="none"/>
        </w:rPr>
        <w:t>竞争性磋商</w:t>
      </w:r>
    </w:p>
    <w:p w14:paraId="38560B9D">
      <w:pPr>
        <w:spacing w:line="360" w:lineRule="auto"/>
        <w:ind w:firstLine="482" w:firstLineChars="2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val="en-US" w:eastAsia="zh-CN"/>
        </w:rPr>
        <w:t xml:space="preserve">3000000.00(1500000.00元/年)  </w:t>
      </w:r>
    </w:p>
    <w:p w14:paraId="73AB45BC">
      <w:pPr>
        <w:spacing w:line="360" w:lineRule="auto"/>
        <w:ind w:firstLine="482" w:firstLineChars="2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 xml:space="preserve">最高限价（元）：3000000.00(1500000.00元/年) </w:t>
      </w:r>
    </w:p>
    <w:p w14:paraId="09431E9E">
      <w:pPr>
        <w:spacing w:line="360" w:lineRule="auto"/>
        <w:ind w:firstLine="480" w:firstLineChars="20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eastAsia="zh-CN"/>
        </w:rPr>
        <w:t>采购需求：建德经济开发区管理委员会2025年-2026年安全生产社会化服务采购项目，主要内容：选择一家合格的供应商对建德经济开发区管理委员会安全生产社会化服务进行指导服务。详见竞争性磋商文件。</w:t>
      </w:r>
    </w:p>
    <w:p w14:paraId="71BD917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合同履行期限：</w:t>
      </w:r>
      <w:r>
        <w:rPr>
          <w:rFonts w:hint="eastAsia" w:ascii="仿宋" w:hAnsi="仿宋" w:eastAsia="仿宋" w:cs="仿宋"/>
          <w:bCs/>
          <w:snapToGrid/>
          <w:color w:val="auto"/>
          <w:kern w:val="2"/>
          <w:sz w:val="24"/>
          <w:szCs w:val="24"/>
          <w:highlight w:val="none"/>
          <w:lang w:val="zh-CN"/>
        </w:rPr>
        <w:t>本项目服务期自采购合同正式签订生效之日起为期</w:t>
      </w:r>
      <w:r>
        <w:rPr>
          <w:rFonts w:hint="eastAsia" w:ascii="仿宋" w:hAnsi="仿宋" w:eastAsia="仿宋" w:cs="仿宋"/>
          <w:bCs/>
          <w:snapToGrid/>
          <w:color w:val="auto"/>
          <w:kern w:val="2"/>
          <w:sz w:val="24"/>
          <w:szCs w:val="24"/>
          <w:highlight w:val="none"/>
          <w:lang w:val="en-US" w:eastAsia="zh-Hans"/>
        </w:rPr>
        <w:t>一</w:t>
      </w:r>
      <w:r>
        <w:rPr>
          <w:rFonts w:hint="eastAsia" w:ascii="仿宋" w:hAnsi="仿宋" w:eastAsia="仿宋" w:cs="仿宋"/>
          <w:bCs/>
          <w:snapToGrid/>
          <w:color w:val="auto"/>
          <w:kern w:val="2"/>
          <w:sz w:val="24"/>
          <w:szCs w:val="24"/>
          <w:highlight w:val="none"/>
          <w:lang w:val="zh-CN"/>
        </w:rPr>
        <w:t>年</w:t>
      </w:r>
      <w:r>
        <w:rPr>
          <w:rFonts w:hint="eastAsia" w:ascii="仿宋" w:hAnsi="仿宋" w:eastAsia="仿宋" w:cs="仿宋"/>
          <w:bCs/>
          <w:snapToGrid/>
          <w:color w:val="auto"/>
          <w:kern w:val="2"/>
          <w:sz w:val="24"/>
          <w:szCs w:val="24"/>
          <w:highlight w:val="none"/>
        </w:rPr>
        <w:t>。</w:t>
      </w:r>
      <w:r>
        <w:rPr>
          <w:rFonts w:hint="eastAsia" w:ascii="仿宋" w:hAnsi="仿宋" w:eastAsia="仿宋" w:cs="仿宋"/>
          <w:bCs/>
          <w:snapToGrid/>
          <w:color w:val="auto"/>
          <w:kern w:val="2"/>
          <w:sz w:val="24"/>
          <w:szCs w:val="24"/>
          <w:highlight w:val="none"/>
          <w:lang w:val="en-US" w:eastAsia="zh-Hans"/>
        </w:rPr>
        <w:t>本项目采取一次招标二年沿用</w:t>
      </w:r>
      <w:r>
        <w:rPr>
          <w:rFonts w:hint="eastAsia" w:ascii="仿宋" w:hAnsi="仿宋" w:eastAsia="仿宋" w:cs="仿宋"/>
          <w:bCs/>
          <w:snapToGrid/>
          <w:color w:val="auto"/>
          <w:kern w:val="2"/>
          <w:sz w:val="24"/>
          <w:szCs w:val="24"/>
          <w:highlight w:val="none"/>
          <w:lang w:eastAsia="zh-Hans"/>
        </w:rPr>
        <w:t>、</w:t>
      </w:r>
      <w:r>
        <w:rPr>
          <w:rFonts w:hint="eastAsia" w:ascii="仿宋" w:hAnsi="仿宋" w:eastAsia="仿宋" w:cs="仿宋"/>
          <w:bCs/>
          <w:snapToGrid/>
          <w:color w:val="auto"/>
          <w:kern w:val="2"/>
          <w:sz w:val="24"/>
          <w:szCs w:val="24"/>
          <w:highlight w:val="none"/>
          <w:lang w:val="en-US" w:eastAsia="zh-Hans"/>
        </w:rPr>
        <w:t>实行一年一考核一签合同的办法</w:t>
      </w:r>
      <w:r>
        <w:rPr>
          <w:rFonts w:hint="eastAsia" w:ascii="仿宋" w:hAnsi="仿宋" w:eastAsia="仿宋" w:cs="仿宋"/>
          <w:bCs/>
          <w:snapToGrid/>
          <w:color w:val="auto"/>
          <w:kern w:val="2"/>
          <w:sz w:val="24"/>
          <w:szCs w:val="24"/>
          <w:highlight w:val="none"/>
          <w:lang w:eastAsia="zh-Hans"/>
        </w:rPr>
        <w:t>。</w:t>
      </w:r>
      <w:r>
        <w:rPr>
          <w:rFonts w:hint="eastAsia" w:ascii="仿宋" w:hAnsi="仿宋" w:eastAsia="仿宋" w:cs="仿宋"/>
          <w:bCs/>
          <w:color w:val="auto"/>
          <w:sz w:val="24"/>
          <w:highlight w:val="none"/>
        </w:rPr>
        <w:t>服务期满后</w:t>
      </w:r>
      <w:r>
        <w:rPr>
          <w:rFonts w:hint="eastAsia" w:ascii="仿宋" w:hAnsi="仿宋" w:eastAsia="仿宋" w:cs="仿宋"/>
          <w:bCs/>
          <w:snapToGrid/>
          <w:color w:val="auto"/>
          <w:kern w:val="2"/>
          <w:sz w:val="24"/>
          <w:szCs w:val="24"/>
          <w:highlight w:val="none"/>
          <w:lang w:val="zh-CN"/>
        </w:rPr>
        <w:t>进行年度服务质量考</w:t>
      </w:r>
      <w:r>
        <w:rPr>
          <w:rFonts w:hint="eastAsia" w:ascii="仿宋" w:hAnsi="仿宋" w:eastAsia="仿宋" w:cs="仿宋"/>
          <w:color w:val="auto"/>
          <w:sz w:val="24"/>
          <w:highlight w:val="none"/>
          <w:lang w:val="zh-CN" w:eastAsia="zh-CN"/>
        </w:rPr>
        <w:t>核，</w:t>
      </w:r>
      <w:r>
        <w:rPr>
          <w:rFonts w:hint="eastAsia" w:ascii="仿宋" w:hAnsi="仿宋" w:eastAsia="仿宋" w:cs="仿宋"/>
          <w:color w:val="auto"/>
          <w:sz w:val="24"/>
          <w:highlight w:val="none"/>
          <w:lang w:val="en-US" w:eastAsia="zh-CN"/>
        </w:rPr>
        <w:t>分数达到80（含）分</w:t>
      </w:r>
      <w:r>
        <w:rPr>
          <w:rFonts w:hint="eastAsia" w:ascii="仿宋" w:hAnsi="仿宋" w:eastAsia="仿宋" w:cs="仿宋"/>
          <w:color w:val="auto"/>
          <w:sz w:val="24"/>
          <w:highlight w:val="none"/>
          <w:lang w:val="en-US" w:eastAsia="zh-Hans"/>
        </w:rPr>
        <w:t>及</w:t>
      </w:r>
      <w:r>
        <w:rPr>
          <w:rFonts w:hint="eastAsia" w:ascii="仿宋" w:hAnsi="仿宋" w:eastAsia="仿宋" w:cs="仿宋"/>
          <w:color w:val="auto"/>
          <w:sz w:val="24"/>
          <w:highlight w:val="none"/>
          <w:lang w:val="en-US" w:eastAsia="zh-CN"/>
        </w:rPr>
        <w:t>以上的，可根据原合同价续签第二年度合同。如在规定的时间内由于供应商的原因不能完成的，供应商应承担由此给采购人</w:t>
      </w:r>
      <w:r>
        <w:rPr>
          <w:rFonts w:hint="eastAsia" w:ascii="仿宋" w:hAnsi="仿宋" w:eastAsia="仿宋" w:cs="仿宋"/>
          <w:color w:val="auto"/>
          <w:sz w:val="24"/>
          <w:highlight w:val="none"/>
        </w:rPr>
        <w:t>造成的损失。</w:t>
      </w:r>
    </w:p>
    <w:p w14:paraId="6D82BF40">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b/>
            <w:color w:val="auto"/>
            <w:sz w:val="24"/>
            <w:highlight w:val="none"/>
          </w:rPr>
          <w:id w:val="2035453831"/>
          <w14:checkbox>
            <w14:checked w14:val="1"/>
            <w14:checkedState w14:val="00FE" w14:font="Wingdings"/>
            <w14:uncheckedState w14:val="2610" w14:font="MS Gothic"/>
          </w14:checkbox>
        </w:sdtPr>
        <w:sdtEndPr>
          <w:rPr>
            <w:rFonts w:hint="eastAsia" w:ascii="仿宋" w:hAnsi="仿宋" w:eastAsia="仿宋" w:cs="仿宋"/>
            <w:b/>
            <w:color w:val="auto"/>
            <w:sz w:val="24"/>
            <w:highlight w:val="none"/>
          </w:rPr>
        </w:sdtEndPr>
        <w:sdtContent>
          <w:r>
            <w:rPr>
              <w:rFonts w:hint="eastAsia" w:ascii="Wingdings" w:hAnsi="Wingdings" w:eastAsia="仿宋" w:cs="仿宋"/>
              <w:b/>
              <w:color w:val="auto"/>
              <w:kern w:val="2"/>
              <w:sz w:val="24"/>
              <w:szCs w:val="24"/>
              <w:highlight w:val="none"/>
              <w:lang w:val="en-US" w:eastAsia="zh-CN" w:bidi="ar-SA"/>
            </w:rPr>
            <w:t>þ</w:t>
          </w:r>
        </w:sdtContent>
      </w:sdt>
      <w:r>
        <w:rPr>
          <w:rFonts w:hint="eastAsia" w:ascii="仿宋" w:hAnsi="仿宋" w:eastAsia="仿宋" w:cs="仿宋"/>
          <w:b/>
          <w:color w:val="auto"/>
          <w:sz w:val="24"/>
          <w:highlight w:val="none"/>
        </w:rPr>
        <w:t>是，</w:t>
      </w:r>
      <w:sdt>
        <w:sdtPr>
          <w:rPr>
            <w:rFonts w:hint="eastAsia" w:ascii="仿宋" w:hAnsi="仿宋" w:eastAsia="仿宋" w:cs="仿宋"/>
            <w:b/>
            <w:color w:val="auto"/>
            <w:sz w:val="24"/>
            <w:highlight w:val="none"/>
          </w:rPr>
          <w:id w:val="-1765526721"/>
          <w14:checkbox>
            <w14:checked w14:val="0"/>
            <w14:checkedState w14:val="00FE" w14:font="Wingdings"/>
            <w14:uncheckedState w14:val="2610" w14:font="MS Gothic"/>
          </w14:checkbox>
        </w:sdtPr>
        <w:sdtEndPr>
          <w:rPr>
            <w:rFonts w:hint="eastAsia" w:ascii="仿宋" w:hAnsi="仿宋" w:eastAsia="仿宋" w:cs="仿宋"/>
            <w:b/>
            <w:color w:val="auto"/>
            <w:sz w:val="24"/>
            <w:highlight w:val="none"/>
          </w:rPr>
        </w:sdtEndPr>
        <w:sdtContent>
          <w:r>
            <w:rPr>
              <w:rFonts w:hint="eastAsia" w:ascii="仿宋" w:hAnsi="仿宋" w:eastAsia="仿宋" w:cs="仿宋"/>
              <w:b/>
              <w:color w:val="auto"/>
              <w:kern w:val="2"/>
              <w:sz w:val="24"/>
              <w:szCs w:val="24"/>
              <w:highlight w:val="none"/>
              <w:lang w:val="en-US" w:eastAsia="zh-CN" w:bidi="ar-SA"/>
            </w:rPr>
            <w:t>☐</w:t>
          </w:r>
        </w:sdtContent>
      </w:sdt>
      <w:r>
        <w:rPr>
          <w:rFonts w:hint="eastAsia" w:ascii="仿宋" w:hAnsi="仿宋" w:eastAsia="仿宋" w:cs="仿宋"/>
          <w:b/>
          <w:color w:val="auto"/>
          <w:sz w:val="24"/>
          <w:highlight w:val="none"/>
        </w:rPr>
        <w:t>否。</w:t>
      </w:r>
    </w:p>
    <w:p w14:paraId="031D9597">
      <w:pPr>
        <w:spacing w:line="360" w:lineRule="auto"/>
        <w:ind w:firstLine="480" w:firstLineChars="200"/>
        <w:rPr>
          <w:rFonts w:hint="eastAsia" w:ascii="仿宋" w:hAnsi="仿宋" w:eastAsia="仿宋" w:cs="仿宋"/>
          <w:color w:val="auto"/>
          <w:sz w:val="24"/>
          <w:highlight w:val="none"/>
        </w:rPr>
      </w:pPr>
      <w:bookmarkStart w:id="15" w:name="_Toc35393630"/>
      <w:bookmarkStart w:id="16" w:name="_Toc35393799"/>
      <w:bookmarkStart w:id="17" w:name="_Toc28359013"/>
      <w:bookmarkStart w:id="18" w:name="_Toc28359090"/>
      <w:r>
        <w:rPr>
          <w:rFonts w:hint="eastAsia" w:ascii="仿宋" w:hAnsi="仿宋" w:eastAsia="仿宋" w:cs="仿宋"/>
          <w:color w:val="auto"/>
          <w:sz w:val="24"/>
          <w:highlight w:val="none"/>
        </w:rPr>
        <w:t>二、申请人的资格要求：</w:t>
      </w:r>
      <w:bookmarkEnd w:id="15"/>
      <w:bookmarkEnd w:id="16"/>
      <w:bookmarkEnd w:id="17"/>
      <w:bookmarkEnd w:id="18"/>
    </w:p>
    <w:p w14:paraId="3874FD84">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w:t>
      </w:r>
      <w:r>
        <w:rPr>
          <w:rFonts w:hint="eastAsia" w:ascii="仿宋" w:hAnsi="仿宋" w:eastAsia="仿宋" w:cs="仿宋"/>
          <w:snapToGrid w:val="0"/>
          <w:color w:val="auto"/>
          <w:kern w:val="28"/>
          <w:sz w:val="24"/>
          <w:szCs w:val="20"/>
          <w:highlight w:val="none"/>
          <w:lang w:eastAsia="zh-CN"/>
        </w:rPr>
        <w:t>失信被执行人、重大税收违法失信主体名单、严重失信主体名单</w:t>
      </w:r>
      <w:r>
        <w:rPr>
          <w:rFonts w:hint="eastAsia" w:ascii="仿宋" w:hAnsi="仿宋" w:eastAsia="仿宋" w:cs="仿宋"/>
          <w:snapToGrid w:val="0"/>
          <w:color w:val="auto"/>
          <w:kern w:val="28"/>
          <w:sz w:val="24"/>
          <w:szCs w:val="20"/>
          <w:highlight w:val="none"/>
        </w:rPr>
        <w:t>；</w:t>
      </w:r>
    </w:p>
    <w:p w14:paraId="63225BDA">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以联合体形式响应的，提供联合协议(本项目不接受联合体响应或者供应商不以联合体形式响应的，则不需要提供) ；</w:t>
      </w:r>
    </w:p>
    <w:p w14:paraId="1902332F">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68F2FC6F">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（注：不得限制大中型企业与小微企业组成联合体参与响应）</w:t>
      </w:r>
      <w:r>
        <w:rPr>
          <w:rFonts w:hint="eastAsia" w:ascii="仿宋" w:hAnsi="仿宋" w:eastAsia="仿宋" w:cs="仿宋"/>
          <w:color w:val="auto"/>
          <w:sz w:val="24"/>
          <w:highlight w:val="none"/>
        </w:rPr>
        <w:t>；</w:t>
      </w:r>
    </w:p>
    <w:p w14:paraId="3C15B613">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02470430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04A8DAD6">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3368540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服务全部由符合政策要求的中小企业承接，提供中小企业声明函；</w:t>
      </w:r>
    </w:p>
    <w:p w14:paraId="1A05C5D8">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4102535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服务全部由符合政策要求的小微企业承接，提供中小企业声明函；</w:t>
      </w:r>
    </w:p>
    <w:p w14:paraId="6A69303F">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8560779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7FE19EC8">
      <w:pPr>
        <w:spacing w:line="360" w:lineRule="auto"/>
        <w:ind w:firstLine="897" w:firstLineChars="374"/>
        <w:rPr>
          <w:rFonts w:hint="eastAsia" w:ascii="仿宋" w:hAnsi="仿宋" w:eastAsia="仿宋" w:cs="仿宋"/>
          <w:color w:val="auto"/>
          <w:sz w:val="24"/>
          <w:highlight w:val="none"/>
          <w:lang w:eastAsia="zh-CN"/>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lang w:eastAsia="zh-CN"/>
        </w:rPr>
        <w:t>。</w:t>
      </w:r>
    </w:p>
    <w:p w14:paraId="5076857A">
      <w:pPr>
        <w:numPr>
          <w:ilvl w:val="0"/>
          <w:numId w:val="7"/>
        </w:num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eastAsia="zh-CN"/>
        </w:rPr>
        <w:t>无。</w:t>
      </w:r>
    </w:p>
    <w:p w14:paraId="53110AFC">
      <w:pPr>
        <w:numPr>
          <w:ilvl w:val="0"/>
          <w:numId w:val="0"/>
        </w:num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BD69D9A">
      <w:pPr>
        <w:spacing w:line="360" w:lineRule="auto"/>
        <w:ind w:firstLine="480" w:firstLineChars="200"/>
        <w:rPr>
          <w:rFonts w:hint="eastAsia" w:ascii="仿宋" w:hAnsi="仿宋" w:eastAsia="仿宋" w:cs="仿宋"/>
          <w:color w:val="auto"/>
          <w:sz w:val="24"/>
          <w:highlight w:val="none"/>
        </w:rPr>
      </w:pPr>
      <w:bookmarkStart w:id="19" w:name="_Toc28359091"/>
      <w:bookmarkStart w:id="20" w:name="_Toc35393800"/>
      <w:bookmarkStart w:id="21" w:name="_Toc35393631"/>
      <w:bookmarkStart w:id="22" w:name="_Toc28359014"/>
      <w:r>
        <w:rPr>
          <w:rFonts w:hint="eastAsia" w:ascii="仿宋" w:hAnsi="仿宋" w:eastAsia="仿宋" w:cs="仿宋"/>
          <w:color w:val="auto"/>
          <w:sz w:val="24"/>
          <w:highlight w:val="none"/>
        </w:rPr>
        <w:t>三、获取（下载）采购文件</w:t>
      </w:r>
      <w:bookmarkEnd w:id="19"/>
      <w:bookmarkEnd w:id="20"/>
      <w:bookmarkEnd w:id="21"/>
      <w:bookmarkEnd w:id="22"/>
    </w:p>
    <w:p w14:paraId="5A5BB904">
      <w:pPr>
        <w:spacing w:line="360" w:lineRule="auto"/>
        <w:ind w:firstLine="54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7"/>
          <w:szCs w:val="27"/>
          <w:highlight w:val="none"/>
        </w:rPr>
        <w:t>/</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lang w:eastAsia="zh-CN"/>
        </w:rPr>
        <w:t>2025年</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日，每天上午00:00至12:00 ，下午12:00至23:59（北京时间，线上获取法定节假日均可，线下获取文件法定节假日除外）；</w:t>
      </w:r>
    </w:p>
    <w:p w14:paraId="6AAD5C44">
      <w:pPr>
        <w:spacing w:line="360" w:lineRule="auto"/>
        <w:ind w:firstLine="540"/>
        <w:rPr>
          <w:rFonts w:hint="eastAsia" w:ascii="仿宋" w:hAnsi="仿宋" w:eastAsia="仿宋" w:cs="仿宋"/>
          <w:color w:val="auto"/>
          <w:sz w:val="28"/>
          <w:szCs w:val="28"/>
          <w:highlight w:val="none"/>
          <w:u w:val="single"/>
        </w:rPr>
      </w:pPr>
      <w:r>
        <w:rPr>
          <w:rFonts w:hint="eastAsia" w:ascii="仿宋" w:hAnsi="仿宋" w:eastAsia="仿宋" w:cs="仿宋"/>
          <w:b/>
          <w:color w:val="auto"/>
          <w:sz w:val="24"/>
          <w:highlight w:val="none"/>
        </w:rPr>
        <w:t>地点（网址）：政采云平台（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 </w:instrText>
      </w:r>
      <w:r>
        <w:rPr>
          <w:rFonts w:hint="eastAsia" w:ascii="仿宋" w:hAnsi="仿宋" w:eastAsia="仿宋" w:cs="仿宋"/>
          <w:color w:val="auto"/>
          <w:highlight w:val="none"/>
        </w:rPr>
        <w:fldChar w:fldCharType="separate"/>
      </w:r>
      <w:r>
        <w:rPr>
          <w:rStyle w:val="70"/>
          <w:rFonts w:hint="eastAsia" w:ascii="仿宋" w:hAnsi="仿宋" w:eastAsia="仿宋" w:cs="仿宋"/>
          <w:b/>
          <w:color w:val="auto"/>
          <w:sz w:val="24"/>
          <w:highlight w:val="none"/>
        </w:rPr>
        <w:t>https://www.zcygov.cn/</w:t>
      </w:r>
      <w:r>
        <w:rPr>
          <w:rStyle w:val="70"/>
          <w:rFonts w:hint="eastAsia" w:ascii="仿宋" w:hAnsi="仿宋" w:eastAsia="仿宋" w:cs="仿宋"/>
          <w:b/>
          <w:color w:val="auto"/>
          <w:sz w:val="24"/>
          <w:highlight w:val="none"/>
        </w:rPr>
        <w:fldChar w:fldCharType="end"/>
      </w:r>
      <w:r>
        <w:rPr>
          <w:rFonts w:hint="eastAsia" w:ascii="仿宋" w:hAnsi="仿宋" w:eastAsia="仿宋" w:cs="仿宋"/>
          <w:b/>
          <w:color w:val="auto"/>
          <w:sz w:val="24"/>
          <w:highlight w:val="none"/>
        </w:rPr>
        <w:t>）</w:t>
      </w:r>
    </w:p>
    <w:p w14:paraId="2764BDE4">
      <w:pPr>
        <w:spacing w:line="360" w:lineRule="auto"/>
        <w:ind w:firstLine="54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供应商登录政采云平台https://www.zcygov.cn/在线申请获取采购文件（进入“项目采购”应用，在获取采购文件菜单中选择项目，申请获取采购文件）。</w:t>
      </w:r>
    </w:p>
    <w:p w14:paraId="3C5FB326">
      <w:pPr>
        <w:spacing w:line="360" w:lineRule="auto"/>
        <w:ind w:firstLine="540"/>
        <w:rPr>
          <w:rFonts w:hint="eastAsia" w:ascii="仿宋" w:hAnsi="仿宋" w:eastAsia="仿宋" w:cs="仿宋"/>
          <w:color w:val="auto"/>
          <w:sz w:val="28"/>
          <w:szCs w:val="28"/>
          <w:highlight w:val="none"/>
        </w:rPr>
      </w:pPr>
      <w:r>
        <w:rPr>
          <w:rFonts w:hint="eastAsia" w:ascii="仿宋" w:hAnsi="仿宋" w:eastAsia="仿宋" w:cs="仿宋"/>
          <w:b/>
          <w:color w:val="auto"/>
          <w:sz w:val="24"/>
          <w:highlight w:val="none"/>
        </w:rPr>
        <w:t>售价：</w:t>
      </w:r>
      <w:r>
        <w:rPr>
          <w:rFonts w:hint="eastAsia" w:ascii="仿宋" w:hAnsi="仿宋" w:eastAsia="仿宋" w:cs="仿宋"/>
          <w:color w:val="auto"/>
          <w:sz w:val="24"/>
          <w:highlight w:val="none"/>
        </w:rPr>
        <w:t>免费。</w:t>
      </w:r>
    </w:p>
    <w:p w14:paraId="528A6ED5">
      <w:pPr>
        <w:pStyle w:val="4"/>
        <w:numPr>
          <w:ilvl w:val="0"/>
          <w:numId w:val="0"/>
        </w:numPr>
        <w:ind w:left="432" w:hanging="432"/>
        <w:rPr>
          <w:rFonts w:hint="eastAsia" w:ascii="仿宋" w:hAnsi="仿宋" w:eastAsia="仿宋" w:cs="仿宋"/>
          <w:color w:val="auto"/>
          <w:sz w:val="24"/>
          <w:szCs w:val="24"/>
          <w:highlight w:val="none"/>
        </w:rPr>
      </w:pPr>
      <w:bookmarkStart w:id="23" w:name="_Toc35393632"/>
      <w:bookmarkStart w:id="24" w:name="_Toc28359092"/>
      <w:bookmarkStart w:id="25" w:name="_Toc35393801"/>
      <w:bookmarkStart w:id="26" w:name="_Toc28359015"/>
      <w:r>
        <w:rPr>
          <w:rFonts w:hint="eastAsia" w:ascii="仿宋" w:hAnsi="仿宋" w:eastAsia="仿宋" w:cs="仿宋"/>
          <w:color w:val="auto"/>
          <w:sz w:val="24"/>
          <w:szCs w:val="24"/>
          <w:highlight w:val="none"/>
        </w:rPr>
        <w:t>四、响应文件提交</w:t>
      </w:r>
      <w:bookmarkEnd w:id="23"/>
      <w:bookmarkEnd w:id="24"/>
      <w:bookmarkEnd w:id="25"/>
      <w:bookmarkEnd w:id="26"/>
      <w:r>
        <w:rPr>
          <w:rFonts w:hint="eastAsia" w:ascii="仿宋" w:hAnsi="仿宋" w:eastAsia="仿宋" w:cs="仿宋"/>
          <w:color w:val="auto"/>
          <w:sz w:val="24"/>
          <w:szCs w:val="24"/>
          <w:highlight w:val="none"/>
        </w:rPr>
        <w:t>（上传）</w:t>
      </w:r>
    </w:p>
    <w:p w14:paraId="2DB12AA2">
      <w:pPr>
        <w:spacing w:line="360" w:lineRule="auto"/>
        <w:ind w:firstLine="480" w:firstLineChars="200"/>
        <w:rPr>
          <w:rFonts w:hint="eastAsia" w:ascii="仿宋" w:hAnsi="仿宋" w:eastAsia="仿宋" w:cs="仿宋"/>
          <w:bCs/>
          <w:color w:val="auto"/>
          <w:sz w:val="24"/>
          <w:highlight w:val="none"/>
          <w:u w:val="single"/>
        </w:rPr>
      </w:pPr>
      <w:r>
        <w:rPr>
          <w:rFonts w:hint="eastAsia" w:ascii="仿宋" w:hAnsi="仿宋" w:eastAsia="仿宋" w:cs="仿宋"/>
          <w:color w:val="auto"/>
          <w:sz w:val="24"/>
          <w:highlight w:val="none"/>
        </w:rPr>
        <w:t>截止时间：</w:t>
      </w:r>
      <w:r>
        <w:rPr>
          <w:rFonts w:hint="eastAsia" w:ascii="仿宋" w:hAnsi="仿宋" w:eastAsia="仿宋" w:cs="仿宋"/>
          <w:color w:val="auto"/>
          <w:sz w:val="24"/>
          <w:highlight w:val="none"/>
          <w:u w:val="single"/>
          <w:lang w:eastAsia="zh-CN"/>
        </w:rPr>
        <w:t>2025年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lang w:eastAsia="zh-CN"/>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lang w:eastAsia="zh-CN"/>
        </w:rPr>
        <w:t>分</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lang w:eastAsia="zh-CN"/>
        </w:rPr>
        <w:t>秒</w:t>
      </w:r>
      <w:r>
        <w:rPr>
          <w:rFonts w:hint="eastAsia" w:ascii="仿宋" w:hAnsi="仿宋" w:eastAsia="仿宋" w:cs="仿宋"/>
          <w:bCs/>
          <w:color w:val="auto"/>
          <w:sz w:val="24"/>
          <w:highlight w:val="none"/>
        </w:rPr>
        <w:t>（北京时间）</w:t>
      </w:r>
    </w:p>
    <w:p w14:paraId="29CF02AD">
      <w:pPr>
        <w:spacing w:line="360" w:lineRule="auto"/>
        <w:ind w:firstLine="480" w:firstLineChars="200"/>
        <w:rPr>
          <w:rFonts w:hint="eastAsia" w:ascii="仿宋" w:hAnsi="仿宋" w:eastAsia="仿宋" w:cs="仿宋"/>
          <w:bCs/>
          <w:color w:val="auto"/>
          <w:sz w:val="24"/>
          <w:highlight w:val="none"/>
          <w:u w:val="single"/>
        </w:rPr>
      </w:pPr>
      <w:r>
        <w:rPr>
          <w:rFonts w:hint="eastAsia" w:ascii="仿宋" w:hAnsi="仿宋" w:eastAsia="仿宋" w:cs="仿宋"/>
          <w:color w:val="auto"/>
          <w:sz w:val="24"/>
          <w:highlight w:val="none"/>
        </w:rPr>
        <w:t>地点：</w:t>
      </w:r>
      <w:r>
        <w:rPr>
          <w:rFonts w:hint="eastAsia" w:ascii="仿宋" w:hAnsi="仿宋" w:eastAsia="仿宋" w:cs="仿宋"/>
          <w:b/>
          <w:color w:val="auto"/>
          <w:sz w:val="24"/>
          <w:highlight w:val="none"/>
        </w:rPr>
        <w:t>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 </w:instrText>
      </w:r>
      <w:r>
        <w:rPr>
          <w:rFonts w:hint="eastAsia" w:ascii="仿宋" w:hAnsi="仿宋" w:eastAsia="仿宋" w:cs="仿宋"/>
          <w:color w:val="auto"/>
          <w:highlight w:val="none"/>
        </w:rPr>
        <w:fldChar w:fldCharType="separate"/>
      </w:r>
      <w:r>
        <w:rPr>
          <w:rStyle w:val="70"/>
          <w:rFonts w:hint="eastAsia" w:ascii="仿宋" w:hAnsi="仿宋" w:eastAsia="仿宋" w:cs="仿宋"/>
          <w:b/>
          <w:color w:val="auto"/>
          <w:kern w:val="2"/>
          <w:sz w:val="24"/>
          <w:szCs w:val="24"/>
          <w:highlight w:val="none"/>
        </w:rPr>
        <w:t>https://www.zcygov.cn/</w:t>
      </w:r>
      <w:r>
        <w:rPr>
          <w:rStyle w:val="70"/>
          <w:rFonts w:hint="eastAsia" w:ascii="仿宋" w:hAnsi="仿宋" w:eastAsia="仿宋" w:cs="仿宋"/>
          <w:b/>
          <w:color w:val="auto"/>
          <w:kern w:val="2"/>
          <w:sz w:val="24"/>
          <w:szCs w:val="24"/>
          <w:highlight w:val="none"/>
        </w:rPr>
        <w:fldChar w:fldCharType="end"/>
      </w:r>
      <w:r>
        <w:rPr>
          <w:rFonts w:hint="eastAsia" w:ascii="仿宋" w:hAnsi="仿宋" w:eastAsia="仿宋" w:cs="仿宋"/>
          <w:b/>
          <w:color w:val="auto"/>
          <w:sz w:val="24"/>
          <w:highlight w:val="none"/>
        </w:rPr>
        <w:t>）。</w:t>
      </w:r>
    </w:p>
    <w:p w14:paraId="24FC652E">
      <w:pPr>
        <w:pStyle w:val="4"/>
        <w:numPr>
          <w:ilvl w:val="0"/>
          <w:numId w:val="0"/>
        </w:numPr>
        <w:ind w:left="432" w:hanging="432"/>
        <w:rPr>
          <w:rFonts w:hint="eastAsia" w:ascii="仿宋" w:hAnsi="仿宋" w:eastAsia="仿宋" w:cs="仿宋"/>
          <w:color w:val="auto"/>
          <w:sz w:val="24"/>
          <w:szCs w:val="24"/>
          <w:highlight w:val="none"/>
        </w:rPr>
      </w:pPr>
      <w:bookmarkStart w:id="27" w:name="_Toc35393633"/>
      <w:bookmarkStart w:id="28" w:name="_Toc28359016"/>
      <w:bookmarkStart w:id="29" w:name="_Toc35393802"/>
      <w:bookmarkStart w:id="30" w:name="_Toc28359093"/>
      <w:r>
        <w:rPr>
          <w:rFonts w:hint="eastAsia" w:ascii="仿宋" w:hAnsi="仿宋" w:eastAsia="仿宋" w:cs="仿宋"/>
          <w:color w:val="auto"/>
          <w:sz w:val="24"/>
          <w:szCs w:val="24"/>
          <w:highlight w:val="none"/>
        </w:rPr>
        <w:t>五、响应文件开启</w:t>
      </w:r>
      <w:bookmarkEnd w:id="27"/>
      <w:bookmarkEnd w:id="28"/>
      <w:bookmarkEnd w:id="29"/>
      <w:bookmarkEnd w:id="30"/>
    </w:p>
    <w:p w14:paraId="3BDAC4BB">
      <w:pPr>
        <w:spacing w:line="360" w:lineRule="auto"/>
        <w:ind w:firstLine="480" w:firstLineChars="200"/>
        <w:rPr>
          <w:rFonts w:hint="eastAsia" w:ascii="仿宋" w:hAnsi="仿宋" w:eastAsia="仿宋" w:cs="仿宋"/>
          <w:bCs/>
          <w:color w:val="auto"/>
          <w:sz w:val="24"/>
          <w:highlight w:val="none"/>
          <w:u w:val="single"/>
        </w:rPr>
      </w:pP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lang w:eastAsia="zh-CN"/>
        </w:rPr>
        <w:t>2025年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lang w:eastAsia="zh-CN"/>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lang w:eastAsia="zh-CN"/>
        </w:rPr>
        <w:t>分</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lang w:eastAsia="zh-CN"/>
        </w:rPr>
        <w:t>秒</w:t>
      </w:r>
      <w:r>
        <w:rPr>
          <w:rFonts w:hint="eastAsia" w:ascii="仿宋" w:hAnsi="仿宋" w:eastAsia="仿宋" w:cs="仿宋"/>
          <w:bCs/>
          <w:color w:val="auto"/>
          <w:sz w:val="24"/>
          <w:highlight w:val="none"/>
        </w:rPr>
        <w:t>（北京时间）</w:t>
      </w:r>
    </w:p>
    <w:p w14:paraId="12AEDCD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地点：杭州市公共资源交易中心建德分中心4号评标室（建德市洋溪街道新安江路399号（原建德市客运中心），政采云平台（https://www.zcygov.cn/）。</w:t>
      </w:r>
    </w:p>
    <w:p w14:paraId="04BB4793">
      <w:pPr>
        <w:pStyle w:val="4"/>
        <w:numPr>
          <w:ilvl w:val="0"/>
          <w:numId w:val="0"/>
        </w:numPr>
        <w:ind w:left="432" w:hanging="432"/>
        <w:rPr>
          <w:rFonts w:hint="eastAsia" w:ascii="仿宋" w:hAnsi="仿宋" w:eastAsia="仿宋" w:cs="仿宋"/>
          <w:color w:val="auto"/>
          <w:sz w:val="24"/>
          <w:szCs w:val="24"/>
          <w:highlight w:val="none"/>
        </w:rPr>
      </w:pPr>
      <w:bookmarkStart w:id="31" w:name="_Toc28359094"/>
      <w:bookmarkStart w:id="32" w:name="_Toc28359017"/>
      <w:bookmarkStart w:id="33" w:name="_Toc35393803"/>
      <w:bookmarkStart w:id="34" w:name="_Toc35393634"/>
      <w:r>
        <w:rPr>
          <w:rFonts w:hint="eastAsia" w:ascii="仿宋" w:hAnsi="仿宋" w:eastAsia="仿宋" w:cs="仿宋"/>
          <w:color w:val="auto"/>
          <w:sz w:val="24"/>
          <w:szCs w:val="24"/>
          <w:highlight w:val="none"/>
        </w:rPr>
        <w:t>六、公告期限</w:t>
      </w:r>
      <w:bookmarkEnd w:id="31"/>
      <w:bookmarkEnd w:id="32"/>
      <w:bookmarkEnd w:id="33"/>
      <w:bookmarkEnd w:id="34"/>
    </w:p>
    <w:p w14:paraId="711530E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自本公告发布之日起3个工作日。</w:t>
      </w:r>
    </w:p>
    <w:p w14:paraId="6293CE6E">
      <w:pPr>
        <w:pStyle w:val="4"/>
        <w:numPr>
          <w:ilvl w:val="0"/>
          <w:numId w:val="0"/>
        </w:numPr>
        <w:ind w:left="432" w:hanging="432"/>
        <w:rPr>
          <w:rFonts w:hint="eastAsia" w:ascii="仿宋" w:hAnsi="仿宋" w:eastAsia="仿宋" w:cs="仿宋"/>
          <w:color w:val="auto"/>
          <w:sz w:val="24"/>
          <w:szCs w:val="24"/>
          <w:highlight w:val="none"/>
        </w:rPr>
      </w:pPr>
      <w:bookmarkStart w:id="35" w:name="_Toc35393804"/>
      <w:bookmarkStart w:id="36" w:name="_Toc35393635"/>
      <w:r>
        <w:rPr>
          <w:rFonts w:hint="eastAsia" w:ascii="仿宋" w:hAnsi="仿宋" w:eastAsia="仿宋" w:cs="仿宋"/>
          <w:color w:val="auto"/>
          <w:sz w:val="24"/>
          <w:szCs w:val="24"/>
          <w:highlight w:val="none"/>
        </w:rPr>
        <w:t>七、其他补充事宜</w:t>
      </w:r>
      <w:bookmarkEnd w:id="35"/>
      <w:bookmarkEnd w:id="36"/>
    </w:p>
    <w:p w14:paraId="7A6E36D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3212BA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839F51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3F8B44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4.其他事项：（1）需要落实的政府采购政策：</w:t>
      </w:r>
      <w:r>
        <w:rPr>
          <w:rFonts w:hint="eastAsia" w:ascii="仿宋" w:hAnsi="仿宋" w:eastAsia="仿宋" w:cs="仿宋"/>
          <w:color w:val="auto"/>
          <w:kern w:val="0"/>
          <w:sz w:val="24"/>
          <w:highlight w:val="none"/>
        </w:rPr>
        <w:t>包括节约资源、保护环境、</w:t>
      </w:r>
      <w:r>
        <w:rPr>
          <w:rFonts w:hint="eastAsia" w:ascii="仿宋" w:hAnsi="仿宋" w:eastAsia="仿宋" w:cs="仿宋"/>
          <w:color w:val="auto"/>
          <w:sz w:val="24"/>
          <w:highlight w:val="none"/>
        </w:rPr>
        <w:t>支持创新、</w:t>
      </w:r>
      <w:r>
        <w:rPr>
          <w:rFonts w:hint="eastAsia" w:ascii="仿宋" w:hAnsi="仿宋" w:eastAsia="仿宋" w:cs="仿宋"/>
          <w:color w:val="auto"/>
          <w:kern w:val="0"/>
          <w:sz w:val="24"/>
          <w:highlight w:val="none"/>
        </w:rPr>
        <w:t>促进中小企业发展等，详见磋商文件第三部分。</w:t>
      </w:r>
      <w:r>
        <w:rPr>
          <w:rFonts w:hint="eastAsia" w:ascii="仿宋" w:hAnsi="仿宋" w:eastAsia="仿宋" w:cs="仿宋"/>
          <w:b/>
          <w:color w:val="auto"/>
          <w:kern w:val="0"/>
          <w:sz w:val="24"/>
          <w:szCs w:val="20"/>
          <w:highlight w:val="none"/>
        </w:rPr>
        <w:t>（2）</w:t>
      </w:r>
      <w:r>
        <w:rPr>
          <w:rFonts w:hint="eastAsia" w:ascii="仿宋" w:hAnsi="仿宋" w:eastAsia="仿宋" w:cs="仿宋"/>
          <w:b/>
          <w:color w:val="auto"/>
          <w:sz w:val="24"/>
          <w:highlight w:val="none"/>
        </w:rPr>
        <w:t>电子交易的说明: 1）电子交易：</w:t>
      </w:r>
      <w:r>
        <w:rPr>
          <w:rFonts w:hint="eastAsia" w:ascii="仿宋" w:hAnsi="仿宋" w:eastAsia="仿宋" w:cs="仿宋"/>
          <w:color w:val="auto"/>
          <w:sz w:val="24"/>
          <w:highlight w:val="none"/>
        </w:rPr>
        <w:t>本项目以数据电文形式，依托“政府采购云平台（www.zcygov.cn）”进行采购活动，不接受纸质响应文件。</w:t>
      </w:r>
      <w:r>
        <w:rPr>
          <w:rFonts w:hint="eastAsia" w:ascii="仿宋" w:hAnsi="仿宋" w:eastAsia="仿宋" w:cs="仿宋"/>
          <w:b/>
          <w:color w:val="auto"/>
          <w:sz w:val="24"/>
          <w:highlight w:val="none"/>
        </w:rPr>
        <w:t>2）响应准备：</w:t>
      </w:r>
      <w:r>
        <w:rPr>
          <w:rFonts w:hint="eastAsia" w:ascii="仿宋" w:hAnsi="仿宋" w:eastAsia="仿宋" w:cs="仿宋"/>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color w:val="auto"/>
          <w:sz w:val="24"/>
          <w:highlight w:val="none"/>
        </w:rPr>
        <w:t>3）磋商文件的获取：</w:t>
      </w:r>
      <w:r>
        <w:rPr>
          <w:rFonts w:hint="eastAsia" w:ascii="仿宋" w:hAnsi="仿宋" w:eastAsia="仿宋" w:cs="仿宋"/>
          <w:color w:val="auto"/>
          <w:sz w:val="24"/>
          <w:highlight w:val="none"/>
        </w:rPr>
        <w:t>使用账号登录或者使用CA登录政采云平台；进入“项目采购”应用，在获取采购文件菜单中选择项目，获取磋商文件。</w:t>
      </w:r>
      <w:r>
        <w:rPr>
          <w:rFonts w:hint="eastAsia" w:ascii="仿宋" w:hAnsi="仿宋" w:eastAsia="仿宋" w:cs="仿宋"/>
          <w:b/>
          <w:color w:val="auto"/>
          <w:sz w:val="24"/>
          <w:highlight w:val="none"/>
        </w:rPr>
        <w:t>4）响应文件的制作：</w:t>
      </w:r>
      <w:r>
        <w:rPr>
          <w:rFonts w:hint="eastAsia" w:ascii="仿宋" w:hAnsi="仿宋" w:eastAsia="仿宋" w:cs="仿宋"/>
          <w:color w:val="auto"/>
          <w:sz w:val="24"/>
          <w:highlight w:val="none"/>
        </w:rPr>
        <w:t>在“政采云电子交易客户端”中完成“填写基本信息”、“导入</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”、“标书关联”、“标书检查”、“电子签名”、“生成电子标书”等操作。</w:t>
      </w:r>
      <w:r>
        <w:rPr>
          <w:rFonts w:hint="eastAsia" w:ascii="仿宋" w:hAnsi="仿宋" w:eastAsia="仿宋" w:cs="仿宋"/>
          <w:b/>
          <w:color w:val="auto"/>
          <w:sz w:val="24"/>
          <w:highlight w:val="none"/>
        </w:rPr>
        <w:t>5）</w:t>
      </w: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将依托政采云平台完成本项目的电子交易活动，平台不接受未按本公告约定方式获取磋商文件的供应商进行响应活动；</w:t>
      </w:r>
      <w:r>
        <w:rPr>
          <w:rFonts w:hint="eastAsia" w:ascii="仿宋" w:hAnsi="仿宋" w:eastAsia="仿宋" w:cs="仿宋"/>
          <w:b/>
          <w:color w:val="auto"/>
          <w:sz w:val="24"/>
          <w:highlight w:val="none"/>
        </w:rPr>
        <w:t>6）</w:t>
      </w:r>
      <w:r>
        <w:rPr>
          <w:rFonts w:hint="eastAsia" w:ascii="仿宋" w:hAnsi="仿宋" w:eastAsia="仿宋" w:cs="仿宋"/>
          <w:color w:val="auto"/>
          <w:sz w:val="24"/>
          <w:highlight w:val="none"/>
        </w:rPr>
        <w:t>对未按上述方式获取磋商文件的供应商对该文件提出的质疑，采购人或采购代理机构将不予处理</w:t>
      </w:r>
      <w:r>
        <w:rPr>
          <w:rFonts w:hint="eastAsia" w:ascii="仿宋" w:hAnsi="仿宋" w:eastAsia="仿宋" w:cs="仿宋"/>
          <w:b/>
          <w:color w:val="auto"/>
          <w:sz w:val="24"/>
          <w:highlight w:val="none"/>
        </w:rPr>
        <w:t>；7）</w:t>
      </w:r>
      <w:r>
        <w:rPr>
          <w:rFonts w:hint="eastAsia" w:ascii="仿宋" w:hAnsi="仿宋" w:eastAsia="仿宋" w:cs="仿宋"/>
          <w:color w:val="auto"/>
          <w:sz w:val="24"/>
          <w:highlight w:val="none"/>
        </w:rPr>
        <w:t>不提供磋商文件纸质版；</w:t>
      </w:r>
      <w:r>
        <w:rPr>
          <w:rFonts w:hint="eastAsia" w:ascii="仿宋" w:hAnsi="仿宋" w:eastAsia="仿宋" w:cs="仿宋"/>
          <w:b/>
          <w:color w:val="auto"/>
          <w:sz w:val="24"/>
          <w:highlight w:val="none"/>
        </w:rPr>
        <w:t>8）响应文件的传输提交：</w:t>
      </w:r>
      <w:r>
        <w:rPr>
          <w:rFonts w:hint="eastAsia" w:ascii="仿宋" w:hAnsi="仿宋" w:eastAsia="仿宋" w:cs="仿宋"/>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color w:val="auto"/>
          <w:sz w:val="24"/>
          <w:highlight w:val="none"/>
        </w:rPr>
        <w:t>9）响应文件的解密：</w:t>
      </w:r>
      <w:r>
        <w:rPr>
          <w:rFonts w:hint="eastAsia" w:ascii="仿宋" w:hAnsi="仿宋" w:eastAsia="仿宋" w:cs="仿宋"/>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color w:val="auto"/>
          <w:sz w:val="24"/>
          <w:highlight w:val="none"/>
        </w:rPr>
        <w:t>）具体操作指南</w:t>
      </w:r>
      <w:r>
        <w:rPr>
          <w:rFonts w:hint="eastAsia" w:ascii="仿宋" w:hAnsi="仿宋" w:eastAsia="仿宋" w:cs="仿宋"/>
          <w:color w:val="auto"/>
          <w:sz w:val="24"/>
          <w:highlight w:val="none"/>
        </w:rPr>
        <w:t>：详见政采云平台“服务中心-帮助文档-项目采购-操作流程-电子招投标-政府采购项目电子交易管理操作指南-供应商”。（3磋商文件公告期限与磋商公告的公告期限一致。</w:t>
      </w:r>
    </w:p>
    <w:p w14:paraId="2C46A3FA">
      <w:pPr>
        <w:pStyle w:val="4"/>
        <w:numPr>
          <w:ilvl w:val="0"/>
          <w:numId w:val="0"/>
        </w:numPr>
        <w:ind w:left="432" w:hanging="432"/>
        <w:rPr>
          <w:rFonts w:hint="eastAsia" w:ascii="仿宋" w:hAnsi="仿宋" w:eastAsia="仿宋" w:cs="仿宋"/>
          <w:color w:val="auto"/>
          <w:sz w:val="24"/>
          <w:szCs w:val="24"/>
          <w:highlight w:val="none"/>
        </w:rPr>
      </w:pPr>
      <w:bookmarkStart w:id="37" w:name="_Toc28359095"/>
      <w:bookmarkStart w:id="38" w:name="_Toc28359018"/>
      <w:bookmarkStart w:id="39" w:name="_Toc35393636"/>
      <w:bookmarkStart w:id="40" w:name="_Toc35393805"/>
      <w:r>
        <w:rPr>
          <w:rFonts w:hint="eastAsia" w:ascii="仿宋" w:hAnsi="仿宋" w:eastAsia="仿宋" w:cs="仿宋"/>
          <w:color w:val="auto"/>
          <w:sz w:val="24"/>
          <w:szCs w:val="24"/>
          <w:highlight w:val="none"/>
        </w:rPr>
        <w:t>八、凡对本次采购提出询问</w:t>
      </w:r>
      <w:r>
        <w:rPr>
          <w:rFonts w:hint="eastAsia" w:ascii="仿宋" w:hAnsi="仿宋" w:eastAsia="仿宋" w:cs="仿宋"/>
          <w:bCs w:val="0"/>
          <w:color w:val="auto"/>
          <w:sz w:val="24"/>
          <w:szCs w:val="24"/>
          <w:highlight w:val="none"/>
        </w:rPr>
        <w:t>、质疑、投诉</w:t>
      </w:r>
      <w:r>
        <w:rPr>
          <w:rFonts w:hint="eastAsia" w:ascii="仿宋" w:hAnsi="仿宋" w:eastAsia="仿宋" w:cs="仿宋"/>
          <w:color w:val="auto"/>
          <w:sz w:val="24"/>
          <w:szCs w:val="24"/>
          <w:highlight w:val="none"/>
        </w:rPr>
        <w:t>，请按以下方式联系</w:t>
      </w:r>
      <w:bookmarkEnd w:id="37"/>
      <w:bookmarkEnd w:id="38"/>
      <w:bookmarkEnd w:id="39"/>
      <w:bookmarkEnd w:id="40"/>
    </w:p>
    <w:p w14:paraId="40F9F17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6F50B9C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建德经济开发区管理委员会</w:t>
      </w:r>
    </w:p>
    <w:p w14:paraId="7511D16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址：浙江省建德市下涯镇钟潭路2号</w:t>
      </w:r>
    </w:p>
    <w:p w14:paraId="02F6ECA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513DA002">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项目</w:t>
      </w:r>
      <w:r>
        <w:rPr>
          <w:rFonts w:hint="eastAsia" w:ascii="仿宋" w:hAnsi="仿宋" w:eastAsia="仿宋" w:cs="仿宋"/>
          <w:color w:val="auto"/>
          <w:sz w:val="24"/>
          <w:highlight w:val="none"/>
          <w:lang w:eastAsia="zh-CN"/>
        </w:rPr>
        <w:t>联系人（询问）：</w:t>
      </w:r>
      <w:r>
        <w:rPr>
          <w:rFonts w:hint="eastAsia" w:ascii="仿宋" w:hAnsi="仿宋" w:eastAsia="仿宋" w:cs="仿宋"/>
          <w:color w:val="auto"/>
          <w:sz w:val="24"/>
          <w:highlight w:val="none"/>
          <w:lang w:val="en-US" w:eastAsia="zh-CN"/>
        </w:rPr>
        <w:t xml:space="preserve">吴先生   </w:t>
      </w:r>
      <w:r>
        <w:rPr>
          <w:rFonts w:hint="eastAsia" w:ascii="仿宋" w:hAnsi="仿宋" w:eastAsia="仿宋" w:cs="仿宋"/>
          <w:color w:val="auto"/>
          <w:sz w:val="24"/>
          <w:highlight w:val="none"/>
          <w:lang w:eastAsia="zh-CN"/>
        </w:rPr>
        <w:t xml:space="preserve">  </w:t>
      </w:r>
    </w:p>
    <w:p w14:paraId="42C7100D">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 xml:space="preserve">    项目联系方式（询问）：</w:t>
      </w:r>
      <w:r>
        <w:rPr>
          <w:rFonts w:hint="default" w:ascii="仿宋" w:hAnsi="仿宋" w:eastAsia="仿宋" w:cs="仿宋"/>
          <w:color w:val="auto"/>
          <w:sz w:val="24"/>
          <w:highlight w:val="none"/>
          <w:lang w:val="en-US" w:eastAsia="zh-CN"/>
        </w:rPr>
        <w:t>15906663887</w:t>
      </w:r>
      <w:r>
        <w:rPr>
          <w:rFonts w:hint="eastAsia" w:ascii="仿宋" w:hAnsi="仿宋" w:eastAsia="仿宋" w:cs="仿宋"/>
          <w:color w:val="auto"/>
          <w:sz w:val="24"/>
          <w:highlight w:val="none"/>
          <w:lang w:val="en-US" w:eastAsia="zh-CN"/>
        </w:rPr>
        <w:t xml:space="preserve">   </w:t>
      </w:r>
    </w:p>
    <w:p w14:paraId="73409FAF">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质疑联系人：唐献荣</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 xml:space="preserve"> </w:t>
      </w:r>
    </w:p>
    <w:p w14:paraId="4AA6D674">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质疑联系方式：15167109655</w:t>
      </w:r>
      <w:r>
        <w:rPr>
          <w:rFonts w:hint="eastAsia" w:ascii="仿宋" w:hAnsi="仿宋" w:eastAsia="仿宋" w:cs="仿宋"/>
          <w:color w:val="auto"/>
          <w:sz w:val="24"/>
          <w:highlight w:val="none"/>
          <w:lang w:val="en-US" w:eastAsia="zh-CN"/>
        </w:rPr>
        <w:t xml:space="preserve">  </w:t>
      </w:r>
    </w:p>
    <w:p w14:paraId="6C7E9C3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2.采购代理机构信息            </w:t>
      </w:r>
    </w:p>
    <w:p w14:paraId="43E3AEA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杭州博望建设工程招标投标代理有限公司</w:t>
      </w:r>
    </w:p>
    <w:p w14:paraId="40446B32">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浙江省建德市新安江街道新安财富城6幢B座1201室</w:t>
      </w:r>
    </w:p>
    <w:p w14:paraId="37836F3B">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传    真：</w:t>
      </w:r>
    </w:p>
    <w:p w14:paraId="1E1DBC95">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项目联系人（询问）：周女士</w:t>
      </w:r>
    </w:p>
    <w:p w14:paraId="24AA5052">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项目联系方式（询问）：</w:t>
      </w:r>
      <w:r>
        <w:rPr>
          <w:rFonts w:hint="eastAsia" w:ascii="仿宋" w:hAnsi="仿宋" w:eastAsia="仿宋" w:cs="仿宋"/>
          <w:color w:val="auto"/>
          <w:sz w:val="24"/>
          <w:highlight w:val="none"/>
          <w:lang w:val="en-US" w:eastAsia="zh-CN"/>
        </w:rPr>
        <w:t>15167182821</w:t>
      </w:r>
    </w:p>
    <w:p w14:paraId="2E8652F1">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质疑联系人：黄慧宗 </w:t>
      </w:r>
    </w:p>
    <w:p w14:paraId="10FCE1C3">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质疑联系方式：0571-64182360</w:t>
      </w:r>
    </w:p>
    <w:p w14:paraId="20E7310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 xml:space="preserve">同级政府采购监督管理部门            </w:t>
      </w:r>
    </w:p>
    <w:p w14:paraId="1A0381E5">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称：建德市财政局、浙江省政府采购行政裁决服务中心（杭州）</w:t>
      </w:r>
    </w:p>
    <w:p w14:paraId="139AFED1">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址：杭州市上城区清泰街549号城建综合大楼11楼（快递仅限ems或顺丰）</w:t>
      </w:r>
    </w:p>
    <w:p w14:paraId="3C2E5C7C">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599EE29A">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：匡老师</w:t>
      </w:r>
    </w:p>
    <w:p w14:paraId="25441400">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监督投诉电话：0571-8780779</w:t>
      </w:r>
      <w:r>
        <w:rPr>
          <w:rFonts w:hint="eastAsia" w:ascii="仿宋" w:hAnsi="仿宋" w:eastAsia="仿宋" w:cs="仿宋"/>
          <w:color w:val="auto"/>
          <w:sz w:val="24"/>
          <w:highlight w:val="none"/>
          <w:lang w:val="en-US" w:eastAsia="zh-CN"/>
        </w:rPr>
        <w:t>8</w:t>
      </w:r>
    </w:p>
    <w:p w14:paraId="13D566A3">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FCF677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0B34C4E3">
      <w:pPr>
        <w:spacing w:line="360" w:lineRule="auto"/>
        <w:ind w:firstLine="480" w:firstLineChars="200"/>
        <w:rPr>
          <w:rFonts w:hint="eastAsia" w:ascii="仿宋" w:hAnsi="仿宋" w:eastAsia="仿宋" w:cs="仿宋"/>
          <w:color w:val="auto"/>
          <w:sz w:val="24"/>
          <w:highlight w:val="none"/>
        </w:rPr>
      </w:pPr>
    </w:p>
    <w:p w14:paraId="03029296">
      <w:pPr>
        <w:spacing w:line="360" w:lineRule="auto"/>
        <w:ind w:firstLine="480" w:firstLineChars="200"/>
        <w:rPr>
          <w:rFonts w:hint="eastAsia" w:ascii="仿宋" w:hAnsi="仿宋" w:eastAsia="仿宋" w:cs="仿宋"/>
          <w:color w:val="auto"/>
          <w:sz w:val="24"/>
          <w:highlight w:val="none"/>
        </w:rPr>
      </w:pPr>
    </w:p>
    <w:p w14:paraId="43DC2EDC">
      <w:pPr>
        <w:spacing w:line="360" w:lineRule="auto"/>
        <w:ind w:firstLine="480" w:firstLineChars="200"/>
        <w:rPr>
          <w:rFonts w:hint="eastAsia" w:ascii="仿宋" w:hAnsi="仿宋" w:eastAsia="仿宋" w:cs="仿宋"/>
          <w:color w:val="auto"/>
          <w:sz w:val="24"/>
          <w:highlight w:val="none"/>
        </w:rPr>
      </w:pPr>
    </w:p>
    <w:p w14:paraId="262DB6D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6AB623CF">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6"/>
          <w:szCs w:val="20"/>
          <w:highlight w:val="none"/>
        </w:rPr>
        <w:t>第二部分 竞争性磋商流程</w:t>
      </w:r>
    </w:p>
    <w:p w14:paraId="53362213">
      <w:pPr>
        <w:pStyle w:val="395"/>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szCs w:val="24"/>
          <w:highlight w:val="none"/>
        </w:rPr>
        <w:t>1.征集供应商</w:t>
      </w:r>
    </w:p>
    <w:p w14:paraId="2F00E701">
      <w:pPr>
        <w:pStyle w:val="39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1.1邀请供应商。</w:t>
      </w:r>
    </w:p>
    <w:p w14:paraId="210B35DB">
      <w:pPr>
        <w:pStyle w:val="395"/>
        <w:numPr>
          <w:ilvl w:val="0"/>
          <w:numId w:val="8"/>
        </w:numPr>
        <w:spacing w:before="0"/>
        <w:ind w:firstLineChars="0"/>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采用公告方式邀请供应商的，</w:t>
      </w:r>
      <w:r>
        <w:rPr>
          <w:rFonts w:hint="eastAsia" w:ascii="仿宋" w:hAnsi="仿宋" w:eastAsia="仿宋" w:cs="仿宋"/>
          <w:color w:val="auto"/>
          <w:szCs w:val="24"/>
          <w:highlight w:val="none"/>
        </w:rPr>
        <w:t>由采购人、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在省级以上人民政府财政部门指定的政府采购信息发布媒体上发布磋商公告，邀请符合相应资格条件的供应商参与竞争性磋商采购活动。</w:t>
      </w:r>
    </w:p>
    <w:p w14:paraId="05B4DF54">
      <w:pPr>
        <w:pStyle w:val="395"/>
        <w:numPr>
          <w:ilvl w:val="0"/>
          <w:numId w:val="8"/>
        </w:numPr>
        <w:spacing w:before="0"/>
        <w:ind w:firstLineChars="0"/>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采用随机抽取方式邀请供应商的，</w:t>
      </w:r>
      <w:r>
        <w:rPr>
          <w:rFonts w:hint="eastAsia" w:ascii="仿宋" w:hAnsi="仿宋" w:eastAsia="仿宋" w:cs="仿宋"/>
          <w:color w:val="auto"/>
          <w:szCs w:val="24"/>
          <w:highlight w:val="none"/>
        </w:rPr>
        <w:t>由采购人、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从省级以上财政部门建立的供应商库中随机抽取不少于3家符合相应资格条件的供应商参与竞争性磋商采购活动。</w:t>
      </w:r>
    </w:p>
    <w:p w14:paraId="323601F4">
      <w:pPr>
        <w:pStyle w:val="395"/>
        <w:numPr>
          <w:ilvl w:val="0"/>
          <w:numId w:val="8"/>
        </w:numPr>
        <w:spacing w:before="0"/>
        <w:ind w:firstLineChars="0"/>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采用书面推荐方式邀请供应商的，</w:t>
      </w:r>
      <w:r>
        <w:rPr>
          <w:rFonts w:hint="eastAsia" w:ascii="仿宋" w:hAnsi="仿宋" w:eastAsia="仿宋" w:cs="仿宋"/>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75885620">
      <w:pPr>
        <w:pStyle w:val="39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1.2供应商获取磋商文件。</w:t>
      </w:r>
    </w:p>
    <w:p w14:paraId="479978EC">
      <w:pPr>
        <w:pStyle w:val="39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1.3组织现场考察或召开答疑会（如果有）。</w:t>
      </w:r>
    </w:p>
    <w:p w14:paraId="54D0BAB9">
      <w:pPr>
        <w:pStyle w:val="39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1.4发布更正（延期）公告，澄清或修改磋商文件（如果有）。</w:t>
      </w:r>
    </w:p>
    <w:p w14:paraId="1B600C2B">
      <w:pPr>
        <w:pStyle w:val="39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1.5供应商按磋商文件要求编制响应文件。</w:t>
      </w:r>
    </w:p>
    <w:p w14:paraId="4AA21138">
      <w:pPr>
        <w:pStyle w:val="395"/>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2.响应文件开启与信用信息查询</w:t>
      </w:r>
    </w:p>
    <w:p w14:paraId="55D79EDB">
      <w:pPr>
        <w:pStyle w:val="39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2.1供应商依据“提交响应文件的截止时间与地点”通过政采云平台在线提交响应文件。供应商在提交响应文件的截止时间前，可以补充、修改或撤回响应文件。</w:t>
      </w:r>
    </w:p>
    <w:p w14:paraId="6C4DA25C">
      <w:pPr>
        <w:pStyle w:val="39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2.2</w:t>
      </w:r>
      <w:r>
        <w:rPr>
          <w:rFonts w:hint="eastAsia" w:ascii="仿宋" w:hAnsi="仿宋" w:eastAsia="仿宋" w:cs="仿宋"/>
          <w:color w:val="auto"/>
          <w:kern w:val="0"/>
          <w:szCs w:val="24"/>
          <w:highlight w:val="none"/>
          <w:lang w:eastAsia="zh-CN"/>
        </w:rPr>
        <w:t>采购代理机构</w:t>
      </w:r>
      <w:r>
        <w:rPr>
          <w:rFonts w:hint="eastAsia" w:ascii="仿宋" w:hAnsi="仿宋" w:eastAsia="仿宋" w:cs="仿宋"/>
          <w:color w:val="auto"/>
          <w:kern w:val="0"/>
          <w:szCs w:val="24"/>
          <w:highlight w:val="none"/>
        </w:rPr>
        <w:t>将通过“信用中国”网站(</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"http://www.creditchina.gov.cn" </w:instrText>
      </w:r>
      <w:r>
        <w:rPr>
          <w:rFonts w:hint="eastAsia" w:ascii="仿宋" w:hAnsi="仿宋" w:eastAsia="仿宋" w:cs="仿宋"/>
          <w:color w:val="auto"/>
          <w:highlight w:val="none"/>
        </w:rPr>
        <w:fldChar w:fldCharType="separate"/>
      </w:r>
      <w:r>
        <w:rPr>
          <w:rStyle w:val="70"/>
          <w:rFonts w:hint="eastAsia" w:ascii="仿宋" w:hAnsi="仿宋" w:eastAsia="仿宋" w:cs="仿宋"/>
          <w:snapToGrid/>
          <w:color w:val="auto"/>
          <w:sz w:val="24"/>
          <w:szCs w:val="24"/>
          <w:highlight w:val="none"/>
        </w:rPr>
        <w:t>www.creditchina.gov.cn</w:t>
      </w:r>
      <w:r>
        <w:rPr>
          <w:rStyle w:val="70"/>
          <w:rFonts w:hint="eastAsia" w:ascii="仿宋" w:hAnsi="仿宋" w:eastAsia="仿宋" w:cs="仿宋"/>
          <w:snapToGrid/>
          <w:color w:val="auto"/>
          <w:sz w:val="24"/>
          <w:szCs w:val="24"/>
          <w:highlight w:val="none"/>
        </w:rPr>
        <w:fldChar w:fldCharType="end"/>
      </w:r>
      <w:r>
        <w:rPr>
          <w:rFonts w:hint="eastAsia" w:ascii="仿宋" w:hAnsi="仿宋" w:eastAsia="仿宋" w:cs="仿宋"/>
          <w:color w:val="auto"/>
          <w:kern w:val="0"/>
          <w:szCs w:val="24"/>
          <w:highlight w:val="none"/>
        </w:rPr>
        <w:t>)和中国政府采购网(www.ccgp.gov.cn)渠道查询供应商响应截止时间当日的信用记录。</w:t>
      </w:r>
    </w:p>
    <w:p w14:paraId="6A224916">
      <w:pPr>
        <w:pStyle w:val="395"/>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3.磋商与评审</w:t>
      </w:r>
    </w:p>
    <w:p w14:paraId="4E0E80BE">
      <w:pPr>
        <w:pStyle w:val="39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3.1磋商小组签到。</w:t>
      </w:r>
    </w:p>
    <w:p w14:paraId="74F76986">
      <w:pPr>
        <w:pStyle w:val="39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3.2</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宣布有关纪律以及磋商、评审工作程序。</w:t>
      </w:r>
    </w:p>
    <w:p w14:paraId="1AB68463">
      <w:pPr>
        <w:pStyle w:val="39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3.3磋商小组审查确认磋商文件。磋商文件内容违反国家有关强制性规定的，磋商小组应当停止评审并向</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说明情况。</w:t>
      </w:r>
    </w:p>
    <w:p w14:paraId="4144C2C9">
      <w:pPr>
        <w:pStyle w:val="39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3.4磋商小组对供应商的资格进行审查。</w:t>
      </w:r>
    </w:p>
    <w:p w14:paraId="6FBE2FBF">
      <w:pPr>
        <w:pStyle w:val="39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3.5磋商小组审查响应文件。</w:t>
      </w:r>
    </w:p>
    <w:p w14:paraId="78E3D781">
      <w:pPr>
        <w:pStyle w:val="39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3.6对于未实质性响应磋商文件的响应文件由磋商小组认定响应无效，并告知该供应商。</w:t>
      </w:r>
    </w:p>
    <w:p w14:paraId="5CCE12FF">
      <w:pPr>
        <w:pStyle w:val="39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6B5B910E">
      <w:pPr>
        <w:pStyle w:val="39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磋商小组可通过三种方式与供应商进行磋商（A视频会议、 B发送磋商问题函、 C备注和附件），完成最终轮磋商后须提交磋商结果。</w:t>
      </w:r>
    </w:p>
    <w:p w14:paraId="2D7EE0FC">
      <w:pPr>
        <w:pStyle w:val="39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3.9经磋商确定磋商文件的变动情况。对磋商文件作出的实质性变动是磋商文件的有效组成部分，磋商小组应当及时以书面形式同时通知所有参加磋商的供应商。</w:t>
      </w:r>
    </w:p>
    <w:p w14:paraId="286E1577">
      <w:pPr>
        <w:pStyle w:val="39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3.10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3A7262B4">
      <w:pPr>
        <w:pStyle w:val="39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3.11磋商小组按照下列方式确定提交最后报价的供应商，有特殊规定的从其规定：</w:t>
      </w:r>
    </w:p>
    <w:p w14:paraId="461247E7">
      <w:pPr>
        <w:pStyle w:val="39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5EA50F3A">
      <w:pPr>
        <w:pStyle w:val="39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34E882FB">
      <w:pPr>
        <w:pStyle w:val="39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3.12确定进入最后报价的供应商在规定时间内提交最后报价。</w:t>
      </w:r>
    </w:p>
    <w:p w14:paraId="4483F309">
      <w:pPr>
        <w:pStyle w:val="39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3.13</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唱价。</w:t>
      </w:r>
    </w:p>
    <w:p w14:paraId="37B1727A">
      <w:pPr>
        <w:pStyle w:val="39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3FA921D9">
      <w:pPr>
        <w:pStyle w:val="39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3.15磋商小组应当根据综合评分情况，按照评审得分由高到低顺序推荐3名以上成交候选供应商，并编写评审报告。</w:t>
      </w:r>
    </w:p>
    <w:p w14:paraId="52D90345">
      <w:pPr>
        <w:pStyle w:val="395"/>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4.成交</w:t>
      </w:r>
    </w:p>
    <w:p w14:paraId="57DB79F4">
      <w:pPr>
        <w:pStyle w:val="39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4.1政府采购项目实行全流程电子化，评审报告送交、采购结果确定和结果公告均在线完成。</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4DD4F980">
      <w:pPr>
        <w:pStyle w:val="39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4.2</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6D022393">
      <w:pPr>
        <w:pStyle w:val="395"/>
        <w:spacing w:before="0"/>
        <w:ind w:firstLine="0" w:firstLineChars="0"/>
        <w:rPr>
          <w:rFonts w:hint="eastAsia" w:ascii="仿宋" w:hAnsi="仿宋" w:eastAsia="仿宋" w:cs="仿宋"/>
          <w:color w:val="auto"/>
          <w:kern w:val="0"/>
          <w:szCs w:val="21"/>
          <w:highlight w:val="none"/>
        </w:rPr>
      </w:pPr>
      <w:r>
        <w:rPr>
          <w:rFonts w:hint="eastAsia" w:ascii="仿宋" w:hAnsi="仿宋" w:eastAsia="仿宋" w:cs="仿宋"/>
          <w:b/>
          <w:color w:val="auto"/>
          <w:highlight w:val="none"/>
        </w:rPr>
        <w:t>5.合同及履约验收</w:t>
      </w:r>
    </w:p>
    <w:p w14:paraId="5089D0EF">
      <w:pPr>
        <w:pStyle w:val="39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5.1采购人与成交供应商应当在成交通知书发出之日起10个工作日内签订政府采购合同。</w:t>
      </w:r>
    </w:p>
    <w:p w14:paraId="1A5281B1">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5.2成交供应商按照政策要求及合同约定缴纳履约保证金。</w:t>
      </w:r>
    </w:p>
    <w:p w14:paraId="11D86368">
      <w:pPr>
        <w:pStyle w:val="39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5.3合同履约。</w:t>
      </w:r>
    </w:p>
    <w:p w14:paraId="64F9F1D4">
      <w:pPr>
        <w:pStyle w:val="39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5.4采购人组织验收。</w:t>
      </w:r>
    </w:p>
    <w:p w14:paraId="6745FA38">
      <w:pPr>
        <w:widowControl/>
        <w:adjustRightInd/>
        <w:jc w:val="left"/>
        <w:rPr>
          <w:rFonts w:hint="eastAsia" w:ascii="仿宋" w:hAnsi="仿宋" w:eastAsia="仿宋" w:cs="仿宋"/>
          <w:b/>
          <w:color w:val="auto"/>
          <w:sz w:val="24"/>
          <w:szCs w:val="20"/>
          <w:highlight w:val="none"/>
        </w:rPr>
      </w:pPr>
      <w:r>
        <w:rPr>
          <w:rFonts w:hint="eastAsia" w:ascii="仿宋" w:hAnsi="仿宋" w:eastAsia="仿宋" w:cs="仿宋"/>
          <w:b/>
          <w:color w:val="auto"/>
          <w:highlight w:val="none"/>
        </w:rPr>
        <w:br w:type="page"/>
      </w:r>
    </w:p>
    <w:p w14:paraId="297CA3CC">
      <w:pPr>
        <w:pStyle w:val="395"/>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6.竞争性磋商流程图</w:t>
      </w:r>
    </w:p>
    <w:p w14:paraId="760CB093">
      <w:pPr>
        <w:pStyle w:val="395"/>
        <w:spacing w:before="0"/>
        <w:ind w:firstLine="0" w:firstLineChars="0"/>
        <w:rPr>
          <w:rFonts w:hint="eastAsia" w:ascii="仿宋" w:hAnsi="仿宋" w:eastAsia="仿宋" w:cs="仿宋"/>
          <w:b/>
          <w:color w:val="auto"/>
          <w:highlight w:val="none"/>
        </w:rPr>
      </w:pPr>
    </w:p>
    <w:p w14:paraId="2E815C22">
      <w:pPr>
        <w:widowControl/>
        <w:adjustRightInd/>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670C0B01">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1DCCB6">
                            <w:pPr>
                              <w:rPr>
                                <w:rFonts w:asciiTheme="minorEastAsia" w:hAnsiTheme="minorEastAsia" w:eastAsiaTheme="minorEastAsia"/>
                              </w:rPr>
                            </w:pPr>
                            <w:r>
                              <w:rPr>
                                <w:rFonts w:hint="eastAsia" w:asciiTheme="minorEastAsia" w:hAnsiTheme="minorEastAsia" w:eastAsiaTheme="minorEastAsia"/>
                              </w:rPr>
                              <w:t>验收</w:t>
                            </w:r>
                          </w:p>
                          <w:p w14:paraId="04F0D21D">
                            <w:pPr>
                              <w:rPr>
                                <w:rFonts w:ascii="仿宋_GB2312" w:eastAsia="仿宋_GB2312"/>
                              </w:rPr>
                            </w:pPr>
                            <w:r>
                              <w:rPr>
                                <w:rFonts w:hint="eastAsia" w:ascii="仿宋_GB2312" w:eastAsia="仿宋_GB2312"/>
                              </w:rPr>
                              <w:t>立项</w:t>
                            </w:r>
                          </w:p>
                          <w:p w14:paraId="3C03A75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501DCCB6">
                      <w:pPr>
                        <w:rPr>
                          <w:rFonts w:asciiTheme="minorEastAsia" w:hAnsiTheme="minorEastAsia" w:eastAsiaTheme="minorEastAsia"/>
                        </w:rPr>
                      </w:pPr>
                      <w:r>
                        <w:rPr>
                          <w:rFonts w:hint="eastAsia" w:asciiTheme="minorEastAsia" w:hAnsiTheme="minorEastAsia" w:eastAsiaTheme="minorEastAsia"/>
                        </w:rPr>
                        <w:t>验收</w:t>
                      </w:r>
                    </w:p>
                    <w:p w14:paraId="04F0D21D">
                      <w:pPr>
                        <w:rPr>
                          <w:rFonts w:ascii="仿宋_GB2312" w:eastAsia="仿宋_GB2312"/>
                        </w:rPr>
                      </w:pPr>
                      <w:r>
                        <w:rPr>
                          <w:rFonts w:hint="eastAsia" w:ascii="仿宋_GB2312" w:eastAsia="仿宋_GB2312"/>
                        </w:rPr>
                        <w:t>立项</w:t>
                      </w:r>
                    </w:p>
                    <w:p w14:paraId="3C03A757">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4ED3CF">
                            <w:pPr>
                              <w:rPr>
                                <w:rFonts w:asciiTheme="minorEastAsia" w:hAnsiTheme="minorEastAsia" w:eastAsiaTheme="minorEastAsia"/>
                              </w:rPr>
                            </w:pPr>
                            <w:r>
                              <w:rPr>
                                <w:rFonts w:hint="eastAsia" w:asciiTheme="minorEastAsia" w:hAnsiTheme="minorEastAsia" w:eastAsiaTheme="minorEastAsia"/>
                              </w:rPr>
                              <w:t>履约</w:t>
                            </w:r>
                          </w:p>
                          <w:p w14:paraId="45A56DF1">
                            <w:pPr>
                              <w:rPr>
                                <w:rFonts w:ascii="仿宋_GB2312" w:eastAsia="仿宋_GB2312"/>
                              </w:rPr>
                            </w:pPr>
                            <w:r>
                              <w:rPr>
                                <w:rFonts w:hint="eastAsia" w:ascii="仿宋_GB2312" w:eastAsia="仿宋_GB2312"/>
                              </w:rPr>
                              <w:t>立项</w:t>
                            </w:r>
                          </w:p>
                          <w:p w14:paraId="04D0A72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724ED3CF">
                      <w:pPr>
                        <w:rPr>
                          <w:rFonts w:asciiTheme="minorEastAsia" w:hAnsiTheme="minorEastAsia" w:eastAsiaTheme="minorEastAsia"/>
                        </w:rPr>
                      </w:pPr>
                      <w:r>
                        <w:rPr>
                          <w:rFonts w:hint="eastAsia" w:asciiTheme="minorEastAsia" w:hAnsiTheme="minorEastAsia" w:eastAsiaTheme="minorEastAsia"/>
                        </w:rPr>
                        <w:t>履约</w:t>
                      </w:r>
                    </w:p>
                    <w:p w14:paraId="45A56DF1">
                      <w:pPr>
                        <w:rPr>
                          <w:rFonts w:ascii="仿宋_GB2312" w:eastAsia="仿宋_GB2312"/>
                        </w:rPr>
                      </w:pPr>
                      <w:r>
                        <w:rPr>
                          <w:rFonts w:hint="eastAsia" w:ascii="仿宋_GB2312" w:eastAsia="仿宋_GB2312"/>
                        </w:rPr>
                        <w:t>立项</w:t>
                      </w:r>
                    </w:p>
                    <w:p w14:paraId="04D0A72B">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73FD17">
                            <w:pPr>
                              <w:jc w:val="center"/>
                              <w:rPr>
                                <w:rFonts w:asciiTheme="minorEastAsia" w:hAnsiTheme="minorEastAsia" w:eastAsiaTheme="minorEastAsia"/>
                              </w:rPr>
                            </w:pPr>
                            <w:r>
                              <w:rPr>
                                <w:rFonts w:hint="eastAsia" w:asciiTheme="minorEastAsia" w:hAnsiTheme="minorEastAsia" w:eastAsiaTheme="minorEastAsia"/>
                              </w:rPr>
                              <w:t>签订合同</w:t>
                            </w:r>
                          </w:p>
                          <w:p w14:paraId="69E141A8">
                            <w:pPr>
                              <w:rPr>
                                <w:rFonts w:ascii="仿宋_GB2312" w:eastAsia="仿宋_GB2312"/>
                              </w:rPr>
                            </w:pPr>
                            <w:r>
                              <w:rPr>
                                <w:rFonts w:hint="eastAsia" w:ascii="仿宋_GB2312" w:eastAsia="仿宋_GB2312"/>
                              </w:rPr>
                              <w:t>立项</w:t>
                            </w:r>
                          </w:p>
                          <w:p w14:paraId="2B1B064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2F73FD17">
                      <w:pPr>
                        <w:jc w:val="center"/>
                        <w:rPr>
                          <w:rFonts w:asciiTheme="minorEastAsia" w:hAnsiTheme="minorEastAsia" w:eastAsiaTheme="minorEastAsia"/>
                        </w:rPr>
                      </w:pPr>
                      <w:r>
                        <w:rPr>
                          <w:rFonts w:hint="eastAsia" w:asciiTheme="minorEastAsia" w:hAnsiTheme="minorEastAsia" w:eastAsiaTheme="minorEastAsia"/>
                        </w:rPr>
                        <w:t>签订合同</w:t>
                      </w:r>
                    </w:p>
                    <w:p w14:paraId="69E141A8">
                      <w:pPr>
                        <w:rPr>
                          <w:rFonts w:ascii="仿宋_GB2312" w:eastAsia="仿宋_GB2312"/>
                        </w:rPr>
                      </w:pPr>
                      <w:r>
                        <w:rPr>
                          <w:rFonts w:hint="eastAsia" w:ascii="仿宋_GB2312" w:eastAsia="仿宋_GB2312"/>
                        </w:rPr>
                        <w:t>立项</w:t>
                      </w:r>
                    </w:p>
                    <w:p w14:paraId="2B1B0642">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B4F9E5">
                            <w:pPr>
                              <w:rPr>
                                <w:rFonts w:asciiTheme="minorEastAsia" w:hAnsiTheme="minorEastAsia" w:eastAsiaTheme="minorEastAsia"/>
                              </w:rPr>
                            </w:pPr>
                            <w:r>
                              <w:rPr>
                                <w:rFonts w:hint="eastAsia" w:asciiTheme="minorEastAsia" w:hAnsiTheme="minorEastAsia" w:eastAsiaTheme="minorEastAsia"/>
                              </w:rPr>
                              <w:t>成交公告；成交通知书</w:t>
                            </w:r>
                          </w:p>
                          <w:p w14:paraId="638102F4">
                            <w:pPr>
                              <w:rPr>
                                <w:rFonts w:ascii="仿宋_GB2312" w:eastAsia="仿宋_GB2312"/>
                              </w:rPr>
                            </w:pPr>
                            <w:r>
                              <w:rPr>
                                <w:rFonts w:hint="eastAsia" w:ascii="仿宋_GB2312" w:eastAsia="仿宋_GB2312"/>
                              </w:rPr>
                              <w:t>立项</w:t>
                            </w:r>
                          </w:p>
                          <w:p w14:paraId="7BD905B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14B4F9E5">
                      <w:pPr>
                        <w:rPr>
                          <w:rFonts w:asciiTheme="minorEastAsia" w:hAnsiTheme="minorEastAsia" w:eastAsiaTheme="minorEastAsia"/>
                        </w:rPr>
                      </w:pPr>
                      <w:r>
                        <w:rPr>
                          <w:rFonts w:hint="eastAsia" w:asciiTheme="minorEastAsia" w:hAnsiTheme="minorEastAsia" w:eastAsiaTheme="minorEastAsia"/>
                        </w:rPr>
                        <w:t>成交公告；成交通知书</w:t>
                      </w:r>
                    </w:p>
                    <w:p w14:paraId="638102F4">
                      <w:pPr>
                        <w:rPr>
                          <w:rFonts w:ascii="仿宋_GB2312" w:eastAsia="仿宋_GB2312"/>
                        </w:rPr>
                      </w:pPr>
                      <w:r>
                        <w:rPr>
                          <w:rFonts w:hint="eastAsia" w:ascii="仿宋_GB2312" w:eastAsia="仿宋_GB2312"/>
                        </w:rPr>
                        <w:t>立项</w:t>
                      </w:r>
                    </w:p>
                    <w:p w14:paraId="7BD905BC">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F2FE31">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15810AD2">
                            <w:pPr>
                              <w:rPr>
                                <w:rFonts w:ascii="仿宋_GB2312" w:eastAsia="仿宋_GB2312"/>
                              </w:rPr>
                            </w:pPr>
                            <w:r>
                              <w:rPr>
                                <w:rFonts w:hint="eastAsia" w:ascii="仿宋_GB2312" w:eastAsia="仿宋_GB2312"/>
                              </w:rPr>
                              <w:t>立项</w:t>
                            </w:r>
                          </w:p>
                          <w:p w14:paraId="4996F8F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27F2FE31">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15810AD2">
                      <w:pPr>
                        <w:rPr>
                          <w:rFonts w:ascii="仿宋_GB2312" w:eastAsia="仿宋_GB2312"/>
                        </w:rPr>
                      </w:pPr>
                      <w:r>
                        <w:rPr>
                          <w:rFonts w:hint="eastAsia" w:ascii="仿宋_GB2312" w:eastAsia="仿宋_GB2312"/>
                        </w:rPr>
                        <w:t>立项</w:t>
                      </w:r>
                    </w:p>
                    <w:p w14:paraId="4996F8F5">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D90BAE">
                            <w:pPr>
                              <w:jc w:val="center"/>
                              <w:rPr>
                                <w:rFonts w:asciiTheme="minorEastAsia" w:hAnsiTheme="minorEastAsia" w:eastAsiaTheme="minorEastAsia"/>
                              </w:rPr>
                            </w:pPr>
                            <w:r>
                              <w:rPr>
                                <w:rFonts w:hint="eastAsia" w:asciiTheme="minorEastAsia" w:hAnsiTheme="minorEastAsia" w:eastAsiaTheme="minorEastAsia"/>
                              </w:rPr>
                              <w:t>评审打分</w:t>
                            </w:r>
                          </w:p>
                          <w:p w14:paraId="3E4D83C7">
                            <w:pPr>
                              <w:rPr>
                                <w:rFonts w:ascii="仿宋_GB2312" w:eastAsia="仿宋_GB2312"/>
                              </w:rPr>
                            </w:pPr>
                            <w:r>
                              <w:rPr>
                                <w:rFonts w:hint="eastAsia" w:ascii="仿宋_GB2312" w:eastAsia="仿宋_GB2312"/>
                              </w:rPr>
                              <w:t>立项</w:t>
                            </w:r>
                          </w:p>
                          <w:p w14:paraId="66AE7A3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3FD90BAE">
                      <w:pPr>
                        <w:jc w:val="center"/>
                        <w:rPr>
                          <w:rFonts w:asciiTheme="minorEastAsia" w:hAnsiTheme="minorEastAsia" w:eastAsiaTheme="minorEastAsia"/>
                        </w:rPr>
                      </w:pPr>
                      <w:r>
                        <w:rPr>
                          <w:rFonts w:hint="eastAsia" w:asciiTheme="minorEastAsia" w:hAnsiTheme="minorEastAsia" w:eastAsiaTheme="minorEastAsia"/>
                        </w:rPr>
                        <w:t>评审打分</w:t>
                      </w:r>
                    </w:p>
                    <w:p w14:paraId="3E4D83C7">
                      <w:pPr>
                        <w:rPr>
                          <w:rFonts w:ascii="仿宋_GB2312" w:eastAsia="仿宋_GB2312"/>
                        </w:rPr>
                      </w:pPr>
                      <w:r>
                        <w:rPr>
                          <w:rFonts w:hint="eastAsia" w:ascii="仿宋_GB2312" w:eastAsia="仿宋_GB2312"/>
                        </w:rPr>
                        <w:t>立项</w:t>
                      </w:r>
                    </w:p>
                    <w:p w14:paraId="66AE7A3F">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944D38">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60F34A8B">
                            <w:pPr>
                              <w:rPr>
                                <w:rFonts w:ascii="仿宋_GB2312" w:eastAsia="仿宋_GB2312"/>
                              </w:rPr>
                            </w:pPr>
                            <w:r>
                              <w:rPr>
                                <w:rFonts w:hint="eastAsia" w:ascii="仿宋_GB2312" w:eastAsia="仿宋_GB2312"/>
                              </w:rPr>
                              <w:t>立项</w:t>
                            </w:r>
                          </w:p>
                          <w:p w14:paraId="377D9B0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79944D38">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60F34A8B">
                      <w:pPr>
                        <w:rPr>
                          <w:rFonts w:ascii="仿宋_GB2312" w:eastAsia="仿宋_GB2312"/>
                        </w:rPr>
                      </w:pPr>
                      <w:r>
                        <w:rPr>
                          <w:rFonts w:hint="eastAsia" w:ascii="仿宋_GB2312" w:eastAsia="仿宋_GB2312"/>
                        </w:rPr>
                        <w:t>立项</w:t>
                      </w:r>
                    </w:p>
                    <w:p w14:paraId="377D9B0A">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46AEE6">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1446AEE6">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71D789">
                            <w:pPr>
                              <w:jc w:val="center"/>
                              <w:rPr>
                                <w:rFonts w:asciiTheme="minorEastAsia" w:hAnsiTheme="minorEastAsia" w:eastAsiaTheme="minorEastAsia"/>
                              </w:rPr>
                            </w:pPr>
                            <w:r>
                              <w:rPr>
                                <w:rFonts w:hint="eastAsia" w:asciiTheme="minorEastAsia" w:hAnsiTheme="minorEastAsia" w:eastAsiaTheme="minorEastAsia"/>
                              </w:rPr>
                              <w:t>资格审查</w:t>
                            </w:r>
                          </w:p>
                          <w:p w14:paraId="6C557E74">
                            <w:pPr>
                              <w:jc w:val="center"/>
                              <w:rPr>
                                <w:rFonts w:ascii="仿宋_GB2312" w:eastAsia="仿宋_GB2312"/>
                              </w:rPr>
                            </w:pPr>
                          </w:p>
                          <w:p w14:paraId="3E984C74">
                            <w:pPr>
                              <w:rPr>
                                <w:rFonts w:ascii="仿宋_GB2312" w:eastAsia="仿宋_GB2312"/>
                              </w:rPr>
                            </w:pPr>
                            <w:r>
                              <w:rPr>
                                <w:rFonts w:hint="eastAsia" w:ascii="仿宋_GB2312" w:eastAsia="仿宋_GB2312"/>
                              </w:rPr>
                              <w:t>立项</w:t>
                            </w:r>
                          </w:p>
                          <w:p w14:paraId="40818D2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1D71D789">
                      <w:pPr>
                        <w:jc w:val="center"/>
                        <w:rPr>
                          <w:rFonts w:asciiTheme="minorEastAsia" w:hAnsiTheme="minorEastAsia" w:eastAsiaTheme="minorEastAsia"/>
                        </w:rPr>
                      </w:pPr>
                      <w:r>
                        <w:rPr>
                          <w:rFonts w:hint="eastAsia" w:asciiTheme="minorEastAsia" w:hAnsiTheme="minorEastAsia" w:eastAsiaTheme="minorEastAsia"/>
                        </w:rPr>
                        <w:t>资格审查</w:t>
                      </w:r>
                    </w:p>
                    <w:p w14:paraId="6C557E74">
                      <w:pPr>
                        <w:jc w:val="center"/>
                        <w:rPr>
                          <w:rFonts w:ascii="仿宋_GB2312" w:eastAsia="仿宋_GB2312"/>
                        </w:rPr>
                      </w:pPr>
                    </w:p>
                    <w:p w14:paraId="3E984C74">
                      <w:pPr>
                        <w:rPr>
                          <w:rFonts w:ascii="仿宋_GB2312" w:eastAsia="仿宋_GB2312"/>
                        </w:rPr>
                      </w:pPr>
                      <w:r>
                        <w:rPr>
                          <w:rFonts w:hint="eastAsia" w:ascii="仿宋_GB2312" w:eastAsia="仿宋_GB2312"/>
                        </w:rPr>
                        <w:t>立项</w:t>
                      </w:r>
                    </w:p>
                    <w:p w14:paraId="40818D20">
                      <w:pPr>
                        <w:rPr>
                          <w:rFonts w:ascii="仿宋_GB2312" w:eastAsia="仿宋_GB2312"/>
                        </w:rPr>
                      </w:pPr>
                    </w:p>
                  </w:txbxContent>
                </v:textbox>
              </v:shape>
            </w:pict>
          </mc:Fallback>
        </mc:AlternateContent>
      </w:r>
      <w:r>
        <w:rPr>
          <w:rFonts w:hint="eastAsia" w:ascii="仿宋" w:hAnsi="仿宋" w:eastAsia="仿宋" w:cs="仿宋"/>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hint="eastAsia" w:ascii="仿宋" w:hAnsi="仿宋" w:eastAsia="仿宋" w:cs="仿宋"/>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B9AFC7">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09B9AFC7">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9CA660">
                            <w:pPr>
                              <w:jc w:val="center"/>
                              <w:rPr>
                                <w:rFonts w:asciiTheme="minorEastAsia" w:hAnsiTheme="minorEastAsia" w:eastAsiaTheme="minorEastAsia"/>
                              </w:rPr>
                            </w:pPr>
                            <w:r>
                              <w:rPr>
                                <w:rFonts w:hint="eastAsia" w:asciiTheme="minorEastAsia" w:hAnsiTheme="minorEastAsia" w:eastAsiaTheme="minorEastAsia"/>
                              </w:rPr>
                              <w:t>开启响应文件</w:t>
                            </w:r>
                          </w:p>
                          <w:p w14:paraId="3630CADA">
                            <w:pPr>
                              <w:rPr>
                                <w:rFonts w:ascii="仿宋_GB2312" w:eastAsia="仿宋_GB2312"/>
                              </w:rPr>
                            </w:pPr>
                            <w:r>
                              <w:rPr>
                                <w:rFonts w:hint="eastAsia" w:ascii="仿宋_GB2312" w:eastAsia="仿宋_GB2312"/>
                              </w:rPr>
                              <w:t>立项</w:t>
                            </w:r>
                          </w:p>
                          <w:p w14:paraId="34026DE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1F9CA660">
                      <w:pPr>
                        <w:jc w:val="center"/>
                        <w:rPr>
                          <w:rFonts w:asciiTheme="minorEastAsia" w:hAnsiTheme="minorEastAsia" w:eastAsiaTheme="minorEastAsia"/>
                        </w:rPr>
                      </w:pPr>
                      <w:r>
                        <w:rPr>
                          <w:rFonts w:hint="eastAsia" w:asciiTheme="minorEastAsia" w:hAnsiTheme="minorEastAsia" w:eastAsiaTheme="minorEastAsia"/>
                        </w:rPr>
                        <w:t>开启响应文件</w:t>
                      </w:r>
                    </w:p>
                    <w:p w14:paraId="3630CADA">
                      <w:pPr>
                        <w:rPr>
                          <w:rFonts w:ascii="仿宋_GB2312" w:eastAsia="仿宋_GB2312"/>
                        </w:rPr>
                      </w:pPr>
                      <w:r>
                        <w:rPr>
                          <w:rFonts w:hint="eastAsia" w:ascii="仿宋_GB2312" w:eastAsia="仿宋_GB2312"/>
                        </w:rPr>
                        <w:t>立项</w:t>
                      </w:r>
                    </w:p>
                    <w:p w14:paraId="34026DE5">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2725C6">
                            <w:pPr>
                              <w:jc w:val="center"/>
                              <w:rPr>
                                <w:rFonts w:asciiTheme="minorEastAsia" w:hAnsiTheme="minorEastAsia" w:eastAsiaTheme="minorEastAsia"/>
                              </w:rPr>
                            </w:pPr>
                            <w:r>
                              <w:rPr>
                                <w:rFonts w:hint="eastAsia" w:asciiTheme="minorEastAsia" w:hAnsiTheme="minorEastAsia" w:eastAsiaTheme="minorEastAsia"/>
                              </w:rPr>
                              <w:t>邀请供应商</w:t>
                            </w:r>
                          </w:p>
                          <w:p w14:paraId="537B5855">
                            <w:pPr>
                              <w:rPr>
                                <w:rFonts w:ascii="仿宋_GB2312" w:eastAsia="仿宋_GB2312"/>
                              </w:rPr>
                            </w:pPr>
                            <w:r>
                              <w:rPr>
                                <w:rFonts w:hint="eastAsia" w:ascii="仿宋_GB2312" w:eastAsia="仿宋_GB2312"/>
                              </w:rPr>
                              <w:t>立项</w:t>
                            </w:r>
                          </w:p>
                          <w:p w14:paraId="327766D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1F2725C6">
                      <w:pPr>
                        <w:jc w:val="center"/>
                        <w:rPr>
                          <w:rFonts w:asciiTheme="minorEastAsia" w:hAnsiTheme="minorEastAsia" w:eastAsiaTheme="minorEastAsia"/>
                        </w:rPr>
                      </w:pPr>
                      <w:r>
                        <w:rPr>
                          <w:rFonts w:hint="eastAsia" w:asciiTheme="minorEastAsia" w:hAnsiTheme="minorEastAsia" w:eastAsiaTheme="minorEastAsia"/>
                        </w:rPr>
                        <w:t>邀请供应商</w:t>
                      </w:r>
                    </w:p>
                    <w:p w14:paraId="537B5855">
                      <w:pPr>
                        <w:rPr>
                          <w:rFonts w:ascii="仿宋_GB2312" w:eastAsia="仿宋_GB2312"/>
                        </w:rPr>
                      </w:pPr>
                      <w:r>
                        <w:rPr>
                          <w:rFonts w:hint="eastAsia" w:ascii="仿宋_GB2312" w:eastAsia="仿宋_GB2312"/>
                        </w:rPr>
                        <w:t>立项</w:t>
                      </w:r>
                    </w:p>
                    <w:p w14:paraId="327766DF">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w:br w:type="page"/>
      </w:r>
    </w:p>
    <w:p w14:paraId="70BB0E33">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第三部分</w:t>
      </w:r>
      <w:bookmarkEnd w:id="8"/>
      <w:r>
        <w:rPr>
          <w:rFonts w:hint="eastAsia" w:ascii="仿宋" w:hAnsi="仿宋" w:eastAsia="仿宋" w:cs="仿宋"/>
          <w:b/>
          <w:color w:val="auto"/>
          <w:sz w:val="36"/>
          <w:szCs w:val="20"/>
          <w:highlight w:val="none"/>
        </w:rPr>
        <w:t xml:space="preserve">  供应商须知</w:t>
      </w:r>
      <w:bookmarkEnd w:id="9"/>
    </w:p>
    <w:p w14:paraId="3086A6D9">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一、前附表</w:t>
      </w:r>
    </w:p>
    <w:tbl>
      <w:tblPr>
        <w:tblStyle w:val="62"/>
        <w:tblW w:w="915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2233"/>
        <w:gridCol w:w="6290"/>
      </w:tblGrid>
      <w:tr w14:paraId="025B78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24117D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233" w:type="dxa"/>
            <w:tcBorders>
              <w:top w:val="single" w:color="000000" w:sz="8" w:space="0"/>
              <w:left w:val="single" w:color="auto" w:sz="4" w:space="0"/>
              <w:bottom w:val="single" w:color="000000" w:sz="8" w:space="0"/>
              <w:right w:val="single" w:color="000000" w:sz="8" w:space="0"/>
            </w:tcBorders>
            <w:vAlign w:val="center"/>
          </w:tcPr>
          <w:p w14:paraId="2094FDE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290" w:type="dxa"/>
            <w:tcBorders>
              <w:top w:val="single" w:color="000000" w:sz="8" w:space="0"/>
              <w:left w:val="single" w:color="000000" w:sz="2" w:space="0"/>
              <w:bottom w:val="single" w:color="000000" w:sz="8" w:space="0"/>
              <w:right w:val="single" w:color="000000" w:sz="8" w:space="0"/>
            </w:tcBorders>
            <w:vAlign w:val="center"/>
          </w:tcPr>
          <w:p w14:paraId="3E67846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217DD7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6305B9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233" w:type="dxa"/>
            <w:tcBorders>
              <w:top w:val="single" w:color="000000" w:sz="8" w:space="0"/>
              <w:left w:val="single" w:color="auto" w:sz="4" w:space="0"/>
              <w:bottom w:val="single" w:color="000000" w:sz="8" w:space="0"/>
              <w:right w:val="single" w:color="000000" w:sz="8" w:space="0"/>
            </w:tcBorders>
            <w:vAlign w:val="center"/>
          </w:tcPr>
          <w:p w14:paraId="0E46684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290" w:type="dxa"/>
            <w:tcBorders>
              <w:top w:val="single" w:color="000000" w:sz="8" w:space="0"/>
              <w:left w:val="single" w:color="000000" w:sz="2" w:space="0"/>
              <w:bottom w:val="single" w:color="000000" w:sz="8" w:space="0"/>
              <w:right w:val="single" w:color="000000" w:sz="8" w:space="0"/>
            </w:tcBorders>
            <w:vAlign w:val="center"/>
          </w:tcPr>
          <w:p w14:paraId="703D6B1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0DE20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26878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233" w:type="dxa"/>
            <w:tcBorders>
              <w:top w:val="single" w:color="000000" w:sz="8" w:space="0"/>
              <w:left w:val="single" w:color="auto" w:sz="4" w:space="0"/>
              <w:bottom w:val="single" w:color="000000" w:sz="8" w:space="0"/>
              <w:right w:val="single" w:color="000000" w:sz="8" w:space="0"/>
            </w:tcBorders>
            <w:vAlign w:val="center"/>
          </w:tcPr>
          <w:p w14:paraId="6136DC55">
            <w:pPr>
              <w:snapToGrid w:val="0"/>
              <w:spacing w:line="360" w:lineRule="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采购标的及其对应的中小企业划分标准所属行业</w:t>
            </w:r>
          </w:p>
        </w:tc>
        <w:tc>
          <w:tcPr>
            <w:tcW w:w="6290" w:type="dxa"/>
            <w:tcBorders>
              <w:top w:val="single" w:color="000000" w:sz="8" w:space="0"/>
              <w:left w:val="single" w:color="000000" w:sz="2" w:space="0"/>
              <w:bottom w:val="single" w:color="000000" w:sz="8" w:space="0"/>
              <w:right w:val="single" w:color="000000" w:sz="8" w:space="0"/>
            </w:tcBorders>
            <w:vAlign w:val="center"/>
          </w:tcPr>
          <w:p w14:paraId="7FA96855">
            <w:pPr>
              <w:snapToGrid w:val="0"/>
              <w:spacing w:line="360" w:lineRule="auto"/>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color w:val="auto"/>
                <w:kern w:val="0"/>
                <w:sz w:val="24"/>
                <w:highlight w:val="none"/>
              </w:rPr>
              <w:t>（1）标的：</w:t>
            </w:r>
            <w:r>
              <w:rPr>
                <w:rFonts w:hint="eastAsia" w:ascii="仿宋" w:hAnsi="仿宋" w:eastAsia="仿宋" w:cs="仿宋"/>
                <w:color w:val="auto"/>
                <w:kern w:val="0"/>
                <w:sz w:val="24"/>
                <w:highlight w:val="none"/>
                <w:u w:val="single"/>
                <w:lang w:eastAsia="zh-CN"/>
              </w:rPr>
              <w:t>建德经济开发区管理委员会2025年-2026年安全生产社会化服务采购项目</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eastAsia="zh-CN"/>
              </w:rPr>
              <w:t>其他未列明</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行业；</w:t>
            </w:r>
          </w:p>
        </w:tc>
      </w:tr>
      <w:tr w14:paraId="0D5743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5C763C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233" w:type="dxa"/>
            <w:tcBorders>
              <w:top w:val="single" w:color="000000" w:sz="8" w:space="0"/>
              <w:left w:val="single" w:color="auto" w:sz="4" w:space="0"/>
              <w:bottom w:val="single" w:color="000000" w:sz="8" w:space="0"/>
              <w:right w:val="single" w:color="000000" w:sz="8" w:space="0"/>
            </w:tcBorders>
            <w:vAlign w:val="center"/>
          </w:tcPr>
          <w:p w14:paraId="0946C75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290" w:type="dxa"/>
            <w:tcBorders>
              <w:top w:val="single" w:color="000000" w:sz="8" w:space="0"/>
              <w:left w:val="single" w:color="000000" w:sz="2" w:space="0"/>
              <w:bottom w:val="single" w:color="000000" w:sz="8" w:space="0"/>
              <w:right w:val="single" w:color="000000" w:sz="8" w:space="0"/>
            </w:tcBorders>
            <w:vAlign w:val="center"/>
          </w:tcPr>
          <w:p w14:paraId="4FE78F1D">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本项目不允许采购进口产品。</w:t>
            </w:r>
          </w:p>
          <w:p w14:paraId="7EA8D821">
            <w:pPr>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481F8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A1C822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233" w:type="dxa"/>
            <w:tcBorders>
              <w:top w:val="single" w:color="000000" w:sz="8" w:space="0"/>
              <w:left w:val="single" w:color="auto" w:sz="4" w:space="0"/>
              <w:bottom w:val="single" w:color="000000" w:sz="8" w:space="0"/>
              <w:right w:val="single" w:color="000000" w:sz="8" w:space="0"/>
            </w:tcBorders>
            <w:vAlign w:val="center"/>
          </w:tcPr>
          <w:p w14:paraId="47607A46">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290" w:type="dxa"/>
            <w:tcBorders>
              <w:top w:val="single" w:color="000000" w:sz="8" w:space="0"/>
              <w:left w:val="single" w:color="000000" w:sz="2" w:space="0"/>
              <w:bottom w:val="single" w:color="000000" w:sz="8" w:space="0"/>
              <w:right w:val="single" w:color="000000" w:sz="8" w:space="0"/>
            </w:tcBorders>
            <w:vAlign w:val="center"/>
          </w:tcPr>
          <w:p w14:paraId="3A3B5708">
            <w:pPr>
              <w:spacing w:line="360" w:lineRule="auto"/>
              <w:rPr>
                <w:rFonts w:hint="eastAsia" w:ascii="仿宋" w:hAnsi="仿宋" w:eastAsia="仿宋" w:cs="仿宋"/>
                <w:color w:val="auto"/>
                <w:sz w:val="24"/>
                <w:highlight w:val="none"/>
                <w:lang w:eastAsia="zh-CN"/>
              </w:rPr>
            </w:pPr>
            <w:sdt>
              <w:sdtPr>
                <w:rPr>
                  <w:rFonts w:hint="eastAsia" w:ascii="仿宋" w:hAnsi="仿宋" w:eastAsia="仿宋" w:cs="仿宋"/>
                  <w:color w:val="auto"/>
                  <w:kern w:val="0"/>
                  <w:sz w:val="24"/>
                  <w:highlight w:val="none"/>
                </w:rPr>
                <w:id w:val="-147728692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同意将非主体、非关键性的工作分包</w:t>
            </w:r>
            <w:r>
              <w:rPr>
                <w:rFonts w:hint="eastAsia" w:ascii="仿宋" w:hAnsi="仿宋" w:eastAsia="仿宋" w:cs="仿宋"/>
                <w:color w:val="auto"/>
                <w:sz w:val="24"/>
                <w:highlight w:val="none"/>
                <w:lang w:eastAsia="zh-CN"/>
              </w:rPr>
              <w:t>。</w:t>
            </w:r>
          </w:p>
          <w:p w14:paraId="60FDB332">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57A080C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565C3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9F6BD1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233" w:type="dxa"/>
            <w:tcBorders>
              <w:top w:val="single" w:color="000000" w:sz="8" w:space="0"/>
              <w:left w:val="single" w:color="auto" w:sz="4" w:space="0"/>
              <w:bottom w:val="single" w:color="000000" w:sz="8" w:space="0"/>
              <w:right w:val="single" w:color="000000" w:sz="8" w:space="0"/>
            </w:tcBorders>
            <w:vAlign w:val="center"/>
          </w:tcPr>
          <w:p w14:paraId="3D4A757F">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290" w:type="dxa"/>
            <w:tcBorders>
              <w:top w:val="single" w:color="000000" w:sz="8" w:space="0"/>
              <w:left w:val="single" w:color="000000" w:sz="2" w:space="0"/>
              <w:bottom w:val="single" w:color="000000" w:sz="8" w:space="0"/>
              <w:right w:val="single" w:color="000000" w:sz="8" w:space="0"/>
            </w:tcBorders>
            <w:vAlign w:val="center"/>
          </w:tcPr>
          <w:p w14:paraId="00A8EDDF">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7D898DD1">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648B4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B046A7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2233" w:type="dxa"/>
            <w:tcBorders>
              <w:top w:val="single" w:color="000000" w:sz="8" w:space="0"/>
              <w:left w:val="single" w:color="auto" w:sz="4" w:space="0"/>
              <w:bottom w:val="single" w:color="000000" w:sz="8" w:space="0"/>
              <w:right w:val="single" w:color="000000" w:sz="8" w:space="0"/>
            </w:tcBorders>
            <w:vAlign w:val="center"/>
          </w:tcPr>
          <w:p w14:paraId="29ED1773">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290" w:type="dxa"/>
            <w:tcBorders>
              <w:top w:val="single" w:color="000000" w:sz="8" w:space="0"/>
              <w:left w:val="single" w:color="000000" w:sz="2" w:space="0"/>
              <w:bottom w:val="single" w:color="000000" w:sz="8" w:space="0"/>
              <w:right w:val="single" w:color="000000" w:sz="8" w:space="0"/>
            </w:tcBorders>
            <w:vAlign w:val="center"/>
          </w:tcPr>
          <w:p w14:paraId="7EC341C1">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1132B344">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14:paraId="12B1AC0B">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5EA54A62">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24AB3945">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评审标准</w:t>
            </w:r>
            <w:r>
              <w:rPr>
                <w:rFonts w:hint="eastAsia" w:ascii="仿宋" w:hAnsi="仿宋" w:eastAsia="仿宋" w:cs="仿宋"/>
                <w:color w:val="auto"/>
                <w:kern w:val="0"/>
                <w:sz w:val="24"/>
                <w:highlight w:val="none"/>
              </w:rPr>
              <w:t>；</w:t>
            </w:r>
          </w:p>
          <w:p w14:paraId="37C4CA98">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041EBDE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。请供应商在上述时间内提供样品并按规定位置安装完毕。超过截止时间的，采购人或采购代理机构将不予接收，并将清场并封闭样品现场。</w:t>
            </w:r>
          </w:p>
          <w:p w14:paraId="4CB741C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(6)采购活动结束后，对于未成交人提供的样品，采购人、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将通知未成交人在规定的时间内取回，逾期未取回的，采购人、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不负保管义务；对于成交人提供的样品，采购人将进行保管、封存，并作为履约验收的参考。</w:t>
            </w:r>
          </w:p>
          <w:p w14:paraId="66A3DF1F">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（7）制作、运输、安装和保管样品所发生的一切费用由供应商自理。</w:t>
            </w:r>
          </w:p>
        </w:tc>
      </w:tr>
      <w:tr w14:paraId="41DCC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D9E412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2233" w:type="dxa"/>
            <w:tcBorders>
              <w:top w:val="single" w:color="000000" w:sz="8" w:space="0"/>
              <w:left w:val="single" w:color="auto" w:sz="4" w:space="0"/>
              <w:bottom w:val="single" w:color="000000" w:sz="8" w:space="0"/>
              <w:right w:val="single" w:color="000000" w:sz="8" w:space="0"/>
            </w:tcBorders>
            <w:vAlign w:val="center"/>
          </w:tcPr>
          <w:p w14:paraId="2CDF1CD8">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290" w:type="dxa"/>
            <w:tcBorders>
              <w:top w:val="single" w:color="000000" w:sz="8" w:space="0"/>
              <w:left w:val="single" w:color="000000" w:sz="2" w:space="0"/>
              <w:bottom w:val="single" w:color="000000" w:sz="8" w:space="0"/>
              <w:right w:val="single" w:color="000000" w:sz="8" w:space="0"/>
            </w:tcBorders>
            <w:vAlign w:val="center"/>
          </w:tcPr>
          <w:p w14:paraId="1A18A630">
            <w:pPr>
              <w:spacing w:line="360" w:lineRule="auto"/>
              <w:rPr>
                <w:rFonts w:hint="eastAsia" w:ascii="仿宋" w:hAnsi="仿宋" w:eastAsia="仿宋" w:cs="仿宋"/>
                <w:color w:val="auto"/>
                <w:kern w:val="0"/>
                <w:sz w:val="24"/>
                <w:highlight w:val="none"/>
                <w:lang w:val="zh-CN"/>
              </w:rPr>
            </w:pPr>
            <w:sdt>
              <w:sdtPr>
                <w:rPr>
                  <w:rFonts w:hint="eastAsia" w:ascii="仿宋" w:hAnsi="仿宋" w:eastAsia="仿宋" w:cs="仿宋"/>
                  <w:color w:val="auto"/>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lang w:val="zh-CN"/>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lang w:val="zh-CN"/>
              </w:rPr>
              <w:t>A不组织。</w:t>
            </w:r>
          </w:p>
          <w:p w14:paraId="0FB79012">
            <w:pPr>
              <w:spacing w:line="360" w:lineRule="auto"/>
              <w:rPr>
                <w:rFonts w:hint="eastAsia" w:ascii="仿宋" w:hAnsi="仿宋" w:eastAsia="仿宋" w:cs="仿宋"/>
                <w:color w:val="auto"/>
                <w:kern w:val="0"/>
                <w:sz w:val="24"/>
                <w:highlight w:val="none"/>
                <w:lang w:val="zh-CN"/>
              </w:rPr>
            </w:pPr>
            <w:sdt>
              <w:sdtPr>
                <w:rPr>
                  <w:rFonts w:hint="eastAsia" w:ascii="仿宋" w:hAnsi="仿宋" w:eastAsia="仿宋" w:cs="仿宋"/>
                  <w:color w:val="auto"/>
                  <w:kern w:val="0"/>
                  <w:sz w:val="24"/>
                  <w:highlight w:val="none"/>
                  <w:lang w:val="zh-CN"/>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lang w:val="zh-CN"/>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zh-CN"/>
              </w:rPr>
              <w:t>B组织。</w:t>
            </w:r>
          </w:p>
          <w:p w14:paraId="38CAB96A">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（1）在评标时安排每个供应商进行方案讲解演示。每个供应商时间不超过</w:t>
            </w:r>
            <w:r>
              <w:rPr>
                <w:rFonts w:hint="eastAsia" w:ascii="仿宋" w:hAnsi="仿宋" w:eastAsia="仿宋" w:cs="仿宋"/>
                <w:color w:val="auto"/>
                <w:kern w:val="0"/>
                <w:sz w:val="24"/>
                <w:highlight w:val="none"/>
                <w:u w:val="single"/>
                <w:lang w:val="en-US" w:eastAsia="zh-CN"/>
              </w:rPr>
              <w:t>/</w:t>
            </w:r>
            <w:r>
              <w:rPr>
                <w:rFonts w:hint="eastAsia" w:ascii="仿宋" w:hAnsi="仿宋" w:eastAsia="仿宋" w:cs="仿宋"/>
                <w:color w:val="auto"/>
                <w:kern w:val="0"/>
                <w:sz w:val="24"/>
                <w:highlight w:val="none"/>
                <w:lang w:val="zh-CN"/>
              </w:rPr>
              <w:t>分钟，讲解次序以响应文件解密时间先后次序为准，讲解演示人员不超过</w:t>
            </w:r>
            <w:r>
              <w:rPr>
                <w:rFonts w:hint="eastAsia" w:ascii="仿宋" w:hAnsi="仿宋" w:eastAsia="仿宋" w:cs="仿宋"/>
                <w:color w:val="auto"/>
                <w:kern w:val="0"/>
                <w:sz w:val="24"/>
                <w:highlight w:val="none"/>
                <w:u w:val="single"/>
                <w:lang w:val="en-US" w:eastAsia="zh-CN"/>
              </w:rPr>
              <w:t>/</w:t>
            </w:r>
            <w:r>
              <w:rPr>
                <w:rFonts w:hint="eastAsia" w:ascii="仿宋" w:hAnsi="仿宋" w:eastAsia="仿宋" w:cs="仿宋"/>
                <w:color w:val="auto"/>
                <w:kern w:val="0"/>
                <w:sz w:val="24"/>
                <w:highlight w:val="none"/>
                <w:lang w:val="zh-CN"/>
              </w:rPr>
              <w:t>人。讲解演示结束后按要求解答评标委员会提问。</w:t>
            </w:r>
          </w:p>
          <w:p w14:paraId="63B25E9C">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（2）方案讲解演示以下</w:t>
            </w:r>
            <w:r>
              <w:rPr>
                <w:rFonts w:hint="eastAsia" w:ascii="仿宋" w:hAnsi="仿宋" w:eastAsia="仿宋" w:cs="仿宋"/>
                <w:color w:val="auto"/>
                <w:kern w:val="0"/>
                <w:sz w:val="24"/>
                <w:highlight w:val="none"/>
                <w:lang w:val="zh-CN" w:eastAsia="zh-CN"/>
              </w:rPr>
              <w:t>列</w:t>
            </w:r>
            <w:r>
              <w:rPr>
                <w:rFonts w:hint="eastAsia" w:ascii="仿宋" w:hAnsi="仿宋" w:eastAsia="仿宋" w:cs="仿宋"/>
                <w:color w:val="auto"/>
                <w:kern w:val="0"/>
                <w:sz w:val="24"/>
                <w:highlight w:val="none"/>
                <w:lang w:val="zh-CN"/>
              </w:rPr>
              <w:t>方式</w:t>
            </w:r>
            <w:r>
              <w:rPr>
                <w:rFonts w:hint="eastAsia" w:ascii="仿宋" w:hAnsi="仿宋" w:eastAsia="仿宋" w:cs="仿宋"/>
                <w:color w:val="auto"/>
                <w:kern w:val="0"/>
                <w:sz w:val="24"/>
                <w:highlight w:val="none"/>
                <w:lang w:val="zh-CN" w:eastAsia="zh-CN"/>
              </w:rPr>
              <w:t>进行</w:t>
            </w:r>
            <w:r>
              <w:rPr>
                <w:rFonts w:hint="eastAsia" w:ascii="仿宋" w:hAnsi="仿宋" w:eastAsia="仿宋" w:cs="仿宋"/>
                <w:color w:val="auto"/>
                <w:kern w:val="0"/>
                <w:sz w:val="24"/>
                <w:highlight w:val="none"/>
                <w:lang w:val="zh-CN"/>
              </w:rPr>
              <w:t>：</w:t>
            </w:r>
          </w:p>
          <w:p w14:paraId="78C64A0E">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政采云平台在线讲解演示。政采云平台在线讲解需供应商根据政采云平台操作要求做好准备工作，提前完善软硬件配置环境。</w:t>
            </w:r>
          </w:p>
          <w:p w14:paraId="6C23A3BF">
            <w:pPr>
              <w:snapToGrid w:val="0"/>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2408F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8D45C4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2233" w:type="dxa"/>
            <w:vMerge w:val="restart"/>
            <w:tcBorders>
              <w:top w:val="single" w:color="000000" w:sz="8" w:space="0"/>
              <w:left w:val="single" w:color="auto" w:sz="4" w:space="0"/>
              <w:right w:val="single" w:color="000000" w:sz="8" w:space="0"/>
            </w:tcBorders>
            <w:vAlign w:val="center"/>
          </w:tcPr>
          <w:p w14:paraId="2F19AB6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供应商应当提供的资格、资信证明文件</w:t>
            </w:r>
          </w:p>
        </w:tc>
        <w:tc>
          <w:tcPr>
            <w:tcW w:w="6290" w:type="dxa"/>
            <w:tcBorders>
              <w:top w:val="single" w:color="000000" w:sz="8" w:space="0"/>
              <w:left w:val="single" w:color="000000" w:sz="2" w:space="0"/>
              <w:bottom w:val="single" w:color="auto" w:sz="4" w:space="0"/>
              <w:right w:val="single" w:color="000000" w:sz="8" w:space="0"/>
            </w:tcBorders>
            <w:vAlign w:val="center"/>
          </w:tcPr>
          <w:p w14:paraId="509521D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第三部分  供应商须知</w:t>
            </w:r>
            <w:r>
              <w:rPr>
                <w:rFonts w:hint="eastAsia" w:ascii="仿宋" w:hAnsi="仿宋" w:eastAsia="仿宋" w:cs="仿宋"/>
                <w:color w:val="auto"/>
                <w:sz w:val="24"/>
                <w:highlight w:val="none"/>
                <w:lang w:eastAsia="zh-CN"/>
              </w:rPr>
              <w:t>”中“</w:t>
            </w:r>
            <w:r>
              <w:rPr>
                <w:rFonts w:hint="eastAsia" w:ascii="仿宋" w:hAnsi="仿宋" w:eastAsia="仿宋" w:cs="仿宋"/>
                <w:color w:val="auto"/>
                <w:sz w:val="24"/>
                <w:highlight w:val="none"/>
              </w:rPr>
              <w:t>六、响应文件的编制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61CBFE08">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供应商未提供有效的资格证明文件的，视为供应商不具备磋商文件中规定的资格要求，响应无效。</w:t>
            </w:r>
          </w:p>
        </w:tc>
      </w:tr>
      <w:tr w14:paraId="49080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6" w:hRule="atLeast"/>
          <w:tblHeader/>
        </w:trPr>
        <w:tc>
          <w:tcPr>
            <w:tcW w:w="629" w:type="dxa"/>
            <w:vMerge w:val="continue"/>
            <w:tcBorders>
              <w:left w:val="single" w:color="auto" w:sz="4" w:space="0"/>
              <w:bottom w:val="single" w:color="auto" w:sz="4" w:space="0"/>
              <w:right w:val="single" w:color="auto" w:sz="4" w:space="0"/>
            </w:tcBorders>
            <w:vAlign w:val="center"/>
          </w:tcPr>
          <w:p w14:paraId="21CFEA23">
            <w:pPr>
              <w:snapToGrid w:val="0"/>
              <w:spacing w:line="360" w:lineRule="auto"/>
              <w:jc w:val="center"/>
              <w:rPr>
                <w:rFonts w:hint="eastAsia" w:ascii="仿宋" w:hAnsi="仿宋" w:eastAsia="仿宋" w:cs="仿宋"/>
                <w:color w:val="auto"/>
                <w:sz w:val="24"/>
                <w:highlight w:val="none"/>
              </w:rPr>
            </w:pPr>
          </w:p>
        </w:tc>
        <w:tc>
          <w:tcPr>
            <w:tcW w:w="2233" w:type="dxa"/>
            <w:vMerge w:val="continue"/>
            <w:tcBorders>
              <w:left w:val="single" w:color="auto" w:sz="4" w:space="0"/>
              <w:bottom w:val="single" w:color="000000" w:sz="8" w:space="0"/>
              <w:right w:val="single" w:color="000000" w:sz="8" w:space="0"/>
            </w:tcBorders>
            <w:vAlign w:val="center"/>
          </w:tcPr>
          <w:p w14:paraId="2296DDAD">
            <w:pPr>
              <w:snapToGrid w:val="0"/>
              <w:spacing w:line="360" w:lineRule="auto"/>
              <w:jc w:val="center"/>
              <w:rPr>
                <w:rFonts w:hint="eastAsia" w:ascii="仿宋" w:hAnsi="仿宋" w:eastAsia="仿宋" w:cs="仿宋"/>
                <w:b/>
                <w:color w:val="auto"/>
                <w:sz w:val="24"/>
                <w:highlight w:val="none"/>
              </w:rPr>
            </w:pPr>
          </w:p>
        </w:tc>
        <w:tc>
          <w:tcPr>
            <w:tcW w:w="6290" w:type="dxa"/>
            <w:tcBorders>
              <w:top w:val="single" w:color="auto" w:sz="4" w:space="0"/>
              <w:left w:val="single" w:color="000000" w:sz="2" w:space="0"/>
              <w:bottom w:val="single" w:color="000000" w:sz="8" w:space="0"/>
              <w:right w:val="single" w:color="000000" w:sz="8" w:space="0"/>
            </w:tcBorders>
            <w:vAlign w:val="center"/>
          </w:tcPr>
          <w:p w14:paraId="5902A7F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（2）资信证明文件：根据磋商文件第五部分评审标准提供。</w:t>
            </w:r>
          </w:p>
        </w:tc>
      </w:tr>
      <w:tr w14:paraId="6D9F44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B24D4C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2233" w:type="dxa"/>
            <w:tcBorders>
              <w:top w:val="single" w:color="000000" w:sz="8" w:space="0"/>
              <w:left w:val="single" w:color="000000" w:sz="2" w:space="0"/>
              <w:bottom w:val="single" w:color="000000" w:sz="8" w:space="0"/>
              <w:right w:val="single" w:color="000000" w:sz="8" w:space="0"/>
            </w:tcBorders>
            <w:vAlign w:val="center"/>
          </w:tcPr>
          <w:p w14:paraId="6E1FE5EB">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290" w:type="dxa"/>
            <w:tcBorders>
              <w:top w:val="single" w:color="000000" w:sz="8" w:space="0"/>
              <w:left w:val="single" w:color="000000" w:sz="2" w:space="0"/>
              <w:bottom w:val="single" w:color="000000" w:sz="8" w:space="0"/>
              <w:right w:val="single" w:color="000000" w:sz="8" w:space="0"/>
            </w:tcBorders>
            <w:vAlign w:val="center"/>
          </w:tcPr>
          <w:p w14:paraId="37B25B5D">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6980A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333607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2233" w:type="dxa"/>
            <w:tcBorders>
              <w:top w:val="single" w:color="000000" w:sz="8" w:space="0"/>
              <w:left w:val="single" w:color="000000" w:sz="2" w:space="0"/>
              <w:bottom w:val="single" w:color="000000" w:sz="8" w:space="0"/>
              <w:right w:val="single" w:color="000000" w:sz="8" w:space="0"/>
            </w:tcBorders>
            <w:vAlign w:val="center"/>
          </w:tcPr>
          <w:p w14:paraId="7FBBC82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最后报价要求</w:t>
            </w:r>
          </w:p>
        </w:tc>
        <w:tc>
          <w:tcPr>
            <w:tcW w:w="6290" w:type="dxa"/>
            <w:tcBorders>
              <w:top w:val="single" w:color="000000" w:sz="8" w:space="0"/>
              <w:left w:val="single" w:color="000000" w:sz="2" w:space="0"/>
              <w:bottom w:val="single" w:color="000000" w:sz="8" w:space="0"/>
              <w:right w:val="single" w:color="000000" w:sz="8" w:space="0"/>
            </w:tcBorders>
            <w:vAlign w:val="center"/>
          </w:tcPr>
          <w:p w14:paraId="43C34C3B">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有关本项目实施所需的所有费用（含税费）均计入最后报价。《最后报价</w:t>
            </w:r>
            <w:r>
              <w:rPr>
                <w:rFonts w:hint="eastAsia" w:ascii="仿宋" w:hAnsi="仿宋" w:eastAsia="仿宋" w:cs="仿宋"/>
                <w:color w:val="auto"/>
                <w:sz w:val="24"/>
                <w:highlight w:val="none"/>
              </w:rPr>
              <w:t>一览表（报价表）</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是最后报价的唯一载体</w:t>
            </w:r>
            <w:r>
              <w:rPr>
                <w:rFonts w:hint="eastAsia" w:ascii="仿宋" w:hAnsi="仿宋" w:eastAsia="仿宋" w:cs="仿宋"/>
                <w:color w:val="auto"/>
                <w:kern w:val="0"/>
                <w:sz w:val="24"/>
                <w:highlight w:val="none"/>
                <w:lang w:val="zh-CN"/>
              </w:rPr>
              <w:t>。磋商文件中价格全部采用人民币报价。磋商文件未列明，而供应商认为必需的费用也需列入报价。</w:t>
            </w:r>
            <w:r>
              <w:rPr>
                <w:rFonts w:hint="eastAsia" w:ascii="仿宋" w:hAnsi="仿宋" w:eastAsia="仿宋" w:cs="仿宋"/>
                <w:b/>
                <w:color w:val="auto"/>
                <w:kern w:val="0"/>
                <w:sz w:val="24"/>
                <w:highlight w:val="none"/>
                <w:lang w:val="zh-CN"/>
              </w:rPr>
              <w:t>提醒：验收时检测费用由采购人承担，不包含在最后报价中。</w:t>
            </w:r>
          </w:p>
          <w:p w14:paraId="1DBB0EA1">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最后报价出现下列情形的，响应无效：</w:t>
            </w:r>
          </w:p>
          <w:p w14:paraId="7A07B3F7">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响应文件出现不是唯一的、有选择性的最后报价的；</w:t>
            </w:r>
          </w:p>
          <w:p w14:paraId="23465199">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最后报价超过磋商文件中规定的预算金额或者最高限价的;</w:t>
            </w:r>
          </w:p>
          <w:p w14:paraId="2BD6D204">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01D8D419">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供应商对根据修正原则修正后的报价不确认的</w:t>
            </w:r>
            <w:r>
              <w:rPr>
                <w:rFonts w:hint="eastAsia" w:ascii="仿宋" w:hAnsi="仿宋" w:eastAsia="仿宋" w:cs="仿宋"/>
                <w:b/>
                <w:color w:val="auto"/>
                <w:sz w:val="24"/>
                <w:highlight w:val="none"/>
              </w:rPr>
              <w:t>。</w:t>
            </w:r>
          </w:p>
        </w:tc>
      </w:tr>
      <w:tr w14:paraId="33A5D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5" w:hRule="atLeast"/>
          <w:tblHeader/>
        </w:trPr>
        <w:tc>
          <w:tcPr>
            <w:tcW w:w="629" w:type="dxa"/>
            <w:tcBorders>
              <w:top w:val="single" w:color="auto" w:sz="4" w:space="0"/>
              <w:left w:val="single" w:color="000000" w:sz="8" w:space="0"/>
              <w:right w:val="single" w:color="000000" w:sz="2" w:space="0"/>
            </w:tcBorders>
            <w:vAlign w:val="center"/>
          </w:tcPr>
          <w:p w14:paraId="5B84F78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2233" w:type="dxa"/>
            <w:tcBorders>
              <w:top w:val="single" w:color="000000" w:sz="8" w:space="0"/>
              <w:left w:val="single" w:color="000000" w:sz="2" w:space="0"/>
              <w:right w:val="single" w:color="000000" w:sz="8" w:space="0"/>
            </w:tcBorders>
            <w:vAlign w:val="center"/>
          </w:tcPr>
          <w:p w14:paraId="3C2E3DC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290" w:type="dxa"/>
            <w:tcBorders>
              <w:top w:val="single" w:color="000000" w:sz="8" w:space="0"/>
              <w:left w:val="single" w:color="000000" w:sz="2" w:space="0"/>
              <w:right w:val="single" w:color="000000" w:sz="8" w:space="0"/>
            </w:tcBorders>
            <w:vAlign w:val="center"/>
          </w:tcPr>
          <w:p w14:paraId="0BAD6EF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w:t>
            </w:r>
            <w:r>
              <w:rPr>
                <w:rFonts w:hint="eastAsia" w:ascii="仿宋" w:hAnsi="仿宋" w:eastAsia="仿宋" w:cs="仿宋"/>
                <w:snapToGrid w:val="0"/>
                <w:color w:val="auto"/>
                <w:kern w:val="28"/>
                <w:sz w:val="24"/>
                <w:highlight w:val="none"/>
                <w:lang w:eastAsia="zh-CN"/>
              </w:rPr>
              <w:t>0571-89606885</w:t>
            </w:r>
            <w:r>
              <w:rPr>
                <w:rFonts w:hint="eastAsia" w:ascii="仿宋" w:hAnsi="仿宋" w:eastAsia="仿宋" w:cs="仿宋"/>
                <w:snapToGrid w:val="0"/>
                <w:color w:val="auto"/>
                <w:kern w:val="28"/>
                <w:sz w:val="24"/>
                <w:highlight w:val="none"/>
              </w:rPr>
              <w:t>。</w:t>
            </w:r>
          </w:p>
        </w:tc>
      </w:tr>
      <w:tr w14:paraId="16217A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0C2032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2233" w:type="dxa"/>
            <w:tcBorders>
              <w:top w:val="single" w:color="000000" w:sz="8" w:space="0"/>
              <w:left w:val="single" w:color="000000" w:sz="2" w:space="0"/>
              <w:bottom w:val="single" w:color="000000" w:sz="8" w:space="0"/>
              <w:right w:val="single" w:color="000000" w:sz="8" w:space="0"/>
            </w:tcBorders>
            <w:vAlign w:val="center"/>
          </w:tcPr>
          <w:p w14:paraId="1FFBD6C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备份响应文件送达地点和签收人员 </w:t>
            </w:r>
          </w:p>
        </w:tc>
        <w:tc>
          <w:tcPr>
            <w:tcW w:w="6290" w:type="dxa"/>
            <w:tcBorders>
              <w:top w:val="single" w:color="000000" w:sz="8" w:space="0"/>
              <w:left w:val="single" w:color="000000" w:sz="2" w:space="0"/>
              <w:bottom w:val="single" w:color="000000" w:sz="8" w:space="0"/>
              <w:right w:val="single" w:color="000000" w:sz="8" w:space="0"/>
            </w:tcBorders>
            <w:vAlign w:val="center"/>
          </w:tcPr>
          <w:p w14:paraId="2D927C7C">
            <w:pPr>
              <w:pStyle w:val="34"/>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备份响应文件送达地点：</w:t>
            </w:r>
            <w:r>
              <w:rPr>
                <w:rFonts w:hint="eastAsia" w:ascii="仿宋" w:hAnsi="仿宋" w:eastAsia="仿宋" w:cs="仿宋"/>
                <w:color w:val="auto"/>
                <w:kern w:val="28"/>
                <w:sz w:val="24"/>
                <w:szCs w:val="24"/>
                <w:highlight w:val="none"/>
                <w:u w:val="single"/>
                <w:lang w:eastAsia="zh-CN"/>
              </w:rPr>
              <w:t>浙江省建德市新安江街道新安财富城6幢B座1201室</w:t>
            </w:r>
            <w:r>
              <w:rPr>
                <w:rFonts w:hint="eastAsia" w:ascii="仿宋" w:hAnsi="仿宋" w:eastAsia="仿宋" w:cs="仿宋"/>
                <w:color w:val="auto"/>
                <w:kern w:val="28"/>
                <w:sz w:val="24"/>
                <w:szCs w:val="24"/>
                <w:highlight w:val="none"/>
              </w:rPr>
              <w:t>；备份响应文件签收人员联系电话：</w:t>
            </w:r>
            <w:r>
              <w:rPr>
                <w:rFonts w:hint="eastAsia" w:ascii="仿宋" w:hAnsi="仿宋" w:eastAsia="仿宋" w:cs="仿宋"/>
                <w:color w:val="auto"/>
                <w:sz w:val="24"/>
                <w:highlight w:val="none"/>
                <w:u w:val="single"/>
                <w:lang w:val="en-US" w:eastAsia="zh-CN"/>
              </w:rPr>
              <w:t xml:space="preserve"> 周女士 15167182821 </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不强制或变相强制供应商提交备份响应文件。</w:t>
            </w:r>
          </w:p>
        </w:tc>
      </w:tr>
      <w:tr w14:paraId="6646A4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FE1DA8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13</w:t>
            </w:r>
          </w:p>
        </w:tc>
        <w:tc>
          <w:tcPr>
            <w:tcW w:w="2233" w:type="dxa"/>
            <w:tcBorders>
              <w:top w:val="single" w:color="000000" w:sz="8" w:space="0"/>
              <w:left w:val="single" w:color="000000" w:sz="2" w:space="0"/>
              <w:bottom w:val="single" w:color="000000" w:sz="8" w:space="0"/>
              <w:right w:val="single" w:color="000000" w:sz="8" w:space="0"/>
            </w:tcBorders>
            <w:vAlign w:val="center"/>
          </w:tcPr>
          <w:p w14:paraId="324ED4A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采购代理服务费</w:t>
            </w:r>
          </w:p>
        </w:tc>
        <w:tc>
          <w:tcPr>
            <w:tcW w:w="6290" w:type="dxa"/>
            <w:tcBorders>
              <w:top w:val="single" w:color="000000" w:sz="8" w:space="0"/>
              <w:left w:val="single" w:color="000000" w:sz="2" w:space="0"/>
              <w:bottom w:val="single" w:color="000000" w:sz="8" w:space="0"/>
              <w:right w:val="single" w:color="000000" w:sz="8" w:space="0"/>
            </w:tcBorders>
            <w:vAlign w:val="center"/>
          </w:tcPr>
          <w:p w14:paraId="59A056FC">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6551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lang w:eastAsia="zh-CN"/>
              </w:rPr>
              <w:t>本项目不收取采购代理服务费</w:t>
            </w:r>
            <w:r>
              <w:rPr>
                <w:rFonts w:hint="eastAsia" w:ascii="仿宋" w:hAnsi="仿宋" w:eastAsia="仿宋" w:cs="仿宋"/>
                <w:color w:val="auto"/>
                <w:sz w:val="24"/>
                <w:highlight w:val="none"/>
              </w:rPr>
              <w:t>。</w:t>
            </w:r>
          </w:p>
          <w:p w14:paraId="1640B82C">
            <w:pPr>
              <w:shd w:val="clea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4745523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lang w:eastAsia="zh-CN"/>
              </w:rPr>
              <w:t>本项目收取采购代理服务费</w:t>
            </w:r>
            <w:r>
              <w:rPr>
                <w:rFonts w:hint="eastAsia" w:ascii="仿宋" w:hAnsi="仿宋" w:eastAsia="仿宋" w:cs="仿宋"/>
                <w:color w:val="auto"/>
                <w:sz w:val="24"/>
                <w:highlight w:val="none"/>
              </w:rPr>
              <w:t>。</w:t>
            </w:r>
          </w:p>
          <w:p w14:paraId="23298FEC">
            <w:pPr>
              <w:spacing w:line="360" w:lineRule="auto"/>
              <w:rPr>
                <w:rFonts w:hint="eastAsia" w:ascii="仿宋" w:hAnsi="仿宋" w:eastAsia="仿宋" w:cs="仿宋"/>
                <w:color w:val="auto"/>
                <w:kern w:val="28"/>
                <w:sz w:val="24"/>
                <w:szCs w:val="24"/>
                <w:highlight w:val="none"/>
              </w:rPr>
            </w:pPr>
            <w:r>
              <w:rPr>
                <w:rFonts w:hint="eastAsia" w:ascii="仿宋" w:hAnsi="仿宋" w:eastAsia="仿宋" w:cs="仿宋"/>
                <w:snapToGrid w:val="0"/>
                <w:color w:val="auto"/>
                <w:kern w:val="28"/>
                <w:sz w:val="24"/>
                <w:szCs w:val="24"/>
                <w:highlight w:val="none"/>
                <w:lang w:val="en-US" w:eastAsia="zh-CN" w:bidi="ar-SA"/>
              </w:rPr>
              <w:t>磋商响应总报价应包含采购服务费，采购服务费</w:t>
            </w:r>
            <w:r>
              <w:rPr>
                <w:rFonts w:hint="eastAsia" w:ascii="仿宋" w:hAnsi="仿宋" w:eastAsia="仿宋" w:cs="仿宋"/>
                <w:snapToGrid w:val="0"/>
                <w:color w:val="auto"/>
                <w:kern w:val="28"/>
                <w:sz w:val="24"/>
                <w:highlight w:val="none"/>
                <w:u w:val="single"/>
              </w:rPr>
              <w:t>按照国家发展计划委员会计价格[2002]1980 号文《招标代理服务费管理暂行办法》及发改办价格[2003]857号文的</w:t>
            </w:r>
            <w:r>
              <w:rPr>
                <w:rFonts w:hint="eastAsia" w:ascii="仿宋" w:hAnsi="仿宋" w:eastAsia="仿宋" w:cs="仿宋"/>
                <w:snapToGrid w:val="0"/>
                <w:color w:val="auto"/>
                <w:kern w:val="28"/>
                <w:sz w:val="24"/>
                <w:szCs w:val="24"/>
                <w:highlight w:val="none"/>
                <w:u w:val="none"/>
                <w:lang w:val="en-US" w:eastAsia="zh-CN" w:bidi="ar-SA"/>
              </w:rPr>
              <w:t>收费标准</w:t>
            </w:r>
            <w:r>
              <w:rPr>
                <w:rFonts w:hint="eastAsia" w:ascii="仿宋" w:hAnsi="仿宋" w:eastAsia="仿宋" w:cs="仿宋"/>
                <w:snapToGrid w:val="0"/>
                <w:color w:val="auto"/>
                <w:kern w:val="28"/>
                <w:sz w:val="24"/>
                <w:szCs w:val="24"/>
                <w:highlight w:val="none"/>
                <w:lang w:val="en-US" w:eastAsia="zh-CN" w:bidi="ar-SA"/>
              </w:rPr>
              <w:t>（</w:t>
            </w:r>
            <w:r>
              <w:rPr>
                <w:rFonts w:hint="eastAsia" w:ascii="仿宋" w:hAnsi="仿宋" w:eastAsia="仿宋" w:cs="仿宋"/>
                <w:color w:val="auto"/>
                <w:sz w:val="24"/>
                <w:highlight w:val="none"/>
                <w:u w:val="single"/>
                <w:lang w:eastAsia="zh-CN"/>
              </w:rPr>
              <w:t>服务</w:t>
            </w:r>
            <w:r>
              <w:rPr>
                <w:rFonts w:hint="eastAsia" w:ascii="仿宋" w:hAnsi="仿宋" w:eastAsia="仿宋" w:cs="仿宋"/>
                <w:snapToGrid w:val="0"/>
                <w:color w:val="auto"/>
                <w:kern w:val="28"/>
                <w:sz w:val="24"/>
                <w:szCs w:val="24"/>
                <w:highlight w:val="none"/>
                <w:lang w:val="en-US" w:eastAsia="zh-CN" w:bidi="ar-SA"/>
              </w:rPr>
              <w:t>类）计取，人民币</w:t>
            </w:r>
            <w:r>
              <w:rPr>
                <w:rFonts w:hint="eastAsia" w:ascii="仿宋" w:hAnsi="仿宋" w:eastAsia="仿宋" w:cs="仿宋"/>
                <w:snapToGrid w:val="0"/>
                <w:color w:val="auto"/>
                <w:kern w:val="28"/>
                <w:sz w:val="24"/>
                <w:szCs w:val="24"/>
                <w:highlight w:val="none"/>
                <w:u w:val="single"/>
                <w:lang w:val="en-US" w:eastAsia="zh-CN" w:bidi="ar-SA"/>
              </w:rPr>
              <w:t>壹万玖仟</w:t>
            </w:r>
            <w:r>
              <w:rPr>
                <w:rFonts w:hint="eastAsia" w:ascii="仿宋" w:hAnsi="仿宋" w:eastAsia="仿宋" w:cs="仿宋"/>
                <w:snapToGrid w:val="0"/>
                <w:color w:val="auto"/>
                <w:kern w:val="28"/>
                <w:sz w:val="24"/>
                <w:szCs w:val="24"/>
                <w:highlight w:val="none"/>
                <w:lang w:val="en-US" w:eastAsia="zh-CN" w:bidi="ar-SA"/>
              </w:rPr>
              <w:fldChar w:fldCharType="begin"/>
            </w:r>
            <w:r>
              <w:rPr>
                <w:rFonts w:hint="eastAsia" w:ascii="仿宋" w:hAnsi="仿宋" w:eastAsia="仿宋" w:cs="仿宋"/>
                <w:snapToGrid w:val="0"/>
                <w:color w:val="auto"/>
                <w:kern w:val="28"/>
                <w:sz w:val="24"/>
                <w:szCs w:val="24"/>
                <w:highlight w:val="none"/>
                <w:lang w:val="en-US" w:eastAsia="zh-CN" w:bidi="ar-SA"/>
              </w:rPr>
              <w:instrText xml:space="preserve"> = 6900 \* CHINESENUM4 \* MERGEFORMAT </w:instrText>
            </w:r>
            <w:r>
              <w:rPr>
                <w:rFonts w:hint="eastAsia" w:ascii="仿宋" w:hAnsi="仿宋" w:eastAsia="仿宋" w:cs="仿宋"/>
                <w:snapToGrid w:val="0"/>
                <w:color w:val="auto"/>
                <w:kern w:val="28"/>
                <w:sz w:val="24"/>
                <w:szCs w:val="24"/>
                <w:highlight w:val="none"/>
                <w:lang w:val="en-US" w:eastAsia="zh-CN" w:bidi="ar-SA"/>
              </w:rPr>
              <w:fldChar w:fldCharType="separate"/>
            </w:r>
            <w:r>
              <w:rPr>
                <w:rFonts w:hint="eastAsia" w:ascii="仿宋" w:hAnsi="仿宋" w:eastAsia="仿宋" w:cs="仿宋"/>
                <w:snapToGrid w:val="0"/>
                <w:color w:val="auto"/>
                <w:kern w:val="28"/>
                <w:sz w:val="24"/>
                <w:szCs w:val="24"/>
                <w:highlight w:val="none"/>
                <w:lang w:val="en-US" w:eastAsia="zh-CN" w:bidi="ar-SA"/>
              </w:rPr>
              <w:t>元整</w:t>
            </w:r>
            <w:r>
              <w:rPr>
                <w:rFonts w:hint="eastAsia" w:ascii="仿宋" w:hAnsi="仿宋" w:eastAsia="仿宋" w:cs="仿宋"/>
                <w:snapToGrid w:val="0"/>
                <w:color w:val="auto"/>
                <w:kern w:val="28"/>
                <w:sz w:val="24"/>
                <w:szCs w:val="24"/>
                <w:highlight w:val="none"/>
                <w:lang w:val="en-US" w:eastAsia="zh-CN" w:bidi="ar-SA"/>
              </w:rPr>
              <w:fldChar w:fldCharType="end"/>
            </w:r>
            <w:r>
              <w:rPr>
                <w:rFonts w:hint="eastAsia" w:ascii="仿宋" w:hAnsi="仿宋" w:eastAsia="仿宋" w:cs="仿宋"/>
                <w:snapToGrid w:val="0"/>
                <w:color w:val="auto"/>
                <w:kern w:val="28"/>
                <w:sz w:val="24"/>
                <w:szCs w:val="24"/>
                <w:highlight w:val="none"/>
                <w:lang w:val="en-US" w:eastAsia="zh-CN" w:bidi="ar-SA"/>
              </w:rPr>
              <w:t>（¥：19000.00元），由成交供应商在领取成交通知书时支付给采购代理公司。</w:t>
            </w:r>
          </w:p>
        </w:tc>
      </w:tr>
      <w:tr w14:paraId="14EDA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46EBAB44">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2233" w:type="dxa"/>
            <w:vMerge w:val="restart"/>
            <w:tcBorders>
              <w:top w:val="single" w:color="000000" w:sz="8" w:space="0"/>
              <w:left w:val="single" w:color="000000" w:sz="2" w:space="0"/>
              <w:right w:val="single" w:color="000000" w:sz="8" w:space="0"/>
            </w:tcBorders>
            <w:vAlign w:val="center"/>
          </w:tcPr>
          <w:p w14:paraId="2B517DE9">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290" w:type="dxa"/>
            <w:tcBorders>
              <w:top w:val="single" w:color="000000" w:sz="8" w:space="0"/>
              <w:left w:val="single" w:color="000000" w:sz="2" w:space="0"/>
              <w:bottom w:val="single" w:color="000000" w:sz="8" w:space="0"/>
              <w:right w:val="single" w:color="000000" w:sz="8" w:space="0"/>
            </w:tcBorders>
            <w:vAlign w:val="center"/>
          </w:tcPr>
          <w:p w14:paraId="6340665E">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70AE14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3587D9FF">
            <w:pPr>
              <w:snapToGrid w:val="0"/>
              <w:spacing w:line="360" w:lineRule="auto"/>
              <w:jc w:val="center"/>
              <w:rPr>
                <w:rFonts w:hint="eastAsia" w:ascii="仿宋" w:hAnsi="仿宋" w:eastAsia="仿宋" w:cs="仿宋"/>
                <w:color w:val="auto"/>
                <w:sz w:val="24"/>
                <w:highlight w:val="none"/>
              </w:rPr>
            </w:pPr>
          </w:p>
        </w:tc>
        <w:tc>
          <w:tcPr>
            <w:tcW w:w="2233" w:type="dxa"/>
            <w:vMerge w:val="continue"/>
            <w:tcBorders>
              <w:left w:val="single" w:color="000000" w:sz="2" w:space="0"/>
              <w:bottom w:val="single" w:color="000000" w:sz="8" w:space="0"/>
              <w:right w:val="single" w:color="000000" w:sz="8" w:space="0"/>
            </w:tcBorders>
            <w:vAlign w:val="center"/>
          </w:tcPr>
          <w:p w14:paraId="3E1900C1">
            <w:pPr>
              <w:snapToGrid w:val="0"/>
              <w:spacing w:line="360" w:lineRule="auto"/>
              <w:jc w:val="center"/>
              <w:rPr>
                <w:rFonts w:hint="eastAsia" w:ascii="仿宋" w:hAnsi="仿宋" w:eastAsia="仿宋" w:cs="仿宋"/>
                <w:b/>
                <w:color w:val="auto"/>
                <w:sz w:val="24"/>
                <w:highlight w:val="none"/>
              </w:rPr>
            </w:pPr>
          </w:p>
        </w:tc>
        <w:tc>
          <w:tcPr>
            <w:tcW w:w="6290" w:type="dxa"/>
            <w:tcBorders>
              <w:top w:val="single" w:color="000000" w:sz="8" w:space="0"/>
              <w:left w:val="single" w:color="000000" w:sz="2" w:space="0"/>
              <w:bottom w:val="single" w:color="000000" w:sz="8" w:space="0"/>
              <w:right w:val="single" w:color="000000" w:sz="8" w:space="0"/>
            </w:tcBorders>
            <w:vAlign w:val="center"/>
          </w:tcPr>
          <w:p w14:paraId="580359F6">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81633666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snapToGrid w:val="0"/>
                <w:color w:val="auto"/>
                <w:kern w:val="28"/>
                <w:sz w:val="24"/>
                <w:highlight w:val="none"/>
              </w:rPr>
              <w:t>联合体响应的，联合体各方均需按磋商文件第五部分评审标准要求提供资信证明文件，否则视为不符合相关要求。</w:t>
            </w:r>
          </w:p>
          <w:p w14:paraId="43BB3549">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23231189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snapToGrid w:val="0"/>
                <w:color w:val="auto"/>
                <w:kern w:val="28"/>
                <w:sz w:val="24"/>
                <w:highlight w:val="none"/>
              </w:rPr>
              <w:t>联合体响应的，联合体中有一方或者联合体成员根据分工按磋商文件第五部分评审标准要求提供资信证明文件的，视为符合了相关要求。</w:t>
            </w:r>
          </w:p>
        </w:tc>
      </w:tr>
    </w:tbl>
    <w:p w14:paraId="0EE1B6B2">
      <w:pPr>
        <w:snapToGrid w:val="0"/>
        <w:jc w:val="center"/>
        <w:rPr>
          <w:rFonts w:hint="eastAsia" w:ascii="仿宋" w:hAnsi="仿宋" w:eastAsia="仿宋" w:cs="仿宋"/>
          <w:b/>
          <w:color w:val="auto"/>
          <w:sz w:val="32"/>
          <w:szCs w:val="20"/>
          <w:highlight w:val="none"/>
        </w:rPr>
      </w:pPr>
    </w:p>
    <w:p w14:paraId="11C8D640">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二、总则</w:t>
      </w:r>
    </w:p>
    <w:p w14:paraId="1EAB4206">
      <w:pPr>
        <w:snapToGrid w:val="0"/>
        <w:spacing w:line="360" w:lineRule="auto"/>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516F7527">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本磋商文件适用于该项目的邀请、响应、开启响应文件、信用信息查询、资格性审查、评审、成交、合同、验收等行为（法律、法规另有规定的，从其规定）。</w:t>
      </w:r>
    </w:p>
    <w:p w14:paraId="014886AA">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19EC944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“采购人”系指磋商邀请公告中载明的本项目的采购人。</w:t>
      </w:r>
    </w:p>
    <w:p w14:paraId="5F51AA4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”系指磋商邀请公告中载明的本项目的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0369B64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“供应商”系指响应磋商、参加本次竞争的法人、其他组织或自然人。</w:t>
      </w:r>
    </w:p>
    <w:p w14:paraId="259A9EA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288202D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 “成交人”系指经评审确定的成交供应商。</w:t>
      </w:r>
    </w:p>
    <w:p w14:paraId="565CE2D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2.6“响应文件”系指供应商提交的商务技术文件。供应商提交最后报价后，最后报价是供应商响应文件的有效组成部分。</w:t>
      </w:r>
    </w:p>
    <w:p w14:paraId="1BEEFE5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 </w:instrText>
      </w:r>
      <w:r>
        <w:rPr>
          <w:rFonts w:hint="eastAsia" w:ascii="仿宋" w:hAnsi="仿宋" w:eastAsia="仿宋" w:cs="仿宋"/>
          <w:color w:val="auto"/>
          <w:highlight w:val="none"/>
        </w:rPr>
        <w:fldChar w:fldCharType="separate"/>
      </w:r>
      <w:r>
        <w:rPr>
          <w:rStyle w:val="70"/>
          <w:rFonts w:hint="eastAsia" w:ascii="仿宋" w:hAnsi="仿宋" w:eastAsia="仿宋" w:cs="仿宋"/>
          <w:snapToGrid/>
          <w:color w:val="auto"/>
          <w:kern w:val="2"/>
          <w:sz w:val="24"/>
          <w:szCs w:val="24"/>
          <w:highlight w:val="none"/>
        </w:rPr>
        <w:t>https://www.zcygov.cn/</w:t>
      </w:r>
      <w:r>
        <w:rPr>
          <w:rStyle w:val="70"/>
          <w:rFonts w:hint="eastAsia" w:ascii="仿宋" w:hAnsi="仿宋" w:eastAsia="仿宋" w:cs="仿宋"/>
          <w:snapToGrid/>
          <w:color w:val="auto"/>
          <w:kern w:val="2"/>
          <w:sz w:val="24"/>
          <w:szCs w:val="24"/>
          <w:highlight w:val="none"/>
        </w:rPr>
        <w:fldChar w:fldCharType="end"/>
      </w:r>
      <w:r>
        <w:rPr>
          <w:rFonts w:hint="eastAsia" w:ascii="仿宋" w:hAnsi="仿宋" w:eastAsia="仿宋" w:cs="仿宋"/>
          <w:color w:val="auto"/>
          <w:sz w:val="24"/>
          <w:highlight w:val="none"/>
        </w:rPr>
        <w:t>）。</w:t>
      </w:r>
    </w:p>
    <w:p w14:paraId="3D730F9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4AFC661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2.9 </w:t>
      </w:r>
      <w:r>
        <w:rPr>
          <w:rFonts w:hint="eastAsia" w:ascii="仿宋" w:hAnsi="仿宋" w:eastAsia="仿宋" w:cs="仿宋"/>
          <w:color w:val="auto"/>
          <w:sz w:val="24"/>
          <w:highlight w:val="none"/>
          <w:u w:val="single"/>
        </w:rPr>
        <w:t>“书面形式”包括数据电文形式与纸质形式。数据电文形式与纸质形式的采购活动具有同等法律效力。</w:t>
      </w:r>
    </w:p>
    <w:p w14:paraId="3E791AFD">
      <w:pPr>
        <w:snapToGrid w:val="0"/>
        <w:spacing w:line="360" w:lineRule="auto"/>
        <w:ind w:firstLine="480" w:firstLineChars="200"/>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2.10 “▲” 系指实质性要求条款， “※”系指磋商过程中可能实质性变动的内容， “</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 系指不适用本项目的要求。</w:t>
      </w:r>
    </w:p>
    <w:p w14:paraId="143C15E9">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3.响应有效期</w:t>
      </w:r>
    </w:p>
    <w:p w14:paraId="6107B8DA">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▲3.1</w:t>
      </w:r>
      <w:r>
        <w:rPr>
          <w:rFonts w:hint="eastAsia" w:ascii="仿宋" w:hAnsi="仿宋" w:eastAsia="仿宋" w:cs="仿宋"/>
          <w:b/>
          <w:color w:val="auto"/>
          <w:sz w:val="24"/>
          <w:szCs w:val="20"/>
          <w:highlight w:val="none"/>
        </w:rPr>
        <w:t>响应有效期为从提交响应文件的截止之日起90天。供应商的响应文件中承</w:t>
      </w:r>
      <w:r>
        <w:rPr>
          <w:rFonts w:hint="eastAsia" w:ascii="仿宋" w:hAnsi="仿宋" w:eastAsia="仿宋" w:cs="仿宋"/>
          <w:b/>
          <w:color w:val="auto"/>
          <w:sz w:val="24"/>
          <w:szCs w:val="21"/>
          <w:highlight w:val="none"/>
        </w:rPr>
        <w:t>诺的响应有效期少于磋商文件中载明的磋商有效期的，响应无效。</w:t>
      </w:r>
    </w:p>
    <w:p w14:paraId="06CB8507">
      <w:pPr>
        <w:pStyle w:val="39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3.2响应文件合格提交后，自响应截止日期起，在响应有效期内有效。</w:t>
      </w:r>
    </w:p>
    <w:p w14:paraId="2D53185C">
      <w:pPr>
        <w:pStyle w:val="39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3.3在原定响应有效期满之前，如果出现特殊情况，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可以以书面形式通知供应商延长响应有效期。供应商同意延长的，不得要求或被允许修改其响应文件;供应商拒绝延长的，其响应无效。</w:t>
      </w:r>
      <w:r>
        <w:rPr>
          <w:rFonts w:hint="eastAsia" w:ascii="仿宋" w:hAnsi="仿宋" w:eastAsia="仿宋" w:cs="仿宋"/>
          <w:color w:val="auto"/>
          <w:szCs w:val="24"/>
          <w:highlight w:val="none"/>
        </w:rPr>
        <w:t>拒绝延长磋商有效期的供应商不得再参与该项目后续采购活动。</w:t>
      </w:r>
    </w:p>
    <w:p w14:paraId="07F1748C">
      <w:pPr>
        <w:tabs>
          <w:tab w:val="left" w:pos="3780"/>
        </w:tabs>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响应费用</w:t>
      </w:r>
    </w:p>
    <w:p w14:paraId="3ED5F865">
      <w:pPr>
        <w:pStyle w:val="34"/>
        <w:spacing w:line="360" w:lineRule="auto"/>
        <w:ind w:firstLine="360" w:firstLineChars="15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供应商需自行承担涉及响应的一切费用</w:t>
      </w:r>
      <w:r>
        <w:rPr>
          <w:rFonts w:hint="eastAsia" w:ascii="仿宋" w:hAnsi="仿宋" w:eastAsia="仿宋" w:cs="仿宋"/>
          <w:color w:val="auto"/>
          <w:sz w:val="24"/>
          <w:highlight w:val="none"/>
          <w:lang w:val="zh-CN"/>
        </w:rPr>
        <w:t>。</w:t>
      </w:r>
    </w:p>
    <w:p w14:paraId="1B5964FF">
      <w:pPr>
        <w:spacing w:line="360" w:lineRule="auto"/>
        <w:jc w:val="center"/>
        <w:rPr>
          <w:rFonts w:hint="eastAsia" w:ascii="仿宋" w:hAnsi="仿宋" w:eastAsia="仿宋" w:cs="仿宋"/>
          <w:b/>
          <w:color w:val="auto"/>
          <w:sz w:val="24"/>
          <w:highlight w:val="none"/>
        </w:rPr>
      </w:pPr>
    </w:p>
    <w:p w14:paraId="7DB4C9C6">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三、需要落实的政府采购政策</w:t>
      </w:r>
    </w:p>
    <w:p w14:paraId="752C9828">
      <w:pPr>
        <w:pStyle w:val="395"/>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1.是否允许采购进口产品要求</w:t>
      </w:r>
    </w:p>
    <w:p w14:paraId="29201376">
      <w:pPr>
        <w:pStyle w:val="34"/>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4C69582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2.支持绿色发展</w:t>
      </w:r>
    </w:p>
    <w:p w14:paraId="2C1BFE9A">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01ADCB8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2.2纳入政府采购管理的修缮、装修类项目采购建材的，鼓励</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将绿色建材性能、指标等作为实质性条件纳入采购文件和合同，具体性能指标要求参考相关绿色建材政府采购需求标准。</w:t>
      </w:r>
    </w:p>
    <w:p w14:paraId="24CD64F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优先采购秸秆环保板材等资源综合利用产品。鼓励</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优先采购绿色物流配送服务、提供新能源交通工具的租赁服务。</w:t>
      </w:r>
    </w:p>
    <w:p w14:paraId="50AF292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鼓励供应商在参加政府采购过程中开展绿色设计、选择绿色材料、打造绿色制造工艺、开展绿色运输、做好废弃产品回收处理，实现产品全周期的绿色环保。鼓励</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对其提高预付款比例、免收履约保证金。</w:t>
      </w:r>
    </w:p>
    <w:p w14:paraId="1B83BBA9">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3.支持中小企业发展。</w:t>
      </w:r>
    </w:p>
    <w:p w14:paraId="14D5346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F22528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7341F2F2">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3.2</w:t>
      </w:r>
      <w:r>
        <w:rPr>
          <w:rFonts w:hint="eastAsia" w:ascii="仿宋" w:hAnsi="仿宋" w:eastAsia="仿宋" w:cs="仿宋"/>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7FFB2F1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79A75B5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对于未预留份额专门面向中小企业的政府采购服务项目，以及预留份额政府采购服务项目中的非预留部分标项，对小型和微型企业的最后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64C4B34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3.4符合《关于促进残疾人就业政府采购政策的通知》（财库〔2017〕141号）规定的条件并提供《残疾人福利性单位声明函》（附件3）的残疾人福利性单位视同小型、微型企业；</w:t>
      </w:r>
    </w:p>
    <w:p w14:paraId="6E628A3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6D3EC7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4FC0DB6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3.7中小企业享受扶持政策获得政府采购合同的，小微企业不得将合同分包给大中型企业，中型企业不得将合同分包给大型企业。</w:t>
      </w:r>
    </w:p>
    <w:p w14:paraId="58315E4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w:t>
      </w:r>
      <w:r>
        <w:rPr>
          <w:rFonts w:hint="eastAsia" w:ascii="仿宋" w:hAnsi="仿宋" w:eastAsia="仿宋" w:cs="仿宋"/>
          <w:b/>
          <w:bCs/>
          <w:color w:val="auto"/>
          <w:sz w:val="24"/>
          <w:highlight w:val="none"/>
        </w:rPr>
        <w:t>支持创新发展</w:t>
      </w:r>
    </w:p>
    <w:p w14:paraId="0864942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 采购人优先采购被认定为首台套产品和“制造精品”的自主创新产品。</w:t>
      </w:r>
    </w:p>
    <w:p w14:paraId="7776260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6D83A9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5.平等对待内外资企业和符合条件的破产重整企业</w:t>
      </w:r>
    </w:p>
    <w:p w14:paraId="0EB551D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6904A4B9">
      <w:pPr>
        <w:spacing w:line="360" w:lineRule="auto"/>
        <w:ind w:firstLine="480" w:firstLineChars="200"/>
        <w:rPr>
          <w:rFonts w:hint="eastAsia" w:ascii="仿宋" w:hAnsi="仿宋" w:eastAsia="仿宋" w:cs="仿宋"/>
          <w:color w:val="auto"/>
          <w:sz w:val="24"/>
          <w:highlight w:val="none"/>
        </w:rPr>
      </w:pPr>
    </w:p>
    <w:p w14:paraId="6AE8DBA6">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四、询问、质疑与投诉</w:t>
      </w:r>
    </w:p>
    <w:p w14:paraId="7FCB314F">
      <w:pPr>
        <w:pStyle w:val="34"/>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1.在线询问、质疑、投诉</w:t>
      </w:r>
    </w:p>
    <w:p w14:paraId="3478D25A">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0EB9E2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2.供应商询问</w:t>
      </w:r>
    </w:p>
    <w:p w14:paraId="732A54F9">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E27398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3.供应商质疑</w:t>
      </w:r>
    </w:p>
    <w:p w14:paraId="777D60EB">
      <w:pPr>
        <w:pStyle w:val="34"/>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lang w:val="zh-CN"/>
        </w:rPr>
        <w:t>3</w:t>
      </w:r>
      <w:r>
        <w:rPr>
          <w:rFonts w:hint="eastAsia" w:ascii="仿宋" w:hAnsi="仿宋" w:eastAsia="仿宋" w:cs="仿宋"/>
          <w:b/>
          <w:color w:val="auto"/>
          <w:sz w:val="24"/>
          <w:highlight w:val="none"/>
        </w:rPr>
        <w:t>.1质疑提出时效</w:t>
      </w:r>
    </w:p>
    <w:p w14:paraId="77E3D84D">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3.1.1提出质疑的供应商应当是参与所质疑项目采购活动的供应商。潜在供应商已依法获取其可质疑的采购文件的，可以对该文件提出质疑。</w:t>
      </w:r>
    </w:p>
    <w:p w14:paraId="2A2DACCD">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3</w:t>
      </w:r>
      <w:r>
        <w:rPr>
          <w:rFonts w:hint="eastAsia" w:ascii="仿宋" w:hAnsi="仿宋" w:eastAsia="仿宋" w:cs="仿宋"/>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14:paraId="10B5E39F">
      <w:pPr>
        <w:pStyle w:val="16"/>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25F4D36B">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3.1.2.2对采购过程提出质疑的，质疑期限为各采购程序环节结束之日起计算。</w:t>
      </w:r>
    </w:p>
    <w:p w14:paraId="14BF24B8">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3.1.2.3对采购结果提出质疑的，质疑期限自采购结果公告期限届满之日起计算。</w:t>
      </w:r>
    </w:p>
    <w:p w14:paraId="53A40D3D">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3.1.2.4对同一采购程序环节的质疑，供应商须一次性提出。</w:t>
      </w:r>
    </w:p>
    <w:p w14:paraId="08AFFF23">
      <w:pPr>
        <w:pStyle w:val="34"/>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3.2质疑答复</w:t>
      </w:r>
    </w:p>
    <w:p w14:paraId="4DC8AE83">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3.2.1根据采购人与</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签订的《采购委托协议》的规定，质疑答复责任主体如下：</w:t>
      </w:r>
    </w:p>
    <w:p w14:paraId="2A435460">
      <w:pPr>
        <w:widowControl/>
        <w:adjustRightInd/>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质疑答复责任主体一览表</w:t>
      </w:r>
    </w:p>
    <w:tbl>
      <w:tblPr>
        <w:tblStyle w:val="63"/>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4553"/>
        <w:gridCol w:w="2240"/>
      </w:tblGrid>
      <w:tr w14:paraId="7D3EE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079" w:type="dxa"/>
            <w:gridSpan w:val="2"/>
            <w:vAlign w:val="center"/>
          </w:tcPr>
          <w:p w14:paraId="4D3FB8CC">
            <w:pPr>
              <w:pStyle w:val="34"/>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质疑内容</w:t>
            </w:r>
          </w:p>
        </w:tc>
        <w:tc>
          <w:tcPr>
            <w:tcW w:w="2240" w:type="dxa"/>
            <w:vAlign w:val="center"/>
          </w:tcPr>
          <w:p w14:paraId="1351A166">
            <w:pPr>
              <w:pStyle w:val="34"/>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质疑答复责任主体</w:t>
            </w:r>
          </w:p>
        </w:tc>
      </w:tr>
      <w:tr w14:paraId="14380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526" w:type="dxa"/>
            <w:vMerge w:val="restart"/>
            <w:vAlign w:val="center"/>
          </w:tcPr>
          <w:p w14:paraId="468F1DED">
            <w:pPr>
              <w:pStyle w:val="34"/>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对采购文件提出质疑</w:t>
            </w:r>
          </w:p>
        </w:tc>
        <w:tc>
          <w:tcPr>
            <w:tcW w:w="4553" w:type="dxa"/>
            <w:vAlign w:val="center"/>
          </w:tcPr>
          <w:p w14:paraId="688A06C6">
            <w:pPr>
              <w:pStyle w:val="34"/>
              <w:spacing w:line="24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对采购文件中特定资格条件、采购需求、评审办法、评审标准提出的质疑</w:t>
            </w:r>
          </w:p>
        </w:tc>
        <w:tc>
          <w:tcPr>
            <w:tcW w:w="2240" w:type="dxa"/>
            <w:vAlign w:val="center"/>
          </w:tcPr>
          <w:p w14:paraId="5294CE13">
            <w:pPr>
              <w:pStyle w:val="34"/>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p>
        </w:tc>
      </w:tr>
      <w:tr w14:paraId="14677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526" w:type="dxa"/>
            <w:vMerge w:val="continue"/>
            <w:vAlign w:val="center"/>
          </w:tcPr>
          <w:p w14:paraId="5C4C6A33">
            <w:pPr>
              <w:pStyle w:val="34"/>
              <w:spacing w:line="240" w:lineRule="auto"/>
              <w:jc w:val="center"/>
              <w:rPr>
                <w:rFonts w:hint="eastAsia" w:ascii="仿宋" w:hAnsi="仿宋" w:eastAsia="仿宋" w:cs="仿宋"/>
                <w:color w:val="auto"/>
                <w:sz w:val="24"/>
                <w:highlight w:val="none"/>
              </w:rPr>
            </w:pPr>
          </w:p>
        </w:tc>
        <w:tc>
          <w:tcPr>
            <w:tcW w:w="4553" w:type="dxa"/>
            <w:vAlign w:val="center"/>
          </w:tcPr>
          <w:p w14:paraId="23BE67D5">
            <w:pPr>
              <w:pStyle w:val="34"/>
              <w:spacing w:line="24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对采购文件中其他内容提出的质疑</w:t>
            </w:r>
          </w:p>
        </w:tc>
        <w:tc>
          <w:tcPr>
            <w:tcW w:w="2240" w:type="dxa"/>
            <w:vAlign w:val="center"/>
          </w:tcPr>
          <w:p w14:paraId="36C9D93D">
            <w:pPr>
              <w:pStyle w:val="34"/>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采购代理机构</w:t>
            </w:r>
          </w:p>
        </w:tc>
      </w:tr>
      <w:tr w14:paraId="5C813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526" w:type="dxa"/>
            <w:vMerge w:val="restart"/>
            <w:vAlign w:val="center"/>
          </w:tcPr>
          <w:p w14:paraId="72C05F0E">
            <w:pPr>
              <w:pStyle w:val="34"/>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对采购过程提出质疑</w:t>
            </w:r>
          </w:p>
        </w:tc>
        <w:tc>
          <w:tcPr>
            <w:tcW w:w="4553" w:type="dxa"/>
            <w:vAlign w:val="center"/>
          </w:tcPr>
          <w:p w14:paraId="19EF1D72">
            <w:pPr>
              <w:pStyle w:val="34"/>
              <w:spacing w:line="24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有关现场考察或开启响应文件前答疑会事项提出的质疑</w:t>
            </w:r>
          </w:p>
        </w:tc>
        <w:tc>
          <w:tcPr>
            <w:tcW w:w="2240" w:type="dxa"/>
            <w:vAlign w:val="center"/>
          </w:tcPr>
          <w:p w14:paraId="306D57DF">
            <w:pPr>
              <w:pStyle w:val="34"/>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p>
        </w:tc>
      </w:tr>
      <w:tr w14:paraId="25DE4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526" w:type="dxa"/>
            <w:vMerge w:val="continue"/>
            <w:vAlign w:val="center"/>
          </w:tcPr>
          <w:p w14:paraId="1E803726">
            <w:pPr>
              <w:pStyle w:val="34"/>
              <w:spacing w:line="240" w:lineRule="auto"/>
              <w:jc w:val="center"/>
              <w:rPr>
                <w:rFonts w:hint="eastAsia" w:ascii="仿宋" w:hAnsi="仿宋" w:eastAsia="仿宋" w:cs="仿宋"/>
                <w:color w:val="auto"/>
                <w:sz w:val="24"/>
                <w:highlight w:val="none"/>
              </w:rPr>
            </w:pPr>
          </w:p>
        </w:tc>
        <w:tc>
          <w:tcPr>
            <w:tcW w:w="4553" w:type="dxa"/>
            <w:vAlign w:val="center"/>
          </w:tcPr>
          <w:p w14:paraId="366E53AD">
            <w:pPr>
              <w:pStyle w:val="34"/>
              <w:spacing w:line="24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对采购过程中其它事项提出的质疑</w:t>
            </w:r>
          </w:p>
        </w:tc>
        <w:tc>
          <w:tcPr>
            <w:tcW w:w="2240" w:type="dxa"/>
            <w:vAlign w:val="center"/>
          </w:tcPr>
          <w:p w14:paraId="157910AC">
            <w:pPr>
              <w:pStyle w:val="34"/>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采购代理机构</w:t>
            </w:r>
          </w:p>
        </w:tc>
      </w:tr>
      <w:tr w14:paraId="53A4E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526" w:type="dxa"/>
            <w:vAlign w:val="center"/>
          </w:tcPr>
          <w:p w14:paraId="15A78C08">
            <w:pPr>
              <w:pStyle w:val="34"/>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对采购结果提出质疑</w:t>
            </w:r>
          </w:p>
        </w:tc>
        <w:tc>
          <w:tcPr>
            <w:tcW w:w="4553" w:type="dxa"/>
            <w:vAlign w:val="center"/>
          </w:tcPr>
          <w:p w14:paraId="3530A97F">
            <w:pPr>
              <w:pStyle w:val="34"/>
              <w:spacing w:line="24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对采购结果提出的质疑</w:t>
            </w:r>
          </w:p>
        </w:tc>
        <w:tc>
          <w:tcPr>
            <w:tcW w:w="2240" w:type="dxa"/>
            <w:vAlign w:val="center"/>
          </w:tcPr>
          <w:p w14:paraId="108C88DC">
            <w:pPr>
              <w:pStyle w:val="34"/>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采购代理机构</w:t>
            </w:r>
          </w:p>
        </w:tc>
      </w:tr>
    </w:tbl>
    <w:p w14:paraId="59F05073">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在质疑回复后5个工作日内，在浙江政府采购网的“其他公告”栏目公开质疑答复，答复内容应当完整。质疑函作为附件上传。</w:t>
      </w:r>
    </w:p>
    <w:p w14:paraId="7D0A8B1B">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3.2.3询问或者质疑事项可能影响采购结果的，采购人应当暂停签订合同，已经签订合同的，应当中止履行合同。</w:t>
      </w:r>
    </w:p>
    <w:p w14:paraId="149E4C99">
      <w:pPr>
        <w:pStyle w:val="34"/>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lang w:val="zh-CN"/>
        </w:rPr>
        <w:t>3.3质疑函</w:t>
      </w:r>
    </w:p>
    <w:p w14:paraId="47A7A597">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3.3.1供应商提出质疑应当提交质疑函和必要的证明材料。质疑函应当包括下列内容：</w:t>
      </w:r>
    </w:p>
    <w:p w14:paraId="769E46FF">
      <w:pPr>
        <w:pStyle w:val="34"/>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供应商的姓名或者名称、地址、邮编、联系人及联系电话；</w:t>
      </w:r>
    </w:p>
    <w:p w14:paraId="1961CEF4">
      <w:pPr>
        <w:pStyle w:val="34"/>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质疑项目的名称、编号；</w:t>
      </w:r>
    </w:p>
    <w:p w14:paraId="427F3FBB">
      <w:pPr>
        <w:pStyle w:val="34"/>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具体、明确的质疑事项和与质疑事项相关的请求；</w:t>
      </w:r>
    </w:p>
    <w:p w14:paraId="7005E52F">
      <w:pPr>
        <w:pStyle w:val="34"/>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p>
    <w:p w14:paraId="1CF5D5A0">
      <w:pPr>
        <w:pStyle w:val="34"/>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必要的法律依据；</w:t>
      </w:r>
    </w:p>
    <w:p w14:paraId="42A36619">
      <w:pPr>
        <w:pStyle w:val="34"/>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提出质疑的日期。</w:t>
      </w:r>
    </w:p>
    <w:p w14:paraId="3B17484F">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4BD5246F">
      <w:pPr>
        <w:pStyle w:val="34"/>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质疑函范本及制作说明详见附件1。</w:t>
      </w:r>
    </w:p>
    <w:p w14:paraId="5D771C8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4.供应商投诉</w:t>
      </w:r>
    </w:p>
    <w:p w14:paraId="77A6CF4C">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4.1质疑供应商对采购人、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的答复不满意或者采购人、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未在规定的时间内作出答复的，可以在答复期满后十五个工作日内向同级政府采购监督管理部门提出投诉。</w:t>
      </w:r>
    </w:p>
    <w:p w14:paraId="742F711A">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4.2供应商投诉的事项不得超出已质疑事项的范围，基于质疑答复内容提出的投诉事项除外。</w:t>
      </w:r>
    </w:p>
    <w:p w14:paraId="6C299775">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4.3供应商投诉应当有明确的请求和必要的证明材料。</w:t>
      </w:r>
    </w:p>
    <w:p w14:paraId="5DD56E2B">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4.4以联合体形式参加政府采购活动的，其投诉应当由组成联合体的所有供应商共同提出。</w:t>
      </w:r>
    </w:p>
    <w:p w14:paraId="703E3128">
      <w:pPr>
        <w:pStyle w:val="34"/>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投诉书范本及制作说明详见附件2。</w:t>
      </w:r>
    </w:p>
    <w:p w14:paraId="4DBF7E0A">
      <w:pPr>
        <w:adjustRightInd/>
        <w:spacing w:line="360" w:lineRule="auto"/>
        <w:jc w:val="center"/>
        <w:outlineLvl w:val="0"/>
        <w:rPr>
          <w:rFonts w:hint="eastAsia" w:ascii="仿宋" w:hAnsi="仿宋" w:eastAsia="仿宋" w:cs="仿宋"/>
          <w:b/>
          <w:color w:val="auto"/>
          <w:sz w:val="32"/>
          <w:szCs w:val="20"/>
          <w:highlight w:val="none"/>
        </w:rPr>
      </w:pPr>
    </w:p>
    <w:p w14:paraId="669561F7">
      <w:pPr>
        <w:adjustRightInd/>
        <w:spacing w:line="360" w:lineRule="auto"/>
        <w:jc w:val="center"/>
        <w:outlineLvl w:val="0"/>
        <w:rPr>
          <w:rFonts w:hint="eastAsia" w:ascii="仿宋" w:hAnsi="仿宋" w:eastAsia="仿宋" w:cs="仿宋"/>
          <w:b/>
          <w:color w:val="auto"/>
          <w:sz w:val="32"/>
          <w:szCs w:val="20"/>
          <w:highlight w:val="none"/>
        </w:rPr>
      </w:pPr>
    </w:p>
    <w:p w14:paraId="67D27E15">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五、磋商文件构成、修改、解释</w:t>
      </w:r>
    </w:p>
    <w:p w14:paraId="3E7C259E">
      <w:pPr>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1．磋商文件的构成</w:t>
      </w:r>
    </w:p>
    <w:p w14:paraId="69FE007F">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磋商文件包括下列文件及附件</w:t>
      </w:r>
    </w:p>
    <w:p w14:paraId="1E706BE8">
      <w:pPr>
        <w:pStyle w:val="34"/>
        <w:numPr>
          <w:ilvl w:val="0"/>
          <w:numId w:val="4"/>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第一部分  供应商邀请</w:t>
      </w:r>
    </w:p>
    <w:p w14:paraId="317D53F9">
      <w:pPr>
        <w:pStyle w:val="34"/>
        <w:numPr>
          <w:ilvl w:val="0"/>
          <w:numId w:val="4"/>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第二部分  竞争性磋商流程</w:t>
      </w:r>
    </w:p>
    <w:p w14:paraId="0837C542">
      <w:pPr>
        <w:pStyle w:val="34"/>
        <w:numPr>
          <w:ilvl w:val="0"/>
          <w:numId w:val="4"/>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第三部分  供应商须知</w:t>
      </w:r>
    </w:p>
    <w:p w14:paraId="7386C1F9">
      <w:pPr>
        <w:pStyle w:val="34"/>
        <w:numPr>
          <w:ilvl w:val="0"/>
          <w:numId w:val="4"/>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第四部分  采购需求</w:t>
      </w:r>
    </w:p>
    <w:p w14:paraId="3936A3C6">
      <w:pPr>
        <w:pStyle w:val="34"/>
        <w:numPr>
          <w:ilvl w:val="0"/>
          <w:numId w:val="4"/>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第五部分  评审方法及评审标准</w:t>
      </w:r>
    </w:p>
    <w:p w14:paraId="68B150DB">
      <w:pPr>
        <w:pStyle w:val="34"/>
        <w:numPr>
          <w:ilvl w:val="0"/>
          <w:numId w:val="4"/>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第六部分  拟签订的合同文本</w:t>
      </w:r>
    </w:p>
    <w:p w14:paraId="137C3215">
      <w:pPr>
        <w:pStyle w:val="34"/>
        <w:numPr>
          <w:ilvl w:val="0"/>
          <w:numId w:val="4"/>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第七部分  应提交的有关格式范例</w:t>
      </w:r>
    </w:p>
    <w:p w14:paraId="632EDF0A">
      <w:pPr>
        <w:pStyle w:val="34"/>
        <w:numPr>
          <w:ilvl w:val="0"/>
          <w:numId w:val="4"/>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第八部分  最后报价格式</w:t>
      </w:r>
    </w:p>
    <w:p w14:paraId="7A90EAE2">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1.2 </w:t>
      </w:r>
      <w:r>
        <w:rPr>
          <w:rFonts w:hint="eastAsia" w:ascii="仿宋" w:hAnsi="仿宋" w:eastAsia="仿宋" w:cs="仿宋"/>
          <w:color w:val="auto"/>
          <w:sz w:val="24"/>
          <w:highlight w:val="none"/>
        </w:rPr>
        <w:t>与本项目有关的</w:t>
      </w:r>
      <w:r>
        <w:rPr>
          <w:rFonts w:hint="eastAsia" w:ascii="仿宋" w:hAnsi="仿宋" w:eastAsia="仿宋" w:cs="仿宋"/>
          <w:bCs/>
          <w:color w:val="auto"/>
          <w:sz w:val="24"/>
          <w:highlight w:val="none"/>
        </w:rPr>
        <w:t>澄清或者修改的内容为磋商文件的组成部分</w:t>
      </w:r>
      <w:r>
        <w:rPr>
          <w:rFonts w:hint="eastAsia" w:ascii="仿宋" w:hAnsi="仿宋" w:eastAsia="仿宋" w:cs="仿宋"/>
          <w:color w:val="auto"/>
          <w:sz w:val="24"/>
          <w:highlight w:val="none"/>
        </w:rPr>
        <w:t>。</w:t>
      </w:r>
    </w:p>
    <w:p w14:paraId="22AE7FB2">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 磋商文件的澄清、修改</w:t>
      </w:r>
    </w:p>
    <w:p w14:paraId="17E0ABFA">
      <w:pPr>
        <w:pStyle w:val="39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2.1已获取磋商文件的潜在供应商，若有问题需要澄清，应于提交首次响应文件截止时间前，以书面形式向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14:paraId="7B3E4382">
      <w:pPr>
        <w:pStyle w:val="39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2.2</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4F2B5829">
      <w:pPr>
        <w:pStyle w:val="39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2.3澄清或者修改的内容可能影响响应文件编制的，采购人、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应当在提交首次响应文件截止时间至少5日前，通过电子交易平台通知所有获取磋商文件的供应商；不足5日的，采购人、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应当顺延提交首次响应文件截止时间。</w:t>
      </w:r>
    </w:p>
    <w:p w14:paraId="4F23C8BE">
      <w:pPr>
        <w:pStyle w:val="395"/>
        <w:snapToGrid w:val="0"/>
        <w:spacing w:before="0"/>
        <w:ind w:firstLine="482"/>
        <w:rPr>
          <w:rFonts w:hint="eastAsia" w:ascii="仿宋" w:hAnsi="仿宋" w:eastAsia="仿宋" w:cs="仿宋"/>
          <w:color w:val="auto"/>
          <w:highlight w:val="none"/>
        </w:rPr>
      </w:pPr>
      <w:r>
        <w:rPr>
          <w:rFonts w:hint="eastAsia" w:ascii="仿宋" w:hAnsi="仿宋" w:eastAsia="仿宋" w:cs="仿宋"/>
          <w:b/>
          <w:color w:val="auto"/>
          <w:highlight w:val="none"/>
        </w:rPr>
        <w:t>▲</w:t>
      </w:r>
      <w:r>
        <w:rPr>
          <w:rFonts w:hint="eastAsia" w:ascii="仿宋" w:hAnsi="仿宋" w:eastAsia="仿宋" w:cs="仿宋"/>
          <w:b/>
          <w:color w:val="auto"/>
          <w:szCs w:val="21"/>
          <w:highlight w:val="none"/>
        </w:rPr>
        <w:t>响应文件未按磋商文件的澄清、修改的内容编制，又不符合实质性要求的，响应无效。</w:t>
      </w:r>
    </w:p>
    <w:p w14:paraId="4BCCE250">
      <w:pPr>
        <w:pStyle w:val="23"/>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0834A957">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六、响应文件的编制</w:t>
      </w:r>
    </w:p>
    <w:p w14:paraId="4D640BCE">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highlight w:val="none"/>
        </w:rPr>
        <w:t>1. 响应文件的语言</w:t>
      </w:r>
    </w:p>
    <w:p w14:paraId="5E29AE65">
      <w:pPr>
        <w:pStyle w:val="34"/>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响应文件及供应商与采购有关的来往通知、函件和文件均应使用中文。</w:t>
      </w:r>
    </w:p>
    <w:p w14:paraId="361C1623">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highlight w:val="none"/>
        </w:rPr>
        <w:t>2. 响应文件的组成</w:t>
      </w:r>
    </w:p>
    <w:p w14:paraId="17606130">
      <w:pPr>
        <w:pStyle w:val="34"/>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响应文件应当包括以下主要内容：</w:t>
      </w:r>
    </w:p>
    <w:p w14:paraId="0DA09CDA">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（1）响应函</w:t>
      </w:r>
    </w:p>
    <w:p w14:paraId="4659ABCE">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（2）资格文件</w:t>
      </w:r>
    </w:p>
    <w:p w14:paraId="3AC6D19E">
      <w:pPr>
        <w:pStyle w:val="34"/>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A、符合参加政府采购活动应当具备的一般条件的承诺函（如以联合体形式参加政府采购活动的，联合体各方均应提交该承诺函）；</w:t>
      </w:r>
    </w:p>
    <w:p w14:paraId="6BA9D95C">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B、联合协议（如果有）；</w:t>
      </w:r>
    </w:p>
    <w:p w14:paraId="5754363C">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C、落实政府采购政策需满足的资格要求</w:t>
      </w:r>
      <w:r>
        <w:rPr>
          <w:rFonts w:hint="eastAsia" w:ascii="仿宋" w:hAnsi="仿宋" w:eastAsia="仿宋" w:cs="仿宋"/>
          <w:snapToGrid w:val="0"/>
          <w:color w:val="auto"/>
          <w:kern w:val="28"/>
          <w:sz w:val="24"/>
          <w:highlight w:val="none"/>
        </w:rPr>
        <w:t>（如果有)；</w:t>
      </w:r>
    </w:p>
    <w:p w14:paraId="437CBF38">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D、符合特定资格条件的有关证明材料（如果有）。</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w:t>
      </w:r>
    </w:p>
    <w:p w14:paraId="5A26676E">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（3）授权委托书或法定代表人（单位负责人、自然人本人）身份证明；</w:t>
      </w:r>
    </w:p>
    <w:p w14:paraId="24CC3AFE">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highlight w:val="none"/>
        </w:rPr>
        <w:t>分包意向协议</w:t>
      </w:r>
      <w:r>
        <w:rPr>
          <w:rFonts w:hint="eastAsia" w:ascii="仿宋" w:hAnsi="仿宋" w:eastAsia="仿宋" w:cs="仿宋"/>
          <w:snapToGrid w:val="0"/>
          <w:color w:val="auto"/>
          <w:kern w:val="28"/>
          <w:sz w:val="24"/>
          <w:highlight w:val="none"/>
        </w:rPr>
        <w:t>（如果有)</w:t>
      </w:r>
      <w:r>
        <w:rPr>
          <w:rFonts w:hint="eastAsia" w:ascii="仿宋" w:hAnsi="仿宋" w:eastAsia="仿宋" w:cs="仿宋"/>
          <w:color w:val="auto"/>
          <w:kern w:val="0"/>
          <w:sz w:val="24"/>
          <w:highlight w:val="none"/>
          <w:lang w:val="zh-CN"/>
        </w:rPr>
        <w:t>；</w:t>
      </w:r>
    </w:p>
    <w:p w14:paraId="73D27A99">
      <w:pPr>
        <w:pStyle w:val="34"/>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（5）所有资信文件</w:t>
      </w:r>
      <w:r>
        <w:rPr>
          <w:rFonts w:hint="eastAsia" w:ascii="仿宋" w:hAnsi="仿宋" w:eastAsia="仿宋" w:cs="仿宋"/>
          <w:color w:val="auto"/>
          <w:kern w:val="0"/>
          <w:sz w:val="24"/>
          <w:highlight w:val="none"/>
        </w:rPr>
        <w:t>（如果有）；</w:t>
      </w:r>
    </w:p>
    <w:p w14:paraId="540A0640">
      <w:pPr>
        <w:pStyle w:val="34"/>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highlight w:val="none"/>
        </w:rPr>
        <w:t>（6）</w:t>
      </w:r>
      <w:r>
        <w:rPr>
          <w:rFonts w:hint="eastAsia" w:ascii="仿宋" w:hAnsi="仿宋" w:eastAsia="仿宋" w:cs="仿宋"/>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023D8C38">
      <w:pPr>
        <w:pStyle w:val="34"/>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snapToGrid w:val="0"/>
          <w:color w:val="auto"/>
          <w:sz w:val="24"/>
          <w:highlight w:val="none"/>
        </w:rPr>
        <w:t>（7）</w:t>
      </w:r>
      <w:r>
        <w:rPr>
          <w:rFonts w:hint="eastAsia" w:ascii="仿宋" w:hAnsi="仿宋" w:eastAsia="仿宋" w:cs="仿宋"/>
          <w:color w:val="auto"/>
          <w:kern w:val="0"/>
          <w:sz w:val="24"/>
          <w:highlight w:val="none"/>
          <w:lang w:val="zh-CN"/>
        </w:rPr>
        <w:t>关于对磋商文件中有关条款的拒绝声明 (如果有)</w:t>
      </w:r>
      <w:r>
        <w:rPr>
          <w:rFonts w:hint="eastAsia" w:ascii="仿宋" w:hAnsi="仿宋" w:eastAsia="仿宋" w:cs="仿宋"/>
          <w:color w:val="auto"/>
          <w:sz w:val="24"/>
          <w:highlight w:val="none"/>
          <w:lang w:val="zh-CN"/>
        </w:rPr>
        <w:t xml:space="preserve"> ；</w:t>
      </w:r>
    </w:p>
    <w:p w14:paraId="60DB58B3">
      <w:pPr>
        <w:pStyle w:val="34"/>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kern w:val="0"/>
          <w:sz w:val="24"/>
          <w:highlight w:val="none"/>
          <w:lang w:val="zh-CN"/>
        </w:rPr>
        <w:t>认为需要的其他商务文件或说明 (如果有) ；</w:t>
      </w:r>
    </w:p>
    <w:p w14:paraId="4E1E2F1C">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（9）</w:t>
      </w:r>
      <w:r>
        <w:rPr>
          <w:rFonts w:hint="eastAsia" w:ascii="仿宋" w:hAnsi="仿宋" w:eastAsia="仿宋" w:cs="仿宋"/>
          <w:color w:val="auto"/>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14:paraId="2FE9DFE7">
      <w:pPr>
        <w:pStyle w:val="34"/>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highlight w:val="none"/>
          <w:lang w:val="zh-CN"/>
        </w:rPr>
        <w:t>（10）组织实施方案。本项目详细工作实施组织方案，包括(但不限于)以下内容：组织机构、工作时间进度表、工作程序和步骤、管理和协调方法、关键步骤的思路和要点；</w:t>
      </w:r>
    </w:p>
    <w:p w14:paraId="10A6B874">
      <w:pPr>
        <w:pStyle w:val="34"/>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3B751D13">
      <w:pPr>
        <w:pStyle w:val="34"/>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w:t>
      </w:r>
    </w:p>
    <w:p w14:paraId="588960D2">
      <w:pPr>
        <w:pStyle w:val="34"/>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highlight w:val="none"/>
          <w:lang w:val="zh-CN"/>
        </w:rPr>
        <w:t>（13）优惠条件及特殊承诺；</w:t>
      </w:r>
    </w:p>
    <w:p w14:paraId="707C3E27">
      <w:pPr>
        <w:pStyle w:val="34"/>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（14）</w:t>
      </w:r>
      <w:r>
        <w:rPr>
          <w:rFonts w:hint="eastAsia" w:ascii="仿宋" w:hAnsi="仿宋" w:eastAsia="仿宋" w:cs="仿宋"/>
          <w:color w:val="auto"/>
          <w:kern w:val="0"/>
          <w:sz w:val="24"/>
          <w:highlight w:val="none"/>
          <w:lang w:val="zh-CN"/>
        </w:rPr>
        <w:t>培训计划（如果有）；</w:t>
      </w:r>
    </w:p>
    <w:p w14:paraId="4CF8A38E">
      <w:pPr>
        <w:pStyle w:val="34"/>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highlight w:val="none"/>
        </w:rPr>
        <w:t>（15）随机特殊工具和</w:t>
      </w:r>
      <w:r>
        <w:rPr>
          <w:rFonts w:hint="eastAsia" w:ascii="仿宋" w:hAnsi="仿宋" w:eastAsia="仿宋" w:cs="仿宋"/>
          <w:color w:val="auto"/>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1790DF28">
      <w:pPr>
        <w:pStyle w:val="34"/>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（16）</w:t>
      </w:r>
      <w:r>
        <w:rPr>
          <w:rFonts w:hint="eastAsia" w:ascii="仿宋" w:hAnsi="仿宋" w:eastAsia="仿宋" w:cs="仿宋"/>
          <w:color w:val="auto"/>
          <w:kern w:val="0"/>
          <w:sz w:val="24"/>
          <w:szCs w:val="24"/>
          <w:highlight w:val="none"/>
          <w:lang w:val="zh-CN"/>
        </w:rPr>
        <w:t>供应商认为需要的其他技术文件或说明（如果有）；</w:t>
      </w:r>
    </w:p>
    <w:p w14:paraId="303B4702">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szCs w:val="24"/>
          <w:highlight w:val="none"/>
        </w:rPr>
        <w:t>（17）</w:t>
      </w:r>
      <w:r>
        <w:rPr>
          <w:rFonts w:hint="eastAsia" w:ascii="仿宋" w:hAnsi="仿宋" w:eastAsia="仿宋" w:cs="仿宋"/>
          <w:color w:val="auto"/>
          <w:kern w:val="0"/>
          <w:sz w:val="24"/>
          <w:highlight w:val="none"/>
          <w:lang w:val="zh-CN"/>
        </w:rPr>
        <w:t>政府采购供应商廉洁自律承诺书。</w:t>
      </w:r>
    </w:p>
    <w:p w14:paraId="73575E3E">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 响应文件的编制和签署</w:t>
      </w:r>
    </w:p>
    <w:p w14:paraId="21F3AEC5">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1C6D9B3D">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12DE3AE4">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3F506ED1">
      <w:pPr>
        <w:pStyle w:val="395"/>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3.4响应文件按照磋商文件第七部分格式要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▲供应商的响应文件未按照磋商文件要求签署、盖章的，其响应无效</w:t>
      </w:r>
      <w:r>
        <w:rPr>
          <w:rFonts w:hint="eastAsia" w:ascii="仿宋" w:hAnsi="仿宋" w:eastAsia="仿宋" w:cs="仿宋"/>
          <w:color w:val="auto"/>
          <w:szCs w:val="24"/>
          <w:highlight w:val="none"/>
        </w:rPr>
        <w:t>。</w:t>
      </w:r>
    </w:p>
    <w:p w14:paraId="533C895E">
      <w:pPr>
        <w:pStyle w:val="39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17F59ABF">
      <w:pPr>
        <w:pStyle w:val="395"/>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highlight w:val="none"/>
        </w:rPr>
        <w:t>3.6磋商文件对响应文件签署、盖章的要求适用于电子签名。</w:t>
      </w:r>
    </w:p>
    <w:p w14:paraId="6FD19EB6">
      <w:pPr>
        <w:adjustRightInd/>
        <w:spacing w:line="360" w:lineRule="auto"/>
        <w:jc w:val="center"/>
        <w:outlineLvl w:val="0"/>
        <w:rPr>
          <w:rFonts w:hint="eastAsia" w:ascii="仿宋" w:hAnsi="仿宋" w:eastAsia="仿宋" w:cs="仿宋"/>
          <w:b/>
          <w:color w:val="auto"/>
          <w:sz w:val="32"/>
          <w:szCs w:val="20"/>
          <w:highlight w:val="none"/>
        </w:rPr>
      </w:pPr>
    </w:p>
    <w:p w14:paraId="334818EE">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七、</w:t>
      </w:r>
      <w:r>
        <w:rPr>
          <w:rFonts w:hint="eastAsia" w:ascii="仿宋" w:hAnsi="仿宋" w:eastAsia="仿宋" w:cs="仿宋"/>
          <w:b/>
          <w:color w:val="auto"/>
          <w:sz w:val="32"/>
          <w:szCs w:val="32"/>
          <w:highlight w:val="none"/>
        </w:rPr>
        <w:t>响应</w:t>
      </w:r>
      <w:r>
        <w:rPr>
          <w:rFonts w:hint="eastAsia" w:ascii="仿宋" w:hAnsi="仿宋" w:eastAsia="仿宋" w:cs="仿宋"/>
          <w:b/>
          <w:color w:val="auto"/>
          <w:sz w:val="32"/>
          <w:szCs w:val="20"/>
          <w:highlight w:val="none"/>
        </w:rPr>
        <w:t>文件的提交和备份</w:t>
      </w:r>
    </w:p>
    <w:p w14:paraId="491B5973">
      <w:pPr>
        <w:pStyle w:val="395"/>
        <w:spacing w:before="0"/>
        <w:ind w:firstLine="0" w:firstLineChars="0"/>
        <w:rPr>
          <w:rFonts w:hint="eastAsia" w:ascii="仿宋" w:hAnsi="仿宋" w:eastAsia="仿宋" w:cs="仿宋"/>
          <w:b/>
          <w:color w:val="auto"/>
          <w:szCs w:val="24"/>
          <w:highlight w:val="none"/>
        </w:rPr>
      </w:pPr>
    </w:p>
    <w:p w14:paraId="7285F6B4">
      <w:pPr>
        <w:pStyle w:val="395"/>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1.响应文件的提交、补充、修改、撤回</w:t>
      </w:r>
    </w:p>
    <w:p w14:paraId="73072074">
      <w:pPr>
        <w:pStyle w:val="395"/>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D9E765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 在响应截止时间以后，不能补充、修改响应文件。</w:t>
      </w:r>
    </w:p>
    <w:p w14:paraId="0A3A4FF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 在提交“最后报价”后，供应商不能退出磋商。</w:t>
      </w:r>
    </w:p>
    <w:p w14:paraId="782CC4D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2275586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可以视情况延长提交响应文件的截止时间。在上述情况下，</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与供应商以前在响应截止期方面的全部权利、责任和义务，将适用于延长至新的响应截止期。</w:t>
      </w:r>
    </w:p>
    <w:p w14:paraId="6FC9746F">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2.备份响应文件</w:t>
      </w:r>
    </w:p>
    <w:p w14:paraId="64C39EC2">
      <w:pPr>
        <w:pStyle w:val="34"/>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2.1 供应商在电子交易平台传输提交响应文件后，还可以在响应截止时间前直接提交或者以邮政快递方式递交备份响应文件1份，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不强制或变相强制供应商提交备份响应文件。</w:t>
      </w:r>
    </w:p>
    <w:p w14:paraId="27EE7F23">
      <w:pPr>
        <w:pStyle w:val="34"/>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2.2 备份响应文件须在“政采云投标客户端”制作生成，并储存在不可修改的</w:t>
      </w:r>
      <w:r>
        <w:rPr>
          <w:rFonts w:hint="eastAsia" w:ascii="仿宋" w:hAnsi="仿宋" w:eastAsia="仿宋" w:cs="仿宋"/>
          <w:b/>
          <w:color w:val="auto"/>
          <w:sz w:val="24"/>
          <w:highlight w:val="none"/>
          <w:u w:val="single"/>
        </w:rPr>
        <w:t>电子光盘</w:t>
      </w:r>
      <w:r>
        <w:rPr>
          <w:rFonts w:hint="eastAsia" w:ascii="仿宋" w:hAnsi="仿宋" w:eastAsia="仿宋" w:cs="仿宋"/>
          <w:b/>
          <w:color w:val="auto"/>
          <w:sz w:val="24"/>
          <w:highlight w:val="none"/>
          <w:u w:val="single"/>
          <w:lang w:val="en-US" w:eastAsia="zh-CN"/>
        </w:rPr>
        <w:t>等存储介质</w:t>
      </w:r>
      <w:r>
        <w:rPr>
          <w:rFonts w:hint="eastAsia" w:ascii="仿宋" w:hAnsi="仿宋" w:eastAsia="仿宋" w:cs="仿宋"/>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存储、密封规定的备份响应文件将被视为无效或者被拒绝接收。</w:t>
      </w:r>
    </w:p>
    <w:p w14:paraId="265BB392">
      <w:pPr>
        <w:pStyle w:val="34"/>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直接提交备份响应文件的，供应商应于响应截止时间前在磋商公告中载明的开启响应文件的地点将备份响应文件提交给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将拒绝接受逾期送达的备份响应文件。</w:t>
      </w:r>
    </w:p>
    <w:p w14:paraId="1F842789">
      <w:pPr>
        <w:pStyle w:val="34"/>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将拒绝接受逾期送达的备份响应文件。邮寄过程中，电子备份响应文件发生泄露、遗失、损坏或延期送达等情况的，由供应商自行负责。</w:t>
      </w:r>
    </w:p>
    <w:p w14:paraId="2DEE18F4">
      <w:pPr>
        <w:pStyle w:val="34"/>
        <w:spacing w:line="360" w:lineRule="auto"/>
        <w:ind w:firstLine="361" w:firstLineChars="15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2.5 </w:t>
      </w:r>
      <w:r>
        <w:rPr>
          <w:rFonts w:hint="eastAsia" w:ascii="仿宋" w:hAnsi="仿宋" w:eastAsia="仿宋" w:cs="仿宋"/>
          <w:b/>
          <w:color w:val="auto"/>
          <w:sz w:val="24"/>
          <w:highlight w:val="none"/>
        </w:rPr>
        <w:t>▲</w:t>
      </w:r>
      <w:r>
        <w:rPr>
          <w:rFonts w:hint="eastAsia" w:ascii="仿宋" w:hAnsi="仿宋" w:eastAsia="仿宋" w:cs="仿宋"/>
          <w:b/>
          <w:color w:val="auto"/>
          <w:sz w:val="24"/>
          <w:szCs w:val="24"/>
          <w:highlight w:val="none"/>
        </w:rPr>
        <w:t>供应商仅提交备份响应文件，未在电子交易平台传输提交响应文件的，响应无效。</w:t>
      </w:r>
    </w:p>
    <w:p w14:paraId="5F3B95AF">
      <w:pPr>
        <w:adjustRightInd/>
        <w:spacing w:line="360" w:lineRule="auto"/>
        <w:jc w:val="center"/>
        <w:outlineLvl w:val="0"/>
        <w:rPr>
          <w:rFonts w:hint="eastAsia" w:ascii="仿宋" w:hAnsi="仿宋" w:eastAsia="仿宋" w:cs="仿宋"/>
          <w:b/>
          <w:color w:val="auto"/>
          <w:sz w:val="32"/>
          <w:szCs w:val="20"/>
          <w:highlight w:val="none"/>
        </w:rPr>
      </w:pPr>
    </w:p>
    <w:p w14:paraId="37A1168B">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八、</w:t>
      </w:r>
      <w:r>
        <w:rPr>
          <w:rFonts w:hint="eastAsia" w:ascii="仿宋" w:hAnsi="仿宋" w:eastAsia="仿宋" w:cs="仿宋"/>
          <w:b/>
          <w:color w:val="auto"/>
          <w:sz w:val="32"/>
          <w:szCs w:val="32"/>
          <w:highlight w:val="none"/>
        </w:rPr>
        <w:t>开启响应文件与信用信息查询</w:t>
      </w:r>
    </w:p>
    <w:p w14:paraId="19C6A5F6">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1.开启响应文件</w:t>
      </w:r>
    </w:p>
    <w:p w14:paraId="03022DAA">
      <w:pPr>
        <w:pStyle w:val="34"/>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按照磋商文件规定的时间通过电子交易平台组织响应文件开启，所有供应商均应当准时在线参加。</w:t>
      </w:r>
      <w:r>
        <w:rPr>
          <w:rFonts w:hint="eastAsia" w:ascii="仿宋" w:hAnsi="仿宋" w:eastAsia="仿宋" w:cs="仿宋"/>
          <w:b/>
          <w:color w:val="auto"/>
          <w:sz w:val="24"/>
          <w:szCs w:val="24"/>
          <w:highlight w:val="none"/>
        </w:rPr>
        <w:t>供应商数量不符合规定的，不得开启响应文件。</w:t>
      </w:r>
    </w:p>
    <w:p w14:paraId="4035D45D">
      <w:pPr>
        <w:pStyle w:val="34"/>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1.2开启响应文件时，电子交易平台按开启响应文件时间自动提取所有响应文件。</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依托电子交易平台发起开始解密指令，供应商按照平台提示和磋商文件的规定在半小时内完成在线解密。</w:t>
      </w:r>
    </w:p>
    <w:p w14:paraId="184A1D23">
      <w:pPr>
        <w:pStyle w:val="34"/>
        <w:spacing w:line="360" w:lineRule="auto"/>
        <w:ind w:firstLine="361" w:firstLineChars="15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5369E203">
      <w:pPr>
        <w:pStyle w:val="395"/>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2.信用信息查询</w:t>
      </w:r>
    </w:p>
    <w:p w14:paraId="30C53118">
      <w:pPr>
        <w:pStyle w:val="395"/>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2.1信用信息查询渠道及截止时间：</w:t>
      </w:r>
      <w:r>
        <w:rPr>
          <w:rFonts w:hint="eastAsia" w:ascii="仿宋" w:hAnsi="仿宋" w:eastAsia="仿宋" w:cs="仿宋"/>
          <w:color w:val="auto"/>
          <w:kern w:val="0"/>
          <w:szCs w:val="24"/>
          <w:highlight w:val="none"/>
          <w:lang w:eastAsia="zh-CN"/>
        </w:rPr>
        <w:t>采购代理机构</w:t>
      </w:r>
      <w:r>
        <w:rPr>
          <w:rFonts w:hint="eastAsia" w:ascii="仿宋" w:hAnsi="仿宋" w:eastAsia="仿宋" w:cs="仿宋"/>
          <w:color w:val="auto"/>
          <w:kern w:val="0"/>
          <w:szCs w:val="24"/>
          <w:highlight w:val="none"/>
        </w:rPr>
        <w:t>将通过“信用中国”网站(</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"http://www.creditchina.gov.cn" </w:instrText>
      </w:r>
      <w:r>
        <w:rPr>
          <w:rFonts w:hint="eastAsia" w:ascii="仿宋" w:hAnsi="仿宋" w:eastAsia="仿宋" w:cs="仿宋"/>
          <w:color w:val="auto"/>
          <w:highlight w:val="none"/>
        </w:rPr>
        <w:fldChar w:fldCharType="separate"/>
      </w:r>
      <w:r>
        <w:rPr>
          <w:rStyle w:val="70"/>
          <w:rFonts w:hint="eastAsia" w:ascii="仿宋" w:hAnsi="仿宋" w:eastAsia="仿宋" w:cs="仿宋"/>
          <w:snapToGrid/>
          <w:color w:val="auto"/>
          <w:sz w:val="24"/>
          <w:szCs w:val="24"/>
          <w:highlight w:val="none"/>
        </w:rPr>
        <w:t>www.creditchina.gov.cn</w:t>
      </w:r>
      <w:r>
        <w:rPr>
          <w:rStyle w:val="70"/>
          <w:rFonts w:hint="eastAsia" w:ascii="仿宋" w:hAnsi="仿宋" w:eastAsia="仿宋" w:cs="仿宋"/>
          <w:snapToGrid/>
          <w:color w:val="auto"/>
          <w:sz w:val="24"/>
          <w:szCs w:val="24"/>
          <w:highlight w:val="none"/>
        </w:rPr>
        <w:fldChar w:fldCharType="end"/>
      </w:r>
      <w:r>
        <w:rPr>
          <w:rFonts w:hint="eastAsia" w:ascii="仿宋" w:hAnsi="仿宋" w:eastAsia="仿宋" w:cs="仿宋"/>
          <w:color w:val="auto"/>
          <w:kern w:val="0"/>
          <w:szCs w:val="24"/>
          <w:highlight w:val="none"/>
        </w:rPr>
        <w:t>)、中国政府采购网(www.ccgp.gov.cn)渠道查询供应商响应截止时间前的信用记录。</w:t>
      </w:r>
    </w:p>
    <w:p w14:paraId="52DF9469">
      <w:pPr>
        <w:pStyle w:val="395"/>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2.2信用信息查询记录和证据留存的具体方式：现场查询的供应商的信用记录、查询结果经确认后存档。</w:t>
      </w:r>
    </w:p>
    <w:p w14:paraId="2A2E68F4">
      <w:pPr>
        <w:pStyle w:val="395"/>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2.3信用信息的使用规则：经查询列入失信被执行人、重大税收违法失信主体名单、严重失信主体名单的供应商将被拒绝参与政府采购活动。</w:t>
      </w:r>
    </w:p>
    <w:p w14:paraId="49B168BE">
      <w:pPr>
        <w:pStyle w:val="395"/>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2D38FC4">
      <w:pPr>
        <w:pStyle w:val="34"/>
        <w:spacing w:line="360" w:lineRule="auto"/>
        <w:rPr>
          <w:rFonts w:hint="eastAsia" w:ascii="仿宋" w:hAnsi="仿宋" w:eastAsia="仿宋" w:cs="仿宋"/>
          <w:b/>
          <w:color w:val="auto"/>
          <w:sz w:val="24"/>
          <w:szCs w:val="24"/>
          <w:highlight w:val="none"/>
        </w:rPr>
      </w:pPr>
    </w:p>
    <w:p w14:paraId="07B57C01">
      <w:pPr>
        <w:adjustRightInd/>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highlight w:val="none"/>
        </w:rPr>
        <w:t>九</w:t>
      </w:r>
      <w:r>
        <w:rPr>
          <w:rFonts w:hint="eastAsia" w:ascii="仿宋" w:hAnsi="仿宋" w:eastAsia="仿宋" w:cs="仿宋"/>
          <w:b/>
          <w:color w:val="auto"/>
          <w:sz w:val="32"/>
          <w:szCs w:val="20"/>
          <w:highlight w:val="none"/>
        </w:rPr>
        <w:t>、提交</w:t>
      </w:r>
      <w:r>
        <w:rPr>
          <w:rFonts w:hint="eastAsia" w:ascii="仿宋" w:hAnsi="仿宋" w:eastAsia="仿宋" w:cs="仿宋"/>
          <w:b/>
          <w:color w:val="auto"/>
          <w:sz w:val="32"/>
          <w:szCs w:val="32"/>
          <w:highlight w:val="none"/>
        </w:rPr>
        <w:t>最后报价</w:t>
      </w:r>
    </w:p>
    <w:p w14:paraId="056FFAD7">
      <w:pPr>
        <w:snapToGrid w:val="0"/>
        <w:spacing w:line="360" w:lineRule="auto"/>
        <w:rPr>
          <w:rFonts w:hint="eastAsia" w:ascii="仿宋" w:hAnsi="仿宋" w:eastAsia="仿宋" w:cs="仿宋"/>
          <w:color w:val="auto"/>
          <w:sz w:val="24"/>
          <w:highlight w:val="none"/>
          <w:u w:val="single"/>
          <w:lang w:val="zh-CN"/>
        </w:rPr>
      </w:pPr>
      <w:r>
        <w:rPr>
          <w:rFonts w:hint="eastAsia" w:ascii="仿宋" w:hAnsi="仿宋" w:eastAsia="仿宋" w:cs="仿宋"/>
          <w:b/>
          <w:color w:val="auto"/>
          <w:sz w:val="24"/>
          <w:highlight w:val="none"/>
        </w:rPr>
        <w:t>1.</w:t>
      </w:r>
      <w:r>
        <w:rPr>
          <w:rFonts w:hint="eastAsia" w:ascii="仿宋" w:hAnsi="仿宋" w:eastAsia="仿宋" w:cs="仿宋"/>
          <w:color w:val="auto"/>
          <w:sz w:val="24"/>
          <w:highlight w:val="none"/>
        </w:rPr>
        <w:t>供应商的</w:t>
      </w:r>
      <w:r>
        <w:rPr>
          <w:rFonts w:hint="eastAsia" w:ascii="仿宋" w:hAnsi="仿宋" w:eastAsia="仿宋" w:cs="仿宋"/>
          <w:b/>
          <w:color w:val="auto"/>
          <w:sz w:val="24"/>
          <w:highlight w:val="none"/>
        </w:rPr>
        <w:t>最后报价文件</w:t>
      </w:r>
      <w:r>
        <w:rPr>
          <w:rFonts w:hint="eastAsia" w:ascii="仿宋" w:hAnsi="仿宋" w:eastAsia="仿宋" w:cs="仿宋"/>
          <w:color w:val="auto"/>
          <w:sz w:val="24"/>
          <w:highlight w:val="none"/>
        </w:rPr>
        <w:t>应包括以下内容（均需使用电子签名）：</w:t>
      </w:r>
    </w:p>
    <w:p w14:paraId="2067007A">
      <w:pPr>
        <w:pStyle w:val="34"/>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1.1最后报价一览表；</w:t>
      </w:r>
    </w:p>
    <w:p w14:paraId="07A22A14">
      <w:pPr>
        <w:pStyle w:val="34"/>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1.2中小企业声明函（如果有）。</w:t>
      </w:r>
    </w:p>
    <w:p w14:paraId="43BF36B3">
      <w:pPr>
        <w:adjustRightInd/>
        <w:spacing w:line="360" w:lineRule="auto"/>
        <w:jc w:val="center"/>
        <w:outlineLvl w:val="0"/>
        <w:rPr>
          <w:rFonts w:hint="eastAsia" w:ascii="仿宋" w:hAnsi="仿宋" w:eastAsia="仿宋" w:cs="仿宋"/>
          <w:b/>
          <w:color w:val="auto"/>
          <w:sz w:val="32"/>
          <w:szCs w:val="20"/>
          <w:highlight w:val="none"/>
        </w:rPr>
      </w:pPr>
    </w:p>
    <w:p w14:paraId="36BF6075">
      <w:pPr>
        <w:adjustRightInd/>
        <w:spacing w:line="360" w:lineRule="auto"/>
        <w:jc w:val="center"/>
        <w:outlineLvl w:val="0"/>
        <w:rPr>
          <w:rFonts w:hint="eastAsia" w:ascii="仿宋" w:hAnsi="仿宋" w:eastAsia="仿宋" w:cs="仿宋"/>
          <w:b/>
          <w:color w:val="auto"/>
          <w:sz w:val="32"/>
          <w:highlight w:val="none"/>
        </w:rPr>
      </w:pPr>
      <w:r>
        <w:rPr>
          <w:rFonts w:hint="eastAsia" w:ascii="仿宋" w:hAnsi="仿宋" w:eastAsia="仿宋" w:cs="仿宋"/>
          <w:b/>
          <w:color w:val="auto"/>
          <w:sz w:val="32"/>
          <w:szCs w:val="20"/>
          <w:highlight w:val="none"/>
        </w:rPr>
        <w:t>十、</w:t>
      </w:r>
      <w:r>
        <w:rPr>
          <w:rFonts w:hint="eastAsia" w:ascii="仿宋" w:hAnsi="仿宋" w:eastAsia="仿宋" w:cs="仿宋"/>
          <w:b/>
          <w:color w:val="auto"/>
          <w:sz w:val="32"/>
          <w:szCs w:val="32"/>
          <w:highlight w:val="none"/>
        </w:rPr>
        <w:t>评审</w:t>
      </w:r>
    </w:p>
    <w:p w14:paraId="3047113F">
      <w:pPr>
        <w:pStyle w:val="395"/>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highlight w:val="none"/>
        </w:rPr>
        <w:t xml:space="preserve"> 评审方法：</w:t>
      </w:r>
      <w:r>
        <w:rPr>
          <w:rFonts w:hint="eastAsia" w:ascii="仿宋" w:hAnsi="仿宋" w:eastAsia="仿宋" w:cs="仿宋"/>
          <w:color w:val="auto"/>
          <w:highlight w:val="none"/>
        </w:rPr>
        <w:t>综合评分法。</w:t>
      </w:r>
    </w:p>
    <w:p w14:paraId="028C1F91">
      <w:pPr>
        <w:pStyle w:val="395"/>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 价格分计算方法：</w:t>
      </w:r>
      <w:r>
        <w:rPr>
          <w:rFonts w:hint="eastAsia" w:ascii="仿宋" w:hAnsi="仿宋" w:eastAsia="仿宋" w:cs="仿宋"/>
          <w:color w:val="auto"/>
          <w:highlight w:val="none"/>
        </w:rPr>
        <w:t>低价优先法。</w:t>
      </w:r>
    </w:p>
    <w:p w14:paraId="218A2C5D">
      <w:pPr>
        <w:pStyle w:val="395"/>
        <w:spacing w:before="0"/>
        <w:ind w:firstLine="0" w:firstLineChars="0"/>
        <w:rPr>
          <w:rFonts w:hint="eastAsia" w:ascii="仿宋" w:hAnsi="仿宋" w:eastAsia="仿宋" w:cs="仿宋"/>
          <w:color w:val="auto"/>
          <w:szCs w:val="24"/>
          <w:highlight w:val="none"/>
        </w:rPr>
      </w:pPr>
      <w:r>
        <w:rPr>
          <w:rFonts w:hint="eastAsia" w:ascii="仿宋" w:hAnsi="仿宋" w:eastAsia="仿宋" w:cs="仿宋"/>
          <w:b/>
          <w:color w:val="auto"/>
          <w:highlight w:val="none"/>
        </w:rPr>
        <w:t>3. 评审要求：</w:t>
      </w:r>
      <w:r>
        <w:rPr>
          <w:rFonts w:hint="eastAsia" w:ascii="仿宋" w:hAnsi="仿宋" w:eastAsia="仿宋" w:cs="仿宋"/>
          <w:color w:val="auto"/>
          <w:highlight w:val="none"/>
        </w:rPr>
        <w:t>详见磋商文件第五部分“评审方法及评审标准”。</w:t>
      </w:r>
    </w:p>
    <w:p w14:paraId="3C3B475F">
      <w:pPr>
        <w:adjustRightInd/>
        <w:spacing w:line="360" w:lineRule="auto"/>
        <w:jc w:val="center"/>
        <w:outlineLvl w:val="0"/>
        <w:rPr>
          <w:rFonts w:hint="eastAsia" w:ascii="仿宋" w:hAnsi="仿宋" w:eastAsia="仿宋" w:cs="仿宋"/>
          <w:color w:val="auto"/>
          <w:sz w:val="24"/>
          <w:highlight w:val="none"/>
        </w:rPr>
      </w:pPr>
    </w:p>
    <w:p w14:paraId="6BAF4222">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十一、</w:t>
      </w:r>
      <w:r>
        <w:rPr>
          <w:rFonts w:hint="eastAsia" w:ascii="仿宋" w:hAnsi="仿宋" w:eastAsia="仿宋" w:cs="仿宋"/>
          <w:b/>
          <w:color w:val="auto"/>
          <w:sz w:val="32"/>
          <w:szCs w:val="32"/>
          <w:highlight w:val="none"/>
        </w:rPr>
        <w:t>成交</w:t>
      </w:r>
    </w:p>
    <w:p w14:paraId="2989062D">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highlight w:val="none"/>
        </w:rPr>
        <w:t>1. 推荐成交候选供应商</w:t>
      </w:r>
    </w:p>
    <w:p w14:paraId="6A11F91A">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6000842F">
      <w:pPr>
        <w:pStyle w:val="34"/>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 确定成交供应商</w:t>
      </w:r>
    </w:p>
    <w:p w14:paraId="5423C4B1">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5A886B2E">
      <w:pPr>
        <w:tabs>
          <w:tab w:val="left" w:pos="0"/>
        </w:tabs>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3．成交通知及成交结果公告</w:t>
      </w:r>
    </w:p>
    <w:p w14:paraId="17EE15EB">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szCs w:val="21"/>
          <w:highlight w:val="none"/>
        </w:rPr>
        <w:t>3.1自成交人确定之日起2个工作日内，</w:t>
      </w:r>
      <w:r>
        <w:rPr>
          <w:rFonts w:hint="eastAsia" w:ascii="仿宋" w:hAnsi="仿宋" w:eastAsia="仿宋" w:cs="仿宋"/>
          <w:color w:val="auto"/>
          <w:sz w:val="24"/>
          <w:szCs w:val="21"/>
          <w:highlight w:val="none"/>
          <w:lang w:eastAsia="zh-CN"/>
        </w:rPr>
        <w:t>采购代理机构</w:t>
      </w:r>
      <w:r>
        <w:rPr>
          <w:rFonts w:hint="eastAsia" w:ascii="仿宋" w:hAnsi="仿宋" w:eastAsia="仿宋" w:cs="仿宋"/>
          <w:color w:val="auto"/>
          <w:sz w:val="24"/>
          <w:szCs w:val="21"/>
          <w:highlight w:val="none"/>
        </w:rPr>
        <w:t>通过电子交易平台向成交人发出成交通知书，</w:t>
      </w:r>
      <w:r>
        <w:rPr>
          <w:rFonts w:hint="eastAsia" w:ascii="仿宋" w:hAnsi="仿宋" w:eastAsia="仿宋" w:cs="仿宋"/>
          <w:color w:val="auto"/>
          <w:sz w:val="24"/>
          <w:highlight w:val="none"/>
        </w:rPr>
        <w:t>同时编制发布采购</w:t>
      </w:r>
      <w:r>
        <w:rPr>
          <w:rFonts w:hint="eastAsia" w:ascii="仿宋" w:hAnsi="仿宋" w:eastAsia="仿宋" w:cs="仿宋"/>
          <w:color w:val="auto"/>
          <w:sz w:val="24"/>
          <w:szCs w:val="21"/>
          <w:highlight w:val="none"/>
        </w:rPr>
        <w:t>成交结果公告。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也可以以纸质形式进行成交通知。</w:t>
      </w:r>
    </w:p>
    <w:p w14:paraId="4AC5D388">
      <w:pPr>
        <w:spacing w:line="360" w:lineRule="auto"/>
        <w:ind w:firstLine="360" w:firstLineChars="150"/>
        <w:rPr>
          <w:rFonts w:hint="eastAsia" w:ascii="仿宋" w:hAnsi="仿宋" w:eastAsia="仿宋" w:cs="仿宋"/>
          <w:color w:val="auto"/>
          <w:sz w:val="24"/>
          <w:szCs w:val="21"/>
          <w:highlight w:val="none"/>
        </w:rPr>
      </w:pPr>
      <w:r>
        <w:rPr>
          <w:rFonts w:hint="eastAsia" w:ascii="仿宋" w:hAnsi="仿宋" w:eastAsia="仿宋" w:cs="仿宋"/>
          <w:color w:val="auto"/>
          <w:sz w:val="24"/>
          <w:highlight w:val="none"/>
        </w:rPr>
        <w:t>3.2</w:t>
      </w:r>
      <w:r>
        <w:rPr>
          <w:rFonts w:hint="eastAsia" w:ascii="仿宋" w:hAnsi="仿宋" w:eastAsia="仿宋" w:cs="仿宋"/>
          <w:color w:val="auto"/>
          <w:sz w:val="24"/>
          <w:szCs w:val="21"/>
          <w:highlight w:val="none"/>
        </w:rPr>
        <w:t>成交</w:t>
      </w:r>
      <w:r>
        <w:rPr>
          <w:rFonts w:hint="eastAsia" w:ascii="仿宋" w:hAnsi="仿宋" w:eastAsia="仿宋" w:cs="仿宋"/>
          <w:color w:val="auto"/>
          <w:sz w:val="24"/>
          <w:highlight w:val="none"/>
        </w:rPr>
        <w:t>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的名称、地址、联系方式，项目名称和项目编号，成交人名称、地址和成交金额，主要中标标的的名称、规格型号、数量、单价、服务要求，开标记录、</w:t>
      </w:r>
      <w:bookmarkStart w:id="41" w:name="_Hlk101184471"/>
      <w:r>
        <w:rPr>
          <w:rFonts w:hint="eastAsia" w:ascii="仿宋" w:hAnsi="仿宋" w:eastAsia="仿宋" w:cs="仿宋"/>
          <w:color w:val="auto"/>
          <w:sz w:val="24"/>
          <w:highlight w:val="none"/>
        </w:rPr>
        <w:t>资格审查情况、评审专家抽取规则、符合性审查情况、</w:t>
      </w:r>
      <w:bookmarkEnd w:id="41"/>
      <w:r>
        <w:rPr>
          <w:rFonts w:hint="eastAsia" w:ascii="仿宋" w:hAnsi="仿宋" w:eastAsia="仿宋" w:cs="仿宋"/>
          <w:color w:val="auto"/>
          <w:sz w:val="24"/>
          <w:highlight w:val="none"/>
        </w:rPr>
        <w:t>未成交情况说明、成交公告期限以及评审专家名单、评分汇总及明细。</w:t>
      </w:r>
    </w:p>
    <w:p w14:paraId="71686D47">
      <w:pPr>
        <w:spacing w:line="360" w:lineRule="auto"/>
        <w:ind w:firstLine="360" w:firstLineChars="15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3.3公告期限为1个工作日。</w:t>
      </w:r>
    </w:p>
    <w:p w14:paraId="33F405C4">
      <w:pPr>
        <w:snapToGrid w:val="0"/>
        <w:spacing w:line="360" w:lineRule="auto"/>
        <w:jc w:val="center"/>
        <w:outlineLvl w:val="0"/>
        <w:rPr>
          <w:rFonts w:hint="eastAsia" w:ascii="仿宋" w:hAnsi="仿宋" w:eastAsia="仿宋" w:cs="仿宋"/>
          <w:b/>
          <w:color w:val="auto"/>
          <w:sz w:val="36"/>
          <w:szCs w:val="36"/>
          <w:highlight w:val="none"/>
        </w:rPr>
      </w:pPr>
    </w:p>
    <w:p w14:paraId="15EC6EA0">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十二、合同</w:t>
      </w:r>
    </w:p>
    <w:p w14:paraId="01B984F2">
      <w:pPr>
        <w:tabs>
          <w:tab w:val="left" w:pos="0"/>
        </w:tabs>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1.合同主要条款：</w:t>
      </w:r>
      <w:r>
        <w:rPr>
          <w:rFonts w:hint="eastAsia" w:ascii="仿宋" w:hAnsi="仿宋" w:eastAsia="仿宋" w:cs="仿宋"/>
          <w:color w:val="auto"/>
          <w:sz w:val="24"/>
          <w:highlight w:val="none"/>
        </w:rPr>
        <w:t>详见“第六部分拟签订的合同文本”。</w:t>
      </w:r>
    </w:p>
    <w:p w14:paraId="4C77896D">
      <w:pPr>
        <w:tabs>
          <w:tab w:val="left" w:pos="0"/>
        </w:tabs>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2.合同的签订</w:t>
      </w:r>
    </w:p>
    <w:p w14:paraId="6A8B5DCA">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Cs w:val="21"/>
          <w:highlight w:val="none"/>
        </w:rPr>
        <w:t>2.1</w:t>
      </w:r>
      <w:r>
        <w:rPr>
          <w:rFonts w:hint="eastAsia" w:ascii="仿宋" w:hAnsi="仿宋" w:eastAsia="仿宋" w:cs="仿宋"/>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3FC8419A">
      <w:pPr>
        <w:pStyle w:val="395"/>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1DB893A8">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318D03D4">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FB2B7F2">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2.5如签订合同并生效后，供应商无故拒绝或延期，除按照合同条款处理外，列入不良行为记录一次，并给予通报。</w:t>
      </w:r>
    </w:p>
    <w:p w14:paraId="6C90D83B">
      <w:pPr>
        <w:pStyle w:val="395"/>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2.6采购合同由采购人与成交供应商根据磋商文件、响应文件等内容通过政府采购电子交易平台在线签订，自动备案。</w:t>
      </w:r>
    </w:p>
    <w:p w14:paraId="0ED09024">
      <w:pPr>
        <w:tabs>
          <w:tab w:val="left" w:pos="0"/>
        </w:tabs>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履约保证金</w:t>
      </w:r>
    </w:p>
    <w:p w14:paraId="3453D95E">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FDB8F5D">
      <w:pPr>
        <w:tabs>
          <w:tab w:val="left" w:pos="0"/>
        </w:tabs>
        <w:spacing w:line="360" w:lineRule="auto"/>
        <w:ind w:firstLine="482"/>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9D8A17A">
      <w:pPr>
        <w:pStyle w:val="4"/>
        <w:numPr>
          <w:ilvl w:val="255"/>
          <w:numId w:val="0"/>
        </w:numPr>
        <w:ind w:left="0" w:firstLine="0"/>
        <w:rPr>
          <w:rFonts w:hint="eastAsia" w:ascii="仿宋" w:hAnsi="仿宋" w:eastAsia="仿宋" w:cs="仿宋"/>
          <w:color w:val="auto"/>
          <w:highlight w:val="none"/>
        </w:rPr>
      </w:pPr>
      <w:r>
        <w:rPr>
          <w:rFonts w:hint="eastAsia" w:ascii="仿宋" w:hAnsi="仿宋" w:eastAsia="仿宋" w:cs="仿宋"/>
          <w:color w:val="auto"/>
          <w:sz w:val="24"/>
          <w:highlight w:val="none"/>
          <w:lang w:val="en-US"/>
        </w:rPr>
        <w:t>4.预付款</w:t>
      </w:r>
    </w:p>
    <w:p w14:paraId="20030091">
      <w:pPr>
        <w:adjustRightInd/>
        <w:spacing w:line="360" w:lineRule="auto"/>
        <w:ind w:firstLine="480" w:firstLineChars="200"/>
        <w:rPr>
          <w:rFonts w:hint="eastAsia" w:ascii="仿宋" w:hAnsi="仿宋" w:eastAsia="仿宋" w:cs="仿宋"/>
          <w:b/>
          <w:color w:val="auto"/>
          <w:sz w:val="36"/>
          <w:szCs w:val="36"/>
          <w:highlight w:val="none"/>
        </w:rPr>
      </w:pPr>
      <w:r>
        <w:rPr>
          <w:rFonts w:hint="eastAsia" w:ascii="仿宋" w:hAnsi="仿宋" w:eastAsia="仿宋" w:cs="仿宋"/>
          <w:b w:val="0"/>
          <w:bCs w:val="0"/>
          <w:color w:val="auto"/>
          <w:sz w:val="24"/>
          <w:szCs w:val="24"/>
          <w:highlight w:val="none"/>
          <w:lang w:val="en-US" w:eastAsia="zh-CN"/>
        </w:rPr>
        <w:t>采购人</w:t>
      </w:r>
      <w:r>
        <w:rPr>
          <w:rFonts w:hint="eastAsia" w:ascii="仿宋" w:hAnsi="仿宋" w:eastAsia="仿宋" w:cs="仿宋"/>
          <w:b w:val="0"/>
          <w:bCs w:val="0"/>
          <w:color w:val="auto"/>
          <w:sz w:val="24"/>
          <w:szCs w:val="24"/>
          <w:highlight w:val="none"/>
          <w:lang w:val="en-US"/>
        </w:rPr>
        <w:t>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4"/>
          <w:highlight w:val="none"/>
        </w:rPr>
        <w:t>不低于</w:t>
      </w:r>
      <w:r>
        <w:rPr>
          <w:rFonts w:hint="eastAsia" w:ascii="仿宋" w:hAnsi="仿宋" w:eastAsia="仿宋" w:cs="仿宋"/>
          <w:b w:val="0"/>
          <w:bCs w:val="0"/>
          <w:color w:val="auto"/>
          <w:sz w:val="24"/>
          <w:szCs w:val="24"/>
          <w:highlight w:val="none"/>
          <w:lang w:val="en-US"/>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w:t>
      </w:r>
      <w:r>
        <w:rPr>
          <w:rFonts w:hint="eastAsia" w:ascii="仿宋" w:hAnsi="仿宋" w:eastAsia="仿宋" w:cs="仿宋"/>
          <w:b w:val="0"/>
          <w:bCs w:val="0"/>
          <w:color w:val="auto"/>
          <w:sz w:val="24"/>
          <w:szCs w:val="24"/>
          <w:highlight w:val="none"/>
          <w:lang w:val="en-US" w:eastAsia="zh-CN"/>
        </w:rPr>
        <w:t>采购人</w:t>
      </w:r>
      <w:r>
        <w:rPr>
          <w:rFonts w:hint="eastAsia" w:ascii="仿宋" w:hAnsi="仿宋" w:eastAsia="仿宋" w:cs="仿宋"/>
          <w:b w:val="0"/>
          <w:bCs w:val="0"/>
          <w:color w:val="auto"/>
          <w:sz w:val="24"/>
          <w:szCs w:val="24"/>
          <w:highlight w:val="none"/>
          <w:lang w:val="en-US"/>
        </w:rPr>
        <w:t>可不适用前述规定。</w:t>
      </w:r>
      <w:r>
        <w:rPr>
          <w:rFonts w:hint="eastAsia" w:ascii="仿宋" w:hAnsi="仿宋" w:eastAsia="仿宋" w:cs="仿宋"/>
          <w:b w:val="0"/>
          <w:bCs w:val="0"/>
          <w:color w:val="auto"/>
          <w:sz w:val="24"/>
          <w:szCs w:val="24"/>
          <w:highlight w:val="none"/>
          <w:lang w:val="en-US" w:eastAsia="zh-CN"/>
        </w:rPr>
        <w:t>采购人</w:t>
      </w:r>
      <w:r>
        <w:rPr>
          <w:rFonts w:hint="eastAsia" w:ascii="仿宋" w:hAnsi="仿宋" w:eastAsia="仿宋" w:cs="仿宋"/>
          <w:b w:val="0"/>
          <w:bCs w:val="0"/>
          <w:color w:val="auto"/>
          <w:sz w:val="24"/>
          <w:szCs w:val="24"/>
          <w:highlight w:val="none"/>
          <w:lang w:val="en-US"/>
        </w:rPr>
        <w:t>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D6BDE94">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十三、验收</w:t>
      </w:r>
    </w:p>
    <w:p w14:paraId="44F15CD4">
      <w:pPr>
        <w:pStyle w:val="26"/>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1.验收</w:t>
      </w:r>
    </w:p>
    <w:p w14:paraId="06BE816D">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1D99DE2">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1.2采购人可以邀请参加本项目的其他供应商或者第三方机构参与验收。参与验收的供应商或者第三方机构的意见作为验收书的参考资料一并存档。</w:t>
      </w:r>
    </w:p>
    <w:p w14:paraId="3C6BAC2E">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C1D7A2D">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EBF1B21">
      <w:pPr>
        <w:pStyle w:val="16"/>
        <w:spacing w:line="240" w:lineRule="auto"/>
        <w:ind w:left="0" w:leftChars="0" w:firstLine="0" w:firstLineChars="0"/>
        <w:rPr>
          <w:rFonts w:hint="eastAsia" w:ascii="仿宋" w:hAnsi="仿宋" w:eastAsia="仿宋" w:cs="仿宋"/>
          <w:b/>
          <w:color w:val="auto"/>
          <w:sz w:val="16"/>
          <w:szCs w:val="16"/>
          <w:highlight w:val="none"/>
        </w:rPr>
      </w:pPr>
    </w:p>
    <w:p w14:paraId="30D7CBFB">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36"/>
          <w:szCs w:val="36"/>
          <w:highlight w:val="none"/>
        </w:rPr>
        <w:t>十四、电子交易活动的中止</w:t>
      </w:r>
    </w:p>
    <w:p w14:paraId="6B6E54EE">
      <w:pPr>
        <w:tabs>
          <w:tab w:val="left" w:pos="0"/>
        </w:tabs>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1.电子交易活动的中止</w:t>
      </w:r>
    </w:p>
    <w:p w14:paraId="7F062BA6">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采购过程中出现以下情形，导致电子交易平台无法正常运行，或者无法保证电子交易的公平、公正和安全时，</w:t>
      </w:r>
      <w:r>
        <w:rPr>
          <w:rFonts w:hint="eastAsia" w:ascii="仿宋" w:hAnsi="仿宋" w:eastAsia="仿宋" w:cs="仿宋"/>
          <w:color w:val="auto"/>
          <w:kern w:val="0"/>
          <w:sz w:val="24"/>
          <w:highlight w:val="none"/>
          <w:lang w:eastAsia="zh-CN"/>
        </w:rPr>
        <w:t>采购代理机构</w:t>
      </w:r>
      <w:r>
        <w:rPr>
          <w:rFonts w:hint="eastAsia" w:ascii="仿宋" w:hAnsi="仿宋" w:eastAsia="仿宋" w:cs="仿宋"/>
          <w:color w:val="auto"/>
          <w:kern w:val="0"/>
          <w:sz w:val="24"/>
          <w:highlight w:val="none"/>
        </w:rPr>
        <w:t>可中止电子交易活动：</w:t>
      </w:r>
    </w:p>
    <w:p w14:paraId="2887F2EE">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1.1电子交易平台发生故障而无法登录访问的； </w:t>
      </w:r>
    </w:p>
    <w:p w14:paraId="6424B5C3">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1.2电子交易平台应用或数据库出现错误，不能进行正常操作的；</w:t>
      </w:r>
    </w:p>
    <w:p w14:paraId="3C1FA8C7">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1.3电子交易平台发现严重安全漏洞，有潜在泄密危险的；</w:t>
      </w:r>
    </w:p>
    <w:p w14:paraId="192ABE22">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1.4病毒发作导致不能进行正常操作的； </w:t>
      </w:r>
    </w:p>
    <w:p w14:paraId="1A877A1E">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1.5其他无法保证电子交易的公平、公正和安全的情况。</w:t>
      </w:r>
    </w:p>
    <w:p w14:paraId="7924A1A7">
      <w:pPr>
        <w:tabs>
          <w:tab w:val="left" w:pos="0"/>
        </w:tabs>
        <w:spacing w:line="360" w:lineRule="auto"/>
        <w:rPr>
          <w:rFonts w:hint="eastAsia" w:ascii="仿宋" w:hAnsi="仿宋" w:eastAsia="仿宋" w:cs="仿宋"/>
          <w:b/>
          <w:color w:val="auto"/>
          <w:sz w:val="36"/>
          <w:szCs w:val="36"/>
          <w:highlight w:val="none"/>
        </w:rPr>
      </w:pPr>
      <w:r>
        <w:rPr>
          <w:rFonts w:hint="eastAsia" w:ascii="仿宋" w:hAnsi="仿宋" w:eastAsia="仿宋" w:cs="仿宋"/>
          <w:b/>
          <w:color w:val="auto"/>
          <w:kern w:val="0"/>
          <w:sz w:val="24"/>
          <w:highlight w:val="none"/>
        </w:rPr>
        <w:t>2.</w:t>
      </w:r>
      <w:r>
        <w:rPr>
          <w:rFonts w:hint="eastAsia" w:ascii="仿宋" w:hAnsi="仿宋" w:eastAsia="仿宋" w:cs="仿宋"/>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42" w:name="_Hlt68072990"/>
      <w:bookmarkEnd w:id="42"/>
      <w:bookmarkStart w:id="43" w:name="_Hlt74714665"/>
      <w:bookmarkEnd w:id="43"/>
      <w:bookmarkStart w:id="44" w:name="_Hlt75236290"/>
      <w:bookmarkEnd w:id="44"/>
      <w:bookmarkStart w:id="45" w:name="_Hlt74729768"/>
      <w:bookmarkEnd w:id="45"/>
      <w:bookmarkStart w:id="46" w:name="_Hlt68057669"/>
      <w:bookmarkEnd w:id="46"/>
      <w:bookmarkStart w:id="47" w:name="_Hlt74730295"/>
      <w:bookmarkEnd w:id="47"/>
      <w:bookmarkStart w:id="48" w:name="_Hlt74707468"/>
      <w:bookmarkEnd w:id="48"/>
      <w:bookmarkStart w:id="49" w:name="_Hlt75236011"/>
      <w:bookmarkEnd w:id="49"/>
      <w:bookmarkStart w:id="50" w:name="_Hlt75236101"/>
      <w:bookmarkEnd w:id="50"/>
      <w:bookmarkStart w:id="51" w:name="_Toc164416483"/>
      <w:bookmarkStart w:id="52" w:name="第三部分"/>
      <w:r>
        <w:rPr>
          <w:rFonts w:hint="eastAsia" w:ascii="仿宋" w:hAnsi="仿宋" w:eastAsia="仿宋" w:cs="仿宋"/>
          <w:b/>
          <w:color w:val="auto"/>
          <w:sz w:val="36"/>
          <w:szCs w:val="36"/>
          <w:highlight w:val="none"/>
        </w:rPr>
        <w:br w:type="page"/>
      </w:r>
    </w:p>
    <w:p w14:paraId="21B66F4D">
      <w:pPr>
        <w:adjustRightInd/>
        <w:spacing w:line="360" w:lineRule="auto"/>
        <w:jc w:val="center"/>
        <w:outlineLvl w:val="0"/>
        <w:rPr>
          <w:rFonts w:hint="eastAsia" w:ascii="仿宋" w:hAnsi="仿宋" w:eastAsia="仿宋" w:cs="仿宋"/>
          <w:b/>
          <w:bCs/>
          <w:color w:val="auto"/>
          <w:sz w:val="32"/>
          <w:szCs w:val="22"/>
          <w:highlight w:val="none"/>
          <w:lang w:val="en-US" w:eastAsia="zh-CN"/>
        </w:rPr>
      </w:pPr>
      <w:r>
        <w:rPr>
          <w:rFonts w:hint="eastAsia" w:ascii="仿宋" w:hAnsi="仿宋" w:eastAsia="仿宋" w:cs="仿宋"/>
          <w:b/>
          <w:color w:val="auto"/>
          <w:sz w:val="36"/>
          <w:szCs w:val="36"/>
          <w:highlight w:val="none"/>
        </w:rPr>
        <w:t>第四部分  采购需求</w:t>
      </w:r>
      <w:r>
        <w:rPr>
          <w:rFonts w:hint="eastAsia" w:ascii="仿宋" w:hAnsi="仿宋" w:eastAsia="仿宋" w:cs="仿宋"/>
          <w:b/>
          <w:bCs/>
          <w:color w:val="auto"/>
          <w:sz w:val="32"/>
          <w:szCs w:val="22"/>
          <w:highlight w:val="none"/>
          <w:lang w:val="en-US" w:eastAsia="zh-CN"/>
        </w:rPr>
        <w:t xml:space="preserve"> </w:t>
      </w:r>
    </w:p>
    <w:p w14:paraId="3694308B">
      <w:pPr>
        <w:snapToGrid w:val="0"/>
        <w:rPr>
          <w:rFonts w:hint="eastAsia" w:ascii="仿宋" w:hAnsi="仿宋" w:eastAsia="仿宋" w:cs="仿宋"/>
          <w:color w:val="auto"/>
          <w:highlight w:val="none"/>
        </w:rPr>
      </w:pPr>
      <w:r>
        <w:rPr>
          <w:rFonts w:hint="eastAsia" w:ascii="仿宋" w:hAnsi="仿宋" w:eastAsia="仿宋" w:cs="仿宋"/>
          <w:b/>
          <w:bCs/>
          <w:color w:val="auto"/>
          <w:sz w:val="28"/>
          <w:szCs w:val="28"/>
          <w:highlight w:val="none"/>
        </w:rPr>
        <w:t>一、需求内容及数量</w:t>
      </w:r>
    </w:p>
    <w:tbl>
      <w:tblPr>
        <w:tblStyle w:val="62"/>
        <w:tblW w:w="9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9"/>
        <w:gridCol w:w="2340"/>
        <w:gridCol w:w="823"/>
        <w:gridCol w:w="796"/>
        <w:gridCol w:w="1543"/>
        <w:gridCol w:w="1566"/>
      </w:tblGrid>
      <w:tr w14:paraId="1033B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2909" w:type="dxa"/>
            <w:tcBorders>
              <w:top w:val="single" w:color="auto" w:sz="4" w:space="0"/>
              <w:left w:val="single" w:color="auto" w:sz="4" w:space="0"/>
              <w:bottom w:val="single" w:color="auto" w:sz="4" w:space="0"/>
              <w:right w:val="single" w:color="auto" w:sz="4" w:space="0"/>
            </w:tcBorders>
            <w:vAlign w:val="center"/>
          </w:tcPr>
          <w:p w14:paraId="764E144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2340" w:type="dxa"/>
            <w:tcBorders>
              <w:top w:val="single" w:color="auto" w:sz="4" w:space="0"/>
              <w:left w:val="single" w:color="auto" w:sz="4" w:space="0"/>
              <w:bottom w:val="single" w:color="auto" w:sz="4" w:space="0"/>
              <w:right w:val="single" w:color="auto" w:sz="4" w:space="0"/>
            </w:tcBorders>
            <w:vAlign w:val="center"/>
          </w:tcPr>
          <w:p w14:paraId="1F9D4D4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主要服务技术要求</w:t>
            </w:r>
          </w:p>
        </w:tc>
        <w:tc>
          <w:tcPr>
            <w:tcW w:w="823" w:type="dxa"/>
            <w:tcBorders>
              <w:top w:val="single" w:color="auto" w:sz="4" w:space="0"/>
              <w:left w:val="single" w:color="auto" w:sz="4" w:space="0"/>
              <w:bottom w:val="single" w:color="auto" w:sz="4" w:space="0"/>
              <w:right w:val="single" w:color="auto" w:sz="4" w:space="0"/>
            </w:tcBorders>
            <w:vAlign w:val="center"/>
          </w:tcPr>
          <w:p w14:paraId="5099423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796" w:type="dxa"/>
            <w:tcBorders>
              <w:top w:val="single" w:color="auto" w:sz="4" w:space="0"/>
              <w:left w:val="single" w:color="auto" w:sz="4" w:space="0"/>
              <w:bottom w:val="single" w:color="auto" w:sz="4" w:space="0"/>
              <w:right w:val="single" w:color="auto" w:sz="4" w:space="0"/>
            </w:tcBorders>
            <w:vAlign w:val="center"/>
          </w:tcPr>
          <w:p w14:paraId="6ED1B59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543" w:type="dxa"/>
            <w:tcBorders>
              <w:top w:val="single" w:color="auto" w:sz="4" w:space="0"/>
              <w:left w:val="single" w:color="auto" w:sz="4" w:space="0"/>
              <w:bottom w:val="single" w:color="auto" w:sz="4" w:space="0"/>
              <w:right w:val="single" w:color="auto" w:sz="4" w:space="0"/>
            </w:tcBorders>
            <w:vAlign w:val="center"/>
          </w:tcPr>
          <w:p w14:paraId="24CA232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预算单价</w:t>
            </w:r>
          </w:p>
          <w:p w14:paraId="1454954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val="en-US" w:eastAsia="zh-CN"/>
              </w:rPr>
              <w:t>/年</w:t>
            </w:r>
            <w:r>
              <w:rPr>
                <w:rFonts w:hint="eastAsia" w:ascii="仿宋" w:hAnsi="仿宋" w:eastAsia="仿宋" w:cs="仿宋"/>
                <w:color w:val="auto"/>
                <w:sz w:val="24"/>
                <w:highlight w:val="none"/>
              </w:rPr>
              <w:t>）</w:t>
            </w:r>
          </w:p>
        </w:tc>
        <w:tc>
          <w:tcPr>
            <w:tcW w:w="1566" w:type="dxa"/>
            <w:tcBorders>
              <w:top w:val="single" w:color="auto" w:sz="4" w:space="0"/>
              <w:left w:val="single" w:color="auto" w:sz="4" w:space="0"/>
              <w:bottom w:val="single" w:color="auto" w:sz="4" w:space="0"/>
              <w:right w:val="single" w:color="auto" w:sz="4" w:space="0"/>
            </w:tcBorders>
            <w:vAlign w:val="center"/>
          </w:tcPr>
          <w:p w14:paraId="1D74CC5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预算</w:t>
            </w:r>
            <w:r>
              <w:rPr>
                <w:rFonts w:hint="eastAsia" w:ascii="仿宋" w:hAnsi="仿宋" w:eastAsia="仿宋" w:cs="仿宋"/>
                <w:color w:val="auto"/>
                <w:sz w:val="24"/>
                <w:highlight w:val="none"/>
                <w:lang w:eastAsia="zh-CN"/>
              </w:rPr>
              <w:t>总</w:t>
            </w:r>
            <w:r>
              <w:rPr>
                <w:rFonts w:hint="eastAsia" w:ascii="仿宋" w:hAnsi="仿宋" w:eastAsia="仿宋" w:cs="仿宋"/>
                <w:color w:val="auto"/>
                <w:sz w:val="24"/>
                <w:highlight w:val="none"/>
              </w:rPr>
              <w:t>价（元）</w:t>
            </w:r>
          </w:p>
        </w:tc>
      </w:tr>
      <w:tr w14:paraId="603B2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2909" w:type="dxa"/>
            <w:tcBorders>
              <w:top w:val="single" w:color="auto" w:sz="4" w:space="0"/>
              <w:left w:val="single" w:color="auto" w:sz="4" w:space="0"/>
              <w:right w:val="single" w:color="auto" w:sz="4" w:space="0"/>
            </w:tcBorders>
            <w:vAlign w:val="center"/>
          </w:tcPr>
          <w:p w14:paraId="34EED5A9">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建德经济开发区管理委员会2025年-2026年安全生产社会化服务采购项目</w:t>
            </w:r>
          </w:p>
        </w:tc>
        <w:tc>
          <w:tcPr>
            <w:tcW w:w="2340" w:type="dxa"/>
            <w:tcBorders>
              <w:top w:val="single" w:color="auto" w:sz="4" w:space="0"/>
              <w:left w:val="single" w:color="auto" w:sz="4" w:space="0"/>
              <w:right w:val="single" w:color="auto" w:sz="4" w:space="0"/>
            </w:tcBorders>
            <w:vAlign w:val="center"/>
          </w:tcPr>
          <w:p w14:paraId="7A3C77A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p>
          <w:p w14:paraId="15A4EAA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“二</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采购需求”</w:t>
            </w:r>
          </w:p>
        </w:tc>
        <w:tc>
          <w:tcPr>
            <w:tcW w:w="823" w:type="dxa"/>
            <w:tcBorders>
              <w:top w:val="single" w:color="auto" w:sz="4" w:space="0"/>
              <w:left w:val="single" w:color="auto" w:sz="4" w:space="0"/>
              <w:bottom w:val="single" w:color="auto" w:sz="4" w:space="0"/>
              <w:right w:val="single" w:color="auto" w:sz="4" w:space="0"/>
            </w:tcBorders>
            <w:vAlign w:val="center"/>
          </w:tcPr>
          <w:p w14:paraId="19F2E1E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w:t>
            </w:r>
          </w:p>
        </w:tc>
        <w:tc>
          <w:tcPr>
            <w:tcW w:w="796" w:type="dxa"/>
            <w:tcBorders>
              <w:top w:val="single" w:color="auto" w:sz="4" w:space="0"/>
              <w:left w:val="single" w:color="auto" w:sz="4" w:space="0"/>
              <w:bottom w:val="single" w:color="auto" w:sz="4" w:space="0"/>
              <w:right w:val="single" w:color="auto" w:sz="4" w:space="0"/>
            </w:tcBorders>
            <w:vAlign w:val="center"/>
          </w:tcPr>
          <w:p w14:paraId="24D9D6A0">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1543" w:type="dxa"/>
            <w:tcBorders>
              <w:top w:val="single" w:color="auto" w:sz="4" w:space="0"/>
              <w:left w:val="single" w:color="auto" w:sz="4" w:space="0"/>
              <w:bottom w:val="single" w:color="auto" w:sz="4" w:space="0"/>
              <w:right w:val="single" w:color="auto" w:sz="4" w:space="0"/>
            </w:tcBorders>
            <w:vAlign w:val="center"/>
          </w:tcPr>
          <w:p w14:paraId="0335E68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1500000.00</w:t>
            </w:r>
          </w:p>
        </w:tc>
        <w:tc>
          <w:tcPr>
            <w:tcW w:w="1566" w:type="dxa"/>
            <w:tcBorders>
              <w:top w:val="single" w:color="auto" w:sz="4" w:space="0"/>
              <w:left w:val="single" w:color="auto" w:sz="4" w:space="0"/>
              <w:bottom w:val="single" w:color="auto" w:sz="4" w:space="0"/>
              <w:right w:val="single" w:color="auto" w:sz="4" w:space="0"/>
            </w:tcBorders>
            <w:vAlign w:val="center"/>
          </w:tcPr>
          <w:p w14:paraId="4B8022C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3000000.00</w:t>
            </w:r>
          </w:p>
        </w:tc>
      </w:tr>
    </w:tbl>
    <w:p w14:paraId="4163C322">
      <w:pPr>
        <w:spacing w:line="340" w:lineRule="exact"/>
        <w:rPr>
          <w:rFonts w:hint="eastAsia" w:ascii="仿宋" w:hAnsi="仿宋" w:eastAsia="仿宋" w:cs="仿宋"/>
          <w:color w:val="auto"/>
          <w:highlight w:val="none"/>
        </w:rPr>
      </w:pPr>
      <w:r>
        <w:rPr>
          <w:rFonts w:hint="eastAsia" w:ascii="仿宋" w:hAnsi="仿宋" w:eastAsia="仿宋" w:cs="仿宋"/>
          <w:color w:val="auto"/>
          <w:highlight w:val="none"/>
        </w:rPr>
        <w:t>注：以上金额包括人工工资、交通费、保险、税金、管理费、服务酬金、验收、辅助工作及售后服务等完成本项目的所有费用。</w:t>
      </w:r>
    </w:p>
    <w:p w14:paraId="5D2A0A88">
      <w:pPr>
        <w:widowControl/>
        <w:spacing w:line="400" w:lineRule="exact"/>
        <w:jc w:val="left"/>
        <w:rPr>
          <w:rFonts w:hint="eastAsia" w:ascii="仿宋" w:hAnsi="仿宋" w:eastAsia="仿宋" w:cs="仿宋"/>
          <w:b/>
          <w:color w:val="auto"/>
          <w:sz w:val="28"/>
          <w:szCs w:val="28"/>
          <w:highlight w:val="none"/>
        </w:rPr>
      </w:pPr>
    </w:p>
    <w:p w14:paraId="0EAA7616">
      <w:pPr>
        <w:pStyle w:val="395"/>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rPr>
        <w:t xml:space="preserve">二、采购需求  </w:t>
      </w:r>
      <w:r>
        <w:rPr>
          <w:rFonts w:hint="eastAsia" w:ascii="仿宋" w:hAnsi="仿宋" w:eastAsia="仿宋" w:cs="仿宋"/>
          <w:color w:val="auto"/>
          <w:highlight w:val="none"/>
        </w:rPr>
        <w:t xml:space="preserve">       </w:t>
      </w:r>
    </w:p>
    <w:p w14:paraId="4B64CDE7">
      <w:pPr>
        <w:pStyle w:val="395"/>
        <w:snapToGrid w:val="0"/>
        <w:spacing w:before="0"/>
        <w:ind w:firstLine="0" w:firstLineChars="0"/>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（一）安全生产社会化服务的目的</w:t>
      </w:r>
    </w:p>
    <w:p w14:paraId="7AF5D628">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根据《国务院安全生产委员会关于加快推进安全生产社会化服务体系建设的指导意见》（安委[2016]11号），《浙江省人民政府办公厅转发省安监局关于推进安全生产社会化服务工作的意见的通知》（浙政办发[2016]7号）等相关文件，推进发展安全社会化服务，有利于进一步落实企业安全生产主体责任，有利于拓宽破解中小微企业安全生产技术和管理难题的途径，有利于提升生产经营单位安全生产管理水平，有利于促进安全生产服务产业发展壮大，有利于全社会形成安全生产工作的合力，有利于推动实现政府安全治理能力现代化。</w:t>
      </w:r>
    </w:p>
    <w:p w14:paraId="165794F4">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建德经济开发区</w:t>
      </w:r>
      <w:r>
        <w:rPr>
          <w:rFonts w:hint="eastAsia" w:ascii="仿宋" w:hAnsi="仿宋" w:eastAsia="仿宋" w:cs="仿宋"/>
          <w:color w:val="auto"/>
          <w:kern w:val="0"/>
          <w:sz w:val="24"/>
          <w:highlight w:val="none"/>
        </w:rPr>
        <w:t>涉及危化企业风险大、危险性高、涉及面广，是安全生产监管工作的重中之重。 一方面，危化企业的安全监管手段相对缺乏，安全生产过程动态性强，隐患此消彼长迅速，但当前的日常监管主要通过安全设施“三同时”审查、各类隐患排查的方式来开展，具有随机性、不完整性等缺陷。另一方面，对危化企业监管人员的专业技能要求较高，现有人员专业情况难以满足要求。危化企业的安全生产是一个系统工程，涉及生产工艺、设备设施、电气仪表、物料储运、公用工程、安全管理等多门学科专业，而每家危化企业的生产工艺、产品特点、设施设备又不尽相同。监督管理部门专业从事危化企业安全监管的人员数量相对匮乏，要全面、系统地监管到位，难度很大。</w:t>
      </w:r>
    </w:p>
    <w:p w14:paraId="57BE0985">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面对严峻的安全形势，</w:t>
      </w:r>
      <w:r>
        <w:rPr>
          <w:rFonts w:hint="eastAsia" w:ascii="仿宋" w:hAnsi="仿宋" w:eastAsia="仿宋" w:cs="仿宋"/>
          <w:color w:val="auto"/>
          <w:sz w:val="24"/>
          <w:highlight w:val="none"/>
          <w:lang w:eastAsia="zh-CN"/>
        </w:rPr>
        <w:t>建德经济开发区管理委员会</w:t>
      </w:r>
      <w:r>
        <w:rPr>
          <w:rFonts w:hint="eastAsia" w:ascii="仿宋" w:hAnsi="仿宋" w:eastAsia="仿宋" w:cs="仿宋"/>
          <w:color w:val="auto"/>
          <w:kern w:val="0"/>
          <w:sz w:val="24"/>
          <w:highlight w:val="none"/>
        </w:rPr>
        <w:t>立足实际探索破难攻坚之策，广泛借鉴国内外安全生产管理成熟经验，把工作的突破点放在发挥市场机制、引入安全中介机构、加强危化企业技术指导服务上，以企业需求为导向，充分利用安全中介机构在技术、人才、服务等方面的资源优势，提供定制化的安全服务；帮助企业查找事故隐患、制定隐患整改措施，增强风险控制能力。</w:t>
      </w:r>
    </w:p>
    <w:p w14:paraId="30B42AFE">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签订“安全社会化服务管家”的形式，委托技术服务力量对区内危化企业开展企业安全评估、综合安全检查、专项安全检查、事故应急咨询与调查等相关安全生产技术服务工作。通过借助安全中介机构在人才、技术等方面的资源优势，建立起一支稳定、可靠的安全技术支撑力量，加强对危化企业的日常检查与服务指导，既使企业真正得到帮助、落实主体责任，又有效地履行政府的安全监管职责。</w:t>
      </w:r>
    </w:p>
    <w:p w14:paraId="737EF477">
      <w:pPr>
        <w:pStyle w:val="395"/>
        <w:snapToGrid w:val="0"/>
        <w:spacing w:before="0"/>
        <w:ind w:firstLine="0" w:firstLineChars="0"/>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（二）服务范围</w:t>
      </w:r>
    </w:p>
    <w:p w14:paraId="67270E1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建德经济开发区</w:t>
      </w:r>
      <w:r>
        <w:rPr>
          <w:rFonts w:hint="eastAsia" w:ascii="仿宋" w:hAnsi="仿宋" w:eastAsia="仿宋" w:cs="仿宋"/>
          <w:color w:val="auto"/>
          <w:sz w:val="24"/>
          <w:highlight w:val="none"/>
        </w:rPr>
        <w:t xml:space="preserve">范围内（重点是马目、五马洲、航空小镇核心区块）所有的危化企业、一般工矿企业及在建工程，目前辖区企业（含在建工地）数量约130余家。                              </w:t>
      </w:r>
    </w:p>
    <w:p w14:paraId="5D4FD378">
      <w:pPr>
        <w:pStyle w:val="395"/>
        <w:snapToGrid w:val="0"/>
        <w:spacing w:before="0"/>
        <w:ind w:firstLine="0" w:firstLineChars="0"/>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（三）服务内容及要求</w:t>
      </w:r>
    </w:p>
    <w:p w14:paraId="58AF62F5">
      <w:pPr>
        <w:pStyle w:val="395"/>
        <w:snapToGrid w:val="0"/>
        <w:spacing w:before="0"/>
        <w:ind w:firstLine="241" w:firstLineChars="100"/>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一）园区企业隐患排查及安全生产检查。</w:t>
      </w:r>
    </w:p>
    <w:p w14:paraId="3121EC0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1.驻点安全管家服务</w:t>
      </w:r>
    </w:p>
    <w:p w14:paraId="3A6EFB5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①每年2次全方位排查、2次整改回访。</w:t>
      </w:r>
      <w:r>
        <w:rPr>
          <w:rFonts w:hint="eastAsia" w:ascii="仿宋" w:hAnsi="仿宋" w:eastAsia="仿宋" w:cs="仿宋"/>
          <w:color w:val="auto"/>
          <w:sz w:val="24"/>
          <w:highlight w:val="none"/>
          <w:lang w:eastAsia="zh-CN"/>
        </w:rPr>
        <w:t>成交人</w:t>
      </w:r>
      <w:r>
        <w:rPr>
          <w:rFonts w:hint="eastAsia" w:ascii="仿宋" w:hAnsi="仿宋" w:eastAsia="仿宋" w:cs="仿宋"/>
          <w:color w:val="auto"/>
          <w:sz w:val="24"/>
          <w:highlight w:val="none"/>
        </w:rPr>
        <w:t>应按照国家现行有关法律法规和规范标准，对被服务企业的</w:t>
      </w:r>
      <w:r>
        <w:rPr>
          <w:rFonts w:hint="eastAsia" w:ascii="仿宋" w:hAnsi="仿宋" w:eastAsia="仿宋" w:cs="仿宋"/>
          <w:bCs/>
          <w:color w:val="auto"/>
          <w:sz w:val="24"/>
          <w:highlight w:val="none"/>
        </w:rPr>
        <w:t>总平面布局、平面布置</w:t>
      </w:r>
      <w:r>
        <w:rPr>
          <w:rFonts w:hint="eastAsia" w:ascii="仿宋" w:hAnsi="仿宋" w:eastAsia="仿宋" w:cs="仿宋"/>
          <w:color w:val="auto"/>
          <w:sz w:val="24"/>
          <w:highlight w:val="none"/>
        </w:rPr>
        <w:t>、生产设施及工艺安全、作业安全、安全教育培训、风险识别告知、安全警示标志、危险化学品储存、隐患排查治理、劳动防护、应急救援及实操方案、</w:t>
      </w:r>
      <w:r>
        <w:rPr>
          <w:rFonts w:hint="eastAsia" w:ascii="仿宋" w:hAnsi="仿宋" w:eastAsia="仿宋" w:cs="仿宋"/>
          <w:bCs/>
          <w:color w:val="auto"/>
          <w:sz w:val="24"/>
          <w:highlight w:val="none"/>
        </w:rPr>
        <w:t>立罐、水池等建构筑物的</w:t>
      </w:r>
      <w:r>
        <w:rPr>
          <w:rFonts w:hint="eastAsia" w:ascii="仿宋" w:hAnsi="仿宋" w:eastAsia="仿宋" w:cs="仿宋"/>
          <w:color w:val="auto"/>
          <w:sz w:val="24"/>
          <w:highlight w:val="none"/>
        </w:rPr>
        <w:t>安全性、安全生产相关台账等内容开展全面体检式检查、整改指导及整改确认。每年开展2次全方位排查、2次整改回访，危化企业每家一次至少一天，一般工矿企业每家一次至少半天。</w:t>
      </w:r>
    </w:p>
    <w:p w14:paraId="4D196FD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②日常安全检查。协助园区落实属地管理责任，根据园区的安排开展日常的安全检查。此项工作不定具体时间，不限次数和服务对象，根据实际需要临时安排检查，并做好检查台账。</w:t>
      </w:r>
    </w:p>
    <w:p w14:paraId="6C8B66B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③配合做好各级督察、检查。督察（检查）阶段配合做好督查期间现场协助工作，全程做好发现问题的反馈；整改阶段配合制定督查整改方案并推进落实。落实重大安全隐患暗访交办整改督办闭环机制，负责做好上级部门隐患整改交办单的全程跟踪督办工作，督促并指导企业按时进行整改。对完成整改的企业现场进行验收合格后填报销号单和整改报告上报督查组。</w:t>
      </w:r>
    </w:p>
    <w:p w14:paraId="1FDDA2E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2.邀请专家检查指导</w:t>
      </w:r>
    </w:p>
    <w:p w14:paraId="01CB8C56">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聘请省内相关行业权威专家形成专家团，每季度对园区开展检查指导工作，提出园区安全管理问题和管理提升建议。</w:t>
      </w:r>
    </w:p>
    <w:p w14:paraId="00AACCC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3.检查要求：</w:t>
      </w:r>
    </w:p>
    <w:p w14:paraId="477679A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成交人</w:t>
      </w:r>
      <w:r>
        <w:rPr>
          <w:rFonts w:hint="eastAsia" w:ascii="仿宋" w:hAnsi="仿宋" w:eastAsia="仿宋" w:cs="仿宋"/>
          <w:color w:val="auto"/>
          <w:sz w:val="24"/>
          <w:highlight w:val="none"/>
        </w:rPr>
        <w:t>在实施检查前应提前根据采购人要求制订详细的检查计划，根据企业数量、特性等合理安排服务进程。检查计划及邀请的省级专家服务名单需报园区备案同意后，方可组织实施。积极协助园区整理各类文件和台账资料。</w:t>
      </w:r>
    </w:p>
    <w:p w14:paraId="2F1F6F5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成交人</w:t>
      </w:r>
      <w:r>
        <w:rPr>
          <w:rFonts w:hint="eastAsia" w:ascii="仿宋" w:hAnsi="仿宋" w:eastAsia="仿宋" w:cs="仿宋"/>
          <w:color w:val="auto"/>
          <w:sz w:val="24"/>
          <w:highlight w:val="none"/>
        </w:rPr>
        <w:t>对检查中发现的典型问题和隐患应用电子设备拍摄录像详细记录，整理出安全隐患清单，提交园区；及时对企业开展整改复查。</w:t>
      </w:r>
    </w:p>
    <w:p w14:paraId="249F987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成交人</w:t>
      </w:r>
      <w:r>
        <w:rPr>
          <w:rFonts w:hint="eastAsia" w:ascii="仿宋" w:hAnsi="仿宋" w:eastAsia="仿宋" w:cs="仿宋"/>
          <w:color w:val="auto"/>
          <w:sz w:val="24"/>
          <w:highlight w:val="none"/>
        </w:rPr>
        <w:t>开展安全检查不得走过场，不得弄虚作假，不得隐瞒真实情况，对检查的真实性负法律责任。</w:t>
      </w:r>
    </w:p>
    <w:p w14:paraId="3455D60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（4）资料保密：在委托服务期间，中标方应对资料严格保密，泄露秘密应承担一定的责任。</w:t>
      </w:r>
    </w:p>
    <w:p w14:paraId="01139AE1">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二）园区日常监管协助服务</w:t>
      </w:r>
    </w:p>
    <w:p w14:paraId="4E9C3AA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1.开展风险评估</w:t>
      </w:r>
    </w:p>
    <w:p w14:paraId="7A2B237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对涉及重大危险源企业开展风险评估，识别企业主要危险源，并对辨识出的安全风险进行分类梳理，督促企业落实管控责任，确保风险点处于受控状态。</w:t>
      </w:r>
    </w:p>
    <w:p w14:paraId="758F9E9A">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2.建立企业安全生产数据库</w:t>
      </w:r>
    </w:p>
    <w:p w14:paraId="5F73BC80">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结合责任书、企业基本信息报表和安全检查、风险评估等资料，协助园区建立企业安全生产“一企一档”数据库，内容包括企业基本信息，企业负责人、安管员和重点岗位人员信息，危化品信息，特种设备信息，隐患整改信息等，并对数据库进行更新和维护。</w:t>
      </w:r>
    </w:p>
    <w:p w14:paraId="25DB5D4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3.开展安全生产培训</w:t>
      </w:r>
    </w:p>
    <w:p w14:paraId="47CBE60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配合开发区开展企业负责人、安管员和重点岗位人员安全生产培训。每年至少安排不少于两次</w:t>
      </w:r>
      <w:r>
        <w:rPr>
          <w:rFonts w:hint="eastAsia" w:ascii="仿宋" w:hAnsi="仿宋" w:eastAsia="仿宋" w:cs="仿宋"/>
          <w:color w:val="auto"/>
          <w:sz w:val="24"/>
          <w:highlight w:val="none"/>
          <w:lang w:eastAsia="zh-CN"/>
        </w:rPr>
        <w:t>省</w:t>
      </w:r>
      <w:r>
        <w:rPr>
          <w:rFonts w:hint="eastAsia" w:ascii="仿宋" w:hAnsi="仿宋" w:eastAsia="仿宋" w:cs="仿宋"/>
          <w:color w:val="auto"/>
          <w:sz w:val="24"/>
          <w:highlight w:val="none"/>
        </w:rPr>
        <w:t>级</w:t>
      </w:r>
      <w:r>
        <w:rPr>
          <w:rFonts w:hint="eastAsia" w:ascii="仿宋" w:hAnsi="仿宋" w:eastAsia="仿宋" w:cs="仿宋"/>
          <w:color w:val="auto"/>
          <w:sz w:val="24"/>
          <w:highlight w:val="none"/>
        </w:rPr>
        <w:t>以上专家现场授课培训同时做好师资对接、参训人员通知、会场布置、人员签到、资料发放等工作，并建立培训台账（包括培训讲义、签到表、培训现场照片等），培训所产生的授课费、专家差旅费等费用均由</w:t>
      </w:r>
      <w:r>
        <w:rPr>
          <w:rFonts w:hint="eastAsia" w:ascii="仿宋" w:hAnsi="仿宋" w:eastAsia="仿宋" w:cs="仿宋"/>
          <w:color w:val="auto"/>
          <w:sz w:val="24"/>
          <w:highlight w:val="none"/>
          <w:lang w:eastAsia="zh-CN"/>
        </w:rPr>
        <w:t>成交人</w:t>
      </w:r>
      <w:r>
        <w:rPr>
          <w:rFonts w:hint="eastAsia" w:ascii="仿宋" w:hAnsi="仿宋" w:eastAsia="仿宋" w:cs="仿宋"/>
          <w:color w:val="auto"/>
          <w:sz w:val="24"/>
          <w:highlight w:val="none"/>
        </w:rPr>
        <w:t>承担。同时配合园区做好单位工作人员的安全生产培训，提高业务水平。</w:t>
      </w:r>
    </w:p>
    <w:p w14:paraId="1FD6588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4.事故应急服务</w:t>
      </w:r>
    </w:p>
    <w:p w14:paraId="0490A30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参与园区安全消防事故的应急处置并根据上级生产安全事故调查组要求参与企业事故应急处置咨询服务和事故调查技术分析工作。指导企业完善企业应急救援预案、提高应急处置能力。</w:t>
      </w:r>
    </w:p>
    <w:p w14:paraId="48875E04">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三）园区综合咨询服务</w:t>
      </w:r>
    </w:p>
    <w:p w14:paraId="5CD2917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1.参与园区产业提升工作</w:t>
      </w:r>
    </w:p>
    <w:p w14:paraId="75ED3DD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提供整治推进思路和建议，组织团队开展园区内企业调研，同行业领先技术调研，协助园区邀请专家提供专题咨询。</w:t>
      </w:r>
    </w:p>
    <w:p w14:paraId="0E6DC92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2.项目准入咨询</w:t>
      </w:r>
    </w:p>
    <w:p w14:paraId="41A7117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针对项目审批合规性与风险性，协助园区制定和完善入园企业安全准入退出等相关条件，提供项目准入技术咨询服务。</w:t>
      </w:r>
    </w:p>
    <w:p w14:paraId="6CB17B8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3.安全技术咨询</w:t>
      </w:r>
    </w:p>
    <w:p w14:paraId="4AC5EB3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为被服务企业提供安全生产领域的安全技术咨询服务，包括隐患治理的技术指导、许可证申请辅导等。</w:t>
      </w:r>
    </w:p>
    <w:p w14:paraId="1CFB7325">
      <w:pPr>
        <w:pStyle w:val="395"/>
        <w:snapToGrid w:val="0"/>
        <w:spacing w:before="0"/>
        <w:ind w:firstLine="0" w:firstLineChars="0"/>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（四）人员配置要求</w:t>
      </w:r>
    </w:p>
    <w:p w14:paraId="4E984273">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成交人</w:t>
      </w:r>
      <w:r>
        <w:rPr>
          <w:rFonts w:hint="eastAsia" w:ascii="仿宋" w:hAnsi="仿宋" w:eastAsia="仿宋" w:cs="仿宋"/>
          <w:color w:val="auto"/>
          <w:sz w:val="24"/>
          <w:highlight w:val="none"/>
        </w:rPr>
        <w:t>应成立项目组，明确负责人1名，项目负责人应具有相关管理经验</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具备</w:t>
      </w:r>
      <w:r>
        <w:rPr>
          <w:rFonts w:hint="eastAsia" w:ascii="仿宋" w:hAnsi="仿宋" w:eastAsia="仿宋" w:cs="仿宋"/>
          <w:bCs/>
          <w:color w:val="auto"/>
          <w:sz w:val="24"/>
          <w:szCs w:val="24"/>
          <w:highlight w:val="none"/>
          <w:lang w:val="en-US" w:eastAsia="zh-CN"/>
        </w:rPr>
        <w:t>化工或应急管理或安全相关专业</w:t>
      </w:r>
      <w:r>
        <w:rPr>
          <w:rFonts w:hint="eastAsia" w:ascii="仿宋" w:hAnsi="仿宋" w:eastAsia="仿宋" w:cs="仿宋"/>
          <w:color w:val="auto"/>
          <w:sz w:val="24"/>
          <w:highlight w:val="none"/>
          <w:lang w:val="en-US" w:eastAsia="zh-CN"/>
        </w:rPr>
        <w:t>初级及以上工程师职称，是应急管理领域专家库成员优先</w:t>
      </w:r>
      <w:r>
        <w:rPr>
          <w:rFonts w:hint="eastAsia" w:ascii="仿宋" w:hAnsi="仿宋" w:eastAsia="仿宋" w:cs="仿宋"/>
          <w:color w:val="auto"/>
          <w:sz w:val="24"/>
          <w:highlight w:val="none"/>
        </w:rPr>
        <w:t>。项目负责人需为</w:t>
      </w:r>
      <w:r>
        <w:rPr>
          <w:rFonts w:hint="eastAsia" w:ascii="仿宋" w:hAnsi="仿宋" w:eastAsia="仿宋" w:cs="仿宋"/>
          <w:color w:val="auto"/>
          <w:sz w:val="24"/>
          <w:highlight w:val="none"/>
          <w:lang w:eastAsia="zh-CN"/>
        </w:rPr>
        <w:t>投标单位的</w:t>
      </w:r>
      <w:r>
        <w:rPr>
          <w:rFonts w:hint="eastAsia" w:ascii="仿宋" w:hAnsi="仿宋" w:eastAsia="仿宋" w:cs="仿宋"/>
          <w:color w:val="auto"/>
          <w:sz w:val="24"/>
          <w:highlight w:val="none"/>
        </w:rPr>
        <w:t>正式员工（含退休返聘人员）并提供在</w:t>
      </w:r>
      <w:r>
        <w:rPr>
          <w:rFonts w:hint="eastAsia" w:ascii="仿宋" w:hAnsi="仿宋" w:eastAsia="仿宋" w:cs="仿宋"/>
          <w:color w:val="auto"/>
          <w:sz w:val="24"/>
          <w:highlight w:val="none"/>
          <w:lang w:eastAsia="zh-CN"/>
        </w:rPr>
        <w:t>投标单位连续缴纳的近三个月社保证明材料。</w:t>
      </w:r>
    </w:p>
    <w:p w14:paraId="6E85CA9C">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2.安排驻点人员至少</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名以上（含</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名）。驻点人员</w:t>
      </w:r>
      <w:r>
        <w:rPr>
          <w:rFonts w:hint="eastAsia" w:ascii="仿宋" w:hAnsi="仿宋" w:eastAsia="仿宋" w:cs="仿宋"/>
          <w:color w:val="auto"/>
          <w:sz w:val="24"/>
          <w:highlight w:val="none"/>
          <w:lang w:eastAsia="zh-CN"/>
        </w:rPr>
        <w:t>须</w:t>
      </w:r>
      <w:r>
        <w:rPr>
          <w:rFonts w:hint="eastAsia" w:ascii="仿宋" w:hAnsi="仿宋" w:eastAsia="仿宋" w:cs="仿宋"/>
          <w:color w:val="auto"/>
          <w:sz w:val="24"/>
          <w:highlight w:val="none"/>
        </w:rPr>
        <w:t>熟悉掌握开展安全检查的方法和知识，拥有较强的的应急处置能力，需轮流值夜班。驻点人员具备</w:t>
      </w:r>
      <w:r>
        <w:rPr>
          <w:rFonts w:hint="eastAsia" w:ascii="仿宋" w:hAnsi="仿宋" w:eastAsia="仿宋" w:cs="仿宋"/>
          <w:bCs/>
          <w:color w:val="auto"/>
          <w:sz w:val="24"/>
          <w:szCs w:val="24"/>
          <w:highlight w:val="none"/>
          <w:lang w:val="en-US" w:eastAsia="zh-CN"/>
        </w:rPr>
        <w:t>化工或应急管理或安全相关专业</w:t>
      </w:r>
      <w:r>
        <w:rPr>
          <w:rFonts w:hint="eastAsia" w:ascii="仿宋" w:hAnsi="仿宋" w:eastAsia="仿宋" w:cs="仿宋"/>
          <w:color w:val="auto"/>
          <w:sz w:val="24"/>
          <w:highlight w:val="none"/>
          <w:lang w:val="en-US" w:eastAsia="zh-CN"/>
        </w:rPr>
        <w:t>初级及以上工程师</w:t>
      </w:r>
      <w:r>
        <w:rPr>
          <w:rFonts w:hint="eastAsia" w:ascii="仿宋" w:hAnsi="仿宋" w:eastAsia="仿宋" w:cs="仿宋"/>
          <w:color w:val="auto"/>
          <w:sz w:val="24"/>
          <w:highlight w:val="none"/>
        </w:rPr>
        <w:t>职称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是应急管理领域专家库成员优先</w:t>
      </w:r>
      <w:r>
        <w:rPr>
          <w:rFonts w:hint="eastAsia" w:ascii="仿宋" w:hAnsi="仿宋" w:eastAsia="仿宋" w:cs="仿宋"/>
          <w:color w:val="auto"/>
          <w:sz w:val="24"/>
          <w:highlight w:val="none"/>
        </w:rPr>
        <w:t>。驻点人员需为</w:t>
      </w:r>
      <w:r>
        <w:rPr>
          <w:rFonts w:hint="eastAsia" w:ascii="仿宋" w:hAnsi="仿宋" w:eastAsia="仿宋" w:cs="仿宋"/>
          <w:color w:val="auto"/>
          <w:sz w:val="24"/>
          <w:highlight w:val="none"/>
          <w:lang w:eastAsia="zh-CN"/>
        </w:rPr>
        <w:t>投标单位的</w:t>
      </w:r>
      <w:r>
        <w:rPr>
          <w:rFonts w:hint="eastAsia" w:ascii="仿宋" w:hAnsi="仿宋" w:eastAsia="仿宋" w:cs="仿宋"/>
          <w:color w:val="auto"/>
          <w:sz w:val="24"/>
          <w:highlight w:val="none"/>
        </w:rPr>
        <w:t>正式员工并提供在</w:t>
      </w:r>
      <w:r>
        <w:rPr>
          <w:rFonts w:hint="eastAsia" w:ascii="仿宋" w:hAnsi="仿宋" w:eastAsia="仿宋" w:cs="仿宋"/>
          <w:color w:val="auto"/>
          <w:sz w:val="24"/>
          <w:highlight w:val="none"/>
          <w:lang w:eastAsia="zh-CN"/>
        </w:rPr>
        <w:t>投标单位连续缴纳的近三个月社保证明材料。</w:t>
      </w:r>
    </w:p>
    <w:p w14:paraId="2893C4AC">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3.供应商组建专业化项目技术后备力量，配置由具备</w:t>
      </w:r>
      <w:r>
        <w:rPr>
          <w:rFonts w:hint="eastAsia" w:ascii="仿宋" w:hAnsi="仿宋" w:eastAsia="仿宋" w:cs="仿宋"/>
          <w:bCs/>
          <w:color w:val="auto"/>
          <w:sz w:val="24"/>
          <w:szCs w:val="24"/>
          <w:highlight w:val="none"/>
          <w:lang w:val="en-US" w:eastAsia="zh-CN"/>
        </w:rPr>
        <w:t>化工或应急管理或安全相关专业</w:t>
      </w:r>
      <w:r>
        <w:rPr>
          <w:rFonts w:hint="eastAsia" w:ascii="仿宋" w:hAnsi="仿宋" w:eastAsia="仿宋" w:cs="仿宋"/>
          <w:color w:val="auto"/>
          <w:sz w:val="24"/>
          <w:highlight w:val="none"/>
          <w:lang w:val="en-US" w:eastAsia="zh-CN"/>
        </w:rPr>
        <w:t>初级及以上职称人员构成的复合型人才队伍，确保专业技术深度与应急处置能力，针对项目执行过程中突发技术故障、资源短缺、不可抗力等紧急情况，实现快速响应、科学决策、高效处置，为项目平稳推进构筑坚实保障。项目技术后备力量人员是应急管理领域专家库成员优先，</w:t>
      </w:r>
      <w:r>
        <w:rPr>
          <w:rFonts w:hint="eastAsia" w:ascii="仿宋" w:hAnsi="仿宋" w:eastAsia="仿宋" w:cs="仿宋"/>
          <w:color w:val="auto"/>
          <w:sz w:val="24"/>
          <w:highlight w:val="none"/>
        </w:rPr>
        <w:t>需为</w:t>
      </w:r>
      <w:r>
        <w:rPr>
          <w:rFonts w:hint="eastAsia" w:ascii="仿宋" w:hAnsi="仿宋" w:eastAsia="仿宋" w:cs="仿宋"/>
          <w:color w:val="auto"/>
          <w:sz w:val="24"/>
          <w:highlight w:val="none"/>
          <w:lang w:eastAsia="zh-CN"/>
        </w:rPr>
        <w:t>投标单位的</w:t>
      </w:r>
      <w:r>
        <w:rPr>
          <w:rFonts w:hint="eastAsia" w:ascii="仿宋" w:hAnsi="仿宋" w:eastAsia="仿宋" w:cs="仿宋"/>
          <w:color w:val="auto"/>
          <w:sz w:val="24"/>
          <w:highlight w:val="none"/>
        </w:rPr>
        <w:t>正式员工并提供在</w:t>
      </w:r>
      <w:r>
        <w:rPr>
          <w:rFonts w:hint="eastAsia" w:ascii="仿宋" w:hAnsi="仿宋" w:eastAsia="仿宋" w:cs="仿宋"/>
          <w:color w:val="auto"/>
          <w:sz w:val="24"/>
          <w:highlight w:val="none"/>
          <w:lang w:eastAsia="zh-CN"/>
        </w:rPr>
        <w:t>投标单位连续缴纳的近三个月社保证明材料。</w:t>
      </w:r>
    </w:p>
    <w:p w14:paraId="3FEE4537">
      <w:pPr>
        <w:spacing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一旦发生突发应急事件，技术后备力量须全员即刻响应到场，严格按照建德经济开发区管理委员会统一部署，协同开展应急处置工作，确保突发事件得到及时、妥善处理，对此供应商应提供承诺书并加盖单位公章，否则作无效标处理。</w:t>
      </w:r>
    </w:p>
    <w:p w14:paraId="4A840A86">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.每年2次全方位排查、2次整改回访，项目组负责人和开发区驻点服务专员必须到场。日常检查以开发区驻点服务专员为主开展工作。</w:t>
      </w:r>
    </w:p>
    <w:p w14:paraId="32B4534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.驻点人员接受开发区管委会管理，驻点期间需积极配合开发区开展工作。服务期间，中标方需配备至少2辆车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5座</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7*24小时为人员工作开展提供便利。</w:t>
      </w:r>
    </w:p>
    <w:p w14:paraId="0BA4068B">
      <w:pPr>
        <w:pStyle w:val="395"/>
        <w:snapToGrid w:val="0"/>
        <w:spacing w:before="0"/>
        <w:ind w:firstLine="0" w:firstLineChars="0"/>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lang w:eastAsia="zh-CN"/>
        </w:rPr>
        <w:t>（五）</w:t>
      </w:r>
      <w:r>
        <w:rPr>
          <w:rFonts w:hint="eastAsia" w:ascii="仿宋" w:hAnsi="仿宋" w:eastAsia="仿宋" w:cs="仿宋"/>
          <w:b/>
          <w:bCs/>
          <w:color w:val="auto"/>
          <w:szCs w:val="24"/>
          <w:highlight w:val="none"/>
        </w:rPr>
        <w:t>服务质量考核</w:t>
      </w:r>
    </w:p>
    <w:p w14:paraId="3E4825CC">
      <w:pPr>
        <w:pStyle w:val="395"/>
        <w:snapToGrid w:val="0"/>
        <w:spacing w:before="0"/>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在合同履行期内，采购人按年度对成交人开展服务质量考核工作。</w:t>
      </w:r>
    </w:p>
    <w:p w14:paraId="4637FBF6">
      <w:pPr>
        <w:pStyle w:val="395"/>
        <w:snapToGrid w:val="0"/>
        <w:spacing w:before="0"/>
        <w:ind w:left="0" w:leftChars="0" w:firstLine="0" w:firstLineChars="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成交人应在考核周期结束后，向采购人提交验收申请及完整验收材料，由采购人组织实施项目验收，依据考核标准确定年度服务质量考核得分。</w:t>
      </w:r>
    </w:p>
    <w:p w14:paraId="0FC067FA">
      <w:pPr>
        <w:pStyle w:val="395"/>
        <w:snapToGrid w:val="0"/>
        <w:spacing w:before="0"/>
        <w:ind w:firstLine="480" w:firstLineChars="20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w:t>
      </w:r>
      <w:r>
        <w:rPr>
          <w:rFonts w:hint="default" w:ascii="仿宋" w:hAnsi="仿宋" w:eastAsia="仿宋" w:cs="仿宋"/>
          <w:bCs/>
          <w:color w:val="auto"/>
          <w:sz w:val="24"/>
          <w:szCs w:val="24"/>
          <w:highlight w:val="none"/>
          <w:lang w:val="en-US" w:eastAsia="zh-CN"/>
        </w:rPr>
        <w:t>考核等级与奖惩</w:t>
      </w:r>
    </w:p>
    <w:p w14:paraId="31DD7AF6">
      <w:pPr>
        <w:pStyle w:val="395"/>
        <w:snapToGrid w:val="0"/>
        <w:spacing w:before="0"/>
        <w:ind w:left="0" w:leftChars="0"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考核总分值为100分，当次考核得分达到80分（含）及以上视为合格,无罚款；当次考核</w:t>
      </w:r>
      <w:r>
        <w:rPr>
          <w:rFonts w:hint="default" w:ascii="仿宋" w:hAnsi="仿宋" w:eastAsia="仿宋" w:cs="仿宋"/>
          <w:bCs/>
          <w:color w:val="auto"/>
          <w:sz w:val="24"/>
          <w:szCs w:val="24"/>
          <w:highlight w:val="none"/>
          <w:lang w:val="en-US" w:eastAsia="zh-CN"/>
        </w:rPr>
        <w:t>得分低于80分</w:t>
      </w:r>
      <w:r>
        <w:rPr>
          <w:rFonts w:hint="eastAsia" w:ascii="仿宋" w:hAnsi="仿宋" w:eastAsia="仿宋" w:cs="仿宋"/>
          <w:bCs/>
          <w:color w:val="auto"/>
          <w:sz w:val="24"/>
          <w:szCs w:val="24"/>
          <w:highlight w:val="none"/>
          <w:lang w:val="en-US" w:eastAsia="zh-CN"/>
        </w:rPr>
        <w:t>视为不合格,每减少1分（有小数点的，按四舍五入保留整数），成交人需向采购人缴纳1000元罚金。</w:t>
      </w:r>
    </w:p>
    <w:p w14:paraId="52226742">
      <w:pPr>
        <w:pStyle w:val="395"/>
        <w:snapToGrid w:val="0"/>
        <w:spacing w:before="0"/>
        <w:ind w:firstLine="480" w:firstLineChars="20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w:t>
      </w:r>
      <w:r>
        <w:rPr>
          <w:rFonts w:hint="default" w:ascii="仿宋" w:hAnsi="仿宋" w:eastAsia="仿宋" w:cs="仿宋"/>
          <w:bCs/>
          <w:color w:val="auto"/>
          <w:sz w:val="24"/>
          <w:szCs w:val="24"/>
          <w:highlight w:val="none"/>
          <w:lang w:val="en-US" w:eastAsia="zh-CN"/>
        </w:rPr>
        <w:t>合同续签：</w:t>
      </w:r>
      <w:r>
        <w:rPr>
          <w:rFonts w:hint="eastAsia" w:ascii="仿宋" w:hAnsi="仿宋" w:eastAsia="仿宋" w:cs="仿宋"/>
          <w:bCs/>
          <w:color w:val="auto"/>
          <w:sz w:val="24"/>
          <w:szCs w:val="24"/>
          <w:highlight w:val="none"/>
          <w:lang w:val="en-US" w:eastAsia="zh-CN"/>
        </w:rPr>
        <w:t>年度考核得分达80分（含）及以上的，双方可协商续签下一年度合同。</w:t>
      </w:r>
      <w:r>
        <w:rPr>
          <w:rFonts w:hint="default" w:ascii="仿宋" w:hAnsi="仿宋" w:eastAsia="仿宋" w:cs="仿宋"/>
          <w:bCs/>
          <w:color w:val="auto"/>
          <w:sz w:val="24"/>
          <w:szCs w:val="24"/>
          <w:highlight w:val="none"/>
          <w:lang w:val="en-US" w:eastAsia="zh-CN"/>
        </w:rPr>
        <w:t>若考核得分低于80分，合同到期后自动终止，不再续签。</w:t>
      </w:r>
    </w:p>
    <w:p w14:paraId="0C5C4012">
      <w:pPr>
        <w:pStyle w:val="395"/>
        <w:snapToGrid w:val="0"/>
        <w:spacing w:before="0"/>
        <w:ind w:left="0" w:leftChars="0" w:firstLine="480" w:firstLineChars="20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r>
        <w:rPr>
          <w:rFonts w:hint="default" w:ascii="仿宋" w:hAnsi="仿宋" w:eastAsia="仿宋" w:cs="仿宋"/>
          <w:bCs/>
          <w:color w:val="auto"/>
          <w:sz w:val="24"/>
          <w:szCs w:val="24"/>
          <w:highlight w:val="none"/>
          <w:lang w:val="en-US" w:eastAsia="zh-CN"/>
        </w:rPr>
        <w:t>罚金缴纳：</w:t>
      </w:r>
      <w:r>
        <w:rPr>
          <w:rFonts w:hint="eastAsia" w:ascii="仿宋" w:hAnsi="仿宋" w:eastAsia="仿宋" w:cs="仿宋"/>
          <w:bCs/>
          <w:color w:val="auto"/>
          <w:sz w:val="24"/>
          <w:szCs w:val="24"/>
          <w:highlight w:val="none"/>
          <w:lang w:val="en-US" w:eastAsia="zh-CN"/>
        </w:rPr>
        <w:t>成交人</w:t>
      </w:r>
      <w:r>
        <w:rPr>
          <w:rFonts w:hint="default" w:ascii="仿宋" w:hAnsi="仿宋" w:eastAsia="仿宋" w:cs="仿宋"/>
          <w:bCs/>
          <w:color w:val="auto"/>
          <w:sz w:val="24"/>
          <w:szCs w:val="24"/>
          <w:highlight w:val="none"/>
          <w:lang w:val="en-US" w:eastAsia="zh-CN"/>
        </w:rPr>
        <w:t>在接到罚金缴纳通知后的5个工作日内，将罚金足额缴纳至采购人指定银行账户。若逾期未缴纳，每逾期一日，按照未缴纳金额的10%加收滞纳金；逾期超过10个工作日，采购人有权采取法律手段追缴，并要求</w:t>
      </w:r>
      <w:r>
        <w:rPr>
          <w:rFonts w:hint="eastAsia" w:ascii="仿宋" w:hAnsi="仿宋" w:eastAsia="仿宋" w:cs="仿宋"/>
          <w:bCs/>
          <w:color w:val="auto"/>
          <w:sz w:val="24"/>
          <w:szCs w:val="24"/>
          <w:highlight w:val="none"/>
          <w:lang w:val="en-US" w:eastAsia="zh-CN"/>
        </w:rPr>
        <w:t>成交人</w:t>
      </w:r>
      <w:r>
        <w:rPr>
          <w:rFonts w:hint="default" w:ascii="仿宋" w:hAnsi="仿宋" w:eastAsia="仿宋" w:cs="仿宋"/>
          <w:bCs/>
          <w:color w:val="auto"/>
          <w:sz w:val="24"/>
          <w:szCs w:val="24"/>
          <w:highlight w:val="none"/>
          <w:lang w:val="en-US" w:eastAsia="zh-CN"/>
        </w:rPr>
        <w:t>承担因此产生的全部费用。</w:t>
      </w:r>
    </w:p>
    <w:p w14:paraId="313D7126">
      <w:pPr>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年度考核标准</w:t>
      </w:r>
    </w:p>
    <w:tbl>
      <w:tblPr>
        <w:tblStyle w:val="62"/>
        <w:tblW w:w="92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3"/>
        <w:gridCol w:w="753"/>
        <w:gridCol w:w="5688"/>
        <w:gridCol w:w="1012"/>
        <w:gridCol w:w="961"/>
      </w:tblGrid>
      <w:tr w14:paraId="052E5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83" w:type="dxa"/>
            <w:tcBorders>
              <w:bottom w:val="single" w:color="auto" w:sz="4" w:space="0"/>
            </w:tcBorders>
            <w:vAlign w:val="center"/>
          </w:tcPr>
          <w:p w14:paraId="091BD731">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w:t>
            </w:r>
          </w:p>
        </w:tc>
        <w:tc>
          <w:tcPr>
            <w:tcW w:w="753" w:type="dxa"/>
            <w:vAlign w:val="center"/>
          </w:tcPr>
          <w:p w14:paraId="1E532B71">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5688" w:type="dxa"/>
            <w:vAlign w:val="center"/>
          </w:tcPr>
          <w:p w14:paraId="5B509284">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考核内容</w:t>
            </w:r>
          </w:p>
        </w:tc>
        <w:tc>
          <w:tcPr>
            <w:tcW w:w="1012" w:type="dxa"/>
            <w:tcBorders>
              <w:bottom w:val="single" w:color="auto" w:sz="4" w:space="0"/>
            </w:tcBorders>
            <w:vAlign w:val="center"/>
          </w:tcPr>
          <w:p w14:paraId="2DAB4539">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权重分</w:t>
            </w:r>
          </w:p>
        </w:tc>
        <w:tc>
          <w:tcPr>
            <w:tcW w:w="961" w:type="dxa"/>
            <w:tcBorders>
              <w:bottom w:val="single" w:color="auto" w:sz="4" w:space="0"/>
            </w:tcBorders>
            <w:vAlign w:val="center"/>
          </w:tcPr>
          <w:p w14:paraId="61998928">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小计</w:t>
            </w:r>
          </w:p>
        </w:tc>
      </w:tr>
      <w:tr w14:paraId="378D7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83" w:type="dxa"/>
            <w:vMerge w:val="restart"/>
            <w:tcBorders>
              <w:top w:val="single" w:color="auto" w:sz="4" w:space="0"/>
            </w:tcBorders>
            <w:vAlign w:val="center"/>
          </w:tcPr>
          <w:p w14:paraId="380D6318">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基础信息</w:t>
            </w:r>
          </w:p>
        </w:tc>
        <w:tc>
          <w:tcPr>
            <w:tcW w:w="753" w:type="dxa"/>
            <w:vAlign w:val="center"/>
          </w:tcPr>
          <w:p w14:paraId="47D392DE">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5688" w:type="dxa"/>
            <w:vAlign w:val="center"/>
          </w:tcPr>
          <w:p w14:paraId="50610B96">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制定安全社会化服务管家各岗位工作职责和各项工作制度</w:t>
            </w:r>
          </w:p>
        </w:tc>
        <w:tc>
          <w:tcPr>
            <w:tcW w:w="1012" w:type="dxa"/>
            <w:tcBorders>
              <w:top w:val="single" w:color="auto" w:sz="4" w:space="0"/>
            </w:tcBorders>
            <w:vAlign w:val="center"/>
          </w:tcPr>
          <w:p w14:paraId="70B60C3A">
            <w:pPr>
              <w:snapToGrid w:val="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961" w:type="dxa"/>
            <w:vMerge w:val="restart"/>
            <w:tcBorders>
              <w:top w:val="single" w:color="auto" w:sz="4" w:space="0"/>
            </w:tcBorders>
            <w:vAlign w:val="center"/>
          </w:tcPr>
          <w:p w14:paraId="671A268A">
            <w:pPr>
              <w:snapToGrid w:val="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19</w:t>
            </w:r>
          </w:p>
        </w:tc>
      </w:tr>
      <w:tr w14:paraId="58D30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883" w:type="dxa"/>
            <w:vMerge w:val="continue"/>
            <w:vAlign w:val="center"/>
          </w:tcPr>
          <w:p w14:paraId="087CBD75">
            <w:pPr>
              <w:snapToGrid w:val="0"/>
              <w:jc w:val="center"/>
              <w:rPr>
                <w:rFonts w:hint="eastAsia" w:ascii="仿宋" w:hAnsi="仿宋" w:eastAsia="仿宋" w:cs="仿宋"/>
                <w:color w:val="auto"/>
                <w:szCs w:val="21"/>
                <w:highlight w:val="none"/>
              </w:rPr>
            </w:pPr>
          </w:p>
        </w:tc>
        <w:tc>
          <w:tcPr>
            <w:tcW w:w="753" w:type="dxa"/>
            <w:vAlign w:val="center"/>
          </w:tcPr>
          <w:p w14:paraId="776FDCA0">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5688" w:type="dxa"/>
            <w:vAlign w:val="center"/>
          </w:tcPr>
          <w:p w14:paraId="02ECD1A3">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做好企业安全生产责任书的修订工作，负责企业责任书的签订和归档工作</w:t>
            </w:r>
          </w:p>
        </w:tc>
        <w:tc>
          <w:tcPr>
            <w:tcW w:w="1012" w:type="dxa"/>
            <w:vAlign w:val="center"/>
          </w:tcPr>
          <w:p w14:paraId="3ED3A7E8">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961" w:type="dxa"/>
            <w:vMerge w:val="continue"/>
            <w:vAlign w:val="center"/>
          </w:tcPr>
          <w:p w14:paraId="5B5C1CAA">
            <w:pPr>
              <w:snapToGrid w:val="0"/>
              <w:jc w:val="center"/>
              <w:rPr>
                <w:rFonts w:hint="eastAsia" w:ascii="仿宋" w:hAnsi="仿宋" w:eastAsia="仿宋" w:cs="仿宋"/>
                <w:color w:val="auto"/>
                <w:szCs w:val="21"/>
                <w:highlight w:val="none"/>
              </w:rPr>
            </w:pPr>
          </w:p>
        </w:tc>
      </w:tr>
      <w:tr w14:paraId="64AF2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883" w:type="dxa"/>
            <w:vMerge w:val="continue"/>
            <w:vAlign w:val="center"/>
          </w:tcPr>
          <w:p w14:paraId="27EF75C9">
            <w:pPr>
              <w:snapToGrid w:val="0"/>
              <w:jc w:val="center"/>
              <w:rPr>
                <w:rFonts w:hint="eastAsia" w:ascii="仿宋" w:hAnsi="仿宋" w:eastAsia="仿宋" w:cs="仿宋"/>
                <w:color w:val="auto"/>
                <w:szCs w:val="21"/>
                <w:highlight w:val="none"/>
              </w:rPr>
            </w:pPr>
          </w:p>
        </w:tc>
        <w:tc>
          <w:tcPr>
            <w:tcW w:w="753" w:type="dxa"/>
            <w:vAlign w:val="center"/>
          </w:tcPr>
          <w:p w14:paraId="63B869FC">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5688" w:type="dxa"/>
            <w:vAlign w:val="center"/>
          </w:tcPr>
          <w:p w14:paraId="54513A65">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建立企业安全生产“一企一档”数据库，并对数据库进行更新和维护</w:t>
            </w:r>
          </w:p>
        </w:tc>
        <w:tc>
          <w:tcPr>
            <w:tcW w:w="1012" w:type="dxa"/>
            <w:vAlign w:val="center"/>
          </w:tcPr>
          <w:p w14:paraId="680D6009">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961" w:type="dxa"/>
            <w:vMerge w:val="continue"/>
            <w:vAlign w:val="center"/>
          </w:tcPr>
          <w:p w14:paraId="1F857710">
            <w:pPr>
              <w:snapToGrid w:val="0"/>
              <w:jc w:val="center"/>
              <w:rPr>
                <w:rFonts w:hint="eastAsia" w:ascii="仿宋" w:hAnsi="仿宋" w:eastAsia="仿宋" w:cs="仿宋"/>
                <w:color w:val="auto"/>
                <w:szCs w:val="21"/>
                <w:highlight w:val="none"/>
              </w:rPr>
            </w:pPr>
          </w:p>
        </w:tc>
      </w:tr>
      <w:tr w14:paraId="09BEE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883" w:type="dxa"/>
            <w:vMerge w:val="continue"/>
            <w:vAlign w:val="center"/>
          </w:tcPr>
          <w:p w14:paraId="43E24F42">
            <w:pPr>
              <w:snapToGrid w:val="0"/>
              <w:jc w:val="center"/>
              <w:rPr>
                <w:rFonts w:hint="eastAsia" w:ascii="仿宋" w:hAnsi="仿宋" w:eastAsia="仿宋" w:cs="仿宋"/>
                <w:color w:val="auto"/>
                <w:szCs w:val="21"/>
                <w:highlight w:val="none"/>
              </w:rPr>
            </w:pPr>
          </w:p>
        </w:tc>
        <w:tc>
          <w:tcPr>
            <w:tcW w:w="753" w:type="dxa"/>
            <w:vAlign w:val="center"/>
          </w:tcPr>
          <w:p w14:paraId="6F0F0719">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5688" w:type="dxa"/>
            <w:vAlign w:val="center"/>
          </w:tcPr>
          <w:p w14:paraId="748BE02B">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按时上报各类安全检查报表、材料，其中包括2次检查督改、2次整改回访情况</w:t>
            </w:r>
          </w:p>
        </w:tc>
        <w:tc>
          <w:tcPr>
            <w:tcW w:w="1012" w:type="dxa"/>
            <w:vAlign w:val="center"/>
          </w:tcPr>
          <w:p w14:paraId="6E7E8FA4">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961" w:type="dxa"/>
            <w:vMerge w:val="continue"/>
            <w:vAlign w:val="center"/>
          </w:tcPr>
          <w:p w14:paraId="26CD8353">
            <w:pPr>
              <w:snapToGrid w:val="0"/>
              <w:jc w:val="center"/>
              <w:rPr>
                <w:rFonts w:hint="eastAsia" w:ascii="仿宋" w:hAnsi="仿宋" w:eastAsia="仿宋" w:cs="仿宋"/>
                <w:color w:val="auto"/>
                <w:szCs w:val="21"/>
                <w:highlight w:val="none"/>
              </w:rPr>
            </w:pPr>
          </w:p>
        </w:tc>
      </w:tr>
      <w:tr w14:paraId="58CEE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883" w:type="dxa"/>
            <w:vMerge w:val="continue"/>
            <w:vAlign w:val="center"/>
          </w:tcPr>
          <w:p w14:paraId="2FDE2457">
            <w:pPr>
              <w:snapToGrid w:val="0"/>
              <w:jc w:val="center"/>
              <w:rPr>
                <w:rFonts w:hint="eastAsia" w:ascii="仿宋" w:hAnsi="仿宋" w:eastAsia="仿宋" w:cs="仿宋"/>
                <w:color w:val="auto"/>
                <w:szCs w:val="21"/>
                <w:highlight w:val="none"/>
              </w:rPr>
            </w:pPr>
          </w:p>
        </w:tc>
        <w:tc>
          <w:tcPr>
            <w:tcW w:w="753" w:type="dxa"/>
            <w:vAlign w:val="center"/>
          </w:tcPr>
          <w:p w14:paraId="70F29172">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5688" w:type="dxa"/>
            <w:vAlign w:val="center"/>
          </w:tcPr>
          <w:p w14:paraId="39EE9337">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参加安全检查服务的人员须为本次中标的</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中承诺的项目组，不得私自更换人员</w:t>
            </w:r>
          </w:p>
        </w:tc>
        <w:tc>
          <w:tcPr>
            <w:tcW w:w="1012" w:type="dxa"/>
            <w:vAlign w:val="center"/>
          </w:tcPr>
          <w:p w14:paraId="527CA2D8">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961" w:type="dxa"/>
            <w:vMerge w:val="continue"/>
            <w:vAlign w:val="center"/>
          </w:tcPr>
          <w:p w14:paraId="5EEAA75B">
            <w:pPr>
              <w:snapToGrid w:val="0"/>
              <w:jc w:val="center"/>
              <w:rPr>
                <w:rFonts w:hint="eastAsia" w:ascii="仿宋" w:hAnsi="仿宋" w:eastAsia="仿宋" w:cs="仿宋"/>
                <w:color w:val="auto"/>
                <w:szCs w:val="21"/>
                <w:highlight w:val="none"/>
              </w:rPr>
            </w:pPr>
          </w:p>
        </w:tc>
      </w:tr>
      <w:tr w14:paraId="33DE9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83" w:type="dxa"/>
            <w:vMerge w:val="restart"/>
            <w:vAlign w:val="center"/>
          </w:tcPr>
          <w:p w14:paraId="334954B1">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监督检查</w:t>
            </w:r>
          </w:p>
        </w:tc>
        <w:tc>
          <w:tcPr>
            <w:tcW w:w="753" w:type="dxa"/>
            <w:vAlign w:val="center"/>
          </w:tcPr>
          <w:p w14:paraId="48D65B85">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5688" w:type="dxa"/>
            <w:vAlign w:val="center"/>
          </w:tcPr>
          <w:p w14:paraId="3985EBF9">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及时处理安全隐患举报投诉，未造成不良影响</w:t>
            </w:r>
          </w:p>
        </w:tc>
        <w:tc>
          <w:tcPr>
            <w:tcW w:w="1012" w:type="dxa"/>
            <w:vAlign w:val="center"/>
          </w:tcPr>
          <w:p w14:paraId="490C122C">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961" w:type="dxa"/>
            <w:vMerge w:val="restart"/>
            <w:vAlign w:val="center"/>
          </w:tcPr>
          <w:p w14:paraId="0244FDC6">
            <w:pPr>
              <w:snapToGrid w:val="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0</w:t>
            </w:r>
          </w:p>
        </w:tc>
      </w:tr>
      <w:tr w14:paraId="05A25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83" w:type="dxa"/>
            <w:vMerge w:val="continue"/>
            <w:vAlign w:val="center"/>
          </w:tcPr>
          <w:p w14:paraId="35D3F241">
            <w:pPr>
              <w:snapToGrid w:val="0"/>
              <w:jc w:val="center"/>
              <w:rPr>
                <w:rFonts w:hint="eastAsia" w:ascii="仿宋" w:hAnsi="仿宋" w:eastAsia="仿宋" w:cs="仿宋"/>
                <w:color w:val="auto"/>
                <w:szCs w:val="21"/>
                <w:highlight w:val="none"/>
              </w:rPr>
            </w:pPr>
          </w:p>
        </w:tc>
        <w:tc>
          <w:tcPr>
            <w:tcW w:w="753" w:type="dxa"/>
            <w:vAlign w:val="center"/>
          </w:tcPr>
          <w:p w14:paraId="0D77C102">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5688" w:type="dxa"/>
            <w:vAlign w:val="center"/>
          </w:tcPr>
          <w:p w14:paraId="39E3082D">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检查频次符合检查工作计划要求</w:t>
            </w:r>
          </w:p>
        </w:tc>
        <w:tc>
          <w:tcPr>
            <w:tcW w:w="1012" w:type="dxa"/>
            <w:vAlign w:val="center"/>
          </w:tcPr>
          <w:p w14:paraId="42624ED4">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961" w:type="dxa"/>
            <w:vMerge w:val="continue"/>
            <w:vAlign w:val="center"/>
          </w:tcPr>
          <w:p w14:paraId="38C3B6DF">
            <w:pPr>
              <w:snapToGrid w:val="0"/>
              <w:jc w:val="center"/>
              <w:rPr>
                <w:rFonts w:hint="eastAsia" w:ascii="仿宋" w:hAnsi="仿宋" w:eastAsia="仿宋" w:cs="仿宋"/>
                <w:color w:val="auto"/>
                <w:szCs w:val="21"/>
                <w:highlight w:val="none"/>
              </w:rPr>
            </w:pPr>
          </w:p>
        </w:tc>
      </w:tr>
      <w:tr w14:paraId="67D47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83" w:type="dxa"/>
            <w:vMerge w:val="continue"/>
            <w:vAlign w:val="center"/>
          </w:tcPr>
          <w:p w14:paraId="35DA7E0A">
            <w:pPr>
              <w:snapToGrid w:val="0"/>
              <w:jc w:val="center"/>
              <w:rPr>
                <w:rFonts w:hint="eastAsia" w:ascii="仿宋" w:hAnsi="仿宋" w:eastAsia="仿宋" w:cs="仿宋"/>
                <w:color w:val="auto"/>
                <w:szCs w:val="21"/>
                <w:highlight w:val="none"/>
              </w:rPr>
            </w:pPr>
          </w:p>
        </w:tc>
        <w:tc>
          <w:tcPr>
            <w:tcW w:w="753" w:type="dxa"/>
            <w:vAlign w:val="center"/>
          </w:tcPr>
          <w:p w14:paraId="4D0664DE">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5688" w:type="dxa"/>
            <w:vAlign w:val="center"/>
          </w:tcPr>
          <w:p w14:paraId="5F01BE52">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及时进行复查并定期汇总检查、复查文书</w:t>
            </w:r>
          </w:p>
        </w:tc>
        <w:tc>
          <w:tcPr>
            <w:tcW w:w="1012" w:type="dxa"/>
            <w:vAlign w:val="center"/>
          </w:tcPr>
          <w:p w14:paraId="5AF741B9">
            <w:pPr>
              <w:snapToGrid w:val="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p>
        </w:tc>
        <w:tc>
          <w:tcPr>
            <w:tcW w:w="961" w:type="dxa"/>
            <w:vMerge w:val="continue"/>
            <w:vAlign w:val="center"/>
          </w:tcPr>
          <w:p w14:paraId="36212A2D">
            <w:pPr>
              <w:snapToGrid w:val="0"/>
              <w:jc w:val="center"/>
              <w:rPr>
                <w:rFonts w:hint="eastAsia" w:ascii="仿宋" w:hAnsi="仿宋" w:eastAsia="仿宋" w:cs="仿宋"/>
                <w:color w:val="auto"/>
                <w:szCs w:val="21"/>
                <w:highlight w:val="none"/>
              </w:rPr>
            </w:pPr>
          </w:p>
        </w:tc>
      </w:tr>
      <w:tr w14:paraId="0D38D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83" w:type="dxa"/>
            <w:vMerge w:val="continue"/>
            <w:vAlign w:val="center"/>
          </w:tcPr>
          <w:p w14:paraId="27C938E7">
            <w:pPr>
              <w:snapToGrid w:val="0"/>
              <w:jc w:val="center"/>
              <w:rPr>
                <w:rFonts w:hint="eastAsia" w:ascii="仿宋" w:hAnsi="仿宋" w:eastAsia="仿宋" w:cs="仿宋"/>
                <w:color w:val="auto"/>
                <w:szCs w:val="21"/>
                <w:highlight w:val="none"/>
              </w:rPr>
            </w:pPr>
          </w:p>
        </w:tc>
        <w:tc>
          <w:tcPr>
            <w:tcW w:w="753" w:type="dxa"/>
            <w:vAlign w:val="center"/>
          </w:tcPr>
          <w:p w14:paraId="799A261B">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5688" w:type="dxa"/>
            <w:vAlign w:val="center"/>
          </w:tcPr>
          <w:p w14:paraId="25553698">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按照协议服务内容和人员职责要求，及时发现事故隐患</w:t>
            </w:r>
          </w:p>
        </w:tc>
        <w:tc>
          <w:tcPr>
            <w:tcW w:w="1012" w:type="dxa"/>
            <w:vAlign w:val="center"/>
          </w:tcPr>
          <w:p w14:paraId="2BC4357B">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961" w:type="dxa"/>
            <w:vMerge w:val="continue"/>
            <w:vAlign w:val="center"/>
          </w:tcPr>
          <w:p w14:paraId="35479C94">
            <w:pPr>
              <w:snapToGrid w:val="0"/>
              <w:jc w:val="center"/>
              <w:rPr>
                <w:rFonts w:hint="eastAsia" w:ascii="仿宋" w:hAnsi="仿宋" w:eastAsia="仿宋" w:cs="仿宋"/>
                <w:color w:val="auto"/>
                <w:szCs w:val="21"/>
                <w:highlight w:val="none"/>
              </w:rPr>
            </w:pPr>
          </w:p>
        </w:tc>
      </w:tr>
      <w:tr w14:paraId="62DD5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883" w:type="dxa"/>
            <w:vMerge w:val="continue"/>
            <w:vAlign w:val="center"/>
          </w:tcPr>
          <w:p w14:paraId="6761B80A">
            <w:pPr>
              <w:snapToGrid w:val="0"/>
              <w:jc w:val="center"/>
              <w:rPr>
                <w:rFonts w:hint="eastAsia" w:ascii="仿宋" w:hAnsi="仿宋" w:eastAsia="仿宋" w:cs="仿宋"/>
                <w:color w:val="auto"/>
                <w:szCs w:val="21"/>
                <w:highlight w:val="none"/>
              </w:rPr>
            </w:pPr>
          </w:p>
        </w:tc>
        <w:tc>
          <w:tcPr>
            <w:tcW w:w="753" w:type="dxa"/>
            <w:vAlign w:val="center"/>
          </w:tcPr>
          <w:p w14:paraId="2FEE4E4B">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5688" w:type="dxa"/>
            <w:vAlign w:val="center"/>
          </w:tcPr>
          <w:p w14:paraId="00EE3758">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建立</w:t>
            </w:r>
            <w:r>
              <w:rPr>
                <w:rFonts w:hint="eastAsia" w:ascii="仿宋" w:hAnsi="仿宋" w:eastAsia="仿宋" w:cs="仿宋"/>
                <w:color w:val="auto"/>
                <w:szCs w:val="21"/>
                <w:highlight w:val="none"/>
                <w:lang w:eastAsia="zh-CN"/>
              </w:rPr>
              <w:t>建德经济开发区</w:t>
            </w:r>
            <w:r>
              <w:rPr>
                <w:rFonts w:hint="eastAsia" w:ascii="仿宋" w:hAnsi="仿宋" w:eastAsia="仿宋" w:cs="仿宋"/>
                <w:color w:val="auto"/>
                <w:szCs w:val="21"/>
                <w:highlight w:val="none"/>
              </w:rPr>
              <w:t>安全长效沟通机制，及时反馈检查信息</w:t>
            </w:r>
          </w:p>
        </w:tc>
        <w:tc>
          <w:tcPr>
            <w:tcW w:w="1012" w:type="dxa"/>
            <w:vAlign w:val="center"/>
          </w:tcPr>
          <w:p w14:paraId="51DC5DF5">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961" w:type="dxa"/>
            <w:vMerge w:val="continue"/>
            <w:vAlign w:val="center"/>
          </w:tcPr>
          <w:p w14:paraId="2137AAC5">
            <w:pPr>
              <w:snapToGrid w:val="0"/>
              <w:jc w:val="center"/>
              <w:rPr>
                <w:rFonts w:hint="eastAsia" w:ascii="仿宋" w:hAnsi="仿宋" w:eastAsia="仿宋" w:cs="仿宋"/>
                <w:color w:val="auto"/>
                <w:szCs w:val="21"/>
                <w:highlight w:val="none"/>
              </w:rPr>
            </w:pPr>
          </w:p>
        </w:tc>
      </w:tr>
      <w:tr w14:paraId="365A5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83" w:type="dxa"/>
            <w:vMerge w:val="restart"/>
            <w:vAlign w:val="center"/>
          </w:tcPr>
          <w:p w14:paraId="653EAA0C">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重点监管工作</w:t>
            </w:r>
          </w:p>
        </w:tc>
        <w:tc>
          <w:tcPr>
            <w:tcW w:w="753" w:type="dxa"/>
            <w:vAlign w:val="center"/>
          </w:tcPr>
          <w:p w14:paraId="5C9BEA9B">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5688" w:type="dxa"/>
            <w:vAlign w:val="center"/>
          </w:tcPr>
          <w:p w14:paraId="526D3C32">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规范企业安全生产管理基础台账，督促建立责任制</w:t>
            </w:r>
          </w:p>
        </w:tc>
        <w:tc>
          <w:tcPr>
            <w:tcW w:w="1012" w:type="dxa"/>
            <w:vAlign w:val="center"/>
          </w:tcPr>
          <w:p w14:paraId="3192E896">
            <w:pPr>
              <w:snapToGrid w:val="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961" w:type="dxa"/>
            <w:vMerge w:val="restart"/>
            <w:vAlign w:val="center"/>
          </w:tcPr>
          <w:p w14:paraId="23703868">
            <w:pPr>
              <w:snapToGrid w:val="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0</w:t>
            </w:r>
          </w:p>
        </w:tc>
      </w:tr>
      <w:tr w14:paraId="2BBFD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883" w:type="dxa"/>
            <w:vMerge w:val="continue"/>
            <w:vAlign w:val="center"/>
          </w:tcPr>
          <w:p w14:paraId="14F8446E">
            <w:pPr>
              <w:snapToGrid w:val="0"/>
              <w:jc w:val="center"/>
              <w:rPr>
                <w:rFonts w:hint="eastAsia" w:ascii="仿宋" w:hAnsi="仿宋" w:eastAsia="仿宋" w:cs="仿宋"/>
                <w:color w:val="auto"/>
                <w:szCs w:val="21"/>
                <w:highlight w:val="none"/>
              </w:rPr>
            </w:pPr>
          </w:p>
        </w:tc>
        <w:tc>
          <w:tcPr>
            <w:tcW w:w="753" w:type="dxa"/>
            <w:vAlign w:val="center"/>
          </w:tcPr>
          <w:p w14:paraId="346573B5">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5688" w:type="dxa"/>
            <w:vAlign w:val="center"/>
          </w:tcPr>
          <w:p w14:paraId="2FFE9487">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开展各项临时重点安全检查或专项整治</w:t>
            </w:r>
          </w:p>
        </w:tc>
        <w:tc>
          <w:tcPr>
            <w:tcW w:w="1012" w:type="dxa"/>
            <w:vAlign w:val="center"/>
          </w:tcPr>
          <w:p w14:paraId="40314089">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961" w:type="dxa"/>
            <w:vMerge w:val="continue"/>
            <w:vAlign w:val="center"/>
          </w:tcPr>
          <w:p w14:paraId="1A35C819">
            <w:pPr>
              <w:snapToGrid w:val="0"/>
              <w:jc w:val="center"/>
              <w:rPr>
                <w:rFonts w:hint="eastAsia" w:ascii="仿宋" w:hAnsi="仿宋" w:eastAsia="仿宋" w:cs="仿宋"/>
                <w:color w:val="auto"/>
                <w:szCs w:val="21"/>
                <w:highlight w:val="none"/>
              </w:rPr>
            </w:pPr>
          </w:p>
        </w:tc>
      </w:tr>
      <w:tr w14:paraId="1ACE7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883" w:type="dxa"/>
            <w:vMerge w:val="continue"/>
            <w:vAlign w:val="center"/>
          </w:tcPr>
          <w:p w14:paraId="3F593DEA">
            <w:pPr>
              <w:snapToGrid w:val="0"/>
              <w:jc w:val="center"/>
              <w:rPr>
                <w:rFonts w:hint="eastAsia" w:ascii="仿宋" w:hAnsi="仿宋" w:eastAsia="仿宋" w:cs="仿宋"/>
                <w:color w:val="auto"/>
                <w:szCs w:val="21"/>
                <w:highlight w:val="none"/>
              </w:rPr>
            </w:pPr>
          </w:p>
        </w:tc>
        <w:tc>
          <w:tcPr>
            <w:tcW w:w="753" w:type="dxa"/>
            <w:vAlign w:val="center"/>
          </w:tcPr>
          <w:p w14:paraId="44BC17D7">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5688" w:type="dxa"/>
            <w:vAlign w:val="center"/>
          </w:tcPr>
          <w:p w14:paraId="7A1555BF">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每年至少安排不少于两次</w:t>
            </w:r>
            <w:r>
              <w:rPr>
                <w:rFonts w:hint="eastAsia" w:ascii="仿宋" w:hAnsi="仿宋" w:eastAsia="仿宋" w:cs="仿宋"/>
                <w:color w:val="auto"/>
                <w:szCs w:val="21"/>
                <w:highlight w:val="none"/>
                <w:lang w:eastAsia="zh-CN"/>
              </w:rPr>
              <w:t>省</w:t>
            </w:r>
            <w:r>
              <w:rPr>
                <w:rFonts w:hint="eastAsia" w:ascii="仿宋" w:hAnsi="仿宋" w:eastAsia="仿宋" w:cs="仿宋"/>
                <w:color w:val="auto"/>
                <w:szCs w:val="21"/>
                <w:highlight w:val="none"/>
              </w:rPr>
              <w:t>级以上专家现场授课培训，配合开展企业负责人、安管员和重点岗位人员、工作人员安全生产培训工作</w:t>
            </w:r>
          </w:p>
        </w:tc>
        <w:tc>
          <w:tcPr>
            <w:tcW w:w="1012" w:type="dxa"/>
            <w:vAlign w:val="center"/>
          </w:tcPr>
          <w:p w14:paraId="0E54A366">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961" w:type="dxa"/>
            <w:vMerge w:val="continue"/>
            <w:vAlign w:val="center"/>
          </w:tcPr>
          <w:p w14:paraId="7A6DBD20">
            <w:pPr>
              <w:snapToGrid w:val="0"/>
              <w:jc w:val="center"/>
              <w:rPr>
                <w:rFonts w:hint="eastAsia" w:ascii="仿宋" w:hAnsi="仿宋" w:eastAsia="仿宋" w:cs="仿宋"/>
                <w:color w:val="auto"/>
                <w:szCs w:val="21"/>
                <w:highlight w:val="none"/>
              </w:rPr>
            </w:pPr>
          </w:p>
        </w:tc>
      </w:tr>
      <w:tr w14:paraId="2FDAC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883" w:type="dxa"/>
            <w:vMerge w:val="continue"/>
            <w:vAlign w:val="center"/>
          </w:tcPr>
          <w:p w14:paraId="45689CDF">
            <w:pPr>
              <w:snapToGrid w:val="0"/>
              <w:jc w:val="center"/>
              <w:rPr>
                <w:rFonts w:hint="eastAsia" w:ascii="仿宋" w:hAnsi="仿宋" w:eastAsia="仿宋" w:cs="仿宋"/>
                <w:color w:val="auto"/>
                <w:szCs w:val="21"/>
                <w:highlight w:val="none"/>
              </w:rPr>
            </w:pPr>
          </w:p>
        </w:tc>
        <w:tc>
          <w:tcPr>
            <w:tcW w:w="753" w:type="dxa"/>
            <w:vAlign w:val="center"/>
          </w:tcPr>
          <w:p w14:paraId="0D4C3589">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5688" w:type="dxa"/>
            <w:vAlign w:val="center"/>
          </w:tcPr>
          <w:p w14:paraId="4C0103A7">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服务机构应随时为被服务企业提供安全生产领域的安全技术咨询服务，包括隐患治理的技术指导、许可证申请辅导等</w:t>
            </w:r>
          </w:p>
        </w:tc>
        <w:tc>
          <w:tcPr>
            <w:tcW w:w="1012" w:type="dxa"/>
            <w:vAlign w:val="center"/>
          </w:tcPr>
          <w:p w14:paraId="5FD25E64">
            <w:pPr>
              <w:snapToGrid w:val="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961" w:type="dxa"/>
            <w:vMerge w:val="continue"/>
            <w:vAlign w:val="center"/>
          </w:tcPr>
          <w:p w14:paraId="490F9AEB">
            <w:pPr>
              <w:snapToGrid w:val="0"/>
              <w:jc w:val="center"/>
              <w:rPr>
                <w:rFonts w:hint="eastAsia" w:ascii="仿宋" w:hAnsi="仿宋" w:eastAsia="仿宋" w:cs="仿宋"/>
                <w:color w:val="auto"/>
                <w:szCs w:val="21"/>
                <w:highlight w:val="none"/>
              </w:rPr>
            </w:pPr>
          </w:p>
        </w:tc>
      </w:tr>
      <w:tr w14:paraId="2134A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6" w:hRule="atLeast"/>
          <w:jc w:val="center"/>
        </w:trPr>
        <w:tc>
          <w:tcPr>
            <w:tcW w:w="883" w:type="dxa"/>
            <w:vMerge w:val="continue"/>
            <w:vAlign w:val="center"/>
          </w:tcPr>
          <w:p w14:paraId="0A9C750D">
            <w:pPr>
              <w:snapToGrid w:val="0"/>
              <w:jc w:val="center"/>
              <w:rPr>
                <w:rFonts w:hint="eastAsia" w:ascii="仿宋" w:hAnsi="仿宋" w:eastAsia="仿宋" w:cs="仿宋"/>
                <w:color w:val="auto"/>
                <w:szCs w:val="21"/>
                <w:highlight w:val="none"/>
              </w:rPr>
            </w:pPr>
          </w:p>
        </w:tc>
        <w:tc>
          <w:tcPr>
            <w:tcW w:w="753" w:type="dxa"/>
            <w:vAlign w:val="center"/>
          </w:tcPr>
          <w:p w14:paraId="70FCC137">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5688" w:type="dxa"/>
            <w:vAlign w:val="center"/>
          </w:tcPr>
          <w:p w14:paraId="2B8526D2">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按照服务合同规定的服务次数及内容，开展安全技术服务活动，并对其承担的服务业务的真实性、客观性、科学性、准确性负责。企业服务次数少于合同规定数，发现少1次扣1分</w:t>
            </w:r>
          </w:p>
        </w:tc>
        <w:tc>
          <w:tcPr>
            <w:tcW w:w="1012" w:type="dxa"/>
            <w:vAlign w:val="center"/>
          </w:tcPr>
          <w:p w14:paraId="65C88E9C">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961" w:type="dxa"/>
            <w:vMerge w:val="continue"/>
            <w:vAlign w:val="center"/>
          </w:tcPr>
          <w:p w14:paraId="22BED585">
            <w:pPr>
              <w:snapToGrid w:val="0"/>
              <w:jc w:val="center"/>
              <w:rPr>
                <w:rFonts w:hint="eastAsia" w:ascii="仿宋" w:hAnsi="仿宋" w:eastAsia="仿宋" w:cs="仿宋"/>
                <w:color w:val="auto"/>
                <w:szCs w:val="21"/>
                <w:highlight w:val="none"/>
              </w:rPr>
            </w:pPr>
          </w:p>
        </w:tc>
      </w:tr>
      <w:tr w14:paraId="2EDFB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883" w:type="dxa"/>
            <w:vMerge w:val="continue"/>
            <w:vAlign w:val="center"/>
          </w:tcPr>
          <w:p w14:paraId="5F8D7551">
            <w:pPr>
              <w:snapToGrid w:val="0"/>
              <w:jc w:val="center"/>
              <w:rPr>
                <w:rFonts w:hint="eastAsia" w:ascii="仿宋" w:hAnsi="仿宋" w:eastAsia="仿宋" w:cs="仿宋"/>
                <w:color w:val="auto"/>
                <w:szCs w:val="21"/>
                <w:highlight w:val="none"/>
              </w:rPr>
            </w:pPr>
          </w:p>
        </w:tc>
        <w:tc>
          <w:tcPr>
            <w:tcW w:w="753" w:type="dxa"/>
            <w:vAlign w:val="center"/>
          </w:tcPr>
          <w:p w14:paraId="38D1886E">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16</w:t>
            </w:r>
          </w:p>
        </w:tc>
        <w:tc>
          <w:tcPr>
            <w:tcW w:w="5688" w:type="dxa"/>
            <w:vAlign w:val="center"/>
          </w:tcPr>
          <w:p w14:paraId="32EACCBD">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对新入园企业在法律法规及政策符合性方面进行审查，提出企业在运营期间主要的安全风险，提交审查报告</w:t>
            </w:r>
          </w:p>
        </w:tc>
        <w:tc>
          <w:tcPr>
            <w:tcW w:w="1012" w:type="dxa"/>
            <w:vAlign w:val="center"/>
          </w:tcPr>
          <w:p w14:paraId="1DAF4116">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961" w:type="dxa"/>
            <w:vMerge w:val="continue"/>
            <w:vAlign w:val="center"/>
          </w:tcPr>
          <w:p w14:paraId="397B3B13">
            <w:pPr>
              <w:snapToGrid w:val="0"/>
              <w:jc w:val="center"/>
              <w:rPr>
                <w:rFonts w:hint="eastAsia" w:ascii="仿宋" w:hAnsi="仿宋" w:eastAsia="仿宋" w:cs="仿宋"/>
                <w:color w:val="auto"/>
                <w:szCs w:val="21"/>
                <w:highlight w:val="none"/>
              </w:rPr>
            </w:pPr>
          </w:p>
        </w:tc>
      </w:tr>
      <w:tr w14:paraId="5ACB9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1" w:hRule="atLeast"/>
          <w:jc w:val="center"/>
        </w:trPr>
        <w:tc>
          <w:tcPr>
            <w:tcW w:w="883" w:type="dxa"/>
            <w:vMerge w:val="continue"/>
            <w:vAlign w:val="center"/>
          </w:tcPr>
          <w:p w14:paraId="4E439AA2">
            <w:pPr>
              <w:snapToGrid w:val="0"/>
              <w:jc w:val="center"/>
              <w:rPr>
                <w:rFonts w:hint="eastAsia" w:ascii="仿宋" w:hAnsi="仿宋" w:eastAsia="仿宋" w:cs="仿宋"/>
                <w:color w:val="auto"/>
                <w:szCs w:val="21"/>
                <w:highlight w:val="none"/>
              </w:rPr>
            </w:pPr>
          </w:p>
        </w:tc>
        <w:tc>
          <w:tcPr>
            <w:tcW w:w="753" w:type="dxa"/>
            <w:vAlign w:val="center"/>
          </w:tcPr>
          <w:p w14:paraId="4074F22A">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17</w:t>
            </w:r>
          </w:p>
        </w:tc>
        <w:tc>
          <w:tcPr>
            <w:tcW w:w="5688" w:type="dxa"/>
            <w:vAlign w:val="center"/>
          </w:tcPr>
          <w:p w14:paraId="46B3DC5B">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检查企业应急预案编制情况（如是否编制，是否过期）以及指导应急演练台账，核查企业应急消防设施维护和物资配备情况</w:t>
            </w:r>
          </w:p>
        </w:tc>
        <w:tc>
          <w:tcPr>
            <w:tcW w:w="1012" w:type="dxa"/>
            <w:vAlign w:val="center"/>
          </w:tcPr>
          <w:p w14:paraId="3A786D92">
            <w:pPr>
              <w:snapToGrid w:val="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961" w:type="dxa"/>
            <w:vMerge w:val="continue"/>
            <w:vAlign w:val="center"/>
          </w:tcPr>
          <w:p w14:paraId="17B75CE8">
            <w:pPr>
              <w:snapToGrid w:val="0"/>
              <w:jc w:val="center"/>
              <w:rPr>
                <w:rFonts w:hint="eastAsia" w:ascii="仿宋" w:hAnsi="仿宋" w:eastAsia="仿宋" w:cs="仿宋"/>
                <w:color w:val="auto"/>
                <w:szCs w:val="21"/>
                <w:highlight w:val="none"/>
              </w:rPr>
            </w:pPr>
          </w:p>
        </w:tc>
      </w:tr>
      <w:tr w14:paraId="35E15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883" w:type="dxa"/>
            <w:vMerge w:val="continue"/>
            <w:vAlign w:val="center"/>
          </w:tcPr>
          <w:p w14:paraId="3221BD94">
            <w:pPr>
              <w:snapToGrid w:val="0"/>
              <w:jc w:val="center"/>
              <w:rPr>
                <w:rFonts w:hint="eastAsia" w:ascii="仿宋" w:hAnsi="仿宋" w:eastAsia="仿宋" w:cs="仿宋"/>
                <w:color w:val="auto"/>
                <w:szCs w:val="21"/>
                <w:highlight w:val="none"/>
              </w:rPr>
            </w:pPr>
          </w:p>
        </w:tc>
        <w:tc>
          <w:tcPr>
            <w:tcW w:w="753" w:type="dxa"/>
            <w:vAlign w:val="center"/>
          </w:tcPr>
          <w:p w14:paraId="738A5863">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18</w:t>
            </w:r>
          </w:p>
        </w:tc>
        <w:tc>
          <w:tcPr>
            <w:tcW w:w="5688" w:type="dxa"/>
            <w:vAlign w:val="center"/>
          </w:tcPr>
          <w:p w14:paraId="0ABA0FDB">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建立值班管理制度，对平台相关报警信息及时记录、汇报并闭环处置</w:t>
            </w:r>
          </w:p>
        </w:tc>
        <w:tc>
          <w:tcPr>
            <w:tcW w:w="1012" w:type="dxa"/>
            <w:vAlign w:val="center"/>
          </w:tcPr>
          <w:p w14:paraId="34AE22E9">
            <w:pPr>
              <w:snapToGrid w:val="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961" w:type="dxa"/>
            <w:vMerge w:val="continue"/>
            <w:vAlign w:val="center"/>
          </w:tcPr>
          <w:p w14:paraId="5BA6A428">
            <w:pPr>
              <w:snapToGrid w:val="0"/>
              <w:jc w:val="center"/>
              <w:rPr>
                <w:rFonts w:hint="eastAsia" w:ascii="仿宋" w:hAnsi="仿宋" w:eastAsia="仿宋" w:cs="仿宋"/>
                <w:color w:val="auto"/>
                <w:szCs w:val="21"/>
                <w:highlight w:val="none"/>
              </w:rPr>
            </w:pPr>
          </w:p>
        </w:tc>
      </w:tr>
      <w:tr w14:paraId="0D09D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83" w:type="dxa"/>
            <w:vMerge w:val="restart"/>
            <w:vAlign w:val="center"/>
          </w:tcPr>
          <w:p w14:paraId="36EB0EAB">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事故处理</w:t>
            </w:r>
          </w:p>
        </w:tc>
        <w:tc>
          <w:tcPr>
            <w:tcW w:w="753" w:type="dxa"/>
            <w:vAlign w:val="center"/>
          </w:tcPr>
          <w:p w14:paraId="00E0D631">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19</w:t>
            </w:r>
          </w:p>
        </w:tc>
        <w:tc>
          <w:tcPr>
            <w:tcW w:w="5688" w:type="dxa"/>
            <w:vAlign w:val="center"/>
          </w:tcPr>
          <w:p w14:paraId="1FF9DFE6">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及时准确将事故上报建德经济开发区管理委员会</w:t>
            </w:r>
          </w:p>
        </w:tc>
        <w:tc>
          <w:tcPr>
            <w:tcW w:w="1012" w:type="dxa"/>
            <w:vAlign w:val="center"/>
          </w:tcPr>
          <w:p w14:paraId="600682EF">
            <w:pPr>
              <w:snapToGrid w:val="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961" w:type="dxa"/>
            <w:vMerge w:val="restart"/>
            <w:vAlign w:val="center"/>
          </w:tcPr>
          <w:p w14:paraId="4CDD9DCE">
            <w:pPr>
              <w:snapToGrid w:val="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18</w:t>
            </w:r>
          </w:p>
        </w:tc>
      </w:tr>
      <w:tr w14:paraId="61B51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83" w:type="dxa"/>
            <w:vMerge w:val="continue"/>
            <w:vAlign w:val="center"/>
          </w:tcPr>
          <w:p w14:paraId="54410CC6">
            <w:pPr>
              <w:snapToGrid w:val="0"/>
              <w:jc w:val="center"/>
              <w:rPr>
                <w:rFonts w:hint="eastAsia" w:ascii="仿宋" w:hAnsi="仿宋" w:eastAsia="仿宋" w:cs="仿宋"/>
                <w:color w:val="auto"/>
                <w:szCs w:val="21"/>
                <w:highlight w:val="none"/>
              </w:rPr>
            </w:pPr>
          </w:p>
        </w:tc>
        <w:tc>
          <w:tcPr>
            <w:tcW w:w="753" w:type="dxa"/>
            <w:vAlign w:val="center"/>
          </w:tcPr>
          <w:p w14:paraId="5330708C">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20</w:t>
            </w:r>
          </w:p>
        </w:tc>
        <w:tc>
          <w:tcPr>
            <w:tcW w:w="5688" w:type="dxa"/>
            <w:vAlign w:val="center"/>
          </w:tcPr>
          <w:p w14:paraId="75D7A186">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发生事故及时赶赴现场协助处置</w:t>
            </w:r>
          </w:p>
        </w:tc>
        <w:tc>
          <w:tcPr>
            <w:tcW w:w="1012" w:type="dxa"/>
            <w:vAlign w:val="center"/>
          </w:tcPr>
          <w:p w14:paraId="2B8ED7EA">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961" w:type="dxa"/>
            <w:vMerge w:val="continue"/>
            <w:vAlign w:val="center"/>
          </w:tcPr>
          <w:p w14:paraId="6B7A04E8">
            <w:pPr>
              <w:snapToGrid w:val="0"/>
              <w:jc w:val="center"/>
              <w:rPr>
                <w:rFonts w:hint="eastAsia" w:ascii="仿宋" w:hAnsi="仿宋" w:eastAsia="仿宋" w:cs="仿宋"/>
                <w:color w:val="auto"/>
                <w:szCs w:val="21"/>
                <w:highlight w:val="none"/>
              </w:rPr>
            </w:pPr>
          </w:p>
        </w:tc>
      </w:tr>
      <w:tr w14:paraId="3F3EB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83" w:type="dxa"/>
            <w:vMerge w:val="continue"/>
            <w:vAlign w:val="center"/>
          </w:tcPr>
          <w:p w14:paraId="13527F4D">
            <w:pPr>
              <w:snapToGrid w:val="0"/>
              <w:jc w:val="center"/>
              <w:rPr>
                <w:rFonts w:hint="eastAsia" w:ascii="仿宋" w:hAnsi="仿宋" w:eastAsia="仿宋" w:cs="仿宋"/>
                <w:color w:val="auto"/>
                <w:szCs w:val="21"/>
                <w:highlight w:val="none"/>
              </w:rPr>
            </w:pPr>
          </w:p>
        </w:tc>
        <w:tc>
          <w:tcPr>
            <w:tcW w:w="753" w:type="dxa"/>
            <w:vAlign w:val="center"/>
          </w:tcPr>
          <w:p w14:paraId="0FB72D91">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21</w:t>
            </w:r>
          </w:p>
        </w:tc>
        <w:tc>
          <w:tcPr>
            <w:tcW w:w="5688" w:type="dxa"/>
            <w:vAlign w:val="center"/>
          </w:tcPr>
          <w:p w14:paraId="7AFAD556">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事故现场前期处置有力，减缓事故造成的各类危害</w:t>
            </w:r>
          </w:p>
        </w:tc>
        <w:tc>
          <w:tcPr>
            <w:tcW w:w="1012" w:type="dxa"/>
            <w:vAlign w:val="center"/>
          </w:tcPr>
          <w:p w14:paraId="18051B4D">
            <w:pPr>
              <w:snapToGrid w:val="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961" w:type="dxa"/>
            <w:vMerge w:val="continue"/>
            <w:vAlign w:val="center"/>
          </w:tcPr>
          <w:p w14:paraId="157C62A1">
            <w:pPr>
              <w:snapToGrid w:val="0"/>
              <w:jc w:val="center"/>
              <w:rPr>
                <w:rFonts w:hint="eastAsia" w:ascii="仿宋" w:hAnsi="仿宋" w:eastAsia="仿宋" w:cs="仿宋"/>
                <w:color w:val="auto"/>
                <w:szCs w:val="21"/>
                <w:highlight w:val="none"/>
              </w:rPr>
            </w:pPr>
          </w:p>
        </w:tc>
      </w:tr>
      <w:tr w14:paraId="4E72C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jc w:val="center"/>
        </w:trPr>
        <w:tc>
          <w:tcPr>
            <w:tcW w:w="883" w:type="dxa"/>
            <w:vMerge w:val="continue"/>
            <w:vAlign w:val="center"/>
          </w:tcPr>
          <w:p w14:paraId="38EB11A1">
            <w:pPr>
              <w:snapToGrid w:val="0"/>
              <w:jc w:val="center"/>
              <w:rPr>
                <w:rFonts w:hint="eastAsia" w:ascii="仿宋" w:hAnsi="仿宋" w:eastAsia="仿宋" w:cs="仿宋"/>
                <w:color w:val="auto"/>
                <w:szCs w:val="21"/>
                <w:highlight w:val="none"/>
              </w:rPr>
            </w:pPr>
          </w:p>
        </w:tc>
        <w:tc>
          <w:tcPr>
            <w:tcW w:w="753" w:type="dxa"/>
            <w:vAlign w:val="center"/>
          </w:tcPr>
          <w:p w14:paraId="46E0C597">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22</w:t>
            </w:r>
          </w:p>
        </w:tc>
        <w:tc>
          <w:tcPr>
            <w:tcW w:w="5688" w:type="dxa"/>
            <w:vAlign w:val="center"/>
          </w:tcPr>
          <w:p w14:paraId="490044F9">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上级部门组织的各类专项督查中发现存在重大问题的，扣5分；因重大安全事故造成不良影响被上级部门约谈、挂牌督办或追责的，扣10分</w:t>
            </w:r>
          </w:p>
        </w:tc>
        <w:tc>
          <w:tcPr>
            <w:tcW w:w="1012" w:type="dxa"/>
            <w:vAlign w:val="center"/>
          </w:tcPr>
          <w:p w14:paraId="51FAA852">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961" w:type="dxa"/>
            <w:vMerge w:val="continue"/>
            <w:vAlign w:val="center"/>
          </w:tcPr>
          <w:p w14:paraId="4B59599D">
            <w:pPr>
              <w:snapToGrid w:val="0"/>
              <w:jc w:val="center"/>
              <w:rPr>
                <w:rFonts w:hint="eastAsia" w:ascii="仿宋" w:hAnsi="仿宋" w:eastAsia="仿宋" w:cs="仿宋"/>
                <w:color w:val="auto"/>
                <w:szCs w:val="21"/>
                <w:highlight w:val="none"/>
              </w:rPr>
            </w:pPr>
          </w:p>
        </w:tc>
      </w:tr>
      <w:tr w14:paraId="08D9A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83" w:type="dxa"/>
            <w:vMerge w:val="restart"/>
            <w:vAlign w:val="center"/>
          </w:tcPr>
          <w:p w14:paraId="041E769D">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w:t>
            </w:r>
          </w:p>
        </w:tc>
        <w:tc>
          <w:tcPr>
            <w:tcW w:w="753" w:type="dxa"/>
            <w:vAlign w:val="center"/>
          </w:tcPr>
          <w:p w14:paraId="6593DD3A">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23</w:t>
            </w:r>
          </w:p>
        </w:tc>
        <w:tc>
          <w:tcPr>
            <w:tcW w:w="5688" w:type="dxa"/>
            <w:vAlign w:val="center"/>
          </w:tcPr>
          <w:p w14:paraId="236B2232">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各类成果报告，主要包括园区安全工作月报、季报以及安全生产问题排查报告</w:t>
            </w:r>
          </w:p>
        </w:tc>
        <w:tc>
          <w:tcPr>
            <w:tcW w:w="1012" w:type="dxa"/>
            <w:vAlign w:val="center"/>
          </w:tcPr>
          <w:p w14:paraId="57AD417D">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961" w:type="dxa"/>
            <w:vMerge w:val="restart"/>
            <w:vAlign w:val="center"/>
          </w:tcPr>
          <w:p w14:paraId="04F2CC16">
            <w:pPr>
              <w:snapToGrid w:val="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23</w:t>
            </w:r>
          </w:p>
        </w:tc>
      </w:tr>
      <w:tr w14:paraId="21B67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83" w:type="dxa"/>
            <w:vMerge w:val="continue"/>
            <w:vAlign w:val="center"/>
          </w:tcPr>
          <w:p w14:paraId="5C18632B">
            <w:pPr>
              <w:snapToGrid w:val="0"/>
              <w:jc w:val="center"/>
              <w:rPr>
                <w:rFonts w:hint="eastAsia" w:ascii="仿宋" w:hAnsi="仿宋" w:eastAsia="仿宋" w:cs="仿宋"/>
                <w:color w:val="auto"/>
                <w:szCs w:val="21"/>
                <w:highlight w:val="none"/>
              </w:rPr>
            </w:pPr>
          </w:p>
        </w:tc>
        <w:tc>
          <w:tcPr>
            <w:tcW w:w="753" w:type="dxa"/>
            <w:vAlign w:val="center"/>
          </w:tcPr>
          <w:p w14:paraId="10C9F41B">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24</w:t>
            </w:r>
          </w:p>
        </w:tc>
        <w:tc>
          <w:tcPr>
            <w:tcW w:w="5688" w:type="dxa"/>
            <w:vAlign w:val="center"/>
          </w:tcPr>
          <w:p w14:paraId="730940AD">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被企业投诉一次扣1分</w:t>
            </w:r>
          </w:p>
        </w:tc>
        <w:tc>
          <w:tcPr>
            <w:tcW w:w="1012" w:type="dxa"/>
            <w:vAlign w:val="center"/>
          </w:tcPr>
          <w:p w14:paraId="25AF9CEC">
            <w:pPr>
              <w:snapToGrid w:val="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961" w:type="dxa"/>
            <w:vMerge w:val="continue"/>
            <w:vAlign w:val="center"/>
          </w:tcPr>
          <w:p w14:paraId="4607D77F">
            <w:pPr>
              <w:snapToGrid w:val="0"/>
              <w:jc w:val="center"/>
              <w:rPr>
                <w:rFonts w:hint="eastAsia" w:ascii="仿宋" w:hAnsi="仿宋" w:eastAsia="仿宋" w:cs="仿宋"/>
                <w:color w:val="auto"/>
                <w:szCs w:val="21"/>
                <w:highlight w:val="none"/>
              </w:rPr>
            </w:pPr>
          </w:p>
        </w:tc>
      </w:tr>
      <w:tr w14:paraId="64D34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883" w:type="dxa"/>
            <w:vMerge w:val="continue"/>
            <w:vAlign w:val="center"/>
          </w:tcPr>
          <w:p w14:paraId="614C190D">
            <w:pPr>
              <w:snapToGrid w:val="0"/>
              <w:jc w:val="center"/>
              <w:rPr>
                <w:rFonts w:hint="eastAsia" w:ascii="仿宋" w:hAnsi="仿宋" w:eastAsia="仿宋" w:cs="仿宋"/>
                <w:color w:val="auto"/>
                <w:szCs w:val="21"/>
                <w:highlight w:val="none"/>
              </w:rPr>
            </w:pPr>
          </w:p>
        </w:tc>
        <w:tc>
          <w:tcPr>
            <w:tcW w:w="753" w:type="dxa"/>
            <w:vAlign w:val="center"/>
          </w:tcPr>
          <w:p w14:paraId="176E8F1C">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25</w:t>
            </w:r>
          </w:p>
        </w:tc>
        <w:tc>
          <w:tcPr>
            <w:tcW w:w="5688" w:type="dxa"/>
            <w:vAlign w:val="center"/>
          </w:tcPr>
          <w:p w14:paraId="070F2D3E">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因服务机构未按要求履行工作职责而造成的生产安全亡人事故或造成较大社会影响的其他事故的，发生一起，扣5分。</w:t>
            </w:r>
          </w:p>
        </w:tc>
        <w:tc>
          <w:tcPr>
            <w:tcW w:w="1012" w:type="dxa"/>
            <w:vAlign w:val="center"/>
          </w:tcPr>
          <w:p w14:paraId="2268EBBA">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961" w:type="dxa"/>
            <w:vMerge w:val="continue"/>
            <w:vAlign w:val="center"/>
          </w:tcPr>
          <w:p w14:paraId="037EE83A">
            <w:pPr>
              <w:snapToGrid w:val="0"/>
              <w:jc w:val="center"/>
              <w:rPr>
                <w:rFonts w:hint="eastAsia" w:ascii="仿宋" w:hAnsi="仿宋" w:eastAsia="仿宋" w:cs="仿宋"/>
                <w:color w:val="auto"/>
                <w:szCs w:val="21"/>
                <w:highlight w:val="none"/>
              </w:rPr>
            </w:pPr>
          </w:p>
        </w:tc>
      </w:tr>
      <w:tr w14:paraId="62B75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883" w:type="dxa"/>
            <w:vMerge w:val="continue"/>
            <w:vAlign w:val="center"/>
          </w:tcPr>
          <w:p w14:paraId="6C21501C">
            <w:pPr>
              <w:snapToGrid w:val="0"/>
              <w:jc w:val="center"/>
              <w:rPr>
                <w:rFonts w:hint="eastAsia" w:ascii="仿宋" w:hAnsi="仿宋" w:eastAsia="仿宋" w:cs="仿宋"/>
                <w:color w:val="auto"/>
                <w:szCs w:val="21"/>
                <w:highlight w:val="none"/>
              </w:rPr>
            </w:pPr>
          </w:p>
        </w:tc>
        <w:tc>
          <w:tcPr>
            <w:tcW w:w="753" w:type="dxa"/>
            <w:vAlign w:val="center"/>
          </w:tcPr>
          <w:p w14:paraId="18BAD6C4">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26</w:t>
            </w:r>
          </w:p>
        </w:tc>
        <w:tc>
          <w:tcPr>
            <w:tcW w:w="5688" w:type="dxa"/>
            <w:vAlign w:val="center"/>
          </w:tcPr>
          <w:p w14:paraId="29360741">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对业主或信访响应不及时的，值班制度不到位的发现1次扣1分</w:t>
            </w:r>
          </w:p>
        </w:tc>
        <w:tc>
          <w:tcPr>
            <w:tcW w:w="1012" w:type="dxa"/>
            <w:vAlign w:val="center"/>
          </w:tcPr>
          <w:p w14:paraId="02ECC1F9">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961" w:type="dxa"/>
            <w:vMerge w:val="continue"/>
            <w:vAlign w:val="center"/>
          </w:tcPr>
          <w:p w14:paraId="49384627">
            <w:pPr>
              <w:snapToGrid w:val="0"/>
              <w:jc w:val="center"/>
              <w:rPr>
                <w:rFonts w:hint="eastAsia" w:ascii="仿宋" w:hAnsi="仿宋" w:eastAsia="仿宋" w:cs="仿宋"/>
                <w:color w:val="auto"/>
                <w:szCs w:val="21"/>
                <w:highlight w:val="none"/>
              </w:rPr>
            </w:pPr>
          </w:p>
        </w:tc>
      </w:tr>
      <w:tr w14:paraId="74B9D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883" w:type="dxa"/>
            <w:vMerge w:val="continue"/>
            <w:vAlign w:val="center"/>
          </w:tcPr>
          <w:p w14:paraId="14ACDAB4">
            <w:pPr>
              <w:snapToGrid w:val="0"/>
              <w:jc w:val="center"/>
              <w:rPr>
                <w:rFonts w:hint="eastAsia" w:ascii="仿宋" w:hAnsi="仿宋" w:eastAsia="仿宋" w:cs="仿宋"/>
                <w:color w:val="auto"/>
                <w:szCs w:val="21"/>
                <w:highlight w:val="none"/>
              </w:rPr>
            </w:pPr>
          </w:p>
        </w:tc>
        <w:tc>
          <w:tcPr>
            <w:tcW w:w="753" w:type="dxa"/>
            <w:vAlign w:val="center"/>
          </w:tcPr>
          <w:p w14:paraId="5D9F8312">
            <w:pPr>
              <w:snapToGrid w:val="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27</w:t>
            </w:r>
          </w:p>
        </w:tc>
        <w:tc>
          <w:tcPr>
            <w:tcW w:w="5688" w:type="dxa"/>
            <w:vAlign w:val="center"/>
          </w:tcPr>
          <w:p w14:paraId="3468DFFB">
            <w:pPr>
              <w:snapToGrid w:val="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年底服务企业满意度达到95%的不扣分，每低于1-2%扣1分，扣完为止。</w:t>
            </w:r>
          </w:p>
        </w:tc>
        <w:tc>
          <w:tcPr>
            <w:tcW w:w="1012" w:type="dxa"/>
            <w:vAlign w:val="center"/>
          </w:tcPr>
          <w:p w14:paraId="3A2E6BA0">
            <w:pPr>
              <w:snapToGrid w:val="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961" w:type="dxa"/>
            <w:vMerge w:val="continue"/>
            <w:vAlign w:val="center"/>
          </w:tcPr>
          <w:p w14:paraId="009835A0">
            <w:pPr>
              <w:snapToGrid w:val="0"/>
              <w:jc w:val="center"/>
              <w:rPr>
                <w:rFonts w:hint="eastAsia" w:ascii="仿宋" w:hAnsi="仿宋" w:eastAsia="仿宋" w:cs="仿宋"/>
                <w:color w:val="auto"/>
                <w:szCs w:val="21"/>
                <w:highlight w:val="none"/>
              </w:rPr>
            </w:pPr>
          </w:p>
        </w:tc>
      </w:tr>
      <w:tr w14:paraId="522E1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297" w:type="dxa"/>
            <w:gridSpan w:val="5"/>
            <w:vAlign w:val="center"/>
          </w:tcPr>
          <w:p w14:paraId="06452D51">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合计100分</w:t>
            </w:r>
          </w:p>
        </w:tc>
      </w:tr>
      <w:tr w14:paraId="109FA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297" w:type="dxa"/>
            <w:gridSpan w:val="5"/>
            <w:vAlign w:val="center"/>
          </w:tcPr>
          <w:p w14:paraId="7E466C39">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额外加分项</w:t>
            </w:r>
          </w:p>
        </w:tc>
      </w:tr>
      <w:tr w14:paraId="5DB5D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883" w:type="dxa"/>
            <w:vMerge w:val="restart"/>
            <w:vAlign w:val="center"/>
          </w:tcPr>
          <w:p w14:paraId="156CBFE7">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额外奖惩项</w:t>
            </w:r>
          </w:p>
        </w:tc>
        <w:tc>
          <w:tcPr>
            <w:tcW w:w="753" w:type="dxa"/>
            <w:vAlign w:val="center"/>
          </w:tcPr>
          <w:p w14:paraId="46FBDD3D">
            <w:pPr>
              <w:snapToGrid w:val="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28</w:t>
            </w:r>
          </w:p>
        </w:tc>
        <w:tc>
          <w:tcPr>
            <w:tcW w:w="5688" w:type="dxa"/>
            <w:vAlign w:val="center"/>
          </w:tcPr>
          <w:p w14:paraId="0CDA3A57">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相关工作获得市级（含）以上部门批示表扬的1次得2分，受到辖区内单位表扬的1次得1分，最多5分</w:t>
            </w:r>
          </w:p>
        </w:tc>
        <w:tc>
          <w:tcPr>
            <w:tcW w:w="1012" w:type="dxa"/>
            <w:vAlign w:val="center"/>
          </w:tcPr>
          <w:p w14:paraId="50940ECF">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961" w:type="dxa"/>
            <w:vMerge w:val="restart"/>
            <w:vAlign w:val="center"/>
          </w:tcPr>
          <w:p w14:paraId="599CE3FA">
            <w:pPr>
              <w:snapToGrid w:val="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8</w:t>
            </w:r>
          </w:p>
        </w:tc>
      </w:tr>
      <w:tr w14:paraId="0A252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883" w:type="dxa"/>
            <w:vMerge w:val="continue"/>
            <w:vAlign w:val="center"/>
          </w:tcPr>
          <w:p w14:paraId="477406A2">
            <w:pPr>
              <w:snapToGrid w:val="0"/>
              <w:jc w:val="center"/>
              <w:rPr>
                <w:rFonts w:hint="eastAsia" w:ascii="仿宋" w:hAnsi="仿宋" w:eastAsia="仿宋" w:cs="仿宋"/>
                <w:color w:val="auto"/>
                <w:szCs w:val="21"/>
                <w:highlight w:val="none"/>
              </w:rPr>
            </w:pPr>
          </w:p>
        </w:tc>
        <w:tc>
          <w:tcPr>
            <w:tcW w:w="753" w:type="dxa"/>
            <w:vAlign w:val="center"/>
          </w:tcPr>
          <w:p w14:paraId="5015A704">
            <w:pPr>
              <w:snapToGrid w:val="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9</w:t>
            </w:r>
          </w:p>
        </w:tc>
        <w:tc>
          <w:tcPr>
            <w:tcW w:w="5688" w:type="dxa"/>
            <w:vAlign w:val="center"/>
          </w:tcPr>
          <w:p w14:paraId="3A53BC40">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在各种媒体、各级政府部门网站或公众号进行</w:t>
            </w:r>
            <w:r>
              <w:rPr>
                <w:rFonts w:hint="eastAsia" w:ascii="仿宋" w:hAnsi="仿宋" w:eastAsia="仿宋" w:cs="仿宋"/>
                <w:color w:val="auto"/>
                <w:szCs w:val="21"/>
                <w:highlight w:val="none"/>
                <w:lang w:eastAsia="zh-CN"/>
              </w:rPr>
              <w:t>报道</w:t>
            </w:r>
            <w:r>
              <w:rPr>
                <w:rFonts w:hint="eastAsia" w:ascii="仿宋" w:hAnsi="仿宋" w:eastAsia="仿宋" w:cs="仿宋"/>
                <w:color w:val="auto"/>
                <w:szCs w:val="21"/>
                <w:highlight w:val="none"/>
              </w:rPr>
              <w:t>的得1分，最多3分</w:t>
            </w:r>
          </w:p>
        </w:tc>
        <w:tc>
          <w:tcPr>
            <w:tcW w:w="1012" w:type="dxa"/>
            <w:vAlign w:val="center"/>
          </w:tcPr>
          <w:p w14:paraId="7BCE8BD3">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961" w:type="dxa"/>
            <w:vMerge w:val="continue"/>
            <w:vAlign w:val="center"/>
          </w:tcPr>
          <w:p w14:paraId="73CB1746">
            <w:pPr>
              <w:snapToGrid w:val="0"/>
              <w:jc w:val="center"/>
              <w:rPr>
                <w:rFonts w:hint="eastAsia" w:ascii="仿宋" w:hAnsi="仿宋" w:eastAsia="仿宋" w:cs="仿宋"/>
                <w:color w:val="auto"/>
                <w:szCs w:val="21"/>
                <w:highlight w:val="none"/>
              </w:rPr>
            </w:pPr>
          </w:p>
        </w:tc>
      </w:tr>
      <w:tr w14:paraId="1DB50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9297" w:type="dxa"/>
            <w:gridSpan w:val="5"/>
            <w:vAlign w:val="center"/>
          </w:tcPr>
          <w:p w14:paraId="75561016">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合计8分</w:t>
            </w:r>
          </w:p>
        </w:tc>
      </w:tr>
    </w:tbl>
    <w:p w14:paraId="31DE0C59">
      <w:pPr>
        <w:pStyle w:val="395"/>
        <w:keepNext w:val="0"/>
        <w:keepLines w:val="0"/>
        <w:pageBreakBefore w:val="0"/>
        <w:widowControl w:val="0"/>
        <w:kinsoku/>
        <w:wordWrap/>
        <w:overflowPunct/>
        <w:topLinePunct w:val="0"/>
        <w:autoSpaceDE/>
        <w:autoSpaceDN/>
        <w:bidi w:val="0"/>
        <w:adjustRightInd w:val="0"/>
        <w:snapToGrid w:val="0"/>
        <w:spacing w:before="251" w:beforeLines="80"/>
        <w:ind w:firstLine="0" w:firstLineChars="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▲三、其他要求</w:t>
      </w:r>
    </w:p>
    <w:p w14:paraId="1842C6F3">
      <w:pPr>
        <w:autoSpaceDE w:val="0"/>
        <w:autoSpaceDN w:val="0"/>
        <w:snapToGrid w:val="0"/>
        <w:spacing w:line="360" w:lineRule="auto"/>
        <w:ind w:firstLine="482" w:firstLineChars="200"/>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1.服务要求</w:t>
      </w:r>
    </w:p>
    <w:p w14:paraId="1089337E">
      <w:pPr>
        <w:autoSpaceDE w:val="0"/>
        <w:autoSpaceDN w:val="0"/>
        <w:snapToGrid w:val="0"/>
        <w:spacing w:line="360" w:lineRule="auto"/>
        <w:ind w:right="-178" w:rightChars="-85" w:firstLine="480" w:firstLineChars="200"/>
        <w:textAlignment w:val="bottom"/>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rPr>
        <w:t>服务期内，供应商为</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提供7×24小时技术支持和服务，若接到用户通知后，在2小时内做出实质性响应，4小时内提出解决方案；根据用户要求，问题解决后24小时内，提交问题处理报告，说明问题种类、问题原因、问题解决中使用的方法及造成的损失等情况。</w:t>
      </w:r>
    </w:p>
    <w:p w14:paraId="231D852D">
      <w:pPr>
        <w:autoSpaceDE w:val="0"/>
        <w:autoSpaceDN w:val="0"/>
        <w:snapToGrid w:val="0"/>
        <w:spacing w:line="360" w:lineRule="auto"/>
        <w:ind w:right="-178" w:rightChars="-85" w:firstLine="480" w:firstLineChars="200"/>
        <w:textAlignment w:val="bottom"/>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lang w:eastAsia="zh-CN"/>
        </w:rPr>
        <w:t>成交人</w:t>
      </w:r>
      <w:r>
        <w:rPr>
          <w:rFonts w:hint="eastAsia" w:ascii="仿宋" w:hAnsi="仿宋" w:eastAsia="仿宋" w:cs="仿宋"/>
          <w:bCs/>
          <w:color w:val="auto"/>
          <w:sz w:val="24"/>
          <w:highlight w:val="none"/>
        </w:rPr>
        <w:t>在履行合同义务期间，应遵守国家有关法律、法规、维护采购人的合法权益。</w:t>
      </w:r>
    </w:p>
    <w:p w14:paraId="0FEFB6FD">
      <w:pPr>
        <w:autoSpaceDE w:val="0"/>
        <w:autoSpaceDN w:val="0"/>
        <w:snapToGrid w:val="0"/>
        <w:spacing w:line="360" w:lineRule="auto"/>
        <w:ind w:right="-178" w:rightChars="-85" w:firstLine="480" w:firstLineChars="200"/>
        <w:textAlignment w:val="bottom"/>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eastAsia="zh-CN"/>
        </w:rPr>
        <w:t>成交人</w:t>
      </w:r>
      <w:r>
        <w:rPr>
          <w:rFonts w:hint="eastAsia" w:ascii="仿宋" w:hAnsi="仿宋" w:eastAsia="仿宋" w:cs="仿宋"/>
          <w:bCs/>
          <w:color w:val="auto"/>
          <w:sz w:val="24"/>
          <w:highlight w:val="none"/>
        </w:rPr>
        <w:t>应组建能够满足所投项目服务需要的项目组，按照工作范围和内容完成安全生产检查工作，并按约定向采购人汇报工作进展。</w:t>
      </w:r>
    </w:p>
    <w:p w14:paraId="7E43AC67">
      <w:pPr>
        <w:autoSpaceDE w:val="0"/>
        <w:autoSpaceDN w:val="0"/>
        <w:snapToGrid w:val="0"/>
        <w:spacing w:line="360" w:lineRule="auto"/>
        <w:ind w:right="-178" w:rightChars="-85" w:firstLine="480" w:firstLineChars="200"/>
        <w:textAlignment w:val="bottom"/>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eastAsia="zh-CN"/>
        </w:rPr>
        <w:t>成交人</w:t>
      </w:r>
      <w:r>
        <w:rPr>
          <w:rFonts w:hint="eastAsia" w:ascii="仿宋" w:hAnsi="仿宋" w:eastAsia="仿宋" w:cs="仿宋"/>
          <w:bCs/>
          <w:color w:val="auto"/>
          <w:sz w:val="24"/>
          <w:highlight w:val="none"/>
        </w:rPr>
        <w:t>应协助采购人开展项目成果审查、报备和批复。项目成果必须满足相关行政部门工作要求，且需通过相关评审。</w:t>
      </w:r>
    </w:p>
    <w:p w14:paraId="3CB29CAC">
      <w:pPr>
        <w:autoSpaceDE w:val="0"/>
        <w:autoSpaceDN w:val="0"/>
        <w:snapToGrid w:val="0"/>
        <w:spacing w:line="360" w:lineRule="auto"/>
        <w:ind w:right="-178" w:rightChars="-85" w:firstLine="480" w:firstLineChars="200"/>
        <w:textAlignment w:val="bottom"/>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eastAsia="zh-CN"/>
        </w:rPr>
        <w:t>成交人</w:t>
      </w:r>
      <w:r>
        <w:rPr>
          <w:rFonts w:hint="eastAsia" w:ascii="仿宋" w:hAnsi="仿宋" w:eastAsia="仿宋" w:cs="仿宋"/>
          <w:bCs/>
          <w:color w:val="auto"/>
          <w:sz w:val="24"/>
          <w:highlight w:val="none"/>
        </w:rPr>
        <w:t>应自行承担项目实施过程中的安全责任，采购人在任何情况下不承担任何责任。</w:t>
      </w:r>
    </w:p>
    <w:p w14:paraId="1ACC4D14">
      <w:pPr>
        <w:widowControl/>
        <w:autoSpaceDE w:val="0"/>
        <w:autoSpaceDN w:val="0"/>
        <w:spacing w:line="360" w:lineRule="auto"/>
        <w:ind w:right="-178" w:rightChars="-85" w:firstLine="482" w:firstLineChars="200"/>
        <w:textAlignment w:val="bottom"/>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2.服务期限</w:t>
      </w:r>
    </w:p>
    <w:p w14:paraId="257C73CB">
      <w:pPr>
        <w:widowControl/>
        <w:autoSpaceDE w:val="0"/>
        <w:autoSpaceDN w:val="0"/>
        <w:spacing w:line="360" w:lineRule="auto"/>
        <w:ind w:right="-178" w:rightChars="-85" w:firstLine="480" w:firstLineChars="200"/>
        <w:textAlignment w:val="bottom"/>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1）服务期限：</w:t>
      </w:r>
      <w:r>
        <w:rPr>
          <w:rFonts w:hint="eastAsia" w:ascii="仿宋" w:hAnsi="仿宋" w:eastAsia="仿宋" w:cs="仿宋"/>
          <w:bCs/>
          <w:snapToGrid/>
          <w:color w:val="auto"/>
          <w:kern w:val="2"/>
          <w:sz w:val="24"/>
          <w:szCs w:val="24"/>
          <w:highlight w:val="none"/>
          <w:lang w:val="zh-CN"/>
        </w:rPr>
        <w:t>本项目服务期自采购合同正式签订生效之日起为期</w:t>
      </w:r>
      <w:r>
        <w:rPr>
          <w:rFonts w:hint="eastAsia" w:ascii="仿宋" w:hAnsi="仿宋" w:eastAsia="仿宋" w:cs="仿宋"/>
          <w:bCs/>
          <w:snapToGrid/>
          <w:color w:val="auto"/>
          <w:kern w:val="2"/>
          <w:sz w:val="24"/>
          <w:szCs w:val="24"/>
          <w:highlight w:val="none"/>
          <w:lang w:val="en-US" w:eastAsia="zh-Hans"/>
        </w:rPr>
        <w:t>一</w:t>
      </w:r>
      <w:r>
        <w:rPr>
          <w:rFonts w:hint="eastAsia" w:ascii="仿宋" w:hAnsi="仿宋" w:eastAsia="仿宋" w:cs="仿宋"/>
          <w:bCs/>
          <w:snapToGrid/>
          <w:color w:val="auto"/>
          <w:kern w:val="2"/>
          <w:sz w:val="24"/>
          <w:szCs w:val="24"/>
          <w:highlight w:val="none"/>
          <w:lang w:val="zh-CN"/>
        </w:rPr>
        <w:t>年</w:t>
      </w:r>
      <w:r>
        <w:rPr>
          <w:rFonts w:hint="eastAsia" w:ascii="仿宋" w:hAnsi="仿宋" w:eastAsia="仿宋" w:cs="仿宋"/>
          <w:bCs/>
          <w:snapToGrid/>
          <w:color w:val="auto"/>
          <w:kern w:val="2"/>
          <w:sz w:val="24"/>
          <w:szCs w:val="24"/>
          <w:highlight w:val="none"/>
        </w:rPr>
        <w:t>。</w:t>
      </w:r>
      <w:r>
        <w:rPr>
          <w:rFonts w:hint="eastAsia" w:ascii="仿宋" w:hAnsi="仿宋" w:eastAsia="仿宋" w:cs="仿宋"/>
          <w:bCs/>
          <w:snapToGrid/>
          <w:color w:val="auto"/>
          <w:kern w:val="2"/>
          <w:sz w:val="24"/>
          <w:szCs w:val="24"/>
          <w:highlight w:val="none"/>
          <w:lang w:val="en-US" w:eastAsia="zh-Hans"/>
        </w:rPr>
        <w:t>本项目采取一次招标二年沿用</w:t>
      </w:r>
      <w:r>
        <w:rPr>
          <w:rFonts w:hint="eastAsia" w:ascii="仿宋" w:hAnsi="仿宋" w:eastAsia="仿宋" w:cs="仿宋"/>
          <w:bCs/>
          <w:snapToGrid/>
          <w:color w:val="auto"/>
          <w:kern w:val="2"/>
          <w:sz w:val="24"/>
          <w:szCs w:val="24"/>
          <w:highlight w:val="none"/>
          <w:lang w:eastAsia="zh-Hans"/>
        </w:rPr>
        <w:t>、</w:t>
      </w:r>
      <w:r>
        <w:rPr>
          <w:rFonts w:hint="eastAsia" w:ascii="仿宋" w:hAnsi="仿宋" w:eastAsia="仿宋" w:cs="仿宋"/>
          <w:bCs/>
          <w:snapToGrid/>
          <w:color w:val="auto"/>
          <w:kern w:val="2"/>
          <w:sz w:val="24"/>
          <w:szCs w:val="24"/>
          <w:highlight w:val="none"/>
          <w:lang w:val="en-US" w:eastAsia="zh-Hans"/>
        </w:rPr>
        <w:t>实行一年一考核一签合同的办法</w:t>
      </w:r>
      <w:r>
        <w:rPr>
          <w:rFonts w:hint="eastAsia" w:ascii="仿宋" w:hAnsi="仿宋" w:eastAsia="仿宋" w:cs="仿宋"/>
          <w:bCs/>
          <w:snapToGrid/>
          <w:color w:val="auto"/>
          <w:kern w:val="2"/>
          <w:sz w:val="24"/>
          <w:szCs w:val="24"/>
          <w:highlight w:val="none"/>
          <w:lang w:eastAsia="zh-Hans"/>
        </w:rPr>
        <w:t>。</w:t>
      </w:r>
      <w:r>
        <w:rPr>
          <w:rFonts w:hint="eastAsia" w:ascii="仿宋" w:hAnsi="仿宋" w:eastAsia="仿宋" w:cs="仿宋"/>
          <w:bCs/>
          <w:color w:val="auto"/>
          <w:sz w:val="24"/>
          <w:highlight w:val="none"/>
        </w:rPr>
        <w:t>服务期满后</w:t>
      </w:r>
      <w:r>
        <w:rPr>
          <w:rFonts w:hint="eastAsia" w:ascii="仿宋" w:hAnsi="仿宋" w:eastAsia="仿宋" w:cs="仿宋"/>
          <w:bCs/>
          <w:snapToGrid/>
          <w:color w:val="auto"/>
          <w:kern w:val="2"/>
          <w:sz w:val="24"/>
          <w:szCs w:val="24"/>
          <w:highlight w:val="none"/>
          <w:lang w:val="zh-CN"/>
        </w:rPr>
        <w:t>进行年度服务质量考</w:t>
      </w:r>
      <w:r>
        <w:rPr>
          <w:rFonts w:hint="eastAsia" w:ascii="仿宋" w:hAnsi="仿宋" w:eastAsia="仿宋" w:cs="仿宋"/>
          <w:color w:val="auto"/>
          <w:sz w:val="24"/>
          <w:highlight w:val="none"/>
          <w:lang w:val="zh-CN" w:eastAsia="zh-CN"/>
        </w:rPr>
        <w:t>核，</w:t>
      </w:r>
      <w:r>
        <w:rPr>
          <w:rFonts w:hint="eastAsia" w:ascii="仿宋" w:hAnsi="仿宋" w:eastAsia="仿宋" w:cs="仿宋"/>
          <w:color w:val="auto"/>
          <w:sz w:val="24"/>
          <w:highlight w:val="none"/>
          <w:lang w:val="en-US" w:eastAsia="zh-CN"/>
        </w:rPr>
        <w:t>分数达到80（含）分</w:t>
      </w:r>
      <w:r>
        <w:rPr>
          <w:rFonts w:hint="eastAsia" w:ascii="仿宋" w:hAnsi="仿宋" w:eastAsia="仿宋" w:cs="仿宋"/>
          <w:color w:val="auto"/>
          <w:sz w:val="24"/>
          <w:highlight w:val="none"/>
          <w:lang w:val="en-US" w:eastAsia="zh-Hans"/>
        </w:rPr>
        <w:t>及</w:t>
      </w:r>
      <w:r>
        <w:rPr>
          <w:rFonts w:hint="eastAsia" w:ascii="仿宋" w:hAnsi="仿宋" w:eastAsia="仿宋" w:cs="仿宋"/>
          <w:color w:val="auto"/>
          <w:sz w:val="24"/>
          <w:highlight w:val="none"/>
          <w:lang w:val="en-US" w:eastAsia="zh-CN"/>
        </w:rPr>
        <w:t>以上的，可根据原合同价续签第二年度合同。</w:t>
      </w:r>
      <w:r>
        <w:rPr>
          <w:rFonts w:hint="eastAsia" w:ascii="仿宋" w:hAnsi="仿宋" w:eastAsia="仿宋" w:cs="仿宋"/>
          <w:color w:val="auto"/>
          <w:sz w:val="24"/>
          <w:highlight w:val="none"/>
        </w:rPr>
        <w:t>如在规定的时间内由于供应商的原因不能完成的，供应商应承担由此给</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造成的损失。</w:t>
      </w:r>
    </w:p>
    <w:p w14:paraId="604FA1FE">
      <w:pPr>
        <w:widowControl/>
        <w:autoSpaceDE w:val="0"/>
        <w:autoSpaceDN w:val="0"/>
        <w:spacing w:line="360" w:lineRule="auto"/>
        <w:ind w:right="-178" w:rightChars="-85" w:firstLine="480" w:firstLineChars="200"/>
        <w:textAlignment w:val="bottom"/>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2）标准：符合我国国家有关技术规范要求和技术标准。</w:t>
      </w:r>
    </w:p>
    <w:p w14:paraId="1F4EEDE3">
      <w:pPr>
        <w:widowControl/>
        <w:autoSpaceDE w:val="0"/>
        <w:autoSpaceDN w:val="0"/>
        <w:spacing w:line="360" w:lineRule="auto"/>
        <w:ind w:right="-178" w:rightChars="-85" w:firstLine="480" w:firstLineChars="200"/>
        <w:textAlignment w:val="bottom"/>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成交人</w:t>
      </w:r>
      <w:r>
        <w:rPr>
          <w:rFonts w:hint="eastAsia" w:ascii="仿宋" w:hAnsi="仿宋" w:eastAsia="仿宋" w:cs="仿宋"/>
          <w:color w:val="auto"/>
          <w:sz w:val="24"/>
          <w:highlight w:val="none"/>
        </w:rPr>
        <w:t>免费提供涉及本项目工作的相关服务。</w:t>
      </w:r>
    </w:p>
    <w:p w14:paraId="001034BC">
      <w:pPr>
        <w:widowControl/>
        <w:autoSpaceDE w:val="0"/>
        <w:autoSpaceDN w:val="0"/>
        <w:spacing w:line="360" w:lineRule="auto"/>
        <w:ind w:right="-178" w:rightChars="-85" w:firstLine="480" w:firstLineChars="200"/>
        <w:textAlignment w:val="bottom"/>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中应提供实施计划。</w:t>
      </w:r>
    </w:p>
    <w:p w14:paraId="2A0ECDEF">
      <w:pPr>
        <w:widowControl/>
        <w:autoSpaceDE w:val="0"/>
        <w:autoSpaceDN w:val="0"/>
        <w:spacing w:line="360" w:lineRule="auto"/>
        <w:ind w:right="-178" w:rightChars="-85" w:firstLine="482" w:firstLineChars="200"/>
        <w:textAlignment w:val="bottom"/>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3.质量要求</w:t>
      </w:r>
    </w:p>
    <w:p w14:paraId="79E39420">
      <w:pPr>
        <w:widowControl/>
        <w:autoSpaceDE w:val="0"/>
        <w:autoSpaceDN w:val="0"/>
        <w:spacing w:line="360" w:lineRule="auto"/>
        <w:ind w:right="-178" w:rightChars="-85"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1）提交成果必须符合我国国家或部门有关技术规范要求和技术标准。</w:t>
      </w:r>
    </w:p>
    <w:p w14:paraId="55395842">
      <w:pPr>
        <w:widowControl/>
        <w:autoSpaceDE w:val="0"/>
        <w:autoSpaceDN w:val="0"/>
        <w:spacing w:line="360" w:lineRule="auto"/>
        <w:ind w:right="-178" w:rightChars="-85"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成交人</w:t>
      </w:r>
      <w:r>
        <w:rPr>
          <w:rFonts w:hint="eastAsia" w:ascii="仿宋" w:hAnsi="仿宋" w:eastAsia="仿宋" w:cs="仿宋"/>
          <w:color w:val="auto"/>
          <w:sz w:val="24"/>
          <w:highlight w:val="none"/>
        </w:rPr>
        <w:t>提交的成果经采购人验收通过，并按份数要求提交采购人。</w:t>
      </w:r>
    </w:p>
    <w:p w14:paraId="72D8F3B0">
      <w:pPr>
        <w:widowControl/>
        <w:autoSpaceDE w:val="0"/>
        <w:autoSpaceDN w:val="0"/>
        <w:spacing w:line="360" w:lineRule="auto"/>
        <w:ind w:right="-178" w:rightChars="-85" w:firstLine="482" w:firstLineChars="200"/>
        <w:textAlignment w:val="bottom"/>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4.其他</w:t>
      </w:r>
    </w:p>
    <w:p w14:paraId="0A8E6EAF">
      <w:pPr>
        <w:widowControl/>
        <w:autoSpaceDE w:val="0"/>
        <w:autoSpaceDN w:val="0"/>
        <w:spacing w:line="360" w:lineRule="auto"/>
        <w:ind w:right="-178" w:rightChars="-85"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1）由于</w:t>
      </w:r>
      <w:r>
        <w:rPr>
          <w:rFonts w:hint="eastAsia" w:ascii="仿宋" w:hAnsi="仿宋" w:eastAsia="仿宋" w:cs="仿宋"/>
          <w:color w:val="auto"/>
          <w:sz w:val="24"/>
          <w:highlight w:val="none"/>
          <w:lang w:eastAsia="zh-CN"/>
        </w:rPr>
        <w:t>成交人</w:t>
      </w:r>
      <w:r>
        <w:rPr>
          <w:rFonts w:hint="eastAsia" w:ascii="仿宋" w:hAnsi="仿宋" w:eastAsia="仿宋" w:cs="仿宋"/>
          <w:color w:val="auto"/>
          <w:sz w:val="24"/>
          <w:highlight w:val="none"/>
        </w:rPr>
        <w:t>原因导致采购人有重大损失的，责任由</w:t>
      </w:r>
      <w:r>
        <w:rPr>
          <w:rFonts w:hint="eastAsia" w:ascii="仿宋" w:hAnsi="仿宋" w:eastAsia="仿宋" w:cs="仿宋"/>
          <w:color w:val="auto"/>
          <w:sz w:val="24"/>
          <w:highlight w:val="none"/>
          <w:lang w:eastAsia="zh-CN"/>
        </w:rPr>
        <w:t>成交人</w:t>
      </w:r>
      <w:r>
        <w:rPr>
          <w:rFonts w:hint="eastAsia" w:ascii="仿宋" w:hAnsi="仿宋" w:eastAsia="仿宋" w:cs="仿宋"/>
          <w:color w:val="auto"/>
          <w:sz w:val="24"/>
          <w:highlight w:val="none"/>
        </w:rPr>
        <w:t>承担，并依法追究其经济责任和法律责任。</w:t>
      </w:r>
    </w:p>
    <w:p w14:paraId="31F72103">
      <w:pPr>
        <w:widowControl/>
        <w:autoSpaceDE w:val="0"/>
        <w:autoSpaceDN w:val="0"/>
        <w:spacing w:line="360" w:lineRule="auto"/>
        <w:ind w:right="-178" w:rightChars="-85"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2）涉及所投标项的所有相关费用均包括在总投标报价中，由</w:t>
      </w:r>
      <w:r>
        <w:rPr>
          <w:rFonts w:hint="eastAsia" w:ascii="仿宋" w:hAnsi="仿宋" w:eastAsia="仿宋" w:cs="仿宋"/>
          <w:color w:val="auto"/>
          <w:sz w:val="24"/>
          <w:highlight w:val="none"/>
          <w:lang w:eastAsia="zh-CN"/>
        </w:rPr>
        <w:t>成交人</w:t>
      </w:r>
      <w:r>
        <w:rPr>
          <w:rFonts w:hint="eastAsia" w:ascii="仿宋" w:hAnsi="仿宋" w:eastAsia="仿宋" w:cs="仿宋"/>
          <w:color w:val="auto"/>
          <w:sz w:val="24"/>
          <w:highlight w:val="none"/>
        </w:rPr>
        <w:t>承担。</w:t>
      </w:r>
    </w:p>
    <w:p w14:paraId="58A153B6">
      <w:pPr>
        <w:widowControl/>
        <w:autoSpaceDE w:val="0"/>
        <w:autoSpaceDN w:val="0"/>
        <w:spacing w:line="360" w:lineRule="auto"/>
        <w:ind w:right="-178" w:rightChars="-85"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3）采购人将对</w:t>
      </w:r>
      <w:r>
        <w:rPr>
          <w:rFonts w:hint="eastAsia" w:ascii="仿宋" w:hAnsi="仿宋" w:eastAsia="仿宋" w:cs="仿宋"/>
          <w:color w:val="auto"/>
          <w:sz w:val="24"/>
          <w:highlight w:val="none"/>
          <w:lang w:eastAsia="zh-CN"/>
        </w:rPr>
        <w:t>成交人</w:t>
      </w:r>
      <w:r>
        <w:rPr>
          <w:rFonts w:hint="eastAsia" w:ascii="仿宋" w:hAnsi="仿宋" w:eastAsia="仿宋" w:cs="仿宋"/>
          <w:color w:val="auto"/>
          <w:sz w:val="24"/>
          <w:highlight w:val="none"/>
        </w:rPr>
        <w:t>的服务质量、执业情况实行动态跟踪和评价。</w:t>
      </w:r>
    </w:p>
    <w:p w14:paraId="3208F517">
      <w:pPr>
        <w:widowControl/>
        <w:autoSpaceDE w:val="0"/>
        <w:autoSpaceDN w:val="0"/>
        <w:spacing w:line="360" w:lineRule="auto"/>
        <w:ind w:right="-178" w:rightChars="-85" w:firstLine="482" w:firstLineChars="200"/>
        <w:textAlignment w:val="bottom"/>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5.验收</w:t>
      </w:r>
    </w:p>
    <w:p w14:paraId="2C01164F">
      <w:pPr>
        <w:widowControl/>
        <w:autoSpaceDE w:val="0"/>
        <w:autoSpaceDN w:val="0"/>
        <w:spacing w:line="360" w:lineRule="auto"/>
        <w:ind w:right="-178" w:rightChars="-85"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成交人</w:t>
      </w:r>
      <w:r>
        <w:rPr>
          <w:rFonts w:hint="eastAsia" w:ascii="仿宋" w:hAnsi="仿宋" w:eastAsia="仿宋" w:cs="仿宋"/>
          <w:color w:val="auto"/>
          <w:sz w:val="24"/>
          <w:highlight w:val="none"/>
        </w:rPr>
        <w:t>应按有关要求提交成果。</w:t>
      </w:r>
    </w:p>
    <w:p w14:paraId="0936933E">
      <w:pPr>
        <w:widowControl/>
        <w:autoSpaceDE w:val="0"/>
        <w:autoSpaceDN w:val="0"/>
        <w:spacing w:line="360" w:lineRule="auto"/>
        <w:ind w:right="-178" w:rightChars="-85"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应于</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中提供验收标准和检测办法，并在验收中提供采购人认可的相应检测手段，验收标准应符合中国有关的国家、地方、行业的标准，如若中标，经采购人确认后作为验收的依据。</w:t>
      </w:r>
    </w:p>
    <w:p w14:paraId="68BF8441">
      <w:pPr>
        <w:spacing w:line="360" w:lineRule="auto"/>
        <w:ind w:right="-178" w:rightChars="-85"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3）验收费用由</w:t>
      </w:r>
      <w:r>
        <w:rPr>
          <w:rFonts w:hint="eastAsia" w:ascii="仿宋" w:hAnsi="仿宋" w:eastAsia="仿宋" w:cs="仿宋"/>
          <w:color w:val="auto"/>
          <w:sz w:val="24"/>
          <w:highlight w:val="none"/>
          <w:lang w:eastAsia="zh-CN"/>
        </w:rPr>
        <w:t>成交人</w:t>
      </w:r>
      <w:r>
        <w:rPr>
          <w:rFonts w:hint="eastAsia" w:ascii="仿宋" w:hAnsi="仿宋" w:eastAsia="仿宋" w:cs="仿宋"/>
          <w:color w:val="auto"/>
          <w:sz w:val="24"/>
          <w:highlight w:val="none"/>
        </w:rPr>
        <w:t>承担。</w:t>
      </w:r>
    </w:p>
    <w:p w14:paraId="6A5E1544">
      <w:pPr>
        <w:spacing w:line="360" w:lineRule="auto"/>
        <w:ind w:right="-178" w:rightChars="-85" w:firstLine="482" w:firstLineChars="200"/>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6.项目款</w:t>
      </w:r>
      <w:r>
        <w:rPr>
          <w:rFonts w:hint="eastAsia" w:ascii="仿宋" w:hAnsi="仿宋" w:eastAsia="仿宋" w:cs="仿宋"/>
          <w:b/>
          <w:color w:val="auto"/>
          <w:sz w:val="24"/>
          <w:highlight w:val="none"/>
        </w:rPr>
        <w:t>的结算</w:t>
      </w:r>
    </w:p>
    <w:p w14:paraId="00846A9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采购人根据合同、</w:t>
      </w:r>
      <w:r>
        <w:rPr>
          <w:rFonts w:hint="eastAsia" w:ascii="仿宋" w:hAnsi="仿宋" w:eastAsia="仿宋" w:cs="仿宋"/>
          <w:color w:val="auto"/>
          <w:sz w:val="24"/>
          <w:highlight w:val="none"/>
          <w:lang w:eastAsia="zh-CN"/>
        </w:rPr>
        <w:t>竞争性磋商文件、</w:t>
      </w:r>
      <w:r>
        <w:rPr>
          <w:rFonts w:hint="eastAsia" w:ascii="仿宋" w:hAnsi="仿宋" w:eastAsia="仿宋" w:cs="仿宋"/>
          <w:color w:val="auto"/>
          <w:sz w:val="24"/>
          <w:highlight w:val="none"/>
          <w:lang w:val="en-US" w:eastAsia="zh-CN"/>
        </w:rPr>
        <w:t>响应文件</w:t>
      </w:r>
      <w:r>
        <w:rPr>
          <w:rFonts w:hint="eastAsia" w:ascii="仿宋" w:hAnsi="仿宋" w:eastAsia="仿宋" w:cs="仿宋"/>
          <w:color w:val="auto"/>
          <w:sz w:val="24"/>
          <w:highlight w:val="none"/>
        </w:rPr>
        <w:t>等资料进行验收。</w:t>
      </w:r>
    </w:p>
    <w:p w14:paraId="1CF6B77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合同生效且符合项目实施条件后7个工作日内，由采购人向</w:t>
      </w:r>
      <w:r>
        <w:rPr>
          <w:rFonts w:hint="eastAsia" w:ascii="仿宋" w:hAnsi="仿宋" w:eastAsia="仿宋" w:cs="仿宋"/>
          <w:color w:val="auto"/>
          <w:sz w:val="24"/>
          <w:highlight w:val="none"/>
          <w:lang w:eastAsia="zh-CN"/>
        </w:rPr>
        <w:t>成交人</w:t>
      </w:r>
      <w:r>
        <w:rPr>
          <w:rFonts w:hint="eastAsia" w:ascii="仿宋" w:hAnsi="仿宋" w:eastAsia="仿宋" w:cs="仿宋"/>
          <w:color w:val="auto"/>
          <w:sz w:val="24"/>
          <w:highlight w:val="none"/>
        </w:rPr>
        <w:t>支付当年合同价的50%预付款（</w:t>
      </w:r>
      <w:r>
        <w:rPr>
          <w:rFonts w:hint="eastAsia" w:ascii="仿宋" w:hAnsi="仿宋" w:eastAsia="仿宋" w:cs="仿宋"/>
          <w:color w:val="auto"/>
          <w:sz w:val="24"/>
          <w:highlight w:val="none"/>
          <w:lang w:val="en-US" w:eastAsia="zh-CN"/>
        </w:rPr>
        <w:t>成交人</w:t>
      </w:r>
      <w:r>
        <w:rPr>
          <w:rFonts w:hint="eastAsia" w:ascii="仿宋" w:hAnsi="仿宋" w:eastAsia="仿宋" w:cs="仿宋"/>
          <w:color w:val="auto"/>
          <w:sz w:val="24"/>
          <w:highlight w:val="none"/>
        </w:rPr>
        <w:t>需提供相应金额的预付款保函至</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）；每年服务期满后支付剩余50%，第二年按第一年时间进度进行。</w:t>
      </w:r>
    </w:p>
    <w:p w14:paraId="5EA21C9D">
      <w:pPr>
        <w:widowControl/>
        <w:adjustRightInd/>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结算时</w:t>
      </w:r>
      <w:r>
        <w:rPr>
          <w:rFonts w:hint="eastAsia" w:ascii="仿宋" w:hAnsi="仿宋" w:eastAsia="仿宋" w:cs="仿宋"/>
          <w:color w:val="auto"/>
          <w:sz w:val="24"/>
          <w:highlight w:val="none"/>
          <w:lang w:eastAsia="zh-CN"/>
        </w:rPr>
        <w:t>成交人</w:t>
      </w:r>
      <w:r>
        <w:rPr>
          <w:rFonts w:hint="eastAsia" w:ascii="仿宋" w:hAnsi="仿宋" w:eastAsia="仿宋" w:cs="仿宋"/>
          <w:color w:val="auto"/>
          <w:sz w:val="24"/>
          <w:highlight w:val="none"/>
        </w:rPr>
        <w:t>将结款申请1份、发票原件（按当期应付金额开具）及复印件1份、合同复印件1份、经采购人验收确认的《建德市政府采购验收反馈表》和验收报告提交采购人，由采购人向</w:t>
      </w:r>
      <w:r>
        <w:rPr>
          <w:rFonts w:hint="eastAsia" w:ascii="仿宋" w:hAnsi="仿宋" w:eastAsia="仿宋" w:cs="仿宋"/>
          <w:color w:val="auto"/>
          <w:sz w:val="24"/>
          <w:highlight w:val="none"/>
          <w:lang w:eastAsia="zh-CN"/>
        </w:rPr>
        <w:t>成交人</w:t>
      </w:r>
      <w:r>
        <w:rPr>
          <w:rFonts w:hint="eastAsia" w:ascii="仿宋" w:hAnsi="仿宋" w:eastAsia="仿宋" w:cs="仿宋"/>
          <w:color w:val="auto"/>
          <w:sz w:val="24"/>
          <w:highlight w:val="none"/>
        </w:rPr>
        <w:t>支付相应项目款，采购人自收到发票后5个工作日内支付剩余项目款。</w:t>
      </w:r>
    </w:p>
    <w:p w14:paraId="7D43E9E6">
      <w:pPr>
        <w:adjustRightInd/>
        <w:spacing w:line="360" w:lineRule="auto"/>
        <w:jc w:val="both"/>
        <w:outlineLvl w:val="0"/>
        <w:rPr>
          <w:rFonts w:hint="eastAsia" w:ascii="仿宋" w:hAnsi="仿宋" w:eastAsia="仿宋" w:cs="仿宋"/>
          <w:b/>
          <w:color w:val="auto"/>
          <w:sz w:val="36"/>
          <w:szCs w:val="36"/>
          <w:highlight w:val="none"/>
        </w:rPr>
      </w:pPr>
    </w:p>
    <w:p w14:paraId="35826511">
      <w:pPr>
        <w:pStyle w:val="24"/>
        <w:ind w:left="0" w:leftChars="0" w:firstLine="0" w:firstLineChars="0"/>
        <w:rPr>
          <w:rFonts w:hint="eastAsia" w:ascii="仿宋" w:hAnsi="仿宋" w:eastAsia="仿宋" w:cs="仿宋"/>
          <w:color w:val="auto"/>
          <w:highlight w:val="none"/>
        </w:rPr>
      </w:pPr>
    </w:p>
    <w:p w14:paraId="590F6939">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77DDF1A7">
      <w:pPr>
        <w:adjustRightInd/>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第五部分  </w:t>
      </w:r>
      <w:bookmarkEnd w:id="51"/>
      <w:bookmarkEnd w:id="52"/>
      <w:bookmarkStart w:id="53" w:name="第四部分"/>
      <w:r>
        <w:rPr>
          <w:rFonts w:hint="eastAsia" w:ascii="仿宋" w:hAnsi="仿宋" w:eastAsia="仿宋" w:cs="仿宋"/>
          <w:b/>
          <w:color w:val="auto"/>
          <w:sz w:val="36"/>
          <w:szCs w:val="36"/>
          <w:highlight w:val="none"/>
        </w:rPr>
        <w:t>评审方法及评审标准</w:t>
      </w:r>
    </w:p>
    <w:p w14:paraId="3B9AF335">
      <w:pPr>
        <w:pStyle w:val="395"/>
        <w:spacing w:before="0"/>
        <w:ind w:firstLine="643"/>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评审方法前附表</w:t>
      </w:r>
    </w:p>
    <w:tbl>
      <w:tblPr>
        <w:tblStyle w:val="63"/>
        <w:tblW w:w="9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4660"/>
        <w:gridCol w:w="696"/>
        <w:gridCol w:w="1316"/>
        <w:gridCol w:w="1978"/>
      </w:tblGrid>
      <w:tr w14:paraId="3DFEB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3" w:type="dxa"/>
            <w:vAlign w:val="center"/>
          </w:tcPr>
          <w:p w14:paraId="5B339584">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4660" w:type="dxa"/>
            <w:vAlign w:val="center"/>
          </w:tcPr>
          <w:p w14:paraId="47E5576B">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评标标准</w:t>
            </w:r>
          </w:p>
        </w:tc>
        <w:tc>
          <w:tcPr>
            <w:tcW w:w="696" w:type="dxa"/>
            <w:vAlign w:val="center"/>
          </w:tcPr>
          <w:p w14:paraId="75B91210">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权重</w:t>
            </w:r>
          </w:p>
        </w:tc>
        <w:tc>
          <w:tcPr>
            <w:tcW w:w="1316" w:type="dxa"/>
            <w:vAlign w:val="center"/>
          </w:tcPr>
          <w:p w14:paraId="5F4E82E1">
            <w:pPr>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主观分/客观分属性</w:t>
            </w:r>
          </w:p>
        </w:tc>
        <w:tc>
          <w:tcPr>
            <w:tcW w:w="1978" w:type="dxa"/>
          </w:tcPr>
          <w:p w14:paraId="714547F5">
            <w:pPr>
              <w:snapToGrid w:val="0"/>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eastAsia="zh-CN"/>
              </w:rPr>
              <w:t>响应文件</w:t>
            </w:r>
            <w:r>
              <w:rPr>
                <w:rFonts w:hint="eastAsia" w:ascii="仿宋" w:hAnsi="仿宋" w:eastAsia="仿宋" w:cs="仿宋"/>
                <w:bCs/>
                <w:color w:val="auto"/>
                <w:sz w:val="24"/>
                <w:szCs w:val="24"/>
                <w:highlight w:val="none"/>
              </w:rPr>
              <w:t>中评标标准相应的商务技术资料目录*</w:t>
            </w:r>
          </w:p>
        </w:tc>
      </w:tr>
      <w:tr w14:paraId="3E591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vAlign w:val="center"/>
          </w:tcPr>
          <w:p w14:paraId="0868A7AC">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660" w:type="dxa"/>
            <w:vAlign w:val="center"/>
          </w:tcPr>
          <w:p w14:paraId="45C2A17F">
            <w:pPr>
              <w:pStyle w:val="114"/>
              <w:snapToGrid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本项目的理解程度和分析能力进行打分，最高得5分。</w:t>
            </w:r>
          </w:p>
          <w:p w14:paraId="69CFB213">
            <w:pPr>
              <w:pStyle w:val="114"/>
              <w:snapToGrid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①理解全面、分析透彻、内容完整，主次分明、条理清晰的得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分；</w:t>
            </w:r>
          </w:p>
          <w:p w14:paraId="4D492DED">
            <w:pPr>
              <w:pStyle w:val="114"/>
              <w:snapToGrid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②理解较为全面、分析较透彻、方案内容较完整，较科学合理，条理清晰性略有不足的得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分；</w:t>
            </w:r>
          </w:p>
          <w:p w14:paraId="0E1490AD">
            <w:pPr>
              <w:pStyle w:val="114"/>
              <w:snapToGrid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③方案合理可行，但完整性、条理性一般的得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分；</w:t>
            </w:r>
          </w:p>
          <w:p w14:paraId="5801BC4C">
            <w:pPr>
              <w:pStyle w:val="114"/>
              <w:snapToGrid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④理解较为片面、方案内容或主次情况或条理性有些许不足的得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分；</w:t>
            </w:r>
          </w:p>
          <w:p w14:paraId="1E3BC453">
            <w:pPr>
              <w:pStyle w:val="114"/>
              <w:snapToGrid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⑤理解片面、分析不透彻、方案内容或主次情况或条理性有重大缺陷，内容不完整的得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分；</w:t>
            </w:r>
          </w:p>
          <w:p w14:paraId="25A3538D">
            <w:pPr>
              <w:pStyle w:val="114"/>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⑥方案内容或主次情况或条理性未提出或所提方案与本项目要求完全不符的得0分。</w:t>
            </w:r>
          </w:p>
        </w:tc>
        <w:tc>
          <w:tcPr>
            <w:tcW w:w="696" w:type="dxa"/>
            <w:vAlign w:val="center"/>
          </w:tcPr>
          <w:p w14:paraId="1BF8C564">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316" w:type="dxa"/>
            <w:vAlign w:val="center"/>
          </w:tcPr>
          <w:p w14:paraId="77060210">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1978" w:type="dxa"/>
          </w:tcPr>
          <w:p w14:paraId="137180DF">
            <w:pPr>
              <w:snapToGrid w:val="0"/>
              <w:spacing w:line="360" w:lineRule="auto"/>
              <w:jc w:val="center"/>
              <w:rPr>
                <w:rFonts w:hint="eastAsia" w:ascii="仿宋" w:hAnsi="仿宋" w:eastAsia="仿宋" w:cs="仿宋"/>
                <w:color w:val="auto"/>
                <w:sz w:val="24"/>
                <w:szCs w:val="24"/>
                <w:highlight w:val="none"/>
              </w:rPr>
            </w:pPr>
          </w:p>
        </w:tc>
      </w:tr>
      <w:tr w14:paraId="589D2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3" w:type="dxa"/>
            <w:vAlign w:val="center"/>
          </w:tcPr>
          <w:p w14:paraId="6BA6C24C">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4660" w:type="dxa"/>
            <w:vAlign w:val="center"/>
          </w:tcPr>
          <w:p w14:paraId="34DCC9A1">
            <w:pPr>
              <w:pStyle w:val="114"/>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对本项目需求的重点和难点进行分析，并提出针对性的、合理的、可行的解决办法</w:t>
            </w:r>
            <w:r>
              <w:rPr>
                <w:rFonts w:hint="eastAsia" w:ascii="仿宋" w:hAnsi="仿宋" w:eastAsia="仿宋" w:cs="仿宋"/>
                <w:color w:val="auto"/>
                <w:sz w:val="24"/>
                <w:szCs w:val="24"/>
                <w:highlight w:val="none"/>
                <w:lang w:eastAsia="zh-CN"/>
              </w:rPr>
              <w:t>进行打分</w:t>
            </w:r>
            <w:r>
              <w:rPr>
                <w:rFonts w:hint="eastAsia" w:ascii="仿宋" w:hAnsi="仿宋" w:eastAsia="仿宋" w:cs="仿宋"/>
                <w:color w:val="auto"/>
                <w:sz w:val="24"/>
                <w:szCs w:val="24"/>
                <w:highlight w:val="none"/>
              </w:rPr>
              <w:t>，最高</w:t>
            </w:r>
            <w:r>
              <w:rPr>
                <w:rFonts w:hint="eastAsia" w:ascii="仿宋" w:hAnsi="仿宋" w:eastAsia="仿宋" w:cs="仿宋"/>
                <w:color w:val="auto"/>
                <w:sz w:val="24"/>
                <w:szCs w:val="24"/>
                <w:highlight w:val="none"/>
                <w:lang w:eastAsia="zh-CN"/>
              </w:rPr>
              <w:t>得</w:t>
            </w:r>
            <w:r>
              <w:rPr>
                <w:rFonts w:hint="eastAsia" w:ascii="仿宋" w:hAnsi="仿宋" w:eastAsia="仿宋" w:cs="仿宋"/>
                <w:color w:val="auto"/>
                <w:sz w:val="24"/>
                <w:szCs w:val="24"/>
                <w:highlight w:val="none"/>
              </w:rPr>
              <w:t>5分。</w:t>
            </w:r>
          </w:p>
          <w:p w14:paraId="3F0B6925">
            <w:pPr>
              <w:shd w:val="clea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①符合本项目要求且内容完整，科学合理，具有针对性和可操作性的得5分；</w:t>
            </w:r>
          </w:p>
          <w:p w14:paraId="3984EC73">
            <w:pPr>
              <w:shd w:val="clea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②方案内容较完整，较科学合理，针对性和可操作性较强的得4分；</w:t>
            </w:r>
          </w:p>
          <w:p w14:paraId="5C60BF98">
            <w:pPr>
              <w:shd w:val="clea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③方案合理可行，但完整性、针对性和可操作性一般的得3分；</w:t>
            </w:r>
          </w:p>
          <w:p w14:paraId="367656FB">
            <w:pPr>
              <w:shd w:val="clea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④方案内容或条理性或针对性可操作性略有不足的得2分；</w:t>
            </w:r>
          </w:p>
          <w:p w14:paraId="5307055B">
            <w:pPr>
              <w:shd w:val="clea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⑤方案内容或条理性或针对性可操作性有明显不足的得1分；</w:t>
            </w:r>
          </w:p>
          <w:p w14:paraId="4F1DDB35">
            <w:pPr>
              <w:pStyle w:val="114"/>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⑥方案未提出或所提方案与本项目要求完全不符的得0分。</w:t>
            </w:r>
          </w:p>
        </w:tc>
        <w:tc>
          <w:tcPr>
            <w:tcW w:w="696" w:type="dxa"/>
            <w:vAlign w:val="center"/>
          </w:tcPr>
          <w:p w14:paraId="2BD31A96">
            <w:pPr>
              <w:widowControl/>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5</w:t>
            </w:r>
          </w:p>
        </w:tc>
        <w:tc>
          <w:tcPr>
            <w:tcW w:w="1316" w:type="dxa"/>
            <w:vAlign w:val="center"/>
          </w:tcPr>
          <w:p w14:paraId="38C9F6AE">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1978" w:type="dxa"/>
          </w:tcPr>
          <w:p w14:paraId="3355DA9E">
            <w:pPr>
              <w:snapToGrid w:val="0"/>
              <w:spacing w:line="360" w:lineRule="auto"/>
              <w:jc w:val="center"/>
              <w:rPr>
                <w:rFonts w:hint="eastAsia" w:ascii="仿宋" w:hAnsi="仿宋" w:eastAsia="仿宋" w:cs="仿宋"/>
                <w:color w:val="auto"/>
                <w:sz w:val="24"/>
                <w:szCs w:val="24"/>
                <w:highlight w:val="none"/>
              </w:rPr>
            </w:pPr>
          </w:p>
        </w:tc>
      </w:tr>
      <w:tr w14:paraId="01174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vAlign w:val="center"/>
          </w:tcPr>
          <w:p w14:paraId="328872C7">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4660" w:type="dxa"/>
            <w:vAlign w:val="center"/>
          </w:tcPr>
          <w:p w14:paraId="6D27D958">
            <w:pPr>
              <w:pStyle w:val="114"/>
              <w:snapToGrid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供应商提供的园区企业隐患排查和安全生产检查专业技术支持服务方案进行打分，</w:t>
            </w:r>
            <w:r>
              <w:rPr>
                <w:rFonts w:hint="eastAsia" w:ascii="仿宋" w:hAnsi="仿宋" w:eastAsia="仿宋" w:cs="仿宋"/>
                <w:color w:val="auto"/>
                <w:sz w:val="24"/>
                <w:szCs w:val="24"/>
                <w:highlight w:val="none"/>
              </w:rPr>
              <w:t>最高</w:t>
            </w:r>
            <w:r>
              <w:rPr>
                <w:rFonts w:hint="eastAsia" w:ascii="仿宋" w:hAnsi="仿宋" w:eastAsia="仿宋" w:cs="仿宋"/>
                <w:color w:val="auto"/>
                <w:sz w:val="24"/>
                <w:szCs w:val="24"/>
                <w:highlight w:val="none"/>
                <w:lang w:eastAsia="zh-CN"/>
              </w:rPr>
              <w:t>得</w:t>
            </w:r>
            <w:r>
              <w:rPr>
                <w:rFonts w:hint="eastAsia" w:ascii="仿宋" w:hAnsi="仿宋" w:eastAsia="仿宋" w:cs="仿宋"/>
                <w:color w:val="auto"/>
                <w:sz w:val="24"/>
                <w:szCs w:val="24"/>
                <w:highlight w:val="none"/>
              </w:rPr>
              <w:t>5分。</w:t>
            </w:r>
          </w:p>
          <w:p w14:paraId="0BD73166">
            <w:pPr>
              <w:pStyle w:val="114"/>
              <w:snapToGrid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①</w:t>
            </w:r>
            <w:r>
              <w:rPr>
                <w:rFonts w:hint="eastAsia" w:ascii="仿宋" w:hAnsi="仿宋" w:eastAsia="仿宋" w:cs="仿宋"/>
                <w:color w:val="auto"/>
                <w:sz w:val="24"/>
                <w:szCs w:val="24"/>
                <w:highlight w:val="none"/>
                <w:lang w:val="en-US" w:eastAsia="zh-CN"/>
              </w:rPr>
              <w:t>服务方案完整、要点明确，方案思路清晰、科学合理，贴合项目特点的得5分；</w:t>
            </w:r>
          </w:p>
          <w:p w14:paraId="63EEAE1B">
            <w:pPr>
              <w:pStyle w:val="114"/>
              <w:snapToGrid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②</w:t>
            </w:r>
            <w:r>
              <w:rPr>
                <w:rFonts w:hint="eastAsia" w:ascii="仿宋" w:hAnsi="仿宋" w:eastAsia="仿宋" w:cs="仿宋"/>
                <w:color w:val="auto"/>
                <w:sz w:val="24"/>
                <w:szCs w:val="24"/>
                <w:highlight w:val="none"/>
                <w:lang w:val="en-US" w:eastAsia="zh-CN"/>
              </w:rPr>
              <w:t>服务方案较完整，思路较为清晰，基本符合项目要求，具备可操作性，但在细节上存在部分优化空间的得4分；​</w:t>
            </w:r>
          </w:p>
          <w:p w14:paraId="07EAE24D">
            <w:pPr>
              <w:pStyle w:val="114"/>
              <w:snapToGrid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③</w:t>
            </w:r>
            <w:r>
              <w:rPr>
                <w:rFonts w:hint="eastAsia" w:ascii="仿宋" w:hAnsi="仿宋" w:eastAsia="仿宋" w:cs="仿宋"/>
                <w:color w:val="auto"/>
                <w:sz w:val="24"/>
                <w:szCs w:val="24"/>
                <w:highlight w:val="none"/>
                <w:lang w:val="en-US" w:eastAsia="zh-CN"/>
              </w:rPr>
              <w:t>服务方案基本完整，有基础的执行框架，但内容不够深入，关键环节存在缺失，整体逻辑尚可的得3分；​</w:t>
            </w:r>
          </w:p>
          <w:p w14:paraId="19491348">
            <w:pPr>
              <w:pStyle w:val="114"/>
              <w:snapToGrid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④</w:t>
            </w:r>
            <w:r>
              <w:rPr>
                <w:rFonts w:hint="eastAsia" w:ascii="仿宋" w:hAnsi="仿宋" w:eastAsia="仿宋" w:cs="仿宋"/>
                <w:color w:val="auto"/>
                <w:sz w:val="24"/>
                <w:szCs w:val="24"/>
                <w:highlight w:val="none"/>
                <w:lang w:val="en-US" w:eastAsia="zh-CN"/>
              </w:rPr>
              <w:t>服务方案完整性不足，思路较为模糊，缺乏科学规划，仅简单罗列工作内容，与项目需求存在偏差的得2分；​</w:t>
            </w:r>
          </w:p>
          <w:p w14:paraId="15335834">
            <w:pPr>
              <w:pStyle w:val="114"/>
              <w:snapToGrid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⑤</w:t>
            </w:r>
            <w:r>
              <w:rPr>
                <w:rFonts w:hint="eastAsia" w:ascii="仿宋" w:hAnsi="仿宋" w:eastAsia="仿宋" w:cs="仿宋"/>
                <w:color w:val="auto"/>
                <w:sz w:val="24"/>
                <w:szCs w:val="24"/>
                <w:highlight w:val="none"/>
                <w:lang w:val="en-US" w:eastAsia="zh-CN"/>
              </w:rPr>
              <w:t>服务方案严重缺失，逻辑混乱，未体现对项目的理解，难以满足安全生产检查基本要求的得1分；</w:t>
            </w:r>
          </w:p>
          <w:p w14:paraId="2F5604F5">
            <w:pPr>
              <w:pStyle w:val="114"/>
              <w:snapToGrid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⑥</w:t>
            </w:r>
            <w:r>
              <w:rPr>
                <w:rFonts w:hint="eastAsia" w:ascii="仿宋" w:hAnsi="仿宋" w:eastAsia="仿宋" w:cs="仿宋"/>
                <w:color w:val="auto"/>
                <w:sz w:val="24"/>
                <w:szCs w:val="24"/>
                <w:highlight w:val="none"/>
                <w:lang w:val="en-US" w:eastAsia="zh-CN"/>
              </w:rPr>
              <w:t>未提交服务方案或内容完全不符合项目要求的得0分。</w:t>
            </w:r>
          </w:p>
        </w:tc>
        <w:tc>
          <w:tcPr>
            <w:tcW w:w="696" w:type="dxa"/>
            <w:vAlign w:val="center"/>
          </w:tcPr>
          <w:p w14:paraId="2B7CDC41">
            <w:pPr>
              <w:widowControl/>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1316" w:type="dxa"/>
            <w:vAlign w:val="center"/>
          </w:tcPr>
          <w:p w14:paraId="636D57A9">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1978" w:type="dxa"/>
          </w:tcPr>
          <w:p w14:paraId="65392F59">
            <w:pPr>
              <w:snapToGrid w:val="0"/>
              <w:spacing w:line="360" w:lineRule="auto"/>
              <w:jc w:val="center"/>
              <w:rPr>
                <w:rFonts w:hint="eastAsia" w:ascii="仿宋" w:hAnsi="仿宋" w:eastAsia="仿宋" w:cs="仿宋"/>
                <w:color w:val="auto"/>
                <w:sz w:val="24"/>
                <w:szCs w:val="24"/>
                <w:highlight w:val="none"/>
              </w:rPr>
            </w:pPr>
          </w:p>
        </w:tc>
      </w:tr>
      <w:tr w14:paraId="23A69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jc w:val="center"/>
        </w:trPr>
        <w:tc>
          <w:tcPr>
            <w:tcW w:w="833" w:type="dxa"/>
            <w:vAlign w:val="center"/>
          </w:tcPr>
          <w:p w14:paraId="5BFA67CB">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4660" w:type="dxa"/>
            <w:vAlign w:val="center"/>
          </w:tcPr>
          <w:p w14:paraId="7DCA1203">
            <w:pPr>
              <w:pStyle w:val="114"/>
              <w:snapToGrid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供应商提供的园区日常监督协助工作编制专项方案，每提供</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个专项方案最高得1分，本项最高得</w:t>
            </w:r>
            <w:r>
              <w:rPr>
                <w:rFonts w:hint="eastAsia" w:ascii="仿宋" w:hAnsi="仿宋" w:eastAsia="仿宋" w:cs="仿宋"/>
                <w:color w:val="auto"/>
                <w:sz w:val="24"/>
                <w:szCs w:val="24"/>
                <w:highlight w:val="none"/>
                <w:lang w:val="en-US" w:eastAsia="zh-CN"/>
              </w:rPr>
              <w:t>5分。</w:t>
            </w:r>
          </w:p>
          <w:p w14:paraId="66892200">
            <w:pPr>
              <w:pStyle w:val="114"/>
              <w:snapToGrid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①</w:t>
            </w:r>
            <w:r>
              <w:rPr>
                <w:rFonts w:hint="eastAsia" w:ascii="仿宋" w:hAnsi="仿宋" w:eastAsia="仿宋" w:cs="仿宋"/>
                <w:color w:val="auto"/>
                <w:sz w:val="24"/>
                <w:szCs w:val="24"/>
                <w:highlight w:val="none"/>
                <w:lang w:eastAsia="zh-CN"/>
              </w:rPr>
              <w:t>专项方案完整、逻辑合理，贴合项目特点的得1分；</w:t>
            </w:r>
          </w:p>
          <w:p w14:paraId="681EF3A6">
            <w:pPr>
              <w:pStyle w:val="114"/>
              <w:snapToGrid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②专项方案较为完整，逻辑较为合理，基本贴合项目特点的得0.5分；</w:t>
            </w:r>
          </w:p>
          <w:p w14:paraId="14F5E0CA">
            <w:pPr>
              <w:pStyle w:val="114"/>
              <w:snapToGrid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③专项方案未提供或内容完全不符合项目要求的不得分。</w:t>
            </w:r>
          </w:p>
        </w:tc>
        <w:tc>
          <w:tcPr>
            <w:tcW w:w="696" w:type="dxa"/>
            <w:vAlign w:val="center"/>
          </w:tcPr>
          <w:p w14:paraId="5E89676E">
            <w:pPr>
              <w:widowControl/>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1316" w:type="dxa"/>
            <w:vAlign w:val="center"/>
          </w:tcPr>
          <w:p w14:paraId="447A7EF9">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1978" w:type="dxa"/>
          </w:tcPr>
          <w:p w14:paraId="627F8957">
            <w:pPr>
              <w:snapToGrid w:val="0"/>
              <w:spacing w:line="360" w:lineRule="auto"/>
              <w:jc w:val="center"/>
              <w:rPr>
                <w:rFonts w:hint="eastAsia" w:ascii="仿宋" w:hAnsi="仿宋" w:eastAsia="仿宋" w:cs="仿宋"/>
                <w:color w:val="auto"/>
                <w:sz w:val="24"/>
                <w:szCs w:val="24"/>
                <w:highlight w:val="none"/>
              </w:rPr>
            </w:pPr>
          </w:p>
        </w:tc>
      </w:tr>
      <w:tr w14:paraId="752E7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vAlign w:val="center"/>
          </w:tcPr>
          <w:p w14:paraId="21EFCA10">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4660" w:type="dxa"/>
            <w:vAlign w:val="center"/>
          </w:tcPr>
          <w:p w14:paraId="07DDD51F">
            <w:pPr>
              <w:pStyle w:val="114"/>
              <w:snapToGrid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供应商提供的</w:t>
            </w:r>
            <w:r>
              <w:rPr>
                <w:rFonts w:hint="eastAsia" w:ascii="仿宋" w:hAnsi="仿宋" w:eastAsia="仿宋" w:cs="仿宋"/>
                <w:color w:val="auto"/>
                <w:sz w:val="24"/>
                <w:szCs w:val="24"/>
                <w:highlight w:val="none"/>
              </w:rPr>
              <w:t>园区综合咨询专业技术支持服务方案</w:t>
            </w:r>
            <w:r>
              <w:rPr>
                <w:rFonts w:hint="eastAsia" w:ascii="仿宋" w:hAnsi="仿宋" w:eastAsia="仿宋" w:cs="仿宋"/>
                <w:color w:val="auto"/>
                <w:sz w:val="24"/>
                <w:szCs w:val="24"/>
                <w:highlight w:val="none"/>
                <w:lang w:eastAsia="zh-CN"/>
              </w:rPr>
              <w:t>进行打分</w:t>
            </w:r>
            <w:r>
              <w:rPr>
                <w:rFonts w:hint="eastAsia" w:ascii="仿宋" w:hAnsi="仿宋" w:eastAsia="仿宋" w:cs="仿宋"/>
                <w:color w:val="auto"/>
                <w:sz w:val="24"/>
                <w:szCs w:val="24"/>
                <w:highlight w:val="none"/>
              </w:rPr>
              <w:t>，最高</w:t>
            </w:r>
            <w:r>
              <w:rPr>
                <w:rFonts w:hint="eastAsia" w:ascii="仿宋" w:hAnsi="仿宋" w:eastAsia="仿宋" w:cs="仿宋"/>
                <w:color w:val="auto"/>
                <w:sz w:val="24"/>
                <w:szCs w:val="24"/>
                <w:highlight w:val="none"/>
                <w:lang w:eastAsia="zh-CN"/>
              </w:rPr>
              <w:t>得</w:t>
            </w:r>
            <w:r>
              <w:rPr>
                <w:rFonts w:hint="eastAsia" w:ascii="仿宋" w:hAnsi="仿宋" w:eastAsia="仿宋" w:cs="仿宋"/>
                <w:color w:val="auto"/>
                <w:sz w:val="24"/>
                <w:szCs w:val="24"/>
                <w:highlight w:val="none"/>
              </w:rPr>
              <w:t>5分。</w:t>
            </w:r>
          </w:p>
          <w:p w14:paraId="42680185">
            <w:pPr>
              <w:pStyle w:val="114"/>
              <w:snapToGrid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①服务方案完整、要点明确，方案思路清晰、科学合理，贴合项目特点的得5分；​</w:t>
            </w:r>
          </w:p>
          <w:p w14:paraId="0FE8BE57">
            <w:pPr>
              <w:pStyle w:val="114"/>
              <w:snapToGrid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②服务方案较完整，核心要点明确，思路较清晰、合理，基本符合项目特点的得4分；</w:t>
            </w:r>
          </w:p>
          <w:p w14:paraId="3BE79D2D">
            <w:pPr>
              <w:pStyle w:val="114"/>
              <w:snapToGrid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③服务方案内容基本完整，关键要点无明显遗漏，思路较为清晰，对项目特点有一定体现的得3分；​</w:t>
            </w:r>
          </w:p>
          <w:p w14:paraId="16D2BB33">
            <w:pPr>
              <w:pStyle w:val="114"/>
              <w:snapToGrid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④服务方案存在部分内容缺失，要点不够全面，思路存在模糊之处，与项目特点契合度一般的得2分；​</w:t>
            </w:r>
          </w:p>
          <w:p w14:paraId="3BA5C855">
            <w:pPr>
              <w:pStyle w:val="114"/>
              <w:snapToGrid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⑤服务方案内容不完整，要点零散，思路不清晰，对项目特点体现不足的得1分；​</w:t>
            </w:r>
          </w:p>
          <w:p w14:paraId="66E4DF3E">
            <w:pPr>
              <w:pStyle w:val="114"/>
              <w:snapToGrid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⑥方案未提供或服务方案严重缺失关键内容，要点混乱，思路不合理，与项目特点脱节的得0分。</w:t>
            </w:r>
          </w:p>
        </w:tc>
        <w:tc>
          <w:tcPr>
            <w:tcW w:w="696" w:type="dxa"/>
            <w:vAlign w:val="center"/>
          </w:tcPr>
          <w:p w14:paraId="3A5FEE32">
            <w:pPr>
              <w:widowControl/>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1316" w:type="dxa"/>
            <w:vAlign w:val="center"/>
          </w:tcPr>
          <w:p w14:paraId="7DCFC1FB">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1978" w:type="dxa"/>
          </w:tcPr>
          <w:p w14:paraId="744ABD1F">
            <w:pPr>
              <w:snapToGrid w:val="0"/>
              <w:spacing w:line="360" w:lineRule="auto"/>
              <w:jc w:val="center"/>
              <w:rPr>
                <w:rFonts w:hint="eastAsia" w:ascii="仿宋" w:hAnsi="仿宋" w:eastAsia="仿宋" w:cs="仿宋"/>
                <w:color w:val="auto"/>
                <w:sz w:val="24"/>
                <w:szCs w:val="24"/>
                <w:highlight w:val="none"/>
              </w:rPr>
            </w:pPr>
          </w:p>
        </w:tc>
      </w:tr>
      <w:tr w14:paraId="4A230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vAlign w:val="center"/>
          </w:tcPr>
          <w:p w14:paraId="5D84B2A0">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4660" w:type="dxa"/>
            <w:vAlign w:val="center"/>
          </w:tcPr>
          <w:p w14:paraId="54A17B2F">
            <w:pPr>
              <w:pStyle w:val="114"/>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供应商针对项目推进和实施中可能会出现的问题和存在的困难，进行客观仔细的分析，并结合自身专业、经验等情况提出合理化建议进行打分，</w:t>
            </w:r>
            <w:r>
              <w:rPr>
                <w:rFonts w:hint="eastAsia" w:ascii="仿宋" w:hAnsi="仿宋" w:eastAsia="仿宋" w:cs="仿宋"/>
                <w:color w:val="auto"/>
                <w:sz w:val="24"/>
                <w:szCs w:val="24"/>
                <w:highlight w:val="none"/>
              </w:rPr>
              <w:t>最高</w:t>
            </w:r>
            <w:r>
              <w:rPr>
                <w:rFonts w:hint="eastAsia" w:ascii="仿宋" w:hAnsi="仿宋" w:eastAsia="仿宋" w:cs="仿宋"/>
                <w:color w:val="auto"/>
                <w:sz w:val="24"/>
                <w:szCs w:val="24"/>
                <w:highlight w:val="none"/>
                <w:lang w:eastAsia="zh-CN"/>
              </w:rPr>
              <w:t>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14:paraId="5A4C17BA">
            <w:pPr>
              <w:pStyle w:val="114"/>
              <w:snapToGrid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①合理化建议可行性强、针对性强、科学合理，充分结合自身专业经验，能有效解决项目潜在问题和困难的得4分；​</w:t>
            </w:r>
          </w:p>
          <w:p w14:paraId="2F440D94">
            <w:pPr>
              <w:pStyle w:val="114"/>
              <w:snapToGrid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②合理化建议有一定可行性和针对性，具备基本的科学性，提及部分专业经验，可缓解项目部分问题和困难的得3分；​</w:t>
            </w:r>
          </w:p>
          <w:p w14:paraId="1B89A572">
            <w:pPr>
              <w:pStyle w:val="114"/>
              <w:snapToGrid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③</w:t>
            </w:r>
            <w:r>
              <w:rPr>
                <w:rFonts w:hint="eastAsia" w:ascii="仿宋" w:hAnsi="仿宋" w:eastAsia="仿宋" w:cs="仿宋"/>
                <w:color w:val="auto"/>
                <w:sz w:val="24"/>
                <w:szCs w:val="24"/>
                <w:highlight w:val="none"/>
                <w:lang w:val="en-US" w:eastAsia="zh-CN"/>
              </w:rPr>
              <w:t>合理化建议可行性和针对性一般，科学性不足，与自身专业经验关联较弱，仅能提出少量应对措施的得2分；​</w:t>
            </w:r>
          </w:p>
          <w:p w14:paraId="3A243EA0">
            <w:pPr>
              <w:pStyle w:val="114"/>
              <w:snapToGrid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④合理化建议可行性低、针对性差，缺乏科学性，未结合专业经验，仅简单罗列问题未提有效建议的得1分；​</w:t>
            </w:r>
          </w:p>
          <w:p w14:paraId="299D8AEC">
            <w:pPr>
              <w:pStyle w:val="114"/>
              <w:snapToGrid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⑤未对项目潜在问题和困难进行分析，未提出任何合理化建议，或建议完全不具备可操作性的得0分。</w:t>
            </w:r>
          </w:p>
        </w:tc>
        <w:tc>
          <w:tcPr>
            <w:tcW w:w="696" w:type="dxa"/>
            <w:vAlign w:val="center"/>
          </w:tcPr>
          <w:p w14:paraId="63C87983">
            <w:pPr>
              <w:widowControl/>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4</w:t>
            </w:r>
          </w:p>
        </w:tc>
        <w:tc>
          <w:tcPr>
            <w:tcW w:w="1316" w:type="dxa"/>
            <w:vAlign w:val="center"/>
          </w:tcPr>
          <w:p w14:paraId="1EF7BAAD">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1978" w:type="dxa"/>
          </w:tcPr>
          <w:p w14:paraId="4D9D5D16">
            <w:pPr>
              <w:snapToGrid w:val="0"/>
              <w:spacing w:line="360" w:lineRule="auto"/>
              <w:jc w:val="center"/>
              <w:rPr>
                <w:rFonts w:hint="eastAsia" w:ascii="仿宋" w:hAnsi="仿宋" w:eastAsia="仿宋" w:cs="仿宋"/>
                <w:color w:val="auto"/>
                <w:sz w:val="24"/>
                <w:szCs w:val="24"/>
                <w:highlight w:val="none"/>
              </w:rPr>
            </w:pPr>
          </w:p>
        </w:tc>
      </w:tr>
      <w:tr w14:paraId="0B650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vAlign w:val="center"/>
          </w:tcPr>
          <w:p w14:paraId="14F9B25F">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4660" w:type="dxa"/>
            <w:vAlign w:val="center"/>
          </w:tcPr>
          <w:p w14:paraId="70DE51E0">
            <w:pPr>
              <w:pStyle w:val="114"/>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针对项目制定的检查计划</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包括检查组别、人员、时间、频次、内容和标准，制定详细工作流程、检查表、检查结果反馈表等</w:t>
            </w:r>
            <w:r>
              <w:rPr>
                <w:rFonts w:hint="eastAsia" w:ascii="仿宋" w:hAnsi="仿宋" w:eastAsia="仿宋" w:cs="仿宋"/>
                <w:color w:val="auto"/>
                <w:sz w:val="24"/>
                <w:szCs w:val="24"/>
                <w:highlight w:val="none"/>
                <w:lang w:eastAsia="zh-CN"/>
              </w:rPr>
              <w:t>进行打分</w:t>
            </w:r>
            <w:r>
              <w:rPr>
                <w:rFonts w:hint="eastAsia" w:ascii="仿宋" w:hAnsi="仿宋" w:eastAsia="仿宋" w:cs="仿宋"/>
                <w:color w:val="auto"/>
                <w:sz w:val="24"/>
                <w:szCs w:val="24"/>
                <w:highlight w:val="none"/>
              </w:rPr>
              <w:t>，最高</w:t>
            </w:r>
            <w:r>
              <w:rPr>
                <w:rFonts w:hint="eastAsia" w:ascii="仿宋" w:hAnsi="仿宋" w:eastAsia="仿宋" w:cs="仿宋"/>
                <w:color w:val="auto"/>
                <w:sz w:val="24"/>
                <w:szCs w:val="24"/>
                <w:highlight w:val="none"/>
                <w:lang w:eastAsia="zh-CN"/>
              </w:rPr>
              <w:t>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14:paraId="410F54E3">
            <w:pPr>
              <w:shd w:val="clea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①符合本项目要求且内容完整，科学合理，具有针对性和可操作性的得5分；</w:t>
            </w:r>
          </w:p>
          <w:p w14:paraId="74908480">
            <w:pPr>
              <w:shd w:val="clea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②方案内容较完整，较科学合理，针对性和可操作性较强的得4分；</w:t>
            </w:r>
          </w:p>
          <w:p w14:paraId="13E1DF10">
            <w:pPr>
              <w:shd w:val="clea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③方案合理可行，但完整性、针对性和可操作性一般的得3分；</w:t>
            </w:r>
          </w:p>
          <w:p w14:paraId="5FAACB6E">
            <w:pPr>
              <w:shd w:val="clea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④方案内容或条理性或针对性可操作性略有不足的得2分；</w:t>
            </w:r>
          </w:p>
          <w:p w14:paraId="7B031E3E">
            <w:pPr>
              <w:shd w:val="clea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⑤方案内容或条理性或针对性可操作性有明显不足的得1分；</w:t>
            </w:r>
          </w:p>
          <w:p w14:paraId="2365DD93">
            <w:pPr>
              <w:pStyle w:val="114"/>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⑥方案未提出或所提方案与本项目要求完全不符的得0分。</w:t>
            </w:r>
          </w:p>
        </w:tc>
        <w:tc>
          <w:tcPr>
            <w:tcW w:w="696" w:type="dxa"/>
            <w:vAlign w:val="center"/>
          </w:tcPr>
          <w:p w14:paraId="4BD470B2">
            <w:pPr>
              <w:widowControl/>
              <w:jc w:val="center"/>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lang w:val="en-US" w:eastAsia="zh-CN"/>
              </w:rPr>
              <w:t>5</w:t>
            </w:r>
          </w:p>
        </w:tc>
        <w:tc>
          <w:tcPr>
            <w:tcW w:w="1316" w:type="dxa"/>
            <w:vAlign w:val="center"/>
          </w:tcPr>
          <w:p w14:paraId="26C9661B">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1978" w:type="dxa"/>
          </w:tcPr>
          <w:p w14:paraId="574F8658">
            <w:pPr>
              <w:snapToGrid w:val="0"/>
              <w:spacing w:line="360" w:lineRule="auto"/>
              <w:jc w:val="center"/>
              <w:rPr>
                <w:rFonts w:hint="eastAsia" w:ascii="仿宋" w:hAnsi="仿宋" w:eastAsia="仿宋" w:cs="仿宋"/>
                <w:color w:val="auto"/>
                <w:sz w:val="24"/>
                <w:szCs w:val="24"/>
                <w:highlight w:val="none"/>
              </w:rPr>
            </w:pPr>
          </w:p>
        </w:tc>
      </w:tr>
      <w:tr w14:paraId="38061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vAlign w:val="center"/>
          </w:tcPr>
          <w:p w14:paraId="2CDD126D">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4660" w:type="dxa"/>
            <w:vAlign w:val="center"/>
          </w:tcPr>
          <w:p w14:paraId="7CB54632">
            <w:pPr>
              <w:pStyle w:val="114"/>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根据供应商提供的各项管理规章制度、监督管理、工作纪律等情况进行打分</w:t>
            </w:r>
            <w:r>
              <w:rPr>
                <w:rFonts w:hint="eastAsia" w:ascii="仿宋" w:hAnsi="仿宋" w:eastAsia="仿宋" w:cs="仿宋"/>
                <w:color w:val="auto"/>
                <w:sz w:val="24"/>
                <w:szCs w:val="24"/>
                <w:highlight w:val="none"/>
              </w:rPr>
              <w:t>，最高得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14:paraId="6C8518B4">
            <w:pPr>
              <w:pStyle w:val="114"/>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①制度全面、完整，具有针对性和可操作性的得 4 分；​</w:t>
            </w:r>
          </w:p>
          <w:p w14:paraId="4F431A67">
            <w:pPr>
              <w:pStyle w:val="114"/>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②制度较为全面，具备一定针对性与可操作性，但存在部分细节缺失的得 3 分；​</w:t>
            </w:r>
          </w:p>
          <w:p w14:paraId="6A8A6648">
            <w:pPr>
              <w:pStyle w:val="114"/>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③制度内容不够全面，针对性和可操作性较弱，关键环节存在疏漏的得 2 分；​</w:t>
            </w:r>
          </w:p>
          <w:p w14:paraId="0EDEB9F0">
            <w:pPr>
              <w:pStyle w:val="114"/>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④制度内容存在较多缺失，缺乏针对性和可操作性，难以有效指导工作的得 1 分；​</w:t>
            </w:r>
          </w:p>
          <w:p w14:paraId="391F0D83">
            <w:pPr>
              <w:pStyle w:val="114"/>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⑤未提供管理制度或制度严重不完整，无针对性和可操作性的得 0 分。</w:t>
            </w:r>
          </w:p>
        </w:tc>
        <w:tc>
          <w:tcPr>
            <w:tcW w:w="696" w:type="dxa"/>
            <w:vAlign w:val="center"/>
          </w:tcPr>
          <w:p w14:paraId="11CE8F04">
            <w:pPr>
              <w:widowControl/>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1316" w:type="dxa"/>
            <w:vAlign w:val="center"/>
          </w:tcPr>
          <w:p w14:paraId="15CBE042">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1978" w:type="dxa"/>
          </w:tcPr>
          <w:p w14:paraId="0E14AEE3">
            <w:pPr>
              <w:snapToGrid w:val="0"/>
              <w:spacing w:line="360" w:lineRule="auto"/>
              <w:jc w:val="center"/>
              <w:rPr>
                <w:rFonts w:hint="eastAsia" w:ascii="仿宋" w:hAnsi="仿宋" w:eastAsia="仿宋" w:cs="仿宋"/>
                <w:color w:val="auto"/>
                <w:sz w:val="24"/>
                <w:szCs w:val="24"/>
                <w:highlight w:val="none"/>
              </w:rPr>
            </w:pPr>
          </w:p>
        </w:tc>
      </w:tr>
      <w:tr w14:paraId="6D5CB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vAlign w:val="center"/>
          </w:tcPr>
          <w:p w14:paraId="185086AC">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4660" w:type="dxa"/>
            <w:vAlign w:val="center"/>
          </w:tcPr>
          <w:p w14:paraId="46DAD020">
            <w:pPr>
              <w:pStyle w:val="114"/>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针对本项目制定的人员培训的具体计划和实施步骤进行打分，最高</w:t>
            </w:r>
            <w:r>
              <w:rPr>
                <w:rFonts w:hint="eastAsia" w:ascii="仿宋" w:hAnsi="仿宋" w:eastAsia="仿宋" w:cs="仿宋"/>
                <w:color w:val="auto"/>
                <w:sz w:val="24"/>
                <w:szCs w:val="24"/>
                <w:highlight w:val="none"/>
                <w:lang w:eastAsia="zh-CN"/>
              </w:rPr>
              <w:t>得</w:t>
            </w:r>
            <w:r>
              <w:rPr>
                <w:rFonts w:hint="eastAsia" w:ascii="仿宋" w:hAnsi="仿宋" w:eastAsia="仿宋" w:cs="仿宋"/>
                <w:color w:val="auto"/>
                <w:sz w:val="24"/>
                <w:szCs w:val="24"/>
                <w:highlight w:val="none"/>
              </w:rPr>
              <w:t>5分。</w:t>
            </w:r>
          </w:p>
          <w:p w14:paraId="0E503808">
            <w:pPr>
              <w:shd w:val="clea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①符合本项目要求且内容完整，科学合理，具有针对性和可操作性的得5分；</w:t>
            </w:r>
          </w:p>
          <w:p w14:paraId="7C24C1B1">
            <w:pPr>
              <w:shd w:val="clea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②方案内容较完整，较科学合理，针对性和可操作性较强的得4分；</w:t>
            </w:r>
          </w:p>
          <w:p w14:paraId="191DD8CC">
            <w:pPr>
              <w:shd w:val="clea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③方案合理可行，但完整性、针对性和可操作性一般的得3分；</w:t>
            </w:r>
          </w:p>
          <w:p w14:paraId="34DE1CFF">
            <w:pPr>
              <w:shd w:val="clea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④方案内容或条理性或针对性可操作性略有不足的得2分；</w:t>
            </w:r>
          </w:p>
          <w:p w14:paraId="4283B108">
            <w:pPr>
              <w:shd w:val="clea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⑤方案内容或条理性或针对性可操作性有明显不足的得1分；</w:t>
            </w:r>
          </w:p>
          <w:p w14:paraId="30AAC0F8">
            <w:pPr>
              <w:pStyle w:val="114"/>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⑥方案未提出或所提方案与本项目要求完全不符的得0分。</w:t>
            </w:r>
          </w:p>
        </w:tc>
        <w:tc>
          <w:tcPr>
            <w:tcW w:w="696" w:type="dxa"/>
            <w:vAlign w:val="center"/>
          </w:tcPr>
          <w:p w14:paraId="48B7B1FA">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316" w:type="dxa"/>
            <w:vAlign w:val="center"/>
          </w:tcPr>
          <w:p w14:paraId="144C1A15">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1978" w:type="dxa"/>
          </w:tcPr>
          <w:p w14:paraId="7A01F6F1">
            <w:pPr>
              <w:snapToGrid w:val="0"/>
              <w:spacing w:line="360" w:lineRule="auto"/>
              <w:jc w:val="center"/>
              <w:rPr>
                <w:rFonts w:hint="eastAsia" w:ascii="仿宋" w:hAnsi="仿宋" w:eastAsia="仿宋" w:cs="仿宋"/>
                <w:color w:val="auto"/>
                <w:sz w:val="24"/>
                <w:szCs w:val="24"/>
                <w:highlight w:val="none"/>
              </w:rPr>
            </w:pPr>
          </w:p>
        </w:tc>
      </w:tr>
      <w:tr w14:paraId="6B832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vAlign w:val="center"/>
          </w:tcPr>
          <w:p w14:paraId="75E4079C">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4660" w:type="dxa"/>
            <w:vAlign w:val="center"/>
          </w:tcPr>
          <w:p w14:paraId="1B10D963">
            <w:pPr>
              <w:pStyle w:val="114"/>
              <w:snapToGrid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针对本项目</w:t>
            </w:r>
            <w:r>
              <w:rPr>
                <w:rFonts w:hint="eastAsia" w:ascii="仿宋" w:hAnsi="仿宋" w:eastAsia="仿宋" w:cs="仿宋"/>
                <w:color w:val="auto"/>
                <w:sz w:val="24"/>
                <w:szCs w:val="24"/>
                <w:highlight w:val="none"/>
                <w:lang w:eastAsia="zh-CN"/>
              </w:rPr>
              <w:t>需求提供的设施设备车辆情况进行打分，最高得</w:t>
            </w:r>
            <w:r>
              <w:rPr>
                <w:rFonts w:hint="eastAsia" w:ascii="仿宋" w:hAnsi="仿宋" w:eastAsia="仿宋" w:cs="仿宋"/>
                <w:color w:val="auto"/>
                <w:sz w:val="24"/>
                <w:szCs w:val="24"/>
                <w:highlight w:val="none"/>
                <w:lang w:val="en-US" w:eastAsia="zh-CN"/>
              </w:rPr>
              <w:t>5分。</w:t>
            </w:r>
          </w:p>
          <w:p w14:paraId="7C1F85A2">
            <w:pPr>
              <w:pStyle w:val="114"/>
              <w:snapToGrid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①设施设备种类配备齐全、功能先进，车辆配备满足项目需求的得5分。</w:t>
            </w:r>
          </w:p>
          <w:p w14:paraId="1DE2292A">
            <w:pPr>
              <w:pStyle w:val="114"/>
              <w:snapToGrid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②设施设备种类较齐全、功能较先进，车辆基本满足项目需求的得4分。​</w:t>
            </w:r>
          </w:p>
          <w:p w14:paraId="3A03C87D">
            <w:pPr>
              <w:pStyle w:val="114"/>
              <w:snapToGrid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③设施设备种类满足基础需求，功能尚可，车辆勉强满足项目需求的得3分。​</w:t>
            </w:r>
          </w:p>
          <w:p w14:paraId="6A3AB68B">
            <w:pPr>
              <w:pStyle w:val="114"/>
              <w:snapToGrid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④设施设备种类存在少量缺失，部分功能落后，车辆配备存在不足的得2分。​</w:t>
            </w:r>
          </w:p>
          <w:p w14:paraId="3A356E85">
            <w:pPr>
              <w:pStyle w:val="114"/>
              <w:snapToGrid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⑤设施设备种类缺失较多，功能陈旧，车辆配备明显不足的得 1 分。​</w:t>
            </w:r>
          </w:p>
          <w:p w14:paraId="52C0CBED">
            <w:pPr>
              <w:pStyle w:val="114"/>
              <w:snapToGrid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⑥设施设备种类严重不足，功能无法满足项目基本要求，车辆配备完全不达标的得 0 分。</w:t>
            </w:r>
          </w:p>
          <w:p w14:paraId="0745C1C5">
            <w:pPr>
              <w:pStyle w:val="395"/>
              <w:keepNext w:val="0"/>
              <w:keepLines w:val="0"/>
              <w:pageBreakBefore w:val="0"/>
              <w:widowControl w:val="0"/>
              <w:kinsoku/>
              <w:wordWrap/>
              <w:overflowPunct/>
              <w:topLinePunct w:val="0"/>
              <w:autoSpaceDE/>
              <w:autoSpaceDN/>
              <w:bidi w:val="0"/>
              <w:adjustRightInd w:val="0"/>
              <w:snapToGrid w:val="0"/>
              <w:spacing w:before="0" w:line="240" w:lineRule="auto"/>
              <w:ind w:left="0" w:leftChars="0" w:firstLine="0" w:firstLineChars="0"/>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注：1、供应商若自持设备，投标文件中提供拟投入的设备清单和设备购买发票（发票抬头需与供应商名称一致），两项材料缺一不可，否则不得分。</w:t>
            </w:r>
          </w:p>
          <w:p w14:paraId="23DBEBB2">
            <w:pPr>
              <w:pStyle w:val="395"/>
              <w:keepNext w:val="0"/>
              <w:keepLines w:val="0"/>
              <w:pageBreakBefore w:val="0"/>
              <w:widowControl w:val="0"/>
              <w:kinsoku/>
              <w:wordWrap/>
              <w:overflowPunct/>
              <w:topLinePunct w:val="0"/>
              <w:autoSpaceDE/>
              <w:autoSpaceDN/>
              <w:bidi w:val="0"/>
              <w:adjustRightInd w:val="0"/>
              <w:snapToGrid w:val="0"/>
              <w:spacing w:before="0" w:line="240" w:lineRule="auto"/>
              <w:ind w:left="0" w:leftChars="0" w:firstLine="0" w:firstLineChars="0"/>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2、供应商若租赁设备，投标文件中提供拟投入的设备清单、设备购买发票（发票抬头需与租赁方名称一致）和租赁合同，三项材料必须全部提交，否则不得分。</w:t>
            </w:r>
          </w:p>
          <w:p w14:paraId="01CF85F6">
            <w:pPr>
              <w:pStyle w:val="395"/>
              <w:keepNext w:val="0"/>
              <w:keepLines w:val="0"/>
              <w:pageBreakBefore w:val="0"/>
              <w:widowControl w:val="0"/>
              <w:kinsoku/>
              <w:wordWrap/>
              <w:overflowPunct/>
              <w:topLinePunct w:val="0"/>
              <w:autoSpaceDE/>
              <w:autoSpaceDN/>
              <w:bidi w:val="0"/>
              <w:adjustRightInd w:val="0"/>
              <w:snapToGrid w:val="0"/>
              <w:spacing w:before="0" w:line="240" w:lineRule="auto"/>
              <w:ind w:left="0" w:leftChars="0" w:firstLine="0" w:firstLineChars="0"/>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供应商若自持车辆，投标文件中须提供以下内容：供应商需提供车辆照片、年检有效的行驶证、车辆发票、有效期内的车辆保单清晰扫描件（行驶证、发票及保单抬头均须与供应商对应），车辆照片、车牌号需与车辆行驶证对应，以上内容缺一不可，否则不得分。</w:t>
            </w:r>
          </w:p>
          <w:p w14:paraId="3A159973">
            <w:pPr>
              <w:pStyle w:val="395"/>
              <w:keepNext w:val="0"/>
              <w:keepLines w:val="0"/>
              <w:pageBreakBefore w:val="0"/>
              <w:widowControl w:val="0"/>
              <w:kinsoku/>
              <w:wordWrap/>
              <w:overflowPunct/>
              <w:topLinePunct w:val="0"/>
              <w:autoSpaceDE/>
              <w:autoSpaceDN/>
              <w:bidi w:val="0"/>
              <w:adjustRightInd w:val="0"/>
              <w:snapToGrid w:val="0"/>
              <w:spacing w:before="0" w:line="240" w:lineRule="auto"/>
              <w:ind w:left="0" w:leftChars="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供应商若租赁车辆，投标文件中须提供以下内容：租赁合同、车辆照片、年检有效的行驶证、车辆发票、有效期内的车辆保单清晰扫描件（行驶证、发票及保单抬头均须与租赁方名称对应），车辆照片、车牌号与车辆行驶证需对应，以上内容缺一不可，否则不得分。</w:t>
            </w:r>
          </w:p>
        </w:tc>
        <w:tc>
          <w:tcPr>
            <w:tcW w:w="696" w:type="dxa"/>
            <w:vAlign w:val="center"/>
          </w:tcPr>
          <w:p w14:paraId="76278A7F">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316" w:type="dxa"/>
            <w:vAlign w:val="center"/>
          </w:tcPr>
          <w:p w14:paraId="50FD4838">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1978" w:type="dxa"/>
          </w:tcPr>
          <w:p w14:paraId="39F904B8">
            <w:pPr>
              <w:snapToGrid w:val="0"/>
              <w:spacing w:line="360" w:lineRule="auto"/>
              <w:jc w:val="center"/>
              <w:rPr>
                <w:rFonts w:hint="eastAsia" w:ascii="仿宋" w:hAnsi="仿宋" w:eastAsia="仿宋" w:cs="仿宋"/>
                <w:color w:val="auto"/>
                <w:sz w:val="24"/>
                <w:szCs w:val="24"/>
                <w:highlight w:val="none"/>
              </w:rPr>
            </w:pPr>
          </w:p>
        </w:tc>
      </w:tr>
      <w:tr w14:paraId="70B3A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833" w:type="dxa"/>
            <w:vAlign w:val="center"/>
          </w:tcPr>
          <w:p w14:paraId="26A9F822">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4660" w:type="dxa"/>
            <w:vAlign w:val="center"/>
          </w:tcPr>
          <w:p w14:paraId="6B9FDBCA">
            <w:pPr>
              <w:pStyle w:val="395"/>
              <w:keepNext w:val="0"/>
              <w:keepLines w:val="0"/>
              <w:pageBreakBefore w:val="0"/>
              <w:widowControl w:val="0"/>
              <w:kinsoku/>
              <w:wordWrap/>
              <w:overflowPunct/>
              <w:topLinePunct w:val="0"/>
              <w:autoSpaceDE/>
              <w:autoSpaceDN/>
              <w:bidi w:val="0"/>
              <w:adjustRightInd w:val="0"/>
              <w:snapToGrid w:val="0"/>
              <w:spacing w:before="0" w:line="240" w:lineRule="auto"/>
              <w:ind w:left="0" w:leftChars="0" w:firstLine="0" w:firstLineChars="0"/>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拟派项目负责人：①具备化工或应急管理或安全相关专业的高级工程师职称证书的得2分；具备化工或应急管理或安全相关专业的中级工程师职称证书的得1分。</w:t>
            </w:r>
          </w:p>
          <w:p w14:paraId="41849007">
            <w:pPr>
              <w:pStyle w:val="395"/>
              <w:keepNext w:val="0"/>
              <w:keepLines w:val="0"/>
              <w:pageBreakBefore w:val="0"/>
              <w:widowControl w:val="0"/>
              <w:kinsoku/>
              <w:wordWrap/>
              <w:overflowPunct/>
              <w:topLinePunct w:val="0"/>
              <w:autoSpaceDE/>
              <w:autoSpaceDN/>
              <w:bidi w:val="0"/>
              <w:adjustRightInd w:val="0"/>
              <w:snapToGrid w:val="0"/>
              <w:spacing w:before="0" w:line="240" w:lineRule="auto"/>
              <w:ind w:left="0" w:leftChars="0" w:firstLine="0" w:firstLineChars="0"/>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②属于省级及以上应急管理领域专家库成员的得1分。</w:t>
            </w:r>
          </w:p>
          <w:p w14:paraId="039E4DA1">
            <w:pPr>
              <w:pStyle w:val="395"/>
              <w:keepNext w:val="0"/>
              <w:keepLines w:val="0"/>
              <w:pageBreakBefore w:val="0"/>
              <w:widowControl w:val="0"/>
              <w:kinsoku/>
              <w:wordWrap/>
              <w:overflowPunct/>
              <w:topLinePunct w:val="0"/>
              <w:autoSpaceDE/>
              <w:autoSpaceDN/>
              <w:bidi w:val="0"/>
              <w:adjustRightInd w:val="0"/>
              <w:snapToGrid w:val="0"/>
              <w:spacing w:before="0" w:line="240" w:lineRule="auto"/>
              <w:ind w:left="0" w:leftChars="0" w:firstLine="0" w:firstLineChars="0"/>
              <w:jc w:val="both"/>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本项最高得3分。</w:t>
            </w:r>
          </w:p>
          <w:p w14:paraId="3D801640">
            <w:pPr>
              <w:pStyle w:val="395"/>
              <w:keepNext w:val="0"/>
              <w:keepLines w:val="0"/>
              <w:pageBreakBefore w:val="0"/>
              <w:widowControl w:val="0"/>
              <w:kinsoku/>
              <w:wordWrap/>
              <w:overflowPunct/>
              <w:topLinePunct w:val="0"/>
              <w:autoSpaceDE/>
              <w:autoSpaceDN/>
              <w:bidi w:val="0"/>
              <w:adjustRightInd w:val="0"/>
              <w:snapToGrid w:val="0"/>
              <w:spacing w:before="0" w:line="240" w:lineRule="auto"/>
              <w:ind w:left="0" w:leftChars="0" w:firstLine="0" w:firstLineChars="0"/>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响应文件中需提供项目负责人的相关证书和由社保部门出具的项目负责人在投标单位连续缴纳近三个月社保证明材料复印件并加盖公章；若为退休人员，需提供在本单位的退休返聘合同复印件并加盖公章；属于省级及以上应急管理领域专家库成员的须提供专家聘书复印件或注册专家的相关网页截图并加盖公章。）</w:t>
            </w:r>
          </w:p>
        </w:tc>
        <w:tc>
          <w:tcPr>
            <w:tcW w:w="696" w:type="dxa"/>
            <w:vAlign w:val="center"/>
          </w:tcPr>
          <w:p w14:paraId="4700B3C8">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c>
          <w:tcPr>
            <w:tcW w:w="1316" w:type="dxa"/>
            <w:vAlign w:val="center"/>
          </w:tcPr>
          <w:p w14:paraId="7396E5B6">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c>
          <w:tcPr>
            <w:tcW w:w="1978" w:type="dxa"/>
          </w:tcPr>
          <w:p w14:paraId="3E922631">
            <w:pPr>
              <w:snapToGrid w:val="0"/>
              <w:spacing w:line="360" w:lineRule="auto"/>
              <w:jc w:val="center"/>
              <w:rPr>
                <w:rFonts w:hint="eastAsia" w:ascii="仿宋" w:hAnsi="仿宋" w:eastAsia="仿宋" w:cs="仿宋"/>
                <w:color w:val="auto"/>
                <w:sz w:val="24"/>
                <w:szCs w:val="24"/>
                <w:highlight w:val="none"/>
              </w:rPr>
            </w:pPr>
          </w:p>
        </w:tc>
      </w:tr>
      <w:tr w14:paraId="1C14D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vAlign w:val="center"/>
          </w:tcPr>
          <w:p w14:paraId="2BEF7F09">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4660" w:type="dxa"/>
            <w:vAlign w:val="center"/>
          </w:tcPr>
          <w:p w14:paraId="7D9E10F7">
            <w:pPr>
              <w:pStyle w:val="395"/>
              <w:keepNext w:val="0"/>
              <w:keepLines w:val="0"/>
              <w:pageBreakBefore w:val="0"/>
              <w:widowControl w:val="0"/>
              <w:kinsoku/>
              <w:wordWrap/>
              <w:overflowPunct/>
              <w:topLinePunct w:val="0"/>
              <w:autoSpaceDE/>
              <w:autoSpaceDN/>
              <w:bidi w:val="0"/>
              <w:adjustRightInd w:val="0"/>
              <w:snapToGrid w:val="0"/>
              <w:spacing w:before="0" w:line="240" w:lineRule="auto"/>
              <w:ind w:left="0" w:leftChars="0" w:firstLine="0" w:firstLineChars="0"/>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拟派项目负责人担任过类似项目省级及以上安全生产技术服务项目的项目负责人的得3分；担任过类似项目地市级安全生产技术服务项目的项目负责人的得2分；担任过类似项目县级安全生产技术服务项目的项目负责人的得1分，本项最高得3分。</w:t>
            </w:r>
          </w:p>
          <w:p w14:paraId="37F6BB76">
            <w:pPr>
              <w:pStyle w:val="395"/>
              <w:keepNext w:val="0"/>
              <w:keepLines w:val="0"/>
              <w:pageBreakBefore w:val="0"/>
              <w:widowControl w:val="0"/>
              <w:kinsoku/>
              <w:wordWrap/>
              <w:overflowPunct/>
              <w:topLinePunct w:val="0"/>
              <w:autoSpaceDE/>
              <w:autoSpaceDN/>
              <w:bidi w:val="0"/>
              <w:adjustRightInd w:val="0"/>
              <w:snapToGrid w:val="0"/>
              <w:spacing w:before="0" w:line="240" w:lineRule="auto"/>
              <w:ind w:left="0" w:leftChars="0" w:firstLine="0" w:firstLineChars="0"/>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（①本业绩需满足以下要求：与招标文件 “第五部分 评审方法及评审标准” 第 19 项中已列举的类似项目成功案例不得存在重复情况，若重复，此项不得分；</w:t>
            </w:r>
          </w:p>
          <w:p w14:paraId="2DF0048A">
            <w:pPr>
              <w:pStyle w:val="395"/>
              <w:keepNext w:val="0"/>
              <w:keepLines w:val="0"/>
              <w:pageBreakBefore w:val="0"/>
              <w:widowControl w:val="0"/>
              <w:kinsoku/>
              <w:wordWrap/>
              <w:overflowPunct/>
              <w:topLinePunct w:val="0"/>
              <w:autoSpaceDE/>
              <w:autoSpaceDN/>
              <w:bidi w:val="0"/>
              <w:adjustRightInd w:val="0"/>
              <w:snapToGrid w:val="0"/>
              <w:spacing w:before="0" w:line="240" w:lineRule="auto"/>
              <w:ind w:left="0" w:leftChars="0" w:firstLine="0" w:firstLineChars="0"/>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②类似项目证明材料提交要求：供应商须提供类似项目合同或中标通知书复印件作为业绩证明材料；</w:t>
            </w:r>
          </w:p>
          <w:p w14:paraId="233B5C72">
            <w:pPr>
              <w:pStyle w:val="395"/>
              <w:keepNext w:val="0"/>
              <w:keepLines w:val="0"/>
              <w:pageBreakBefore w:val="0"/>
              <w:widowControl w:val="0"/>
              <w:kinsoku/>
              <w:wordWrap/>
              <w:overflowPunct/>
              <w:topLinePunct w:val="0"/>
              <w:autoSpaceDE/>
              <w:autoSpaceDN/>
              <w:bidi w:val="0"/>
              <w:adjustRightInd w:val="0"/>
              <w:snapToGrid w:val="0"/>
              <w:spacing w:before="0" w:line="240" w:lineRule="auto"/>
              <w:ind w:left="0" w:leftChars="0" w:firstLine="0" w:firstLineChars="0"/>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③项目负责人信息体现要求：若合同或中标通知书复印件中已明确标注项目负责人信息，则无需额外提交材料；若合同或中标通知书复印件无法体现项目负责人信息，供应商需额外提供由甲方出具的书面证明材料，该证明需包含项目名称、合同签订时间、项目负责人姓名及职务等关键信息，并加盖甲方公章。</w:t>
            </w:r>
          </w:p>
          <w:p w14:paraId="15F39992">
            <w:pPr>
              <w:pStyle w:val="395"/>
              <w:keepNext w:val="0"/>
              <w:keepLines w:val="0"/>
              <w:pageBreakBefore w:val="0"/>
              <w:widowControl w:val="0"/>
              <w:kinsoku/>
              <w:wordWrap/>
              <w:overflowPunct/>
              <w:topLinePunct w:val="0"/>
              <w:autoSpaceDE/>
              <w:autoSpaceDN/>
              <w:bidi w:val="0"/>
              <w:adjustRightInd w:val="0"/>
              <w:snapToGrid w:val="0"/>
              <w:spacing w:before="0" w:line="240" w:lineRule="auto"/>
              <w:ind w:left="0" w:leftChars="0" w:firstLine="0" w:firstLineChars="0"/>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以上证明材料不提供不得分。）</w:t>
            </w:r>
          </w:p>
        </w:tc>
        <w:tc>
          <w:tcPr>
            <w:tcW w:w="696" w:type="dxa"/>
            <w:vAlign w:val="center"/>
          </w:tcPr>
          <w:p w14:paraId="00427AAC">
            <w:pPr>
              <w:adjustRightInd/>
              <w:spacing w:line="36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316" w:type="dxa"/>
            <w:vAlign w:val="center"/>
          </w:tcPr>
          <w:p w14:paraId="6F8404A0">
            <w:pPr>
              <w:snapToGrid w:val="0"/>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客观分</w:t>
            </w:r>
          </w:p>
        </w:tc>
        <w:tc>
          <w:tcPr>
            <w:tcW w:w="1978" w:type="dxa"/>
          </w:tcPr>
          <w:p w14:paraId="069CA4B2">
            <w:pPr>
              <w:snapToGrid w:val="0"/>
              <w:spacing w:line="360" w:lineRule="auto"/>
              <w:jc w:val="center"/>
              <w:rPr>
                <w:rFonts w:hint="eastAsia" w:ascii="仿宋" w:hAnsi="仿宋" w:eastAsia="仿宋" w:cs="仿宋"/>
                <w:color w:val="auto"/>
                <w:sz w:val="24"/>
                <w:szCs w:val="24"/>
                <w:highlight w:val="none"/>
              </w:rPr>
            </w:pPr>
          </w:p>
          <w:p w14:paraId="18AB4FA5">
            <w:pPr>
              <w:snapToGrid w:val="0"/>
              <w:spacing w:line="360" w:lineRule="auto"/>
              <w:jc w:val="center"/>
              <w:rPr>
                <w:rFonts w:hint="eastAsia" w:ascii="仿宋" w:hAnsi="仿宋" w:eastAsia="仿宋" w:cs="仿宋"/>
                <w:color w:val="auto"/>
                <w:sz w:val="24"/>
                <w:szCs w:val="24"/>
                <w:highlight w:val="none"/>
              </w:rPr>
            </w:pPr>
          </w:p>
        </w:tc>
      </w:tr>
      <w:tr w14:paraId="050D6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vAlign w:val="center"/>
          </w:tcPr>
          <w:p w14:paraId="382E0C6A">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4660" w:type="dxa"/>
            <w:vAlign w:val="center"/>
          </w:tcPr>
          <w:p w14:paraId="3FEFACC9">
            <w:pPr>
              <w:pStyle w:val="395"/>
              <w:keepNext w:val="0"/>
              <w:keepLines w:val="0"/>
              <w:pageBreakBefore w:val="0"/>
              <w:widowControl w:val="0"/>
              <w:kinsoku/>
              <w:wordWrap/>
              <w:overflowPunct/>
              <w:topLinePunct w:val="0"/>
              <w:autoSpaceDE/>
              <w:autoSpaceDN/>
              <w:bidi w:val="0"/>
              <w:adjustRightInd w:val="0"/>
              <w:snapToGrid w:val="0"/>
              <w:spacing w:before="0" w:line="240" w:lineRule="auto"/>
              <w:ind w:left="0" w:leftChars="0" w:firstLine="0" w:firstLineChars="0"/>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拟派驻点人员5人中（项目负责人除外）</w:t>
            </w:r>
          </w:p>
          <w:p w14:paraId="630F1728">
            <w:pPr>
              <w:pStyle w:val="395"/>
              <w:keepNext w:val="0"/>
              <w:keepLines w:val="0"/>
              <w:pageBreakBefore w:val="0"/>
              <w:widowControl w:val="0"/>
              <w:kinsoku/>
              <w:wordWrap/>
              <w:overflowPunct/>
              <w:topLinePunct w:val="0"/>
              <w:autoSpaceDE/>
              <w:autoSpaceDN/>
              <w:bidi w:val="0"/>
              <w:adjustRightInd w:val="0"/>
              <w:snapToGrid w:val="0"/>
              <w:spacing w:before="0" w:line="240" w:lineRule="auto"/>
              <w:ind w:left="0" w:leftChars="0" w:firstLine="0" w:firstLineChars="0"/>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①具备化工或应急管理或安全相关专业的高级安全工程师职称证书的得2分，具备化工或应急管理或安全相关专业的中级工程师职称证书的得1分，每人多本证的此项按最高等级仅计一次分，此小项最高得10分。</w:t>
            </w:r>
          </w:p>
          <w:p w14:paraId="34751125">
            <w:pPr>
              <w:pStyle w:val="395"/>
              <w:keepNext w:val="0"/>
              <w:keepLines w:val="0"/>
              <w:pageBreakBefore w:val="0"/>
              <w:widowControl w:val="0"/>
              <w:kinsoku/>
              <w:wordWrap/>
              <w:overflowPunct/>
              <w:topLinePunct w:val="0"/>
              <w:autoSpaceDE/>
              <w:autoSpaceDN/>
              <w:bidi w:val="0"/>
              <w:adjustRightInd w:val="0"/>
              <w:snapToGrid w:val="0"/>
              <w:spacing w:before="0" w:line="240" w:lineRule="auto"/>
              <w:ind w:left="0" w:leftChars="0" w:firstLine="0" w:firstLineChars="0"/>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②属于省级及以上应急管理领域专家库成员的，每提供1人得0.5分，此小项最高得1分。</w:t>
            </w:r>
          </w:p>
          <w:p w14:paraId="0EF91730">
            <w:pPr>
              <w:pStyle w:val="395"/>
              <w:keepNext w:val="0"/>
              <w:keepLines w:val="0"/>
              <w:pageBreakBefore w:val="0"/>
              <w:widowControl w:val="0"/>
              <w:kinsoku/>
              <w:wordWrap/>
              <w:overflowPunct/>
              <w:topLinePunct w:val="0"/>
              <w:autoSpaceDE/>
              <w:autoSpaceDN/>
              <w:bidi w:val="0"/>
              <w:adjustRightInd w:val="0"/>
              <w:snapToGrid w:val="0"/>
              <w:spacing w:before="0" w:line="240" w:lineRule="auto"/>
              <w:ind w:left="0" w:leftChars="0" w:firstLine="0" w:firstLineChars="0"/>
              <w:jc w:val="both"/>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本项最高11分。</w:t>
            </w:r>
          </w:p>
          <w:p w14:paraId="4D99DDF4">
            <w:pPr>
              <w:pStyle w:val="395"/>
              <w:keepNext w:val="0"/>
              <w:keepLines w:val="0"/>
              <w:pageBreakBefore w:val="0"/>
              <w:widowControl w:val="0"/>
              <w:kinsoku/>
              <w:wordWrap/>
              <w:overflowPunct/>
              <w:topLinePunct w:val="0"/>
              <w:autoSpaceDE/>
              <w:autoSpaceDN/>
              <w:bidi w:val="0"/>
              <w:adjustRightInd w:val="0"/>
              <w:snapToGrid w:val="0"/>
              <w:spacing w:before="0" w:line="240" w:lineRule="auto"/>
              <w:ind w:left="0" w:leftChars="0" w:firstLine="0" w:firstLineChars="0"/>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响应文件中需提供相关人员证书复印件及由社保部门出具的在投标单位连续缴纳近三个月社保证明材料复印件并加盖公章。属于省级及以上应急管理领域专家库成员的须提供专家聘书复印件或注册专家的相关网页截图并加盖公章。以上证明材料不提供不得分。）</w:t>
            </w:r>
          </w:p>
        </w:tc>
        <w:tc>
          <w:tcPr>
            <w:tcW w:w="696" w:type="dxa"/>
            <w:vAlign w:val="center"/>
          </w:tcPr>
          <w:p w14:paraId="79B49999">
            <w:pPr>
              <w:shd w:val="clea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p w14:paraId="1AB0B9C6">
            <w:pPr>
              <w:shd w:val="clear"/>
              <w:snapToGrid w:val="0"/>
              <w:jc w:val="center"/>
              <w:rPr>
                <w:rFonts w:hint="eastAsia" w:ascii="仿宋" w:hAnsi="仿宋" w:eastAsia="仿宋" w:cs="仿宋"/>
                <w:color w:val="auto"/>
                <w:sz w:val="24"/>
                <w:szCs w:val="24"/>
                <w:highlight w:val="none"/>
                <w:lang w:val="en-US" w:eastAsia="zh-CN"/>
              </w:rPr>
            </w:pPr>
          </w:p>
        </w:tc>
        <w:tc>
          <w:tcPr>
            <w:tcW w:w="1316" w:type="dxa"/>
            <w:vAlign w:val="center"/>
          </w:tcPr>
          <w:p w14:paraId="035AC2A4">
            <w:pPr>
              <w:pStyle w:val="395"/>
              <w:shd w:val="clear"/>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客观分</w:t>
            </w:r>
          </w:p>
        </w:tc>
        <w:tc>
          <w:tcPr>
            <w:tcW w:w="1978" w:type="dxa"/>
          </w:tcPr>
          <w:p w14:paraId="40743EA8">
            <w:pPr>
              <w:snapToGrid w:val="0"/>
              <w:spacing w:line="360" w:lineRule="auto"/>
              <w:jc w:val="center"/>
              <w:rPr>
                <w:rFonts w:hint="eastAsia" w:ascii="仿宋" w:hAnsi="仿宋" w:eastAsia="仿宋" w:cs="仿宋"/>
                <w:color w:val="auto"/>
                <w:sz w:val="24"/>
                <w:szCs w:val="24"/>
                <w:highlight w:val="none"/>
              </w:rPr>
            </w:pPr>
          </w:p>
        </w:tc>
      </w:tr>
      <w:tr w14:paraId="70B75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vAlign w:val="center"/>
          </w:tcPr>
          <w:p w14:paraId="5F7A0413">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4660" w:type="dxa"/>
            <w:vAlign w:val="center"/>
          </w:tcPr>
          <w:p w14:paraId="259F6F74">
            <w:pPr>
              <w:pStyle w:val="395"/>
              <w:keepNext w:val="0"/>
              <w:keepLines w:val="0"/>
              <w:pageBreakBefore w:val="0"/>
              <w:widowControl w:val="0"/>
              <w:kinsoku/>
              <w:wordWrap/>
              <w:overflowPunct/>
              <w:topLinePunct w:val="0"/>
              <w:autoSpaceDE/>
              <w:autoSpaceDN/>
              <w:bidi w:val="0"/>
              <w:adjustRightInd w:val="0"/>
              <w:snapToGrid w:val="0"/>
              <w:spacing w:before="0" w:line="240" w:lineRule="auto"/>
              <w:ind w:left="0" w:leftChars="0" w:firstLine="0" w:firstLineChars="0"/>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为保证园区应急突发事件科学妥善快速处置，供应商储备的技术后备力量（项目负责人及驻点人员除外）。</w:t>
            </w:r>
          </w:p>
          <w:p w14:paraId="2821ACF7">
            <w:pPr>
              <w:pStyle w:val="395"/>
              <w:keepNext w:val="0"/>
              <w:keepLines w:val="0"/>
              <w:pageBreakBefore w:val="0"/>
              <w:widowControl w:val="0"/>
              <w:kinsoku/>
              <w:wordWrap/>
              <w:overflowPunct/>
              <w:topLinePunct w:val="0"/>
              <w:autoSpaceDE/>
              <w:autoSpaceDN/>
              <w:bidi w:val="0"/>
              <w:adjustRightInd w:val="0"/>
              <w:snapToGrid w:val="0"/>
              <w:spacing w:before="0" w:line="240" w:lineRule="auto"/>
              <w:ind w:left="0" w:leftChars="0" w:firstLine="0" w:firstLineChars="0"/>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①技术储备人员具备化工或应急管理或安全相关专业的高级工程师职称证书的得1分；具备化工或应急管理或安全相关专业的中级工程师职称证书的得0.5分，此小项最高得4分。</w:t>
            </w:r>
          </w:p>
          <w:p w14:paraId="30C9B456">
            <w:pPr>
              <w:pStyle w:val="395"/>
              <w:keepNext w:val="0"/>
              <w:keepLines w:val="0"/>
              <w:pageBreakBefore w:val="0"/>
              <w:widowControl w:val="0"/>
              <w:kinsoku/>
              <w:wordWrap/>
              <w:overflowPunct/>
              <w:topLinePunct w:val="0"/>
              <w:autoSpaceDE/>
              <w:autoSpaceDN/>
              <w:bidi w:val="0"/>
              <w:adjustRightInd w:val="0"/>
              <w:snapToGrid w:val="0"/>
              <w:spacing w:before="0" w:line="240" w:lineRule="auto"/>
              <w:ind w:left="0" w:leftChars="0" w:firstLine="0" w:firstLineChars="0"/>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②技术储备人员属于省级及以上应急管理领域专家库成员的，每提供1人得0.5分，此小项最高得2分。</w:t>
            </w:r>
          </w:p>
          <w:p w14:paraId="797EDA36">
            <w:pPr>
              <w:pStyle w:val="395"/>
              <w:keepNext w:val="0"/>
              <w:keepLines w:val="0"/>
              <w:pageBreakBefore w:val="0"/>
              <w:widowControl w:val="0"/>
              <w:kinsoku/>
              <w:wordWrap/>
              <w:overflowPunct/>
              <w:topLinePunct w:val="0"/>
              <w:autoSpaceDE/>
              <w:autoSpaceDN/>
              <w:bidi w:val="0"/>
              <w:adjustRightInd w:val="0"/>
              <w:snapToGrid w:val="0"/>
              <w:spacing w:before="0" w:line="240" w:lineRule="auto"/>
              <w:ind w:left="0" w:leftChars="0" w:firstLine="0" w:firstLineChars="0"/>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本项最高6分。</w:t>
            </w:r>
          </w:p>
          <w:p w14:paraId="23C26F57">
            <w:pPr>
              <w:pStyle w:val="395"/>
              <w:keepNext w:val="0"/>
              <w:keepLines w:val="0"/>
              <w:pageBreakBefore w:val="0"/>
              <w:widowControl w:val="0"/>
              <w:kinsoku/>
              <w:wordWrap/>
              <w:overflowPunct/>
              <w:topLinePunct w:val="0"/>
              <w:autoSpaceDE/>
              <w:autoSpaceDN/>
              <w:bidi w:val="0"/>
              <w:adjustRightInd w:val="0"/>
              <w:snapToGrid w:val="0"/>
              <w:spacing w:before="0" w:line="240" w:lineRule="auto"/>
              <w:ind w:left="0" w:leftChars="0" w:firstLine="0" w:firstLineChars="0"/>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响应文件中需提供技术储备人员相关证书和由社保部门出具的在投标单位连续缴纳近三个月社保证明材料复印件并加盖公章，属于省级及以上应急管理领域专家库成员的须提供专家聘书复印件或注册专家的相关网页截图并加盖公章。不提供不得分）</w:t>
            </w:r>
          </w:p>
        </w:tc>
        <w:tc>
          <w:tcPr>
            <w:tcW w:w="696" w:type="dxa"/>
            <w:vAlign w:val="center"/>
          </w:tcPr>
          <w:p w14:paraId="3AB070D6">
            <w:pPr>
              <w:shd w:val="clea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316" w:type="dxa"/>
            <w:vAlign w:val="center"/>
          </w:tcPr>
          <w:p w14:paraId="6C207A08">
            <w:pPr>
              <w:pStyle w:val="395"/>
              <w:shd w:val="clear"/>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客观分</w:t>
            </w:r>
          </w:p>
        </w:tc>
        <w:tc>
          <w:tcPr>
            <w:tcW w:w="1978" w:type="dxa"/>
          </w:tcPr>
          <w:p w14:paraId="65078A93">
            <w:pPr>
              <w:snapToGrid w:val="0"/>
              <w:spacing w:line="360" w:lineRule="auto"/>
              <w:jc w:val="center"/>
              <w:rPr>
                <w:rFonts w:hint="eastAsia" w:ascii="仿宋" w:hAnsi="仿宋" w:eastAsia="仿宋" w:cs="仿宋"/>
                <w:color w:val="auto"/>
                <w:sz w:val="24"/>
                <w:szCs w:val="24"/>
                <w:highlight w:val="none"/>
              </w:rPr>
            </w:pPr>
          </w:p>
        </w:tc>
      </w:tr>
      <w:tr w14:paraId="6BA90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vAlign w:val="center"/>
          </w:tcPr>
          <w:p w14:paraId="05546E98">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4660" w:type="dxa"/>
            <w:vAlign w:val="center"/>
          </w:tcPr>
          <w:p w14:paraId="2E52BFD5">
            <w:pPr>
              <w:shd w:val="clea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根据服务质量</w:t>
            </w:r>
            <w:r>
              <w:rPr>
                <w:rFonts w:hint="eastAsia" w:ascii="仿宋" w:hAnsi="仿宋" w:eastAsia="仿宋" w:cs="仿宋"/>
                <w:color w:val="auto"/>
                <w:sz w:val="24"/>
                <w:szCs w:val="24"/>
                <w:highlight w:val="none"/>
                <w:lang w:eastAsia="zh-CN"/>
              </w:rPr>
              <w:t>保障措施</w:t>
            </w:r>
            <w:r>
              <w:rPr>
                <w:rFonts w:hint="eastAsia" w:ascii="仿宋" w:hAnsi="仿宋" w:eastAsia="仿宋" w:cs="仿宋"/>
                <w:color w:val="auto"/>
                <w:sz w:val="24"/>
                <w:szCs w:val="24"/>
                <w:highlight w:val="none"/>
              </w:rPr>
              <w:t>情况的完善性、保障性、可行性等进行打分，最高得5分。</w:t>
            </w:r>
          </w:p>
          <w:p w14:paraId="2C2CE442">
            <w:pPr>
              <w:shd w:val="clea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①符合本项目要求且内容完整，科学合理，具有针对性和可操作性的得5分；</w:t>
            </w:r>
          </w:p>
          <w:p w14:paraId="178B737E">
            <w:pPr>
              <w:shd w:val="clea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②方案内容较完整，较科学合理，针对性和可操作性较强的得4分；</w:t>
            </w:r>
          </w:p>
          <w:p w14:paraId="5E445F9F">
            <w:pPr>
              <w:shd w:val="clea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③方案合理可行，但完整性、针对性和可操作性一般的得3分；</w:t>
            </w:r>
          </w:p>
          <w:p w14:paraId="170800EC">
            <w:pPr>
              <w:shd w:val="clea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④方案内容或条理性或针对性可操作性略有不足的得2分；</w:t>
            </w:r>
          </w:p>
          <w:p w14:paraId="67DD54FA">
            <w:pPr>
              <w:shd w:val="clea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⑤方案内容或条理性或针对性可操作性有明显不足的得1分；</w:t>
            </w:r>
          </w:p>
          <w:p w14:paraId="4CCC067A">
            <w:pPr>
              <w:shd w:val="clea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⑥方案未提出或所提方案与本项目要求完全不符的得0分。</w:t>
            </w:r>
          </w:p>
        </w:tc>
        <w:tc>
          <w:tcPr>
            <w:tcW w:w="696" w:type="dxa"/>
            <w:vAlign w:val="center"/>
          </w:tcPr>
          <w:p w14:paraId="75AEBB2E">
            <w:pPr>
              <w:shd w:val="clea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5</w:t>
            </w:r>
          </w:p>
        </w:tc>
        <w:tc>
          <w:tcPr>
            <w:tcW w:w="1316" w:type="dxa"/>
            <w:vAlign w:val="center"/>
          </w:tcPr>
          <w:p w14:paraId="100F17DD">
            <w:pPr>
              <w:pStyle w:val="395"/>
              <w:shd w:val="clear"/>
              <w:spacing w:before="0"/>
              <w:ind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主观分</w:t>
            </w:r>
          </w:p>
        </w:tc>
        <w:tc>
          <w:tcPr>
            <w:tcW w:w="1978" w:type="dxa"/>
          </w:tcPr>
          <w:p w14:paraId="301DCB60">
            <w:pPr>
              <w:snapToGrid w:val="0"/>
              <w:spacing w:line="360" w:lineRule="auto"/>
              <w:jc w:val="center"/>
              <w:rPr>
                <w:rFonts w:hint="eastAsia" w:ascii="仿宋" w:hAnsi="仿宋" w:eastAsia="仿宋" w:cs="仿宋"/>
                <w:color w:val="auto"/>
                <w:sz w:val="24"/>
                <w:szCs w:val="24"/>
                <w:highlight w:val="none"/>
              </w:rPr>
            </w:pPr>
          </w:p>
        </w:tc>
      </w:tr>
      <w:tr w14:paraId="16085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vAlign w:val="center"/>
          </w:tcPr>
          <w:p w14:paraId="7DB87729">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4660" w:type="dxa"/>
            <w:vAlign w:val="center"/>
          </w:tcPr>
          <w:p w14:paraId="39E77E85">
            <w:pPr>
              <w:pStyle w:val="114"/>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eastAsia="zh-CN"/>
              </w:rPr>
              <w:t>的防止人员意外情况或重大过失的预防方案、人员替补力量方案</w:t>
            </w:r>
            <w:r>
              <w:rPr>
                <w:rFonts w:hint="eastAsia" w:ascii="仿宋" w:hAnsi="仿宋" w:eastAsia="仿宋" w:cs="仿宋"/>
                <w:color w:val="auto"/>
                <w:sz w:val="24"/>
                <w:szCs w:val="24"/>
                <w:highlight w:val="none"/>
              </w:rPr>
              <w:t>进行打分，最高得5分。</w:t>
            </w:r>
          </w:p>
          <w:p w14:paraId="21669BE6">
            <w:pPr>
              <w:shd w:val="clea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①方案内容完整，科学合理，具有针对性和可操作性的得5分；</w:t>
            </w:r>
          </w:p>
          <w:p w14:paraId="162BCB24">
            <w:pPr>
              <w:shd w:val="clea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②方案内容较完整，较科学合理，针对性和可操作性较强的得4分；</w:t>
            </w:r>
          </w:p>
          <w:p w14:paraId="2EED2E90">
            <w:pPr>
              <w:shd w:val="clea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③方案合理可行，但完整性、针对性和可操作性一般的得3分；</w:t>
            </w:r>
          </w:p>
          <w:p w14:paraId="345988EF">
            <w:pPr>
              <w:shd w:val="clea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④方案内容或条理性或针对性可操作性略有不足的得2分；</w:t>
            </w:r>
          </w:p>
          <w:p w14:paraId="123D710A">
            <w:pPr>
              <w:shd w:val="clea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⑤方案内容或条理性或针对性可操作性有明显不足的得1分；</w:t>
            </w:r>
          </w:p>
          <w:p w14:paraId="4A688894">
            <w:pPr>
              <w:pStyle w:val="114"/>
              <w:snapToGrid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⑥方案未提出或所提方案与本项目要求完全不符的得0分。</w:t>
            </w:r>
          </w:p>
        </w:tc>
        <w:tc>
          <w:tcPr>
            <w:tcW w:w="696" w:type="dxa"/>
            <w:vAlign w:val="center"/>
          </w:tcPr>
          <w:p w14:paraId="603DD11B">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316" w:type="dxa"/>
            <w:vAlign w:val="center"/>
          </w:tcPr>
          <w:p w14:paraId="4DEBD183">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1978" w:type="dxa"/>
          </w:tcPr>
          <w:p w14:paraId="09BFC036">
            <w:pPr>
              <w:snapToGrid w:val="0"/>
              <w:spacing w:line="360" w:lineRule="auto"/>
              <w:jc w:val="center"/>
              <w:rPr>
                <w:rFonts w:hint="eastAsia" w:ascii="仿宋" w:hAnsi="仿宋" w:eastAsia="仿宋" w:cs="仿宋"/>
                <w:color w:val="auto"/>
                <w:sz w:val="24"/>
                <w:szCs w:val="24"/>
                <w:highlight w:val="none"/>
              </w:rPr>
            </w:pPr>
          </w:p>
        </w:tc>
      </w:tr>
      <w:tr w14:paraId="3EB7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vAlign w:val="center"/>
          </w:tcPr>
          <w:p w14:paraId="09E32DB3">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4660" w:type="dxa"/>
            <w:vAlign w:val="center"/>
          </w:tcPr>
          <w:p w14:paraId="26FF4713">
            <w:pPr>
              <w:shd w:val="clea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供应商对本项目数据、资料等内容提供的保密方案及应对措施</w:t>
            </w:r>
            <w:r>
              <w:rPr>
                <w:rFonts w:hint="eastAsia" w:ascii="仿宋" w:hAnsi="仿宋" w:eastAsia="仿宋" w:cs="仿宋"/>
                <w:color w:val="auto"/>
                <w:sz w:val="24"/>
                <w:szCs w:val="24"/>
                <w:highlight w:val="none"/>
              </w:rPr>
              <w:t>的完善性、保障性、可行性等进行打分，最高得5分。</w:t>
            </w:r>
          </w:p>
          <w:p w14:paraId="69111C67">
            <w:pPr>
              <w:shd w:val="clea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①符合本项目要求且内容完整，科学合理，具有针对性和可操作性的得5分；</w:t>
            </w:r>
          </w:p>
          <w:p w14:paraId="06D51103">
            <w:pPr>
              <w:shd w:val="clea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②方案内容较完整，较科学合理，针对性和可操作性较强的得4分；</w:t>
            </w:r>
          </w:p>
          <w:p w14:paraId="065BF0A7">
            <w:pPr>
              <w:shd w:val="clea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③方案合理可行，但完整性、针对性和可操作性一般的得3分；</w:t>
            </w:r>
          </w:p>
          <w:p w14:paraId="5A542260">
            <w:pPr>
              <w:shd w:val="clea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④方案内容或条理性或针对性可操作性略有不足的得2分；</w:t>
            </w:r>
          </w:p>
          <w:p w14:paraId="4C642216">
            <w:pPr>
              <w:shd w:val="clea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⑤方案内容或条理性或针对性可操作性有明显不足的得1分；</w:t>
            </w:r>
          </w:p>
          <w:p w14:paraId="15099BF7">
            <w:pPr>
              <w:shd w:val="clear"/>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⑥方案未提出或所提方案与本项目要求完全不符的得0分。</w:t>
            </w:r>
          </w:p>
        </w:tc>
        <w:tc>
          <w:tcPr>
            <w:tcW w:w="696" w:type="dxa"/>
            <w:vAlign w:val="center"/>
          </w:tcPr>
          <w:p w14:paraId="51E67E82">
            <w:pPr>
              <w:shd w:val="clea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p>
        </w:tc>
        <w:tc>
          <w:tcPr>
            <w:tcW w:w="1316" w:type="dxa"/>
            <w:vAlign w:val="center"/>
          </w:tcPr>
          <w:p w14:paraId="2E16BFEC">
            <w:pPr>
              <w:pStyle w:val="395"/>
              <w:shd w:val="clear"/>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主观分</w:t>
            </w:r>
          </w:p>
        </w:tc>
        <w:tc>
          <w:tcPr>
            <w:tcW w:w="1978" w:type="dxa"/>
          </w:tcPr>
          <w:p w14:paraId="404CF6B5">
            <w:pPr>
              <w:snapToGrid w:val="0"/>
              <w:spacing w:line="360" w:lineRule="auto"/>
              <w:jc w:val="center"/>
              <w:rPr>
                <w:rFonts w:hint="eastAsia" w:ascii="仿宋" w:hAnsi="仿宋" w:eastAsia="仿宋" w:cs="仿宋"/>
                <w:color w:val="auto"/>
                <w:sz w:val="24"/>
                <w:szCs w:val="24"/>
                <w:highlight w:val="none"/>
              </w:rPr>
            </w:pPr>
          </w:p>
        </w:tc>
      </w:tr>
      <w:tr w14:paraId="2FE1A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vAlign w:val="center"/>
          </w:tcPr>
          <w:p w14:paraId="6497847C">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4660" w:type="dxa"/>
            <w:vAlign w:val="center"/>
          </w:tcPr>
          <w:p w14:paraId="5B57CE8B">
            <w:pPr>
              <w:shd w:val="clea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供应商技术力量（技术支撑条件、安全生产数字化系统、企业安全服务类型）、</w:t>
            </w:r>
            <w:r>
              <w:rPr>
                <w:rFonts w:hint="eastAsia" w:ascii="仿宋" w:hAnsi="仿宋" w:eastAsia="仿宋" w:cs="仿宋"/>
                <w:color w:val="auto"/>
                <w:sz w:val="24"/>
                <w:szCs w:val="24"/>
                <w:highlight w:val="none"/>
              </w:rPr>
              <w:t>诚信</w:t>
            </w:r>
            <w:r>
              <w:rPr>
                <w:rFonts w:hint="eastAsia" w:ascii="仿宋" w:hAnsi="仿宋" w:eastAsia="仿宋" w:cs="仿宋"/>
                <w:color w:val="auto"/>
                <w:sz w:val="24"/>
                <w:szCs w:val="24"/>
                <w:highlight w:val="none"/>
                <w:lang w:eastAsia="zh-CN"/>
              </w:rPr>
              <w:t>状况</w:t>
            </w:r>
            <w:r>
              <w:rPr>
                <w:rFonts w:hint="eastAsia" w:ascii="仿宋" w:hAnsi="仿宋" w:eastAsia="仿宋" w:cs="仿宋"/>
                <w:color w:val="auto"/>
                <w:sz w:val="24"/>
                <w:szCs w:val="24"/>
                <w:highlight w:val="none"/>
              </w:rPr>
              <w:t>、履约能力等方面进行打分，最高得3分。</w:t>
            </w:r>
          </w:p>
          <w:p w14:paraId="7DE11EAA">
            <w:pPr>
              <w:shd w:val="clea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①技术力量充沛，</w:t>
            </w:r>
            <w:r>
              <w:rPr>
                <w:rFonts w:hint="eastAsia" w:ascii="仿宋" w:hAnsi="仿宋" w:eastAsia="仿宋" w:cs="仿宋"/>
                <w:color w:val="auto"/>
                <w:sz w:val="24"/>
                <w:szCs w:val="24"/>
                <w:highlight w:val="none"/>
                <w:lang w:eastAsia="zh-CN"/>
              </w:rPr>
              <w:t>诚信状况优秀，履约能力强</w:t>
            </w:r>
            <w:r>
              <w:rPr>
                <w:rFonts w:hint="eastAsia" w:ascii="仿宋" w:hAnsi="仿宋" w:eastAsia="仿宋" w:cs="仿宋"/>
                <w:color w:val="auto"/>
                <w:sz w:val="24"/>
                <w:szCs w:val="24"/>
                <w:highlight w:val="none"/>
                <w:lang w:val="en-US" w:eastAsia="zh-CN"/>
              </w:rPr>
              <w:t>的得3分；</w:t>
            </w:r>
          </w:p>
          <w:p w14:paraId="73D948AA">
            <w:pPr>
              <w:shd w:val="clea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②技术力量一般，</w:t>
            </w:r>
            <w:r>
              <w:rPr>
                <w:rFonts w:hint="eastAsia" w:ascii="仿宋" w:hAnsi="仿宋" w:eastAsia="仿宋" w:cs="仿宋"/>
                <w:color w:val="auto"/>
                <w:sz w:val="24"/>
                <w:szCs w:val="24"/>
                <w:highlight w:val="none"/>
                <w:lang w:eastAsia="zh-CN"/>
              </w:rPr>
              <w:t>诚信状况良好，履约能力一般</w:t>
            </w:r>
            <w:r>
              <w:rPr>
                <w:rFonts w:hint="eastAsia" w:ascii="仿宋" w:hAnsi="仿宋" w:eastAsia="仿宋" w:cs="仿宋"/>
                <w:color w:val="auto"/>
                <w:sz w:val="24"/>
                <w:szCs w:val="24"/>
                <w:highlight w:val="none"/>
                <w:lang w:val="en-US" w:eastAsia="zh-CN"/>
              </w:rPr>
              <w:t>得2分；</w:t>
            </w:r>
          </w:p>
          <w:p w14:paraId="74B83310">
            <w:pPr>
              <w:shd w:val="clea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③技术力量较差，</w:t>
            </w:r>
            <w:r>
              <w:rPr>
                <w:rFonts w:hint="eastAsia" w:ascii="仿宋" w:hAnsi="仿宋" w:eastAsia="仿宋" w:cs="仿宋"/>
                <w:color w:val="auto"/>
                <w:sz w:val="24"/>
                <w:szCs w:val="24"/>
                <w:highlight w:val="none"/>
                <w:lang w:eastAsia="zh-CN"/>
              </w:rPr>
              <w:t>诚信水平较差，履约能力较弱</w:t>
            </w:r>
            <w:r>
              <w:rPr>
                <w:rFonts w:hint="eastAsia" w:ascii="仿宋" w:hAnsi="仿宋" w:eastAsia="仿宋" w:cs="仿宋"/>
                <w:color w:val="auto"/>
                <w:sz w:val="24"/>
                <w:szCs w:val="24"/>
                <w:highlight w:val="none"/>
                <w:lang w:val="en-US" w:eastAsia="zh-CN"/>
              </w:rPr>
              <w:t>的得1分；</w:t>
            </w:r>
          </w:p>
          <w:p w14:paraId="56708F9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④未提供相应内容的不得分。</w:t>
            </w:r>
          </w:p>
        </w:tc>
        <w:tc>
          <w:tcPr>
            <w:tcW w:w="696" w:type="dxa"/>
            <w:vAlign w:val="center"/>
          </w:tcPr>
          <w:p w14:paraId="7B284A5C">
            <w:pPr>
              <w:pStyle w:val="16"/>
              <w:spacing w:line="30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316" w:type="dxa"/>
            <w:vAlign w:val="center"/>
          </w:tcPr>
          <w:p w14:paraId="2851EB64">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1978" w:type="dxa"/>
          </w:tcPr>
          <w:p w14:paraId="33EDB79F">
            <w:pPr>
              <w:snapToGrid w:val="0"/>
              <w:spacing w:line="360" w:lineRule="auto"/>
              <w:jc w:val="center"/>
              <w:rPr>
                <w:rFonts w:hint="eastAsia" w:ascii="仿宋" w:hAnsi="仿宋" w:eastAsia="仿宋" w:cs="仿宋"/>
                <w:color w:val="auto"/>
                <w:sz w:val="24"/>
                <w:szCs w:val="24"/>
                <w:highlight w:val="none"/>
              </w:rPr>
            </w:pPr>
          </w:p>
        </w:tc>
      </w:tr>
      <w:tr w14:paraId="633F6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vAlign w:val="center"/>
          </w:tcPr>
          <w:p w14:paraId="5111429D">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19</w:t>
            </w:r>
          </w:p>
        </w:tc>
        <w:tc>
          <w:tcPr>
            <w:tcW w:w="4660" w:type="dxa"/>
            <w:vAlign w:val="center"/>
          </w:tcPr>
          <w:p w14:paraId="4725A824">
            <w:pPr>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提供自202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年1月1日（以合同签约时间时间为准）以来类似项目成功案例，每个得0.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分，最高得1分。（</w:t>
            </w:r>
            <w:r>
              <w:rPr>
                <w:rFonts w:hint="eastAsia" w:ascii="仿宋" w:hAnsi="仿宋" w:eastAsia="仿宋" w:cs="仿宋"/>
                <w:color w:val="auto"/>
                <w:sz w:val="24"/>
                <w:szCs w:val="24"/>
                <w:highlight w:val="none"/>
                <w:lang w:eastAsia="zh-CN"/>
              </w:rPr>
              <w:t>响应文件中</w:t>
            </w:r>
            <w:r>
              <w:rPr>
                <w:rFonts w:hint="eastAsia" w:ascii="仿宋" w:hAnsi="仿宋" w:eastAsia="仿宋" w:cs="仿宋"/>
                <w:color w:val="auto"/>
                <w:sz w:val="24"/>
                <w:szCs w:val="24"/>
                <w:highlight w:val="none"/>
              </w:rPr>
              <w:t>提供合同复印件</w:t>
            </w:r>
            <w:r>
              <w:rPr>
                <w:rFonts w:hint="eastAsia" w:ascii="仿宋" w:hAnsi="仿宋" w:eastAsia="仿宋" w:cs="仿宋"/>
                <w:color w:val="auto"/>
                <w:sz w:val="24"/>
                <w:szCs w:val="24"/>
                <w:highlight w:val="none"/>
                <w:lang w:eastAsia="zh-CN"/>
              </w:rPr>
              <w:t>及合同发票（金额不限）并加盖公章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两者缺一不可，</w:t>
            </w:r>
            <w:r>
              <w:rPr>
                <w:rFonts w:hint="eastAsia" w:ascii="仿宋" w:hAnsi="仿宋" w:eastAsia="仿宋" w:cs="仿宋"/>
                <w:color w:val="auto"/>
                <w:sz w:val="24"/>
                <w:szCs w:val="24"/>
                <w:highlight w:val="none"/>
              </w:rPr>
              <w:t>不提供不得分）</w:t>
            </w:r>
          </w:p>
        </w:tc>
        <w:tc>
          <w:tcPr>
            <w:tcW w:w="696" w:type="dxa"/>
            <w:vAlign w:val="center"/>
          </w:tcPr>
          <w:p w14:paraId="1DA1D1D8">
            <w:pPr>
              <w:pStyle w:val="16"/>
              <w:spacing w:line="30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316" w:type="dxa"/>
            <w:vAlign w:val="center"/>
          </w:tcPr>
          <w:p w14:paraId="48A20A9E">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c>
          <w:tcPr>
            <w:tcW w:w="1978" w:type="dxa"/>
          </w:tcPr>
          <w:p w14:paraId="0BEF8BDD">
            <w:pPr>
              <w:snapToGrid w:val="0"/>
              <w:spacing w:line="360" w:lineRule="auto"/>
              <w:jc w:val="center"/>
              <w:rPr>
                <w:rFonts w:hint="eastAsia" w:ascii="仿宋" w:hAnsi="仿宋" w:eastAsia="仿宋" w:cs="仿宋"/>
                <w:color w:val="auto"/>
                <w:sz w:val="24"/>
                <w:szCs w:val="24"/>
                <w:highlight w:val="none"/>
              </w:rPr>
            </w:pPr>
          </w:p>
        </w:tc>
      </w:tr>
      <w:tr w14:paraId="4D8C9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33" w:type="dxa"/>
            <w:vAlign w:val="center"/>
          </w:tcPr>
          <w:p w14:paraId="66C13643">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4660" w:type="dxa"/>
          </w:tcPr>
          <w:p w14:paraId="52D74E11">
            <w:pP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有效投标报价的最低价作为评标基准价，其最低报价为满分；按［投标报价得分=（评标基准价/投标报价）*10］的计算公式计算。</w:t>
            </w:r>
          </w:p>
          <w:p w14:paraId="6C1309CD">
            <w:pPr>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p w14:paraId="1E4ECF7C">
            <w:pPr>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696" w:type="dxa"/>
            <w:vAlign w:val="center"/>
          </w:tcPr>
          <w:p w14:paraId="708DAA1D">
            <w:pPr>
              <w:spacing w:line="36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316" w:type="dxa"/>
            <w:vAlign w:val="center"/>
          </w:tcPr>
          <w:p w14:paraId="2FD16ABE">
            <w:pPr>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c>
          <w:tcPr>
            <w:tcW w:w="1978" w:type="dxa"/>
            <w:vAlign w:val="center"/>
          </w:tcPr>
          <w:p w14:paraId="311CDAC5">
            <w:pPr>
              <w:spacing w:line="36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bl>
    <w:p w14:paraId="40A31641">
      <w:pPr>
        <w:adjustRightInd/>
        <w:spacing w:line="360" w:lineRule="auto"/>
        <w:ind w:firstLine="482" w:firstLineChars="200"/>
        <w:rPr>
          <w:rFonts w:hint="eastAsia" w:ascii="仿宋" w:hAnsi="仿宋" w:eastAsia="仿宋" w:cs="仿宋"/>
          <w:b/>
          <w:color w:val="auto"/>
          <w:sz w:val="32"/>
          <w:highlight w:val="none"/>
        </w:rPr>
      </w:pPr>
      <w:r>
        <w:rPr>
          <w:rFonts w:hint="eastAsia" w:ascii="仿宋" w:hAnsi="仿宋" w:eastAsia="仿宋" w:cs="仿宋"/>
          <w:b/>
          <w:color w:val="auto"/>
          <w:kern w:val="0"/>
          <w:sz w:val="24"/>
          <w:highlight w:val="none"/>
        </w:rPr>
        <w:t>“*”备注：供应商编制响应文件时，建议按此目录（序号和内容）提供评审标准相应的商务技术资料。</w:t>
      </w:r>
    </w:p>
    <w:p w14:paraId="7AD9C797">
      <w:pPr>
        <w:pStyle w:val="395"/>
        <w:spacing w:before="0"/>
        <w:ind w:firstLine="643"/>
        <w:jc w:val="center"/>
        <w:rPr>
          <w:rFonts w:hint="eastAsia" w:ascii="仿宋" w:hAnsi="仿宋" w:eastAsia="仿宋" w:cs="仿宋"/>
          <w:b/>
          <w:color w:val="auto"/>
          <w:sz w:val="32"/>
          <w:highlight w:val="none"/>
        </w:rPr>
      </w:pPr>
    </w:p>
    <w:p w14:paraId="71023288">
      <w:pPr>
        <w:pStyle w:val="395"/>
        <w:spacing w:before="0"/>
        <w:ind w:firstLine="643"/>
        <w:jc w:val="center"/>
        <w:rPr>
          <w:rFonts w:hint="eastAsia" w:ascii="仿宋" w:hAnsi="仿宋" w:eastAsia="仿宋" w:cs="仿宋"/>
          <w:b/>
          <w:color w:val="auto"/>
          <w:highlight w:val="none"/>
        </w:rPr>
      </w:pPr>
      <w:r>
        <w:rPr>
          <w:rFonts w:hint="eastAsia" w:ascii="仿宋" w:hAnsi="仿宋" w:eastAsia="仿宋" w:cs="仿宋"/>
          <w:b/>
          <w:color w:val="auto"/>
          <w:sz w:val="32"/>
          <w:highlight w:val="none"/>
        </w:rPr>
        <w:t>一、评审方法</w:t>
      </w:r>
    </w:p>
    <w:p w14:paraId="5021921A">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1.综合评分法。</w:t>
      </w:r>
      <w:r>
        <w:rPr>
          <w:rFonts w:hint="eastAsia" w:ascii="仿宋" w:hAnsi="仿宋" w:eastAsia="仿宋" w:cs="仿宋"/>
          <w:color w:val="auto"/>
          <w:kern w:val="0"/>
          <w:sz w:val="24"/>
          <w:highlight w:val="none"/>
        </w:rPr>
        <w:t>综合评分法，是指响应文件满足磋商文件全部实质性要求，且按照评审因素的量化指标评审得分最高的供应商为成交候选人的评审方法。</w:t>
      </w:r>
    </w:p>
    <w:p w14:paraId="4697D543">
      <w:pPr>
        <w:adjustRightInd/>
        <w:spacing w:line="360" w:lineRule="auto"/>
        <w:rPr>
          <w:rFonts w:hint="eastAsia" w:ascii="仿宋" w:hAnsi="仿宋" w:eastAsia="仿宋" w:cs="仿宋"/>
          <w:color w:val="auto"/>
          <w:kern w:val="0"/>
          <w:sz w:val="24"/>
          <w:highlight w:val="none"/>
        </w:rPr>
      </w:pPr>
    </w:p>
    <w:p w14:paraId="1AB59F58">
      <w:pPr>
        <w:snapToGrid w:val="0"/>
        <w:spacing w:line="360" w:lineRule="auto"/>
        <w:ind w:left="120" w:leftChars="57" w:firstLine="42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28"/>
          <w:szCs w:val="28"/>
          <w:highlight w:val="none"/>
        </w:rPr>
        <w:t xml:space="preserve">   </w:t>
      </w:r>
      <w:r>
        <w:rPr>
          <w:rFonts w:hint="eastAsia" w:ascii="仿宋" w:hAnsi="仿宋" w:eastAsia="仿宋" w:cs="仿宋"/>
          <w:b/>
          <w:color w:val="auto"/>
          <w:sz w:val="32"/>
          <w:highlight w:val="none"/>
        </w:rPr>
        <w:t>二、磋商小组的组成</w:t>
      </w:r>
    </w:p>
    <w:p w14:paraId="62D5C73A">
      <w:pPr>
        <w:pStyle w:val="395"/>
        <w:spacing w:before="0"/>
        <w:ind w:firstLine="0" w:firstLineChars="0"/>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1.磋商小组的组成。</w:t>
      </w:r>
    </w:p>
    <w:p w14:paraId="1EF4C851">
      <w:pPr>
        <w:pStyle w:val="39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人员不得参加本机构代理的采购项目的评审。</w:t>
      </w:r>
    </w:p>
    <w:p w14:paraId="66008E53">
      <w:pPr>
        <w:pStyle w:val="39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1D8FD89E">
      <w:pPr>
        <w:snapToGrid w:val="0"/>
        <w:spacing w:line="360" w:lineRule="auto"/>
        <w:rPr>
          <w:rFonts w:hint="eastAsia" w:ascii="仿宋" w:hAnsi="仿宋" w:eastAsia="仿宋" w:cs="仿宋"/>
          <w:b/>
          <w:color w:val="auto"/>
          <w:kern w:val="0"/>
          <w:sz w:val="24"/>
          <w:szCs w:val="20"/>
          <w:highlight w:val="none"/>
        </w:rPr>
      </w:pPr>
      <w:r>
        <w:rPr>
          <w:rFonts w:hint="eastAsia" w:ascii="仿宋" w:hAnsi="仿宋" w:eastAsia="仿宋" w:cs="仿宋"/>
          <w:b/>
          <w:color w:val="auto"/>
          <w:kern w:val="0"/>
          <w:sz w:val="24"/>
          <w:szCs w:val="20"/>
          <w:highlight w:val="none"/>
        </w:rPr>
        <w:t>2.磋商小组的组成人员的回避。</w:t>
      </w:r>
    </w:p>
    <w:p w14:paraId="7D1AD281">
      <w:pPr>
        <w:pStyle w:val="39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在政府采购活动中，磋商小组的组成人员与供应商有下列利害关系之一的，应当回避：</w:t>
      </w:r>
    </w:p>
    <w:p w14:paraId="1CD001B2">
      <w:pPr>
        <w:pStyle w:val="395"/>
        <w:spacing w:before="0"/>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　　2.1参加采购活动前3年内与供应商存在劳动关系；</w:t>
      </w:r>
    </w:p>
    <w:p w14:paraId="1CDFBB0D">
      <w:pPr>
        <w:pStyle w:val="395"/>
        <w:spacing w:before="0"/>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　　2.2参加采购活动前3年内担任供应商的董事、监事；</w:t>
      </w:r>
    </w:p>
    <w:p w14:paraId="1D819477">
      <w:pPr>
        <w:pStyle w:val="395"/>
        <w:spacing w:before="0"/>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　　2.3参加采购活动前3年内是供应商的控股股东或者实际控制人；</w:t>
      </w:r>
    </w:p>
    <w:p w14:paraId="580FA066">
      <w:pPr>
        <w:pStyle w:val="395"/>
        <w:spacing w:before="0"/>
        <w:ind w:firstLine="48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2.4与供应商的法定代表人或者负责人有夫妻、直系血亲、三代以内旁系血亲或者近姻亲关系；</w:t>
      </w:r>
    </w:p>
    <w:p w14:paraId="0A141C4F">
      <w:pPr>
        <w:pStyle w:val="395"/>
        <w:spacing w:before="0"/>
        <w:ind w:firstLine="48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2.5与供应商有其他可能影响政府采购活动公平、公正进行的关系。</w:t>
      </w:r>
    </w:p>
    <w:p w14:paraId="6C481FA7">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545A73E7">
      <w:pPr>
        <w:snapToGrid w:val="0"/>
        <w:spacing w:line="360" w:lineRule="auto"/>
        <w:ind w:left="120" w:leftChars="57" w:firstLine="482" w:firstLineChars="15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highlight w:val="none"/>
        </w:rPr>
        <w:t>三、磋商小组的职责</w:t>
      </w:r>
    </w:p>
    <w:p w14:paraId="069CC0C9">
      <w:pPr>
        <w:pStyle w:val="395"/>
        <w:spacing w:before="0"/>
        <w:ind w:firstLine="0" w:firstLineChars="0"/>
        <w:rPr>
          <w:rFonts w:hint="eastAsia"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1.磋商小组负责具体评审事务，并独立履行下列职责：</w:t>
      </w:r>
    </w:p>
    <w:p w14:paraId="65A1BED6">
      <w:pPr>
        <w:pStyle w:val="39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1.1</w:t>
      </w:r>
      <w:r>
        <w:rPr>
          <w:rFonts w:hint="eastAsia" w:ascii="仿宋" w:hAnsi="仿宋" w:eastAsia="仿宋" w:cs="仿宋"/>
          <w:color w:val="auto"/>
          <w:szCs w:val="24"/>
          <w:highlight w:val="none"/>
        </w:rPr>
        <w:t>对供应商的资格进行审查；</w:t>
      </w:r>
      <w:r>
        <w:rPr>
          <w:rFonts w:hint="eastAsia" w:ascii="仿宋" w:hAnsi="仿宋" w:eastAsia="仿宋" w:cs="仿宋"/>
          <w:color w:val="auto"/>
          <w:highlight w:val="none"/>
        </w:rPr>
        <w:t>对响应文件的有效性、完整性和响应程度进行审查；</w:t>
      </w:r>
    </w:p>
    <w:p w14:paraId="0DDC05C3">
      <w:pPr>
        <w:pStyle w:val="39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1.2审查、评价响应文件是否符合磋商文件的商务、技术等实质性要求；</w:t>
      </w:r>
    </w:p>
    <w:p w14:paraId="1BA9AFC2">
      <w:pPr>
        <w:pStyle w:val="39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1.3要求供应商对响应文件有关事项作出澄清、说明或者更正；</w:t>
      </w:r>
    </w:p>
    <w:p w14:paraId="78F399B1">
      <w:pPr>
        <w:pStyle w:val="39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1.4磋商小组集中与单一供应商分别进行磋商；</w:t>
      </w:r>
    </w:p>
    <w:p w14:paraId="1AC94CEF">
      <w:pPr>
        <w:pStyle w:val="39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1.5确定磋商文件的变动情况，并确定提交最后报价的供应商；</w:t>
      </w:r>
    </w:p>
    <w:p w14:paraId="0E1305A9">
      <w:pPr>
        <w:pStyle w:val="39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1.6根据磋商文件确定的评审办法及评审标准对提交最后报价的供应商的响应文件和最后报价采用综合评分法进行综合评分；</w:t>
      </w:r>
    </w:p>
    <w:p w14:paraId="20F0524A">
      <w:pPr>
        <w:pStyle w:val="39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1.7编制评审报告，确定成交候选人名单，以及根据采购人委托直接确定成交人；</w:t>
      </w:r>
    </w:p>
    <w:p w14:paraId="79781E34">
      <w:pPr>
        <w:pStyle w:val="39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1.8向采购人、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或者有关部门报告评审中发现的违法行为；</w:t>
      </w:r>
    </w:p>
    <w:p w14:paraId="6028FEB7">
      <w:pPr>
        <w:pStyle w:val="39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1.9法律、法规、规章、磋商文件等规定的其它事项。</w:t>
      </w:r>
    </w:p>
    <w:p w14:paraId="321FEAB2">
      <w:pPr>
        <w:pStyle w:val="395"/>
        <w:spacing w:before="0"/>
        <w:ind w:firstLine="0" w:firstLineChars="0"/>
        <w:rPr>
          <w:rFonts w:hint="eastAsia"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2.磋商小组及其成员不得有下列行为：</w:t>
      </w:r>
    </w:p>
    <w:p w14:paraId="5D37FC7E">
      <w:pPr>
        <w:pStyle w:val="39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2.1确定参与本项目至评审结束前私自接触供应商；</w:t>
      </w:r>
    </w:p>
    <w:p w14:paraId="0631FA22">
      <w:pPr>
        <w:pStyle w:val="39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2.2接受供应商提出的“超出响应文件的范围或者改变响应文件的实质性内容”的澄清、说明或者更正； </w:t>
      </w:r>
    </w:p>
    <w:p w14:paraId="5703AC9F">
      <w:pPr>
        <w:pStyle w:val="39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2.3违反评审纪律发表倾向性意见或者征询采购人的倾向性意见；</w:t>
      </w:r>
    </w:p>
    <w:p w14:paraId="234B71F4">
      <w:pPr>
        <w:pStyle w:val="39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2.4对需要专业判断的主观评审因素协商评分；</w:t>
      </w:r>
    </w:p>
    <w:p w14:paraId="1D4FB5B1">
      <w:pPr>
        <w:pStyle w:val="39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2.5在评审过程中擅离职守，影响评审程序正常进行的；</w:t>
      </w:r>
    </w:p>
    <w:p w14:paraId="1457A4A0">
      <w:pPr>
        <w:pStyle w:val="39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2.6记录、复制或者带走任何评审资料；</w:t>
      </w:r>
    </w:p>
    <w:p w14:paraId="351CEE13">
      <w:pPr>
        <w:pStyle w:val="39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2.7其他不遵守评审纪律的行为。</w:t>
      </w:r>
    </w:p>
    <w:p w14:paraId="459C7609">
      <w:pPr>
        <w:pStyle w:val="39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磋商小组成员有2.1-2.5行为之一的，其评审意见无效，并不得获取评审劳务报酬和报销异地评审差旅费。</w:t>
      </w:r>
    </w:p>
    <w:p w14:paraId="14BEEDB7">
      <w:pPr>
        <w:pStyle w:val="395"/>
        <w:spacing w:before="0"/>
        <w:ind w:firstLine="0" w:firstLineChars="0"/>
        <w:rPr>
          <w:rFonts w:hint="eastAsia" w:ascii="仿宋" w:hAnsi="仿宋" w:eastAsia="仿宋" w:cs="仿宋"/>
          <w:b/>
          <w:color w:val="auto"/>
          <w:highlight w:val="none"/>
        </w:rPr>
      </w:pPr>
    </w:p>
    <w:p w14:paraId="15FB3105">
      <w:pPr>
        <w:pStyle w:val="395"/>
        <w:spacing w:before="0"/>
        <w:ind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四、评审程序</w:t>
      </w:r>
    </w:p>
    <w:p w14:paraId="64300F12">
      <w:pPr>
        <w:pStyle w:val="395"/>
        <w:spacing w:before="0"/>
        <w:ind w:firstLine="472" w:firstLineChars="196"/>
        <w:rPr>
          <w:rFonts w:hint="eastAsia" w:ascii="仿宋" w:hAnsi="仿宋" w:eastAsia="仿宋" w:cs="仿宋"/>
          <w:b/>
          <w:color w:val="auto"/>
          <w:highlight w:val="none"/>
        </w:rPr>
      </w:pPr>
      <w:r>
        <w:rPr>
          <w:rFonts w:hint="eastAsia" w:ascii="仿宋" w:hAnsi="仿宋" w:eastAsia="仿宋" w:cs="仿宋"/>
          <w:b/>
          <w:color w:val="auto"/>
          <w:highlight w:val="none"/>
        </w:rPr>
        <w:t>详见磋商文件“第二部分 竞争性磋商流程”。</w:t>
      </w:r>
    </w:p>
    <w:p w14:paraId="18727D80">
      <w:pPr>
        <w:pStyle w:val="395"/>
        <w:spacing w:before="0"/>
        <w:ind w:firstLine="0" w:firstLineChars="0"/>
        <w:jc w:val="center"/>
        <w:rPr>
          <w:rFonts w:hint="eastAsia" w:ascii="仿宋" w:hAnsi="仿宋" w:eastAsia="仿宋" w:cs="仿宋"/>
          <w:b/>
          <w:color w:val="auto"/>
          <w:sz w:val="32"/>
          <w:highlight w:val="none"/>
        </w:rPr>
      </w:pPr>
    </w:p>
    <w:p w14:paraId="6B02DF5E">
      <w:pPr>
        <w:pStyle w:val="395"/>
        <w:spacing w:before="0"/>
        <w:ind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五、评审须知</w:t>
      </w:r>
    </w:p>
    <w:p w14:paraId="2662D64A">
      <w:pPr>
        <w:pStyle w:val="395"/>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 响应文件的澄清</w:t>
      </w:r>
    </w:p>
    <w:p w14:paraId="726026CB">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6E16162">
      <w:pPr>
        <w:pStyle w:val="395"/>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highlight w:val="none"/>
        </w:rPr>
        <w:t>2.最后报价的修正原则</w:t>
      </w:r>
    </w:p>
    <w:p w14:paraId="46534E55">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磋商小组对响应文件的最后报价进行审核，对发现计算、书写等错误的，按以下原则进行修正：</w:t>
      </w:r>
    </w:p>
    <w:p w14:paraId="633BFAD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2.1《最后报价一览表》内容与响应文件中响应内容不一致的，以《最后报价一览表》为准;</w:t>
      </w:r>
    </w:p>
    <w:p w14:paraId="1E708CD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2.2大写金额和小写金额不一致的，以大写金额为准;</w:t>
      </w:r>
    </w:p>
    <w:p w14:paraId="0D0E79E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2.3单价金额小数点或者百分比有明显错位的，以《最后报价一览表》的总价为准，并修改单价;</w:t>
      </w:r>
    </w:p>
    <w:p w14:paraId="1286913B">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2.4总价金额与按单价汇总金额不一致的，以单价金额计算结果为准</w:t>
      </w:r>
      <w:r>
        <w:rPr>
          <w:rFonts w:hint="eastAsia" w:ascii="仿宋" w:hAnsi="仿宋" w:eastAsia="仿宋" w:cs="仿宋"/>
          <w:color w:val="auto"/>
          <w:sz w:val="24"/>
          <w:highlight w:val="none"/>
          <w:lang w:eastAsia="zh-CN"/>
        </w:rPr>
        <w:t>；</w:t>
      </w:r>
    </w:p>
    <w:p w14:paraId="5D8D1B97">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2.5同时出现两种以上不一致的，按照前款规定的顺序修正</w:t>
      </w:r>
      <w:r>
        <w:rPr>
          <w:rFonts w:hint="eastAsia" w:ascii="仿宋" w:hAnsi="仿宋" w:eastAsia="仿宋" w:cs="仿宋"/>
          <w:color w:val="auto"/>
          <w:sz w:val="24"/>
          <w:highlight w:val="none"/>
          <w:lang w:eastAsia="zh-CN"/>
        </w:rPr>
        <w:t>；</w:t>
      </w:r>
    </w:p>
    <w:p w14:paraId="440E8C7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2.6以修正后的总价作为最后报价。</w:t>
      </w:r>
    </w:p>
    <w:p w14:paraId="293B360C">
      <w:pPr>
        <w:spacing w:line="360" w:lineRule="auto"/>
        <w:rPr>
          <w:rFonts w:hint="eastAsia" w:ascii="仿宋" w:hAnsi="仿宋" w:eastAsia="仿宋" w:cs="仿宋"/>
          <w:b/>
          <w:bCs/>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b/>
          <w:bCs/>
          <w:color w:val="auto"/>
          <w:sz w:val="24"/>
          <w:highlight w:val="none"/>
        </w:rPr>
        <w:t>供应商对根据修正原则修正后的最后报价不确认的，响应无效。</w:t>
      </w:r>
    </w:p>
    <w:p w14:paraId="520D2A14">
      <w:pPr>
        <w:pStyle w:val="395"/>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highlight w:val="none"/>
        </w:rPr>
        <w:t>3.</w:t>
      </w:r>
      <w:r>
        <w:rPr>
          <w:rFonts w:hint="eastAsia" w:ascii="仿宋" w:hAnsi="仿宋" w:eastAsia="仿宋" w:cs="仿宋"/>
          <w:b/>
          <w:color w:val="auto"/>
          <w:spacing w:val="20"/>
          <w:highlight w:val="none"/>
        </w:rPr>
        <w:t>响应无效</w:t>
      </w:r>
    </w:p>
    <w:p w14:paraId="4FE01BFB">
      <w:pPr>
        <w:pStyle w:val="26"/>
        <w:spacing w:line="360" w:lineRule="auto"/>
        <w:ind w:firstLine="600"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有下列情况之一的，响应无效：</w:t>
      </w:r>
    </w:p>
    <w:p w14:paraId="70D82370">
      <w:pPr>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highlight w:val="none"/>
        </w:rPr>
        <w:t>3.1</w:t>
      </w:r>
      <w:r>
        <w:rPr>
          <w:rFonts w:hint="eastAsia" w:ascii="仿宋" w:hAnsi="仿宋" w:eastAsia="仿宋" w:cs="仿宋"/>
          <w:color w:val="auto"/>
          <w:sz w:val="24"/>
          <w:szCs w:val="21"/>
          <w:highlight w:val="none"/>
        </w:rPr>
        <w:t>单位负责人为同一人或者存在直接控股、管理关系的不同供应商参加同一合同项下的政府采购活动的（均无效）；</w:t>
      </w:r>
    </w:p>
    <w:p w14:paraId="545F573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3.2为采购项目提供整体设计、规范编制或者项目管理、监理、检测等服务的供应商再参加该采购项目的其他采购活动的； </w:t>
      </w:r>
    </w:p>
    <w:p w14:paraId="370C839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3.3供应商不具备磋商文件中规定的资格要求的（供应商未提供有效的资格证明文件的，视为供应商不具备磋商文件中规定的资格要求）；</w:t>
      </w:r>
    </w:p>
    <w:p w14:paraId="29282E1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3.4如以联合体形式参加政府采购活动的，联合协议不符合磋商文件规定的联合协议要求的；</w:t>
      </w:r>
    </w:p>
    <w:p w14:paraId="134F417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3.5响应文件未按磋商文件的澄清、修改的内容编制，又不符合实质性要求的；</w:t>
      </w:r>
    </w:p>
    <w:p w14:paraId="3A06025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3.6响应文件组成漏项，内容不全或内容字迹模糊辨认不清的；</w:t>
      </w:r>
    </w:p>
    <w:p w14:paraId="1F48EEB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3.7响应文件中法人授权书所载内容与本项目内容有异的；</w:t>
      </w:r>
    </w:p>
    <w:p w14:paraId="774F574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3.8响应文件未按照磋商文件要求签署、盖章的；</w:t>
      </w:r>
    </w:p>
    <w:p w14:paraId="083B021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3.9</w:t>
      </w:r>
      <w:r>
        <w:rPr>
          <w:rFonts w:hint="eastAsia" w:ascii="仿宋" w:hAnsi="仿宋" w:eastAsia="仿宋" w:cs="仿宋"/>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0F4312D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3.10响应文件含有采购人不能接受的附加条件的；</w:t>
      </w:r>
    </w:p>
    <w:p w14:paraId="30E0DC0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3.11响应文件中承诺的响应有效期少于磋商文件中载明的响应有效期的；</w:t>
      </w:r>
    </w:p>
    <w:p w14:paraId="3B46696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3.12供应商所投内容不符合磋商文件中实质性要求的；</w:t>
      </w:r>
    </w:p>
    <w:p w14:paraId="45A6918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3.13所提交的《最后报价一览表》中出现不是唯一的、有选择性的报价的;</w:t>
      </w:r>
    </w:p>
    <w:p w14:paraId="07F7883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3.14最后报价高于本项目采购预算或者最高限价的;</w:t>
      </w:r>
    </w:p>
    <w:p w14:paraId="03604D7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2387BA7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3.16《最后报价一览表》填写不完整或字迹不能辨认或有漏项的；</w:t>
      </w:r>
    </w:p>
    <w:p w14:paraId="5D29737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3.17供应商对根据修正原则修正后的最后报价不确认的；</w:t>
      </w:r>
    </w:p>
    <w:p w14:paraId="24DF919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3.18供应商提供虚假材料响应的（包括但不限于以下情节）；</w:t>
      </w:r>
    </w:p>
    <w:p w14:paraId="4D078F30">
      <w:pPr>
        <w:pStyle w:val="109"/>
        <w:numPr>
          <w:ilvl w:val="0"/>
          <w:numId w:val="9"/>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使用伪造、变造的许可证件；</w:t>
      </w:r>
    </w:p>
    <w:p w14:paraId="5C4B6BF9">
      <w:pPr>
        <w:pStyle w:val="109"/>
        <w:numPr>
          <w:ilvl w:val="0"/>
          <w:numId w:val="9"/>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提供虚假的财务状况或者业绩；</w:t>
      </w:r>
    </w:p>
    <w:p w14:paraId="3637811F">
      <w:pPr>
        <w:pStyle w:val="109"/>
        <w:numPr>
          <w:ilvl w:val="0"/>
          <w:numId w:val="9"/>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提供虚假的项目负责人或者主要技术人员简历、劳动关系证明；</w:t>
      </w:r>
    </w:p>
    <w:p w14:paraId="141C1C87">
      <w:pPr>
        <w:pStyle w:val="109"/>
        <w:numPr>
          <w:ilvl w:val="0"/>
          <w:numId w:val="9"/>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提供虚假的信用状况；</w:t>
      </w:r>
    </w:p>
    <w:p w14:paraId="5570A273">
      <w:pPr>
        <w:pStyle w:val="109"/>
        <w:numPr>
          <w:ilvl w:val="0"/>
          <w:numId w:val="9"/>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其他弄虚作假的行为。</w:t>
      </w:r>
    </w:p>
    <w:p w14:paraId="32E36FA5">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3.19供应商有恶意串通、妨碍其他供应商的竞争行为、损害采购人或者其他供应商的合法权益情形的。</w:t>
      </w:r>
    </w:p>
    <w:p w14:paraId="5F609767">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有下列情形之一的，属于或视为恶意串通，其响应无效：</w:t>
      </w:r>
    </w:p>
    <w:p w14:paraId="0591ADE9">
      <w:pPr>
        <w:pStyle w:val="109"/>
        <w:numPr>
          <w:ilvl w:val="0"/>
          <w:numId w:val="10"/>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供应商直接或者间接从采购人或者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处获得其他供应商的相关情况并修改其响应文件；</w:t>
      </w:r>
    </w:p>
    <w:p w14:paraId="2BB4DFAC">
      <w:pPr>
        <w:pStyle w:val="109"/>
        <w:numPr>
          <w:ilvl w:val="0"/>
          <w:numId w:val="10"/>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供应商按照采购人或者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的授意撤换、修改</w:t>
      </w:r>
      <w:r>
        <w:rPr>
          <w:rFonts w:hint="eastAsia" w:ascii="仿宋" w:hAnsi="仿宋" w:eastAsia="仿宋" w:cs="仿宋"/>
          <w:color w:val="auto"/>
          <w:highlight w:val="none"/>
          <w:lang w:eastAsia="zh-CN"/>
        </w:rPr>
        <w:t>投标文件</w:t>
      </w:r>
      <w:r>
        <w:rPr>
          <w:rFonts w:hint="eastAsia" w:ascii="仿宋" w:hAnsi="仿宋" w:eastAsia="仿宋" w:cs="仿宋"/>
          <w:color w:val="auto"/>
          <w:highlight w:val="none"/>
        </w:rPr>
        <w:t>或者响应文件；</w:t>
      </w:r>
    </w:p>
    <w:p w14:paraId="0759AABC">
      <w:pPr>
        <w:pStyle w:val="109"/>
        <w:numPr>
          <w:ilvl w:val="0"/>
          <w:numId w:val="10"/>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供应商之间协商报价、技术方案等</w:t>
      </w:r>
      <w:r>
        <w:rPr>
          <w:rFonts w:hint="eastAsia" w:ascii="仿宋" w:hAnsi="仿宋" w:eastAsia="仿宋" w:cs="仿宋"/>
          <w:color w:val="auto"/>
          <w:highlight w:val="none"/>
          <w:lang w:eastAsia="zh-CN"/>
        </w:rPr>
        <w:t>投标文件</w:t>
      </w:r>
      <w:r>
        <w:rPr>
          <w:rFonts w:hint="eastAsia" w:ascii="仿宋" w:hAnsi="仿宋" w:eastAsia="仿宋" w:cs="仿宋"/>
          <w:color w:val="auto"/>
          <w:highlight w:val="none"/>
        </w:rPr>
        <w:t>或者响应文件的实质性内容；</w:t>
      </w:r>
    </w:p>
    <w:p w14:paraId="75771655">
      <w:pPr>
        <w:pStyle w:val="109"/>
        <w:numPr>
          <w:ilvl w:val="0"/>
          <w:numId w:val="10"/>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属于同一集团、协会、商会等组织成员的供应商按照该组织要求协同参加政府采购活动；</w:t>
      </w:r>
    </w:p>
    <w:p w14:paraId="728DAE66">
      <w:pPr>
        <w:pStyle w:val="109"/>
        <w:numPr>
          <w:ilvl w:val="0"/>
          <w:numId w:val="10"/>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供应商之间事先约定由某一特定供应商中标、成交；</w:t>
      </w:r>
    </w:p>
    <w:p w14:paraId="71BAA584">
      <w:pPr>
        <w:pStyle w:val="109"/>
        <w:numPr>
          <w:ilvl w:val="0"/>
          <w:numId w:val="10"/>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供应商之间商定部分供应商放弃参加政府采购活动或者放弃中标、成交；</w:t>
      </w:r>
    </w:p>
    <w:p w14:paraId="7C104382">
      <w:pPr>
        <w:pStyle w:val="109"/>
        <w:numPr>
          <w:ilvl w:val="0"/>
          <w:numId w:val="10"/>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供应商与采购人或者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之间、供应商相互之间，为谋求特定供应商中标、成交或者排斥其他供应商的其他串通行为。</w:t>
      </w:r>
    </w:p>
    <w:p w14:paraId="2A3B39F9">
      <w:pPr>
        <w:pStyle w:val="109"/>
        <w:numPr>
          <w:ilvl w:val="0"/>
          <w:numId w:val="10"/>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不同供应商的响应文件由同一单位或者个人编制；</w:t>
      </w:r>
    </w:p>
    <w:p w14:paraId="0D84B2EF">
      <w:pPr>
        <w:pStyle w:val="109"/>
        <w:numPr>
          <w:ilvl w:val="0"/>
          <w:numId w:val="10"/>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不同供应商委托同一单位或者个人办理响应事宜；</w:t>
      </w:r>
    </w:p>
    <w:p w14:paraId="73D561E3">
      <w:pPr>
        <w:pStyle w:val="109"/>
        <w:numPr>
          <w:ilvl w:val="0"/>
          <w:numId w:val="10"/>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不同供应商的响应文件载明的项目管理成员或者联系人员为同一人；</w:t>
      </w:r>
    </w:p>
    <w:p w14:paraId="06E31694">
      <w:pPr>
        <w:pStyle w:val="109"/>
        <w:numPr>
          <w:ilvl w:val="0"/>
          <w:numId w:val="10"/>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不同供应商的响应文件异常一致或者最后报价呈规律性差异；</w:t>
      </w:r>
    </w:p>
    <w:p w14:paraId="252AE526">
      <w:pPr>
        <w:pStyle w:val="109"/>
        <w:numPr>
          <w:ilvl w:val="0"/>
          <w:numId w:val="10"/>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不同供应商的响应文件相互混装。</w:t>
      </w:r>
    </w:p>
    <w:p w14:paraId="470270C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3.20供应商仅提交备份响应文件，没有在电子交易平台传输提交响应文件的，响应无效；</w:t>
      </w:r>
    </w:p>
    <w:p w14:paraId="10DB06F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3.21法律、法规、规章（适用本市的）及省级以上规范性文件（适用本市的）规定的其他无效情形。</w:t>
      </w:r>
    </w:p>
    <w:p w14:paraId="7CB62721">
      <w:pPr>
        <w:pStyle w:val="395"/>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4. 重新开展采购活动</w:t>
      </w:r>
    </w:p>
    <w:p w14:paraId="45CAA95B">
      <w:pPr>
        <w:spacing w:line="360" w:lineRule="auto"/>
        <w:ind w:firstLine="407" w:firstLineChars="194"/>
        <w:rPr>
          <w:rFonts w:hint="eastAsia" w:ascii="仿宋" w:hAnsi="仿宋" w:eastAsia="仿宋" w:cs="仿宋"/>
          <w:color w:val="auto"/>
          <w:sz w:val="24"/>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 w:val="24"/>
          <w:szCs w:val="21"/>
          <w:highlight w:val="none"/>
        </w:rPr>
        <w:t>出现下列情形之一的，</w:t>
      </w:r>
      <w:r>
        <w:rPr>
          <w:rFonts w:hint="eastAsia" w:ascii="仿宋" w:hAnsi="仿宋" w:eastAsia="仿宋" w:cs="仿宋"/>
          <w:color w:val="auto"/>
          <w:sz w:val="24"/>
          <w:szCs w:val="21"/>
          <w:highlight w:val="none"/>
          <w:lang w:eastAsia="zh-CN"/>
        </w:rPr>
        <w:t>采购代理机构</w:t>
      </w:r>
      <w:r>
        <w:rPr>
          <w:rFonts w:hint="eastAsia" w:ascii="仿宋" w:hAnsi="仿宋" w:eastAsia="仿宋" w:cs="仿宋"/>
          <w:color w:val="auto"/>
          <w:sz w:val="24"/>
          <w:szCs w:val="21"/>
          <w:highlight w:val="none"/>
        </w:rPr>
        <w:t>应当终止竞争性磋商采购活动，通过电子交易平台发布项目终止公告并说明原因，重新开展采购活动：</w:t>
      </w:r>
    </w:p>
    <w:p w14:paraId="44DBBD3F">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（1）因情况变化，不再符合规定的竞争性磋商采购方式适用情形的；</w:t>
      </w:r>
    </w:p>
    <w:p w14:paraId="454112BD">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（2）出现影响采购公正的违法、违规行为的；</w:t>
      </w:r>
    </w:p>
    <w:p w14:paraId="2E033B96">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（3）在采购过程中符合要求的供应商或者最后报价未超过采购预算的供应商不足3家的（有特殊规定的从其规定）。</w:t>
      </w:r>
    </w:p>
    <w:p w14:paraId="0D1EDB9B">
      <w:pPr>
        <w:pStyle w:val="395"/>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5. 终止采购活动</w:t>
      </w:r>
    </w:p>
    <w:p w14:paraId="6FC1D513">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在采购活动中因重大变故，采购任务取消的，</w:t>
      </w:r>
      <w:r>
        <w:rPr>
          <w:rFonts w:hint="eastAsia" w:ascii="仿宋" w:hAnsi="仿宋" w:eastAsia="仿宋" w:cs="仿宋"/>
          <w:color w:val="auto"/>
          <w:sz w:val="24"/>
          <w:szCs w:val="21"/>
          <w:highlight w:val="none"/>
          <w:lang w:eastAsia="zh-CN"/>
        </w:rPr>
        <w:t>采购代理机构</w:t>
      </w:r>
      <w:r>
        <w:rPr>
          <w:rFonts w:hint="eastAsia" w:ascii="仿宋" w:hAnsi="仿宋" w:eastAsia="仿宋" w:cs="仿宋"/>
          <w:color w:val="auto"/>
          <w:sz w:val="24"/>
          <w:szCs w:val="21"/>
          <w:highlight w:val="none"/>
        </w:rPr>
        <w:t>将终止采购活动，通过电子交易平台通知所有参加采购活动的供应商，并将项目实施情况和采购任务取消原因报送本级财政部门。</w:t>
      </w:r>
    </w:p>
    <w:p w14:paraId="51F7DBDD">
      <w:pPr>
        <w:spacing w:line="360" w:lineRule="auto"/>
        <w:rPr>
          <w:rFonts w:hint="eastAsia" w:ascii="仿宋" w:hAnsi="仿宋" w:eastAsia="仿宋" w:cs="仿宋"/>
          <w:b/>
          <w:color w:val="auto"/>
          <w:highlight w:val="none"/>
        </w:rPr>
      </w:pPr>
      <w:r>
        <w:rPr>
          <w:rFonts w:hint="eastAsia" w:ascii="仿宋" w:hAnsi="仿宋" w:eastAsia="仿宋" w:cs="仿宋"/>
          <w:b/>
          <w:color w:val="auto"/>
          <w:sz w:val="24"/>
          <w:highlight w:val="none"/>
        </w:rPr>
        <w:t xml:space="preserve">6. </w:t>
      </w:r>
      <w:r>
        <w:rPr>
          <w:rFonts w:hint="eastAsia" w:ascii="仿宋" w:hAnsi="仿宋" w:eastAsia="仿宋" w:cs="仿宋"/>
          <w:b/>
          <w:color w:val="auto"/>
          <w:sz w:val="24"/>
          <w:highlight w:val="none"/>
          <w:lang w:eastAsia="zh-CN"/>
        </w:rPr>
        <w:t>采购代理机构</w:t>
      </w:r>
      <w:r>
        <w:rPr>
          <w:rFonts w:hint="eastAsia" w:ascii="仿宋" w:hAnsi="仿宋" w:eastAsia="仿宋" w:cs="仿宋"/>
          <w:b/>
          <w:color w:val="auto"/>
          <w:sz w:val="24"/>
          <w:highlight w:val="none"/>
        </w:rPr>
        <w:t>有权对磋商小组各成员的评分情况和评审意见进行合理性和合规性审查</w:t>
      </w:r>
      <w:r>
        <w:rPr>
          <w:rFonts w:hint="eastAsia" w:ascii="仿宋" w:hAnsi="仿宋" w:eastAsia="仿宋" w:cs="仿宋"/>
          <w:color w:val="auto"/>
          <w:sz w:val="24"/>
          <w:highlight w:val="none"/>
        </w:rPr>
        <w:t>，如发现磋商小组成员的评审意见带有明显倾向性，或不按规定程序和标准评审、计分的，磋商小组成员应进行书面澄清和说明；磋商小组成员拒不接受</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审查的，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将向同级政府采购监督管理部门报告并予以处理。</w:t>
      </w:r>
    </w:p>
    <w:p w14:paraId="2AD34081">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584CADBB">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六、评审过程的保密与录像</w:t>
      </w:r>
    </w:p>
    <w:p w14:paraId="7F4CA787">
      <w:pPr>
        <w:widowControl/>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1.保密。</w:t>
      </w:r>
      <w:r>
        <w:rPr>
          <w:rFonts w:hint="eastAsia" w:ascii="仿宋" w:hAnsi="仿宋" w:eastAsia="仿宋" w:cs="仿宋"/>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工作人员、相关监督人员等与评审有关的人员应当予以保密。</w:t>
      </w:r>
    </w:p>
    <w:p w14:paraId="000D5EBF">
      <w:pPr>
        <w:widowControl/>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2.录音录像。</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对评审工作现场进行全过程录音录像，录音录像资料作为采购项目文件随其他文件一并存档。</w:t>
      </w:r>
    </w:p>
    <w:p w14:paraId="0A6131EF">
      <w:pPr>
        <w:widowControl/>
        <w:adjustRightInd/>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7BC911BC">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第六部分</w:t>
      </w:r>
      <w:bookmarkEnd w:id="53"/>
      <w:r>
        <w:rPr>
          <w:rFonts w:hint="eastAsia" w:ascii="仿宋" w:hAnsi="仿宋" w:eastAsia="仿宋" w:cs="仿宋"/>
          <w:b/>
          <w:color w:val="auto"/>
          <w:sz w:val="36"/>
          <w:szCs w:val="36"/>
          <w:highlight w:val="none"/>
        </w:rPr>
        <w:t xml:space="preserve">  拟签订的合同文本</w:t>
      </w:r>
    </w:p>
    <w:p w14:paraId="4DDAAE42">
      <w:pPr>
        <w:spacing w:line="360" w:lineRule="auto"/>
        <w:rPr>
          <w:rFonts w:hint="eastAsia" w:ascii="仿宋" w:hAnsi="仿宋" w:eastAsia="仿宋" w:cs="仿宋"/>
          <w:color w:val="auto"/>
          <w:sz w:val="24"/>
          <w:highlight w:val="none"/>
        </w:rPr>
      </w:pPr>
      <w:bookmarkStart w:id="54" w:name="第五部分"/>
      <w:bookmarkStart w:id="55" w:name="_Toc86217003"/>
    </w:p>
    <w:p w14:paraId="30EC98C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3EE0AF5D">
      <w:pPr>
        <w:spacing w:line="360" w:lineRule="auto"/>
        <w:rPr>
          <w:rFonts w:hint="eastAsia" w:ascii="仿宋" w:hAnsi="仿宋" w:eastAsia="仿宋" w:cs="仿宋"/>
          <w:color w:val="auto"/>
          <w:sz w:val="24"/>
          <w:highlight w:val="none"/>
          <w:u w:val="single"/>
        </w:rPr>
      </w:pPr>
    </w:p>
    <w:p w14:paraId="2640DE05">
      <w:pPr>
        <w:pStyle w:val="284"/>
        <w:ind w:leftChars="0" w:firstLine="2465" w:firstLineChars="682"/>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政府采购合同书</w:t>
      </w:r>
    </w:p>
    <w:p w14:paraId="1C9CF9E1">
      <w:pPr>
        <w:pStyle w:val="284"/>
        <w:rPr>
          <w:rFonts w:hint="eastAsia" w:ascii="仿宋" w:hAnsi="仿宋" w:eastAsia="仿宋" w:cs="仿宋"/>
          <w:color w:val="auto"/>
          <w:szCs w:val="24"/>
          <w:highlight w:val="none"/>
        </w:rPr>
      </w:pPr>
    </w:p>
    <w:p w14:paraId="75B3BA2F">
      <w:pPr>
        <w:pStyle w:val="284"/>
        <w:rPr>
          <w:rFonts w:hint="eastAsia" w:ascii="仿宋" w:hAnsi="仿宋" w:eastAsia="仿宋" w:cs="仿宋"/>
          <w:color w:val="auto"/>
          <w:szCs w:val="24"/>
          <w:highlight w:val="none"/>
        </w:rPr>
      </w:pPr>
    </w:p>
    <w:p w14:paraId="0AD713D6">
      <w:pPr>
        <w:spacing w:before="120" w:line="360" w:lineRule="auto"/>
        <w:rPr>
          <w:rFonts w:hint="eastAsia" w:ascii="仿宋" w:hAnsi="仿宋" w:eastAsia="仿宋" w:cs="仿宋"/>
          <w:color w:val="auto"/>
          <w:sz w:val="24"/>
          <w:highlight w:val="none"/>
        </w:rPr>
      </w:pPr>
    </w:p>
    <w:p w14:paraId="6EB72A72">
      <w:pPr>
        <w:spacing w:before="120" w:line="360" w:lineRule="auto"/>
        <w:ind w:left="96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lang w:eastAsia="zh-CN"/>
        </w:rPr>
        <w:t>建德经济开发区管理委员会2025年-2026年安全生产社会化服务采购项目</w:t>
      </w:r>
      <w:r>
        <w:rPr>
          <w:rFonts w:hint="eastAsia" w:ascii="仿宋" w:hAnsi="仿宋" w:eastAsia="仿宋" w:cs="仿宋"/>
          <w:color w:val="auto"/>
          <w:sz w:val="24"/>
          <w:highlight w:val="none"/>
          <w:u w:val="single"/>
          <w:lang w:val="en-US" w:eastAsia="zh-CN"/>
        </w:rPr>
        <w:t xml:space="preserve">           </w:t>
      </w:r>
    </w:p>
    <w:p w14:paraId="16530C75">
      <w:pPr>
        <w:pStyle w:val="619"/>
        <w:spacing w:before="120"/>
        <w:rPr>
          <w:rFonts w:hint="eastAsia" w:ascii="仿宋" w:hAnsi="仿宋" w:eastAsia="仿宋" w:cs="仿宋"/>
          <w:color w:val="auto"/>
          <w:szCs w:val="24"/>
          <w:highlight w:val="none"/>
        </w:rPr>
      </w:pPr>
    </w:p>
    <w:p w14:paraId="0AC50FAA">
      <w:pPr>
        <w:spacing w:line="360" w:lineRule="auto"/>
        <w:rPr>
          <w:rFonts w:hint="eastAsia" w:ascii="仿宋" w:hAnsi="仿宋" w:eastAsia="仿宋" w:cs="仿宋"/>
          <w:color w:val="auto"/>
          <w:sz w:val="24"/>
          <w:highlight w:val="none"/>
        </w:rPr>
      </w:pPr>
    </w:p>
    <w:p w14:paraId="6FCF1220">
      <w:pPr>
        <w:spacing w:before="120" w:line="36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建德经济开发区管理委员会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5BA41527">
      <w:pPr>
        <w:spacing w:before="120" w:line="360" w:lineRule="auto"/>
        <w:rPr>
          <w:rFonts w:hint="eastAsia" w:ascii="仿宋" w:hAnsi="仿宋" w:eastAsia="仿宋" w:cs="仿宋"/>
          <w:color w:val="auto"/>
          <w:sz w:val="24"/>
          <w:highlight w:val="none"/>
        </w:rPr>
      </w:pPr>
    </w:p>
    <w:p w14:paraId="46708E05">
      <w:pPr>
        <w:spacing w:before="120" w:line="36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5910E676">
      <w:pPr>
        <w:spacing w:before="120" w:line="360" w:lineRule="auto"/>
        <w:rPr>
          <w:rFonts w:hint="eastAsia" w:ascii="仿宋" w:hAnsi="仿宋" w:eastAsia="仿宋" w:cs="仿宋"/>
          <w:color w:val="auto"/>
          <w:sz w:val="24"/>
          <w:highlight w:val="none"/>
        </w:rPr>
      </w:pPr>
    </w:p>
    <w:p w14:paraId="59FEB9EF">
      <w:pPr>
        <w:spacing w:before="120" w:line="36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1637F00F">
      <w:pPr>
        <w:spacing w:before="120" w:line="360" w:lineRule="auto"/>
        <w:rPr>
          <w:rFonts w:hint="eastAsia" w:ascii="仿宋" w:hAnsi="仿宋" w:eastAsia="仿宋" w:cs="仿宋"/>
          <w:color w:val="auto"/>
          <w:sz w:val="24"/>
          <w:highlight w:val="none"/>
        </w:rPr>
      </w:pPr>
    </w:p>
    <w:p w14:paraId="1DB9517A">
      <w:pPr>
        <w:spacing w:before="120" w:line="36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2025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4FA80908">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1CBD3B7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en-US" w:eastAsia="zh-CN"/>
        </w:rPr>
        <w:t>2025年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建德经济开发区管理委员会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竞争性磋商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建德经济开发区管理委员会2025年-2026年安全生产社会化服务采购项目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建德经济开发区管理委员会2025年-2026年安全生产社会化服务采购项目磋商小组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6651401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建德经济开发区管理委员会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（中</w:t>
      </w:r>
      <w:r>
        <w:rPr>
          <w:rFonts w:hint="eastAsia" w:ascii="仿宋" w:hAnsi="仿宋" w:eastAsia="仿宋" w:cs="仿宋"/>
          <w:color w:val="auto"/>
          <w:sz w:val="24"/>
          <w:highlight w:val="none"/>
          <w:u w:val="single"/>
          <w:lang w:eastAsia="zh-CN"/>
        </w:rPr>
        <w:t>标</w:t>
      </w:r>
      <w:r>
        <w:rPr>
          <w:rFonts w:hint="eastAsia" w:ascii="仿宋" w:hAnsi="仿宋" w:eastAsia="仿宋" w:cs="仿宋"/>
          <w:color w:val="auto"/>
          <w:sz w:val="24"/>
          <w:highlight w:val="none"/>
          <w:u w:val="single"/>
        </w:rPr>
        <w:t xml:space="preserve">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205C9ADD">
      <w:pPr>
        <w:spacing w:line="560" w:lineRule="exact"/>
        <w:ind w:firstLine="482" w:firstLineChars="200"/>
        <w:outlineLvl w:val="0"/>
        <w:rPr>
          <w:rFonts w:hint="eastAsia" w:ascii="仿宋" w:hAnsi="仿宋" w:eastAsia="仿宋" w:cs="仿宋"/>
          <w:color w:val="auto"/>
          <w:sz w:val="24"/>
          <w:highlight w:val="none"/>
        </w:rPr>
      </w:pPr>
      <w:bookmarkStart w:id="56" w:name="_Toc28855"/>
      <w:bookmarkStart w:id="57" w:name="_Toc20421"/>
      <w:bookmarkStart w:id="58" w:name="_Toc19273"/>
      <w:bookmarkStart w:id="59" w:name="_Toc15367"/>
      <w:bookmarkStart w:id="60" w:name="_Toc22967"/>
      <w:r>
        <w:rPr>
          <w:rFonts w:hint="eastAsia" w:ascii="仿宋" w:hAnsi="仿宋" w:eastAsia="仿宋" w:cs="仿宋"/>
          <w:b/>
          <w:color w:val="auto"/>
          <w:sz w:val="24"/>
          <w:highlight w:val="none"/>
        </w:rPr>
        <w:t>1.1 合同组成部分</w:t>
      </w:r>
      <w:bookmarkEnd w:id="56"/>
      <w:bookmarkEnd w:id="57"/>
      <w:bookmarkEnd w:id="58"/>
      <w:bookmarkEnd w:id="59"/>
      <w:bookmarkEnd w:id="60"/>
    </w:p>
    <w:p w14:paraId="07520A8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B84536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5068411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0AC06AB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0B82D43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1F19DDD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65E66967">
      <w:pPr>
        <w:spacing w:line="560" w:lineRule="exact"/>
        <w:ind w:firstLine="482" w:firstLineChars="200"/>
        <w:outlineLvl w:val="0"/>
        <w:rPr>
          <w:rFonts w:hint="eastAsia" w:ascii="仿宋" w:hAnsi="仿宋" w:eastAsia="仿宋" w:cs="仿宋"/>
          <w:b/>
          <w:color w:val="auto"/>
          <w:sz w:val="24"/>
          <w:highlight w:val="none"/>
        </w:rPr>
      </w:pPr>
      <w:bookmarkStart w:id="61" w:name="_Toc22185"/>
      <w:bookmarkStart w:id="62" w:name="_Toc6311"/>
      <w:bookmarkStart w:id="63" w:name="_Toc2918"/>
      <w:bookmarkStart w:id="64" w:name="_Toc6773"/>
      <w:bookmarkStart w:id="65" w:name="_Toc18585"/>
      <w:r>
        <w:rPr>
          <w:rFonts w:hint="eastAsia" w:ascii="仿宋" w:hAnsi="仿宋" w:eastAsia="仿宋" w:cs="仿宋"/>
          <w:b/>
          <w:color w:val="auto"/>
          <w:sz w:val="24"/>
          <w:highlight w:val="none"/>
        </w:rPr>
        <w:t>1.2 标的</w:t>
      </w:r>
      <w:bookmarkEnd w:id="61"/>
      <w:bookmarkEnd w:id="62"/>
      <w:bookmarkEnd w:id="63"/>
      <w:bookmarkEnd w:id="64"/>
      <w:bookmarkEnd w:id="65"/>
    </w:p>
    <w:p w14:paraId="02133865">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4F871070">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5D52E30">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2093E0A6">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E3E8951">
      <w:pPr>
        <w:pStyle w:val="632"/>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w:t>
      </w:r>
      <w:r>
        <w:rPr>
          <w:rFonts w:hint="eastAsia" w:ascii="仿宋" w:hAnsi="仿宋" w:eastAsia="仿宋" w:cs="仿宋"/>
          <w:color w:val="auto"/>
          <w:highlight w:val="none"/>
          <w:lang w:eastAsia="zh-CN"/>
        </w:rPr>
        <w:t>货物的</w:t>
      </w:r>
      <w:r>
        <w:rPr>
          <w:rFonts w:hint="eastAsia" w:ascii="仿宋" w:hAnsi="仿宋" w:eastAsia="仿宋" w:cs="仿宋"/>
          <w:color w:val="auto"/>
          <w:highlight w:val="none"/>
        </w:rPr>
        <w:t>，则：</w:t>
      </w:r>
    </w:p>
    <w:p w14:paraId="28B07525">
      <w:pPr>
        <w:spacing w:line="560" w:lineRule="exact"/>
        <w:ind w:firstLine="480" w:firstLineChars="200"/>
        <w:rPr>
          <w:rFonts w:hint="eastAsia" w:ascii="仿宋" w:hAnsi="仿宋" w:eastAsia="仿宋" w:cs="仿宋"/>
          <w:color w:val="auto"/>
          <w:sz w:val="24"/>
          <w:highlight w:val="none"/>
          <w:u w:val="single"/>
        </w:rPr>
      </w:pPr>
      <w:bookmarkStart w:id="66" w:name="_Toc4929"/>
      <w:bookmarkStart w:id="67" w:name="_Toc5635"/>
      <w:bookmarkStart w:id="68" w:name="_Toc13918"/>
      <w:bookmarkStart w:id="69" w:name="_Toc1386"/>
      <w:bookmarkStart w:id="70" w:name="_Toc21124"/>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5324043">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37F8512">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7BD2069">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66"/>
      <w:bookmarkEnd w:id="67"/>
      <w:bookmarkEnd w:id="68"/>
      <w:bookmarkEnd w:id="69"/>
      <w:bookmarkEnd w:id="70"/>
    </w:p>
    <w:p w14:paraId="13FC4C7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45FBBD5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09874707">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C08A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F0E2B6C">
            <w:pPr>
              <w:pStyle w:val="624"/>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3822BCB8">
            <w:pPr>
              <w:pStyle w:val="624"/>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534940F3">
            <w:pPr>
              <w:pStyle w:val="624"/>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09356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E4916F5">
            <w:pPr>
              <w:pStyle w:val="624"/>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5A19FD4F">
            <w:pPr>
              <w:pStyle w:val="624"/>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0900E1D1">
            <w:pPr>
              <w:pStyle w:val="624"/>
              <w:spacing w:line="560" w:lineRule="exact"/>
              <w:ind w:firstLine="200"/>
              <w:jc w:val="center"/>
              <w:rPr>
                <w:rFonts w:hint="eastAsia" w:ascii="仿宋" w:hAnsi="仿宋" w:eastAsia="仿宋" w:cs="仿宋"/>
                <w:color w:val="auto"/>
                <w:sz w:val="24"/>
                <w:szCs w:val="24"/>
                <w:highlight w:val="none"/>
              </w:rPr>
            </w:pPr>
          </w:p>
        </w:tc>
      </w:tr>
      <w:tr w14:paraId="3F66D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429BE8B">
            <w:pPr>
              <w:pStyle w:val="624"/>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5EBBF94F">
            <w:pPr>
              <w:pStyle w:val="624"/>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5EE51503">
            <w:pPr>
              <w:pStyle w:val="624"/>
              <w:spacing w:line="560" w:lineRule="exact"/>
              <w:ind w:firstLine="200"/>
              <w:jc w:val="center"/>
              <w:rPr>
                <w:rFonts w:hint="eastAsia" w:ascii="仿宋" w:hAnsi="仿宋" w:eastAsia="仿宋" w:cs="仿宋"/>
                <w:color w:val="auto"/>
                <w:sz w:val="24"/>
                <w:szCs w:val="24"/>
                <w:highlight w:val="none"/>
              </w:rPr>
            </w:pPr>
          </w:p>
        </w:tc>
      </w:tr>
      <w:tr w14:paraId="57078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4A661C1">
            <w:pPr>
              <w:pStyle w:val="624"/>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15A4DB2B">
            <w:pPr>
              <w:pStyle w:val="624"/>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6057DAE0">
            <w:pPr>
              <w:pStyle w:val="624"/>
              <w:spacing w:line="560" w:lineRule="exact"/>
              <w:ind w:firstLine="200"/>
              <w:jc w:val="center"/>
              <w:rPr>
                <w:rFonts w:hint="eastAsia" w:ascii="仿宋" w:hAnsi="仿宋" w:eastAsia="仿宋" w:cs="仿宋"/>
                <w:color w:val="auto"/>
                <w:sz w:val="24"/>
                <w:szCs w:val="24"/>
                <w:highlight w:val="none"/>
              </w:rPr>
            </w:pPr>
          </w:p>
        </w:tc>
      </w:tr>
      <w:tr w14:paraId="72C7D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8190204">
            <w:pPr>
              <w:pStyle w:val="624"/>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43BB5041">
            <w:pPr>
              <w:pStyle w:val="624"/>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26AD9957">
            <w:pPr>
              <w:pStyle w:val="624"/>
              <w:spacing w:line="560" w:lineRule="exact"/>
              <w:ind w:firstLine="200"/>
              <w:jc w:val="center"/>
              <w:rPr>
                <w:rFonts w:hint="eastAsia" w:ascii="仿宋" w:hAnsi="仿宋" w:eastAsia="仿宋" w:cs="仿宋"/>
                <w:color w:val="auto"/>
                <w:sz w:val="24"/>
                <w:szCs w:val="24"/>
                <w:highlight w:val="none"/>
              </w:rPr>
            </w:pPr>
          </w:p>
        </w:tc>
      </w:tr>
      <w:tr w14:paraId="781F9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3559748">
            <w:pPr>
              <w:pStyle w:val="624"/>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4FE5C29A">
            <w:pPr>
              <w:pStyle w:val="624"/>
              <w:spacing w:line="560" w:lineRule="exact"/>
              <w:ind w:firstLine="200"/>
              <w:jc w:val="center"/>
              <w:rPr>
                <w:rFonts w:hint="eastAsia" w:ascii="仿宋" w:hAnsi="仿宋" w:eastAsia="仿宋" w:cs="仿宋"/>
                <w:color w:val="auto"/>
                <w:sz w:val="24"/>
                <w:szCs w:val="24"/>
                <w:highlight w:val="none"/>
              </w:rPr>
            </w:pPr>
          </w:p>
        </w:tc>
      </w:tr>
    </w:tbl>
    <w:p w14:paraId="5F1D0537">
      <w:pPr>
        <w:spacing w:line="560" w:lineRule="exact"/>
        <w:ind w:firstLine="480" w:firstLineChars="200"/>
        <w:rPr>
          <w:rFonts w:hint="eastAsia" w:ascii="仿宋" w:hAnsi="仿宋" w:eastAsia="仿宋" w:cs="仿宋"/>
          <w:color w:val="auto"/>
          <w:sz w:val="24"/>
          <w:highlight w:val="none"/>
        </w:rPr>
      </w:pPr>
      <w:bookmarkStart w:id="71" w:name="_Toc30158"/>
      <w:bookmarkStart w:id="72" w:name="_Toc30506"/>
      <w:bookmarkStart w:id="73" w:name="_Toc14993"/>
      <w:bookmarkStart w:id="74" w:name="_Toc26916"/>
      <w:bookmarkStart w:id="75" w:name="_Toc3654"/>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6E4F5512">
      <w:pPr>
        <w:pStyle w:val="4"/>
        <w:numPr>
          <w:ilvl w:val="0"/>
          <w:numId w:val="0"/>
        </w:numPr>
        <w:ind w:leftChars="0"/>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71"/>
    <w:bookmarkEnd w:id="72"/>
    <w:bookmarkEnd w:id="73"/>
    <w:bookmarkEnd w:id="74"/>
    <w:bookmarkEnd w:id="75"/>
    <w:p w14:paraId="37363456">
      <w:pPr>
        <w:pStyle w:val="632"/>
        <w:spacing w:before="0" w:beforeAutospacing="0" w:after="0" w:afterAutospacing="0" w:line="360" w:lineRule="auto"/>
        <w:ind w:firstLine="480"/>
        <w:rPr>
          <w:rFonts w:hint="eastAsia" w:ascii="仿宋" w:hAnsi="仿宋" w:eastAsia="仿宋" w:cs="仿宋"/>
          <w:b/>
          <w:color w:val="auto"/>
          <w:highlight w:val="none"/>
        </w:rPr>
      </w:pPr>
      <w:bookmarkStart w:id="76" w:name="_Toc10340"/>
      <w:bookmarkStart w:id="77" w:name="_Toc22618"/>
      <w:bookmarkStart w:id="78" w:name="_Toc1814"/>
      <w:bookmarkStart w:id="79" w:name="_Toc3625"/>
      <w:bookmarkStart w:id="80" w:name="_Toc11108"/>
      <w:bookmarkStart w:id="81" w:name="_Toc8772"/>
      <w:bookmarkStart w:id="82" w:name="_Toc4760"/>
      <w:bookmarkStart w:id="83" w:name="_Toc31421"/>
      <w:r>
        <w:rPr>
          <w:rFonts w:hint="eastAsia" w:ascii="仿宋" w:hAnsi="仿宋" w:eastAsia="仿宋" w:cs="仿宋"/>
          <w:b/>
          <w:color w:val="auto"/>
          <w:highlight w:val="none"/>
        </w:rPr>
        <w:t>1.4履约保证金</w:t>
      </w:r>
    </w:p>
    <w:p w14:paraId="6058DCF0">
      <w:pPr>
        <w:pStyle w:val="632"/>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eastAsia="zh-CN"/>
        </w:rPr>
        <w:t>否</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1FCA0732">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FB38158">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5191B17">
      <w:pPr>
        <w:pStyle w:val="4"/>
        <w:numPr>
          <w:ilvl w:val="0"/>
          <w:numId w:val="0"/>
        </w:numPr>
        <w:tabs>
          <w:tab w:val="left" w:pos="0"/>
          <w:tab w:val="clear" w:pos="432"/>
        </w:tabs>
        <w:spacing w:line="560" w:lineRule="exact"/>
        <w:ind w:left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6535331">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49DAD649">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76"/>
      <w:bookmarkEnd w:id="77"/>
      <w:bookmarkEnd w:id="78"/>
      <w:r>
        <w:rPr>
          <w:rFonts w:hint="eastAsia" w:ascii="仿宋" w:hAnsi="仿宋" w:eastAsia="仿宋" w:cs="仿宋"/>
          <w:b/>
          <w:color w:val="auto"/>
          <w:sz w:val="24"/>
          <w:highlight w:val="none"/>
        </w:rPr>
        <w:t>预付款</w:t>
      </w:r>
    </w:p>
    <w:p w14:paraId="1C95E36A">
      <w:pPr>
        <w:pStyle w:val="632"/>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eastAsia="zh-CN"/>
        </w:rPr>
        <w:t>是</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1CE14AF9">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5630BE8B">
      <w:pPr>
        <w:pStyle w:val="632"/>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F6DFFD5">
      <w:pPr>
        <w:pStyle w:val="632"/>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3A8AD6F6">
      <w:pPr>
        <w:pStyle w:val="632"/>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7533E1B5">
      <w:pPr>
        <w:pStyle w:val="632"/>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62CEE08">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6175E65">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79"/>
      <w:bookmarkEnd w:id="80"/>
      <w:bookmarkEnd w:id="81"/>
      <w:bookmarkEnd w:id="82"/>
      <w:bookmarkEnd w:id="83"/>
    </w:p>
    <w:p w14:paraId="0046E19E">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FFE5AF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467B78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824D231">
      <w:pPr>
        <w:spacing w:line="560" w:lineRule="exact"/>
        <w:ind w:firstLine="480" w:firstLineChars="200"/>
        <w:outlineLvl w:val="0"/>
        <w:rPr>
          <w:rFonts w:hint="eastAsia" w:ascii="仿宋" w:hAnsi="仿宋" w:eastAsia="仿宋" w:cs="仿宋"/>
          <w:bCs/>
          <w:color w:val="auto"/>
          <w:sz w:val="24"/>
          <w:highlight w:val="none"/>
        </w:rPr>
      </w:pPr>
      <w:bookmarkStart w:id="84" w:name="_Toc5698"/>
      <w:bookmarkStart w:id="85" w:name="_Toc24662"/>
      <w:bookmarkStart w:id="86" w:name="_Toc3079"/>
      <w:bookmarkStart w:id="87" w:name="_Toc8586"/>
      <w:bookmarkStart w:id="88" w:name="_Toc2375"/>
      <w:r>
        <w:rPr>
          <w:rFonts w:hint="eastAsia" w:ascii="仿宋" w:hAnsi="仿宋" w:eastAsia="仿宋" w:cs="仿宋"/>
          <w:bCs/>
          <w:color w:val="auto"/>
          <w:sz w:val="24"/>
          <w:highlight w:val="none"/>
        </w:rPr>
        <w:t>1.7.4若服务涉及货物的，则货物的：</w:t>
      </w:r>
    </w:p>
    <w:p w14:paraId="3FDEFC84">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9D716F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E276D5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CC7ADF4">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84"/>
      <w:bookmarkEnd w:id="85"/>
      <w:bookmarkEnd w:id="86"/>
      <w:bookmarkEnd w:id="87"/>
      <w:bookmarkEnd w:id="88"/>
    </w:p>
    <w:p w14:paraId="3EB23E5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1600CA35">
      <w:pPr>
        <w:pStyle w:val="4"/>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0.05（可根据情况修改）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3C53FD9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06D441B8">
      <w:pPr>
        <w:spacing w:line="560" w:lineRule="exact"/>
        <w:ind w:firstLine="480" w:firstLineChars="200"/>
        <w:rPr>
          <w:rFonts w:hint="eastAsia" w:ascii="仿宋" w:hAnsi="仿宋" w:eastAsia="仿宋" w:cs="仿宋"/>
          <w:color w:val="auto"/>
          <w:sz w:val="24"/>
          <w:highlight w:val="none"/>
        </w:rPr>
      </w:pPr>
      <w:bookmarkStart w:id="89" w:name="_Toc30329"/>
      <w:bookmarkStart w:id="90" w:name="_Toc26807"/>
      <w:bookmarkStart w:id="91" w:name="_Toc9497"/>
      <w:bookmarkStart w:id="92" w:name="_Toc18683"/>
      <w:bookmarkStart w:id="93" w:name="_Toc32454"/>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E9CCA9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EA2000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385DE120">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89"/>
    <w:bookmarkEnd w:id="90"/>
    <w:bookmarkEnd w:id="91"/>
    <w:bookmarkEnd w:id="92"/>
    <w:bookmarkEnd w:id="93"/>
    <w:p w14:paraId="4B7246E8">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1.9合同争议的解决</w:t>
      </w:r>
    </w:p>
    <w:p w14:paraId="4C50B08A">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4C7392EC">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3761A8B6">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13E1E7E4">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2.0 合同生效</w:t>
      </w:r>
    </w:p>
    <w:p w14:paraId="3BB718F5">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631FECD7">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7D362582">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41BD6274">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45AAEED3">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51BC32D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662C3792">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6443C3A2">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500914F6">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7696FAFB">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22662098">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35FEAA0D">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3AAFD7D1">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22EEFC75">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5920734D">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2217D464">
      <w:pPr>
        <w:widowControl/>
        <w:adjustRightInd/>
        <w:jc w:val="left"/>
        <w:rPr>
          <w:rFonts w:hint="eastAsia" w:ascii="仿宋" w:hAnsi="仿宋" w:eastAsia="仿宋" w:cs="仿宋"/>
          <w:b/>
          <w:color w:val="auto"/>
          <w:szCs w:val="24"/>
          <w:highlight w:val="none"/>
        </w:rPr>
      </w:pPr>
    </w:p>
    <w:p w14:paraId="32D17AB0">
      <w:pPr>
        <w:widowControl/>
        <w:adjustRightInd/>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0949AC70">
      <w:pPr>
        <w:spacing w:line="560" w:lineRule="exact"/>
        <w:ind w:firstLine="482" w:firstLineChars="200"/>
        <w:outlineLvl w:val="0"/>
        <w:rPr>
          <w:rFonts w:hint="eastAsia" w:ascii="仿宋" w:hAnsi="仿宋" w:eastAsia="仿宋" w:cs="仿宋"/>
          <w:b/>
          <w:color w:val="auto"/>
          <w:sz w:val="24"/>
          <w:highlight w:val="none"/>
        </w:rPr>
      </w:pPr>
      <w:bookmarkStart w:id="94" w:name="_Toc25079"/>
      <w:bookmarkStart w:id="95" w:name="_Toc5228"/>
      <w:bookmarkStart w:id="96" w:name="_Toc31297"/>
      <w:bookmarkStart w:id="97" w:name="_Toc14021"/>
      <w:bookmarkStart w:id="98" w:name="_Toc19680"/>
      <w:r>
        <w:rPr>
          <w:rFonts w:hint="eastAsia" w:ascii="仿宋" w:hAnsi="仿宋" w:eastAsia="仿宋" w:cs="仿宋"/>
          <w:b/>
          <w:color w:val="auto"/>
          <w:sz w:val="24"/>
          <w:highlight w:val="none"/>
        </w:rPr>
        <w:t>2.1 定义</w:t>
      </w:r>
      <w:bookmarkEnd w:id="94"/>
      <w:bookmarkEnd w:id="95"/>
      <w:bookmarkEnd w:id="96"/>
      <w:bookmarkEnd w:id="97"/>
      <w:bookmarkEnd w:id="98"/>
    </w:p>
    <w:p w14:paraId="0568487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327688F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10D888F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54656B1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6A573A1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71F76D4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DD25C8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4AE414EE">
      <w:pPr>
        <w:spacing w:line="560" w:lineRule="exact"/>
        <w:ind w:firstLine="482" w:firstLineChars="200"/>
        <w:outlineLvl w:val="0"/>
        <w:rPr>
          <w:rFonts w:hint="eastAsia" w:ascii="仿宋" w:hAnsi="仿宋" w:eastAsia="仿宋" w:cs="仿宋"/>
          <w:b/>
          <w:color w:val="auto"/>
          <w:sz w:val="24"/>
          <w:highlight w:val="none"/>
        </w:rPr>
      </w:pPr>
      <w:bookmarkStart w:id="99" w:name="_Toc31402"/>
      <w:bookmarkStart w:id="100" w:name="_Toc19539"/>
      <w:bookmarkStart w:id="101" w:name="_Toc16752"/>
      <w:bookmarkStart w:id="102" w:name="_Toc23289"/>
      <w:bookmarkStart w:id="103" w:name="_Toc3769"/>
      <w:r>
        <w:rPr>
          <w:rFonts w:hint="eastAsia" w:ascii="仿宋" w:hAnsi="仿宋" w:eastAsia="仿宋" w:cs="仿宋"/>
          <w:b/>
          <w:color w:val="auto"/>
          <w:sz w:val="24"/>
          <w:highlight w:val="none"/>
        </w:rPr>
        <w:t>2.2 技术规范</w:t>
      </w:r>
      <w:bookmarkEnd w:id="99"/>
      <w:bookmarkEnd w:id="100"/>
      <w:bookmarkEnd w:id="101"/>
      <w:bookmarkEnd w:id="102"/>
      <w:bookmarkEnd w:id="103"/>
    </w:p>
    <w:p w14:paraId="603DB98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82B858A">
      <w:pPr>
        <w:spacing w:line="560" w:lineRule="exact"/>
        <w:ind w:firstLine="482" w:firstLineChars="200"/>
        <w:outlineLvl w:val="0"/>
        <w:rPr>
          <w:rFonts w:hint="eastAsia" w:ascii="仿宋" w:hAnsi="仿宋" w:eastAsia="仿宋" w:cs="仿宋"/>
          <w:b/>
          <w:color w:val="auto"/>
          <w:sz w:val="24"/>
          <w:highlight w:val="none"/>
        </w:rPr>
      </w:pPr>
      <w:bookmarkStart w:id="104" w:name="_Toc27945"/>
      <w:bookmarkStart w:id="105" w:name="_Toc12412"/>
      <w:bookmarkStart w:id="106" w:name="_Toc13673"/>
      <w:bookmarkStart w:id="107" w:name="_Toc4133"/>
      <w:bookmarkStart w:id="108" w:name="_Toc9161"/>
      <w:r>
        <w:rPr>
          <w:rFonts w:hint="eastAsia" w:ascii="仿宋" w:hAnsi="仿宋" w:eastAsia="仿宋" w:cs="仿宋"/>
          <w:b/>
          <w:color w:val="auto"/>
          <w:sz w:val="24"/>
          <w:highlight w:val="none"/>
        </w:rPr>
        <w:t>2.3 知识产权</w:t>
      </w:r>
      <w:bookmarkEnd w:id="104"/>
      <w:bookmarkEnd w:id="105"/>
      <w:bookmarkEnd w:id="106"/>
      <w:bookmarkEnd w:id="107"/>
      <w:bookmarkEnd w:id="108"/>
    </w:p>
    <w:p w14:paraId="7D2375F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2C8AE6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9B50ECA">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4AE987D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7E53700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74727602">
      <w:pPr>
        <w:spacing w:line="560" w:lineRule="exact"/>
        <w:ind w:firstLine="482" w:firstLineChars="200"/>
        <w:outlineLvl w:val="0"/>
        <w:rPr>
          <w:rFonts w:hint="eastAsia" w:ascii="仿宋" w:hAnsi="仿宋" w:eastAsia="仿宋" w:cs="仿宋"/>
          <w:b/>
          <w:color w:val="auto"/>
          <w:sz w:val="24"/>
          <w:highlight w:val="none"/>
        </w:rPr>
      </w:pPr>
      <w:bookmarkStart w:id="109" w:name="_Toc15447"/>
      <w:bookmarkStart w:id="110" w:name="_Toc26555"/>
      <w:bookmarkStart w:id="111" w:name="_Toc32670"/>
      <w:bookmarkStart w:id="112" w:name="_Toc31233"/>
      <w:bookmarkStart w:id="113" w:name="_Toc22011"/>
      <w:r>
        <w:rPr>
          <w:rFonts w:hint="eastAsia" w:ascii="仿宋" w:hAnsi="仿宋" w:eastAsia="仿宋" w:cs="仿宋"/>
          <w:b/>
          <w:color w:val="auto"/>
          <w:sz w:val="24"/>
          <w:highlight w:val="none"/>
        </w:rPr>
        <w:t>2.5 结算方式和付款条件</w:t>
      </w:r>
      <w:bookmarkEnd w:id="109"/>
      <w:bookmarkEnd w:id="110"/>
      <w:bookmarkEnd w:id="111"/>
      <w:bookmarkEnd w:id="112"/>
      <w:bookmarkEnd w:id="113"/>
    </w:p>
    <w:p w14:paraId="5B2EBEC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16CEE90">
      <w:pPr>
        <w:spacing w:line="560" w:lineRule="exact"/>
        <w:ind w:firstLine="482" w:firstLineChars="200"/>
        <w:outlineLvl w:val="0"/>
        <w:rPr>
          <w:rFonts w:hint="eastAsia" w:ascii="仿宋" w:hAnsi="仿宋" w:eastAsia="仿宋" w:cs="仿宋"/>
          <w:b/>
          <w:color w:val="auto"/>
          <w:sz w:val="24"/>
          <w:highlight w:val="none"/>
        </w:rPr>
      </w:pPr>
      <w:bookmarkStart w:id="114" w:name="_Toc13467"/>
      <w:bookmarkStart w:id="115" w:name="_Toc30507"/>
      <w:bookmarkStart w:id="116" w:name="_Toc16163"/>
      <w:bookmarkStart w:id="117" w:name="_Toc18990"/>
      <w:bookmarkStart w:id="118" w:name="_Toc13154"/>
      <w:r>
        <w:rPr>
          <w:rFonts w:hint="eastAsia" w:ascii="仿宋" w:hAnsi="仿宋" w:eastAsia="仿宋" w:cs="仿宋"/>
          <w:b/>
          <w:color w:val="auto"/>
          <w:sz w:val="24"/>
          <w:highlight w:val="none"/>
        </w:rPr>
        <w:t>2.6 技术资料和保密义务</w:t>
      </w:r>
      <w:bookmarkEnd w:id="114"/>
      <w:bookmarkEnd w:id="115"/>
      <w:bookmarkEnd w:id="116"/>
      <w:bookmarkEnd w:id="117"/>
      <w:bookmarkEnd w:id="118"/>
    </w:p>
    <w:p w14:paraId="2EFD5F2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479CDF7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22E562C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CD996F0">
      <w:pPr>
        <w:spacing w:line="560" w:lineRule="exact"/>
        <w:ind w:firstLine="482" w:firstLineChars="200"/>
        <w:outlineLvl w:val="0"/>
        <w:rPr>
          <w:rFonts w:hint="eastAsia" w:ascii="仿宋" w:hAnsi="仿宋" w:eastAsia="仿宋" w:cs="仿宋"/>
          <w:b/>
          <w:color w:val="auto"/>
          <w:sz w:val="24"/>
          <w:highlight w:val="none"/>
        </w:rPr>
      </w:pPr>
      <w:bookmarkStart w:id="119" w:name="_Toc19069"/>
      <w:r>
        <w:rPr>
          <w:rFonts w:hint="eastAsia" w:ascii="仿宋" w:hAnsi="仿宋" w:eastAsia="仿宋" w:cs="仿宋"/>
          <w:b/>
          <w:color w:val="auto"/>
          <w:sz w:val="24"/>
          <w:highlight w:val="none"/>
        </w:rPr>
        <w:t>2.7 质量保证</w:t>
      </w:r>
      <w:bookmarkEnd w:id="119"/>
    </w:p>
    <w:p w14:paraId="119C837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6E7A72E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18293476">
      <w:pPr>
        <w:spacing w:line="560" w:lineRule="exact"/>
        <w:ind w:firstLine="482" w:firstLineChars="200"/>
        <w:outlineLvl w:val="0"/>
        <w:rPr>
          <w:rFonts w:hint="eastAsia" w:ascii="仿宋" w:hAnsi="仿宋" w:eastAsia="仿宋" w:cs="仿宋"/>
          <w:b/>
          <w:color w:val="auto"/>
          <w:sz w:val="24"/>
          <w:highlight w:val="none"/>
        </w:rPr>
      </w:pPr>
      <w:bookmarkStart w:id="120" w:name="_Toc22267"/>
      <w:r>
        <w:rPr>
          <w:rFonts w:hint="eastAsia" w:ascii="仿宋" w:hAnsi="仿宋" w:eastAsia="仿宋" w:cs="仿宋"/>
          <w:b/>
          <w:color w:val="auto"/>
          <w:sz w:val="24"/>
          <w:highlight w:val="none"/>
        </w:rPr>
        <w:t>2.8 延迟履行</w:t>
      </w:r>
      <w:bookmarkEnd w:id="120"/>
    </w:p>
    <w:p w14:paraId="36B9F21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726F75B8">
      <w:pPr>
        <w:spacing w:line="560" w:lineRule="exact"/>
        <w:ind w:firstLine="482" w:firstLineChars="200"/>
        <w:outlineLvl w:val="0"/>
        <w:rPr>
          <w:rFonts w:hint="eastAsia" w:ascii="仿宋" w:hAnsi="仿宋" w:eastAsia="仿宋" w:cs="仿宋"/>
          <w:b/>
          <w:color w:val="auto"/>
          <w:sz w:val="24"/>
          <w:highlight w:val="none"/>
        </w:rPr>
      </w:pPr>
      <w:bookmarkStart w:id="121" w:name="_Toc10611"/>
      <w:r>
        <w:rPr>
          <w:rFonts w:hint="eastAsia" w:ascii="仿宋" w:hAnsi="仿宋" w:eastAsia="仿宋" w:cs="仿宋"/>
          <w:b/>
          <w:color w:val="auto"/>
          <w:sz w:val="24"/>
          <w:highlight w:val="none"/>
        </w:rPr>
        <w:t>2.9 合同变更</w:t>
      </w:r>
      <w:bookmarkEnd w:id="121"/>
    </w:p>
    <w:p w14:paraId="2A755B2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C7690AD">
      <w:pPr>
        <w:spacing w:line="560" w:lineRule="exact"/>
        <w:ind w:firstLine="482" w:firstLineChars="200"/>
        <w:outlineLvl w:val="0"/>
        <w:rPr>
          <w:rFonts w:hint="eastAsia" w:ascii="仿宋" w:hAnsi="仿宋" w:eastAsia="仿宋" w:cs="仿宋"/>
          <w:b/>
          <w:color w:val="auto"/>
          <w:sz w:val="24"/>
          <w:highlight w:val="none"/>
        </w:rPr>
      </w:pPr>
      <w:bookmarkStart w:id="122" w:name="_Toc21830"/>
      <w:bookmarkStart w:id="123" w:name="_Toc10663"/>
      <w:bookmarkStart w:id="124" w:name="_Toc42"/>
      <w:bookmarkStart w:id="125" w:name="_Toc26689"/>
      <w:bookmarkStart w:id="126" w:name="_Toc23368"/>
      <w:r>
        <w:rPr>
          <w:rFonts w:hint="eastAsia" w:ascii="仿宋" w:hAnsi="仿宋" w:eastAsia="仿宋" w:cs="仿宋"/>
          <w:b/>
          <w:color w:val="auto"/>
          <w:sz w:val="24"/>
          <w:highlight w:val="none"/>
        </w:rPr>
        <w:t>2.10 合同转让和分包</w:t>
      </w:r>
      <w:bookmarkEnd w:id="122"/>
      <w:bookmarkEnd w:id="123"/>
      <w:bookmarkEnd w:id="124"/>
      <w:bookmarkEnd w:id="125"/>
      <w:bookmarkEnd w:id="126"/>
    </w:p>
    <w:p w14:paraId="17B862D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E841A57">
      <w:pPr>
        <w:spacing w:line="560" w:lineRule="exact"/>
        <w:ind w:firstLine="482" w:firstLineChars="200"/>
        <w:outlineLvl w:val="0"/>
        <w:rPr>
          <w:rFonts w:hint="eastAsia" w:ascii="仿宋" w:hAnsi="仿宋" w:eastAsia="仿宋" w:cs="仿宋"/>
          <w:b/>
          <w:color w:val="auto"/>
          <w:sz w:val="24"/>
          <w:highlight w:val="none"/>
        </w:rPr>
      </w:pPr>
      <w:bookmarkStart w:id="127" w:name="_Toc32494"/>
      <w:bookmarkStart w:id="128" w:name="_Toc26633"/>
      <w:bookmarkStart w:id="129" w:name="_Toc14371"/>
      <w:bookmarkStart w:id="130" w:name="_Toc25571"/>
      <w:bookmarkStart w:id="131" w:name="_Toc4720"/>
      <w:r>
        <w:rPr>
          <w:rFonts w:hint="eastAsia" w:ascii="仿宋" w:hAnsi="仿宋" w:eastAsia="仿宋" w:cs="仿宋"/>
          <w:b/>
          <w:color w:val="auto"/>
          <w:sz w:val="24"/>
          <w:highlight w:val="none"/>
        </w:rPr>
        <w:t>2.11 不可抗力</w:t>
      </w:r>
      <w:bookmarkEnd w:id="127"/>
      <w:bookmarkEnd w:id="128"/>
      <w:bookmarkEnd w:id="129"/>
      <w:bookmarkEnd w:id="130"/>
      <w:bookmarkEnd w:id="131"/>
    </w:p>
    <w:p w14:paraId="10B1934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58D2A7D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43F6510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5D36B9A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0395AD37">
      <w:pPr>
        <w:spacing w:line="560" w:lineRule="exact"/>
        <w:ind w:firstLine="482" w:firstLineChars="200"/>
        <w:outlineLvl w:val="0"/>
        <w:rPr>
          <w:rFonts w:hint="eastAsia" w:ascii="仿宋" w:hAnsi="仿宋" w:eastAsia="仿宋" w:cs="仿宋"/>
          <w:b/>
          <w:color w:val="auto"/>
          <w:sz w:val="24"/>
          <w:highlight w:val="none"/>
        </w:rPr>
      </w:pPr>
      <w:bookmarkStart w:id="132" w:name="_Toc24465"/>
      <w:bookmarkStart w:id="133" w:name="_Toc25783"/>
      <w:bookmarkStart w:id="134" w:name="_Toc23854"/>
      <w:bookmarkStart w:id="135" w:name="_Toc14115"/>
      <w:bookmarkStart w:id="136" w:name="_Toc3638"/>
      <w:r>
        <w:rPr>
          <w:rFonts w:hint="eastAsia" w:ascii="仿宋" w:hAnsi="仿宋" w:eastAsia="仿宋" w:cs="仿宋"/>
          <w:b/>
          <w:color w:val="auto"/>
          <w:sz w:val="24"/>
          <w:highlight w:val="none"/>
        </w:rPr>
        <w:t>2.12 税费</w:t>
      </w:r>
      <w:bookmarkEnd w:id="132"/>
      <w:bookmarkEnd w:id="133"/>
      <w:bookmarkEnd w:id="134"/>
      <w:bookmarkEnd w:id="135"/>
      <w:bookmarkEnd w:id="136"/>
    </w:p>
    <w:p w14:paraId="373C668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05945EED">
      <w:pPr>
        <w:spacing w:line="560" w:lineRule="exact"/>
        <w:ind w:firstLine="482" w:firstLineChars="200"/>
        <w:outlineLvl w:val="0"/>
        <w:rPr>
          <w:rFonts w:hint="eastAsia" w:ascii="仿宋" w:hAnsi="仿宋" w:eastAsia="仿宋" w:cs="仿宋"/>
          <w:b/>
          <w:color w:val="auto"/>
          <w:sz w:val="24"/>
          <w:highlight w:val="none"/>
        </w:rPr>
      </w:pPr>
      <w:bookmarkStart w:id="137" w:name="_Toc30105"/>
      <w:bookmarkStart w:id="138" w:name="_Toc14814"/>
      <w:bookmarkStart w:id="139" w:name="_Toc26883"/>
      <w:bookmarkStart w:id="140" w:name="_Toc25525"/>
      <w:bookmarkStart w:id="141" w:name="_Toc7315"/>
      <w:r>
        <w:rPr>
          <w:rFonts w:hint="eastAsia" w:ascii="仿宋" w:hAnsi="仿宋" w:eastAsia="仿宋" w:cs="仿宋"/>
          <w:b/>
          <w:color w:val="auto"/>
          <w:sz w:val="24"/>
          <w:highlight w:val="none"/>
        </w:rPr>
        <w:t>2.13 乙方破产</w:t>
      </w:r>
      <w:bookmarkEnd w:id="137"/>
      <w:bookmarkEnd w:id="138"/>
      <w:bookmarkEnd w:id="139"/>
      <w:bookmarkEnd w:id="140"/>
      <w:bookmarkEnd w:id="141"/>
    </w:p>
    <w:p w14:paraId="7089B4C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80C12C4">
      <w:pPr>
        <w:spacing w:line="560" w:lineRule="exact"/>
        <w:ind w:firstLine="482" w:firstLineChars="200"/>
        <w:outlineLvl w:val="0"/>
        <w:rPr>
          <w:rFonts w:hint="eastAsia" w:ascii="仿宋" w:hAnsi="仿宋" w:eastAsia="仿宋" w:cs="仿宋"/>
          <w:b/>
          <w:color w:val="auto"/>
          <w:sz w:val="24"/>
          <w:highlight w:val="none"/>
        </w:rPr>
      </w:pPr>
      <w:bookmarkStart w:id="142" w:name="_Toc23323"/>
      <w:bookmarkStart w:id="143" w:name="_Toc1123"/>
      <w:bookmarkStart w:id="144" w:name="_Toc2016"/>
      <w:r>
        <w:rPr>
          <w:rFonts w:hint="eastAsia" w:ascii="仿宋" w:hAnsi="仿宋" w:eastAsia="仿宋" w:cs="仿宋"/>
          <w:b/>
          <w:color w:val="auto"/>
          <w:sz w:val="24"/>
          <w:highlight w:val="none"/>
        </w:rPr>
        <w:t>2.14 合同中止、终止</w:t>
      </w:r>
      <w:bookmarkEnd w:id="142"/>
      <w:bookmarkEnd w:id="143"/>
      <w:bookmarkEnd w:id="144"/>
    </w:p>
    <w:p w14:paraId="6539DE3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042C7FD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664A85FE">
      <w:pPr>
        <w:spacing w:line="560" w:lineRule="exact"/>
        <w:ind w:firstLine="482" w:firstLineChars="200"/>
        <w:outlineLvl w:val="0"/>
        <w:rPr>
          <w:rFonts w:hint="eastAsia" w:ascii="仿宋" w:hAnsi="仿宋" w:eastAsia="仿宋" w:cs="仿宋"/>
          <w:b/>
          <w:color w:val="auto"/>
          <w:sz w:val="24"/>
          <w:highlight w:val="none"/>
        </w:rPr>
      </w:pPr>
      <w:bookmarkStart w:id="145" w:name="_Toc14525"/>
      <w:bookmarkStart w:id="146" w:name="_Toc17363"/>
      <w:bookmarkStart w:id="147" w:name="_Toc1969"/>
      <w:r>
        <w:rPr>
          <w:rFonts w:hint="eastAsia" w:ascii="仿宋" w:hAnsi="仿宋" w:eastAsia="仿宋" w:cs="仿宋"/>
          <w:b/>
          <w:color w:val="auto"/>
          <w:sz w:val="24"/>
          <w:highlight w:val="none"/>
        </w:rPr>
        <w:t>2.15 检验和验收</w:t>
      </w:r>
      <w:bookmarkEnd w:id="145"/>
      <w:bookmarkEnd w:id="146"/>
      <w:bookmarkEnd w:id="147"/>
    </w:p>
    <w:p w14:paraId="4DF05732">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1E3662C0">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D5CA32F">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342D8A4A">
      <w:pPr>
        <w:spacing w:line="560" w:lineRule="exact"/>
        <w:ind w:firstLine="482" w:firstLineChars="200"/>
        <w:outlineLvl w:val="0"/>
        <w:rPr>
          <w:rFonts w:hint="eastAsia" w:ascii="仿宋" w:hAnsi="仿宋" w:eastAsia="仿宋" w:cs="仿宋"/>
          <w:b/>
          <w:color w:val="auto"/>
          <w:sz w:val="24"/>
          <w:highlight w:val="none"/>
        </w:rPr>
      </w:pPr>
      <w:bookmarkStart w:id="148" w:name="_Toc2308"/>
      <w:bookmarkStart w:id="149" w:name="_Toc25198"/>
      <w:bookmarkStart w:id="150" w:name="_Toc31892"/>
      <w:bookmarkStart w:id="151" w:name="_Toc9808"/>
      <w:bookmarkStart w:id="152" w:name="_Toc12666"/>
      <w:r>
        <w:rPr>
          <w:rFonts w:hint="eastAsia" w:ascii="仿宋" w:hAnsi="仿宋" w:eastAsia="仿宋" w:cs="仿宋"/>
          <w:b/>
          <w:color w:val="auto"/>
          <w:sz w:val="24"/>
          <w:highlight w:val="none"/>
        </w:rPr>
        <w:t>2.16 通知和送达</w:t>
      </w:r>
      <w:bookmarkEnd w:id="148"/>
      <w:bookmarkEnd w:id="149"/>
      <w:bookmarkEnd w:id="150"/>
      <w:bookmarkEnd w:id="151"/>
      <w:bookmarkEnd w:id="152"/>
    </w:p>
    <w:p w14:paraId="339FBAE7">
      <w:pPr>
        <w:spacing w:line="560" w:lineRule="exact"/>
        <w:ind w:firstLine="480" w:firstLineChars="200"/>
        <w:rPr>
          <w:rFonts w:hint="eastAsia" w:ascii="仿宋" w:hAnsi="仿宋" w:eastAsia="仿宋" w:cs="仿宋"/>
          <w:color w:val="auto"/>
          <w:sz w:val="24"/>
          <w:highlight w:val="none"/>
        </w:rPr>
      </w:pPr>
      <w:bookmarkStart w:id="153" w:name="_Toc18401"/>
      <w:bookmarkStart w:id="154" w:name="_Toc27674"/>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 xml:space="preserve">.1任何一方因履行合同而以合同第一部分尾部所列明的传真或电子邮件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3A24004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153"/>
      <w:bookmarkEnd w:id="154"/>
    </w:p>
    <w:p w14:paraId="26B12BDE">
      <w:pPr>
        <w:spacing w:line="560" w:lineRule="exact"/>
        <w:ind w:firstLine="482" w:firstLineChars="200"/>
        <w:outlineLvl w:val="0"/>
        <w:rPr>
          <w:rFonts w:hint="eastAsia" w:ascii="仿宋" w:hAnsi="仿宋" w:eastAsia="仿宋" w:cs="仿宋"/>
          <w:b/>
          <w:color w:val="auto"/>
          <w:sz w:val="24"/>
          <w:highlight w:val="none"/>
        </w:rPr>
      </w:pPr>
      <w:bookmarkStart w:id="155" w:name="_Toc20808"/>
      <w:bookmarkStart w:id="156" w:name="_Toc27644"/>
      <w:bookmarkStart w:id="157" w:name="_Toc5063"/>
      <w:bookmarkStart w:id="158" w:name="_Toc28906"/>
      <w:bookmarkStart w:id="159" w:name="_Toc12254"/>
      <w:r>
        <w:rPr>
          <w:rFonts w:hint="eastAsia" w:ascii="仿宋" w:hAnsi="仿宋" w:eastAsia="仿宋" w:cs="仿宋"/>
          <w:b/>
          <w:color w:val="auto"/>
          <w:sz w:val="24"/>
          <w:highlight w:val="none"/>
        </w:rPr>
        <w:t>2.17 合同使用的文字和适用的法律</w:t>
      </w:r>
      <w:bookmarkEnd w:id="155"/>
      <w:bookmarkEnd w:id="156"/>
      <w:bookmarkEnd w:id="157"/>
      <w:bookmarkEnd w:id="158"/>
      <w:bookmarkEnd w:id="159"/>
    </w:p>
    <w:p w14:paraId="42C719B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w:t>
      </w:r>
      <w:r>
        <w:rPr>
          <w:rFonts w:hint="eastAsia" w:ascii="仿宋" w:hAnsi="仿宋" w:eastAsia="仿宋" w:cs="仿宋"/>
          <w:color w:val="auto"/>
          <w:sz w:val="24"/>
          <w:highlight w:val="none"/>
          <w:lang w:eastAsia="zh-CN"/>
        </w:rPr>
        <w:t>书写</w:t>
      </w:r>
      <w:r>
        <w:rPr>
          <w:rFonts w:hint="eastAsia" w:ascii="仿宋" w:hAnsi="仿宋" w:eastAsia="仿宋" w:cs="仿宋"/>
          <w:color w:val="auto"/>
          <w:sz w:val="24"/>
          <w:highlight w:val="none"/>
        </w:rPr>
        <w:t>、变更和解释；</w:t>
      </w:r>
    </w:p>
    <w:p w14:paraId="4AE6E81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1D6F034C">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2.18 计量单位</w:t>
      </w:r>
    </w:p>
    <w:p w14:paraId="5717F1C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46A97E86">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425769A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4A850F59">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r>
        <w:rPr>
          <w:rFonts w:hint="eastAsia" w:ascii="仿宋" w:hAnsi="仿宋" w:eastAsia="仿宋" w:cs="仿宋"/>
          <w:b/>
          <w:color w:val="auto"/>
          <w:sz w:val="24"/>
          <w:highlight w:val="none"/>
        </w:rPr>
        <w:t xml:space="preserve"> 第三部分  合同专用条款</w:t>
      </w:r>
    </w:p>
    <w:p w14:paraId="53F75F7F">
      <w:pPr>
        <w:spacing w:line="560" w:lineRule="exact"/>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498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34"/>
        <w:gridCol w:w="8552"/>
      </w:tblGrid>
      <w:tr w14:paraId="3F0A9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92" w:type="pct"/>
            <w:tcBorders>
              <w:left w:val="single" w:color="auto" w:sz="4" w:space="0"/>
            </w:tcBorders>
            <w:vAlign w:val="center"/>
          </w:tcPr>
          <w:p w14:paraId="358F1F3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507" w:type="pct"/>
            <w:vAlign w:val="center"/>
          </w:tcPr>
          <w:p w14:paraId="0363DC9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7D78C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0E19178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4507" w:type="pct"/>
            <w:vAlign w:val="center"/>
          </w:tcPr>
          <w:p w14:paraId="013183D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59064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1" w:hRule="atLeast"/>
        </w:trPr>
        <w:tc>
          <w:tcPr>
            <w:tcW w:w="492" w:type="pct"/>
            <w:tcBorders>
              <w:left w:val="single" w:color="auto" w:sz="4" w:space="0"/>
            </w:tcBorders>
            <w:vAlign w:val="center"/>
          </w:tcPr>
          <w:p w14:paraId="04092CA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507" w:type="pct"/>
            <w:vAlign w:val="center"/>
          </w:tcPr>
          <w:p w14:paraId="4695A21F">
            <w:pPr>
              <w:spacing w:line="44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履约保证金：</w:t>
            </w:r>
            <w:r>
              <w:rPr>
                <w:rFonts w:hint="eastAsia" w:ascii="仿宋" w:hAnsi="仿宋" w:eastAsia="仿宋" w:cs="仿宋"/>
                <w:color w:val="auto"/>
                <w:sz w:val="24"/>
                <w:highlight w:val="none"/>
                <w:lang w:eastAsia="zh-CN"/>
              </w:rPr>
              <w:t>无。</w:t>
            </w:r>
          </w:p>
        </w:tc>
      </w:tr>
      <w:tr w14:paraId="4B0BC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2E14A43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4507" w:type="pct"/>
            <w:vAlign w:val="center"/>
          </w:tcPr>
          <w:p w14:paraId="62EC19EE">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合同生效且符合项目实施条件后 7 个工作日内，由甲方向乙方支付当年合同价的50%预付款</w:t>
            </w:r>
            <w:r>
              <w:rPr>
                <w:rFonts w:hint="eastAsia" w:ascii="仿宋" w:hAnsi="仿宋" w:eastAsia="仿宋" w:cs="仿宋"/>
                <w:color w:val="auto"/>
                <w:sz w:val="24"/>
                <w:highlight w:val="none"/>
                <w:lang w:val="en-US" w:eastAsia="zh-CN"/>
              </w:rPr>
              <w:t>（乙方需提供相应金额的预付款保函至甲方）</w:t>
            </w:r>
          </w:p>
        </w:tc>
      </w:tr>
      <w:tr w14:paraId="4B7F4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0A8463D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4507" w:type="pct"/>
            <w:vAlign w:val="center"/>
          </w:tcPr>
          <w:p w14:paraId="6097AFBC">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38FB0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5B9AFB73">
            <w:pPr>
              <w:spacing w:line="44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1.5.3 </w:t>
            </w:r>
          </w:p>
        </w:tc>
        <w:tc>
          <w:tcPr>
            <w:tcW w:w="4507" w:type="pct"/>
            <w:vAlign w:val="center"/>
          </w:tcPr>
          <w:p w14:paraId="72D67FB5">
            <w:pPr>
              <w:spacing w:line="44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（乙方需提供相应金额的预付款保函至甲方）</w:t>
            </w:r>
          </w:p>
        </w:tc>
      </w:tr>
      <w:tr w14:paraId="2B27A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76B5B7D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507" w:type="pct"/>
            <w:vAlign w:val="center"/>
          </w:tcPr>
          <w:p w14:paraId="7B4CCFFD">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资金支付：</w:t>
            </w:r>
          </w:p>
          <w:p w14:paraId="12843FCC">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甲方根据合同、</w:t>
            </w:r>
            <w:r>
              <w:rPr>
                <w:rFonts w:hint="eastAsia" w:ascii="仿宋" w:hAnsi="仿宋" w:eastAsia="仿宋" w:cs="仿宋"/>
                <w:color w:val="auto"/>
                <w:sz w:val="24"/>
                <w:highlight w:val="none"/>
                <w:lang w:eastAsia="zh-CN"/>
              </w:rPr>
              <w:t>竞争性磋商文件、</w:t>
            </w:r>
            <w:r>
              <w:rPr>
                <w:rFonts w:hint="eastAsia" w:ascii="仿宋" w:hAnsi="仿宋" w:eastAsia="仿宋" w:cs="仿宋"/>
                <w:color w:val="auto"/>
                <w:sz w:val="24"/>
                <w:highlight w:val="none"/>
                <w:lang w:val="en-US" w:eastAsia="zh-CN"/>
              </w:rPr>
              <w:t>响应文件</w:t>
            </w:r>
            <w:r>
              <w:rPr>
                <w:rFonts w:hint="eastAsia" w:ascii="仿宋" w:hAnsi="仿宋" w:eastAsia="仿宋" w:cs="仿宋"/>
                <w:color w:val="auto"/>
                <w:sz w:val="24"/>
                <w:highlight w:val="none"/>
              </w:rPr>
              <w:t>等资料进行验收。</w:t>
            </w:r>
          </w:p>
          <w:p w14:paraId="020CCD43">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合同生效且符合项目实施条件后7个工作日内，由甲方向乙方支付当年合同价的50%预付款</w:t>
            </w:r>
            <w:r>
              <w:rPr>
                <w:rFonts w:hint="eastAsia" w:ascii="仿宋" w:hAnsi="仿宋" w:eastAsia="仿宋" w:cs="仿宋"/>
                <w:color w:val="auto"/>
                <w:sz w:val="24"/>
                <w:highlight w:val="none"/>
                <w:lang w:val="en-US" w:eastAsia="zh-CN"/>
              </w:rPr>
              <w:t>（乙方需提供相应金额的预付款保函至甲方）</w:t>
            </w:r>
            <w:r>
              <w:rPr>
                <w:rFonts w:hint="eastAsia" w:ascii="仿宋" w:hAnsi="仿宋" w:eastAsia="仿宋" w:cs="仿宋"/>
                <w:color w:val="auto"/>
                <w:sz w:val="24"/>
                <w:highlight w:val="none"/>
              </w:rPr>
              <w:t>；每年服务期满后支付剩余50%，第二年按第一年时间进度进行。</w:t>
            </w:r>
          </w:p>
          <w:p w14:paraId="0C305EB5">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结算时乙方将结款申请1份、发票原件（按当期应付金额开具）及复印件1份、合同复印件1份、经甲方验收确认的《建德市政府采购验收反馈表》和验收报告提交甲方，由甲方向乙方支付相应项目款，甲方自收到发票后5个工作日内支付剩余项目款。</w:t>
            </w:r>
          </w:p>
        </w:tc>
      </w:tr>
      <w:tr w14:paraId="396C3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5C002D6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507" w:type="pct"/>
            <w:vAlign w:val="center"/>
          </w:tcPr>
          <w:p w14:paraId="27BD7AC0">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服务交付（实施）的时间（期限）：</w:t>
            </w:r>
            <w:r>
              <w:rPr>
                <w:rFonts w:hint="eastAsia" w:ascii="仿宋" w:hAnsi="仿宋" w:eastAsia="仿宋" w:cs="仿宋"/>
                <w:bCs/>
                <w:snapToGrid/>
                <w:color w:val="auto"/>
                <w:kern w:val="2"/>
                <w:sz w:val="24"/>
                <w:szCs w:val="24"/>
                <w:highlight w:val="none"/>
                <w:lang w:val="zh-CN"/>
              </w:rPr>
              <w:t>本项目服务期自采购合同正式签订生效之日起为期</w:t>
            </w:r>
            <w:r>
              <w:rPr>
                <w:rFonts w:hint="eastAsia" w:ascii="仿宋" w:hAnsi="仿宋" w:eastAsia="仿宋" w:cs="仿宋"/>
                <w:bCs/>
                <w:snapToGrid/>
                <w:color w:val="auto"/>
                <w:kern w:val="2"/>
                <w:sz w:val="24"/>
                <w:szCs w:val="24"/>
                <w:highlight w:val="none"/>
                <w:lang w:val="en-US" w:eastAsia="zh-Hans"/>
              </w:rPr>
              <w:t>一</w:t>
            </w:r>
            <w:r>
              <w:rPr>
                <w:rFonts w:hint="eastAsia" w:ascii="仿宋" w:hAnsi="仿宋" w:eastAsia="仿宋" w:cs="仿宋"/>
                <w:bCs/>
                <w:snapToGrid/>
                <w:color w:val="auto"/>
                <w:kern w:val="2"/>
                <w:sz w:val="24"/>
                <w:szCs w:val="24"/>
                <w:highlight w:val="none"/>
                <w:lang w:val="zh-CN"/>
              </w:rPr>
              <w:t>年</w:t>
            </w:r>
            <w:r>
              <w:rPr>
                <w:rFonts w:hint="eastAsia" w:ascii="仿宋" w:hAnsi="仿宋" w:eastAsia="仿宋" w:cs="仿宋"/>
                <w:bCs/>
                <w:snapToGrid/>
                <w:color w:val="auto"/>
                <w:kern w:val="2"/>
                <w:sz w:val="24"/>
                <w:szCs w:val="24"/>
                <w:highlight w:val="none"/>
              </w:rPr>
              <w:t>。</w:t>
            </w:r>
            <w:r>
              <w:rPr>
                <w:rFonts w:hint="eastAsia" w:ascii="仿宋" w:hAnsi="仿宋" w:eastAsia="仿宋" w:cs="仿宋"/>
                <w:bCs/>
                <w:snapToGrid/>
                <w:color w:val="auto"/>
                <w:kern w:val="2"/>
                <w:sz w:val="24"/>
                <w:szCs w:val="24"/>
                <w:highlight w:val="none"/>
                <w:lang w:val="en-US" w:eastAsia="zh-Hans"/>
              </w:rPr>
              <w:t>本项目采取一次招标二年沿用</w:t>
            </w:r>
            <w:r>
              <w:rPr>
                <w:rFonts w:hint="eastAsia" w:ascii="仿宋" w:hAnsi="仿宋" w:eastAsia="仿宋" w:cs="仿宋"/>
                <w:bCs/>
                <w:snapToGrid/>
                <w:color w:val="auto"/>
                <w:kern w:val="2"/>
                <w:sz w:val="24"/>
                <w:szCs w:val="24"/>
                <w:highlight w:val="none"/>
                <w:lang w:eastAsia="zh-Hans"/>
              </w:rPr>
              <w:t>、</w:t>
            </w:r>
            <w:r>
              <w:rPr>
                <w:rFonts w:hint="eastAsia" w:ascii="仿宋" w:hAnsi="仿宋" w:eastAsia="仿宋" w:cs="仿宋"/>
                <w:bCs/>
                <w:snapToGrid/>
                <w:color w:val="auto"/>
                <w:kern w:val="2"/>
                <w:sz w:val="24"/>
                <w:szCs w:val="24"/>
                <w:highlight w:val="none"/>
                <w:lang w:val="en-US" w:eastAsia="zh-Hans"/>
              </w:rPr>
              <w:t>实行一年一考核一签合同的办法</w:t>
            </w:r>
            <w:r>
              <w:rPr>
                <w:rFonts w:hint="eastAsia" w:ascii="仿宋" w:hAnsi="仿宋" w:eastAsia="仿宋" w:cs="仿宋"/>
                <w:bCs/>
                <w:snapToGrid/>
                <w:color w:val="auto"/>
                <w:kern w:val="2"/>
                <w:sz w:val="24"/>
                <w:szCs w:val="24"/>
                <w:highlight w:val="none"/>
                <w:lang w:eastAsia="zh-Hans"/>
              </w:rPr>
              <w:t>。</w:t>
            </w:r>
            <w:r>
              <w:rPr>
                <w:rFonts w:hint="eastAsia" w:ascii="仿宋" w:hAnsi="仿宋" w:eastAsia="仿宋" w:cs="仿宋"/>
                <w:bCs/>
                <w:color w:val="auto"/>
                <w:sz w:val="24"/>
                <w:highlight w:val="none"/>
              </w:rPr>
              <w:t>服务期满后</w:t>
            </w:r>
            <w:r>
              <w:rPr>
                <w:rFonts w:hint="eastAsia" w:ascii="仿宋" w:hAnsi="仿宋" w:eastAsia="仿宋" w:cs="仿宋"/>
                <w:bCs/>
                <w:snapToGrid/>
                <w:color w:val="auto"/>
                <w:kern w:val="2"/>
                <w:sz w:val="24"/>
                <w:szCs w:val="24"/>
                <w:highlight w:val="none"/>
                <w:lang w:val="zh-CN"/>
              </w:rPr>
              <w:t>进行年度服务质量考</w:t>
            </w:r>
            <w:r>
              <w:rPr>
                <w:rFonts w:hint="eastAsia" w:ascii="仿宋" w:hAnsi="仿宋" w:eastAsia="仿宋" w:cs="仿宋"/>
                <w:color w:val="auto"/>
                <w:sz w:val="24"/>
                <w:highlight w:val="none"/>
                <w:lang w:val="zh-CN" w:eastAsia="zh-CN"/>
              </w:rPr>
              <w:t>核，</w:t>
            </w:r>
            <w:r>
              <w:rPr>
                <w:rFonts w:hint="eastAsia" w:ascii="仿宋" w:hAnsi="仿宋" w:eastAsia="仿宋" w:cs="仿宋"/>
                <w:color w:val="auto"/>
                <w:sz w:val="24"/>
                <w:highlight w:val="none"/>
                <w:lang w:val="en-US" w:eastAsia="zh-CN"/>
              </w:rPr>
              <w:t>分数达到80（含）分</w:t>
            </w:r>
            <w:r>
              <w:rPr>
                <w:rFonts w:hint="eastAsia" w:ascii="仿宋" w:hAnsi="仿宋" w:eastAsia="仿宋" w:cs="仿宋"/>
                <w:color w:val="auto"/>
                <w:sz w:val="24"/>
                <w:highlight w:val="none"/>
                <w:lang w:val="en-US" w:eastAsia="zh-Hans"/>
              </w:rPr>
              <w:t>及</w:t>
            </w:r>
            <w:r>
              <w:rPr>
                <w:rFonts w:hint="eastAsia" w:ascii="仿宋" w:hAnsi="仿宋" w:eastAsia="仿宋" w:cs="仿宋"/>
                <w:color w:val="auto"/>
                <w:sz w:val="24"/>
                <w:highlight w:val="none"/>
                <w:lang w:val="en-US" w:eastAsia="zh-CN"/>
              </w:rPr>
              <w:t>以上的，可根据原合同价续签第二年度合同。</w:t>
            </w:r>
            <w:r>
              <w:rPr>
                <w:rFonts w:hint="eastAsia" w:ascii="仿宋" w:hAnsi="仿宋" w:eastAsia="仿宋" w:cs="仿宋"/>
                <w:color w:val="auto"/>
                <w:sz w:val="24"/>
                <w:highlight w:val="none"/>
              </w:rPr>
              <w:t>如在规定的时间内由于供应商的原因不能完成的，供应商应承担由此给</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造成的损失。</w:t>
            </w:r>
          </w:p>
        </w:tc>
      </w:tr>
      <w:tr w14:paraId="1143D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7154627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507" w:type="pct"/>
            <w:vAlign w:val="center"/>
          </w:tcPr>
          <w:p w14:paraId="535D0EFF">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服务交付（实施）的地点（地域范围）：建德市</w:t>
            </w:r>
          </w:p>
        </w:tc>
      </w:tr>
      <w:tr w14:paraId="5FB30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5A04204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507" w:type="pct"/>
            <w:vAlign w:val="center"/>
          </w:tcPr>
          <w:p w14:paraId="1B0CEDF2">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服务交付（实施）的方式：按采购需求及投标方案完成本项目并提交相应成果。</w:t>
            </w:r>
          </w:p>
        </w:tc>
      </w:tr>
      <w:tr w14:paraId="5D9D7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29A9349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4507" w:type="pct"/>
            <w:vAlign w:val="center"/>
          </w:tcPr>
          <w:p w14:paraId="2C96619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7DD30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5D47A05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4507" w:type="pct"/>
            <w:vAlign w:val="center"/>
          </w:tcPr>
          <w:p w14:paraId="5CD1B41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19EF9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692083A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4507" w:type="pct"/>
            <w:vAlign w:val="center"/>
          </w:tcPr>
          <w:p w14:paraId="3B851AF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7567C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71" w:hRule="atLeast"/>
        </w:trPr>
        <w:tc>
          <w:tcPr>
            <w:tcW w:w="492" w:type="pct"/>
            <w:tcBorders>
              <w:left w:val="single" w:color="auto" w:sz="4" w:space="0"/>
            </w:tcBorders>
            <w:vAlign w:val="center"/>
          </w:tcPr>
          <w:p w14:paraId="42B4041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4507" w:type="pct"/>
            <w:vAlign w:val="center"/>
          </w:tcPr>
          <w:p w14:paraId="0553FCB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违约责任：除不可抗力外，如果乙方没有按照本合同约定的期限、地点和内容完成服务，那么甲方可要求乙方支付违约金，违约金按每迟延完成服务一日的应交付而未完成服务价格的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；迟延完成服务的违约金计算数额达到前述最高限额之日起，甲方有权在要求乙方支付违约金的同时，书面通知乙方解除本合同；</w:t>
            </w:r>
          </w:p>
          <w:p w14:paraId="10E97C87">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r>
              <w:rPr>
                <w:rFonts w:hint="eastAsia" w:ascii="仿宋" w:hAnsi="仿宋" w:eastAsia="仿宋" w:cs="仿宋"/>
                <w:color w:val="auto"/>
                <w:sz w:val="24"/>
                <w:highlight w:val="none"/>
                <w:lang w:eastAsia="zh-CN"/>
              </w:rPr>
              <w:t>；</w:t>
            </w:r>
          </w:p>
          <w:p w14:paraId="27A89F4A">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szCs w:val="24"/>
                <w:highlight w:val="none"/>
                <w:lang w:val="en-US" w:eastAsia="zh-CN"/>
              </w:rPr>
              <w:t>在</w:t>
            </w:r>
            <w:r>
              <w:rPr>
                <w:rFonts w:hint="eastAsia" w:ascii="仿宋" w:hAnsi="仿宋" w:eastAsia="仿宋" w:cs="仿宋"/>
                <w:color w:val="auto"/>
                <w:sz w:val="24"/>
                <w:highlight w:val="none"/>
                <w:lang w:val="en-US" w:eastAsia="zh-CN"/>
              </w:rPr>
              <w:t>合同履行期内，甲方按年度对乙方开展服务质量考核工作。</w:t>
            </w:r>
          </w:p>
          <w:p w14:paraId="0E18C64A">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r>
              <w:rPr>
                <w:rFonts w:hint="default" w:ascii="仿宋" w:hAnsi="仿宋" w:eastAsia="仿宋" w:cs="仿宋"/>
                <w:color w:val="auto"/>
                <w:sz w:val="24"/>
                <w:highlight w:val="none"/>
                <w:lang w:val="en-US" w:eastAsia="zh-CN"/>
              </w:rPr>
              <w:t>考核等级与奖惩</w:t>
            </w:r>
          </w:p>
          <w:p w14:paraId="70B3324E">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考核总分值为100分，年度考核得分达到80分（含）及以上视为合格，无罚款；当次考核得分低于 80 分视为不合格，每减少1分（有小数点的，按四舍五入保留整数），乙方需向甲方缴纳1000元罚金；</w:t>
            </w:r>
          </w:p>
          <w:p w14:paraId="793D539B">
            <w:pPr>
              <w:spacing w:line="360" w:lineRule="auto"/>
              <w:ind w:firstLine="480" w:firstLineChars="200"/>
              <w:rPr>
                <w:rFonts w:hint="eastAsia"/>
                <w:color w:val="auto"/>
                <w:highlight w:val="none"/>
              </w:rPr>
            </w:pPr>
            <w:r>
              <w:rPr>
                <w:rFonts w:hint="default" w:ascii="仿宋" w:hAnsi="仿宋" w:eastAsia="仿宋" w:cs="仿宋"/>
                <w:color w:val="auto"/>
                <w:sz w:val="24"/>
                <w:highlight w:val="none"/>
                <w:lang w:val="en-US" w:eastAsia="zh-CN"/>
              </w:rPr>
              <w:t>罚金缴纳：乙方在接到罚金缴纳通知后的５个工作日内，将罚金足额缴纳至甲方指定银行账户。若逾期未缴纳，每逾期一日，按照未缴纳金额的</w:t>
            </w:r>
            <w:r>
              <w:rPr>
                <w:rFonts w:hint="eastAsia" w:ascii="仿宋" w:hAnsi="仿宋" w:eastAsia="仿宋" w:cs="仿宋"/>
                <w:color w:val="auto"/>
                <w:sz w:val="24"/>
                <w:highlight w:val="none"/>
                <w:lang w:val="en-US" w:eastAsia="zh-CN"/>
              </w:rPr>
              <w:t>10</w:t>
            </w:r>
            <w:r>
              <w:rPr>
                <w:rFonts w:hint="default" w:ascii="仿宋" w:hAnsi="仿宋" w:eastAsia="仿宋" w:cs="仿宋"/>
                <w:color w:val="auto"/>
                <w:sz w:val="24"/>
                <w:highlight w:val="none"/>
                <w:lang w:val="en-US" w:eastAsia="zh-CN"/>
              </w:rPr>
              <w:t>%加收滞纳金；逾期超过</w:t>
            </w:r>
            <w:r>
              <w:rPr>
                <w:rFonts w:hint="eastAsia" w:ascii="仿宋" w:hAnsi="仿宋" w:eastAsia="仿宋" w:cs="仿宋"/>
                <w:color w:val="auto"/>
                <w:sz w:val="24"/>
                <w:highlight w:val="none"/>
                <w:lang w:val="en-US" w:eastAsia="zh-CN"/>
              </w:rPr>
              <w:t>10</w:t>
            </w:r>
            <w:r>
              <w:rPr>
                <w:rFonts w:hint="default" w:ascii="仿宋" w:hAnsi="仿宋" w:eastAsia="仿宋" w:cs="仿宋"/>
                <w:color w:val="auto"/>
                <w:sz w:val="24"/>
                <w:highlight w:val="none"/>
                <w:lang w:val="en-US" w:eastAsia="zh-CN"/>
              </w:rPr>
              <w:t>个工作日，甲方有权采取法律手段追缴，并要求乙方承担因此产生的全部费用。</w:t>
            </w:r>
          </w:p>
        </w:tc>
      </w:tr>
      <w:tr w14:paraId="3D20D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3CFA8C5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4507" w:type="pct"/>
            <w:vAlign w:val="center"/>
          </w:tcPr>
          <w:p w14:paraId="190F8D4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24850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0D04AFE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4507" w:type="pct"/>
            <w:vAlign w:val="center"/>
          </w:tcPr>
          <w:p w14:paraId="2B829FA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合同履行过程中发生争议的，双方应协商解决，协商不成的双方均有权向建德市人民法院提出诉讼。</w:t>
            </w:r>
          </w:p>
        </w:tc>
      </w:tr>
      <w:tr w14:paraId="3BDED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000DC6C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507" w:type="pct"/>
            <w:vAlign w:val="center"/>
          </w:tcPr>
          <w:p w14:paraId="53BC82EB">
            <w:pPr>
              <w:spacing w:line="360" w:lineRule="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知识产权归属：</w:t>
            </w:r>
            <w:r>
              <w:rPr>
                <w:rFonts w:hint="eastAsia" w:ascii="仿宋" w:hAnsi="仿宋" w:eastAsia="仿宋" w:cs="仿宋"/>
                <w:color w:val="auto"/>
                <w:sz w:val="24"/>
                <w:highlight w:val="none"/>
              </w:rPr>
              <w:t>1.乙方在提供服务过程中获得的一切成果，均归甲方所有，乙方不得侵犯任何甲方的知识产权，否则乙方应承担由此产生的一切责任。</w:t>
            </w:r>
          </w:p>
          <w:p w14:paraId="19DFDB8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乙方负有保密义务。本项目资料所有权属甲方所有，各种统计资料、纸质资料及数据等项目加工资料在项目结束时都必须完整完全移交，乙方不得下载、留存、持有和使用任何档案信息，更不得提供给任何第三方，每发现一次按合同总价的20%向甲方支付违约金，如给甲方造成损失的应全额赔偿。对甲方其他的商务、财务、技术、服务的信息、用户资料或其他标明保密的文件或信息，乙方亦负有保密义务，未经甲方事先书面同意不得向任何第三方披露，否则应承担由此产生的法律责任。乙方应及时与甲方签署《保密协议》。</w:t>
            </w:r>
          </w:p>
          <w:p w14:paraId="25B0727E">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3.乙方的保密义务长期有效，不因本合同的终止而终止。</w:t>
            </w:r>
          </w:p>
        </w:tc>
      </w:tr>
      <w:tr w14:paraId="7BFB9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1020F37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4507" w:type="pct"/>
            <w:vAlign w:val="center"/>
          </w:tcPr>
          <w:p w14:paraId="50880315">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w:t>
            </w:r>
          </w:p>
        </w:tc>
      </w:tr>
      <w:tr w14:paraId="06965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42FE6FE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201" w:type="dxa"/>
            <w:vAlign w:val="center"/>
          </w:tcPr>
          <w:p w14:paraId="2521A30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因不可抗力致使合同有变更必要的，双方当事人应在</w:t>
            </w:r>
            <w:r>
              <w:rPr>
                <w:rFonts w:hint="eastAsia" w:ascii="仿宋" w:hAnsi="仿宋" w:eastAsia="仿宋" w:cs="仿宋"/>
                <w:b/>
                <w:i/>
                <w:color w:val="auto"/>
                <w:sz w:val="24"/>
                <w:highlight w:val="none"/>
                <w:u w:val="single"/>
              </w:rPr>
              <w:t>30日内</w:t>
            </w:r>
            <w:r>
              <w:rPr>
                <w:rFonts w:hint="eastAsia" w:ascii="仿宋" w:hAnsi="仿宋" w:eastAsia="仿宋" w:cs="仿宋"/>
                <w:color w:val="auto"/>
                <w:sz w:val="24"/>
                <w:highlight w:val="none"/>
              </w:rPr>
              <w:t>以书面形式变更合同；</w:t>
            </w:r>
          </w:p>
        </w:tc>
      </w:tr>
      <w:tr w14:paraId="1D5B5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tcPr>
          <w:p w14:paraId="450EBF8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201" w:type="dxa"/>
          </w:tcPr>
          <w:p w14:paraId="16CF902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受不可抗力影响的一方在不可抗力发生后，应在</w:t>
            </w:r>
            <w:r>
              <w:rPr>
                <w:rFonts w:hint="eastAsia" w:ascii="仿宋" w:hAnsi="仿宋" w:eastAsia="仿宋" w:cs="仿宋"/>
                <w:b/>
                <w:i/>
                <w:color w:val="auto"/>
                <w:sz w:val="24"/>
                <w:highlight w:val="none"/>
                <w:u w:val="single"/>
              </w:rPr>
              <w:t>7日内</w:t>
            </w:r>
            <w:r>
              <w:rPr>
                <w:rFonts w:hint="eastAsia" w:ascii="仿宋" w:hAnsi="仿宋" w:eastAsia="仿宋" w:cs="仿宋"/>
                <w:color w:val="auto"/>
                <w:sz w:val="24"/>
                <w:highlight w:val="none"/>
              </w:rPr>
              <w:t>以书面形式通知对方当事人，并在</w:t>
            </w:r>
            <w:r>
              <w:rPr>
                <w:rFonts w:hint="eastAsia" w:ascii="仿宋" w:hAnsi="仿宋" w:eastAsia="仿宋" w:cs="仿宋"/>
                <w:b/>
                <w:i/>
                <w:color w:val="auto"/>
                <w:sz w:val="24"/>
                <w:highlight w:val="none"/>
                <w:u w:val="single"/>
              </w:rPr>
              <w:t>14日内</w:t>
            </w:r>
            <w:r>
              <w:rPr>
                <w:rFonts w:hint="eastAsia" w:ascii="仿宋" w:hAnsi="仿宋" w:eastAsia="仿宋" w:cs="仿宋"/>
                <w:color w:val="auto"/>
                <w:sz w:val="24"/>
                <w:highlight w:val="none"/>
              </w:rPr>
              <w:t>，将有关部门出具的证明文件送达对方当事人。</w:t>
            </w:r>
          </w:p>
        </w:tc>
      </w:tr>
      <w:tr w14:paraId="4B164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2DC3DAD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201" w:type="dxa"/>
            <w:vAlign w:val="center"/>
          </w:tcPr>
          <w:p w14:paraId="3B0B40D6">
            <w:pPr>
              <w:rPr>
                <w:rFonts w:hint="eastAsia" w:ascii="仿宋" w:hAnsi="仿宋" w:eastAsia="仿宋" w:cs="仿宋"/>
                <w:color w:val="auto"/>
                <w:sz w:val="24"/>
                <w:highlight w:val="none"/>
              </w:rPr>
            </w:pPr>
            <w:r>
              <w:rPr>
                <w:rFonts w:hint="eastAsia" w:ascii="仿宋" w:hAnsi="仿宋" w:eastAsia="仿宋" w:cs="仿宋"/>
                <w:color w:val="auto"/>
                <w:sz w:val="24"/>
                <w:highlight w:val="none"/>
              </w:rPr>
              <w:t>乙方按照</w:t>
            </w:r>
            <w:r>
              <w:rPr>
                <w:rFonts w:hint="eastAsia" w:ascii="仿宋" w:hAnsi="仿宋" w:eastAsia="仿宋" w:cs="仿宋"/>
                <w:b/>
                <w:bCs/>
                <w:i/>
                <w:iCs/>
                <w:color w:val="auto"/>
                <w:sz w:val="24"/>
                <w:highlight w:val="none"/>
                <w:u w:val="single"/>
              </w:rPr>
              <w:t>磋商文件</w:t>
            </w:r>
            <w:r>
              <w:rPr>
                <w:rFonts w:hint="eastAsia" w:ascii="仿宋" w:hAnsi="仿宋" w:eastAsia="仿宋" w:cs="仿宋"/>
                <w:color w:val="auto"/>
                <w:sz w:val="24"/>
                <w:highlight w:val="none"/>
              </w:rPr>
              <w:t>的约定，定期提交服务报告，甲方按照</w:t>
            </w:r>
            <w:r>
              <w:rPr>
                <w:rFonts w:hint="eastAsia" w:ascii="仿宋" w:hAnsi="仿宋" w:eastAsia="仿宋" w:cs="仿宋"/>
                <w:b/>
                <w:bCs/>
                <w:i/>
                <w:iCs/>
                <w:color w:val="auto"/>
                <w:sz w:val="24"/>
                <w:highlight w:val="none"/>
                <w:u w:val="single"/>
              </w:rPr>
              <w:t>符合招标需求、合同方案标准</w:t>
            </w:r>
            <w:r>
              <w:rPr>
                <w:rFonts w:hint="eastAsia" w:ascii="仿宋" w:hAnsi="仿宋" w:eastAsia="仿宋" w:cs="仿宋"/>
                <w:color w:val="auto"/>
                <w:sz w:val="24"/>
                <w:highlight w:val="none"/>
              </w:rPr>
              <w:t>的约定进行定期验收；</w:t>
            </w:r>
          </w:p>
        </w:tc>
      </w:tr>
      <w:tr w14:paraId="7484A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038177A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201" w:type="dxa"/>
            <w:vAlign w:val="center"/>
          </w:tcPr>
          <w:p w14:paraId="05AD28B2">
            <w:pPr>
              <w:rPr>
                <w:rFonts w:hint="eastAsia" w:ascii="仿宋" w:hAnsi="仿宋" w:eastAsia="仿宋" w:cs="仿宋"/>
                <w:color w:val="auto"/>
                <w:sz w:val="24"/>
                <w:highlight w:val="none"/>
              </w:rPr>
            </w:pPr>
            <w:r>
              <w:rPr>
                <w:rFonts w:hint="eastAsia" w:ascii="仿宋" w:hAnsi="仿宋" w:eastAsia="仿宋" w:cs="仿宋"/>
                <w:color w:val="auto"/>
                <w:sz w:val="24"/>
                <w:highlight w:val="none"/>
              </w:rPr>
              <w:t>检验和验收标准、程序等具体内容：符合招标需求、合同方案标准。</w:t>
            </w:r>
          </w:p>
        </w:tc>
      </w:tr>
      <w:tr w14:paraId="65FC9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92" w:type="pct"/>
            <w:tcBorders>
              <w:left w:val="single" w:color="auto" w:sz="4" w:space="0"/>
            </w:tcBorders>
          </w:tcPr>
          <w:p w14:paraId="312B1F9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201" w:type="dxa"/>
          </w:tcPr>
          <w:p w14:paraId="2FEACEAD">
            <w:pP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合同份数：本合同壹式陆份，甲、乙双方各执贰份，见证单位壹份，监管部门壹份。</w:t>
            </w:r>
          </w:p>
        </w:tc>
      </w:tr>
    </w:tbl>
    <w:p w14:paraId="4F690996">
      <w:pPr>
        <w:rPr>
          <w:rFonts w:hint="eastAsia" w:ascii="仿宋" w:hAnsi="仿宋" w:eastAsia="仿宋" w:cs="仿宋"/>
          <w:color w:val="auto"/>
          <w:highlight w:val="none"/>
        </w:rPr>
      </w:pPr>
    </w:p>
    <w:p w14:paraId="6370BC0B">
      <w:pPr>
        <w:rPr>
          <w:rFonts w:hint="eastAsia" w:ascii="仿宋" w:hAnsi="仿宋" w:eastAsia="仿宋" w:cs="仿宋"/>
          <w:color w:val="auto"/>
          <w:highlight w:val="none"/>
        </w:rPr>
      </w:pPr>
    </w:p>
    <w:p w14:paraId="6F1C8191">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3CB4FA5B">
      <w:pPr>
        <w:snapToGrid w:val="0"/>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第七部分</w:t>
      </w:r>
      <w:bookmarkEnd w:id="54"/>
      <w:r>
        <w:rPr>
          <w:rFonts w:hint="eastAsia" w:ascii="仿宋" w:hAnsi="仿宋" w:eastAsia="仿宋" w:cs="仿宋"/>
          <w:b/>
          <w:color w:val="auto"/>
          <w:sz w:val="36"/>
          <w:szCs w:val="20"/>
          <w:highlight w:val="none"/>
        </w:rPr>
        <w:t xml:space="preserve">  </w:t>
      </w:r>
      <w:bookmarkEnd w:id="55"/>
      <w:r>
        <w:rPr>
          <w:rFonts w:hint="eastAsia" w:ascii="仿宋" w:hAnsi="仿宋" w:eastAsia="仿宋" w:cs="仿宋"/>
          <w:b/>
          <w:color w:val="auto"/>
          <w:sz w:val="36"/>
          <w:szCs w:val="20"/>
          <w:highlight w:val="none"/>
        </w:rPr>
        <w:t>应提交的有关格式范例</w:t>
      </w:r>
    </w:p>
    <w:p w14:paraId="106D426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供应商按照以下格式编制响应文件。</w:t>
      </w:r>
    </w:p>
    <w:p w14:paraId="21FFE619">
      <w:pPr>
        <w:spacing w:line="360" w:lineRule="auto"/>
        <w:ind w:firstLine="480" w:firstLineChars="200"/>
        <w:rPr>
          <w:rFonts w:hint="eastAsia" w:ascii="仿宋" w:hAnsi="仿宋" w:eastAsia="仿宋" w:cs="仿宋"/>
          <w:color w:val="auto"/>
          <w:sz w:val="24"/>
          <w:highlight w:val="none"/>
        </w:rPr>
      </w:pPr>
    </w:p>
    <w:p w14:paraId="77419165">
      <w:pPr>
        <w:spacing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FC75B04">
      <w:pPr>
        <w:pStyle w:val="186"/>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（1）响应函………………………………………………………………………（页码）</w:t>
      </w:r>
    </w:p>
    <w:p w14:paraId="2C3A3730">
      <w:pPr>
        <w:pStyle w:val="186"/>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（2）资格文件…………………………………………………………………（页码）</w:t>
      </w:r>
    </w:p>
    <w:p w14:paraId="52A4DCA1">
      <w:pPr>
        <w:pStyle w:val="186"/>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（3）法人授权书</w:t>
      </w:r>
      <w:r>
        <w:rPr>
          <w:rFonts w:hint="eastAsia" w:ascii="仿宋" w:hAnsi="仿宋" w:eastAsia="仿宋" w:cs="仿宋"/>
          <w:color w:val="auto"/>
          <w:highlight w:val="none"/>
          <w:lang w:val="zh-CN"/>
        </w:rPr>
        <w:t>…………………………………………</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501A9DD8">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（4）分包意向协议</w:t>
      </w:r>
      <w:r>
        <w:rPr>
          <w:rFonts w:hint="eastAsia" w:ascii="仿宋" w:hAnsi="仿宋" w:eastAsia="仿宋" w:cs="仿宋"/>
          <w:color w:val="auto"/>
          <w:highlight w:val="none"/>
        </w:rPr>
        <w:t>…………………………………………………………………………（页码）</w:t>
      </w:r>
    </w:p>
    <w:p w14:paraId="7651B00E">
      <w:pPr>
        <w:pStyle w:val="186"/>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（5）所有资信文件（复印件）…………………………………………………（页码）</w:t>
      </w:r>
    </w:p>
    <w:p w14:paraId="38FA33F3">
      <w:pPr>
        <w:pStyle w:val="186"/>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（6）主要业绩证明</w:t>
      </w:r>
      <w:r>
        <w:rPr>
          <w:rFonts w:hint="eastAsia" w:ascii="仿宋" w:hAnsi="仿宋" w:eastAsia="仿宋" w:cs="仿宋"/>
          <w:color w:val="auto"/>
          <w:highlight w:val="none"/>
          <w:lang w:val="zh-CN"/>
        </w:rPr>
        <w:t>…………………………………………</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212E5D7F">
      <w:pPr>
        <w:pStyle w:val="186"/>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highlight w:val="none"/>
          <w:lang w:val="zh-CN"/>
        </w:rPr>
        <w:t>关于对磋商文件中有关条款的拒绝声明……………</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16B7A295">
      <w:pPr>
        <w:pStyle w:val="186"/>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（8）认为需要的其他商务文件或说明…………………………………………（页码）</w:t>
      </w:r>
    </w:p>
    <w:p w14:paraId="0807F8D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（9）技术解决方案…………………………………</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…………………（页码）</w:t>
      </w:r>
    </w:p>
    <w:p w14:paraId="2542852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（10）组织实施方案………………………………………</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……………（页码）</w:t>
      </w:r>
    </w:p>
    <w:p w14:paraId="06277FA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（11）售后服务方案……………………………………</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………………（页码）</w:t>
      </w:r>
    </w:p>
    <w:p w14:paraId="2906E0C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（12）项目小组人员名单……………………………</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…………………（页码）</w:t>
      </w:r>
    </w:p>
    <w:p w14:paraId="21D089C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w:t>
      </w:r>
      <w:r>
        <w:rPr>
          <w:rFonts w:hint="eastAsia" w:ascii="仿宋" w:hAnsi="仿宋" w:eastAsia="仿宋" w:cs="仿宋"/>
          <w:color w:val="auto"/>
          <w:kern w:val="0"/>
          <w:sz w:val="24"/>
          <w:highlight w:val="none"/>
          <w:lang w:val="zh-CN"/>
        </w:rPr>
        <w:t>优惠条件及特殊承诺………………………………</w:t>
      </w:r>
      <w:r>
        <w:rPr>
          <w:rFonts w:hint="eastAsia" w:ascii="仿宋" w:hAnsi="仿宋" w:eastAsia="仿宋" w:cs="仿宋"/>
          <w:color w:val="auto"/>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14:paraId="3563B16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w:t>
      </w:r>
      <w:r>
        <w:rPr>
          <w:rFonts w:hint="eastAsia" w:ascii="仿宋" w:hAnsi="仿宋" w:eastAsia="仿宋" w:cs="仿宋"/>
          <w:color w:val="auto"/>
          <w:kern w:val="0"/>
          <w:sz w:val="24"/>
          <w:highlight w:val="none"/>
          <w:lang w:val="zh-CN"/>
        </w:rPr>
        <w:t>培训计划……………………………………………</w:t>
      </w:r>
      <w:r>
        <w:rPr>
          <w:rFonts w:hint="eastAsia" w:ascii="仿宋" w:hAnsi="仿宋" w:eastAsia="仿宋" w:cs="仿宋"/>
          <w:color w:val="auto"/>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14:paraId="07AA233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w:t>
      </w:r>
      <w:r>
        <w:rPr>
          <w:rFonts w:hint="eastAsia" w:ascii="仿宋" w:hAnsi="仿宋" w:eastAsia="仿宋" w:cs="仿宋"/>
          <w:color w:val="auto"/>
          <w:sz w:val="24"/>
          <w:highlight w:val="none"/>
        </w:rPr>
        <w:t>随机特殊工具和备品备件清单</w:t>
      </w:r>
      <w:r>
        <w:rPr>
          <w:rFonts w:hint="eastAsia" w:ascii="仿宋" w:hAnsi="仿宋" w:eastAsia="仿宋" w:cs="仿宋"/>
          <w:color w:val="auto"/>
          <w:kern w:val="0"/>
          <w:sz w:val="24"/>
          <w:highlight w:val="none"/>
          <w:lang w:val="zh-CN"/>
        </w:rPr>
        <w:t>…………………</w:t>
      </w:r>
      <w:r>
        <w:rPr>
          <w:rFonts w:hint="eastAsia" w:ascii="仿宋" w:hAnsi="仿宋" w:eastAsia="仿宋" w:cs="仿宋"/>
          <w:color w:val="auto"/>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14:paraId="37EB3FC0">
      <w:pPr>
        <w:spacing w:line="360" w:lineRule="auto"/>
        <w:ind w:firstLine="48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w:t>
      </w:r>
      <w:r>
        <w:rPr>
          <w:rFonts w:hint="eastAsia" w:ascii="仿宋" w:hAnsi="仿宋" w:eastAsia="仿宋" w:cs="仿宋"/>
          <w:color w:val="auto"/>
          <w:kern w:val="0"/>
          <w:sz w:val="24"/>
          <w:highlight w:val="none"/>
          <w:lang w:val="zh-CN"/>
        </w:rPr>
        <w:t>认为需要的其他技术文件或说明…………………</w:t>
      </w:r>
      <w:r>
        <w:rPr>
          <w:rFonts w:hint="eastAsia" w:ascii="仿宋" w:hAnsi="仿宋" w:eastAsia="仿宋" w:cs="仿宋"/>
          <w:color w:val="auto"/>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14:paraId="60CD2AEE">
      <w:pPr>
        <w:tabs>
          <w:tab w:val="left" w:pos="0"/>
        </w:tabs>
        <w:autoSpaceDE w:val="0"/>
        <w:autoSpaceDN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（17）</w:t>
      </w:r>
      <w:r>
        <w:rPr>
          <w:rFonts w:hint="eastAsia" w:ascii="仿宋" w:hAnsi="仿宋" w:eastAsia="仿宋" w:cs="仿宋"/>
          <w:color w:val="auto"/>
          <w:kern w:val="0"/>
          <w:sz w:val="24"/>
          <w:highlight w:val="none"/>
          <w:lang w:val="zh-CN"/>
        </w:rPr>
        <w:t>政府采购供应商廉洁自律承诺书………………………………………</w:t>
      </w:r>
      <w:r>
        <w:rPr>
          <w:rFonts w:hint="eastAsia" w:ascii="仿宋" w:hAnsi="仿宋" w:eastAsia="仿宋" w:cs="仿宋"/>
          <w:color w:val="auto"/>
          <w:kern w:val="0"/>
          <w:sz w:val="24"/>
          <w:highlight w:val="none"/>
        </w:rPr>
        <w:t>（页码）</w:t>
      </w:r>
    </w:p>
    <w:p w14:paraId="2B781870">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24"/>
          <w:highlight w:val="none"/>
        </w:rPr>
        <w:t>注：以上目录是编制供应商响应文件的基本格式要求，各供应商可根据自身情况进一步细化。</w:t>
      </w:r>
      <w:r>
        <w:rPr>
          <w:rFonts w:hint="eastAsia" w:ascii="仿宋" w:hAnsi="仿宋" w:eastAsia="仿宋" w:cs="仿宋"/>
          <w:color w:val="auto"/>
          <w:sz w:val="36"/>
          <w:szCs w:val="36"/>
          <w:highlight w:val="none"/>
        </w:rPr>
        <w:br w:type="page"/>
      </w:r>
      <w:r>
        <w:rPr>
          <w:rFonts w:hint="eastAsia" w:ascii="仿宋" w:hAnsi="仿宋" w:eastAsia="仿宋" w:cs="仿宋"/>
          <w:b/>
          <w:color w:val="auto"/>
          <w:kern w:val="0"/>
          <w:sz w:val="32"/>
          <w:szCs w:val="32"/>
          <w:highlight w:val="none"/>
        </w:rPr>
        <w:t>一、响应</w:t>
      </w:r>
      <w:r>
        <w:rPr>
          <w:rFonts w:hint="eastAsia" w:ascii="仿宋" w:hAnsi="仿宋" w:eastAsia="仿宋" w:cs="仿宋"/>
          <w:b/>
          <w:color w:val="auto"/>
          <w:sz w:val="32"/>
          <w:szCs w:val="32"/>
          <w:highlight w:val="none"/>
        </w:rPr>
        <w:t>函</w:t>
      </w:r>
    </w:p>
    <w:p w14:paraId="72DEE8F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建德经济开发区管理委员会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杭州博望建设工程招标投标代理有限公司</w:t>
      </w:r>
      <w:r>
        <w:rPr>
          <w:rFonts w:hint="eastAsia" w:ascii="仿宋" w:hAnsi="仿宋" w:eastAsia="仿宋" w:cs="仿宋"/>
          <w:color w:val="auto"/>
          <w:sz w:val="24"/>
          <w:highlight w:val="none"/>
        </w:rPr>
        <w:t>：</w:t>
      </w:r>
    </w:p>
    <w:p w14:paraId="5CD3392F">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(供应商全称)授权</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(全权代表姓名)</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(职务、职称)为全权代表，参加贵方组织的</w:t>
      </w:r>
      <w:r>
        <w:rPr>
          <w:rFonts w:hint="eastAsia" w:ascii="仿宋" w:hAnsi="仿宋" w:eastAsia="仿宋" w:cs="仿宋"/>
          <w:color w:val="auto"/>
          <w:sz w:val="24"/>
          <w:highlight w:val="none"/>
          <w:u w:val="single"/>
          <w:lang w:eastAsia="zh-CN"/>
        </w:rPr>
        <w:t>建德经济开发区管理委员会2025年-2026年安全生产社会化服务采购项目</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lang w:eastAsia="zh-CN"/>
        </w:rPr>
        <w:t>JD2025BF-080</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】的有关活动，并对此项目进行响应。为此：</w:t>
      </w:r>
    </w:p>
    <w:p w14:paraId="55CE3109">
      <w:pPr>
        <w:pStyle w:val="109"/>
        <w:numPr>
          <w:ilvl w:val="0"/>
          <w:numId w:val="11"/>
        </w:numPr>
        <w:snapToGrid w:val="0"/>
        <w:ind w:firstLineChars="0"/>
        <w:rPr>
          <w:rFonts w:hint="eastAsia" w:ascii="仿宋" w:hAnsi="仿宋" w:eastAsia="仿宋" w:cs="仿宋"/>
          <w:color w:val="auto"/>
          <w:highlight w:val="none"/>
        </w:rPr>
      </w:pPr>
      <w:r>
        <w:rPr>
          <w:rFonts w:hint="eastAsia" w:ascii="仿宋" w:hAnsi="仿宋" w:eastAsia="仿宋" w:cs="仿宋"/>
          <w:color w:val="auto"/>
          <w:highlight w:val="none"/>
        </w:rPr>
        <w:t>我方承诺响应有效期从提交响应文件的截止之日起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天，（不少于90天），本响应文件在响应有效期满之前均具有约束力。</w:t>
      </w:r>
    </w:p>
    <w:p w14:paraId="441C2A1C">
      <w:pPr>
        <w:numPr>
          <w:ilvl w:val="0"/>
          <w:numId w:val="11"/>
        </w:num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w:t>
      </w:r>
      <w:r>
        <w:rPr>
          <w:rFonts w:hint="eastAsia" w:ascii="仿宋" w:hAnsi="仿宋" w:eastAsia="仿宋" w:cs="仿宋"/>
          <w:bCs/>
          <w:color w:val="auto"/>
          <w:kern w:val="44"/>
          <w:sz w:val="24"/>
          <w:highlight w:val="none"/>
        </w:rPr>
        <w:t>磋商文件中</w:t>
      </w:r>
      <w:r>
        <w:rPr>
          <w:rFonts w:hint="eastAsia" w:ascii="仿宋" w:hAnsi="仿宋" w:eastAsia="仿宋" w:cs="仿宋"/>
          <w:color w:val="auto"/>
          <w:sz w:val="24"/>
          <w:highlight w:val="none"/>
        </w:rPr>
        <w:t>规定的全部响应文件。</w:t>
      </w:r>
    </w:p>
    <w:p w14:paraId="1D4CC765">
      <w:pPr>
        <w:numPr>
          <w:ilvl w:val="0"/>
          <w:numId w:val="11"/>
        </w:num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我方承诺除响应文件列出的偏离外，我方响应磋商文件的全部要求。</w:t>
      </w:r>
    </w:p>
    <w:p w14:paraId="265E6194">
      <w:pPr>
        <w:numPr>
          <w:ilvl w:val="0"/>
          <w:numId w:val="11"/>
        </w:num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保证遵守磋商文件中的其他有关规定。</w:t>
      </w:r>
    </w:p>
    <w:p w14:paraId="25E41051">
      <w:pPr>
        <w:numPr>
          <w:ilvl w:val="0"/>
          <w:numId w:val="11"/>
        </w:num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我方愿意向贵方提供任何与该项目响应有关的数据、情况和技术资料。若贵方需要，我方愿意提供我方作出的一切承诺的证明材料。</w:t>
      </w:r>
    </w:p>
    <w:p w14:paraId="38EB5116">
      <w:pPr>
        <w:numPr>
          <w:ilvl w:val="0"/>
          <w:numId w:val="11"/>
        </w:num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10、我方已详细阅读全部磋商文件，包括磋商文件“更正（延期）公告”（如果有）、参考资料及有关附件，确认无误。</w:t>
      </w:r>
    </w:p>
    <w:p w14:paraId="4ADFC9DD">
      <w:pPr>
        <w:numPr>
          <w:ilvl w:val="0"/>
          <w:numId w:val="11"/>
        </w:num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如我方成交，我方承诺：</w:t>
      </w:r>
    </w:p>
    <w:p w14:paraId="006B8457">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4.1在收到成交通知书后，在成交通知书规定的期限内与你方签订合同； </w:t>
      </w:r>
    </w:p>
    <w:p w14:paraId="029F027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22A4E3A3">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4.3按照磋商文件要求提交履约保证金； </w:t>
      </w:r>
    </w:p>
    <w:p w14:paraId="25294B4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6CE442A8">
      <w:pPr>
        <w:numPr>
          <w:ilvl w:val="0"/>
          <w:numId w:val="11"/>
        </w:num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其他补充说明:                                        。</w:t>
      </w:r>
    </w:p>
    <w:p w14:paraId="395563A3">
      <w:pPr>
        <w:autoSpaceDE w:val="0"/>
        <w:autoSpaceDN w:val="0"/>
        <w:spacing w:line="360" w:lineRule="auto"/>
        <w:ind w:firstLine="3960" w:firstLineChars="1650"/>
        <w:rPr>
          <w:rFonts w:hint="eastAsia" w:ascii="仿宋" w:hAnsi="仿宋" w:eastAsia="仿宋" w:cs="仿宋"/>
          <w:color w:val="auto"/>
          <w:kern w:val="0"/>
          <w:sz w:val="24"/>
          <w:highlight w:val="none"/>
          <w:lang w:val="zh-CN"/>
        </w:rPr>
      </w:pPr>
    </w:p>
    <w:p w14:paraId="7C1B63D9">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供应商名称（电子签名）：                          </w:t>
      </w:r>
    </w:p>
    <w:p w14:paraId="52E902E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796DF5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1FDE350">
      <w:pPr>
        <w:autoSpaceDE w:val="0"/>
        <w:autoSpaceDN w:val="0"/>
        <w:spacing w:line="360" w:lineRule="auto"/>
        <w:rPr>
          <w:rFonts w:hint="eastAsia" w:ascii="仿宋" w:hAnsi="仿宋" w:eastAsia="仿宋" w:cs="仿宋"/>
          <w:color w:val="auto"/>
          <w:kern w:val="0"/>
          <w:sz w:val="24"/>
          <w:highlight w:val="none"/>
        </w:rPr>
      </w:pPr>
    </w:p>
    <w:p w14:paraId="401B493C">
      <w:pPr>
        <w:pStyle w:val="118"/>
        <w:keepNext w:val="0"/>
        <w:pageBreakBefore w:val="0"/>
        <w:tabs>
          <w:tab w:val="clear" w:pos="720"/>
        </w:tabs>
        <w:jc w:val="both"/>
        <w:outlineLvl w:val="9"/>
        <w:rPr>
          <w:rFonts w:hint="eastAsia" w:ascii="仿宋" w:hAnsi="仿宋" w:eastAsia="仿宋" w:cs="仿宋"/>
          <w:color w:val="auto"/>
          <w:sz w:val="24"/>
          <w:szCs w:val="24"/>
          <w:highlight w:val="none"/>
        </w:rPr>
      </w:pPr>
    </w:p>
    <w:p w14:paraId="14B9A1B2">
      <w:pPr>
        <w:spacing w:line="360" w:lineRule="auto"/>
        <w:rPr>
          <w:rFonts w:hint="eastAsia" w:ascii="仿宋" w:hAnsi="仿宋" w:eastAsia="仿宋" w:cs="仿宋"/>
          <w:color w:val="auto"/>
          <w:sz w:val="24"/>
          <w:highlight w:val="none"/>
        </w:rPr>
      </w:pPr>
    </w:p>
    <w:p w14:paraId="3C4CF8C2">
      <w:pPr>
        <w:spacing w:line="360" w:lineRule="auto"/>
        <w:rPr>
          <w:rFonts w:hint="eastAsia" w:ascii="仿宋" w:hAnsi="仿宋" w:eastAsia="仿宋" w:cs="仿宋"/>
          <w:color w:val="auto"/>
          <w:sz w:val="18"/>
          <w:szCs w:val="18"/>
          <w:highlight w:val="none"/>
        </w:rPr>
      </w:pPr>
    </w:p>
    <w:p w14:paraId="4C2E4E6C">
      <w:pPr>
        <w:spacing w:line="360" w:lineRule="auto"/>
        <w:rPr>
          <w:rFonts w:hint="eastAsia" w:ascii="仿宋" w:hAnsi="仿宋" w:eastAsia="仿宋" w:cs="仿宋"/>
          <w:color w:val="auto"/>
          <w:sz w:val="18"/>
          <w:szCs w:val="18"/>
          <w:highlight w:val="none"/>
        </w:rPr>
      </w:pPr>
    </w:p>
    <w:p w14:paraId="12BB0110">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084DA14">
      <w:pPr>
        <w:widowControl/>
        <w:tabs>
          <w:tab w:val="left" w:pos="1200"/>
        </w:tabs>
        <w:adjustRightInd/>
        <w:ind w:left="84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二、资格文件</w:t>
      </w:r>
    </w:p>
    <w:p w14:paraId="57414224">
      <w:pPr>
        <w:pStyle w:val="109"/>
        <w:widowControl/>
        <w:tabs>
          <w:tab w:val="left" w:pos="1200"/>
          <w:tab w:val="left" w:pos="1560"/>
        </w:tabs>
        <w:adjustRightInd/>
        <w:ind w:left="1560" w:firstLine="0" w:firstLineChars="0"/>
        <w:jc w:val="left"/>
        <w:rPr>
          <w:rFonts w:hint="eastAsia" w:ascii="仿宋" w:hAnsi="仿宋" w:eastAsia="仿宋" w:cs="仿宋"/>
          <w:b/>
          <w:color w:val="auto"/>
          <w:sz w:val="30"/>
          <w:szCs w:val="30"/>
          <w:highlight w:val="none"/>
        </w:rPr>
      </w:pPr>
    </w:p>
    <w:p w14:paraId="58D730E4">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A、符合参加政府采购活动应当具备的一般条件的承诺函</w:t>
      </w:r>
    </w:p>
    <w:p w14:paraId="54E43A3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建德经济开发区管理委员会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杭州博望建设工程招标投标代理有限公司</w:t>
      </w:r>
      <w:r>
        <w:rPr>
          <w:rFonts w:hint="eastAsia" w:ascii="仿宋" w:hAnsi="仿宋" w:eastAsia="仿宋" w:cs="仿宋"/>
          <w:color w:val="auto"/>
          <w:sz w:val="24"/>
          <w:highlight w:val="none"/>
        </w:rPr>
        <w:t>：</w:t>
      </w:r>
    </w:p>
    <w:p w14:paraId="0E3CD04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lang w:eastAsia="zh-CN"/>
        </w:rPr>
        <w:t>建德经济开发区管理委员会2025年-2026年安全生产社会化服务采购项目</w:t>
      </w:r>
      <w:r>
        <w:rPr>
          <w:rFonts w:hint="eastAsia" w:ascii="仿宋" w:hAnsi="仿宋" w:eastAsia="仿宋" w:cs="仿宋"/>
          <w:color w:val="auto"/>
          <w:kern w:val="0"/>
          <w:sz w:val="24"/>
          <w:highlight w:val="none"/>
          <w:lang w:val="zh-CN"/>
        </w:rPr>
        <w:t>【项目编号：</w:t>
      </w:r>
      <w:r>
        <w:rPr>
          <w:rFonts w:hint="eastAsia" w:ascii="仿宋" w:hAnsi="仿宋" w:eastAsia="仿宋" w:cs="仿宋"/>
          <w:color w:val="auto"/>
          <w:kern w:val="0"/>
          <w:sz w:val="24"/>
          <w:highlight w:val="none"/>
          <w:u w:val="single"/>
          <w:lang w:val="zh-CN"/>
        </w:rPr>
        <w:t xml:space="preserve">JD2025BF-080 </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政府采购活动，郑重承诺：</w:t>
      </w:r>
    </w:p>
    <w:p w14:paraId="7F01CA4F">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3B6DEF9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10DC604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18891C2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7BA70E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0935B6D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34C623C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4C4D5F7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w:t>
      </w:r>
      <w:r>
        <w:rPr>
          <w:rFonts w:hint="eastAsia" w:ascii="仿宋" w:hAnsi="仿宋" w:eastAsia="仿宋" w:cs="仿宋"/>
          <w:color w:val="auto"/>
          <w:sz w:val="24"/>
          <w:highlight w:val="none"/>
          <w:lang w:eastAsia="zh-CN"/>
        </w:rPr>
        <w:t>失信被执行人、重大税收违法失信主体名单、严重失信主体名单</w:t>
      </w:r>
      <w:r>
        <w:rPr>
          <w:rFonts w:hint="eastAsia" w:ascii="仿宋" w:hAnsi="仿宋" w:eastAsia="仿宋" w:cs="仿宋"/>
          <w:color w:val="auto"/>
          <w:sz w:val="24"/>
          <w:highlight w:val="none"/>
        </w:rPr>
        <w:t>。</w:t>
      </w:r>
    </w:p>
    <w:p w14:paraId="0F1170C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08C3018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2D8785E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1FBB02FA">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2D30BCA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18BD7263">
      <w:pPr>
        <w:snapToGrid w:val="0"/>
        <w:spacing w:line="360" w:lineRule="auto"/>
        <w:ind w:right="480"/>
        <w:jc w:val="center"/>
        <w:rPr>
          <w:rFonts w:hint="eastAsia" w:ascii="仿宋" w:hAnsi="仿宋" w:eastAsia="仿宋" w:cs="仿宋"/>
          <w:b/>
          <w:color w:val="auto"/>
          <w:kern w:val="0"/>
          <w:sz w:val="32"/>
          <w:szCs w:val="32"/>
          <w:highlight w:val="none"/>
        </w:rPr>
      </w:pPr>
    </w:p>
    <w:p w14:paraId="3D5EBC3C">
      <w:pPr>
        <w:widowControl/>
        <w:adjustRightInd/>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7BA55A5B">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B、联合协议（如果有）</w:t>
      </w:r>
    </w:p>
    <w:p w14:paraId="2E9A0E43">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（以联合体形式响应的，提供联合协议；本项目不接受联合体响应或者供应商不以联合体形式响应的，则不需要提供）</w:t>
      </w:r>
    </w:p>
    <w:p w14:paraId="0F6E279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组成一个联合体，以一个供应商的身份</w:t>
      </w:r>
      <w:r>
        <w:rPr>
          <w:rFonts w:hint="eastAsia" w:ascii="仿宋" w:hAnsi="仿宋" w:eastAsia="仿宋" w:cs="仿宋"/>
          <w:color w:val="auto"/>
          <w:kern w:val="0"/>
          <w:sz w:val="24"/>
          <w:highlight w:val="none"/>
        </w:rPr>
        <w:t>参加</w:t>
      </w:r>
      <w:r>
        <w:rPr>
          <w:rFonts w:hint="eastAsia" w:ascii="仿宋" w:hAnsi="仿宋" w:eastAsia="仿宋" w:cs="仿宋"/>
          <w:color w:val="auto"/>
          <w:kern w:val="0"/>
          <w:sz w:val="24"/>
          <w:highlight w:val="none"/>
          <w:u w:val="single"/>
          <w:lang w:eastAsia="zh-CN"/>
        </w:rPr>
        <w:t>建德经济开发区管理委员会2025年-2026年安全生产社会化服务采购项目</w:t>
      </w:r>
      <w:r>
        <w:rPr>
          <w:rFonts w:hint="eastAsia" w:ascii="仿宋" w:hAnsi="仿宋" w:eastAsia="仿宋" w:cs="仿宋"/>
          <w:color w:val="auto"/>
          <w:kern w:val="0"/>
          <w:sz w:val="24"/>
          <w:highlight w:val="none"/>
          <w:lang w:val="zh-CN"/>
        </w:rPr>
        <w:t>【项目编号：</w:t>
      </w:r>
      <w:r>
        <w:rPr>
          <w:rFonts w:hint="eastAsia" w:ascii="仿宋" w:hAnsi="仿宋" w:eastAsia="仿宋" w:cs="仿宋"/>
          <w:color w:val="auto"/>
          <w:kern w:val="0"/>
          <w:sz w:val="24"/>
          <w:highlight w:val="none"/>
          <w:u w:val="single"/>
          <w:lang w:val="zh-CN"/>
        </w:rPr>
        <w:t>JD2025BF-080</w:t>
      </w:r>
      <w:r>
        <w:rPr>
          <w:rFonts w:hint="eastAsia" w:ascii="仿宋" w:hAnsi="仿宋" w:eastAsia="仿宋" w:cs="仿宋"/>
          <w:color w:val="auto"/>
          <w:kern w:val="0"/>
          <w:sz w:val="24"/>
          <w:highlight w:val="none"/>
          <w:u w:val="single"/>
          <w:lang w:val="zh-CN" w:eastAsia="zh-CN"/>
        </w:rPr>
        <w:t xml:space="preserve"> </w:t>
      </w:r>
      <w:r>
        <w:rPr>
          <w:rFonts w:hint="eastAsia" w:ascii="仿宋" w:hAnsi="仿宋" w:eastAsia="仿宋" w:cs="仿宋"/>
          <w:color w:val="auto"/>
          <w:kern w:val="0"/>
          <w:sz w:val="24"/>
          <w:highlight w:val="none"/>
          <w:lang w:val="zh-CN"/>
        </w:rPr>
        <w:t xml:space="preserve">】响应。 </w:t>
      </w:r>
    </w:p>
    <w:p w14:paraId="59FCF7F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，代表所有联合体成员负责响应和合同实施阶段的主办、协调工作</w:t>
      </w:r>
      <w:r>
        <w:rPr>
          <w:rFonts w:hint="eastAsia" w:ascii="仿宋" w:hAnsi="仿宋" w:eastAsia="仿宋" w:cs="仿宋"/>
          <w:color w:val="auto"/>
          <w:kern w:val="0"/>
          <w:sz w:val="24"/>
          <w:highlight w:val="none"/>
          <w:lang w:val="zh-CN"/>
        </w:rPr>
        <w:t>。</w:t>
      </w:r>
    </w:p>
    <w:p w14:paraId="38CD2E4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授权代表根据磋商文件规定及采购内容而对采购人、采购代理机构所作的任何合法承诺，包括书面澄清及响应等均对联合体各方产生约束力。</w:t>
      </w:r>
    </w:p>
    <w:p w14:paraId="7F9C500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三、本次联合响应中，分工如下：</w:t>
      </w:r>
    </w:p>
    <w:p w14:paraId="0611D27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3A361B2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5F9A192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348A236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四、联合体成员中小企业合同份额（如果有）。</w:t>
      </w:r>
    </w:p>
    <w:p w14:paraId="5FF31C09">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160" w:name="_Hlk101131882"/>
      <w:r>
        <w:rPr>
          <w:rFonts w:hint="eastAsia" w:ascii="仿宋" w:hAnsi="仿宋" w:eastAsia="仿宋" w:cs="仿宋"/>
          <w:color w:val="auto"/>
          <w:kern w:val="0"/>
          <w:sz w:val="24"/>
          <w:highlight w:val="none"/>
          <w:u w:val="single"/>
        </w:rPr>
        <w:t>联合体成员X,……</w:t>
      </w:r>
      <w:bookmarkEnd w:id="160"/>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161"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161"/>
      <w:r>
        <w:rPr>
          <w:rFonts w:hint="eastAsia" w:ascii="仿宋" w:hAnsi="仿宋" w:eastAsia="仿宋" w:cs="仿宋"/>
          <w:b/>
          <w:color w:val="auto"/>
          <w:kern w:val="0"/>
          <w:sz w:val="24"/>
          <w:highlight w:val="none"/>
          <w:lang w:val="zh-CN"/>
        </w:rPr>
        <w:t>）</w:t>
      </w:r>
    </w:p>
    <w:p w14:paraId="460B9975">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162"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162"/>
    </w:p>
    <w:p w14:paraId="54B5E2F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五、如果成交，</w:t>
      </w:r>
      <w:r>
        <w:rPr>
          <w:rFonts w:hint="eastAsia" w:ascii="仿宋" w:hAnsi="仿宋" w:eastAsia="仿宋" w:cs="仿宋"/>
          <w:color w:val="auto"/>
          <w:sz w:val="24"/>
          <w:highlight w:val="none"/>
        </w:rPr>
        <w:t>联合体各成员方共同与采购人签订合同，并就采购合同约定的事项对采购人承担连带责任。</w:t>
      </w:r>
    </w:p>
    <w:p w14:paraId="74B68F6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六、有关本次联合响应的其他事宜：</w:t>
      </w:r>
    </w:p>
    <w:p w14:paraId="711DD3B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658586A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5C0BA52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11A3A8C3">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E75CA08">
      <w:pPr>
        <w:snapToGrid w:val="0"/>
        <w:spacing w:line="360" w:lineRule="auto"/>
        <w:ind w:firstLine="5040" w:firstLineChars="2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587993D">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AC3FF6F">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742AA9E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EB73D23">
      <w:pPr>
        <w:snapToGrid w:val="0"/>
        <w:spacing w:line="360" w:lineRule="auto"/>
        <w:ind w:right="480"/>
        <w:jc w:val="center"/>
        <w:rPr>
          <w:rFonts w:hint="eastAsia" w:ascii="仿宋" w:hAnsi="仿宋" w:eastAsia="仿宋" w:cs="仿宋"/>
          <w:b/>
          <w:color w:val="auto"/>
          <w:sz w:val="32"/>
          <w:szCs w:val="32"/>
          <w:highlight w:val="none"/>
        </w:rPr>
      </w:pPr>
    </w:p>
    <w:p w14:paraId="13EE2FD1">
      <w:pPr>
        <w:widowControl/>
        <w:adjustRightInd/>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2D687BDC">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z w:val="32"/>
          <w:szCs w:val="32"/>
          <w:highlight w:val="none"/>
        </w:rPr>
        <w:t>C、</w:t>
      </w:r>
      <w:r>
        <w:rPr>
          <w:rFonts w:hint="eastAsia" w:ascii="仿宋" w:hAnsi="仿宋" w:eastAsia="仿宋" w:cs="仿宋"/>
          <w:b/>
          <w:color w:val="auto"/>
          <w:kern w:val="0"/>
          <w:sz w:val="32"/>
          <w:szCs w:val="32"/>
          <w:highlight w:val="none"/>
        </w:rPr>
        <w:t>落实政府采购政策需满足的资格要求</w:t>
      </w:r>
    </w:p>
    <w:p w14:paraId="2733BD6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b/>
          <w:bCs/>
          <w:color w:val="auto"/>
          <w:sz w:val="24"/>
          <w:highlight w:val="none"/>
        </w:rPr>
        <w:t>磋商文件第一部分竞争性磋商邀请公告中</w:t>
      </w:r>
      <w:r>
        <w:rPr>
          <w:rFonts w:hint="eastAsia" w:ascii="仿宋" w:hAnsi="仿宋" w:eastAsia="仿宋" w:cs="仿宋"/>
          <w:color w:val="auto"/>
          <w:sz w:val="24"/>
          <w:highlight w:val="none"/>
        </w:rPr>
        <w:t>落实政府采购政策需满足的资格要求选择提供相应的材料；未要求的，无需提供）</w:t>
      </w:r>
    </w:p>
    <w:p w14:paraId="2C108740">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.专门面向中小企业，服务全部由符合政策要求的中小企业（或小微企业）承接的，提供相应的中小企业声明函（附件5）。 </w:t>
      </w:r>
    </w:p>
    <w:p w14:paraId="0A3EBE2F">
      <w:pPr>
        <w:widowControl/>
        <w:spacing w:line="360" w:lineRule="auto"/>
        <w:ind w:firstLine="480"/>
        <w:jc w:val="left"/>
        <w:rPr>
          <w:rFonts w:hint="eastAsia" w:ascii="仿宋" w:hAnsi="仿宋" w:eastAsia="仿宋" w:cs="仿宋"/>
          <w:color w:val="auto"/>
          <w:sz w:val="24"/>
          <w:highlight w:val="none"/>
        </w:rPr>
      </w:pPr>
    </w:p>
    <w:p w14:paraId="1F44F910">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要求以联合体形式参加的，提供联合协议和中小企业声明函（附件5），联合协议中中小企业合同金额应当达到</w:t>
      </w:r>
      <w:r>
        <w:rPr>
          <w:rFonts w:hint="eastAsia" w:ascii="仿宋" w:hAnsi="仿宋" w:eastAsia="仿宋" w:cs="仿宋"/>
          <w:b/>
          <w:bCs/>
          <w:color w:val="auto"/>
          <w:sz w:val="24"/>
          <w:highlight w:val="none"/>
        </w:rPr>
        <w:t>竞争性磋商邀请公告</w:t>
      </w:r>
      <w:r>
        <w:rPr>
          <w:rFonts w:hint="eastAsia" w:ascii="仿宋" w:hAnsi="仿宋" w:eastAsia="仿宋" w:cs="仿宋"/>
          <w:color w:val="auto"/>
          <w:sz w:val="24"/>
          <w:highlight w:val="none"/>
        </w:rPr>
        <w:t>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4584B105">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7E03251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要求合同分包的，提供分包意向协议和中小企业声明函（附件5），分包意向协议中中小企业合同金额应当达到</w:t>
      </w:r>
      <w:r>
        <w:rPr>
          <w:rFonts w:hint="eastAsia" w:ascii="仿宋" w:hAnsi="仿宋" w:eastAsia="仿宋" w:cs="仿宋"/>
          <w:b/>
          <w:bCs/>
          <w:color w:val="auto"/>
          <w:sz w:val="24"/>
          <w:highlight w:val="none"/>
        </w:rPr>
        <w:t>竞争性磋商邀请公告</w:t>
      </w:r>
      <w:r>
        <w:rPr>
          <w:rFonts w:hint="eastAsia" w:ascii="仿宋" w:hAnsi="仿宋" w:eastAsia="仿宋" w:cs="仿宋"/>
          <w:color w:val="auto"/>
          <w:sz w:val="24"/>
          <w:highlight w:val="none"/>
        </w:rPr>
        <w:t>载明的比例；如果供应商本身提供的所有标的均由中小企业承接的，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57C89938">
      <w:pPr>
        <w:spacing w:line="360" w:lineRule="auto"/>
        <w:jc w:val="center"/>
        <w:rPr>
          <w:rFonts w:hint="eastAsia" w:ascii="仿宋" w:hAnsi="仿宋" w:eastAsia="仿宋" w:cs="仿宋"/>
          <w:b/>
          <w:color w:val="auto"/>
          <w:sz w:val="32"/>
          <w:szCs w:val="32"/>
          <w:highlight w:val="none"/>
        </w:rPr>
      </w:pPr>
    </w:p>
    <w:p w14:paraId="66B35B68">
      <w:pPr>
        <w:spacing w:line="360" w:lineRule="auto"/>
        <w:jc w:val="center"/>
        <w:rPr>
          <w:rFonts w:hint="eastAsia" w:ascii="仿宋" w:hAnsi="仿宋" w:eastAsia="仿宋" w:cs="仿宋"/>
          <w:b/>
          <w:color w:val="auto"/>
          <w:sz w:val="32"/>
          <w:szCs w:val="32"/>
          <w:highlight w:val="none"/>
        </w:rPr>
      </w:pPr>
    </w:p>
    <w:p w14:paraId="5B6AAC00">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D、符合特定资格条件要求的资质文件（复印件）</w:t>
      </w:r>
    </w:p>
    <w:p w14:paraId="403F498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（由供应商根据“磋商文件第一部分”中“合格的供应商应具备的特定资格要求”编制；如果本项目没有设置特定资格条件，则不需要提供）</w:t>
      </w:r>
    </w:p>
    <w:p w14:paraId="6BC1C56B">
      <w:pPr>
        <w:snapToGrid w:val="0"/>
        <w:spacing w:line="360" w:lineRule="auto"/>
        <w:ind w:firstLine="5880" w:firstLineChars="24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18D65A43">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2A6FA30E">
      <w:pPr>
        <w:snapToGrid w:val="0"/>
        <w:spacing w:line="360" w:lineRule="auto"/>
        <w:rPr>
          <w:rFonts w:hint="eastAsia" w:ascii="仿宋" w:hAnsi="仿宋" w:eastAsia="仿宋" w:cs="仿宋"/>
          <w:color w:val="auto"/>
          <w:kern w:val="0"/>
          <w:sz w:val="24"/>
          <w:highlight w:val="none"/>
          <w:lang w:val="zh-CN"/>
        </w:rPr>
      </w:pPr>
    </w:p>
    <w:p w14:paraId="35DE373B">
      <w:pPr>
        <w:snapToGrid w:val="0"/>
        <w:spacing w:line="360" w:lineRule="auto"/>
        <w:ind w:right="480"/>
        <w:jc w:val="center"/>
        <w:rPr>
          <w:rFonts w:hint="eastAsia" w:ascii="仿宋" w:hAnsi="仿宋" w:eastAsia="仿宋" w:cs="仿宋"/>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028" w:bottom="1276" w:left="1418" w:header="851" w:footer="992" w:gutter="0"/>
          <w:cols w:space="720" w:num="1"/>
          <w:titlePg/>
          <w:docGrid w:linePitch="312" w:charSpace="0"/>
        </w:sectPr>
      </w:pPr>
    </w:p>
    <w:p w14:paraId="33A3D494">
      <w:pPr>
        <w:widowControl/>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三、法人授权书</w:t>
      </w:r>
    </w:p>
    <w:p w14:paraId="2655B72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u w:val="single"/>
          <w:lang w:val="zh-CN"/>
        </w:rPr>
        <w:t>建德经济开发区管理委员会、杭州博望建设工程招标投标代理有限公司</w:t>
      </w:r>
      <w:r>
        <w:rPr>
          <w:rFonts w:hint="eastAsia" w:ascii="仿宋" w:hAnsi="仿宋" w:eastAsia="仿宋" w:cs="仿宋"/>
          <w:color w:val="auto"/>
          <w:kern w:val="0"/>
          <w:sz w:val="24"/>
          <w:highlight w:val="none"/>
          <w:lang w:val="zh-CN"/>
        </w:rPr>
        <w:t>：</w:t>
      </w:r>
    </w:p>
    <w:p w14:paraId="15883D20">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兹委派我公司</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先生/女士(其在本公司的职务是：</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 xml:space="preserve"> ，联系电话：</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传真：</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)，代表我公司全权处理</w:t>
      </w:r>
      <w:r>
        <w:rPr>
          <w:rFonts w:hint="eastAsia" w:ascii="仿宋" w:hAnsi="仿宋" w:eastAsia="仿宋" w:cs="仿宋"/>
          <w:color w:val="auto"/>
          <w:kern w:val="0"/>
          <w:sz w:val="24"/>
          <w:highlight w:val="none"/>
          <w:u w:val="single"/>
          <w:lang w:val="zh-CN"/>
        </w:rPr>
        <w:t>建德经济开发区管理委员会2025年-2026年安全生产社会化服务采购项目</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lang w:val="zh-CN"/>
        </w:rPr>
        <w:t xml:space="preserve">JD2025BF-080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政府采购响应的一切事项，若成交则全权代表本公司签订相关合同，并负责处理合同履行等事宜。</w:t>
      </w:r>
    </w:p>
    <w:p w14:paraId="076357C3">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本委托书有效期：自    年</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 xml:space="preserve"> 月  日起至    年  月  日止。</w:t>
      </w:r>
    </w:p>
    <w:p w14:paraId="786227A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特此告知。</w:t>
      </w:r>
    </w:p>
    <w:p w14:paraId="2315D0B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供应商名称(电子签名)：</w:t>
      </w:r>
    </w:p>
    <w:p w14:paraId="51FC4B4B">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6C6001BC">
      <w:pPr>
        <w:snapToGrid w:val="0"/>
        <w:spacing w:line="360" w:lineRule="auto"/>
        <w:rPr>
          <w:rFonts w:hint="eastAsia" w:ascii="仿宋" w:hAnsi="仿宋" w:eastAsia="仿宋" w:cs="仿宋"/>
          <w:color w:val="auto"/>
          <w:kern w:val="0"/>
          <w:sz w:val="24"/>
          <w:highlight w:val="none"/>
          <w:lang w:val="zh-CN"/>
        </w:rPr>
      </w:pPr>
    </w:p>
    <w:p w14:paraId="67B44AC6">
      <w:pPr>
        <w:widowControl/>
        <w:adjustRightInd/>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74B6CA07">
      <w:pPr>
        <w:snapToGrid w:val="0"/>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联合体响应授权书（扫描件加盖上传单位电子签名）</w:t>
      </w:r>
    </w:p>
    <w:p w14:paraId="24F5F7A2">
      <w:pPr>
        <w:snapToGrid w:val="0"/>
        <w:spacing w:line="360" w:lineRule="auto"/>
        <w:jc w:val="center"/>
        <w:rPr>
          <w:rFonts w:hint="eastAsia" w:ascii="仿宋" w:hAnsi="仿宋" w:eastAsia="仿宋" w:cs="仿宋"/>
          <w:b/>
          <w:color w:val="auto"/>
          <w:kern w:val="0"/>
          <w:sz w:val="30"/>
          <w:szCs w:val="30"/>
          <w:highlight w:val="none"/>
          <w:lang w:val="zh-CN"/>
        </w:rPr>
      </w:pPr>
      <w:r>
        <w:rPr>
          <w:rFonts w:hint="eastAsia" w:ascii="仿宋" w:hAnsi="仿宋" w:eastAsia="仿宋" w:cs="仿宋"/>
          <w:b/>
          <w:color w:val="auto"/>
          <w:kern w:val="0"/>
          <w:sz w:val="30"/>
          <w:szCs w:val="30"/>
          <w:highlight w:val="none"/>
          <w:lang w:val="zh-CN"/>
        </w:rPr>
        <w:t>（适用于联合体响应）</w:t>
      </w:r>
    </w:p>
    <w:p w14:paraId="553DDA7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u w:val="single"/>
          <w:lang w:val="zh-CN"/>
        </w:rPr>
        <w:t>建德经济开发区管理委员会、杭州博望建设工程招标投标代理有限公司</w:t>
      </w:r>
      <w:r>
        <w:rPr>
          <w:rFonts w:hint="eastAsia" w:ascii="仿宋" w:hAnsi="仿宋" w:eastAsia="仿宋" w:cs="仿宋"/>
          <w:color w:val="auto"/>
          <w:kern w:val="0"/>
          <w:sz w:val="24"/>
          <w:highlight w:val="none"/>
          <w:lang w:val="zh-CN"/>
        </w:rPr>
        <w:t>：</w:t>
      </w:r>
    </w:p>
    <w:p w14:paraId="5BA19451">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kern w:val="0"/>
          <w:sz w:val="24"/>
          <w:highlight w:val="none"/>
          <w:u w:val="single"/>
          <w:lang w:val="zh-CN"/>
        </w:rPr>
        <w:t>建德经济开发区管理委员会2025年-2026年安全生产社会化服务采购项目</w:t>
      </w:r>
      <w:r>
        <w:rPr>
          <w:rFonts w:hint="eastAsia" w:ascii="仿宋" w:hAnsi="仿宋" w:eastAsia="仿宋" w:cs="仿宋"/>
          <w:color w:val="auto"/>
          <w:kern w:val="0"/>
          <w:sz w:val="24"/>
          <w:highlight w:val="none"/>
          <w:lang w:val="zh-CN"/>
        </w:rPr>
        <w:t>【项目编号：</w:t>
      </w:r>
      <w:r>
        <w:rPr>
          <w:rFonts w:hint="eastAsia" w:ascii="仿宋" w:hAnsi="仿宋" w:eastAsia="仿宋" w:cs="仿宋"/>
          <w:color w:val="auto"/>
          <w:kern w:val="0"/>
          <w:sz w:val="24"/>
          <w:highlight w:val="none"/>
          <w:u w:val="single"/>
          <w:lang w:val="zh-CN"/>
        </w:rPr>
        <w:t>JD2025BF-080</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】政府采购响应的一切事项，其法律后果由我方承担。</w:t>
      </w:r>
    </w:p>
    <w:p w14:paraId="5F4711BC">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本授权书有效期：自   年 月  日起至  年  月  日止。</w:t>
      </w:r>
    </w:p>
    <w:p w14:paraId="2C60BDD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特此告知。</w:t>
      </w:r>
    </w:p>
    <w:p w14:paraId="10B48A8B">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28787D5">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15AE016">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8FAA67A">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6DADA864">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738E31C">
      <w:pPr>
        <w:widowControl/>
        <w:adjustRightInd/>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p>
    <w:p w14:paraId="7254EE91">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30"/>
          <w:szCs w:val="30"/>
          <w:highlight w:val="none"/>
        </w:rPr>
        <w:t>授权代表的身份证（复印件）</w:t>
      </w:r>
    </w:p>
    <w:p w14:paraId="5DAA438F">
      <w:pPr>
        <w:pStyle w:val="621"/>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授权代表身份证件扫描件：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36BA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23B60BF5">
            <w:pPr>
              <w:pStyle w:val="621"/>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0C698451">
            <w:pPr>
              <w:pStyle w:val="621"/>
              <w:spacing w:line="360" w:lineRule="auto"/>
              <w:rPr>
                <w:rFonts w:hint="eastAsia" w:ascii="仿宋" w:hAnsi="仿宋" w:eastAsia="仿宋" w:cs="仿宋"/>
                <w:bCs/>
                <w:color w:val="auto"/>
                <w:sz w:val="24"/>
                <w:highlight w:val="none"/>
              </w:rPr>
            </w:pPr>
          </w:p>
        </w:tc>
      </w:tr>
    </w:tbl>
    <w:p w14:paraId="2EDB7AEF">
      <w:pPr>
        <w:snapToGrid w:val="0"/>
        <w:spacing w:line="360" w:lineRule="auto"/>
        <w:ind w:firstLine="576"/>
        <w:jc w:val="right"/>
        <w:rPr>
          <w:rFonts w:hint="eastAsia" w:ascii="仿宋" w:hAnsi="仿宋" w:eastAsia="仿宋" w:cs="仿宋"/>
          <w:color w:val="auto"/>
          <w:kern w:val="0"/>
          <w:sz w:val="24"/>
          <w:highlight w:val="none"/>
          <w:lang w:val="zh-CN"/>
        </w:rPr>
      </w:pPr>
    </w:p>
    <w:p w14:paraId="6AE2EB97">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                              </w:t>
      </w:r>
    </w:p>
    <w:p w14:paraId="761421AE">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w:t>
      </w:r>
    </w:p>
    <w:p w14:paraId="0DD1BE5D">
      <w:pPr>
        <w:snapToGrid w:val="0"/>
        <w:spacing w:line="360" w:lineRule="auto"/>
        <w:ind w:firstLine="576"/>
        <w:jc w:val="center"/>
        <w:rPr>
          <w:rFonts w:hint="eastAsia" w:ascii="仿宋" w:hAnsi="仿宋" w:eastAsia="仿宋" w:cs="仿宋"/>
          <w:color w:val="auto"/>
          <w:sz w:val="28"/>
          <w:szCs w:val="28"/>
          <w:highlight w:val="none"/>
        </w:rPr>
      </w:pPr>
    </w:p>
    <w:p w14:paraId="3C89B5A8">
      <w:pPr>
        <w:widowControl/>
        <w:adjustRightInd/>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3698014D">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四</w:t>
      </w:r>
      <w:r>
        <w:rPr>
          <w:rFonts w:hint="eastAsia" w:ascii="仿宋" w:hAnsi="仿宋" w:eastAsia="仿宋" w:cs="仿宋"/>
          <w:b/>
          <w:color w:val="auto"/>
          <w:sz w:val="32"/>
          <w:szCs w:val="32"/>
          <w:highlight w:val="none"/>
        </w:rPr>
        <w:t>、</w:t>
      </w:r>
      <w:r>
        <w:rPr>
          <w:rFonts w:hint="eastAsia" w:ascii="仿宋" w:hAnsi="仿宋" w:eastAsia="仿宋" w:cs="仿宋"/>
          <w:b/>
          <w:color w:val="auto"/>
          <w:kern w:val="0"/>
          <w:sz w:val="32"/>
          <w:szCs w:val="32"/>
          <w:highlight w:val="none"/>
        </w:rPr>
        <w:t>分包意向协议（如果有）</w:t>
      </w:r>
    </w:p>
    <w:p w14:paraId="225644A4">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成交后以分包方式履行合同的，提供分包意向协议；采购人不同意分包或者供应商成交后不以分包方式履行合同的，则不需要提供。</w:t>
      </w:r>
      <w:r>
        <w:rPr>
          <w:rFonts w:hint="eastAsia" w:ascii="仿宋" w:hAnsi="仿宋" w:eastAsia="仿宋" w:cs="仿宋"/>
          <w:color w:val="auto"/>
          <w:sz w:val="24"/>
          <w:highlight w:val="none"/>
        </w:rPr>
        <w:t>）</w:t>
      </w:r>
    </w:p>
    <w:p w14:paraId="7DC01C8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kern w:val="0"/>
          <w:sz w:val="24"/>
          <w:highlight w:val="none"/>
          <w:u w:val="single"/>
          <w:lang w:val="zh-CN"/>
        </w:rPr>
        <w:t>建德经济开发区管理委员会2025年-2026年安全生产社会化服务采购项目</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lang w:eastAsia="zh-CN"/>
        </w:rPr>
        <w:t>JD2025BF-080</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的成交供应商，将依法采取分包方式履行合同。</w:t>
      </w: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2723C91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40BEE6B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3DC022C2">
      <w:pPr>
        <w:pStyle w:val="4"/>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084207DA">
      <w:pPr>
        <w:ind w:firstLine="305"/>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4DDEE50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二、分包供应商中小企业合同份额（如果有）</w:t>
      </w:r>
    </w:p>
    <w:p w14:paraId="498ED1E1">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31B0B49F">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要求合同分包形式参加的项目或采购包，供应商按磋商文件第一部分竞争性磋商邀请公告申请人的资格要求中规定的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21C22D1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5C9FA033">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7824064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2955165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8C4D4C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755987F6">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A16BE49">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6DDC523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514E92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12F4A29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D967AA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429D2681">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供应商名称(电子签名)：</w:t>
      </w:r>
    </w:p>
    <w:p w14:paraId="0381B1D6">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74707072">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B4ECEEB">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DE7861B">
      <w:pPr>
        <w:widowControl/>
        <w:adjustRightInd/>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4B84F75E">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lang w:val="zh-CN"/>
        </w:rPr>
        <w:t>五</w:t>
      </w:r>
      <w:r>
        <w:rPr>
          <w:rFonts w:hint="eastAsia" w:ascii="仿宋" w:hAnsi="仿宋" w:eastAsia="仿宋" w:cs="仿宋"/>
          <w:b/>
          <w:color w:val="auto"/>
          <w:sz w:val="32"/>
          <w:szCs w:val="32"/>
          <w:highlight w:val="none"/>
        </w:rPr>
        <w:t>、所有资信文件（复印件）</w:t>
      </w:r>
    </w:p>
    <w:p w14:paraId="66A5523B">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（由供应商根据采购需求及磋商文件要求编制）</w:t>
      </w:r>
    </w:p>
    <w:p w14:paraId="50E2B4E8">
      <w:pPr>
        <w:spacing w:line="360" w:lineRule="auto"/>
        <w:jc w:val="center"/>
        <w:rPr>
          <w:rFonts w:hint="eastAsia" w:ascii="仿宋" w:hAnsi="仿宋" w:eastAsia="仿宋" w:cs="仿宋"/>
          <w:b/>
          <w:color w:val="auto"/>
          <w:sz w:val="30"/>
          <w:szCs w:val="30"/>
          <w:highlight w:val="none"/>
        </w:rPr>
      </w:pPr>
    </w:p>
    <w:p w14:paraId="4B828414">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26747AB8">
      <w:pPr>
        <w:snapToGrid w:val="0"/>
        <w:spacing w:line="360" w:lineRule="auto"/>
        <w:ind w:firstLine="5160" w:firstLineChars="21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42177523">
      <w:pPr>
        <w:spacing w:line="360" w:lineRule="auto"/>
        <w:jc w:val="center"/>
        <w:rPr>
          <w:rFonts w:hint="eastAsia" w:ascii="仿宋" w:hAnsi="仿宋" w:eastAsia="仿宋" w:cs="仿宋"/>
          <w:b/>
          <w:color w:val="auto"/>
          <w:kern w:val="0"/>
          <w:sz w:val="32"/>
          <w:szCs w:val="32"/>
          <w:highlight w:val="none"/>
        </w:rPr>
      </w:pPr>
    </w:p>
    <w:p w14:paraId="21CEB6AC">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color w:val="auto"/>
          <w:kern w:val="0"/>
          <w:sz w:val="32"/>
          <w:szCs w:val="32"/>
          <w:highlight w:val="none"/>
        </w:rPr>
        <w:t>六</w:t>
      </w:r>
      <w:r>
        <w:rPr>
          <w:rFonts w:hint="eastAsia" w:ascii="仿宋" w:hAnsi="仿宋" w:eastAsia="仿宋" w:cs="仿宋"/>
          <w:b/>
          <w:bCs/>
          <w:color w:val="auto"/>
          <w:sz w:val="32"/>
          <w:szCs w:val="32"/>
          <w:highlight w:val="none"/>
        </w:rPr>
        <w:t>、</w:t>
      </w:r>
      <w:r>
        <w:rPr>
          <w:rFonts w:hint="eastAsia" w:ascii="仿宋" w:hAnsi="仿宋" w:eastAsia="仿宋" w:cs="仿宋"/>
          <w:b/>
          <w:color w:val="auto"/>
          <w:kern w:val="0"/>
          <w:sz w:val="32"/>
          <w:szCs w:val="32"/>
          <w:highlight w:val="none"/>
          <w:lang w:val="zh-CN"/>
        </w:rPr>
        <w:t>主要业绩证明</w:t>
      </w:r>
    </w:p>
    <w:p w14:paraId="2ED09A4E">
      <w:pPr>
        <w:autoSpaceDE w:val="0"/>
        <w:autoSpaceDN w:val="0"/>
        <w:spacing w:line="360" w:lineRule="auto"/>
        <w:ind w:firstLine="12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 :相关项目建设业绩一览表</w:t>
      </w:r>
    </w:p>
    <w:tbl>
      <w:tblPr>
        <w:tblStyle w:val="62"/>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7C1B00E2">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4F9A8C37">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179D734F">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w:t>
            </w:r>
          </w:p>
          <w:p w14:paraId="5E0D6A73">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4F436E66">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478BFD7D">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w:t>
            </w:r>
          </w:p>
          <w:p w14:paraId="59585FA9">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投资</w:t>
            </w:r>
          </w:p>
          <w:p w14:paraId="50A52EC2">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0E386D03">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026DB79C">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6C0BE165">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所在页码</w:t>
            </w:r>
          </w:p>
        </w:tc>
      </w:tr>
      <w:tr w14:paraId="19D7CED2">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5D5970C3">
            <w:pPr>
              <w:autoSpaceDE w:val="0"/>
              <w:autoSpaceDN w:val="0"/>
              <w:spacing w:line="360" w:lineRule="auto"/>
              <w:rPr>
                <w:rFonts w:hint="eastAsia"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327AF0F9">
            <w:pPr>
              <w:autoSpaceDE w:val="0"/>
              <w:autoSpaceDN w:val="0"/>
              <w:spacing w:line="360" w:lineRule="auto"/>
              <w:rPr>
                <w:rFonts w:hint="eastAsia"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2C35B69C">
            <w:pPr>
              <w:autoSpaceDE w:val="0"/>
              <w:autoSpaceDN w:val="0"/>
              <w:spacing w:line="360" w:lineRule="auto"/>
              <w:rPr>
                <w:rFonts w:hint="eastAsia"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07EC8663">
            <w:pPr>
              <w:autoSpaceDE w:val="0"/>
              <w:autoSpaceDN w:val="0"/>
              <w:spacing w:line="360" w:lineRule="auto"/>
              <w:rPr>
                <w:rFonts w:hint="eastAsia"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57225D2E">
            <w:pPr>
              <w:autoSpaceDE w:val="0"/>
              <w:autoSpaceDN w:val="0"/>
              <w:spacing w:line="360" w:lineRule="auto"/>
              <w:rPr>
                <w:rFonts w:hint="eastAsia"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3E17D4BA">
            <w:pPr>
              <w:autoSpaceDE w:val="0"/>
              <w:autoSpaceDN w:val="0"/>
              <w:spacing w:line="360" w:lineRule="auto"/>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1B504BD3">
            <w:pPr>
              <w:autoSpaceDE w:val="0"/>
              <w:autoSpaceDN w:val="0"/>
              <w:spacing w:line="360" w:lineRule="auto"/>
              <w:rPr>
                <w:rFonts w:hint="eastAsia" w:ascii="仿宋" w:hAnsi="仿宋" w:eastAsia="仿宋" w:cs="仿宋"/>
                <w:color w:val="auto"/>
                <w:sz w:val="24"/>
                <w:highlight w:val="none"/>
              </w:rPr>
            </w:pPr>
          </w:p>
        </w:tc>
      </w:tr>
      <w:tr w14:paraId="7CB7AE0D">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5BD4E63D">
            <w:pPr>
              <w:autoSpaceDE w:val="0"/>
              <w:autoSpaceDN w:val="0"/>
              <w:spacing w:line="360" w:lineRule="auto"/>
              <w:rPr>
                <w:rFonts w:hint="eastAsia"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5ECFF211">
            <w:pPr>
              <w:autoSpaceDE w:val="0"/>
              <w:autoSpaceDN w:val="0"/>
              <w:spacing w:line="360" w:lineRule="auto"/>
              <w:rPr>
                <w:rFonts w:hint="eastAsia"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BE49512">
            <w:pPr>
              <w:autoSpaceDE w:val="0"/>
              <w:autoSpaceDN w:val="0"/>
              <w:spacing w:line="360" w:lineRule="auto"/>
              <w:rPr>
                <w:rFonts w:hint="eastAsia"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0888BE8F">
            <w:pPr>
              <w:autoSpaceDE w:val="0"/>
              <w:autoSpaceDN w:val="0"/>
              <w:spacing w:line="360" w:lineRule="auto"/>
              <w:rPr>
                <w:rFonts w:hint="eastAsia"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54EFB6EA">
            <w:pPr>
              <w:autoSpaceDE w:val="0"/>
              <w:autoSpaceDN w:val="0"/>
              <w:spacing w:line="360" w:lineRule="auto"/>
              <w:rPr>
                <w:rFonts w:hint="eastAsia"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6C4359B5">
            <w:pPr>
              <w:autoSpaceDE w:val="0"/>
              <w:autoSpaceDN w:val="0"/>
              <w:spacing w:line="360" w:lineRule="auto"/>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5DE72D3">
            <w:pPr>
              <w:autoSpaceDE w:val="0"/>
              <w:autoSpaceDN w:val="0"/>
              <w:spacing w:line="360" w:lineRule="auto"/>
              <w:rPr>
                <w:rFonts w:hint="eastAsia" w:ascii="仿宋" w:hAnsi="仿宋" w:eastAsia="仿宋" w:cs="仿宋"/>
                <w:color w:val="auto"/>
                <w:sz w:val="24"/>
                <w:highlight w:val="none"/>
              </w:rPr>
            </w:pPr>
          </w:p>
        </w:tc>
      </w:tr>
      <w:tr w14:paraId="1DB53B76">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587D4601">
            <w:pPr>
              <w:autoSpaceDE w:val="0"/>
              <w:autoSpaceDN w:val="0"/>
              <w:spacing w:line="360" w:lineRule="auto"/>
              <w:rPr>
                <w:rFonts w:hint="eastAsia"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4F066687">
            <w:pPr>
              <w:autoSpaceDE w:val="0"/>
              <w:autoSpaceDN w:val="0"/>
              <w:spacing w:line="360" w:lineRule="auto"/>
              <w:rPr>
                <w:rFonts w:hint="eastAsia"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226A1B3F">
            <w:pPr>
              <w:autoSpaceDE w:val="0"/>
              <w:autoSpaceDN w:val="0"/>
              <w:spacing w:line="360" w:lineRule="auto"/>
              <w:rPr>
                <w:rFonts w:hint="eastAsia"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326A1433">
            <w:pPr>
              <w:autoSpaceDE w:val="0"/>
              <w:autoSpaceDN w:val="0"/>
              <w:spacing w:line="360" w:lineRule="auto"/>
              <w:rPr>
                <w:rFonts w:hint="eastAsia"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49D1C3B4">
            <w:pPr>
              <w:autoSpaceDE w:val="0"/>
              <w:autoSpaceDN w:val="0"/>
              <w:spacing w:line="360" w:lineRule="auto"/>
              <w:rPr>
                <w:rFonts w:hint="eastAsia"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1F263B1A">
            <w:pPr>
              <w:autoSpaceDE w:val="0"/>
              <w:autoSpaceDN w:val="0"/>
              <w:spacing w:line="360" w:lineRule="auto"/>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CCF4CB2">
            <w:pPr>
              <w:autoSpaceDE w:val="0"/>
              <w:autoSpaceDN w:val="0"/>
              <w:spacing w:line="360" w:lineRule="auto"/>
              <w:rPr>
                <w:rFonts w:hint="eastAsia" w:ascii="仿宋" w:hAnsi="仿宋" w:eastAsia="仿宋" w:cs="仿宋"/>
                <w:color w:val="auto"/>
                <w:sz w:val="24"/>
                <w:highlight w:val="none"/>
              </w:rPr>
            </w:pPr>
          </w:p>
        </w:tc>
      </w:tr>
      <w:tr w14:paraId="59C351A6">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2B42B145">
            <w:pPr>
              <w:autoSpaceDE w:val="0"/>
              <w:autoSpaceDN w:val="0"/>
              <w:spacing w:line="360" w:lineRule="auto"/>
              <w:rPr>
                <w:rFonts w:hint="eastAsia"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53DAF32">
            <w:pPr>
              <w:autoSpaceDE w:val="0"/>
              <w:autoSpaceDN w:val="0"/>
              <w:spacing w:line="360" w:lineRule="auto"/>
              <w:rPr>
                <w:rFonts w:hint="eastAsia"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313CE18">
            <w:pPr>
              <w:autoSpaceDE w:val="0"/>
              <w:autoSpaceDN w:val="0"/>
              <w:spacing w:line="360" w:lineRule="auto"/>
              <w:rPr>
                <w:rFonts w:hint="eastAsia"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6ED9F5E8">
            <w:pPr>
              <w:autoSpaceDE w:val="0"/>
              <w:autoSpaceDN w:val="0"/>
              <w:spacing w:line="360" w:lineRule="auto"/>
              <w:rPr>
                <w:rFonts w:hint="eastAsia"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766BA86C">
            <w:pPr>
              <w:autoSpaceDE w:val="0"/>
              <w:autoSpaceDN w:val="0"/>
              <w:spacing w:line="360" w:lineRule="auto"/>
              <w:rPr>
                <w:rFonts w:hint="eastAsia"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69427F68">
            <w:pPr>
              <w:autoSpaceDE w:val="0"/>
              <w:autoSpaceDN w:val="0"/>
              <w:spacing w:line="360" w:lineRule="auto"/>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0E3C19A">
            <w:pPr>
              <w:autoSpaceDE w:val="0"/>
              <w:autoSpaceDN w:val="0"/>
              <w:spacing w:line="360" w:lineRule="auto"/>
              <w:rPr>
                <w:rFonts w:hint="eastAsia" w:ascii="仿宋" w:hAnsi="仿宋" w:eastAsia="仿宋" w:cs="仿宋"/>
                <w:color w:val="auto"/>
                <w:sz w:val="24"/>
                <w:highlight w:val="none"/>
              </w:rPr>
            </w:pPr>
          </w:p>
        </w:tc>
      </w:tr>
      <w:tr w14:paraId="378EFB0F">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2335253D">
            <w:pPr>
              <w:autoSpaceDE w:val="0"/>
              <w:autoSpaceDN w:val="0"/>
              <w:spacing w:line="360" w:lineRule="auto"/>
              <w:rPr>
                <w:rFonts w:hint="eastAsia"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7D7ED4C">
            <w:pPr>
              <w:autoSpaceDE w:val="0"/>
              <w:autoSpaceDN w:val="0"/>
              <w:spacing w:line="360" w:lineRule="auto"/>
              <w:rPr>
                <w:rFonts w:hint="eastAsia"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010597A2">
            <w:pPr>
              <w:autoSpaceDE w:val="0"/>
              <w:autoSpaceDN w:val="0"/>
              <w:spacing w:line="360" w:lineRule="auto"/>
              <w:rPr>
                <w:rFonts w:hint="eastAsia"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F8B64F8">
            <w:pPr>
              <w:autoSpaceDE w:val="0"/>
              <w:autoSpaceDN w:val="0"/>
              <w:spacing w:line="360" w:lineRule="auto"/>
              <w:rPr>
                <w:rFonts w:hint="eastAsia"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1565C47D">
            <w:pPr>
              <w:autoSpaceDE w:val="0"/>
              <w:autoSpaceDN w:val="0"/>
              <w:spacing w:line="360" w:lineRule="auto"/>
              <w:rPr>
                <w:rFonts w:hint="eastAsia"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124416C3">
            <w:pPr>
              <w:autoSpaceDE w:val="0"/>
              <w:autoSpaceDN w:val="0"/>
              <w:spacing w:line="360" w:lineRule="auto"/>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9DAD92E">
            <w:pPr>
              <w:autoSpaceDE w:val="0"/>
              <w:autoSpaceDN w:val="0"/>
              <w:spacing w:line="360" w:lineRule="auto"/>
              <w:rPr>
                <w:rFonts w:hint="eastAsia" w:ascii="仿宋" w:hAnsi="仿宋" w:eastAsia="仿宋" w:cs="仿宋"/>
                <w:color w:val="auto"/>
                <w:sz w:val="24"/>
                <w:highlight w:val="none"/>
              </w:rPr>
            </w:pPr>
          </w:p>
        </w:tc>
      </w:tr>
    </w:tbl>
    <w:p w14:paraId="065D4577">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注：供应商可按上述的格式自行编制，须随表提交相应的合同复印件和用户单位验收证明并注明所在文件页码。</w:t>
      </w:r>
    </w:p>
    <w:p w14:paraId="410879B4">
      <w:pPr>
        <w:autoSpaceDE w:val="0"/>
        <w:autoSpaceDN w:val="0"/>
        <w:spacing w:line="360" w:lineRule="auto"/>
        <w:rPr>
          <w:rFonts w:hint="eastAsia" w:ascii="仿宋" w:hAnsi="仿宋" w:eastAsia="仿宋" w:cs="仿宋"/>
          <w:color w:val="auto"/>
          <w:sz w:val="24"/>
          <w:highlight w:val="none"/>
        </w:rPr>
      </w:pPr>
    </w:p>
    <w:p w14:paraId="290782B1">
      <w:pPr>
        <w:autoSpaceDE w:val="0"/>
        <w:autoSpaceDN w:val="0"/>
        <w:spacing w:line="360" w:lineRule="auto"/>
        <w:ind w:firstLine="5280" w:firstLineChars="2200"/>
        <w:rPr>
          <w:rFonts w:hint="eastAsia" w:ascii="仿宋" w:hAnsi="仿宋" w:eastAsia="仿宋" w:cs="仿宋"/>
          <w:color w:val="auto"/>
          <w:kern w:val="0"/>
          <w:sz w:val="24"/>
          <w:highlight w:val="none"/>
        </w:rPr>
      </w:pPr>
    </w:p>
    <w:p w14:paraId="0C25F6A4">
      <w:pPr>
        <w:autoSpaceDE w:val="0"/>
        <w:autoSpaceDN w:val="0"/>
        <w:spacing w:line="360" w:lineRule="auto"/>
        <w:ind w:firstLine="5280" w:firstLineChars="2200"/>
        <w:rPr>
          <w:rFonts w:hint="eastAsia" w:ascii="仿宋" w:hAnsi="仿宋" w:eastAsia="仿宋" w:cs="仿宋"/>
          <w:color w:val="auto"/>
          <w:kern w:val="0"/>
          <w:sz w:val="24"/>
          <w:highlight w:val="none"/>
        </w:rPr>
      </w:pPr>
    </w:p>
    <w:p w14:paraId="11EC4A0E">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11898F46">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2305513B">
      <w:pPr>
        <w:spacing w:line="360" w:lineRule="auto"/>
        <w:jc w:val="center"/>
        <w:rPr>
          <w:rFonts w:hint="eastAsia" w:ascii="仿宋" w:hAnsi="仿宋" w:eastAsia="仿宋" w:cs="仿宋"/>
          <w:b/>
          <w:bCs/>
          <w:color w:val="auto"/>
          <w:sz w:val="32"/>
          <w:szCs w:val="32"/>
          <w:highlight w:val="none"/>
        </w:rPr>
      </w:pPr>
    </w:p>
    <w:p w14:paraId="3149C468">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rPr>
        <w:t>七、关于</w:t>
      </w:r>
      <w:r>
        <w:rPr>
          <w:rFonts w:hint="eastAsia" w:ascii="仿宋" w:hAnsi="仿宋" w:eastAsia="仿宋" w:cs="仿宋"/>
          <w:b/>
          <w:color w:val="auto"/>
          <w:kern w:val="0"/>
          <w:sz w:val="32"/>
          <w:szCs w:val="32"/>
          <w:highlight w:val="none"/>
          <w:lang w:val="zh-CN"/>
        </w:rPr>
        <w:t>对磋商文件中有关条款的拒绝声明</w:t>
      </w:r>
    </w:p>
    <w:p w14:paraId="798E1D8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1F328B84">
      <w:pPr>
        <w:spacing w:line="360" w:lineRule="auto"/>
        <w:rPr>
          <w:rFonts w:hint="eastAsia" w:ascii="仿宋" w:hAnsi="仿宋" w:eastAsia="仿宋" w:cs="仿宋"/>
          <w:color w:val="auto"/>
          <w:sz w:val="24"/>
          <w:highlight w:val="none"/>
        </w:rPr>
      </w:pPr>
    </w:p>
    <w:p w14:paraId="0E23C835">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6B109EAC">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4B862E90">
      <w:pPr>
        <w:spacing w:line="360" w:lineRule="auto"/>
        <w:jc w:val="center"/>
        <w:rPr>
          <w:rFonts w:hint="eastAsia" w:ascii="仿宋" w:hAnsi="仿宋" w:eastAsia="仿宋" w:cs="仿宋"/>
          <w:b/>
          <w:bCs/>
          <w:color w:val="auto"/>
          <w:sz w:val="32"/>
          <w:szCs w:val="32"/>
          <w:highlight w:val="none"/>
        </w:rPr>
      </w:pPr>
    </w:p>
    <w:p w14:paraId="104ACB19">
      <w:pPr>
        <w:spacing w:line="360" w:lineRule="auto"/>
        <w:jc w:val="center"/>
        <w:rPr>
          <w:rFonts w:hint="eastAsia" w:ascii="仿宋" w:hAnsi="仿宋" w:eastAsia="仿宋" w:cs="仿宋"/>
          <w:b/>
          <w:bCs/>
          <w:color w:val="auto"/>
          <w:sz w:val="32"/>
          <w:szCs w:val="32"/>
          <w:highlight w:val="none"/>
        </w:rPr>
      </w:pPr>
    </w:p>
    <w:p w14:paraId="326ECE2A">
      <w:pPr>
        <w:spacing w:line="360" w:lineRule="auto"/>
        <w:jc w:val="center"/>
        <w:rPr>
          <w:rFonts w:hint="eastAsia" w:ascii="仿宋" w:hAnsi="仿宋" w:eastAsia="仿宋" w:cs="仿宋"/>
          <w:b/>
          <w:bCs/>
          <w:color w:val="auto"/>
          <w:sz w:val="32"/>
          <w:szCs w:val="32"/>
          <w:highlight w:val="none"/>
        </w:rPr>
      </w:pPr>
    </w:p>
    <w:p w14:paraId="1477B81D">
      <w:pPr>
        <w:spacing w:line="360" w:lineRule="auto"/>
        <w:jc w:val="center"/>
        <w:rPr>
          <w:rFonts w:hint="eastAsia" w:ascii="仿宋" w:hAnsi="仿宋" w:eastAsia="仿宋" w:cs="仿宋"/>
          <w:b/>
          <w:bCs/>
          <w:color w:val="auto"/>
          <w:sz w:val="32"/>
          <w:szCs w:val="32"/>
          <w:highlight w:val="none"/>
        </w:rPr>
      </w:pPr>
    </w:p>
    <w:p w14:paraId="598BB9C8">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rPr>
        <w:t>八、认为需要的</w:t>
      </w:r>
      <w:r>
        <w:rPr>
          <w:rFonts w:hint="eastAsia" w:ascii="仿宋" w:hAnsi="仿宋" w:eastAsia="仿宋" w:cs="仿宋"/>
          <w:b/>
          <w:color w:val="auto"/>
          <w:kern w:val="0"/>
          <w:sz w:val="32"/>
          <w:szCs w:val="32"/>
          <w:highlight w:val="none"/>
          <w:lang w:val="zh-CN"/>
        </w:rPr>
        <w:t>其他商务文件或说明</w:t>
      </w:r>
    </w:p>
    <w:p w14:paraId="46D4584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23F9030A">
      <w:pPr>
        <w:spacing w:line="360" w:lineRule="auto"/>
        <w:jc w:val="center"/>
        <w:rPr>
          <w:rFonts w:hint="eastAsia" w:ascii="仿宋" w:hAnsi="仿宋" w:eastAsia="仿宋" w:cs="仿宋"/>
          <w:color w:val="auto"/>
          <w:sz w:val="24"/>
          <w:highlight w:val="none"/>
        </w:rPr>
      </w:pPr>
    </w:p>
    <w:p w14:paraId="1D53C4BA">
      <w:pPr>
        <w:spacing w:line="360" w:lineRule="auto"/>
        <w:rPr>
          <w:rFonts w:hint="eastAsia" w:ascii="仿宋" w:hAnsi="仿宋" w:eastAsia="仿宋" w:cs="仿宋"/>
          <w:color w:val="auto"/>
          <w:sz w:val="24"/>
          <w:highlight w:val="none"/>
        </w:rPr>
      </w:pPr>
    </w:p>
    <w:p w14:paraId="4F5DAFEE">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5ABAFD5D">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5305B5D6">
      <w:pPr>
        <w:spacing w:line="360" w:lineRule="auto"/>
        <w:jc w:val="center"/>
        <w:rPr>
          <w:rFonts w:hint="eastAsia" w:ascii="仿宋" w:hAnsi="仿宋" w:eastAsia="仿宋" w:cs="仿宋"/>
          <w:b/>
          <w:bCs/>
          <w:color w:val="auto"/>
          <w:sz w:val="32"/>
          <w:szCs w:val="32"/>
          <w:highlight w:val="none"/>
        </w:rPr>
      </w:pPr>
    </w:p>
    <w:p w14:paraId="642CD98F">
      <w:pPr>
        <w:spacing w:line="360" w:lineRule="auto"/>
        <w:rPr>
          <w:rFonts w:hint="eastAsia" w:ascii="仿宋" w:hAnsi="仿宋" w:eastAsia="仿宋" w:cs="仿宋"/>
          <w:b/>
          <w:bCs/>
          <w:color w:val="auto"/>
          <w:kern w:val="0"/>
          <w:sz w:val="24"/>
          <w:highlight w:val="none"/>
        </w:rPr>
      </w:pPr>
    </w:p>
    <w:p w14:paraId="7B3FB293">
      <w:pPr>
        <w:widowControl/>
        <w:adjustRightInd/>
        <w:jc w:val="left"/>
        <w:rPr>
          <w:rFonts w:hint="eastAsia" w:ascii="仿宋" w:hAnsi="仿宋" w:eastAsia="仿宋" w:cs="仿宋"/>
          <w:b/>
          <w:color w:val="auto"/>
          <w:sz w:val="32"/>
          <w:szCs w:val="32"/>
          <w:highlight w:val="none"/>
        </w:rPr>
      </w:pPr>
      <w:r>
        <w:rPr>
          <w:rFonts w:hint="eastAsia" w:ascii="仿宋" w:hAnsi="仿宋" w:eastAsia="仿宋" w:cs="仿宋"/>
          <w:color w:val="auto"/>
          <w:highlight w:val="none"/>
        </w:rPr>
        <w:br w:type="page"/>
      </w:r>
    </w:p>
    <w:p w14:paraId="7A86C40B">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九、技术解决方案</w:t>
      </w:r>
    </w:p>
    <w:p w14:paraId="0A45C89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（由供应商根据采购需求及磋商文件要求编制）</w:t>
      </w:r>
    </w:p>
    <w:p w14:paraId="1ED8BA46">
      <w:pPr>
        <w:spacing w:line="360" w:lineRule="auto"/>
        <w:jc w:val="center"/>
        <w:rPr>
          <w:rFonts w:hint="eastAsia" w:ascii="仿宋" w:hAnsi="仿宋" w:eastAsia="仿宋" w:cs="仿宋"/>
          <w:color w:val="auto"/>
          <w:sz w:val="24"/>
          <w:highlight w:val="none"/>
        </w:rPr>
      </w:pPr>
    </w:p>
    <w:p w14:paraId="7F656C81">
      <w:pPr>
        <w:autoSpaceDE w:val="0"/>
        <w:autoSpaceDN w:val="0"/>
        <w:spacing w:line="360" w:lineRule="auto"/>
        <w:rPr>
          <w:rFonts w:hint="eastAsia" w:ascii="仿宋" w:hAnsi="仿宋" w:eastAsia="仿宋" w:cs="仿宋"/>
          <w:color w:val="auto"/>
          <w:kern w:val="0"/>
          <w:sz w:val="24"/>
          <w:highlight w:val="none"/>
        </w:rPr>
      </w:pPr>
    </w:p>
    <w:p w14:paraId="7A0C0559">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268F83CE">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640B87CF">
      <w:pPr>
        <w:spacing w:line="360" w:lineRule="auto"/>
        <w:jc w:val="center"/>
        <w:rPr>
          <w:rFonts w:hint="eastAsia" w:ascii="仿宋" w:hAnsi="仿宋" w:eastAsia="仿宋" w:cs="仿宋"/>
          <w:b/>
          <w:bCs/>
          <w:color w:val="auto"/>
          <w:sz w:val="32"/>
          <w:szCs w:val="32"/>
          <w:highlight w:val="none"/>
        </w:rPr>
      </w:pPr>
    </w:p>
    <w:p w14:paraId="157CDC5F">
      <w:pPr>
        <w:tabs>
          <w:tab w:val="left" w:pos="2790"/>
          <w:tab w:val="left" w:pos="4230"/>
        </w:tabs>
        <w:autoSpaceDE w:val="0"/>
        <w:autoSpaceDN w:val="0"/>
        <w:spacing w:line="360" w:lineRule="auto"/>
        <w:ind w:right="1400"/>
        <w:jc w:val="center"/>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 xml:space="preserve">       </w:t>
      </w:r>
    </w:p>
    <w:p w14:paraId="045A73DA">
      <w:pPr>
        <w:snapToGrid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响应产品规格配置清单</w:t>
      </w:r>
    </w:p>
    <w:tbl>
      <w:tblPr>
        <w:tblStyle w:val="6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41B4E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121634C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531" w:type="dxa"/>
            <w:vAlign w:val="center"/>
          </w:tcPr>
          <w:p w14:paraId="70675D6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设备名称</w:t>
            </w:r>
          </w:p>
        </w:tc>
        <w:tc>
          <w:tcPr>
            <w:tcW w:w="2160" w:type="dxa"/>
            <w:vAlign w:val="center"/>
          </w:tcPr>
          <w:p w14:paraId="34095E9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响应品牌及型号</w:t>
            </w:r>
          </w:p>
        </w:tc>
        <w:tc>
          <w:tcPr>
            <w:tcW w:w="2340" w:type="dxa"/>
            <w:vAlign w:val="center"/>
          </w:tcPr>
          <w:p w14:paraId="220274C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规格配置详细说明</w:t>
            </w:r>
          </w:p>
        </w:tc>
        <w:tc>
          <w:tcPr>
            <w:tcW w:w="1080" w:type="dxa"/>
            <w:vAlign w:val="center"/>
          </w:tcPr>
          <w:p w14:paraId="601E6BF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332" w:type="dxa"/>
            <w:vAlign w:val="center"/>
          </w:tcPr>
          <w:p w14:paraId="2FE19A7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4609C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6668D08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531" w:type="dxa"/>
            <w:vAlign w:val="center"/>
          </w:tcPr>
          <w:p w14:paraId="6A415203">
            <w:pPr>
              <w:snapToGrid w:val="0"/>
              <w:spacing w:line="360" w:lineRule="auto"/>
              <w:jc w:val="center"/>
              <w:rPr>
                <w:rFonts w:hint="eastAsia" w:ascii="仿宋" w:hAnsi="仿宋" w:eastAsia="仿宋" w:cs="仿宋"/>
                <w:color w:val="auto"/>
                <w:sz w:val="24"/>
                <w:highlight w:val="none"/>
              </w:rPr>
            </w:pPr>
          </w:p>
        </w:tc>
        <w:tc>
          <w:tcPr>
            <w:tcW w:w="2160" w:type="dxa"/>
            <w:vAlign w:val="center"/>
          </w:tcPr>
          <w:p w14:paraId="48E4D6BE">
            <w:pPr>
              <w:snapToGrid w:val="0"/>
              <w:spacing w:line="360" w:lineRule="auto"/>
              <w:jc w:val="center"/>
              <w:rPr>
                <w:rFonts w:hint="eastAsia" w:ascii="仿宋" w:hAnsi="仿宋" w:eastAsia="仿宋" w:cs="仿宋"/>
                <w:color w:val="auto"/>
                <w:sz w:val="24"/>
                <w:highlight w:val="none"/>
              </w:rPr>
            </w:pPr>
          </w:p>
        </w:tc>
        <w:tc>
          <w:tcPr>
            <w:tcW w:w="2340" w:type="dxa"/>
            <w:vAlign w:val="center"/>
          </w:tcPr>
          <w:p w14:paraId="4548BD76">
            <w:pPr>
              <w:spacing w:line="360" w:lineRule="auto"/>
              <w:jc w:val="center"/>
              <w:rPr>
                <w:rFonts w:hint="eastAsia" w:ascii="仿宋" w:hAnsi="仿宋" w:eastAsia="仿宋" w:cs="仿宋"/>
                <w:color w:val="auto"/>
                <w:sz w:val="24"/>
                <w:highlight w:val="none"/>
              </w:rPr>
            </w:pPr>
          </w:p>
        </w:tc>
        <w:tc>
          <w:tcPr>
            <w:tcW w:w="1080" w:type="dxa"/>
            <w:vAlign w:val="center"/>
          </w:tcPr>
          <w:p w14:paraId="3F26F490">
            <w:pPr>
              <w:spacing w:line="360" w:lineRule="auto"/>
              <w:jc w:val="center"/>
              <w:rPr>
                <w:rFonts w:hint="eastAsia" w:ascii="仿宋" w:hAnsi="仿宋" w:eastAsia="仿宋" w:cs="仿宋"/>
                <w:color w:val="auto"/>
                <w:sz w:val="24"/>
                <w:highlight w:val="none"/>
              </w:rPr>
            </w:pPr>
          </w:p>
        </w:tc>
        <w:tc>
          <w:tcPr>
            <w:tcW w:w="1332" w:type="dxa"/>
            <w:vAlign w:val="center"/>
          </w:tcPr>
          <w:p w14:paraId="31642B87">
            <w:pPr>
              <w:spacing w:line="360" w:lineRule="auto"/>
              <w:jc w:val="center"/>
              <w:rPr>
                <w:rFonts w:hint="eastAsia" w:ascii="仿宋" w:hAnsi="仿宋" w:eastAsia="仿宋" w:cs="仿宋"/>
                <w:color w:val="auto"/>
                <w:sz w:val="24"/>
                <w:highlight w:val="none"/>
              </w:rPr>
            </w:pPr>
          </w:p>
        </w:tc>
      </w:tr>
      <w:tr w14:paraId="31E6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445BAC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531" w:type="dxa"/>
            <w:vAlign w:val="center"/>
          </w:tcPr>
          <w:p w14:paraId="3DEEE049">
            <w:pPr>
              <w:snapToGrid w:val="0"/>
              <w:spacing w:line="360" w:lineRule="auto"/>
              <w:jc w:val="center"/>
              <w:rPr>
                <w:rFonts w:hint="eastAsia" w:ascii="仿宋" w:hAnsi="仿宋" w:eastAsia="仿宋" w:cs="仿宋"/>
                <w:color w:val="auto"/>
                <w:sz w:val="24"/>
                <w:highlight w:val="none"/>
              </w:rPr>
            </w:pPr>
          </w:p>
        </w:tc>
        <w:tc>
          <w:tcPr>
            <w:tcW w:w="2160" w:type="dxa"/>
            <w:vAlign w:val="center"/>
          </w:tcPr>
          <w:p w14:paraId="22D2AE0E">
            <w:pPr>
              <w:snapToGrid w:val="0"/>
              <w:spacing w:line="360" w:lineRule="auto"/>
              <w:jc w:val="center"/>
              <w:rPr>
                <w:rFonts w:hint="eastAsia" w:ascii="仿宋" w:hAnsi="仿宋" w:eastAsia="仿宋" w:cs="仿宋"/>
                <w:color w:val="auto"/>
                <w:sz w:val="24"/>
                <w:highlight w:val="none"/>
              </w:rPr>
            </w:pPr>
          </w:p>
        </w:tc>
        <w:tc>
          <w:tcPr>
            <w:tcW w:w="2340" w:type="dxa"/>
            <w:vAlign w:val="center"/>
          </w:tcPr>
          <w:p w14:paraId="34835FF4">
            <w:pPr>
              <w:spacing w:line="360" w:lineRule="auto"/>
              <w:jc w:val="center"/>
              <w:rPr>
                <w:rFonts w:hint="eastAsia" w:ascii="仿宋" w:hAnsi="仿宋" w:eastAsia="仿宋" w:cs="仿宋"/>
                <w:color w:val="auto"/>
                <w:sz w:val="24"/>
                <w:highlight w:val="none"/>
              </w:rPr>
            </w:pPr>
          </w:p>
        </w:tc>
        <w:tc>
          <w:tcPr>
            <w:tcW w:w="1080" w:type="dxa"/>
            <w:vAlign w:val="center"/>
          </w:tcPr>
          <w:p w14:paraId="28C1DEF3">
            <w:pPr>
              <w:spacing w:line="360" w:lineRule="auto"/>
              <w:jc w:val="center"/>
              <w:rPr>
                <w:rFonts w:hint="eastAsia" w:ascii="仿宋" w:hAnsi="仿宋" w:eastAsia="仿宋" w:cs="仿宋"/>
                <w:color w:val="auto"/>
                <w:sz w:val="24"/>
                <w:highlight w:val="none"/>
              </w:rPr>
            </w:pPr>
          </w:p>
        </w:tc>
        <w:tc>
          <w:tcPr>
            <w:tcW w:w="1332" w:type="dxa"/>
            <w:vAlign w:val="center"/>
          </w:tcPr>
          <w:p w14:paraId="0650D11F">
            <w:pPr>
              <w:spacing w:line="360" w:lineRule="auto"/>
              <w:jc w:val="center"/>
              <w:rPr>
                <w:rFonts w:hint="eastAsia" w:ascii="仿宋" w:hAnsi="仿宋" w:eastAsia="仿宋" w:cs="仿宋"/>
                <w:color w:val="auto"/>
                <w:sz w:val="24"/>
                <w:highlight w:val="none"/>
              </w:rPr>
            </w:pPr>
          </w:p>
        </w:tc>
      </w:tr>
      <w:tr w14:paraId="4F69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F7F9A7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531" w:type="dxa"/>
            <w:vAlign w:val="center"/>
          </w:tcPr>
          <w:p w14:paraId="17D5B1D5">
            <w:pPr>
              <w:snapToGrid w:val="0"/>
              <w:spacing w:line="360" w:lineRule="auto"/>
              <w:jc w:val="center"/>
              <w:rPr>
                <w:rFonts w:hint="eastAsia" w:ascii="仿宋" w:hAnsi="仿宋" w:eastAsia="仿宋" w:cs="仿宋"/>
                <w:color w:val="auto"/>
                <w:sz w:val="24"/>
                <w:highlight w:val="none"/>
              </w:rPr>
            </w:pPr>
          </w:p>
        </w:tc>
        <w:tc>
          <w:tcPr>
            <w:tcW w:w="2160" w:type="dxa"/>
            <w:vAlign w:val="center"/>
          </w:tcPr>
          <w:p w14:paraId="6D04099E">
            <w:pPr>
              <w:snapToGrid w:val="0"/>
              <w:spacing w:line="360" w:lineRule="auto"/>
              <w:jc w:val="center"/>
              <w:rPr>
                <w:rFonts w:hint="eastAsia" w:ascii="仿宋" w:hAnsi="仿宋" w:eastAsia="仿宋" w:cs="仿宋"/>
                <w:color w:val="auto"/>
                <w:sz w:val="24"/>
                <w:highlight w:val="none"/>
              </w:rPr>
            </w:pPr>
          </w:p>
        </w:tc>
        <w:tc>
          <w:tcPr>
            <w:tcW w:w="2340" w:type="dxa"/>
            <w:vAlign w:val="center"/>
          </w:tcPr>
          <w:p w14:paraId="2CDE70C8">
            <w:pPr>
              <w:spacing w:line="360" w:lineRule="auto"/>
              <w:jc w:val="center"/>
              <w:rPr>
                <w:rFonts w:hint="eastAsia" w:ascii="仿宋" w:hAnsi="仿宋" w:eastAsia="仿宋" w:cs="仿宋"/>
                <w:color w:val="auto"/>
                <w:sz w:val="24"/>
                <w:highlight w:val="none"/>
              </w:rPr>
            </w:pPr>
          </w:p>
        </w:tc>
        <w:tc>
          <w:tcPr>
            <w:tcW w:w="1080" w:type="dxa"/>
            <w:vAlign w:val="center"/>
          </w:tcPr>
          <w:p w14:paraId="280112FB">
            <w:pPr>
              <w:spacing w:line="360" w:lineRule="auto"/>
              <w:jc w:val="center"/>
              <w:rPr>
                <w:rFonts w:hint="eastAsia" w:ascii="仿宋" w:hAnsi="仿宋" w:eastAsia="仿宋" w:cs="仿宋"/>
                <w:color w:val="auto"/>
                <w:sz w:val="24"/>
                <w:highlight w:val="none"/>
              </w:rPr>
            </w:pPr>
          </w:p>
        </w:tc>
        <w:tc>
          <w:tcPr>
            <w:tcW w:w="1332" w:type="dxa"/>
            <w:vAlign w:val="center"/>
          </w:tcPr>
          <w:p w14:paraId="1AA873D6">
            <w:pPr>
              <w:spacing w:line="360" w:lineRule="auto"/>
              <w:jc w:val="center"/>
              <w:rPr>
                <w:rFonts w:hint="eastAsia" w:ascii="仿宋" w:hAnsi="仿宋" w:eastAsia="仿宋" w:cs="仿宋"/>
                <w:color w:val="auto"/>
                <w:sz w:val="24"/>
                <w:highlight w:val="none"/>
              </w:rPr>
            </w:pPr>
          </w:p>
        </w:tc>
      </w:tr>
      <w:tr w14:paraId="07C22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25A933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531" w:type="dxa"/>
            <w:vAlign w:val="center"/>
          </w:tcPr>
          <w:p w14:paraId="2880E6BE">
            <w:pPr>
              <w:snapToGrid w:val="0"/>
              <w:spacing w:line="360" w:lineRule="auto"/>
              <w:jc w:val="center"/>
              <w:rPr>
                <w:rFonts w:hint="eastAsia" w:ascii="仿宋" w:hAnsi="仿宋" w:eastAsia="仿宋" w:cs="仿宋"/>
                <w:color w:val="auto"/>
                <w:sz w:val="24"/>
                <w:highlight w:val="none"/>
              </w:rPr>
            </w:pPr>
          </w:p>
        </w:tc>
        <w:tc>
          <w:tcPr>
            <w:tcW w:w="2160" w:type="dxa"/>
            <w:vAlign w:val="center"/>
          </w:tcPr>
          <w:p w14:paraId="317F1647">
            <w:pPr>
              <w:snapToGrid w:val="0"/>
              <w:spacing w:line="360" w:lineRule="auto"/>
              <w:jc w:val="center"/>
              <w:rPr>
                <w:rFonts w:hint="eastAsia" w:ascii="仿宋" w:hAnsi="仿宋" w:eastAsia="仿宋" w:cs="仿宋"/>
                <w:color w:val="auto"/>
                <w:sz w:val="24"/>
                <w:highlight w:val="none"/>
              </w:rPr>
            </w:pPr>
          </w:p>
        </w:tc>
        <w:tc>
          <w:tcPr>
            <w:tcW w:w="2340" w:type="dxa"/>
            <w:vAlign w:val="center"/>
          </w:tcPr>
          <w:p w14:paraId="49D42522">
            <w:pPr>
              <w:spacing w:line="360" w:lineRule="auto"/>
              <w:jc w:val="center"/>
              <w:rPr>
                <w:rFonts w:hint="eastAsia" w:ascii="仿宋" w:hAnsi="仿宋" w:eastAsia="仿宋" w:cs="仿宋"/>
                <w:color w:val="auto"/>
                <w:sz w:val="24"/>
                <w:highlight w:val="none"/>
              </w:rPr>
            </w:pPr>
          </w:p>
        </w:tc>
        <w:tc>
          <w:tcPr>
            <w:tcW w:w="1080" w:type="dxa"/>
            <w:vAlign w:val="center"/>
          </w:tcPr>
          <w:p w14:paraId="59A348E0">
            <w:pPr>
              <w:spacing w:line="360" w:lineRule="auto"/>
              <w:jc w:val="center"/>
              <w:rPr>
                <w:rFonts w:hint="eastAsia" w:ascii="仿宋" w:hAnsi="仿宋" w:eastAsia="仿宋" w:cs="仿宋"/>
                <w:color w:val="auto"/>
                <w:sz w:val="24"/>
                <w:highlight w:val="none"/>
              </w:rPr>
            </w:pPr>
          </w:p>
        </w:tc>
        <w:tc>
          <w:tcPr>
            <w:tcW w:w="1332" w:type="dxa"/>
            <w:vAlign w:val="center"/>
          </w:tcPr>
          <w:p w14:paraId="7E9B99F2">
            <w:pPr>
              <w:spacing w:line="360" w:lineRule="auto"/>
              <w:jc w:val="center"/>
              <w:rPr>
                <w:rFonts w:hint="eastAsia" w:ascii="仿宋" w:hAnsi="仿宋" w:eastAsia="仿宋" w:cs="仿宋"/>
                <w:color w:val="auto"/>
                <w:sz w:val="24"/>
                <w:highlight w:val="none"/>
              </w:rPr>
            </w:pPr>
          </w:p>
        </w:tc>
      </w:tr>
      <w:tr w14:paraId="5BC30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B972C2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531" w:type="dxa"/>
            <w:vAlign w:val="center"/>
          </w:tcPr>
          <w:p w14:paraId="4957D51F">
            <w:pPr>
              <w:snapToGrid w:val="0"/>
              <w:spacing w:line="360" w:lineRule="auto"/>
              <w:jc w:val="center"/>
              <w:rPr>
                <w:rFonts w:hint="eastAsia" w:ascii="仿宋" w:hAnsi="仿宋" w:eastAsia="仿宋" w:cs="仿宋"/>
                <w:color w:val="auto"/>
                <w:sz w:val="24"/>
                <w:highlight w:val="none"/>
              </w:rPr>
            </w:pPr>
          </w:p>
        </w:tc>
        <w:tc>
          <w:tcPr>
            <w:tcW w:w="2160" w:type="dxa"/>
            <w:vAlign w:val="center"/>
          </w:tcPr>
          <w:p w14:paraId="6729494F">
            <w:pPr>
              <w:snapToGrid w:val="0"/>
              <w:spacing w:line="360" w:lineRule="auto"/>
              <w:jc w:val="center"/>
              <w:rPr>
                <w:rFonts w:hint="eastAsia" w:ascii="仿宋" w:hAnsi="仿宋" w:eastAsia="仿宋" w:cs="仿宋"/>
                <w:color w:val="auto"/>
                <w:sz w:val="24"/>
                <w:highlight w:val="none"/>
              </w:rPr>
            </w:pPr>
          </w:p>
        </w:tc>
        <w:tc>
          <w:tcPr>
            <w:tcW w:w="2340" w:type="dxa"/>
            <w:vAlign w:val="center"/>
          </w:tcPr>
          <w:p w14:paraId="66F88566">
            <w:pPr>
              <w:spacing w:line="360" w:lineRule="auto"/>
              <w:jc w:val="center"/>
              <w:rPr>
                <w:rFonts w:hint="eastAsia" w:ascii="仿宋" w:hAnsi="仿宋" w:eastAsia="仿宋" w:cs="仿宋"/>
                <w:color w:val="auto"/>
                <w:sz w:val="24"/>
                <w:highlight w:val="none"/>
              </w:rPr>
            </w:pPr>
          </w:p>
        </w:tc>
        <w:tc>
          <w:tcPr>
            <w:tcW w:w="1080" w:type="dxa"/>
            <w:vAlign w:val="center"/>
          </w:tcPr>
          <w:p w14:paraId="1BA21485">
            <w:pPr>
              <w:spacing w:line="360" w:lineRule="auto"/>
              <w:jc w:val="center"/>
              <w:rPr>
                <w:rFonts w:hint="eastAsia" w:ascii="仿宋" w:hAnsi="仿宋" w:eastAsia="仿宋" w:cs="仿宋"/>
                <w:color w:val="auto"/>
                <w:sz w:val="24"/>
                <w:highlight w:val="none"/>
              </w:rPr>
            </w:pPr>
          </w:p>
        </w:tc>
        <w:tc>
          <w:tcPr>
            <w:tcW w:w="1332" w:type="dxa"/>
            <w:vAlign w:val="center"/>
          </w:tcPr>
          <w:p w14:paraId="15FE1B07">
            <w:pPr>
              <w:spacing w:line="360" w:lineRule="auto"/>
              <w:jc w:val="center"/>
              <w:rPr>
                <w:rFonts w:hint="eastAsia" w:ascii="仿宋" w:hAnsi="仿宋" w:eastAsia="仿宋" w:cs="仿宋"/>
                <w:color w:val="auto"/>
                <w:sz w:val="24"/>
                <w:highlight w:val="none"/>
              </w:rPr>
            </w:pPr>
          </w:p>
        </w:tc>
      </w:tr>
    </w:tbl>
    <w:p w14:paraId="5F563A36">
      <w:pPr>
        <w:autoSpaceDE w:val="0"/>
        <w:autoSpaceDN w:val="0"/>
        <w:spacing w:line="360" w:lineRule="auto"/>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注：</w:t>
      </w:r>
      <w:r>
        <w:rPr>
          <w:rFonts w:hint="eastAsia" w:ascii="仿宋" w:hAnsi="仿宋" w:eastAsia="仿宋" w:cs="仿宋"/>
          <w:b/>
          <w:color w:val="auto"/>
          <w:sz w:val="28"/>
          <w:szCs w:val="28"/>
          <w:highlight w:val="none"/>
        </w:rPr>
        <w:t>如果本项目涉及硬件设备采购，须在响应文件中提供此配置清单。</w:t>
      </w:r>
    </w:p>
    <w:p w14:paraId="4598676A">
      <w:pPr>
        <w:spacing w:line="360" w:lineRule="auto"/>
        <w:ind w:firstLine="1333" w:firstLineChars="400"/>
        <w:jc w:val="left"/>
        <w:rPr>
          <w:rFonts w:hint="eastAsia" w:ascii="仿宋" w:hAnsi="仿宋" w:eastAsia="仿宋" w:cs="仿宋"/>
          <w:b/>
          <w:color w:val="auto"/>
          <w:spacing w:val="6"/>
          <w:sz w:val="32"/>
          <w:szCs w:val="32"/>
          <w:highlight w:val="none"/>
        </w:rPr>
      </w:pPr>
    </w:p>
    <w:p w14:paraId="70FB02BA">
      <w:pPr>
        <w:spacing w:line="360" w:lineRule="auto"/>
        <w:ind w:firstLine="1333" w:firstLineChars="400"/>
        <w:jc w:val="left"/>
        <w:rPr>
          <w:rFonts w:hint="eastAsia" w:ascii="仿宋" w:hAnsi="仿宋" w:eastAsia="仿宋" w:cs="仿宋"/>
          <w:b/>
          <w:color w:val="auto"/>
          <w:spacing w:val="6"/>
          <w:sz w:val="32"/>
          <w:szCs w:val="32"/>
          <w:highlight w:val="none"/>
        </w:rPr>
      </w:pPr>
    </w:p>
    <w:p w14:paraId="11F85DF1">
      <w:pPr>
        <w:spacing w:line="360" w:lineRule="auto"/>
        <w:ind w:firstLine="1333" w:firstLineChars="400"/>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节能产品认证证书（电子签名）</w:t>
      </w:r>
    </w:p>
    <w:p w14:paraId="44F3D2AB">
      <w:pPr>
        <w:spacing w:line="360" w:lineRule="auto"/>
        <w:ind w:firstLine="1333" w:firstLineChars="400"/>
        <w:jc w:val="left"/>
        <w:rPr>
          <w:rFonts w:hint="eastAsia" w:ascii="仿宋" w:hAnsi="仿宋" w:eastAsia="仿宋" w:cs="仿宋"/>
          <w:b/>
          <w:color w:val="auto"/>
          <w:spacing w:val="6"/>
          <w:sz w:val="32"/>
          <w:szCs w:val="32"/>
          <w:highlight w:val="none"/>
        </w:rPr>
      </w:pPr>
    </w:p>
    <w:p w14:paraId="4938281E">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p>
    <w:p w14:paraId="231D729F">
      <w:pPr>
        <w:spacing w:line="360" w:lineRule="auto"/>
        <w:ind w:firstLine="1000" w:firstLineChars="300"/>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环境标志产品认证证书（电子签名）</w:t>
      </w:r>
    </w:p>
    <w:p w14:paraId="60EAFE6A">
      <w:pPr>
        <w:autoSpaceDE w:val="0"/>
        <w:autoSpaceDN w:val="0"/>
        <w:spacing w:line="360" w:lineRule="auto"/>
        <w:rPr>
          <w:rFonts w:hint="eastAsia" w:ascii="仿宋" w:hAnsi="仿宋" w:eastAsia="仿宋" w:cs="仿宋"/>
          <w:b/>
          <w:color w:val="auto"/>
          <w:kern w:val="0"/>
          <w:sz w:val="28"/>
          <w:szCs w:val="28"/>
          <w:highlight w:val="none"/>
        </w:rPr>
      </w:pPr>
    </w:p>
    <w:p w14:paraId="174B7514">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556BDA0D">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0B3C0571">
      <w:pPr>
        <w:tabs>
          <w:tab w:val="left" w:pos="2790"/>
          <w:tab w:val="left" w:pos="4230"/>
        </w:tabs>
        <w:autoSpaceDE w:val="0"/>
        <w:autoSpaceDN w:val="0"/>
        <w:spacing w:line="360" w:lineRule="auto"/>
        <w:ind w:right="1400"/>
        <w:jc w:val="center"/>
        <w:rPr>
          <w:rFonts w:hint="eastAsia" w:ascii="仿宋" w:hAnsi="仿宋" w:eastAsia="仿宋" w:cs="仿宋"/>
          <w:b/>
          <w:bCs/>
          <w:color w:val="auto"/>
          <w:kern w:val="0"/>
          <w:sz w:val="24"/>
          <w:highlight w:val="none"/>
          <w:lang w:val="zh-CN"/>
        </w:rPr>
      </w:pPr>
    </w:p>
    <w:p w14:paraId="4EE0ACBF">
      <w:pPr>
        <w:tabs>
          <w:tab w:val="left" w:pos="2790"/>
          <w:tab w:val="left" w:pos="4230"/>
        </w:tabs>
        <w:autoSpaceDE w:val="0"/>
        <w:autoSpaceDN w:val="0"/>
        <w:spacing w:line="360" w:lineRule="auto"/>
        <w:ind w:right="1400"/>
        <w:jc w:val="center"/>
        <w:rPr>
          <w:rFonts w:hint="eastAsia" w:ascii="仿宋" w:hAnsi="仿宋" w:eastAsia="仿宋" w:cs="仿宋"/>
          <w:b/>
          <w:bCs/>
          <w:color w:val="auto"/>
          <w:kern w:val="0"/>
          <w:sz w:val="32"/>
          <w:szCs w:val="32"/>
          <w:highlight w:val="none"/>
          <w:lang w:val="zh-CN"/>
        </w:rPr>
      </w:pPr>
    </w:p>
    <w:p w14:paraId="3EBF1494">
      <w:pPr>
        <w:tabs>
          <w:tab w:val="left" w:pos="2790"/>
          <w:tab w:val="left" w:pos="4230"/>
        </w:tabs>
        <w:autoSpaceDE w:val="0"/>
        <w:autoSpaceDN w:val="0"/>
        <w:spacing w:line="360" w:lineRule="auto"/>
        <w:ind w:right="1400"/>
        <w:jc w:val="center"/>
        <w:rPr>
          <w:rFonts w:hint="eastAsia" w:ascii="仿宋" w:hAnsi="仿宋" w:eastAsia="仿宋" w:cs="仿宋"/>
          <w:b/>
          <w:bCs/>
          <w:color w:val="auto"/>
          <w:kern w:val="0"/>
          <w:sz w:val="32"/>
          <w:szCs w:val="32"/>
          <w:highlight w:val="none"/>
          <w:lang w:val="zh-CN"/>
        </w:rPr>
      </w:pPr>
      <w:r>
        <w:rPr>
          <w:rFonts w:hint="eastAsia" w:ascii="仿宋" w:hAnsi="仿宋" w:eastAsia="仿宋" w:cs="仿宋"/>
          <w:b/>
          <w:bCs/>
          <w:color w:val="auto"/>
          <w:kern w:val="0"/>
          <w:sz w:val="32"/>
          <w:szCs w:val="32"/>
          <w:highlight w:val="none"/>
          <w:lang w:val="zh-CN"/>
        </w:rPr>
        <w:t>十、组织实施方案</w:t>
      </w:r>
    </w:p>
    <w:p w14:paraId="066B4363">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（由供应商根据采购需求及磋商文件要求编制）</w:t>
      </w:r>
    </w:p>
    <w:p w14:paraId="085FC429">
      <w:pPr>
        <w:tabs>
          <w:tab w:val="left" w:pos="2790"/>
          <w:tab w:val="left" w:pos="4230"/>
        </w:tabs>
        <w:autoSpaceDE w:val="0"/>
        <w:autoSpaceDN w:val="0"/>
        <w:spacing w:line="360" w:lineRule="auto"/>
        <w:ind w:right="1400"/>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附表:项目实施进度计划表</w:t>
      </w:r>
      <w:r>
        <w:rPr>
          <w:rFonts w:hint="eastAsia" w:ascii="仿宋" w:hAnsi="仿宋" w:eastAsia="仿宋" w:cs="仿宋"/>
          <w:b/>
          <w:color w:val="auto"/>
          <w:sz w:val="24"/>
          <w:highlight w:val="none"/>
        </w:rPr>
        <w:t xml:space="preserve">(以生效日算起) </w:t>
      </w:r>
    </w:p>
    <w:tbl>
      <w:tblPr>
        <w:tblStyle w:val="62"/>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311EC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452DBA3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18F06125">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0B748EE2">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68800FED">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8F06125">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B748EE2">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68800FED">
                              <w:pPr>
                                <w:snapToGrid w:val="0"/>
                              </w:pPr>
                              <w:r>
                                <w:rPr>
                                  <w:rFonts w:hint="eastAsia"/>
                                </w:rPr>
                                <w:t>日</w:t>
                              </w:r>
                            </w:p>
                          </w:txbxContent>
                        </v:textbox>
                      </v:shape>
                    </v:group>
                  </w:pict>
                </mc:Fallback>
              </mc:AlternateContent>
            </w:r>
          </w:p>
          <w:p w14:paraId="394FF3AE">
            <w:pPr>
              <w:spacing w:line="360" w:lineRule="auto"/>
              <w:rPr>
                <w:rFonts w:hint="eastAsia" w:ascii="仿宋" w:hAnsi="仿宋" w:eastAsia="仿宋" w:cs="仿宋"/>
                <w:color w:val="auto"/>
                <w:sz w:val="24"/>
                <w:highlight w:val="none"/>
              </w:rPr>
            </w:pPr>
          </w:p>
          <w:p w14:paraId="7474C379">
            <w:pPr>
              <w:spacing w:line="360" w:lineRule="auto"/>
              <w:rPr>
                <w:rFonts w:hint="eastAsia" w:ascii="仿宋" w:hAnsi="仿宋" w:eastAsia="仿宋" w:cs="仿宋"/>
                <w:color w:val="auto"/>
                <w:sz w:val="24"/>
                <w:highlight w:val="none"/>
              </w:rPr>
            </w:pPr>
          </w:p>
          <w:p w14:paraId="738F7DF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内容</w:t>
            </w:r>
          </w:p>
        </w:tc>
        <w:tc>
          <w:tcPr>
            <w:tcW w:w="552" w:type="dxa"/>
            <w:vAlign w:val="center"/>
          </w:tcPr>
          <w:p w14:paraId="50C4557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552" w:type="dxa"/>
            <w:vAlign w:val="center"/>
          </w:tcPr>
          <w:p w14:paraId="3481952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552" w:type="dxa"/>
            <w:vAlign w:val="center"/>
          </w:tcPr>
          <w:p w14:paraId="4FF2631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552" w:type="dxa"/>
            <w:vAlign w:val="center"/>
          </w:tcPr>
          <w:p w14:paraId="2F45F55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552" w:type="dxa"/>
            <w:vAlign w:val="center"/>
          </w:tcPr>
          <w:p w14:paraId="53EB9B2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552" w:type="dxa"/>
            <w:vAlign w:val="center"/>
          </w:tcPr>
          <w:p w14:paraId="7783B09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553" w:type="dxa"/>
            <w:vAlign w:val="center"/>
          </w:tcPr>
          <w:p w14:paraId="6876F9B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553" w:type="dxa"/>
            <w:vAlign w:val="center"/>
          </w:tcPr>
          <w:p w14:paraId="5C95EA8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553" w:type="dxa"/>
            <w:vAlign w:val="center"/>
          </w:tcPr>
          <w:p w14:paraId="2173799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553" w:type="dxa"/>
            <w:vAlign w:val="center"/>
          </w:tcPr>
          <w:p w14:paraId="0076410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553" w:type="dxa"/>
            <w:vAlign w:val="center"/>
          </w:tcPr>
          <w:p w14:paraId="33C9BED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553" w:type="dxa"/>
            <w:vAlign w:val="center"/>
          </w:tcPr>
          <w:p w14:paraId="59AF032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553" w:type="dxa"/>
            <w:vAlign w:val="center"/>
          </w:tcPr>
          <w:p w14:paraId="3D99B82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553" w:type="dxa"/>
            <w:vAlign w:val="center"/>
          </w:tcPr>
          <w:p w14:paraId="6D5A3D6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553" w:type="dxa"/>
            <w:vAlign w:val="center"/>
          </w:tcPr>
          <w:p w14:paraId="2310AC6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553" w:type="dxa"/>
            <w:vAlign w:val="center"/>
          </w:tcPr>
          <w:p w14:paraId="75DC075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7889D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AF6B1D4">
            <w:pPr>
              <w:spacing w:line="360" w:lineRule="auto"/>
              <w:rPr>
                <w:rFonts w:hint="eastAsia" w:ascii="仿宋" w:hAnsi="仿宋" w:eastAsia="仿宋" w:cs="仿宋"/>
                <w:color w:val="auto"/>
                <w:sz w:val="24"/>
                <w:highlight w:val="none"/>
              </w:rPr>
            </w:pPr>
          </w:p>
        </w:tc>
        <w:tc>
          <w:tcPr>
            <w:tcW w:w="552" w:type="dxa"/>
          </w:tcPr>
          <w:p w14:paraId="6FCB821C">
            <w:pPr>
              <w:spacing w:line="360" w:lineRule="auto"/>
              <w:rPr>
                <w:rFonts w:hint="eastAsia" w:ascii="仿宋" w:hAnsi="仿宋" w:eastAsia="仿宋" w:cs="仿宋"/>
                <w:color w:val="auto"/>
                <w:sz w:val="24"/>
                <w:highlight w:val="none"/>
              </w:rPr>
            </w:pPr>
          </w:p>
        </w:tc>
        <w:tc>
          <w:tcPr>
            <w:tcW w:w="552" w:type="dxa"/>
          </w:tcPr>
          <w:p w14:paraId="5C771817">
            <w:pPr>
              <w:spacing w:line="360" w:lineRule="auto"/>
              <w:rPr>
                <w:rFonts w:hint="eastAsia" w:ascii="仿宋" w:hAnsi="仿宋" w:eastAsia="仿宋" w:cs="仿宋"/>
                <w:color w:val="auto"/>
                <w:sz w:val="24"/>
                <w:highlight w:val="none"/>
              </w:rPr>
            </w:pPr>
          </w:p>
        </w:tc>
        <w:tc>
          <w:tcPr>
            <w:tcW w:w="552" w:type="dxa"/>
          </w:tcPr>
          <w:p w14:paraId="500652BE">
            <w:pPr>
              <w:spacing w:line="360" w:lineRule="auto"/>
              <w:rPr>
                <w:rFonts w:hint="eastAsia" w:ascii="仿宋" w:hAnsi="仿宋" w:eastAsia="仿宋" w:cs="仿宋"/>
                <w:color w:val="auto"/>
                <w:sz w:val="24"/>
                <w:highlight w:val="none"/>
              </w:rPr>
            </w:pPr>
          </w:p>
        </w:tc>
        <w:tc>
          <w:tcPr>
            <w:tcW w:w="552" w:type="dxa"/>
          </w:tcPr>
          <w:p w14:paraId="22B2F80A">
            <w:pPr>
              <w:spacing w:line="360" w:lineRule="auto"/>
              <w:rPr>
                <w:rFonts w:hint="eastAsia" w:ascii="仿宋" w:hAnsi="仿宋" w:eastAsia="仿宋" w:cs="仿宋"/>
                <w:color w:val="auto"/>
                <w:sz w:val="24"/>
                <w:highlight w:val="none"/>
              </w:rPr>
            </w:pPr>
          </w:p>
        </w:tc>
        <w:tc>
          <w:tcPr>
            <w:tcW w:w="552" w:type="dxa"/>
          </w:tcPr>
          <w:p w14:paraId="2BB08226">
            <w:pPr>
              <w:spacing w:line="360" w:lineRule="auto"/>
              <w:rPr>
                <w:rFonts w:hint="eastAsia" w:ascii="仿宋" w:hAnsi="仿宋" w:eastAsia="仿宋" w:cs="仿宋"/>
                <w:color w:val="auto"/>
                <w:sz w:val="24"/>
                <w:highlight w:val="none"/>
              </w:rPr>
            </w:pPr>
          </w:p>
        </w:tc>
        <w:tc>
          <w:tcPr>
            <w:tcW w:w="552" w:type="dxa"/>
          </w:tcPr>
          <w:p w14:paraId="42B9D012">
            <w:pPr>
              <w:spacing w:line="360" w:lineRule="auto"/>
              <w:rPr>
                <w:rFonts w:hint="eastAsia" w:ascii="仿宋" w:hAnsi="仿宋" w:eastAsia="仿宋" w:cs="仿宋"/>
                <w:color w:val="auto"/>
                <w:sz w:val="24"/>
                <w:highlight w:val="none"/>
              </w:rPr>
            </w:pPr>
          </w:p>
        </w:tc>
        <w:tc>
          <w:tcPr>
            <w:tcW w:w="553" w:type="dxa"/>
          </w:tcPr>
          <w:p w14:paraId="367D4349">
            <w:pPr>
              <w:spacing w:line="360" w:lineRule="auto"/>
              <w:rPr>
                <w:rFonts w:hint="eastAsia" w:ascii="仿宋" w:hAnsi="仿宋" w:eastAsia="仿宋" w:cs="仿宋"/>
                <w:color w:val="auto"/>
                <w:sz w:val="24"/>
                <w:highlight w:val="none"/>
              </w:rPr>
            </w:pPr>
          </w:p>
        </w:tc>
        <w:tc>
          <w:tcPr>
            <w:tcW w:w="553" w:type="dxa"/>
          </w:tcPr>
          <w:p w14:paraId="0972A669">
            <w:pPr>
              <w:spacing w:line="360" w:lineRule="auto"/>
              <w:rPr>
                <w:rFonts w:hint="eastAsia" w:ascii="仿宋" w:hAnsi="仿宋" w:eastAsia="仿宋" w:cs="仿宋"/>
                <w:color w:val="auto"/>
                <w:sz w:val="24"/>
                <w:highlight w:val="none"/>
              </w:rPr>
            </w:pPr>
          </w:p>
        </w:tc>
        <w:tc>
          <w:tcPr>
            <w:tcW w:w="553" w:type="dxa"/>
          </w:tcPr>
          <w:p w14:paraId="0CB5CAC1">
            <w:pPr>
              <w:spacing w:line="360" w:lineRule="auto"/>
              <w:rPr>
                <w:rFonts w:hint="eastAsia" w:ascii="仿宋" w:hAnsi="仿宋" w:eastAsia="仿宋" w:cs="仿宋"/>
                <w:color w:val="auto"/>
                <w:sz w:val="24"/>
                <w:highlight w:val="none"/>
              </w:rPr>
            </w:pPr>
          </w:p>
        </w:tc>
        <w:tc>
          <w:tcPr>
            <w:tcW w:w="553" w:type="dxa"/>
          </w:tcPr>
          <w:p w14:paraId="3D9B6589">
            <w:pPr>
              <w:spacing w:line="360" w:lineRule="auto"/>
              <w:rPr>
                <w:rFonts w:hint="eastAsia" w:ascii="仿宋" w:hAnsi="仿宋" w:eastAsia="仿宋" w:cs="仿宋"/>
                <w:color w:val="auto"/>
                <w:sz w:val="24"/>
                <w:highlight w:val="none"/>
              </w:rPr>
            </w:pPr>
          </w:p>
        </w:tc>
        <w:tc>
          <w:tcPr>
            <w:tcW w:w="553" w:type="dxa"/>
          </w:tcPr>
          <w:p w14:paraId="6A0EE166">
            <w:pPr>
              <w:spacing w:line="360" w:lineRule="auto"/>
              <w:rPr>
                <w:rFonts w:hint="eastAsia" w:ascii="仿宋" w:hAnsi="仿宋" w:eastAsia="仿宋" w:cs="仿宋"/>
                <w:color w:val="auto"/>
                <w:sz w:val="24"/>
                <w:highlight w:val="none"/>
              </w:rPr>
            </w:pPr>
          </w:p>
        </w:tc>
        <w:tc>
          <w:tcPr>
            <w:tcW w:w="553" w:type="dxa"/>
          </w:tcPr>
          <w:p w14:paraId="4D4D5B26">
            <w:pPr>
              <w:spacing w:line="360" w:lineRule="auto"/>
              <w:rPr>
                <w:rFonts w:hint="eastAsia" w:ascii="仿宋" w:hAnsi="仿宋" w:eastAsia="仿宋" w:cs="仿宋"/>
                <w:color w:val="auto"/>
                <w:sz w:val="24"/>
                <w:highlight w:val="none"/>
              </w:rPr>
            </w:pPr>
          </w:p>
        </w:tc>
        <w:tc>
          <w:tcPr>
            <w:tcW w:w="553" w:type="dxa"/>
          </w:tcPr>
          <w:p w14:paraId="3C945B40">
            <w:pPr>
              <w:spacing w:line="360" w:lineRule="auto"/>
              <w:rPr>
                <w:rFonts w:hint="eastAsia" w:ascii="仿宋" w:hAnsi="仿宋" w:eastAsia="仿宋" w:cs="仿宋"/>
                <w:color w:val="auto"/>
                <w:sz w:val="24"/>
                <w:highlight w:val="none"/>
              </w:rPr>
            </w:pPr>
          </w:p>
        </w:tc>
        <w:tc>
          <w:tcPr>
            <w:tcW w:w="553" w:type="dxa"/>
          </w:tcPr>
          <w:p w14:paraId="551B2F5D">
            <w:pPr>
              <w:spacing w:line="360" w:lineRule="auto"/>
              <w:rPr>
                <w:rFonts w:hint="eastAsia" w:ascii="仿宋" w:hAnsi="仿宋" w:eastAsia="仿宋" w:cs="仿宋"/>
                <w:color w:val="auto"/>
                <w:sz w:val="24"/>
                <w:highlight w:val="none"/>
              </w:rPr>
            </w:pPr>
          </w:p>
        </w:tc>
        <w:tc>
          <w:tcPr>
            <w:tcW w:w="553" w:type="dxa"/>
          </w:tcPr>
          <w:p w14:paraId="0FFF8AC1">
            <w:pPr>
              <w:spacing w:line="360" w:lineRule="auto"/>
              <w:rPr>
                <w:rFonts w:hint="eastAsia" w:ascii="仿宋" w:hAnsi="仿宋" w:eastAsia="仿宋" w:cs="仿宋"/>
                <w:color w:val="auto"/>
                <w:sz w:val="24"/>
                <w:highlight w:val="none"/>
              </w:rPr>
            </w:pPr>
          </w:p>
        </w:tc>
        <w:tc>
          <w:tcPr>
            <w:tcW w:w="553" w:type="dxa"/>
          </w:tcPr>
          <w:p w14:paraId="031172E3">
            <w:pPr>
              <w:spacing w:line="360" w:lineRule="auto"/>
              <w:rPr>
                <w:rFonts w:hint="eastAsia" w:ascii="仿宋" w:hAnsi="仿宋" w:eastAsia="仿宋" w:cs="仿宋"/>
                <w:color w:val="auto"/>
                <w:sz w:val="24"/>
                <w:highlight w:val="none"/>
              </w:rPr>
            </w:pPr>
          </w:p>
        </w:tc>
      </w:tr>
      <w:tr w14:paraId="6FE9F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169516C">
            <w:pPr>
              <w:spacing w:line="360" w:lineRule="auto"/>
              <w:rPr>
                <w:rFonts w:hint="eastAsia" w:ascii="仿宋" w:hAnsi="仿宋" w:eastAsia="仿宋" w:cs="仿宋"/>
                <w:color w:val="auto"/>
                <w:sz w:val="24"/>
                <w:highlight w:val="none"/>
              </w:rPr>
            </w:pPr>
          </w:p>
        </w:tc>
        <w:tc>
          <w:tcPr>
            <w:tcW w:w="552" w:type="dxa"/>
          </w:tcPr>
          <w:p w14:paraId="5A1A0B22">
            <w:pPr>
              <w:spacing w:line="360" w:lineRule="auto"/>
              <w:rPr>
                <w:rFonts w:hint="eastAsia" w:ascii="仿宋" w:hAnsi="仿宋" w:eastAsia="仿宋" w:cs="仿宋"/>
                <w:color w:val="auto"/>
                <w:sz w:val="24"/>
                <w:highlight w:val="none"/>
              </w:rPr>
            </w:pPr>
          </w:p>
        </w:tc>
        <w:tc>
          <w:tcPr>
            <w:tcW w:w="552" w:type="dxa"/>
          </w:tcPr>
          <w:p w14:paraId="31FB5710">
            <w:pPr>
              <w:spacing w:line="360" w:lineRule="auto"/>
              <w:rPr>
                <w:rFonts w:hint="eastAsia" w:ascii="仿宋" w:hAnsi="仿宋" w:eastAsia="仿宋" w:cs="仿宋"/>
                <w:color w:val="auto"/>
                <w:sz w:val="24"/>
                <w:highlight w:val="none"/>
              </w:rPr>
            </w:pPr>
          </w:p>
        </w:tc>
        <w:tc>
          <w:tcPr>
            <w:tcW w:w="552" w:type="dxa"/>
          </w:tcPr>
          <w:p w14:paraId="40EB1C58">
            <w:pPr>
              <w:spacing w:line="360" w:lineRule="auto"/>
              <w:rPr>
                <w:rFonts w:hint="eastAsia" w:ascii="仿宋" w:hAnsi="仿宋" w:eastAsia="仿宋" w:cs="仿宋"/>
                <w:color w:val="auto"/>
                <w:sz w:val="24"/>
                <w:highlight w:val="none"/>
              </w:rPr>
            </w:pPr>
          </w:p>
        </w:tc>
        <w:tc>
          <w:tcPr>
            <w:tcW w:w="552" w:type="dxa"/>
          </w:tcPr>
          <w:p w14:paraId="1B84EE10">
            <w:pPr>
              <w:spacing w:line="360" w:lineRule="auto"/>
              <w:rPr>
                <w:rFonts w:hint="eastAsia" w:ascii="仿宋" w:hAnsi="仿宋" w:eastAsia="仿宋" w:cs="仿宋"/>
                <w:color w:val="auto"/>
                <w:sz w:val="24"/>
                <w:highlight w:val="none"/>
              </w:rPr>
            </w:pPr>
          </w:p>
        </w:tc>
        <w:tc>
          <w:tcPr>
            <w:tcW w:w="552" w:type="dxa"/>
          </w:tcPr>
          <w:p w14:paraId="2127EAA3">
            <w:pPr>
              <w:spacing w:line="360" w:lineRule="auto"/>
              <w:rPr>
                <w:rFonts w:hint="eastAsia" w:ascii="仿宋" w:hAnsi="仿宋" w:eastAsia="仿宋" w:cs="仿宋"/>
                <w:color w:val="auto"/>
                <w:sz w:val="24"/>
                <w:highlight w:val="none"/>
              </w:rPr>
            </w:pPr>
          </w:p>
        </w:tc>
        <w:tc>
          <w:tcPr>
            <w:tcW w:w="552" w:type="dxa"/>
          </w:tcPr>
          <w:p w14:paraId="397EA5BD">
            <w:pPr>
              <w:spacing w:line="360" w:lineRule="auto"/>
              <w:rPr>
                <w:rFonts w:hint="eastAsia" w:ascii="仿宋" w:hAnsi="仿宋" w:eastAsia="仿宋" w:cs="仿宋"/>
                <w:color w:val="auto"/>
                <w:sz w:val="24"/>
                <w:highlight w:val="none"/>
              </w:rPr>
            </w:pPr>
          </w:p>
        </w:tc>
        <w:tc>
          <w:tcPr>
            <w:tcW w:w="553" w:type="dxa"/>
          </w:tcPr>
          <w:p w14:paraId="0CF0C7DD">
            <w:pPr>
              <w:spacing w:line="360" w:lineRule="auto"/>
              <w:rPr>
                <w:rFonts w:hint="eastAsia" w:ascii="仿宋" w:hAnsi="仿宋" w:eastAsia="仿宋" w:cs="仿宋"/>
                <w:color w:val="auto"/>
                <w:sz w:val="24"/>
                <w:highlight w:val="none"/>
              </w:rPr>
            </w:pPr>
          </w:p>
        </w:tc>
        <w:tc>
          <w:tcPr>
            <w:tcW w:w="553" w:type="dxa"/>
          </w:tcPr>
          <w:p w14:paraId="6A3D78AA">
            <w:pPr>
              <w:spacing w:line="360" w:lineRule="auto"/>
              <w:rPr>
                <w:rFonts w:hint="eastAsia" w:ascii="仿宋" w:hAnsi="仿宋" w:eastAsia="仿宋" w:cs="仿宋"/>
                <w:color w:val="auto"/>
                <w:sz w:val="24"/>
                <w:highlight w:val="none"/>
              </w:rPr>
            </w:pPr>
          </w:p>
        </w:tc>
        <w:tc>
          <w:tcPr>
            <w:tcW w:w="553" w:type="dxa"/>
          </w:tcPr>
          <w:p w14:paraId="5BD2452C">
            <w:pPr>
              <w:spacing w:line="360" w:lineRule="auto"/>
              <w:rPr>
                <w:rFonts w:hint="eastAsia" w:ascii="仿宋" w:hAnsi="仿宋" w:eastAsia="仿宋" w:cs="仿宋"/>
                <w:color w:val="auto"/>
                <w:sz w:val="24"/>
                <w:highlight w:val="none"/>
              </w:rPr>
            </w:pPr>
          </w:p>
        </w:tc>
        <w:tc>
          <w:tcPr>
            <w:tcW w:w="553" w:type="dxa"/>
          </w:tcPr>
          <w:p w14:paraId="4E720575">
            <w:pPr>
              <w:spacing w:line="360" w:lineRule="auto"/>
              <w:rPr>
                <w:rFonts w:hint="eastAsia" w:ascii="仿宋" w:hAnsi="仿宋" w:eastAsia="仿宋" w:cs="仿宋"/>
                <w:color w:val="auto"/>
                <w:sz w:val="24"/>
                <w:highlight w:val="none"/>
              </w:rPr>
            </w:pPr>
          </w:p>
        </w:tc>
        <w:tc>
          <w:tcPr>
            <w:tcW w:w="553" w:type="dxa"/>
          </w:tcPr>
          <w:p w14:paraId="225B9DE1">
            <w:pPr>
              <w:spacing w:line="360" w:lineRule="auto"/>
              <w:rPr>
                <w:rFonts w:hint="eastAsia" w:ascii="仿宋" w:hAnsi="仿宋" w:eastAsia="仿宋" w:cs="仿宋"/>
                <w:color w:val="auto"/>
                <w:sz w:val="24"/>
                <w:highlight w:val="none"/>
              </w:rPr>
            </w:pPr>
          </w:p>
        </w:tc>
        <w:tc>
          <w:tcPr>
            <w:tcW w:w="553" w:type="dxa"/>
          </w:tcPr>
          <w:p w14:paraId="5CCB9662">
            <w:pPr>
              <w:spacing w:line="360" w:lineRule="auto"/>
              <w:rPr>
                <w:rFonts w:hint="eastAsia" w:ascii="仿宋" w:hAnsi="仿宋" w:eastAsia="仿宋" w:cs="仿宋"/>
                <w:color w:val="auto"/>
                <w:sz w:val="24"/>
                <w:highlight w:val="none"/>
              </w:rPr>
            </w:pPr>
          </w:p>
        </w:tc>
        <w:tc>
          <w:tcPr>
            <w:tcW w:w="553" w:type="dxa"/>
          </w:tcPr>
          <w:p w14:paraId="4CE0E101">
            <w:pPr>
              <w:spacing w:line="360" w:lineRule="auto"/>
              <w:rPr>
                <w:rFonts w:hint="eastAsia" w:ascii="仿宋" w:hAnsi="仿宋" w:eastAsia="仿宋" w:cs="仿宋"/>
                <w:color w:val="auto"/>
                <w:sz w:val="24"/>
                <w:highlight w:val="none"/>
              </w:rPr>
            </w:pPr>
          </w:p>
        </w:tc>
        <w:tc>
          <w:tcPr>
            <w:tcW w:w="553" w:type="dxa"/>
          </w:tcPr>
          <w:p w14:paraId="2743011D">
            <w:pPr>
              <w:spacing w:line="360" w:lineRule="auto"/>
              <w:rPr>
                <w:rFonts w:hint="eastAsia" w:ascii="仿宋" w:hAnsi="仿宋" w:eastAsia="仿宋" w:cs="仿宋"/>
                <w:color w:val="auto"/>
                <w:sz w:val="24"/>
                <w:highlight w:val="none"/>
              </w:rPr>
            </w:pPr>
          </w:p>
        </w:tc>
        <w:tc>
          <w:tcPr>
            <w:tcW w:w="553" w:type="dxa"/>
          </w:tcPr>
          <w:p w14:paraId="4A52050D">
            <w:pPr>
              <w:spacing w:line="360" w:lineRule="auto"/>
              <w:rPr>
                <w:rFonts w:hint="eastAsia" w:ascii="仿宋" w:hAnsi="仿宋" w:eastAsia="仿宋" w:cs="仿宋"/>
                <w:color w:val="auto"/>
                <w:sz w:val="24"/>
                <w:highlight w:val="none"/>
              </w:rPr>
            </w:pPr>
          </w:p>
        </w:tc>
        <w:tc>
          <w:tcPr>
            <w:tcW w:w="553" w:type="dxa"/>
          </w:tcPr>
          <w:p w14:paraId="17A68CF4">
            <w:pPr>
              <w:spacing w:line="360" w:lineRule="auto"/>
              <w:rPr>
                <w:rFonts w:hint="eastAsia" w:ascii="仿宋" w:hAnsi="仿宋" w:eastAsia="仿宋" w:cs="仿宋"/>
                <w:color w:val="auto"/>
                <w:sz w:val="24"/>
                <w:highlight w:val="none"/>
              </w:rPr>
            </w:pPr>
          </w:p>
        </w:tc>
      </w:tr>
      <w:tr w14:paraId="57BB5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D632CCB">
            <w:pPr>
              <w:spacing w:line="360" w:lineRule="auto"/>
              <w:rPr>
                <w:rFonts w:hint="eastAsia" w:ascii="仿宋" w:hAnsi="仿宋" w:eastAsia="仿宋" w:cs="仿宋"/>
                <w:color w:val="auto"/>
                <w:sz w:val="24"/>
                <w:highlight w:val="none"/>
              </w:rPr>
            </w:pPr>
          </w:p>
        </w:tc>
        <w:tc>
          <w:tcPr>
            <w:tcW w:w="552" w:type="dxa"/>
          </w:tcPr>
          <w:p w14:paraId="2AEC7B5F">
            <w:pPr>
              <w:spacing w:line="360" w:lineRule="auto"/>
              <w:rPr>
                <w:rFonts w:hint="eastAsia" w:ascii="仿宋" w:hAnsi="仿宋" w:eastAsia="仿宋" w:cs="仿宋"/>
                <w:color w:val="auto"/>
                <w:sz w:val="24"/>
                <w:highlight w:val="none"/>
              </w:rPr>
            </w:pPr>
          </w:p>
        </w:tc>
        <w:tc>
          <w:tcPr>
            <w:tcW w:w="552" w:type="dxa"/>
          </w:tcPr>
          <w:p w14:paraId="768D22EC">
            <w:pPr>
              <w:spacing w:line="360" w:lineRule="auto"/>
              <w:rPr>
                <w:rFonts w:hint="eastAsia" w:ascii="仿宋" w:hAnsi="仿宋" w:eastAsia="仿宋" w:cs="仿宋"/>
                <w:color w:val="auto"/>
                <w:sz w:val="24"/>
                <w:highlight w:val="none"/>
              </w:rPr>
            </w:pPr>
          </w:p>
        </w:tc>
        <w:tc>
          <w:tcPr>
            <w:tcW w:w="552" w:type="dxa"/>
          </w:tcPr>
          <w:p w14:paraId="766CBD69">
            <w:pPr>
              <w:spacing w:line="360" w:lineRule="auto"/>
              <w:rPr>
                <w:rFonts w:hint="eastAsia" w:ascii="仿宋" w:hAnsi="仿宋" w:eastAsia="仿宋" w:cs="仿宋"/>
                <w:color w:val="auto"/>
                <w:sz w:val="24"/>
                <w:highlight w:val="none"/>
              </w:rPr>
            </w:pPr>
          </w:p>
        </w:tc>
        <w:tc>
          <w:tcPr>
            <w:tcW w:w="552" w:type="dxa"/>
          </w:tcPr>
          <w:p w14:paraId="61073E6C">
            <w:pPr>
              <w:spacing w:line="360" w:lineRule="auto"/>
              <w:rPr>
                <w:rFonts w:hint="eastAsia" w:ascii="仿宋" w:hAnsi="仿宋" w:eastAsia="仿宋" w:cs="仿宋"/>
                <w:color w:val="auto"/>
                <w:sz w:val="24"/>
                <w:highlight w:val="none"/>
              </w:rPr>
            </w:pPr>
          </w:p>
        </w:tc>
        <w:tc>
          <w:tcPr>
            <w:tcW w:w="552" w:type="dxa"/>
          </w:tcPr>
          <w:p w14:paraId="530ADD93">
            <w:pPr>
              <w:spacing w:line="360" w:lineRule="auto"/>
              <w:rPr>
                <w:rFonts w:hint="eastAsia" w:ascii="仿宋" w:hAnsi="仿宋" w:eastAsia="仿宋" w:cs="仿宋"/>
                <w:color w:val="auto"/>
                <w:sz w:val="24"/>
                <w:highlight w:val="none"/>
              </w:rPr>
            </w:pPr>
          </w:p>
        </w:tc>
        <w:tc>
          <w:tcPr>
            <w:tcW w:w="552" w:type="dxa"/>
          </w:tcPr>
          <w:p w14:paraId="237814E0">
            <w:pPr>
              <w:spacing w:line="360" w:lineRule="auto"/>
              <w:rPr>
                <w:rFonts w:hint="eastAsia" w:ascii="仿宋" w:hAnsi="仿宋" w:eastAsia="仿宋" w:cs="仿宋"/>
                <w:color w:val="auto"/>
                <w:sz w:val="24"/>
                <w:highlight w:val="none"/>
              </w:rPr>
            </w:pPr>
          </w:p>
        </w:tc>
        <w:tc>
          <w:tcPr>
            <w:tcW w:w="553" w:type="dxa"/>
          </w:tcPr>
          <w:p w14:paraId="2A5D4460">
            <w:pPr>
              <w:spacing w:line="360" w:lineRule="auto"/>
              <w:rPr>
                <w:rFonts w:hint="eastAsia" w:ascii="仿宋" w:hAnsi="仿宋" w:eastAsia="仿宋" w:cs="仿宋"/>
                <w:color w:val="auto"/>
                <w:sz w:val="24"/>
                <w:highlight w:val="none"/>
              </w:rPr>
            </w:pPr>
          </w:p>
        </w:tc>
        <w:tc>
          <w:tcPr>
            <w:tcW w:w="553" w:type="dxa"/>
          </w:tcPr>
          <w:p w14:paraId="31D23492">
            <w:pPr>
              <w:spacing w:line="360" w:lineRule="auto"/>
              <w:rPr>
                <w:rFonts w:hint="eastAsia" w:ascii="仿宋" w:hAnsi="仿宋" w:eastAsia="仿宋" w:cs="仿宋"/>
                <w:color w:val="auto"/>
                <w:sz w:val="24"/>
                <w:highlight w:val="none"/>
              </w:rPr>
            </w:pPr>
          </w:p>
        </w:tc>
        <w:tc>
          <w:tcPr>
            <w:tcW w:w="553" w:type="dxa"/>
          </w:tcPr>
          <w:p w14:paraId="09720705">
            <w:pPr>
              <w:spacing w:line="360" w:lineRule="auto"/>
              <w:rPr>
                <w:rFonts w:hint="eastAsia" w:ascii="仿宋" w:hAnsi="仿宋" w:eastAsia="仿宋" w:cs="仿宋"/>
                <w:color w:val="auto"/>
                <w:sz w:val="24"/>
                <w:highlight w:val="none"/>
              </w:rPr>
            </w:pPr>
          </w:p>
        </w:tc>
        <w:tc>
          <w:tcPr>
            <w:tcW w:w="553" w:type="dxa"/>
          </w:tcPr>
          <w:p w14:paraId="15BE958F">
            <w:pPr>
              <w:spacing w:line="360" w:lineRule="auto"/>
              <w:rPr>
                <w:rFonts w:hint="eastAsia" w:ascii="仿宋" w:hAnsi="仿宋" w:eastAsia="仿宋" w:cs="仿宋"/>
                <w:color w:val="auto"/>
                <w:sz w:val="24"/>
                <w:highlight w:val="none"/>
              </w:rPr>
            </w:pPr>
          </w:p>
        </w:tc>
        <w:tc>
          <w:tcPr>
            <w:tcW w:w="553" w:type="dxa"/>
          </w:tcPr>
          <w:p w14:paraId="4E982E1F">
            <w:pPr>
              <w:spacing w:line="360" w:lineRule="auto"/>
              <w:rPr>
                <w:rFonts w:hint="eastAsia" w:ascii="仿宋" w:hAnsi="仿宋" w:eastAsia="仿宋" w:cs="仿宋"/>
                <w:color w:val="auto"/>
                <w:sz w:val="24"/>
                <w:highlight w:val="none"/>
              </w:rPr>
            </w:pPr>
          </w:p>
        </w:tc>
        <w:tc>
          <w:tcPr>
            <w:tcW w:w="553" w:type="dxa"/>
          </w:tcPr>
          <w:p w14:paraId="6EE91EB0">
            <w:pPr>
              <w:spacing w:line="360" w:lineRule="auto"/>
              <w:rPr>
                <w:rFonts w:hint="eastAsia" w:ascii="仿宋" w:hAnsi="仿宋" w:eastAsia="仿宋" w:cs="仿宋"/>
                <w:color w:val="auto"/>
                <w:sz w:val="24"/>
                <w:highlight w:val="none"/>
              </w:rPr>
            </w:pPr>
          </w:p>
        </w:tc>
        <w:tc>
          <w:tcPr>
            <w:tcW w:w="553" w:type="dxa"/>
          </w:tcPr>
          <w:p w14:paraId="5D7022C6">
            <w:pPr>
              <w:spacing w:line="360" w:lineRule="auto"/>
              <w:rPr>
                <w:rFonts w:hint="eastAsia" w:ascii="仿宋" w:hAnsi="仿宋" w:eastAsia="仿宋" w:cs="仿宋"/>
                <w:color w:val="auto"/>
                <w:sz w:val="24"/>
                <w:highlight w:val="none"/>
              </w:rPr>
            </w:pPr>
          </w:p>
        </w:tc>
        <w:tc>
          <w:tcPr>
            <w:tcW w:w="553" w:type="dxa"/>
          </w:tcPr>
          <w:p w14:paraId="32C3CD12">
            <w:pPr>
              <w:spacing w:line="360" w:lineRule="auto"/>
              <w:rPr>
                <w:rFonts w:hint="eastAsia" w:ascii="仿宋" w:hAnsi="仿宋" w:eastAsia="仿宋" w:cs="仿宋"/>
                <w:color w:val="auto"/>
                <w:sz w:val="24"/>
                <w:highlight w:val="none"/>
              </w:rPr>
            </w:pPr>
          </w:p>
        </w:tc>
        <w:tc>
          <w:tcPr>
            <w:tcW w:w="553" w:type="dxa"/>
          </w:tcPr>
          <w:p w14:paraId="110107B4">
            <w:pPr>
              <w:spacing w:line="360" w:lineRule="auto"/>
              <w:rPr>
                <w:rFonts w:hint="eastAsia" w:ascii="仿宋" w:hAnsi="仿宋" w:eastAsia="仿宋" w:cs="仿宋"/>
                <w:color w:val="auto"/>
                <w:sz w:val="24"/>
                <w:highlight w:val="none"/>
              </w:rPr>
            </w:pPr>
          </w:p>
        </w:tc>
        <w:tc>
          <w:tcPr>
            <w:tcW w:w="553" w:type="dxa"/>
          </w:tcPr>
          <w:p w14:paraId="5CDB081B">
            <w:pPr>
              <w:spacing w:line="360" w:lineRule="auto"/>
              <w:rPr>
                <w:rFonts w:hint="eastAsia" w:ascii="仿宋" w:hAnsi="仿宋" w:eastAsia="仿宋" w:cs="仿宋"/>
                <w:color w:val="auto"/>
                <w:sz w:val="24"/>
                <w:highlight w:val="none"/>
              </w:rPr>
            </w:pPr>
          </w:p>
        </w:tc>
      </w:tr>
      <w:tr w14:paraId="126A8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548A9AB">
            <w:pPr>
              <w:spacing w:line="360" w:lineRule="auto"/>
              <w:rPr>
                <w:rFonts w:hint="eastAsia" w:ascii="仿宋" w:hAnsi="仿宋" w:eastAsia="仿宋" w:cs="仿宋"/>
                <w:color w:val="auto"/>
                <w:sz w:val="24"/>
                <w:highlight w:val="none"/>
              </w:rPr>
            </w:pPr>
          </w:p>
        </w:tc>
        <w:tc>
          <w:tcPr>
            <w:tcW w:w="552" w:type="dxa"/>
          </w:tcPr>
          <w:p w14:paraId="16CC74FE">
            <w:pPr>
              <w:spacing w:line="360" w:lineRule="auto"/>
              <w:rPr>
                <w:rFonts w:hint="eastAsia" w:ascii="仿宋" w:hAnsi="仿宋" w:eastAsia="仿宋" w:cs="仿宋"/>
                <w:color w:val="auto"/>
                <w:sz w:val="24"/>
                <w:highlight w:val="none"/>
              </w:rPr>
            </w:pPr>
          </w:p>
        </w:tc>
        <w:tc>
          <w:tcPr>
            <w:tcW w:w="552" w:type="dxa"/>
          </w:tcPr>
          <w:p w14:paraId="3D9B32BC">
            <w:pPr>
              <w:spacing w:line="360" w:lineRule="auto"/>
              <w:rPr>
                <w:rFonts w:hint="eastAsia" w:ascii="仿宋" w:hAnsi="仿宋" w:eastAsia="仿宋" w:cs="仿宋"/>
                <w:color w:val="auto"/>
                <w:sz w:val="24"/>
                <w:highlight w:val="none"/>
              </w:rPr>
            </w:pPr>
          </w:p>
        </w:tc>
        <w:tc>
          <w:tcPr>
            <w:tcW w:w="552" w:type="dxa"/>
          </w:tcPr>
          <w:p w14:paraId="05764AD8">
            <w:pPr>
              <w:spacing w:line="360" w:lineRule="auto"/>
              <w:rPr>
                <w:rFonts w:hint="eastAsia" w:ascii="仿宋" w:hAnsi="仿宋" w:eastAsia="仿宋" w:cs="仿宋"/>
                <w:color w:val="auto"/>
                <w:sz w:val="24"/>
                <w:highlight w:val="none"/>
              </w:rPr>
            </w:pPr>
          </w:p>
        </w:tc>
        <w:tc>
          <w:tcPr>
            <w:tcW w:w="552" w:type="dxa"/>
          </w:tcPr>
          <w:p w14:paraId="5CC77869">
            <w:pPr>
              <w:spacing w:line="360" w:lineRule="auto"/>
              <w:rPr>
                <w:rFonts w:hint="eastAsia" w:ascii="仿宋" w:hAnsi="仿宋" w:eastAsia="仿宋" w:cs="仿宋"/>
                <w:color w:val="auto"/>
                <w:sz w:val="24"/>
                <w:highlight w:val="none"/>
              </w:rPr>
            </w:pPr>
          </w:p>
        </w:tc>
        <w:tc>
          <w:tcPr>
            <w:tcW w:w="552" w:type="dxa"/>
          </w:tcPr>
          <w:p w14:paraId="61279E35">
            <w:pPr>
              <w:spacing w:line="360" w:lineRule="auto"/>
              <w:rPr>
                <w:rFonts w:hint="eastAsia" w:ascii="仿宋" w:hAnsi="仿宋" w:eastAsia="仿宋" w:cs="仿宋"/>
                <w:color w:val="auto"/>
                <w:sz w:val="24"/>
                <w:highlight w:val="none"/>
              </w:rPr>
            </w:pPr>
          </w:p>
        </w:tc>
        <w:tc>
          <w:tcPr>
            <w:tcW w:w="552" w:type="dxa"/>
          </w:tcPr>
          <w:p w14:paraId="340FEB49">
            <w:pPr>
              <w:spacing w:line="360" w:lineRule="auto"/>
              <w:rPr>
                <w:rFonts w:hint="eastAsia" w:ascii="仿宋" w:hAnsi="仿宋" w:eastAsia="仿宋" w:cs="仿宋"/>
                <w:color w:val="auto"/>
                <w:sz w:val="24"/>
                <w:highlight w:val="none"/>
              </w:rPr>
            </w:pPr>
          </w:p>
        </w:tc>
        <w:tc>
          <w:tcPr>
            <w:tcW w:w="553" w:type="dxa"/>
          </w:tcPr>
          <w:p w14:paraId="29669E59">
            <w:pPr>
              <w:spacing w:line="360" w:lineRule="auto"/>
              <w:rPr>
                <w:rFonts w:hint="eastAsia" w:ascii="仿宋" w:hAnsi="仿宋" w:eastAsia="仿宋" w:cs="仿宋"/>
                <w:color w:val="auto"/>
                <w:sz w:val="24"/>
                <w:highlight w:val="none"/>
              </w:rPr>
            </w:pPr>
          </w:p>
        </w:tc>
        <w:tc>
          <w:tcPr>
            <w:tcW w:w="553" w:type="dxa"/>
          </w:tcPr>
          <w:p w14:paraId="0735423B">
            <w:pPr>
              <w:spacing w:line="360" w:lineRule="auto"/>
              <w:rPr>
                <w:rFonts w:hint="eastAsia" w:ascii="仿宋" w:hAnsi="仿宋" w:eastAsia="仿宋" w:cs="仿宋"/>
                <w:color w:val="auto"/>
                <w:sz w:val="24"/>
                <w:highlight w:val="none"/>
              </w:rPr>
            </w:pPr>
          </w:p>
        </w:tc>
        <w:tc>
          <w:tcPr>
            <w:tcW w:w="553" w:type="dxa"/>
          </w:tcPr>
          <w:p w14:paraId="0AF18FE7">
            <w:pPr>
              <w:spacing w:line="360" w:lineRule="auto"/>
              <w:rPr>
                <w:rFonts w:hint="eastAsia" w:ascii="仿宋" w:hAnsi="仿宋" w:eastAsia="仿宋" w:cs="仿宋"/>
                <w:color w:val="auto"/>
                <w:sz w:val="24"/>
                <w:highlight w:val="none"/>
              </w:rPr>
            </w:pPr>
          </w:p>
        </w:tc>
        <w:tc>
          <w:tcPr>
            <w:tcW w:w="553" w:type="dxa"/>
          </w:tcPr>
          <w:p w14:paraId="2FA84112">
            <w:pPr>
              <w:spacing w:line="360" w:lineRule="auto"/>
              <w:rPr>
                <w:rFonts w:hint="eastAsia" w:ascii="仿宋" w:hAnsi="仿宋" w:eastAsia="仿宋" w:cs="仿宋"/>
                <w:color w:val="auto"/>
                <w:sz w:val="24"/>
                <w:highlight w:val="none"/>
              </w:rPr>
            </w:pPr>
          </w:p>
        </w:tc>
        <w:tc>
          <w:tcPr>
            <w:tcW w:w="553" w:type="dxa"/>
          </w:tcPr>
          <w:p w14:paraId="36AE7D97">
            <w:pPr>
              <w:spacing w:line="360" w:lineRule="auto"/>
              <w:rPr>
                <w:rFonts w:hint="eastAsia" w:ascii="仿宋" w:hAnsi="仿宋" w:eastAsia="仿宋" w:cs="仿宋"/>
                <w:color w:val="auto"/>
                <w:sz w:val="24"/>
                <w:highlight w:val="none"/>
              </w:rPr>
            </w:pPr>
          </w:p>
        </w:tc>
        <w:tc>
          <w:tcPr>
            <w:tcW w:w="553" w:type="dxa"/>
          </w:tcPr>
          <w:p w14:paraId="1DEF6E5C">
            <w:pPr>
              <w:spacing w:line="360" w:lineRule="auto"/>
              <w:rPr>
                <w:rFonts w:hint="eastAsia" w:ascii="仿宋" w:hAnsi="仿宋" w:eastAsia="仿宋" w:cs="仿宋"/>
                <w:color w:val="auto"/>
                <w:sz w:val="24"/>
                <w:highlight w:val="none"/>
              </w:rPr>
            </w:pPr>
          </w:p>
        </w:tc>
        <w:tc>
          <w:tcPr>
            <w:tcW w:w="553" w:type="dxa"/>
          </w:tcPr>
          <w:p w14:paraId="7A733E70">
            <w:pPr>
              <w:spacing w:line="360" w:lineRule="auto"/>
              <w:rPr>
                <w:rFonts w:hint="eastAsia" w:ascii="仿宋" w:hAnsi="仿宋" w:eastAsia="仿宋" w:cs="仿宋"/>
                <w:color w:val="auto"/>
                <w:sz w:val="24"/>
                <w:highlight w:val="none"/>
              </w:rPr>
            </w:pPr>
          </w:p>
        </w:tc>
        <w:tc>
          <w:tcPr>
            <w:tcW w:w="553" w:type="dxa"/>
          </w:tcPr>
          <w:p w14:paraId="58631C97">
            <w:pPr>
              <w:spacing w:line="360" w:lineRule="auto"/>
              <w:rPr>
                <w:rFonts w:hint="eastAsia" w:ascii="仿宋" w:hAnsi="仿宋" w:eastAsia="仿宋" w:cs="仿宋"/>
                <w:color w:val="auto"/>
                <w:sz w:val="24"/>
                <w:highlight w:val="none"/>
              </w:rPr>
            </w:pPr>
          </w:p>
        </w:tc>
        <w:tc>
          <w:tcPr>
            <w:tcW w:w="553" w:type="dxa"/>
          </w:tcPr>
          <w:p w14:paraId="10543FA4">
            <w:pPr>
              <w:spacing w:line="360" w:lineRule="auto"/>
              <w:rPr>
                <w:rFonts w:hint="eastAsia" w:ascii="仿宋" w:hAnsi="仿宋" w:eastAsia="仿宋" w:cs="仿宋"/>
                <w:color w:val="auto"/>
                <w:sz w:val="24"/>
                <w:highlight w:val="none"/>
              </w:rPr>
            </w:pPr>
          </w:p>
        </w:tc>
        <w:tc>
          <w:tcPr>
            <w:tcW w:w="553" w:type="dxa"/>
          </w:tcPr>
          <w:p w14:paraId="60D7A629">
            <w:pPr>
              <w:spacing w:line="360" w:lineRule="auto"/>
              <w:rPr>
                <w:rFonts w:hint="eastAsia" w:ascii="仿宋" w:hAnsi="仿宋" w:eastAsia="仿宋" w:cs="仿宋"/>
                <w:color w:val="auto"/>
                <w:sz w:val="24"/>
                <w:highlight w:val="none"/>
              </w:rPr>
            </w:pPr>
          </w:p>
        </w:tc>
      </w:tr>
      <w:tr w14:paraId="06128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6F490BA">
            <w:pPr>
              <w:spacing w:line="360" w:lineRule="auto"/>
              <w:rPr>
                <w:rFonts w:hint="eastAsia" w:ascii="仿宋" w:hAnsi="仿宋" w:eastAsia="仿宋" w:cs="仿宋"/>
                <w:color w:val="auto"/>
                <w:sz w:val="24"/>
                <w:highlight w:val="none"/>
              </w:rPr>
            </w:pPr>
          </w:p>
        </w:tc>
        <w:tc>
          <w:tcPr>
            <w:tcW w:w="552" w:type="dxa"/>
          </w:tcPr>
          <w:p w14:paraId="262F8D12">
            <w:pPr>
              <w:spacing w:line="360" w:lineRule="auto"/>
              <w:rPr>
                <w:rFonts w:hint="eastAsia" w:ascii="仿宋" w:hAnsi="仿宋" w:eastAsia="仿宋" w:cs="仿宋"/>
                <w:color w:val="auto"/>
                <w:sz w:val="24"/>
                <w:highlight w:val="none"/>
              </w:rPr>
            </w:pPr>
          </w:p>
        </w:tc>
        <w:tc>
          <w:tcPr>
            <w:tcW w:w="552" w:type="dxa"/>
          </w:tcPr>
          <w:p w14:paraId="43C6D231">
            <w:pPr>
              <w:spacing w:line="360" w:lineRule="auto"/>
              <w:rPr>
                <w:rFonts w:hint="eastAsia" w:ascii="仿宋" w:hAnsi="仿宋" w:eastAsia="仿宋" w:cs="仿宋"/>
                <w:color w:val="auto"/>
                <w:sz w:val="24"/>
                <w:highlight w:val="none"/>
              </w:rPr>
            </w:pPr>
          </w:p>
        </w:tc>
        <w:tc>
          <w:tcPr>
            <w:tcW w:w="552" w:type="dxa"/>
          </w:tcPr>
          <w:p w14:paraId="159FBEF6">
            <w:pPr>
              <w:spacing w:line="360" w:lineRule="auto"/>
              <w:rPr>
                <w:rFonts w:hint="eastAsia" w:ascii="仿宋" w:hAnsi="仿宋" w:eastAsia="仿宋" w:cs="仿宋"/>
                <w:color w:val="auto"/>
                <w:sz w:val="24"/>
                <w:highlight w:val="none"/>
              </w:rPr>
            </w:pPr>
          </w:p>
        </w:tc>
        <w:tc>
          <w:tcPr>
            <w:tcW w:w="552" w:type="dxa"/>
          </w:tcPr>
          <w:p w14:paraId="745E3400">
            <w:pPr>
              <w:spacing w:line="360" w:lineRule="auto"/>
              <w:rPr>
                <w:rFonts w:hint="eastAsia" w:ascii="仿宋" w:hAnsi="仿宋" w:eastAsia="仿宋" w:cs="仿宋"/>
                <w:color w:val="auto"/>
                <w:sz w:val="24"/>
                <w:highlight w:val="none"/>
              </w:rPr>
            </w:pPr>
          </w:p>
        </w:tc>
        <w:tc>
          <w:tcPr>
            <w:tcW w:w="552" w:type="dxa"/>
          </w:tcPr>
          <w:p w14:paraId="268E52D9">
            <w:pPr>
              <w:spacing w:line="360" w:lineRule="auto"/>
              <w:rPr>
                <w:rFonts w:hint="eastAsia" w:ascii="仿宋" w:hAnsi="仿宋" w:eastAsia="仿宋" w:cs="仿宋"/>
                <w:color w:val="auto"/>
                <w:sz w:val="24"/>
                <w:highlight w:val="none"/>
              </w:rPr>
            </w:pPr>
          </w:p>
        </w:tc>
        <w:tc>
          <w:tcPr>
            <w:tcW w:w="552" w:type="dxa"/>
          </w:tcPr>
          <w:p w14:paraId="426EDB0A">
            <w:pPr>
              <w:spacing w:line="360" w:lineRule="auto"/>
              <w:rPr>
                <w:rFonts w:hint="eastAsia" w:ascii="仿宋" w:hAnsi="仿宋" w:eastAsia="仿宋" w:cs="仿宋"/>
                <w:color w:val="auto"/>
                <w:sz w:val="24"/>
                <w:highlight w:val="none"/>
              </w:rPr>
            </w:pPr>
          </w:p>
        </w:tc>
        <w:tc>
          <w:tcPr>
            <w:tcW w:w="553" w:type="dxa"/>
          </w:tcPr>
          <w:p w14:paraId="5886A299">
            <w:pPr>
              <w:spacing w:line="360" w:lineRule="auto"/>
              <w:rPr>
                <w:rFonts w:hint="eastAsia" w:ascii="仿宋" w:hAnsi="仿宋" w:eastAsia="仿宋" w:cs="仿宋"/>
                <w:color w:val="auto"/>
                <w:sz w:val="24"/>
                <w:highlight w:val="none"/>
              </w:rPr>
            </w:pPr>
          </w:p>
        </w:tc>
        <w:tc>
          <w:tcPr>
            <w:tcW w:w="553" w:type="dxa"/>
          </w:tcPr>
          <w:p w14:paraId="11DDBADB">
            <w:pPr>
              <w:spacing w:line="360" w:lineRule="auto"/>
              <w:rPr>
                <w:rFonts w:hint="eastAsia" w:ascii="仿宋" w:hAnsi="仿宋" w:eastAsia="仿宋" w:cs="仿宋"/>
                <w:color w:val="auto"/>
                <w:sz w:val="24"/>
                <w:highlight w:val="none"/>
              </w:rPr>
            </w:pPr>
          </w:p>
        </w:tc>
        <w:tc>
          <w:tcPr>
            <w:tcW w:w="553" w:type="dxa"/>
          </w:tcPr>
          <w:p w14:paraId="1798B7CE">
            <w:pPr>
              <w:spacing w:line="360" w:lineRule="auto"/>
              <w:rPr>
                <w:rFonts w:hint="eastAsia" w:ascii="仿宋" w:hAnsi="仿宋" w:eastAsia="仿宋" w:cs="仿宋"/>
                <w:color w:val="auto"/>
                <w:sz w:val="24"/>
                <w:highlight w:val="none"/>
              </w:rPr>
            </w:pPr>
          </w:p>
        </w:tc>
        <w:tc>
          <w:tcPr>
            <w:tcW w:w="553" w:type="dxa"/>
          </w:tcPr>
          <w:p w14:paraId="290BC5BA">
            <w:pPr>
              <w:spacing w:line="360" w:lineRule="auto"/>
              <w:rPr>
                <w:rFonts w:hint="eastAsia" w:ascii="仿宋" w:hAnsi="仿宋" w:eastAsia="仿宋" w:cs="仿宋"/>
                <w:color w:val="auto"/>
                <w:sz w:val="24"/>
                <w:highlight w:val="none"/>
              </w:rPr>
            </w:pPr>
          </w:p>
        </w:tc>
        <w:tc>
          <w:tcPr>
            <w:tcW w:w="553" w:type="dxa"/>
          </w:tcPr>
          <w:p w14:paraId="32C4B8D4">
            <w:pPr>
              <w:spacing w:line="360" w:lineRule="auto"/>
              <w:rPr>
                <w:rFonts w:hint="eastAsia" w:ascii="仿宋" w:hAnsi="仿宋" w:eastAsia="仿宋" w:cs="仿宋"/>
                <w:color w:val="auto"/>
                <w:sz w:val="24"/>
                <w:highlight w:val="none"/>
              </w:rPr>
            </w:pPr>
          </w:p>
        </w:tc>
        <w:tc>
          <w:tcPr>
            <w:tcW w:w="553" w:type="dxa"/>
          </w:tcPr>
          <w:p w14:paraId="0F73CF9F">
            <w:pPr>
              <w:spacing w:line="360" w:lineRule="auto"/>
              <w:rPr>
                <w:rFonts w:hint="eastAsia" w:ascii="仿宋" w:hAnsi="仿宋" w:eastAsia="仿宋" w:cs="仿宋"/>
                <w:color w:val="auto"/>
                <w:sz w:val="24"/>
                <w:highlight w:val="none"/>
              </w:rPr>
            </w:pPr>
          </w:p>
        </w:tc>
        <w:tc>
          <w:tcPr>
            <w:tcW w:w="553" w:type="dxa"/>
          </w:tcPr>
          <w:p w14:paraId="0A9E07BD">
            <w:pPr>
              <w:spacing w:line="360" w:lineRule="auto"/>
              <w:rPr>
                <w:rFonts w:hint="eastAsia" w:ascii="仿宋" w:hAnsi="仿宋" w:eastAsia="仿宋" w:cs="仿宋"/>
                <w:color w:val="auto"/>
                <w:sz w:val="24"/>
                <w:highlight w:val="none"/>
              </w:rPr>
            </w:pPr>
          </w:p>
        </w:tc>
        <w:tc>
          <w:tcPr>
            <w:tcW w:w="553" w:type="dxa"/>
          </w:tcPr>
          <w:p w14:paraId="13AE56A6">
            <w:pPr>
              <w:spacing w:line="360" w:lineRule="auto"/>
              <w:rPr>
                <w:rFonts w:hint="eastAsia" w:ascii="仿宋" w:hAnsi="仿宋" w:eastAsia="仿宋" w:cs="仿宋"/>
                <w:color w:val="auto"/>
                <w:sz w:val="24"/>
                <w:highlight w:val="none"/>
              </w:rPr>
            </w:pPr>
          </w:p>
        </w:tc>
        <w:tc>
          <w:tcPr>
            <w:tcW w:w="553" w:type="dxa"/>
          </w:tcPr>
          <w:p w14:paraId="23A6F634">
            <w:pPr>
              <w:spacing w:line="360" w:lineRule="auto"/>
              <w:rPr>
                <w:rFonts w:hint="eastAsia" w:ascii="仿宋" w:hAnsi="仿宋" w:eastAsia="仿宋" w:cs="仿宋"/>
                <w:color w:val="auto"/>
                <w:sz w:val="24"/>
                <w:highlight w:val="none"/>
              </w:rPr>
            </w:pPr>
          </w:p>
        </w:tc>
        <w:tc>
          <w:tcPr>
            <w:tcW w:w="553" w:type="dxa"/>
          </w:tcPr>
          <w:p w14:paraId="1303AE47">
            <w:pPr>
              <w:spacing w:line="360" w:lineRule="auto"/>
              <w:rPr>
                <w:rFonts w:hint="eastAsia" w:ascii="仿宋" w:hAnsi="仿宋" w:eastAsia="仿宋" w:cs="仿宋"/>
                <w:color w:val="auto"/>
                <w:sz w:val="24"/>
                <w:highlight w:val="none"/>
              </w:rPr>
            </w:pPr>
          </w:p>
        </w:tc>
      </w:tr>
      <w:tr w14:paraId="51AE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DDF794A">
            <w:pPr>
              <w:spacing w:line="360" w:lineRule="auto"/>
              <w:rPr>
                <w:rFonts w:hint="eastAsia" w:ascii="仿宋" w:hAnsi="仿宋" w:eastAsia="仿宋" w:cs="仿宋"/>
                <w:color w:val="auto"/>
                <w:sz w:val="24"/>
                <w:highlight w:val="none"/>
              </w:rPr>
            </w:pPr>
          </w:p>
        </w:tc>
        <w:tc>
          <w:tcPr>
            <w:tcW w:w="552" w:type="dxa"/>
          </w:tcPr>
          <w:p w14:paraId="29528B00">
            <w:pPr>
              <w:spacing w:line="360" w:lineRule="auto"/>
              <w:rPr>
                <w:rFonts w:hint="eastAsia" w:ascii="仿宋" w:hAnsi="仿宋" w:eastAsia="仿宋" w:cs="仿宋"/>
                <w:color w:val="auto"/>
                <w:sz w:val="24"/>
                <w:highlight w:val="none"/>
              </w:rPr>
            </w:pPr>
          </w:p>
        </w:tc>
        <w:tc>
          <w:tcPr>
            <w:tcW w:w="552" w:type="dxa"/>
          </w:tcPr>
          <w:p w14:paraId="6B74AC4D">
            <w:pPr>
              <w:spacing w:line="360" w:lineRule="auto"/>
              <w:rPr>
                <w:rFonts w:hint="eastAsia" w:ascii="仿宋" w:hAnsi="仿宋" w:eastAsia="仿宋" w:cs="仿宋"/>
                <w:color w:val="auto"/>
                <w:sz w:val="24"/>
                <w:highlight w:val="none"/>
              </w:rPr>
            </w:pPr>
          </w:p>
        </w:tc>
        <w:tc>
          <w:tcPr>
            <w:tcW w:w="552" w:type="dxa"/>
          </w:tcPr>
          <w:p w14:paraId="39B1FD50">
            <w:pPr>
              <w:spacing w:line="360" w:lineRule="auto"/>
              <w:rPr>
                <w:rFonts w:hint="eastAsia" w:ascii="仿宋" w:hAnsi="仿宋" w:eastAsia="仿宋" w:cs="仿宋"/>
                <w:color w:val="auto"/>
                <w:sz w:val="24"/>
                <w:highlight w:val="none"/>
              </w:rPr>
            </w:pPr>
          </w:p>
        </w:tc>
        <w:tc>
          <w:tcPr>
            <w:tcW w:w="552" w:type="dxa"/>
          </w:tcPr>
          <w:p w14:paraId="7F88AA3A">
            <w:pPr>
              <w:spacing w:line="360" w:lineRule="auto"/>
              <w:rPr>
                <w:rFonts w:hint="eastAsia" w:ascii="仿宋" w:hAnsi="仿宋" w:eastAsia="仿宋" w:cs="仿宋"/>
                <w:color w:val="auto"/>
                <w:sz w:val="24"/>
                <w:highlight w:val="none"/>
              </w:rPr>
            </w:pPr>
          </w:p>
        </w:tc>
        <w:tc>
          <w:tcPr>
            <w:tcW w:w="552" w:type="dxa"/>
          </w:tcPr>
          <w:p w14:paraId="2BAE4ED7">
            <w:pPr>
              <w:spacing w:line="360" w:lineRule="auto"/>
              <w:rPr>
                <w:rFonts w:hint="eastAsia" w:ascii="仿宋" w:hAnsi="仿宋" w:eastAsia="仿宋" w:cs="仿宋"/>
                <w:color w:val="auto"/>
                <w:sz w:val="24"/>
                <w:highlight w:val="none"/>
              </w:rPr>
            </w:pPr>
          </w:p>
        </w:tc>
        <w:tc>
          <w:tcPr>
            <w:tcW w:w="552" w:type="dxa"/>
          </w:tcPr>
          <w:p w14:paraId="0AFE9F37">
            <w:pPr>
              <w:spacing w:line="360" w:lineRule="auto"/>
              <w:rPr>
                <w:rFonts w:hint="eastAsia" w:ascii="仿宋" w:hAnsi="仿宋" w:eastAsia="仿宋" w:cs="仿宋"/>
                <w:color w:val="auto"/>
                <w:sz w:val="24"/>
                <w:highlight w:val="none"/>
              </w:rPr>
            </w:pPr>
          </w:p>
        </w:tc>
        <w:tc>
          <w:tcPr>
            <w:tcW w:w="553" w:type="dxa"/>
          </w:tcPr>
          <w:p w14:paraId="11A77723">
            <w:pPr>
              <w:spacing w:line="360" w:lineRule="auto"/>
              <w:rPr>
                <w:rFonts w:hint="eastAsia" w:ascii="仿宋" w:hAnsi="仿宋" w:eastAsia="仿宋" w:cs="仿宋"/>
                <w:color w:val="auto"/>
                <w:sz w:val="24"/>
                <w:highlight w:val="none"/>
              </w:rPr>
            </w:pPr>
          </w:p>
        </w:tc>
        <w:tc>
          <w:tcPr>
            <w:tcW w:w="553" w:type="dxa"/>
          </w:tcPr>
          <w:p w14:paraId="14A18A6C">
            <w:pPr>
              <w:spacing w:line="360" w:lineRule="auto"/>
              <w:rPr>
                <w:rFonts w:hint="eastAsia" w:ascii="仿宋" w:hAnsi="仿宋" w:eastAsia="仿宋" w:cs="仿宋"/>
                <w:color w:val="auto"/>
                <w:sz w:val="24"/>
                <w:highlight w:val="none"/>
              </w:rPr>
            </w:pPr>
          </w:p>
        </w:tc>
        <w:tc>
          <w:tcPr>
            <w:tcW w:w="553" w:type="dxa"/>
          </w:tcPr>
          <w:p w14:paraId="38DA42E0">
            <w:pPr>
              <w:spacing w:line="360" w:lineRule="auto"/>
              <w:rPr>
                <w:rFonts w:hint="eastAsia" w:ascii="仿宋" w:hAnsi="仿宋" w:eastAsia="仿宋" w:cs="仿宋"/>
                <w:color w:val="auto"/>
                <w:sz w:val="24"/>
                <w:highlight w:val="none"/>
              </w:rPr>
            </w:pPr>
          </w:p>
        </w:tc>
        <w:tc>
          <w:tcPr>
            <w:tcW w:w="553" w:type="dxa"/>
          </w:tcPr>
          <w:p w14:paraId="63C3DD40">
            <w:pPr>
              <w:spacing w:line="360" w:lineRule="auto"/>
              <w:rPr>
                <w:rFonts w:hint="eastAsia" w:ascii="仿宋" w:hAnsi="仿宋" w:eastAsia="仿宋" w:cs="仿宋"/>
                <w:color w:val="auto"/>
                <w:sz w:val="24"/>
                <w:highlight w:val="none"/>
              </w:rPr>
            </w:pPr>
          </w:p>
        </w:tc>
        <w:tc>
          <w:tcPr>
            <w:tcW w:w="553" w:type="dxa"/>
          </w:tcPr>
          <w:p w14:paraId="42FA17C5">
            <w:pPr>
              <w:spacing w:line="360" w:lineRule="auto"/>
              <w:rPr>
                <w:rFonts w:hint="eastAsia" w:ascii="仿宋" w:hAnsi="仿宋" w:eastAsia="仿宋" w:cs="仿宋"/>
                <w:color w:val="auto"/>
                <w:sz w:val="24"/>
                <w:highlight w:val="none"/>
              </w:rPr>
            </w:pPr>
          </w:p>
        </w:tc>
        <w:tc>
          <w:tcPr>
            <w:tcW w:w="553" w:type="dxa"/>
          </w:tcPr>
          <w:p w14:paraId="3990FEF1">
            <w:pPr>
              <w:spacing w:line="360" w:lineRule="auto"/>
              <w:rPr>
                <w:rFonts w:hint="eastAsia" w:ascii="仿宋" w:hAnsi="仿宋" w:eastAsia="仿宋" w:cs="仿宋"/>
                <w:color w:val="auto"/>
                <w:sz w:val="24"/>
                <w:highlight w:val="none"/>
              </w:rPr>
            </w:pPr>
          </w:p>
        </w:tc>
        <w:tc>
          <w:tcPr>
            <w:tcW w:w="553" w:type="dxa"/>
          </w:tcPr>
          <w:p w14:paraId="3CE14249">
            <w:pPr>
              <w:spacing w:line="360" w:lineRule="auto"/>
              <w:rPr>
                <w:rFonts w:hint="eastAsia" w:ascii="仿宋" w:hAnsi="仿宋" w:eastAsia="仿宋" w:cs="仿宋"/>
                <w:color w:val="auto"/>
                <w:sz w:val="24"/>
                <w:highlight w:val="none"/>
              </w:rPr>
            </w:pPr>
          </w:p>
        </w:tc>
        <w:tc>
          <w:tcPr>
            <w:tcW w:w="553" w:type="dxa"/>
          </w:tcPr>
          <w:p w14:paraId="008D873D">
            <w:pPr>
              <w:spacing w:line="360" w:lineRule="auto"/>
              <w:rPr>
                <w:rFonts w:hint="eastAsia" w:ascii="仿宋" w:hAnsi="仿宋" w:eastAsia="仿宋" w:cs="仿宋"/>
                <w:color w:val="auto"/>
                <w:sz w:val="24"/>
                <w:highlight w:val="none"/>
              </w:rPr>
            </w:pPr>
          </w:p>
        </w:tc>
        <w:tc>
          <w:tcPr>
            <w:tcW w:w="553" w:type="dxa"/>
          </w:tcPr>
          <w:p w14:paraId="1C14FE83">
            <w:pPr>
              <w:spacing w:line="360" w:lineRule="auto"/>
              <w:rPr>
                <w:rFonts w:hint="eastAsia" w:ascii="仿宋" w:hAnsi="仿宋" w:eastAsia="仿宋" w:cs="仿宋"/>
                <w:color w:val="auto"/>
                <w:sz w:val="24"/>
                <w:highlight w:val="none"/>
              </w:rPr>
            </w:pPr>
          </w:p>
        </w:tc>
        <w:tc>
          <w:tcPr>
            <w:tcW w:w="553" w:type="dxa"/>
          </w:tcPr>
          <w:p w14:paraId="1A3182C5">
            <w:pPr>
              <w:spacing w:line="360" w:lineRule="auto"/>
              <w:rPr>
                <w:rFonts w:hint="eastAsia" w:ascii="仿宋" w:hAnsi="仿宋" w:eastAsia="仿宋" w:cs="仿宋"/>
                <w:color w:val="auto"/>
                <w:sz w:val="24"/>
                <w:highlight w:val="none"/>
              </w:rPr>
            </w:pPr>
          </w:p>
        </w:tc>
      </w:tr>
      <w:tr w14:paraId="026AD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DC327C9">
            <w:pPr>
              <w:spacing w:line="360" w:lineRule="auto"/>
              <w:rPr>
                <w:rFonts w:hint="eastAsia" w:ascii="仿宋" w:hAnsi="仿宋" w:eastAsia="仿宋" w:cs="仿宋"/>
                <w:color w:val="auto"/>
                <w:sz w:val="24"/>
                <w:highlight w:val="none"/>
              </w:rPr>
            </w:pPr>
          </w:p>
        </w:tc>
        <w:tc>
          <w:tcPr>
            <w:tcW w:w="552" w:type="dxa"/>
          </w:tcPr>
          <w:p w14:paraId="50A9B87B">
            <w:pPr>
              <w:spacing w:line="360" w:lineRule="auto"/>
              <w:rPr>
                <w:rFonts w:hint="eastAsia" w:ascii="仿宋" w:hAnsi="仿宋" w:eastAsia="仿宋" w:cs="仿宋"/>
                <w:color w:val="auto"/>
                <w:sz w:val="24"/>
                <w:highlight w:val="none"/>
              </w:rPr>
            </w:pPr>
          </w:p>
        </w:tc>
        <w:tc>
          <w:tcPr>
            <w:tcW w:w="552" w:type="dxa"/>
          </w:tcPr>
          <w:p w14:paraId="60613DAA">
            <w:pPr>
              <w:spacing w:line="360" w:lineRule="auto"/>
              <w:rPr>
                <w:rFonts w:hint="eastAsia" w:ascii="仿宋" w:hAnsi="仿宋" w:eastAsia="仿宋" w:cs="仿宋"/>
                <w:color w:val="auto"/>
                <w:sz w:val="24"/>
                <w:highlight w:val="none"/>
              </w:rPr>
            </w:pPr>
          </w:p>
        </w:tc>
        <w:tc>
          <w:tcPr>
            <w:tcW w:w="552" w:type="dxa"/>
          </w:tcPr>
          <w:p w14:paraId="65B15B3D">
            <w:pPr>
              <w:spacing w:line="360" w:lineRule="auto"/>
              <w:rPr>
                <w:rFonts w:hint="eastAsia" w:ascii="仿宋" w:hAnsi="仿宋" w:eastAsia="仿宋" w:cs="仿宋"/>
                <w:color w:val="auto"/>
                <w:sz w:val="24"/>
                <w:highlight w:val="none"/>
              </w:rPr>
            </w:pPr>
          </w:p>
        </w:tc>
        <w:tc>
          <w:tcPr>
            <w:tcW w:w="552" w:type="dxa"/>
          </w:tcPr>
          <w:p w14:paraId="7D9F6E8D">
            <w:pPr>
              <w:spacing w:line="360" w:lineRule="auto"/>
              <w:rPr>
                <w:rFonts w:hint="eastAsia" w:ascii="仿宋" w:hAnsi="仿宋" w:eastAsia="仿宋" w:cs="仿宋"/>
                <w:color w:val="auto"/>
                <w:sz w:val="24"/>
                <w:highlight w:val="none"/>
              </w:rPr>
            </w:pPr>
          </w:p>
        </w:tc>
        <w:tc>
          <w:tcPr>
            <w:tcW w:w="552" w:type="dxa"/>
          </w:tcPr>
          <w:p w14:paraId="0BEFDA6C">
            <w:pPr>
              <w:spacing w:line="360" w:lineRule="auto"/>
              <w:rPr>
                <w:rFonts w:hint="eastAsia" w:ascii="仿宋" w:hAnsi="仿宋" w:eastAsia="仿宋" w:cs="仿宋"/>
                <w:color w:val="auto"/>
                <w:sz w:val="24"/>
                <w:highlight w:val="none"/>
              </w:rPr>
            </w:pPr>
          </w:p>
        </w:tc>
        <w:tc>
          <w:tcPr>
            <w:tcW w:w="552" w:type="dxa"/>
          </w:tcPr>
          <w:p w14:paraId="647444F2">
            <w:pPr>
              <w:spacing w:line="360" w:lineRule="auto"/>
              <w:rPr>
                <w:rFonts w:hint="eastAsia" w:ascii="仿宋" w:hAnsi="仿宋" w:eastAsia="仿宋" w:cs="仿宋"/>
                <w:color w:val="auto"/>
                <w:sz w:val="24"/>
                <w:highlight w:val="none"/>
              </w:rPr>
            </w:pPr>
          </w:p>
        </w:tc>
        <w:tc>
          <w:tcPr>
            <w:tcW w:w="553" w:type="dxa"/>
          </w:tcPr>
          <w:p w14:paraId="5956FDD8">
            <w:pPr>
              <w:spacing w:line="360" w:lineRule="auto"/>
              <w:rPr>
                <w:rFonts w:hint="eastAsia" w:ascii="仿宋" w:hAnsi="仿宋" w:eastAsia="仿宋" w:cs="仿宋"/>
                <w:color w:val="auto"/>
                <w:sz w:val="24"/>
                <w:highlight w:val="none"/>
              </w:rPr>
            </w:pPr>
          </w:p>
        </w:tc>
        <w:tc>
          <w:tcPr>
            <w:tcW w:w="553" w:type="dxa"/>
          </w:tcPr>
          <w:p w14:paraId="77FB109E">
            <w:pPr>
              <w:spacing w:line="360" w:lineRule="auto"/>
              <w:rPr>
                <w:rFonts w:hint="eastAsia" w:ascii="仿宋" w:hAnsi="仿宋" w:eastAsia="仿宋" w:cs="仿宋"/>
                <w:color w:val="auto"/>
                <w:sz w:val="24"/>
                <w:highlight w:val="none"/>
              </w:rPr>
            </w:pPr>
          </w:p>
        </w:tc>
        <w:tc>
          <w:tcPr>
            <w:tcW w:w="553" w:type="dxa"/>
          </w:tcPr>
          <w:p w14:paraId="39F0D8E6">
            <w:pPr>
              <w:spacing w:line="360" w:lineRule="auto"/>
              <w:rPr>
                <w:rFonts w:hint="eastAsia" w:ascii="仿宋" w:hAnsi="仿宋" w:eastAsia="仿宋" w:cs="仿宋"/>
                <w:color w:val="auto"/>
                <w:sz w:val="24"/>
                <w:highlight w:val="none"/>
              </w:rPr>
            </w:pPr>
          </w:p>
        </w:tc>
        <w:tc>
          <w:tcPr>
            <w:tcW w:w="553" w:type="dxa"/>
          </w:tcPr>
          <w:p w14:paraId="29F2EFFF">
            <w:pPr>
              <w:spacing w:line="360" w:lineRule="auto"/>
              <w:rPr>
                <w:rFonts w:hint="eastAsia" w:ascii="仿宋" w:hAnsi="仿宋" w:eastAsia="仿宋" w:cs="仿宋"/>
                <w:color w:val="auto"/>
                <w:sz w:val="24"/>
                <w:highlight w:val="none"/>
              </w:rPr>
            </w:pPr>
          </w:p>
        </w:tc>
        <w:tc>
          <w:tcPr>
            <w:tcW w:w="553" w:type="dxa"/>
          </w:tcPr>
          <w:p w14:paraId="2435AF93">
            <w:pPr>
              <w:spacing w:line="360" w:lineRule="auto"/>
              <w:rPr>
                <w:rFonts w:hint="eastAsia" w:ascii="仿宋" w:hAnsi="仿宋" w:eastAsia="仿宋" w:cs="仿宋"/>
                <w:color w:val="auto"/>
                <w:sz w:val="24"/>
                <w:highlight w:val="none"/>
              </w:rPr>
            </w:pPr>
          </w:p>
        </w:tc>
        <w:tc>
          <w:tcPr>
            <w:tcW w:w="553" w:type="dxa"/>
          </w:tcPr>
          <w:p w14:paraId="0A928537">
            <w:pPr>
              <w:spacing w:line="360" w:lineRule="auto"/>
              <w:rPr>
                <w:rFonts w:hint="eastAsia" w:ascii="仿宋" w:hAnsi="仿宋" w:eastAsia="仿宋" w:cs="仿宋"/>
                <w:color w:val="auto"/>
                <w:sz w:val="24"/>
                <w:highlight w:val="none"/>
              </w:rPr>
            </w:pPr>
          </w:p>
        </w:tc>
        <w:tc>
          <w:tcPr>
            <w:tcW w:w="553" w:type="dxa"/>
          </w:tcPr>
          <w:p w14:paraId="466B7B7D">
            <w:pPr>
              <w:spacing w:line="360" w:lineRule="auto"/>
              <w:rPr>
                <w:rFonts w:hint="eastAsia" w:ascii="仿宋" w:hAnsi="仿宋" w:eastAsia="仿宋" w:cs="仿宋"/>
                <w:color w:val="auto"/>
                <w:sz w:val="24"/>
                <w:highlight w:val="none"/>
              </w:rPr>
            </w:pPr>
          </w:p>
        </w:tc>
        <w:tc>
          <w:tcPr>
            <w:tcW w:w="553" w:type="dxa"/>
          </w:tcPr>
          <w:p w14:paraId="3AF2312C">
            <w:pPr>
              <w:spacing w:line="360" w:lineRule="auto"/>
              <w:rPr>
                <w:rFonts w:hint="eastAsia" w:ascii="仿宋" w:hAnsi="仿宋" w:eastAsia="仿宋" w:cs="仿宋"/>
                <w:color w:val="auto"/>
                <w:sz w:val="24"/>
                <w:highlight w:val="none"/>
              </w:rPr>
            </w:pPr>
          </w:p>
        </w:tc>
        <w:tc>
          <w:tcPr>
            <w:tcW w:w="553" w:type="dxa"/>
          </w:tcPr>
          <w:p w14:paraId="461CFA68">
            <w:pPr>
              <w:spacing w:line="360" w:lineRule="auto"/>
              <w:rPr>
                <w:rFonts w:hint="eastAsia" w:ascii="仿宋" w:hAnsi="仿宋" w:eastAsia="仿宋" w:cs="仿宋"/>
                <w:color w:val="auto"/>
                <w:sz w:val="24"/>
                <w:highlight w:val="none"/>
              </w:rPr>
            </w:pPr>
          </w:p>
        </w:tc>
        <w:tc>
          <w:tcPr>
            <w:tcW w:w="553" w:type="dxa"/>
          </w:tcPr>
          <w:p w14:paraId="3412DE43">
            <w:pPr>
              <w:spacing w:line="360" w:lineRule="auto"/>
              <w:rPr>
                <w:rFonts w:hint="eastAsia" w:ascii="仿宋" w:hAnsi="仿宋" w:eastAsia="仿宋" w:cs="仿宋"/>
                <w:color w:val="auto"/>
                <w:sz w:val="24"/>
                <w:highlight w:val="none"/>
              </w:rPr>
            </w:pPr>
          </w:p>
        </w:tc>
      </w:tr>
      <w:tr w14:paraId="1385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B1F9759">
            <w:pPr>
              <w:spacing w:line="360" w:lineRule="auto"/>
              <w:rPr>
                <w:rFonts w:hint="eastAsia" w:ascii="仿宋" w:hAnsi="仿宋" w:eastAsia="仿宋" w:cs="仿宋"/>
                <w:color w:val="auto"/>
                <w:sz w:val="24"/>
                <w:highlight w:val="none"/>
              </w:rPr>
            </w:pPr>
          </w:p>
        </w:tc>
        <w:tc>
          <w:tcPr>
            <w:tcW w:w="552" w:type="dxa"/>
          </w:tcPr>
          <w:p w14:paraId="2A36F2DB">
            <w:pPr>
              <w:spacing w:line="360" w:lineRule="auto"/>
              <w:rPr>
                <w:rFonts w:hint="eastAsia" w:ascii="仿宋" w:hAnsi="仿宋" w:eastAsia="仿宋" w:cs="仿宋"/>
                <w:color w:val="auto"/>
                <w:sz w:val="24"/>
                <w:highlight w:val="none"/>
              </w:rPr>
            </w:pPr>
          </w:p>
        </w:tc>
        <w:tc>
          <w:tcPr>
            <w:tcW w:w="552" w:type="dxa"/>
          </w:tcPr>
          <w:p w14:paraId="45118585">
            <w:pPr>
              <w:spacing w:line="360" w:lineRule="auto"/>
              <w:rPr>
                <w:rFonts w:hint="eastAsia" w:ascii="仿宋" w:hAnsi="仿宋" w:eastAsia="仿宋" w:cs="仿宋"/>
                <w:color w:val="auto"/>
                <w:sz w:val="24"/>
                <w:highlight w:val="none"/>
              </w:rPr>
            </w:pPr>
          </w:p>
        </w:tc>
        <w:tc>
          <w:tcPr>
            <w:tcW w:w="552" w:type="dxa"/>
          </w:tcPr>
          <w:p w14:paraId="1ED282C5">
            <w:pPr>
              <w:spacing w:line="360" w:lineRule="auto"/>
              <w:rPr>
                <w:rFonts w:hint="eastAsia" w:ascii="仿宋" w:hAnsi="仿宋" w:eastAsia="仿宋" w:cs="仿宋"/>
                <w:color w:val="auto"/>
                <w:sz w:val="24"/>
                <w:highlight w:val="none"/>
              </w:rPr>
            </w:pPr>
          </w:p>
        </w:tc>
        <w:tc>
          <w:tcPr>
            <w:tcW w:w="552" w:type="dxa"/>
          </w:tcPr>
          <w:p w14:paraId="7381A3CC">
            <w:pPr>
              <w:spacing w:line="360" w:lineRule="auto"/>
              <w:rPr>
                <w:rFonts w:hint="eastAsia" w:ascii="仿宋" w:hAnsi="仿宋" w:eastAsia="仿宋" w:cs="仿宋"/>
                <w:color w:val="auto"/>
                <w:sz w:val="24"/>
                <w:highlight w:val="none"/>
              </w:rPr>
            </w:pPr>
          </w:p>
        </w:tc>
        <w:tc>
          <w:tcPr>
            <w:tcW w:w="552" w:type="dxa"/>
          </w:tcPr>
          <w:p w14:paraId="512D30B5">
            <w:pPr>
              <w:spacing w:line="360" w:lineRule="auto"/>
              <w:rPr>
                <w:rFonts w:hint="eastAsia" w:ascii="仿宋" w:hAnsi="仿宋" w:eastAsia="仿宋" w:cs="仿宋"/>
                <w:color w:val="auto"/>
                <w:sz w:val="24"/>
                <w:highlight w:val="none"/>
              </w:rPr>
            </w:pPr>
          </w:p>
        </w:tc>
        <w:tc>
          <w:tcPr>
            <w:tcW w:w="552" w:type="dxa"/>
          </w:tcPr>
          <w:p w14:paraId="61C2796A">
            <w:pPr>
              <w:spacing w:line="360" w:lineRule="auto"/>
              <w:rPr>
                <w:rFonts w:hint="eastAsia" w:ascii="仿宋" w:hAnsi="仿宋" w:eastAsia="仿宋" w:cs="仿宋"/>
                <w:color w:val="auto"/>
                <w:sz w:val="24"/>
                <w:highlight w:val="none"/>
              </w:rPr>
            </w:pPr>
          </w:p>
        </w:tc>
        <w:tc>
          <w:tcPr>
            <w:tcW w:w="553" w:type="dxa"/>
          </w:tcPr>
          <w:p w14:paraId="1CA95CD4">
            <w:pPr>
              <w:spacing w:line="360" w:lineRule="auto"/>
              <w:rPr>
                <w:rFonts w:hint="eastAsia" w:ascii="仿宋" w:hAnsi="仿宋" w:eastAsia="仿宋" w:cs="仿宋"/>
                <w:color w:val="auto"/>
                <w:sz w:val="24"/>
                <w:highlight w:val="none"/>
              </w:rPr>
            </w:pPr>
          </w:p>
        </w:tc>
        <w:tc>
          <w:tcPr>
            <w:tcW w:w="553" w:type="dxa"/>
          </w:tcPr>
          <w:p w14:paraId="0EC00187">
            <w:pPr>
              <w:spacing w:line="360" w:lineRule="auto"/>
              <w:rPr>
                <w:rFonts w:hint="eastAsia" w:ascii="仿宋" w:hAnsi="仿宋" w:eastAsia="仿宋" w:cs="仿宋"/>
                <w:color w:val="auto"/>
                <w:sz w:val="24"/>
                <w:highlight w:val="none"/>
              </w:rPr>
            </w:pPr>
          </w:p>
        </w:tc>
        <w:tc>
          <w:tcPr>
            <w:tcW w:w="553" w:type="dxa"/>
          </w:tcPr>
          <w:p w14:paraId="1DF064A8">
            <w:pPr>
              <w:spacing w:line="360" w:lineRule="auto"/>
              <w:rPr>
                <w:rFonts w:hint="eastAsia" w:ascii="仿宋" w:hAnsi="仿宋" w:eastAsia="仿宋" w:cs="仿宋"/>
                <w:color w:val="auto"/>
                <w:sz w:val="24"/>
                <w:highlight w:val="none"/>
              </w:rPr>
            </w:pPr>
          </w:p>
        </w:tc>
        <w:tc>
          <w:tcPr>
            <w:tcW w:w="553" w:type="dxa"/>
          </w:tcPr>
          <w:p w14:paraId="72110C36">
            <w:pPr>
              <w:spacing w:line="360" w:lineRule="auto"/>
              <w:rPr>
                <w:rFonts w:hint="eastAsia" w:ascii="仿宋" w:hAnsi="仿宋" w:eastAsia="仿宋" w:cs="仿宋"/>
                <w:color w:val="auto"/>
                <w:sz w:val="24"/>
                <w:highlight w:val="none"/>
              </w:rPr>
            </w:pPr>
          </w:p>
        </w:tc>
        <w:tc>
          <w:tcPr>
            <w:tcW w:w="553" w:type="dxa"/>
          </w:tcPr>
          <w:p w14:paraId="1B4E8211">
            <w:pPr>
              <w:spacing w:line="360" w:lineRule="auto"/>
              <w:rPr>
                <w:rFonts w:hint="eastAsia" w:ascii="仿宋" w:hAnsi="仿宋" w:eastAsia="仿宋" w:cs="仿宋"/>
                <w:color w:val="auto"/>
                <w:sz w:val="24"/>
                <w:highlight w:val="none"/>
              </w:rPr>
            </w:pPr>
          </w:p>
        </w:tc>
        <w:tc>
          <w:tcPr>
            <w:tcW w:w="553" w:type="dxa"/>
          </w:tcPr>
          <w:p w14:paraId="41E053F4">
            <w:pPr>
              <w:spacing w:line="360" w:lineRule="auto"/>
              <w:rPr>
                <w:rFonts w:hint="eastAsia" w:ascii="仿宋" w:hAnsi="仿宋" w:eastAsia="仿宋" w:cs="仿宋"/>
                <w:color w:val="auto"/>
                <w:sz w:val="24"/>
                <w:highlight w:val="none"/>
              </w:rPr>
            </w:pPr>
          </w:p>
        </w:tc>
        <w:tc>
          <w:tcPr>
            <w:tcW w:w="553" w:type="dxa"/>
          </w:tcPr>
          <w:p w14:paraId="27251C83">
            <w:pPr>
              <w:spacing w:line="360" w:lineRule="auto"/>
              <w:rPr>
                <w:rFonts w:hint="eastAsia" w:ascii="仿宋" w:hAnsi="仿宋" w:eastAsia="仿宋" w:cs="仿宋"/>
                <w:color w:val="auto"/>
                <w:sz w:val="24"/>
                <w:highlight w:val="none"/>
              </w:rPr>
            </w:pPr>
          </w:p>
        </w:tc>
        <w:tc>
          <w:tcPr>
            <w:tcW w:w="553" w:type="dxa"/>
          </w:tcPr>
          <w:p w14:paraId="442CA73B">
            <w:pPr>
              <w:spacing w:line="360" w:lineRule="auto"/>
              <w:rPr>
                <w:rFonts w:hint="eastAsia" w:ascii="仿宋" w:hAnsi="仿宋" w:eastAsia="仿宋" w:cs="仿宋"/>
                <w:color w:val="auto"/>
                <w:sz w:val="24"/>
                <w:highlight w:val="none"/>
              </w:rPr>
            </w:pPr>
          </w:p>
        </w:tc>
        <w:tc>
          <w:tcPr>
            <w:tcW w:w="553" w:type="dxa"/>
          </w:tcPr>
          <w:p w14:paraId="538FD866">
            <w:pPr>
              <w:spacing w:line="360" w:lineRule="auto"/>
              <w:rPr>
                <w:rFonts w:hint="eastAsia" w:ascii="仿宋" w:hAnsi="仿宋" w:eastAsia="仿宋" w:cs="仿宋"/>
                <w:color w:val="auto"/>
                <w:sz w:val="24"/>
                <w:highlight w:val="none"/>
              </w:rPr>
            </w:pPr>
          </w:p>
        </w:tc>
        <w:tc>
          <w:tcPr>
            <w:tcW w:w="553" w:type="dxa"/>
          </w:tcPr>
          <w:p w14:paraId="1AE5FCF4">
            <w:pPr>
              <w:spacing w:line="360" w:lineRule="auto"/>
              <w:rPr>
                <w:rFonts w:hint="eastAsia" w:ascii="仿宋" w:hAnsi="仿宋" w:eastAsia="仿宋" w:cs="仿宋"/>
                <w:color w:val="auto"/>
                <w:sz w:val="24"/>
                <w:highlight w:val="none"/>
              </w:rPr>
            </w:pPr>
          </w:p>
        </w:tc>
      </w:tr>
      <w:tr w14:paraId="312D8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03252AC">
            <w:pPr>
              <w:spacing w:line="360" w:lineRule="auto"/>
              <w:rPr>
                <w:rFonts w:hint="eastAsia" w:ascii="仿宋" w:hAnsi="仿宋" w:eastAsia="仿宋" w:cs="仿宋"/>
                <w:color w:val="auto"/>
                <w:sz w:val="24"/>
                <w:highlight w:val="none"/>
              </w:rPr>
            </w:pPr>
          </w:p>
        </w:tc>
        <w:tc>
          <w:tcPr>
            <w:tcW w:w="552" w:type="dxa"/>
          </w:tcPr>
          <w:p w14:paraId="7B28CEFE">
            <w:pPr>
              <w:spacing w:line="360" w:lineRule="auto"/>
              <w:rPr>
                <w:rFonts w:hint="eastAsia" w:ascii="仿宋" w:hAnsi="仿宋" w:eastAsia="仿宋" w:cs="仿宋"/>
                <w:color w:val="auto"/>
                <w:sz w:val="24"/>
                <w:highlight w:val="none"/>
              </w:rPr>
            </w:pPr>
          </w:p>
        </w:tc>
        <w:tc>
          <w:tcPr>
            <w:tcW w:w="552" w:type="dxa"/>
          </w:tcPr>
          <w:p w14:paraId="0ACA66C1">
            <w:pPr>
              <w:spacing w:line="360" w:lineRule="auto"/>
              <w:rPr>
                <w:rFonts w:hint="eastAsia" w:ascii="仿宋" w:hAnsi="仿宋" w:eastAsia="仿宋" w:cs="仿宋"/>
                <w:color w:val="auto"/>
                <w:sz w:val="24"/>
                <w:highlight w:val="none"/>
              </w:rPr>
            </w:pPr>
          </w:p>
        </w:tc>
        <w:tc>
          <w:tcPr>
            <w:tcW w:w="552" w:type="dxa"/>
          </w:tcPr>
          <w:p w14:paraId="126ECC12">
            <w:pPr>
              <w:spacing w:line="360" w:lineRule="auto"/>
              <w:rPr>
                <w:rFonts w:hint="eastAsia" w:ascii="仿宋" w:hAnsi="仿宋" w:eastAsia="仿宋" w:cs="仿宋"/>
                <w:color w:val="auto"/>
                <w:sz w:val="24"/>
                <w:highlight w:val="none"/>
              </w:rPr>
            </w:pPr>
          </w:p>
        </w:tc>
        <w:tc>
          <w:tcPr>
            <w:tcW w:w="552" w:type="dxa"/>
          </w:tcPr>
          <w:p w14:paraId="733A5A7B">
            <w:pPr>
              <w:spacing w:line="360" w:lineRule="auto"/>
              <w:rPr>
                <w:rFonts w:hint="eastAsia" w:ascii="仿宋" w:hAnsi="仿宋" w:eastAsia="仿宋" w:cs="仿宋"/>
                <w:color w:val="auto"/>
                <w:sz w:val="24"/>
                <w:highlight w:val="none"/>
              </w:rPr>
            </w:pPr>
          </w:p>
        </w:tc>
        <w:tc>
          <w:tcPr>
            <w:tcW w:w="552" w:type="dxa"/>
          </w:tcPr>
          <w:p w14:paraId="6503921C">
            <w:pPr>
              <w:spacing w:line="360" w:lineRule="auto"/>
              <w:rPr>
                <w:rFonts w:hint="eastAsia" w:ascii="仿宋" w:hAnsi="仿宋" w:eastAsia="仿宋" w:cs="仿宋"/>
                <w:color w:val="auto"/>
                <w:sz w:val="24"/>
                <w:highlight w:val="none"/>
              </w:rPr>
            </w:pPr>
          </w:p>
        </w:tc>
        <w:tc>
          <w:tcPr>
            <w:tcW w:w="552" w:type="dxa"/>
          </w:tcPr>
          <w:p w14:paraId="0AF14377">
            <w:pPr>
              <w:spacing w:line="360" w:lineRule="auto"/>
              <w:rPr>
                <w:rFonts w:hint="eastAsia" w:ascii="仿宋" w:hAnsi="仿宋" w:eastAsia="仿宋" w:cs="仿宋"/>
                <w:color w:val="auto"/>
                <w:sz w:val="24"/>
                <w:highlight w:val="none"/>
              </w:rPr>
            </w:pPr>
          </w:p>
        </w:tc>
        <w:tc>
          <w:tcPr>
            <w:tcW w:w="553" w:type="dxa"/>
          </w:tcPr>
          <w:p w14:paraId="4F90012D">
            <w:pPr>
              <w:spacing w:line="360" w:lineRule="auto"/>
              <w:rPr>
                <w:rFonts w:hint="eastAsia" w:ascii="仿宋" w:hAnsi="仿宋" w:eastAsia="仿宋" w:cs="仿宋"/>
                <w:color w:val="auto"/>
                <w:sz w:val="24"/>
                <w:highlight w:val="none"/>
              </w:rPr>
            </w:pPr>
          </w:p>
        </w:tc>
        <w:tc>
          <w:tcPr>
            <w:tcW w:w="553" w:type="dxa"/>
          </w:tcPr>
          <w:p w14:paraId="21E538C2">
            <w:pPr>
              <w:spacing w:line="360" w:lineRule="auto"/>
              <w:rPr>
                <w:rFonts w:hint="eastAsia" w:ascii="仿宋" w:hAnsi="仿宋" w:eastAsia="仿宋" w:cs="仿宋"/>
                <w:color w:val="auto"/>
                <w:sz w:val="24"/>
                <w:highlight w:val="none"/>
              </w:rPr>
            </w:pPr>
          </w:p>
        </w:tc>
        <w:tc>
          <w:tcPr>
            <w:tcW w:w="553" w:type="dxa"/>
          </w:tcPr>
          <w:p w14:paraId="77A1BE45">
            <w:pPr>
              <w:spacing w:line="360" w:lineRule="auto"/>
              <w:rPr>
                <w:rFonts w:hint="eastAsia" w:ascii="仿宋" w:hAnsi="仿宋" w:eastAsia="仿宋" w:cs="仿宋"/>
                <w:color w:val="auto"/>
                <w:sz w:val="24"/>
                <w:highlight w:val="none"/>
              </w:rPr>
            </w:pPr>
          </w:p>
        </w:tc>
        <w:tc>
          <w:tcPr>
            <w:tcW w:w="553" w:type="dxa"/>
          </w:tcPr>
          <w:p w14:paraId="68B52B4E">
            <w:pPr>
              <w:spacing w:line="360" w:lineRule="auto"/>
              <w:rPr>
                <w:rFonts w:hint="eastAsia" w:ascii="仿宋" w:hAnsi="仿宋" w:eastAsia="仿宋" w:cs="仿宋"/>
                <w:color w:val="auto"/>
                <w:sz w:val="24"/>
                <w:highlight w:val="none"/>
              </w:rPr>
            </w:pPr>
          </w:p>
        </w:tc>
        <w:tc>
          <w:tcPr>
            <w:tcW w:w="553" w:type="dxa"/>
          </w:tcPr>
          <w:p w14:paraId="4C2D0C92">
            <w:pPr>
              <w:spacing w:line="360" w:lineRule="auto"/>
              <w:rPr>
                <w:rFonts w:hint="eastAsia" w:ascii="仿宋" w:hAnsi="仿宋" w:eastAsia="仿宋" w:cs="仿宋"/>
                <w:color w:val="auto"/>
                <w:sz w:val="24"/>
                <w:highlight w:val="none"/>
              </w:rPr>
            </w:pPr>
          </w:p>
        </w:tc>
        <w:tc>
          <w:tcPr>
            <w:tcW w:w="553" w:type="dxa"/>
          </w:tcPr>
          <w:p w14:paraId="62CAEB00">
            <w:pPr>
              <w:spacing w:line="360" w:lineRule="auto"/>
              <w:rPr>
                <w:rFonts w:hint="eastAsia" w:ascii="仿宋" w:hAnsi="仿宋" w:eastAsia="仿宋" w:cs="仿宋"/>
                <w:color w:val="auto"/>
                <w:sz w:val="24"/>
                <w:highlight w:val="none"/>
              </w:rPr>
            </w:pPr>
          </w:p>
        </w:tc>
        <w:tc>
          <w:tcPr>
            <w:tcW w:w="553" w:type="dxa"/>
          </w:tcPr>
          <w:p w14:paraId="2D5CBB85">
            <w:pPr>
              <w:spacing w:line="360" w:lineRule="auto"/>
              <w:rPr>
                <w:rFonts w:hint="eastAsia" w:ascii="仿宋" w:hAnsi="仿宋" w:eastAsia="仿宋" w:cs="仿宋"/>
                <w:color w:val="auto"/>
                <w:sz w:val="24"/>
                <w:highlight w:val="none"/>
              </w:rPr>
            </w:pPr>
          </w:p>
        </w:tc>
        <w:tc>
          <w:tcPr>
            <w:tcW w:w="553" w:type="dxa"/>
          </w:tcPr>
          <w:p w14:paraId="156BEC8D">
            <w:pPr>
              <w:spacing w:line="360" w:lineRule="auto"/>
              <w:rPr>
                <w:rFonts w:hint="eastAsia" w:ascii="仿宋" w:hAnsi="仿宋" w:eastAsia="仿宋" w:cs="仿宋"/>
                <w:color w:val="auto"/>
                <w:sz w:val="24"/>
                <w:highlight w:val="none"/>
              </w:rPr>
            </w:pPr>
          </w:p>
        </w:tc>
        <w:tc>
          <w:tcPr>
            <w:tcW w:w="553" w:type="dxa"/>
          </w:tcPr>
          <w:p w14:paraId="29B981DA">
            <w:pPr>
              <w:spacing w:line="360" w:lineRule="auto"/>
              <w:rPr>
                <w:rFonts w:hint="eastAsia" w:ascii="仿宋" w:hAnsi="仿宋" w:eastAsia="仿宋" w:cs="仿宋"/>
                <w:color w:val="auto"/>
                <w:sz w:val="24"/>
                <w:highlight w:val="none"/>
              </w:rPr>
            </w:pPr>
          </w:p>
        </w:tc>
        <w:tc>
          <w:tcPr>
            <w:tcW w:w="553" w:type="dxa"/>
          </w:tcPr>
          <w:p w14:paraId="13FDD08C">
            <w:pPr>
              <w:spacing w:line="360" w:lineRule="auto"/>
              <w:rPr>
                <w:rFonts w:hint="eastAsia" w:ascii="仿宋" w:hAnsi="仿宋" w:eastAsia="仿宋" w:cs="仿宋"/>
                <w:color w:val="auto"/>
                <w:sz w:val="24"/>
                <w:highlight w:val="none"/>
              </w:rPr>
            </w:pPr>
          </w:p>
        </w:tc>
      </w:tr>
      <w:tr w14:paraId="3DF4B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B261B19">
            <w:pPr>
              <w:spacing w:line="360" w:lineRule="auto"/>
              <w:rPr>
                <w:rFonts w:hint="eastAsia" w:ascii="仿宋" w:hAnsi="仿宋" w:eastAsia="仿宋" w:cs="仿宋"/>
                <w:color w:val="auto"/>
                <w:sz w:val="24"/>
                <w:highlight w:val="none"/>
              </w:rPr>
            </w:pPr>
          </w:p>
        </w:tc>
        <w:tc>
          <w:tcPr>
            <w:tcW w:w="552" w:type="dxa"/>
          </w:tcPr>
          <w:p w14:paraId="70A92588">
            <w:pPr>
              <w:spacing w:line="360" w:lineRule="auto"/>
              <w:rPr>
                <w:rFonts w:hint="eastAsia" w:ascii="仿宋" w:hAnsi="仿宋" w:eastAsia="仿宋" w:cs="仿宋"/>
                <w:color w:val="auto"/>
                <w:sz w:val="24"/>
                <w:highlight w:val="none"/>
              </w:rPr>
            </w:pPr>
          </w:p>
        </w:tc>
        <w:tc>
          <w:tcPr>
            <w:tcW w:w="552" w:type="dxa"/>
          </w:tcPr>
          <w:p w14:paraId="70758C13">
            <w:pPr>
              <w:spacing w:line="360" w:lineRule="auto"/>
              <w:rPr>
                <w:rFonts w:hint="eastAsia" w:ascii="仿宋" w:hAnsi="仿宋" w:eastAsia="仿宋" w:cs="仿宋"/>
                <w:color w:val="auto"/>
                <w:sz w:val="24"/>
                <w:highlight w:val="none"/>
              </w:rPr>
            </w:pPr>
          </w:p>
        </w:tc>
        <w:tc>
          <w:tcPr>
            <w:tcW w:w="552" w:type="dxa"/>
          </w:tcPr>
          <w:p w14:paraId="735C05A2">
            <w:pPr>
              <w:spacing w:line="360" w:lineRule="auto"/>
              <w:rPr>
                <w:rFonts w:hint="eastAsia" w:ascii="仿宋" w:hAnsi="仿宋" w:eastAsia="仿宋" w:cs="仿宋"/>
                <w:color w:val="auto"/>
                <w:sz w:val="24"/>
                <w:highlight w:val="none"/>
              </w:rPr>
            </w:pPr>
          </w:p>
        </w:tc>
        <w:tc>
          <w:tcPr>
            <w:tcW w:w="552" w:type="dxa"/>
          </w:tcPr>
          <w:p w14:paraId="6638DB38">
            <w:pPr>
              <w:spacing w:line="360" w:lineRule="auto"/>
              <w:rPr>
                <w:rFonts w:hint="eastAsia" w:ascii="仿宋" w:hAnsi="仿宋" w:eastAsia="仿宋" w:cs="仿宋"/>
                <w:color w:val="auto"/>
                <w:sz w:val="24"/>
                <w:highlight w:val="none"/>
              </w:rPr>
            </w:pPr>
          </w:p>
        </w:tc>
        <w:tc>
          <w:tcPr>
            <w:tcW w:w="552" w:type="dxa"/>
          </w:tcPr>
          <w:p w14:paraId="6AD346F8">
            <w:pPr>
              <w:spacing w:line="360" w:lineRule="auto"/>
              <w:rPr>
                <w:rFonts w:hint="eastAsia" w:ascii="仿宋" w:hAnsi="仿宋" w:eastAsia="仿宋" w:cs="仿宋"/>
                <w:color w:val="auto"/>
                <w:sz w:val="24"/>
                <w:highlight w:val="none"/>
              </w:rPr>
            </w:pPr>
          </w:p>
        </w:tc>
        <w:tc>
          <w:tcPr>
            <w:tcW w:w="552" w:type="dxa"/>
          </w:tcPr>
          <w:p w14:paraId="5A4B4B06">
            <w:pPr>
              <w:spacing w:line="360" w:lineRule="auto"/>
              <w:rPr>
                <w:rFonts w:hint="eastAsia" w:ascii="仿宋" w:hAnsi="仿宋" w:eastAsia="仿宋" w:cs="仿宋"/>
                <w:color w:val="auto"/>
                <w:sz w:val="24"/>
                <w:highlight w:val="none"/>
              </w:rPr>
            </w:pPr>
          </w:p>
        </w:tc>
        <w:tc>
          <w:tcPr>
            <w:tcW w:w="553" w:type="dxa"/>
          </w:tcPr>
          <w:p w14:paraId="519FD187">
            <w:pPr>
              <w:spacing w:line="360" w:lineRule="auto"/>
              <w:rPr>
                <w:rFonts w:hint="eastAsia" w:ascii="仿宋" w:hAnsi="仿宋" w:eastAsia="仿宋" w:cs="仿宋"/>
                <w:color w:val="auto"/>
                <w:sz w:val="24"/>
                <w:highlight w:val="none"/>
              </w:rPr>
            </w:pPr>
          </w:p>
        </w:tc>
        <w:tc>
          <w:tcPr>
            <w:tcW w:w="553" w:type="dxa"/>
          </w:tcPr>
          <w:p w14:paraId="4AEBCFB4">
            <w:pPr>
              <w:spacing w:line="360" w:lineRule="auto"/>
              <w:rPr>
                <w:rFonts w:hint="eastAsia" w:ascii="仿宋" w:hAnsi="仿宋" w:eastAsia="仿宋" w:cs="仿宋"/>
                <w:color w:val="auto"/>
                <w:sz w:val="24"/>
                <w:highlight w:val="none"/>
              </w:rPr>
            </w:pPr>
          </w:p>
        </w:tc>
        <w:tc>
          <w:tcPr>
            <w:tcW w:w="553" w:type="dxa"/>
          </w:tcPr>
          <w:p w14:paraId="4BCB212B">
            <w:pPr>
              <w:spacing w:line="360" w:lineRule="auto"/>
              <w:rPr>
                <w:rFonts w:hint="eastAsia" w:ascii="仿宋" w:hAnsi="仿宋" w:eastAsia="仿宋" w:cs="仿宋"/>
                <w:color w:val="auto"/>
                <w:sz w:val="24"/>
                <w:highlight w:val="none"/>
              </w:rPr>
            </w:pPr>
          </w:p>
        </w:tc>
        <w:tc>
          <w:tcPr>
            <w:tcW w:w="553" w:type="dxa"/>
          </w:tcPr>
          <w:p w14:paraId="67923300">
            <w:pPr>
              <w:spacing w:line="360" w:lineRule="auto"/>
              <w:rPr>
                <w:rFonts w:hint="eastAsia" w:ascii="仿宋" w:hAnsi="仿宋" w:eastAsia="仿宋" w:cs="仿宋"/>
                <w:color w:val="auto"/>
                <w:sz w:val="24"/>
                <w:highlight w:val="none"/>
              </w:rPr>
            </w:pPr>
          </w:p>
        </w:tc>
        <w:tc>
          <w:tcPr>
            <w:tcW w:w="553" w:type="dxa"/>
          </w:tcPr>
          <w:p w14:paraId="35A9D03A">
            <w:pPr>
              <w:spacing w:line="360" w:lineRule="auto"/>
              <w:rPr>
                <w:rFonts w:hint="eastAsia" w:ascii="仿宋" w:hAnsi="仿宋" w:eastAsia="仿宋" w:cs="仿宋"/>
                <w:color w:val="auto"/>
                <w:sz w:val="24"/>
                <w:highlight w:val="none"/>
              </w:rPr>
            </w:pPr>
          </w:p>
        </w:tc>
        <w:tc>
          <w:tcPr>
            <w:tcW w:w="553" w:type="dxa"/>
          </w:tcPr>
          <w:p w14:paraId="56771E23">
            <w:pPr>
              <w:spacing w:line="360" w:lineRule="auto"/>
              <w:rPr>
                <w:rFonts w:hint="eastAsia" w:ascii="仿宋" w:hAnsi="仿宋" w:eastAsia="仿宋" w:cs="仿宋"/>
                <w:color w:val="auto"/>
                <w:sz w:val="24"/>
                <w:highlight w:val="none"/>
              </w:rPr>
            </w:pPr>
          </w:p>
        </w:tc>
        <w:tc>
          <w:tcPr>
            <w:tcW w:w="553" w:type="dxa"/>
          </w:tcPr>
          <w:p w14:paraId="6225A6D8">
            <w:pPr>
              <w:spacing w:line="360" w:lineRule="auto"/>
              <w:rPr>
                <w:rFonts w:hint="eastAsia" w:ascii="仿宋" w:hAnsi="仿宋" w:eastAsia="仿宋" w:cs="仿宋"/>
                <w:color w:val="auto"/>
                <w:sz w:val="24"/>
                <w:highlight w:val="none"/>
              </w:rPr>
            </w:pPr>
          </w:p>
        </w:tc>
        <w:tc>
          <w:tcPr>
            <w:tcW w:w="553" w:type="dxa"/>
          </w:tcPr>
          <w:p w14:paraId="42091A17">
            <w:pPr>
              <w:spacing w:line="360" w:lineRule="auto"/>
              <w:rPr>
                <w:rFonts w:hint="eastAsia" w:ascii="仿宋" w:hAnsi="仿宋" w:eastAsia="仿宋" w:cs="仿宋"/>
                <w:color w:val="auto"/>
                <w:sz w:val="24"/>
                <w:highlight w:val="none"/>
              </w:rPr>
            </w:pPr>
          </w:p>
        </w:tc>
        <w:tc>
          <w:tcPr>
            <w:tcW w:w="553" w:type="dxa"/>
          </w:tcPr>
          <w:p w14:paraId="192418CD">
            <w:pPr>
              <w:spacing w:line="360" w:lineRule="auto"/>
              <w:rPr>
                <w:rFonts w:hint="eastAsia" w:ascii="仿宋" w:hAnsi="仿宋" w:eastAsia="仿宋" w:cs="仿宋"/>
                <w:color w:val="auto"/>
                <w:sz w:val="24"/>
                <w:highlight w:val="none"/>
              </w:rPr>
            </w:pPr>
          </w:p>
        </w:tc>
        <w:tc>
          <w:tcPr>
            <w:tcW w:w="553" w:type="dxa"/>
          </w:tcPr>
          <w:p w14:paraId="31DA7FBA">
            <w:pPr>
              <w:spacing w:line="360" w:lineRule="auto"/>
              <w:rPr>
                <w:rFonts w:hint="eastAsia" w:ascii="仿宋" w:hAnsi="仿宋" w:eastAsia="仿宋" w:cs="仿宋"/>
                <w:color w:val="auto"/>
                <w:sz w:val="24"/>
                <w:highlight w:val="none"/>
              </w:rPr>
            </w:pPr>
          </w:p>
        </w:tc>
      </w:tr>
      <w:tr w14:paraId="57DE9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337DD69">
            <w:pPr>
              <w:spacing w:line="360" w:lineRule="auto"/>
              <w:rPr>
                <w:rFonts w:hint="eastAsia" w:ascii="仿宋" w:hAnsi="仿宋" w:eastAsia="仿宋" w:cs="仿宋"/>
                <w:color w:val="auto"/>
                <w:sz w:val="24"/>
                <w:highlight w:val="none"/>
              </w:rPr>
            </w:pPr>
          </w:p>
        </w:tc>
        <w:tc>
          <w:tcPr>
            <w:tcW w:w="552" w:type="dxa"/>
          </w:tcPr>
          <w:p w14:paraId="4253ADDB">
            <w:pPr>
              <w:spacing w:line="360" w:lineRule="auto"/>
              <w:rPr>
                <w:rFonts w:hint="eastAsia" w:ascii="仿宋" w:hAnsi="仿宋" w:eastAsia="仿宋" w:cs="仿宋"/>
                <w:color w:val="auto"/>
                <w:sz w:val="24"/>
                <w:highlight w:val="none"/>
              </w:rPr>
            </w:pPr>
          </w:p>
        </w:tc>
        <w:tc>
          <w:tcPr>
            <w:tcW w:w="552" w:type="dxa"/>
          </w:tcPr>
          <w:p w14:paraId="0F2BE2F2">
            <w:pPr>
              <w:spacing w:line="360" w:lineRule="auto"/>
              <w:rPr>
                <w:rFonts w:hint="eastAsia" w:ascii="仿宋" w:hAnsi="仿宋" w:eastAsia="仿宋" w:cs="仿宋"/>
                <w:color w:val="auto"/>
                <w:sz w:val="24"/>
                <w:highlight w:val="none"/>
              </w:rPr>
            </w:pPr>
          </w:p>
        </w:tc>
        <w:tc>
          <w:tcPr>
            <w:tcW w:w="552" w:type="dxa"/>
          </w:tcPr>
          <w:p w14:paraId="276E8AFA">
            <w:pPr>
              <w:spacing w:line="360" w:lineRule="auto"/>
              <w:rPr>
                <w:rFonts w:hint="eastAsia" w:ascii="仿宋" w:hAnsi="仿宋" w:eastAsia="仿宋" w:cs="仿宋"/>
                <w:color w:val="auto"/>
                <w:sz w:val="24"/>
                <w:highlight w:val="none"/>
              </w:rPr>
            </w:pPr>
          </w:p>
        </w:tc>
        <w:tc>
          <w:tcPr>
            <w:tcW w:w="552" w:type="dxa"/>
          </w:tcPr>
          <w:p w14:paraId="7DB44F0D">
            <w:pPr>
              <w:spacing w:line="360" w:lineRule="auto"/>
              <w:rPr>
                <w:rFonts w:hint="eastAsia" w:ascii="仿宋" w:hAnsi="仿宋" w:eastAsia="仿宋" w:cs="仿宋"/>
                <w:color w:val="auto"/>
                <w:sz w:val="24"/>
                <w:highlight w:val="none"/>
              </w:rPr>
            </w:pPr>
          </w:p>
        </w:tc>
        <w:tc>
          <w:tcPr>
            <w:tcW w:w="552" w:type="dxa"/>
          </w:tcPr>
          <w:p w14:paraId="0F8F01B8">
            <w:pPr>
              <w:spacing w:line="360" w:lineRule="auto"/>
              <w:rPr>
                <w:rFonts w:hint="eastAsia" w:ascii="仿宋" w:hAnsi="仿宋" w:eastAsia="仿宋" w:cs="仿宋"/>
                <w:color w:val="auto"/>
                <w:sz w:val="24"/>
                <w:highlight w:val="none"/>
              </w:rPr>
            </w:pPr>
          </w:p>
        </w:tc>
        <w:tc>
          <w:tcPr>
            <w:tcW w:w="552" w:type="dxa"/>
          </w:tcPr>
          <w:p w14:paraId="6FF23DFB">
            <w:pPr>
              <w:spacing w:line="360" w:lineRule="auto"/>
              <w:rPr>
                <w:rFonts w:hint="eastAsia" w:ascii="仿宋" w:hAnsi="仿宋" w:eastAsia="仿宋" w:cs="仿宋"/>
                <w:color w:val="auto"/>
                <w:sz w:val="24"/>
                <w:highlight w:val="none"/>
              </w:rPr>
            </w:pPr>
          </w:p>
        </w:tc>
        <w:tc>
          <w:tcPr>
            <w:tcW w:w="553" w:type="dxa"/>
          </w:tcPr>
          <w:p w14:paraId="4C21748C">
            <w:pPr>
              <w:spacing w:line="360" w:lineRule="auto"/>
              <w:rPr>
                <w:rFonts w:hint="eastAsia" w:ascii="仿宋" w:hAnsi="仿宋" w:eastAsia="仿宋" w:cs="仿宋"/>
                <w:color w:val="auto"/>
                <w:sz w:val="24"/>
                <w:highlight w:val="none"/>
              </w:rPr>
            </w:pPr>
          </w:p>
        </w:tc>
        <w:tc>
          <w:tcPr>
            <w:tcW w:w="553" w:type="dxa"/>
          </w:tcPr>
          <w:p w14:paraId="0F6C2F60">
            <w:pPr>
              <w:spacing w:line="360" w:lineRule="auto"/>
              <w:rPr>
                <w:rFonts w:hint="eastAsia" w:ascii="仿宋" w:hAnsi="仿宋" w:eastAsia="仿宋" w:cs="仿宋"/>
                <w:color w:val="auto"/>
                <w:sz w:val="24"/>
                <w:highlight w:val="none"/>
              </w:rPr>
            </w:pPr>
          </w:p>
        </w:tc>
        <w:tc>
          <w:tcPr>
            <w:tcW w:w="553" w:type="dxa"/>
          </w:tcPr>
          <w:p w14:paraId="39C70726">
            <w:pPr>
              <w:spacing w:line="360" w:lineRule="auto"/>
              <w:rPr>
                <w:rFonts w:hint="eastAsia" w:ascii="仿宋" w:hAnsi="仿宋" w:eastAsia="仿宋" w:cs="仿宋"/>
                <w:color w:val="auto"/>
                <w:sz w:val="24"/>
                <w:highlight w:val="none"/>
              </w:rPr>
            </w:pPr>
          </w:p>
        </w:tc>
        <w:tc>
          <w:tcPr>
            <w:tcW w:w="553" w:type="dxa"/>
          </w:tcPr>
          <w:p w14:paraId="2FA7E49A">
            <w:pPr>
              <w:spacing w:line="360" w:lineRule="auto"/>
              <w:rPr>
                <w:rFonts w:hint="eastAsia" w:ascii="仿宋" w:hAnsi="仿宋" w:eastAsia="仿宋" w:cs="仿宋"/>
                <w:color w:val="auto"/>
                <w:sz w:val="24"/>
                <w:highlight w:val="none"/>
              </w:rPr>
            </w:pPr>
          </w:p>
        </w:tc>
        <w:tc>
          <w:tcPr>
            <w:tcW w:w="553" w:type="dxa"/>
          </w:tcPr>
          <w:p w14:paraId="7785DF1D">
            <w:pPr>
              <w:spacing w:line="360" w:lineRule="auto"/>
              <w:rPr>
                <w:rFonts w:hint="eastAsia" w:ascii="仿宋" w:hAnsi="仿宋" w:eastAsia="仿宋" w:cs="仿宋"/>
                <w:color w:val="auto"/>
                <w:sz w:val="24"/>
                <w:highlight w:val="none"/>
              </w:rPr>
            </w:pPr>
          </w:p>
        </w:tc>
        <w:tc>
          <w:tcPr>
            <w:tcW w:w="553" w:type="dxa"/>
          </w:tcPr>
          <w:p w14:paraId="4FCDD6B2">
            <w:pPr>
              <w:spacing w:line="360" w:lineRule="auto"/>
              <w:rPr>
                <w:rFonts w:hint="eastAsia" w:ascii="仿宋" w:hAnsi="仿宋" w:eastAsia="仿宋" w:cs="仿宋"/>
                <w:color w:val="auto"/>
                <w:sz w:val="24"/>
                <w:highlight w:val="none"/>
              </w:rPr>
            </w:pPr>
          </w:p>
        </w:tc>
        <w:tc>
          <w:tcPr>
            <w:tcW w:w="553" w:type="dxa"/>
          </w:tcPr>
          <w:p w14:paraId="7BA957F2">
            <w:pPr>
              <w:spacing w:line="360" w:lineRule="auto"/>
              <w:rPr>
                <w:rFonts w:hint="eastAsia" w:ascii="仿宋" w:hAnsi="仿宋" w:eastAsia="仿宋" w:cs="仿宋"/>
                <w:color w:val="auto"/>
                <w:sz w:val="24"/>
                <w:highlight w:val="none"/>
              </w:rPr>
            </w:pPr>
          </w:p>
        </w:tc>
        <w:tc>
          <w:tcPr>
            <w:tcW w:w="553" w:type="dxa"/>
          </w:tcPr>
          <w:p w14:paraId="324CC21F">
            <w:pPr>
              <w:spacing w:line="360" w:lineRule="auto"/>
              <w:rPr>
                <w:rFonts w:hint="eastAsia" w:ascii="仿宋" w:hAnsi="仿宋" w:eastAsia="仿宋" w:cs="仿宋"/>
                <w:color w:val="auto"/>
                <w:sz w:val="24"/>
                <w:highlight w:val="none"/>
              </w:rPr>
            </w:pPr>
          </w:p>
        </w:tc>
        <w:tc>
          <w:tcPr>
            <w:tcW w:w="553" w:type="dxa"/>
          </w:tcPr>
          <w:p w14:paraId="6B106DE9">
            <w:pPr>
              <w:spacing w:line="360" w:lineRule="auto"/>
              <w:rPr>
                <w:rFonts w:hint="eastAsia" w:ascii="仿宋" w:hAnsi="仿宋" w:eastAsia="仿宋" w:cs="仿宋"/>
                <w:color w:val="auto"/>
                <w:sz w:val="24"/>
                <w:highlight w:val="none"/>
              </w:rPr>
            </w:pPr>
          </w:p>
        </w:tc>
        <w:tc>
          <w:tcPr>
            <w:tcW w:w="553" w:type="dxa"/>
          </w:tcPr>
          <w:p w14:paraId="4A87446F">
            <w:pPr>
              <w:spacing w:line="360" w:lineRule="auto"/>
              <w:rPr>
                <w:rFonts w:hint="eastAsia" w:ascii="仿宋" w:hAnsi="仿宋" w:eastAsia="仿宋" w:cs="仿宋"/>
                <w:color w:val="auto"/>
                <w:sz w:val="24"/>
                <w:highlight w:val="none"/>
              </w:rPr>
            </w:pPr>
          </w:p>
        </w:tc>
      </w:tr>
    </w:tbl>
    <w:p w14:paraId="707C7EB3">
      <w:pPr>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注：供应商可按上述时间表的格式自行编制切合实际的具体时间表。</w:t>
      </w:r>
    </w:p>
    <w:p w14:paraId="2EFAAC5A">
      <w:pPr>
        <w:autoSpaceDE w:val="0"/>
        <w:autoSpaceDN w:val="0"/>
        <w:spacing w:line="360" w:lineRule="auto"/>
        <w:ind w:firstLine="4560" w:firstLineChars="1900"/>
        <w:rPr>
          <w:rFonts w:hint="eastAsia" w:ascii="仿宋" w:hAnsi="仿宋" w:eastAsia="仿宋" w:cs="仿宋"/>
          <w:color w:val="auto"/>
          <w:kern w:val="0"/>
          <w:sz w:val="24"/>
          <w:highlight w:val="none"/>
        </w:rPr>
      </w:pPr>
    </w:p>
    <w:p w14:paraId="7914A453">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1A574B61">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73F50CDC">
      <w:pPr>
        <w:spacing w:line="360" w:lineRule="auto"/>
        <w:jc w:val="center"/>
        <w:rPr>
          <w:rFonts w:hint="eastAsia" w:ascii="仿宋" w:hAnsi="仿宋" w:eastAsia="仿宋" w:cs="仿宋"/>
          <w:b/>
          <w:bCs/>
          <w:color w:val="auto"/>
          <w:sz w:val="32"/>
          <w:szCs w:val="32"/>
          <w:highlight w:val="none"/>
        </w:rPr>
      </w:pPr>
    </w:p>
    <w:p w14:paraId="1411B0D0">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十一、售后服务方案</w:t>
      </w:r>
    </w:p>
    <w:p w14:paraId="62368DAF">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w:t>
      </w:r>
      <w:r>
        <w:rPr>
          <w:rFonts w:hint="eastAsia" w:ascii="仿宋" w:hAnsi="仿宋" w:eastAsia="仿宋" w:cs="仿宋"/>
          <w:color w:val="auto"/>
          <w:kern w:val="0"/>
          <w:sz w:val="24"/>
          <w:highlight w:val="none"/>
        </w:rPr>
        <w:t>供应商</w:t>
      </w:r>
      <w:r>
        <w:rPr>
          <w:rFonts w:hint="eastAsia" w:ascii="仿宋" w:hAnsi="仿宋" w:eastAsia="仿宋" w:cs="仿宋"/>
          <w:color w:val="auto"/>
          <w:sz w:val="24"/>
          <w:highlight w:val="none"/>
        </w:rPr>
        <w:t>根据采购需求及磋商文件要求编制）</w:t>
      </w:r>
    </w:p>
    <w:p w14:paraId="4245CE09">
      <w:pPr>
        <w:autoSpaceDE w:val="0"/>
        <w:autoSpaceDN w:val="0"/>
        <w:spacing w:line="360" w:lineRule="auto"/>
        <w:rPr>
          <w:rFonts w:hint="eastAsia" w:ascii="仿宋" w:hAnsi="仿宋" w:eastAsia="仿宋" w:cs="仿宋"/>
          <w:color w:val="auto"/>
          <w:kern w:val="0"/>
          <w:sz w:val="24"/>
          <w:highlight w:val="none"/>
        </w:rPr>
      </w:pPr>
    </w:p>
    <w:p w14:paraId="29DDF9A8">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500B237C">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719D4976">
      <w:pPr>
        <w:spacing w:line="360" w:lineRule="auto"/>
        <w:jc w:val="center"/>
        <w:rPr>
          <w:rFonts w:hint="eastAsia" w:ascii="仿宋" w:hAnsi="仿宋" w:eastAsia="仿宋" w:cs="仿宋"/>
          <w:b/>
          <w:bCs/>
          <w:color w:val="auto"/>
          <w:sz w:val="32"/>
          <w:szCs w:val="32"/>
          <w:highlight w:val="none"/>
        </w:rPr>
      </w:pPr>
    </w:p>
    <w:p w14:paraId="3DBE8DE1">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十二、项目小组人员名单</w:t>
      </w:r>
    </w:p>
    <w:p w14:paraId="04B47704">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（由供应商根据采购需求及磋商文件要求编制）</w:t>
      </w:r>
    </w:p>
    <w:p w14:paraId="6C6BD033">
      <w:pPr>
        <w:keepNext/>
        <w:autoSpaceDE w:val="0"/>
        <w:autoSpaceDN w:val="0"/>
        <w:spacing w:line="360" w:lineRule="auto"/>
        <w:ind w:firstLine="477"/>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附表A:本项目的项目经理情况表</w:t>
      </w:r>
    </w:p>
    <w:tbl>
      <w:tblPr>
        <w:tblStyle w:val="62"/>
        <w:tblW w:w="9286" w:type="dxa"/>
        <w:tblInd w:w="0" w:type="dxa"/>
        <w:tblLayout w:type="fixed"/>
        <w:tblCellMar>
          <w:top w:w="0" w:type="dxa"/>
          <w:left w:w="108" w:type="dxa"/>
          <w:bottom w:w="0" w:type="dxa"/>
          <w:right w:w="108" w:type="dxa"/>
        </w:tblCellMar>
      </w:tblPr>
      <w:tblGrid>
        <w:gridCol w:w="2554"/>
        <w:gridCol w:w="1595"/>
        <w:gridCol w:w="5137"/>
      </w:tblGrid>
      <w:tr w14:paraId="62981B4B">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3BE0239F">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6CD92007">
            <w:pPr>
              <w:autoSpaceDE w:val="0"/>
              <w:autoSpaceDN w:val="0"/>
              <w:spacing w:line="360" w:lineRule="auto"/>
              <w:jc w:val="center"/>
              <w:rPr>
                <w:rFonts w:hint="eastAsia" w:ascii="仿宋" w:hAnsi="仿宋" w:eastAsia="仿宋" w:cs="仿宋"/>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041749F7">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响应截止时间近3年业绩及承担的主要工作情况，曾担任项目经理的项目应列明细</w:t>
            </w:r>
          </w:p>
        </w:tc>
      </w:tr>
      <w:tr w14:paraId="1464D1C8">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553CF04">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74A604E4">
            <w:pPr>
              <w:autoSpaceDE w:val="0"/>
              <w:autoSpaceDN w:val="0"/>
              <w:spacing w:line="360" w:lineRule="auto"/>
              <w:jc w:val="center"/>
              <w:rPr>
                <w:rFonts w:hint="eastAsia" w:ascii="仿宋" w:hAnsi="仿宋" w:eastAsia="仿宋" w:cs="仿宋"/>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0953727C">
            <w:pPr>
              <w:autoSpaceDE w:val="0"/>
              <w:autoSpaceDN w:val="0"/>
              <w:spacing w:line="360" w:lineRule="auto"/>
              <w:jc w:val="center"/>
              <w:rPr>
                <w:rFonts w:hint="eastAsia" w:ascii="仿宋" w:hAnsi="仿宋" w:eastAsia="仿宋" w:cs="仿宋"/>
                <w:color w:val="auto"/>
                <w:sz w:val="24"/>
                <w:highlight w:val="none"/>
              </w:rPr>
            </w:pPr>
          </w:p>
        </w:tc>
      </w:tr>
      <w:tr w14:paraId="1EE8673B">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45B78E7E">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6ACE99CC">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B152300">
            <w:pPr>
              <w:autoSpaceDE w:val="0"/>
              <w:autoSpaceDN w:val="0"/>
              <w:spacing w:line="360" w:lineRule="auto"/>
              <w:jc w:val="center"/>
              <w:rPr>
                <w:rFonts w:hint="eastAsia" w:ascii="仿宋" w:hAnsi="仿宋" w:eastAsia="仿宋" w:cs="仿宋"/>
                <w:color w:val="auto"/>
                <w:sz w:val="24"/>
                <w:highlight w:val="none"/>
              </w:rPr>
            </w:pPr>
          </w:p>
        </w:tc>
      </w:tr>
      <w:tr w14:paraId="127C506E">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D797718">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7734C9CA">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4F81435">
            <w:pPr>
              <w:autoSpaceDE w:val="0"/>
              <w:autoSpaceDN w:val="0"/>
              <w:spacing w:line="360" w:lineRule="auto"/>
              <w:jc w:val="center"/>
              <w:rPr>
                <w:rFonts w:hint="eastAsia" w:ascii="仿宋" w:hAnsi="仿宋" w:eastAsia="仿宋" w:cs="仿宋"/>
                <w:color w:val="auto"/>
                <w:sz w:val="24"/>
                <w:highlight w:val="none"/>
              </w:rPr>
            </w:pPr>
          </w:p>
        </w:tc>
      </w:tr>
      <w:tr w14:paraId="6B5E1219">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7D665D2">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798BD9B2">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63D04F1">
            <w:pPr>
              <w:autoSpaceDE w:val="0"/>
              <w:autoSpaceDN w:val="0"/>
              <w:spacing w:line="360" w:lineRule="auto"/>
              <w:jc w:val="center"/>
              <w:rPr>
                <w:rFonts w:hint="eastAsia" w:ascii="仿宋" w:hAnsi="仿宋" w:eastAsia="仿宋" w:cs="仿宋"/>
                <w:color w:val="auto"/>
                <w:sz w:val="24"/>
                <w:highlight w:val="none"/>
              </w:rPr>
            </w:pPr>
          </w:p>
        </w:tc>
      </w:tr>
      <w:tr w14:paraId="0EF66E1D">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27B628D5">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6CA9F877">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E03288B">
            <w:pPr>
              <w:autoSpaceDE w:val="0"/>
              <w:autoSpaceDN w:val="0"/>
              <w:spacing w:line="360" w:lineRule="auto"/>
              <w:jc w:val="center"/>
              <w:rPr>
                <w:rFonts w:hint="eastAsia" w:ascii="仿宋" w:hAnsi="仿宋" w:eastAsia="仿宋" w:cs="仿宋"/>
                <w:color w:val="auto"/>
                <w:sz w:val="24"/>
                <w:highlight w:val="none"/>
              </w:rPr>
            </w:pPr>
          </w:p>
        </w:tc>
      </w:tr>
      <w:tr w14:paraId="1553EF00">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1429032C">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74270DF4">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AA5B942">
            <w:pPr>
              <w:autoSpaceDE w:val="0"/>
              <w:autoSpaceDN w:val="0"/>
              <w:spacing w:line="360" w:lineRule="auto"/>
              <w:jc w:val="center"/>
              <w:rPr>
                <w:rFonts w:hint="eastAsia" w:ascii="仿宋" w:hAnsi="仿宋" w:eastAsia="仿宋" w:cs="仿宋"/>
                <w:color w:val="auto"/>
                <w:sz w:val="24"/>
                <w:highlight w:val="none"/>
              </w:rPr>
            </w:pPr>
          </w:p>
        </w:tc>
      </w:tr>
      <w:tr w14:paraId="0D5DD9CC">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61BB3070">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3E59B7A4">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6E0E344">
            <w:pPr>
              <w:autoSpaceDE w:val="0"/>
              <w:autoSpaceDN w:val="0"/>
              <w:spacing w:line="360" w:lineRule="auto"/>
              <w:jc w:val="center"/>
              <w:rPr>
                <w:rFonts w:hint="eastAsia" w:ascii="仿宋" w:hAnsi="仿宋" w:eastAsia="仿宋" w:cs="仿宋"/>
                <w:color w:val="auto"/>
                <w:sz w:val="24"/>
                <w:highlight w:val="none"/>
              </w:rPr>
            </w:pPr>
          </w:p>
        </w:tc>
      </w:tr>
      <w:tr w14:paraId="4C55B875">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635AA4DB">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3DBF8329">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7265D99">
            <w:pPr>
              <w:autoSpaceDE w:val="0"/>
              <w:autoSpaceDN w:val="0"/>
              <w:spacing w:line="360" w:lineRule="auto"/>
              <w:jc w:val="center"/>
              <w:rPr>
                <w:rFonts w:hint="eastAsia" w:ascii="仿宋" w:hAnsi="仿宋" w:eastAsia="仿宋" w:cs="仿宋"/>
                <w:color w:val="auto"/>
                <w:sz w:val="24"/>
                <w:highlight w:val="none"/>
              </w:rPr>
            </w:pPr>
          </w:p>
        </w:tc>
      </w:tr>
      <w:tr w14:paraId="44B7B1FB">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063C2D4E">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31593DC1">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05D96CA">
            <w:pPr>
              <w:autoSpaceDE w:val="0"/>
              <w:autoSpaceDN w:val="0"/>
              <w:spacing w:line="360" w:lineRule="auto"/>
              <w:jc w:val="center"/>
              <w:rPr>
                <w:rFonts w:hint="eastAsia" w:ascii="仿宋" w:hAnsi="仿宋" w:eastAsia="仿宋" w:cs="仿宋"/>
                <w:color w:val="auto"/>
                <w:sz w:val="24"/>
                <w:highlight w:val="none"/>
              </w:rPr>
            </w:pPr>
          </w:p>
        </w:tc>
      </w:tr>
    </w:tbl>
    <w:p w14:paraId="7871B423">
      <w:pPr>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注：须随表提交相应的证书复印件并注明所在响应文件页码。</w:t>
      </w:r>
    </w:p>
    <w:p w14:paraId="39D28A9B">
      <w:pPr>
        <w:autoSpaceDE w:val="0"/>
        <w:autoSpaceDN w:val="0"/>
        <w:spacing w:line="360" w:lineRule="auto"/>
        <w:rPr>
          <w:rFonts w:hint="eastAsia" w:ascii="仿宋" w:hAnsi="仿宋" w:eastAsia="仿宋" w:cs="仿宋"/>
          <w:b/>
          <w:color w:val="auto"/>
          <w:sz w:val="24"/>
          <w:highlight w:val="none"/>
        </w:rPr>
      </w:pPr>
    </w:p>
    <w:p w14:paraId="622018AB">
      <w:pPr>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附表B:本项目的项目小组人员情况表</w:t>
      </w:r>
      <w:r>
        <w:rPr>
          <w:rFonts w:hint="eastAsia" w:ascii="仿宋" w:hAnsi="仿宋" w:eastAsia="仿宋" w:cs="仿宋"/>
          <w:color w:val="auto"/>
          <w:sz w:val="24"/>
          <w:highlight w:val="none"/>
        </w:rPr>
        <w:t>（按此格式自制）</w:t>
      </w:r>
    </w:p>
    <w:tbl>
      <w:tblPr>
        <w:tblStyle w:val="62"/>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0ADAFBCD">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6A9AAF2A">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4B5A0379">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2788CFCF">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60FD79F7">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43A8F260">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p w14:paraId="58253DCF">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B6B6ACC">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专业</w:t>
            </w:r>
          </w:p>
          <w:p w14:paraId="57A0820E">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133E284C">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p w14:paraId="696817D5">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7F2091CE">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1311DB6E">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565F204B">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参与本项目的到位情况</w:t>
            </w:r>
          </w:p>
        </w:tc>
      </w:tr>
      <w:tr w14:paraId="759196FE">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3A23F015">
            <w:pPr>
              <w:autoSpaceDE w:val="0"/>
              <w:autoSpaceDN w:val="0"/>
              <w:spacing w:line="360" w:lineRule="auto"/>
              <w:jc w:val="center"/>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5C7B15EC">
            <w:pPr>
              <w:autoSpaceDE w:val="0"/>
              <w:autoSpaceDN w:val="0"/>
              <w:spacing w:line="360" w:lineRule="auto"/>
              <w:rPr>
                <w:rFonts w:hint="eastAsia" w:ascii="仿宋" w:hAnsi="仿宋" w:eastAsia="仿宋" w:cs="仿宋"/>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0C930E5">
            <w:pPr>
              <w:autoSpaceDE w:val="0"/>
              <w:autoSpaceDN w:val="0"/>
              <w:spacing w:line="360" w:lineRule="auto"/>
              <w:rPr>
                <w:rFonts w:hint="eastAsia" w:ascii="仿宋" w:hAnsi="仿宋" w:eastAsia="仿宋" w:cs="仿宋"/>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08DD5D28">
            <w:pPr>
              <w:autoSpaceDE w:val="0"/>
              <w:autoSpaceDN w:val="0"/>
              <w:spacing w:line="360" w:lineRule="auto"/>
              <w:rPr>
                <w:rFonts w:hint="eastAsia" w:ascii="仿宋" w:hAnsi="仿宋" w:eastAsia="仿宋" w:cs="仿宋"/>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227A1CBA">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F4776DC">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72942AB">
            <w:pPr>
              <w:autoSpaceDE w:val="0"/>
              <w:autoSpaceDN w:val="0"/>
              <w:spacing w:line="360" w:lineRule="auto"/>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7AC03D1">
            <w:pPr>
              <w:autoSpaceDE w:val="0"/>
              <w:autoSpaceDN w:val="0"/>
              <w:spacing w:line="360" w:lineRule="auto"/>
              <w:rPr>
                <w:rFonts w:hint="eastAsia" w:ascii="仿宋" w:hAnsi="仿宋" w:eastAsia="仿宋" w:cs="仿宋"/>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0FDC641">
            <w:pPr>
              <w:autoSpaceDE w:val="0"/>
              <w:autoSpaceDN w:val="0"/>
              <w:spacing w:line="360" w:lineRule="auto"/>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4ABABAC8">
            <w:pPr>
              <w:autoSpaceDE w:val="0"/>
              <w:autoSpaceDN w:val="0"/>
              <w:spacing w:line="360" w:lineRule="auto"/>
              <w:rPr>
                <w:rFonts w:hint="eastAsia" w:ascii="仿宋" w:hAnsi="仿宋" w:eastAsia="仿宋" w:cs="仿宋"/>
                <w:color w:val="auto"/>
                <w:sz w:val="24"/>
                <w:highlight w:val="none"/>
              </w:rPr>
            </w:pPr>
          </w:p>
        </w:tc>
      </w:tr>
      <w:tr w14:paraId="190E1E10">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25321033">
            <w:pPr>
              <w:autoSpaceDE w:val="0"/>
              <w:autoSpaceDN w:val="0"/>
              <w:spacing w:line="360" w:lineRule="auto"/>
              <w:jc w:val="center"/>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672977C">
            <w:pPr>
              <w:autoSpaceDE w:val="0"/>
              <w:autoSpaceDN w:val="0"/>
              <w:spacing w:line="360" w:lineRule="auto"/>
              <w:rPr>
                <w:rFonts w:hint="eastAsia" w:ascii="仿宋" w:hAnsi="仿宋" w:eastAsia="仿宋" w:cs="仿宋"/>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7FC956F">
            <w:pPr>
              <w:autoSpaceDE w:val="0"/>
              <w:autoSpaceDN w:val="0"/>
              <w:spacing w:line="360" w:lineRule="auto"/>
              <w:rPr>
                <w:rFonts w:hint="eastAsia" w:ascii="仿宋" w:hAnsi="仿宋" w:eastAsia="仿宋" w:cs="仿宋"/>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1BB703BE">
            <w:pPr>
              <w:autoSpaceDE w:val="0"/>
              <w:autoSpaceDN w:val="0"/>
              <w:spacing w:line="360" w:lineRule="auto"/>
              <w:rPr>
                <w:rFonts w:hint="eastAsia" w:ascii="仿宋" w:hAnsi="仿宋" w:eastAsia="仿宋" w:cs="仿宋"/>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4A83D9E1">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C2EECDD">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6C0363D">
            <w:pPr>
              <w:autoSpaceDE w:val="0"/>
              <w:autoSpaceDN w:val="0"/>
              <w:spacing w:line="360" w:lineRule="auto"/>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6A7C56D">
            <w:pPr>
              <w:autoSpaceDE w:val="0"/>
              <w:autoSpaceDN w:val="0"/>
              <w:spacing w:line="360" w:lineRule="auto"/>
              <w:rPr>
                <w:rFonts w:hint="eastAsia" w:ascii="仿宋" w:hAnsi="仿宋" w:eastAsia="仿宋" w:cs="仿宋"/>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A7E56D6">
            <w:pPr>
              <w:autoSpaceDE w:val="0"/>
              <w:autoSpaceDN w:val="0"/>
              <w:spacing w:line="360" w:lineRule="auto"/>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5629A1BB">
            <w:pPr>
              <w:autoSpaceDE w:val="0"/>
              <w:autoSpaceDN w:val="0"/>
              <w:spacing w:line="360" w:lineRule="auto"/>
              <w:rPr>
                <w:rFonts w:hint="eastAsia" w:ascii="仿宋" w:hAnsi="仿宋" w:eastAsia="仿宋" w:cs="仿宋"/>
                <w:color w:val="auto"/>
                <w:sz w:val="24"/>
                <w:highlight w:val="none"/>
              </w:rPr>
            </w:pPr>
          </w:p>
        </w:tc>
      </w:tr>
      <w:tr w14:paraId="3601B186">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39974AE2">
            <w:pPr>
              <w:autoSpaceDE w:val="0"/>
              <w:autoSpaceDN w:val="0"/>
              <w:spacing w:line="360" w:lineRule="auto"/>
              <w:jc w:val="center"/>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51E14966">
            <w:pPr>
              <w:autoSpaceDE w:val="0"/>
              <w:autoSpaceDN w:val="0"/>
              <w:spacing w:line="360" w:lineRule="auto"/>
              <w:rPr>
                <w:rFonts w:hint="eastAsia" w:ascii="仿宋" w:hAnsi="仿宋" w:eastAsia="仿宋" w:cs="仿宋"/>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0897184">
            <w:pPr>
              <w:autoSpaceDE w:val="0"/>
              <w:autoSpaceDN w:val="0"/>
              <w:spacing w:line="360" w:lineRule="auto"/>
              <w:rPr>
                <w:rFonts w:hint="eastAsia" w:ascii="仿宋" w:hAnsi="仿宋" w:eastAsia="仿宋" w:cs="仿宋"/>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297976C3">
            <w:pPr>
              <w:autoSpaceDE w:val="0"/>
              <w:autoSpaceDN w:val="0"/>
              <w:spacing w:line="360" w:lineRule="auto"/>
              <w:rPr>
                <w:rFonts w:hint="eastAsia" w:ascii="仿宋" w:hAnsi="仿宋" w:eastAsia="仿宋" w:cs="仿宋"/>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12745F98">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8A2D41B">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503F8AC">
            <w:pPr>
              <w:autoSpaceDE w:val="0"/>
              <w:autoSpaceDN w:val="0"/>
              <w:spacing w:line="360" w:lineRule="auto"/>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AD0CB19">
            <w:pPr>
              <w:autoSpaceDE w:val="0"/>
              <w:autoSpaceDN w:val="0"/>
              <w:spacing w:line="360" w:lineRule="auto"/>
              <w:rPr>
                <w:rFonts w:hint="eastAsia" w:ascii="仿宋" w:hAnsi="仿宋" w:eastAsia="仿宋" w:cs="仿宋"/>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7F6B40B">
            <w:pPr>
              <w:autoSpaceDE w:val="0"/>
              <w:autoSpaceDN w:val="0"/>
              <w:spacing w:line="360" w:lineRule="auto"/>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483F652">
            <w:pPr>
              <w:autoSpaceDE w:val="0"/>
              <w:autoSpaceDN w:val="0"/>
              <w:spacing w:line="360" w:lineRule="auto"/>
              <w:rPr>
                <w:rFonts w:hint="eastAsia" w:ascii="仿宋" w:hAnsi="仿宋" w:eastAsia="仿宋" w:cs="仿宋"/>
                <w:color w:val="auto"/>
                <w:sz w:val="24"/>
                <w:highlight w:val="none"/>
              </w:rPr>
            </w:pPr>
          </w:p>
        </w:tc>
      </w:tr>
    </w:tbl>
    <w:p w14:paraId="3DA91587">
      <w:pPr>
        <w:spacing w:line="360" w:lineRule="auto"/>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注：供应商可按上述的格式自行编制，须随表提交相应的证书复印件并注明所在响应文件页码。</w:t>
      </w:r>
    </w:p>
    <w:p w14:paraId="737A4F33">
      <w:pPr>
        <w:spacing w:line="360" w:lineRule="auto"/>
        <w:rPr>
          <w:rFonts w:hint="eastAsia" w:ascii="仿宋" w:hAnsi="仿宋" w:eastAsia="仿宋" w:cs="仿宋"/>
          <w:b/>
          <w:color w:val="auto"/>
          <w:sz w:val="24"/>
          <w:highlight w:val="none"/>
        </w:rPr>
      </w:pPr>
    </w:p>
    <w:p w14:paraId="48571157">
      <w:pPr>
        <w:spacing w:line="360" w:lineRule="auto"/>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附表C:本项目的项目经理和小组人员交纳社保记录情况表</w:t>
      </w:r>
      <w:r>
        <w:rPr>
          <w:rFonts w:hint="eastAsia" w:ascii="仿宋" w:hAnsi="仿宋" w:eastAsia="仿宋" w:cs="仿宋"/>
          <w:color w:val="auto"/>
          <w:sz w:val="24"/>
          <w:highlight w:val="none"/>
        </w:rPr>
        <w:t>（以社保局缴纳凭证作附件）</w:t>
      </w:r>
    </w:p>
    <w:p w14:paraId="0F4FA501">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1BE38DD4">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191F84E2">
      <w:pPr>
        <w:spacing w:line="360" w:lineRule="auto"/>
        <w:jc w:val="center"/>
        <w:rPr>
          <w:rFonts w:hint="eastAsia" w:ascii="仿宋" w:hAnsi="仿宋" w:eastAsia="仿宋" w:cs="仿宋"/>
          <w:b/>
          <w:bCs/>
          <w:color w:val="auto"/>
          <w:sz w:val="32"/>
          <w:szCs w:val="32"/>
          <w:highlight w:val="none"/>
        </w:rPr>
      </w:pPr>
    </w:p>
    <w:p w14:paraId="29A7CA11">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bCs/>
          <w:color w:val="auto"/>
          <w:sz w:val="24"/>
          <w:highlight w:val="none"/>
        </w:rPr>
        <w:br w:type="page"/>
      </w:r>
      <w:r>
        <w:rPr>
          <w:rFonts w:hint="eastAsia" w:ascii="仿宋" w:hAnsi="仿宋" w:eastAsia="仿宋" w:cs="仿宋"/>
          <w:b/>
          <w:color w:val="auto"/>
          <w:kern w:val="0"/>
          <w:sz w:val="32"/>
          <w:szCs w:val="32"/>
          <w:highlight w:val="none"/>
          <w:lang w:val="zh-CN"/>
        </w:rPr>
        <w:t>十三</w:t>
      </w:r>
      <w:r>
        <w:rPr>
          <w:rFonts w:hint="eastAsia" w:ascii="仿宋" w:hAnsi="仿宋" w:eastAsia="仿宋" w:cs="仿宋"/>
          <w:b/>
          <w:bCs/>
          <w:color w:val="auto"/>
          <w:sz w:val="32"/>
          <w:szCs w:val="32"/>
          <w:highlight w:val="none"/>
        </w:rPr>
        <w:t>、</w:t>
      </w:r>
      <w:r>
        <w:rPr>
          <w:rFonts w:hint="eastAsia" w:ascii="仿宋" w:hAnsi="仿宋" w:eastAsia="仿宋" w:cs="仿宋"/>
          <w:b/>
          <w:color w:val="auto"/>
          <w:kern w:val="0"/>
          <w:sz w:val="32"/>
          <w:szCs w:val="32"/>
          <w:highlight w:val="none"/>
          <w:lang w:val="zh-CN"/>
        </w:rPr>
        <w:t>优惠条件及特殊承诺</w:t>
      </w:r>
    </w:p>
    <w:p w14:paraId="4C48A87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4EB6BC2B">
      <w:pPr>
        <w:spacing w:line="360" w:lineRule="auto"/>
        <w:jc w:val="center"/>
        <w:rPr>
          <w:rFonts w:hint="eastAsia" w:ascii="仿宋" w:hAnsi="仿宋" w:eastAsia="仿宋" w:cs="仿宋"/>
          <w:color w:val="auto"/>
          <w:sz w:val="24"/>
          <w:highlight w:val="none"/>
        </w:rPr>
      </w:pPr>
    </w:p>
    <w:p w14:paraId="4FB7F660">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2E805D14">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6CE9E55D">
      <w:pPr>
        <w:spacing w:line="360" w:lineRule="auto"/>
        <w:jc w:val="center"/>
        <w:rPr>
          <w:rFonts w:hint="eastAsia" w:ascii="仿宋" w:hAnsi="仿宋" w:eastAsia="仿宋" w:cs="仿宋"/>
          <w:b/>
          <w:bCs/>
          <w:color w:val="auto"/>
          <w:sz w:val="32"/>
          <w:szCs w:val="32"/>
          <w:highlight w:val="none"/>
        </w:rPr>
      </w:pPr>
    </w:p>
    <w:p w14:paraId="3EEDC018">
      <w:pPr>
        <w:spacing w:line="360" w:lineRule="auto"/>
        <w:jc w:val="center"/>
        <w:rPr>
          <w:rFonts w:hint="eastAsia" w:ascii="仿宋" w:hAnsi="仿宋" w:eastAsia="仿宋" w:cs="仿宋"/>
          <w:b/>
          <w:bCs/>
          <w:color w:val="auto"/>
          <w:sz w:val="24"/>
          <w:highlight w:val="none"/>
        </w:rPr>
      </w:pPr>
    </w:p>
    <w:p w14:paraId="317028D6">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rPr>
        <w:t>十四、</w:t>
      </w:r>
      <w:r>
        <w:rPr>
          <w:rFonts w:hint="eastAsia" w:ascii="仿宋" w:hAnsi="仿宋" w:eastAsia="仿宋" w:cs="仿宋"/>
          <w:b/>
          <w:color w:val="auto"/>
          <w:kern w:val="0"/>
          <w:sz w:val="32"/>
          <w:szCs w:val="32"/>
          <w:highlight w:val="none"/>
          <w:lang w:val="zh-CN"/>
        </w:rPr>
        <w:t>培训计划</w:t>
      </w:r>
    </w:p>
    <w:p w14:paraId="2591E89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289C90FF">
      <w:pPr>
        <w:keepNext/>
        <w:autoSpaceDE w:val="0"/>
        <w:autoSpaceDN w:val="0"/>
        <w:spacing w:line="360" w:lineRule="auto"/>
        <w:ind w:firstLine="477"/>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 培训日程及费用</w:t>
      </w:r>
    </w:p>
    <w:tbl>
      <w:tblPr>
        <w:tblStyle w:val="62"/>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2F82DF59">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3D25312C">
            <w:pPr>
              <w:tabs>
                <w:tab w:val="center" w:pos="1690"/>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1AC97259">
            <w:pPr>
              <w:tabs>
                <w:tab w:val="center" w:pos="595"/>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0ABC92D8">
            <w:pPr>
              <w:tabs>
                <w:tab w:val="center" w:pos="595"/>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259A3878">
            <w:pPr>
              <w:tabs>
                <w:tab w:val="center" w:pos="1028"/>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5BE05350">
            <w:pPr>
              <w:tabs>
                <w:tab w:val="center" w:pos="595"/>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培训</w:t>
            </w:r>
          </w:p>
          <w:p w14:paraId="206F93EC">
            <w:pPr>
              <w:tabs>
                <w:tab w:val="center" w:pos="595"/>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对象</w:t>
            </w:r>
          </w:p>
        </w:tc>
        <w:tc>
          <w:tcPr>
            <w:tcW w:w="1440" w:type="dxa"/>
            <w:tcBorders>
              <w:top w:val="single" w:color="auto" w:sz="6" w:space="0"/>
              <w:left w:val="single" w:color="auto" w:sz="6" w:space="0"/>
              <w:bottom w:val="nil"/>
              <w:right w:val="nil"/>
            </w:tcBorders>
            <w:shd w:val="pct10" w:color="auto" w:fill="auto"/>
            <w:vAlign w:val="center"/>
          </w:tcPr>
          <w:p w14:paraId="549AA177">
            <w:pPr>
              <w:tabs>
                <w:tab w:val="center" w:pos="520"/>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56E020F6">
            <w:pPr>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课程费用</w:t>
            </w:r>
          </w:p>
        </w:tc>
      </w:tr>
      <w:tr w14:paraId="2C1B9C57">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3AA31276">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auto"/>
                <w:sz w:val="24"/>
                <w:highlight w:val="none"/>
              </w:rPr>
            </w:pPr>
          </w:p>
        </w:tc>
        <w:tc>
          <w:tcPr>
            <w:tcW w:w="1254" w:type="dxa"/>
            <w:tcBorders>
              <w:top w:val="single" w:color="auto" w:sz="6" w:space="0"/>
              <w:left w:val="single" w:color="auto" w:sz="6" w:space="0"/>
              <w:bottom w:val="nil"/>
              <w:right w:val="single" w:color="auto" w:sz="6" w:space="0"/>
            </w:tcBorders>
          </w:tcPr>
          <w:p w14:paraId="1FD0C5A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30" w:type="dxa"/>
            <w:tcBorders>
              <w:top w:val="single" w:color="auto" w:sz="6" w:space="0"/>
              <w:left w:val="single" w:color="auto" w:sz="6" w:space="0"/>
              <w:bottom w:val="nil"/>
              <w:right w:val="nil"/>
            </w:tcBorders>
          </w:tcPr>
          <w:p w14:paraId="4F3997F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53" w:type="dxa"/>
            <w:tcBorders>
              <w:top w:val="single" w:color="auto" w:sz="6" w:space="0"/>
              <w:left w:val="single" w:color="auto" w:sz="6" w:space="0"/>
              <w:bottom w:val="nil"/>
              <w:right w:val="nil"/>
            </w:tcBorders>
          </w:tcPr>
          <w:p w14:paraId="41B13DB5">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auto"/>
                <w:sz w:val="24"/>
                <w:highlight w:val="none"/>
              </w:rPr>
            </w:pPr>
          </w:p>
        </w:tc>
        <w:tc>
          <w:tcPr>
            <w:tcW w:w="997" w:type="dxa"/>
            <w:tcBorders>
              <w:top w:val="single" w:color="auto" w:sz="6" w:space="0"/>
              <w:left w:val="single" w:color="auto" w:sz="6" w:space="0"/>
              <w:bottom w:val="nil"/>
              <w:right w:val="nil"/>
            </w:tcBorders>
          </w:tcPr>
          <w:p w14:paraId="77E95F54">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auto"/>
                <w:sz w:val="24"/>
                <w:highlight w:val="none"/>
              </w:rPr>
            </w:pPr>
          </w:p>
        </w:tc>
        <w:tc>
          <w:tcPr>
            <w:tcW w:w="1440" w:type="dxa"/>
            <w:tcBorders>
              <w:top w:val="single" w:color="auto" w:sz="6" w:space="0"/>
              <w:left w:val="single" w:color="auto" w:sz="6" w:space="0"/>
              <w:bottom w:val="nil"/>
              <w:right w:val="nil"/>
            </w:tcBorders>
          </w:tcPr>
          <w:p w14:paraId="7656C55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auto"/>
                <w:sz w:val="24"/>
                <w:highlight w:val="none"/>
              </w:rPr>
            </w:pPr>
          </w:p>
        </w:tc>
        <w:tc>
          <w:tcPr>
            <w:tcW w:w="1620" w:type="dxa"/>
            <w:tcBorders>
              <w:top w:val="single" w:color="auto" w:sz="6" w:space="0"/>
              <w:left w:val="single" w:color="auto" w:sz="6" w:space="0"/>
              <w:bottom w:val="nil"/>
              <w:right w:val="single" w:color="auto" w:sz="6" w:space="0"/>
            </w:tcBorders>
          </w:tcPr>
          <w:p w14:paraId="4C8BD812">
            <w:pPr>
              <w:suppressAutoHyphens/>
              <w:autoSpaceDE w:val="0"/>
              <w:autoSpaceDN w:val="0"/>
              <w:spacing w:line="360" w:lineRule="auto"/>
              <w:rPr>
                <w:rFonts w:hint="eastAsia" w:ascii="仿宋" w:hAnsi="仿宋" w:eastAsia="仿宋" w:cs="仿宋"/>
                <w:color w:val="auto"/>
                <w:sz w:val="24"/>
                <w:highlight w:val="none"/>
              </w:rPr>
            </w:pPr>
          </w:p>
        </w:tc>
      </w:tr>
      <w:tr w14:paraId="32862C77">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2012A7D5">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auto"/>
                <w:sz w:val="24"/>
                <w:highlight w:val="none"/>
              </w:rPr>
            </w:pPr>
          </w:p>
        </w:tc>
        <w:tc>
          <w:tcPr>
            <w:tcW w:w="1254" w:type="dxa"/>
            <w:tcBorders>
              <w:top w:val="single" w:color="auto" w:sz="6" w:space="0"/>
              <w:left w:val="single" w:color="auto" w:sz="6" w:space="0"/>
              <w:bottom w:val="nil"/>
              <w:right w:val="single" w:color="auto" w:sz="6" w:space="0"/>
            </w:tcBorders>
          </w:tcPr>
          <w:p w14:paraId="40236C1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30" w:type="dxa"/>
            <w:tcBorders>
              <w:top w:val="single" w:color="auto" w:sz="6" w:space="0"/>
              <w:left w:val="single" w:color="auto" w:sz="6" w:space="0"/>
              <w:bottom w:val="nil"/>
              <w:right w:val="nil"/>
            </w:tcBorders>
          </w:tcPr>
          <w:p w14:paraId="2BAA4C1C">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53" w:type="dxa"/>
            <w:tcBorders>
              <w:top w:val="single" w:color="auto" w:sz="6" w:space="0"/>
              <w:left w:val="single" w:color="auto" w:sz="6" w:space="0"/>
              <w:bottom w:val="nil"/>
              <w:right w:val="nil"/>
            </w:tcBorders>
          </w:tcPr>
          <w:p w14:paraId="0E584014">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auto"/>
                <w:sz w:val="24"/>
                <w:highlight w:val="none"/>
              </w:rPr>
            </w:pPr>
          </w:p>
        </w:tc>
        <w:tc>
          <w:tcPr>
            <w:tcW w:w="997" w:type="dxa"/>
            <w:tcBorders>
              <w:top w:val="single" w:color="auto" w:sz="6" w:space="0"/>
              <w:left w:val="single" w:color="auto" w:sz="6" w:space="0"/>
              <w:bottom w:val="nil"/>
              <w:right w:val="nil"/>
            </w:tcBorders>
          </w:tcPr>
          <w:p w14:paraId="032B0491">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auto"/>
                <w:sz w:val="24"/>
                <w:highlight w:val="none"/>
              </w:rPr>
            </w:pPr>
          </w:p>
        </w:tc>
        <w:tc>
          <w:tcPr>
            <w:tcW w:w="1440" w:type="dxa"/>
            <w:tcBorders>
              <w:top w:val="single" w:color="auto" w:sz="6" w:space="0"/>
              <w:left w:val="single" w:color="auto" w:sz="6" w:space="0"/>
              <w:bottom w:val="nil"/>
              <w:right w:val="nil"/>
            </w:tcBorders>
          </w:tcPr>
          <w:p w14:paraId="29E98FA5">
            <w:pPr>
              <w:tabs>
                <w:tab w:val="left" w:pos="7"/>
              </w:tabs>
              <w:suppressAutoHyphens/>
              <w:autoSpaceDE w:val="0"/>
              <w:autoSpaceDN w:val="0"/>
              <w:spacing w:line="360" w:lineRule="auto"/>
              <w:rPr>
                <w:rFonts w:hint="eastAsia" w:ascii="仿宋" w:hAnsi="仿宋" w:eastAsia="仿宋" w:cs="仿宋"/>
                <w:color w:val="auto"/>
                <w:sz w:val="24"/>
                <w:highlight w:val="none"/>
              </w:rPr>
            </w:pPr>
          </w:p>
        </w:tc>
        <w:tc>
          <w:tcPr>
            <w:tcW w:w="1620" w:type="dxa"/>
            <w:tcBorders>
              <w:top w:val="single" w:color="auto" w:sz="6" w:space="0"/>
              <w:left w:val="single" w:color="auto" w:sz="6" w:space="0"/>
              <w:bottom w:val="nil"/>
              <w:right w:val="single" w:color="auto" w:sz="6" w:space="0"/>
            </w:tcBorders>
          </w:tcPr>
          <w:p w14:paraId="66F0524A">
            <w:pPr>
              <w:suppressAutoHyphens/>
              <w:autoSpaceDE w:val="0"/>
              <w:autoSpaceDN w:val="0"/>
              <w:spacing w:line="360" w:lineRule="auto"/>
              <w:rPr>
                <w:rFonts w:hint="eastAsia" w:ascii="仿宋" w:hAnsi="仿宋" w:eastAsia="仿宋" w:cs="仿宋"/>
                <w:color w:val="auto"/>
                <w:sz w:val="24"/>
                <w:highlight w:val="none"/>
              </w:rPr>
            </w:pPr>
          </w:p>
        </w:tc>
      </w:tr>
      <w:tr w14:paraId="3F3ECF08">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4877EE3D">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auto"/>
                <w:sz w:val="24"/>
                <w:highlight w:val="none"/>
              </w:rPr>
            </w:pPr>
          </w:p>
        </w:tc>
        <w:tc>
          <w:tcPr>
            <w:tcW w:w="1254" w:type="dxa"/>
            <w:tcBorders>
              <w:top w:val="single" w:color="auto" w:sz="6" w:space="0"/>
              <w:left w:val="single" w:color="auto" w:sz="6" w:space="0"/>
              <w:bottom w:val="nil"/>
              <w:right w:val="single" w:color="auto" w:sz="6" w:space="0"/>
            </w:tcBorders>
          </w:tcPr>
          <w:p w14:paraId="5F77C05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30" w:type="dxa"/>
            <w:tcBorders>
              <w:top w:val="single" w:color="auto" w:sz="6" w:space="0"/>
              <w:left w:val="single" w:color="auto" w:sz="6" w:space="0"/>
              <w:bottom w:val="nil"/>
              <w:right w:val="nil"/>
            </w:tcBorders>
          </w:tcPr>
          <w:p w14:paraId="66430AC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53" w:type="dxa"/>
            <w:tcBorders>
              <w:top w:val="single" w:color="auto" w:sz="6" w:space="0"/>
              <w:left w:val="single" w:color="auto" w:sz="6" w:space="0"/>
              <w:bottom w:val="nil"/>
              <w:right w:val="nil"/>
            </w:tcBorders>
          </w:tcPr>
          <w:p w14:paraId="484F2F60">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auto"/>
                <w:sz w:val="24"/>
                <w:highlight w:val="none"/>
              </w:rPr>
            </w:pPr>
          </w:p>
        </w:tc>
        <w:tc>
          <w:tcPr>
            <w:tcW w:w="997" w:type="dxa"/>
            <w:tcBorders>
              <w:top w:val="single" w:color="auto" w:sz="6" w:space="0"/>
              <w:left w:val="single" w:color="auto" w:sz="6" w:space="0"/>
              <w:bottom w:val="nil"/>
              <w:right w:val="nil"/>
            </w:tcBorders>
          </w:tcPr>
          <w:p w14:paraId="50086D62">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auto"/>
                <w:sz w:val="24"/>
                <w:highlight w:val="none"/>
              </w:rPr>
            </w:pPr>
          </w:p>
        </w:tc>
        <w:tc>
          <w:tcPr>
            <w:tcW w:w="1440" w:type="dxa"/>
            <w:tcBorders>
              <w:top w:val="single" w:color="auto" w:sz="6" w:space="0"/>
              <w:left w:val="single" w:color="auto" w:sz="6" w:space="0"/>
              <w:bottom w:val="nil"/>
              <w:right w:val="nil"/>
            </w:tcBorders>
          </w:tcPr>
          <w:p w14:paraId="7DE4F5E1">
            <w:pPr>
              <w:tabs>
                <w:tab w:val="left" w:pos="7"/>
              </w:tabs>
              <w:suppressAutoHyphens/>
              <w:autoSpaceDE w:val="0"/>
              <w:autoSpaceDN w:val="0"/>
              <w:spacing w:line="360" w:lineRule="auto"/>
              <w:rPr>
                <w:rFonts w:hint="eastAsia" w:ascii="仿宋" w:hAnsi="仿宋" w:eastAsia="仿宋" w:cs="仿宋"/>
                <w:color w:val="auto"/>
                <w:sz w:val="24"/>
                <w:highlight w:val="none"/>
              </w:rPr>
            </w:pPr>
          </w:p>
        </w:tc>
        <w:tc>
          <w:tcPr>
            <w:tcW w:w="1620" w:type="dxa"/>
            <w:tcBorders>
              <w:top w:val="single" w:color="auto" w:sz="6" w:space="0"/>
              <w:left w:val="single" w:color="auto" w:sz="6" w:space="0"/>
              <w:bottom w:val="nil"/>
              <w:right w:val="single" w:color="auto" w:sz="6" w:space="0"/>
            </w:tcBorders>
          </w:tcPr>
          <w:p w14:paraId="6566EF44">
            <w:pPr>
              <w:suppressAutoHyphens/>
              <w:autoSpaceDE w:val="0"/>
              <w:autoSpaceDN w:val="0"/>
              <w:spacing w:line="360" w:lineRule="auto"/>
              <w:rPr>
                <w:rFonts w:hint="eastAsia" w:ascii="仿宋" w:hAnsi="仿宋" w:eastAsia="仿宋" w:cs="仿宋"/>
                <w:color w:val="auto"/>
                <w:sz w:val="24"/>
                <w:highlight w:val="none"/>
              </w:rPr>
            </w:pPr>
          </w:p>
        </w:tc>
      </w:tr>
      <w:tr w14:paraId="53ABAAD7">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3BAF9D52">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02060BE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35505E2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1C349619">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33284C36">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06B0B8B7">
            <w:pPr>
              <w:tabs>
                <w:tab w:val="left" w:pos="7"/>
              </w:tabs>
              <w:suppressAutoHyphens/>
              <w:autoSpaceDE w:val="0"/>
              <w:autoSpaceDN w:val="0"/>
              <w:spacing w:line="360" w:lineRule="auto"/>
              <w:rPr>
                <w:rFonts w:hint="eastAsia" w:ascii="仿宋" w:hAnsi="仿宋" w:eastAsia="仿宋" w:cs="仿宋"/>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6E7C02F5">
            <w:pPr>
              <w:suppressAutoHyphens/>
              <w:autoSpaceDE w:val="0"/>
              <w:autoSpaceDN w:val="0"/>
              <w:spacing w:line="360" w:lineRule="auto"/>
              <w:rPr>
                <w:rFonts w:hint="eastAsia" w:ascii="仿宋" w:hAnsi="仿宋" w:eastAsia="仿宋" w:cs="仿宋"/>
                <w:color w:val="auto"/>
                <w:sz w:val="24"/>
                <w:highlight w:val="none"/>
              </w:rPr>
            </w:pPr>
          </w:p>
        </w:tc>
      </w:tr>
    </w:tbl>
    <w:p w14:paraId="047969F4">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注解:A</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课程清单按时间顺序排列，并提供以下详细资料：</w:t>
      </w:r>
    </w:p>
    <w:p w14:paraId="522BE237">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highlight w:val="none"/>
        </w:rPr>
      </w:pPr>
      <w:r>
        <w:rPr>
          <w:rFonts w:hint="eastAsia" w:ascii="仿宋" w:hAnsi="仿宋" w:eastAsia="仿宋" w:cs="仿宋"/>
          <w:color w:val="auto"/>
          <w:sz w:val="24"/>
          <w:highlight w:val="none"/>
        </w:rPr>
        <w:t>课程概要</w:t>
      </w:r>
    </w:p>
    <w:p w14:paraId="252FBB0B">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highlight w:val="none"/>
        </w:rPr>
      </w:pPr>
      <w:r>
        <w:rPr>
          <w:rFonts w:hint="eastAsia" w:ascii="仿宋" w:hAnsi="仿宋" w:eastAsia="仿宋" w:cs="仿宋"/>
          <w:color w:val="auto"/>
          <w:sz w:val="24"/>
          <w:highlight w:val="none"/>
        </w:rPr>
        <w:t>课程目的</w:t>
      </w:r>
    </w:p>
    <w:p w14:paraId="0649E088">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highlight w:val="none"/>
        </w:rPr>
      </w:pPr>
      <w:r>
        <w:rPr>
          <w:rFonts w:hint="eastAsia" w:ascii="仿宋" w:hAnsi="仿宋" w:eastAsia="仿宋" w:cs="仿宋"/>
          <w:color w:val="auto"/>
          <w:sz w:val="24"/>
          <w:highlight w:val="none"/>
        </w:rPr>
        <w:t>教学方式</w:t>
      </w:r>
    </w:p>
    <w:p w14:paraId="15499B29">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highlight w:val="none"/>
        </w:rPr>
      </w:pPr>
      <w:r>
        <w:rPr>
          <w:rFonts w:hint="eastAsia" w:ascii="仿宋" w:hAnsi="仿宋" w:eastAsia="仿宋" w:cs="仿宋"/>
          <w:color w:val="auto"/>
          <w:sz w:val="24"/>
          <w:highlight w:val="none"/>
        </w:rPr>
        <w:t>先决条件</w:t>
      </w:r>
    </w:p>
    <w:p w14:paraId="389442CA">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highlight w:val="none"/>
        </w:rPr>
      </w:pPr>
      <w:r>
        <w:rPr>
          <w:rFonts w:hint="eastAsia" w:ascii="仿宋" w:hAnsi="仿宋" w:eastAsia="仿宋" w:cs="仿宋"/>
          <w:color w:val="auto"/>
          <w:sz w:val="24"/>
          <w:highlight w:val="none"/>
        </w:rPr>
        <w:t>教材目录</w:t>
      </w:r>
    </w:p>
    <w:p w14:paraId="7BAB077C">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B  按照附表A提供授课教师的简历</w:t>
      </w:r>
    </w:p>
    <w:p w14:paraId="6744B049">
      <w:pPr>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注：须随表提交相应的证书复印件并注明所在响应文件页码。</w:t>
      </w:r>
    </w:p>
    <w:p w14:paraId="09562F98">
      <w:pPr>
        <w:autoSpaceDE w:val="0"/>
        <w:autoSpaceDN w:val="0"/>
        <w:spacing w:line="360" w:lineRule="auto"/>
        <w:rPr>
          <w:rFonts w:hint="eastAsia" w:ascii="仿宋" w:hAnsi="仿宋" w:eastAsia="仿宋" w:cs="仿宋"/>
          <w:b/>
          <w:color w:val="auto"/>
          <w:sz w:val="24"/>
          <w:highlight w:val="none"/>
        </w:rPr>
      </w:pPr>
    </w:p>
    <w:p w14:paraId="1D4FBD77">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24857998">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1F00B7BA">
      <w:pPr>
        <w:spacing w:line="360" w:lineRule="auto"/>
        <w:jc w:val="center"/>
        <w:rPr>
          <w:rFonts w:hint="eastAsia" w:ascii="仿宋" w:hAnsi="仿宋" w:eastAsia="仿宋" w:cs="仿宋"/>
          <w:b/>
          <w:bCs/>
          <w:color w:val="auto"/>
          <w:sz w:val="32"/>
          <w:szCs w:val="32"/>
          <w:highlight w:val="none"/>
        </w:rPr>
      </w:pPr>
    </w:p>
    <w:p w14:paraId="16FD30A7">
      <w:pPr>
        <w:spacing w:line="360" w:lineRule="auto"/>
        <w:jc w:val="center"/>
        <w:rPr>
          <w:rFonts w:hint="eastAsia" w:ascii="仿宋" w:hAnsi="仿宋" w:eastAsia="仿宋" w:cs="仿宋"/>
          <w:color w:val="auto"/>
          <w:kern w:val="0"/>
          <w:sz w:val="24"/>
          <w:highlight w:val="none"/>
        </w:rPr>
      </w:pPr>
    </w:p>
    <w:p w14:paraId="14B994A5">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十五、随机特殊工具和备品备件清单</w:t>
      </w:r>
    </w:p>
    <w:tbl>
      <w:tblPr>
        <w:tblStyle w:val="62"/>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75B12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43DBB79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900" w:type="dxa"/>
            <w:vAlign w:val="center"/>
          </w:tcPr>
          <w:p w14:paraId="212E515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品牌</w:t>
            </w:r>
          </w:p>
        </w:tc>
        <w:tc>
          <w:tcPr>
            <w:tcW w:w="1800" w:type="dxa"/>
            <w:vAlign w:val="center"/>
          </w:tcPr>
          <w:p w14:paraId="2EDA141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制造厂/原产地</w:t>
            </w:r>
          </w:p>
        </w:tc>
        <w:tc>
          <w:tcPr>
            <w:tcW w:w="2880" w:type="dxa"/>
            <w:vAlign w:val="center"/>
          </w:tcPr>
          <w:p w14:paraId="7AE68DF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规格型号</w:t>
            </w:r>
          </w:p>
        </w:tc>
        <w:tc>
          <w:tcPr>
            <w:tcW w:w="1332" w:type="dxa"/>
            <w:vAlign w:val="center"/>
          </w:tcPr>
          <w:p w14:paraId="3CD7622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 量</w:t>
            </w:r>
          </w:p>
        </w:tc>
      </w:tr>
      <w:tr w14:paraId="49FFE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BA77871">
            <w:pPr>
              <w:pStyle w:val="34"/>
              <w:spacing w:line="360" w:lineRule="auto"/>
              <w:jc w:val="center"/>
              <w:rPr>
                <w:rFonts w:hint="eastAsia" w:ascii="仿宋" w:hAnsi="仿宋" w:eastAsia="仿宋" w:cs="仿宋"/>
                <w:color w:val="auto"/>
                <w:sz w:val="24"/>
                <w:highlight w:val="none"/>
              </w:rPr>
            </w:pPr>
          </w:p>
        </w:tc>
        <w:tc>
          <w:tcPr>
            <w:tcW w:w="1900" w:type="dxa"/>
          </w:tcPr>
          <w:p w14:paraId="57500B50">
            <w:pPr>
              <w:pStyle w:val="34"/>
              <w:spacing w:line="360" w:lineRule="auto"/>
              <w:jc w:val="center"/>
              <w:rPr>
                <w:rFonts w:hint="eastAsia" w:ascii="仿宋" w:hAnsi="仿宋" w:eastAsia="仿宋" w:cs="仿宋"/>
                <w:color w:val="auto"/>
                <w:sz w:val="24"/>
                <w:highlight w:val="none"/>
              </w:rPr>
            </w:pPr>
          </w:p>
        </w:tc>
        <w:tc>
          <w:tcPr>
            <w:tcW w:w="1800" w:type="dxa"/>
          </w:tcPr>
          <w:p w14:paraId="4A92C63E">
            <w:pPr>
              <w:pStyle w:val="34"/>
              <w:spacing w:line="360" w:lineRule="auto"/>
              <w:jc w:val="center"/>
              <w:rPr>
                <w:rFonts w:hint="eastAsia" w:ascii="仿宋" w:hAnsi="仿宋" w:eastAsia="仿宋" w:cs="仿宋"/>
                <w:color w:val="auto"/>
                <w:sz w:val="24"/>
                <w:highlight w:val="none"/>
              </w:rPr>
            </w:pPr>
          </w:p>
        </w:tc>
        <w:tc>
          <w:tcPr>
            <w:tcW w:w="2880" w:type="dxa"/>
          </w:tcPr>
          <w:p w14:paraId="47745D32">
            <w:pPr>
              <w:pStyle w:val="34"/>
              <w:spacing w:line="360" w:lineRule="auto"/>
              <w:jc w:val="center"/>
              <w:rPr>
                <w:rFonts w:hint="eastAsia" w:ascii="仿宋" w:hAnsi="仿宋" w:eastAsia="仿宋" w:cs="仿宋"/>
                <w:color w:val="auto"/>
                <w:sz w:val="24"/>
                <w:highlight w:val="none"/>
              </w:rPr>
            </w:pPr>
          </w:p>
        </w:tc>
        <w:tc>
          <w:tcPr>
            <w:tcW w:w="1332" w:type="dxa"/>
          </w:tcPr>
          <w:p w14:paraId="71DCD1E0">
            <w:pPr>
              <w:pStyle w:val="34"/>
              <w:spacing w:line="360" w:lineRule="auto"/>
              <w:jc w:val="center"/>
              <w:rPr>
                <w:rFonts w:hint="eastAsia" w:ascii="仿宋" w:hAnsi="仿宋" w:eastAsia="仿宋" w:cs="仿宋"/>
                <w:color w:val="auto"/>
                <w:sz w:val="24"/>
                <w:highlight w:val="none"/>
              </w:rPr>
            </w:pPr>
          </w:p>
        </w:tc>
      </w:tr>
      <w:tr w14:paraId="7AA67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E082148">
            <w:pPr>
              <w:pStyle w:val="34"/>
              <w:spacing w:line="360" w:lineRule="auto"/>
              <w:jc w:val="center"/>
              <w:rPr>
                <w:rFonts w:hint="eastAsia" w:ascii="仿宋" w:hAnsi="仿宋" w:eastAsia="仿宋" w:cs="仿宋"/>
                <w:color w:val="auto"/>
                <w:sz w:val="24"/>
                <w:highlight w:val="none"/>
              </w:rPr>
            </w:pPr>
          </w:p>
        </w:tc>
        <w:tc>
          <w:tcPr>
            <w:tcW w:w="1900" w:type="dxa"/>
          </w:tcPr>
          <w:p w14:paraId="2478E0C5">
            <w:pPr>
              <w:pStyle w:val="34"/>
              <w:spacing w:line="360" w:lineRule="auto"/>
              <w:jc w:val="center"/>
              <w:rPr>
                <w:rFonts w:hint="eastAsia" w:ascii="仿宋" w:hAnsi="仿宋" w:eastAsia="仿宋" w:cs="仿宋"/>
                <w:color w:val="auto"/>
                <w:sz w:val="24"/>
                <w:highlight w:val="none"/>
              </w:rPr>
            </w:pPr>
          </w:p>
        </w:tc>
        <w:tc>
          <w:tcPr>
            <w:tcW w:w="1800" w:type="dxa"/>
          </w:tcPr>
          <w:p w14:paraId="021A7718">
            <w:pPr>
              <w:pStyle w:val="34"/>
              <w:spacing w:line="360" w:lineRule="auto"/>
              <w:jc w:val="center"/>
              <w:rPr>
                <w:rFonts w:hint="eastAsia" w:ascii="仿宋" w:hAnsi="仿宋" w:eastAsia="仿宋" w:cs="仿宋"/>
                <w:color w:val="auto"/>
                <w:sz w:val="24"/>
                <w:highlight w:val="none"/>
              </w:rPr>
            </w:pPr>
          </w:p>
        </w:tc>
        <w:tc>
          <w:tcPr>
            <w:tcW w:w="2880" w:type="dxa"/>
          </w:tcPr>
          <w:p w14:paraId="05758477">
            <w:pPr>
              <w:pStyle w:val="34"/>
              <w:spacing w:line="360" w:lineRule="auto"/>
              <w:jc w:val="center"/>
              <w:rPr>
                <w:rFonts w:hint="eastAsia" w:ascii="仿宋" w:hAnsi="仿宋" w:eastAsia="仿宋" w:cs="仿宋"/>
                <w:color w:val="auto"/>
                <w:sz w:val="24"/>
                <w:highlight w:val="none"/>
              </w:rPr>
            </w:pPr>
          </w:p>
        </w:tc>
        <w:tc>
          <w:tcPr>
            <w:tcW w:w="1332" w:type="dxa"/>
          </w:tcPr>
          <w:p w14:paraId="28CB6433">
            <w:pPr>
              <w:pStyle w:val="34"/>
              <w:spacing w:line="360" w:lineRule="auto"/>
              <w:jc w:val="center"/>
              <w:rPr>
                <w:rFonts w:hint="eastAsia" w:ascii="仿宋" w:hAnsi="仿宋" w:eastAsia="仿宋" w:cs="仿宋"/>
                <w:color w:val="auto"/>
                <w:sz w:val="24"/>
                <w:highlight w:val="none"/>
              </w:rPr>
            </w:pPr>
          </w:p>
        </w:tc>
      </w:tr>
      <w:tr w14:paraId="59B87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7D2722F">
            <w:pPr>
              <w:pStyle w:val="34"/>
              <w:spacing w:line="360" w:lineRule="auto"/>
              <w:jc w:val="center"/>
              <w:rPr>
                <w:rFonts w:hint="eastAsia" w:ascii="仿宋" w:hAnsi="仿宋" w:eastAsia="仿宋" w:cs="仿宋"/>
                <w:color w:val="auto"/>
                <w:sz w:val="24"/>
                <w:highlight w:val="none"/>
              </w:rPr>
            </w:pPr>
          </w:p>
        </w:tc>
        <w:tc>
          <w:tcPr>
            <w:tcW w:w="1900" w:type="dxa"/>
          </w:tcPr>
          <w:p w14:paraId="3DE8D0B5">
            <w:pPr>
              <w:pStyle w:val="34"/>
              <w:spacing w:line="360" w:lineRule="auto"/>
              <w:jc w:val="center"/>
              <w:rPr>
                <w:rFonts w:hint="eastAsia" w:ascii="仿宋" w:hAnsi="仿宋" w:eastAsia="仿宋" w:cs="仿宋"/>
                <w:color w:val="auto"/>
                <w:sz w:val="24"/>
                <w:highlight w:val="none"/>
              </w:rPr>
            </w:pPr>
          </w:p>
        </w:tc>
        <w:tc>
          <w:tcPr>
            <w:tcW w:w="1800" w:type="dxa"/>
          </w:tcPr>
          <w:p w14:paraId="3B4BCCEE">
            <w:pPr>
              <w:pStyle w:val="34"/>
              <w:spacing w:line="360" w:lineRule="auto"/>
              <w:jc w:val="center"/>
              <w:rPr>
                <w:rFonts w:hint="eastAsia" w:ascii="仿宋" w:hAnsi="仿宋" w:eastAsia="仿宋" w:cs="仿宋"/>
                <w:color w:val="auto"/>
                <w:sz w:val="24"/>
                <w:highlight w:val="none"/>
              </w:rPr>
            </w:pPr>
          </w:p>
        </w:tc>
        <w:tc>
          <w:tcPr>
            <w:tcW w:w="2880" w:type="dxa"/>
          </w:tcPr>
          <w:p w14:paraId="73F5FE41">
            <w:pPr>
              <w:pStyle w:val="34"/>
              <w:spacing w:line="360" w:lineRule="auto"/>
              <w:jc w:val="center"/>
              <w:rPr>
                <w:rFonts w:hint="eastAsia" w:ascii="仿宋" w:hAnsi="仿宋" w:eastAsia="仿宋" w:cs="仿宋"/>
                <w:color w:val="auto"/>
                <w:sz w:val="24"/>
                <w:highlight w:val="none"/>
              </w:rPr>
            </w:pPr>
          </w:p>
        </w:tc>
        <w:tc>
          <w:tcPr>
            <w:tcW w:w="1332" w:type="dxa"/>
          </w:tcPr>
          <w:p w14:paraId="165410AC">
            <w:pPr>
              <w:pStyle w:val="34"/>
              <w:spacing w:line="360" w:lineRule="auto"/>
              <w:jc w:val="center"/>
              <w:rPr>
                <w:rFonts w:hint="eastAsia" w:ascii="仿宋" w:hAnsi="仿宋" w:eastAsia="仿宋" w:cs="仿宋"/>
                <w:color w:val="auto"/>
                <w:sz w:val="24"/>
                <w:highlight w:val="none"/>
              </w:rPr>
            </w:pPr>
          </w:p>
        </w:tc>
      </w:tr>
      <w:tr w14:paraId="04B37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E76BCD3">
            <w:pPr>
              <w:pStyle w:val="34"/>
              <w:spacing w:line="360" w:lineRule="auto"/>
              <w:jc w:val="center"/>
              <w:rPr>
                <w:rFonts w:hint="eastAsia" w:ascii="仿宋" w:hAnsi="仿宋" w:eastAsia="仿宋" w:cs="仿宋"/>
                <w:color w:val="auto"/>
                <w:sz w:val="24"/>
                <w:highlight w:val="none"/>
              </w:rPr>
            </w:pPr>
          </w:p>
        </w:tc>
        <w:tc>
          <w:tcPr>
            <w:tcW w:w="1900" w:type="dxa"/>
          </w:tcPr>
          <w:p w14:paraId="3C8E8D59">
            <w:pPr>
              <w:pStyle w:val="34"/>
              <w:spacing w:line="360" w:lineRule="auto"/>
              <w:jc w:val="center"/>
              <w:rPr>
                <w:rFonts w:hint="eastAsia" w:ascii="仿宋" w:hAnsi="仿宋" w:eastAsia="仿宋" w:cs="仿宋"/>
                <w:color w:val="auto"/>
                <w:sz w:val="24"/>
                <w:highlight w:val="none"/>
              </w:rPr>
            </w:pPr>
          </w:p>
        </w:tc>
        <w:tc>
          <w:tcPr>
            <w:tcW w:w="1800" w:type="dxa"/>
          </w:tcPr>
          <w:p w14:paraId="095C116C">
            <w:pPr>
              <w:pStyle w:val="34"/>
              <w:spacing w:line="360" w:lineRule="auto"/>
              <w:jc w:val="center"/>
              <w:rPr>
                <w:rFonts w:hint="eastAsia" w:ascii="仿宋" w:hAnsi="仿宋" w:eastAsia="仿宋" w:cs="仿宋"/>
                <w:color w:val="auto"/>
                <w:sz w:val="24"/>
                <w:highlight w:val="none"/>
              </w:rPr>
            </w:pPr>
          </w:p>
        </w:tc>
        <w:tc>
          <w:tcPr>
            <w:tcW w:w="2880" w:type="dxa"/>
          </w:tcPr>
          <w:p w14:paraId="43385055">
            <w:pPr>
              <w:pStyle w:val="34"/>
              <w:spacing w:line="360" w:lineRule="auto"/>
              <w:jc w:val="center"/>
              <w:rPr>
                <w:rFonts w:hint="eastAsia" w:ascii="仿宋" w:hAnsi="仿宋" w:eastAsia="仿宋" w:cs="仿宋"/>
                <w:color w:val="auto"/>
                <w:sz w:val="24"/>
                <w:highlight w:val="none"/>
              </w:rPr>
            </w:pPr>
          </w:p>
        </w:tc>
        <w:tc>
          <w:tcPr>
            <w:tcW w:w="1332" w:type="dxa"/>
          </w:tcPr>
          <w:p w14:paraId="65726DC7">
            <w:pPr>
              <w:pStyle w:val="34"/>
              <w:spacing w:line="360" w:lineRule="auto"/>
              <w:jc w:val="center"/>
              <w:rPr>
                <w:rFonts w:hint="eastAsia" w:ascii="仿宋" w:hAnsi="仿宋" w:eastAsia="仿宋" w:cs="仿宋"/>
                <w:color w:val="auto"/>
                <w:sz w:val="24"/>
                <w:highlight w:val="none"/>
              </w:rPr>
            </w:pPr>
          </w:p>
        </w:tc>
      </w:tr>
      <w:tr w14:paraId="66105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918F9A7">
            <w:pPr>
              <w:pStyle w:val="34"/>
              <w:spacing w:line="360" w:lineRule="auto"/>
              <w:jc w:val="center"/>
              <w:rPr>
                <w:rFonts w:hint="eastAsia" w:ascii="仿宋" w:hAnsi="仿宋" w:eastAsia="仿宋" w:cs="仿宋"/>
                <w:color w:val="auto"/>
                <w:sz w:val="24"/>
                <w:highlight w:val="none"/>
              </w:rPr>
            </w:pPr>
          </w:p>
        </w:tc>
        <w:tc>
          <w:tcPr>
            <w:tcW w:w="1900" w:type="dxa"/>
          </w:tcPr>
          <w:p w14:paraId="70ED4C7C">
            <w:pPr>
              <w:pStyle w:val="34"/>
              <w:spacing w:line="360" w:lineRule="auto"/>
              <w:jc w:val="center"/>
              <w:rPr>
                <w:rFonts w:hint="eastAsia" w:ascii="仿宋" w:hAnsi="仿宋" w:eastAsia="仿宋" w:cs="仿宋"/>
                <w:color w:val="auto"/>
                <w:sz w:val="24"/>
                <w:highlight w:val="none"/>
              </w:rPr>
            </w:pPr>
          </w:p>
        </w:tc>
        <w:tc>
          <w:tcPr>
            <w:tcW w:w="1800" w:type="dxa"/>
          </w:tcPr>
          <w:p w14:paraId="489900B5">
            <w:pPr>
              <w:pStyle w:val="34"/>
              <w:spacing w:line="360" w:lineRule="auto"/>
              <w:jc w:val="center"/>
              <w:rPr>
                <w:rFonts w:hint="eastAsia" w:ascii="仿宋" w:hAnsi="仿宋" w:eastAsia="仿宋" w:cs="仿宋"/>
                <w:color w:val="auto"/>
                <w:sz w:val="24"/>
                <w:highlight w:val="none"/>
              </w:rPr>
            </w:pPr>
          </w:p>
        </w:tc>
        <w:tc>
          <w:tcPr>
            <w:tcW w:w="2880" w:type="dxa"/>
          </w:tcPr>
          <w:p w14:paraId="41D03A1D">
            <w:pPr>
              <w:pStyle w:val="34"/>
              <w:spacing w:line="360" w:lineRule="auto"/>
              <w:jc w:val="center"/>
              <w:rPr>
                <w:rFonts w:hint="eastAsia" w:ascii="仿宋" w:hAnsi="仿宋" w:eastAsia="仿宋" w:cs="仿宋"/>
                <w:color w:val="auto"/>
                <w:sz w:val="24"/>
                <w:highlight w:val="none"/>
              </w:rPr>
            </w:pPr>
          </w:p>
        </w:tc>
        <w:tc>
          <w:tcPr>
            <w:tcW w:w="1332" w:type="dxa"/>
          </w:tcPr>
          <w:p w14:paraId="6594FEFA">
            <w:pPr>
              <w:pStyle w:val="34"/>
              <w:spacing w:line="360" w:lineRule="auto"/>
              <w:jc w:val="center"/>
              <w:rPr>
                <w:rFonts w:hint="eastAsia" w:ascii="仿宋" w:hAnsi="仿宋" w:eastAsia="仿宋" w:cs="仿宋"/>
                <w:color w:val="auto"/>
                <w:sz w:val="24"/>
                <w:highlight w:val="none"/>
              </w:rPr>
            </w:pPr>
          </w:p>
        </w:tc>
      </w:tr>
      <w:tr w14:paraId="28297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1053833">
            <w:pPr>
              <w:pStyle w:val="34"/>
              <w:spacing w:line="360" w:lineRule="auto"/>
              <w:rPr>
                <w:rFonts w:hint="eastAsia" w:ascii="仿宋" w:hAnsi="仿宋" w:eastAsia="仿宋" w:cs="仿宋"/>
                <w:color w:val="auto"/>
                <w:sz w:val="24"/>
                <w:highlight w:val="none"/>
              </w:rPr>
            </w:pPr>
          </w:p>
        </w:tc>
        <w:tc>
          <w:tcPr>
            <w:tcW w:w="1900" w:type="dxa"/>
          </w:tcPr>
          <w:p w14:paraId="0C4948FB">
            <w:pPr>
              <w:pStyle w:val="34"/>
              <w:spacing w:line="360" w:lineRule="auto"/>
              <w:jc w:val="center"/>
              <w:rPr>
                <w:rFonts w:hint="eastAsia" w:ascii="仿宋" w:hAnsi="仿宋" w:eastAsia="仿宋" w:cs="仿宋"/>
                <w:color w:val="auto"/>
                <w:sz w:val="24"/>
                <w:highlight w:val="none"/>
              </w:rPr>
            </w:pPr>
          </w:p>
        </w:tc>
        <w:tc>
          <w:tcPr>
            <w:tcW w:w="1800" w:type="dxa"/>
          </w:tcPr>
          <w:p w14:paraId="5DB4150E">
            <w:pPr>
              <w:pStyle w:val="34"/>
              <w:spacing w:line="360" w:lineRule="auto"/>
              <w:jc w:val="center"/>
              <w:rPr>
                <w:rFonts w:hint="eastAsia" w:ascii="仿宋" w:hAnsi="仿宋" w:eastAsia="仿宋" w:cs="仿宋"/>
                <w:color w:val="auto"/>
                <w:sz w:val="24"/>
                <w:highlight w:val="none"/>
              </w:rPr>
            </w:pPr>
          </w:p>
        </w:tc>
        <w:tc>
          <w:tcPr>
            <w:tcW w:w="2880" w:type="dxa"/>
          </w:tcPr>
          <w:p w14:paraId="4E66FE94">
            <w:pPr>
              <w:pStyle w:val="34"/>
              <w:spacing w:line="360" w:lineRule="auto"/>
              <w:jc w:val="center"/>
              <w:rPr>
                <w:rFonts w:hint="eastAsia" w:ascii="仿宋" w:hAnsi="仿宋" w:eastAsia="仿宋" w:cs="仿宋"/>
                <w:color w:val="auto"/>
                <w:sz w:val="24"/>
                <w:highlight w:val="none"/>
              </w:rPr>
            </w:pPr>
          </w:p>
        </w:tc>
        <w:tc>
          <w:tcPr>
            <w:tcW w:w="1332" w:type="dxa"/>
          </w:tcPr>
          <w:p w14:paraId="5BC9C4D5">
            <w:pPr>
              <w:pStyle w:val="34"/>
              <w:spacing w:line="360" w:lineRule="auto"/>
              <w:jc w:val="center"/>
              <w:rPr>
                <w:rFonts w:hint="eastAsia" w:ascii="仿宋" w:hAnsi="仿宋" w:eastAsia="仿宋" w:cs="仿宋"/>
                <w:color w:val="auto"/>
                <w:sz w:val="24"/>
                <w:highlight w:val="none"/>
              </w:rPr>
            </w:pPr>
          </w:p>
        </w:tc>
      </w:tr>
      <w:tr w14:paraId="03D41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4DD9A28">
            <w:pPr>
              <w:pStyle w:val="34"/>
              <w:spacing w:line="360" w:lineRule="auto"/>
              <w:jc w:val="center"/>
              <w:rPr>
                <w:rFonts w:hint="eastAsia" w:ascii="仿宋" w:hAnsi="仿宋" w:eastAsia="仿宋" w:cs="仿宋"/>
                <w:color w:val="auto"/>
                <w:sz w:val="24"/>
                <w:highlight w:val="none"/>
              </w:rPr>
            </w:pPr>
          </w:p>
        </w:tc>
        <w:tc>
          <w:tcPr>
            <w:tcW w:w="1900" w:type="dxa"/>
          </w:tcPr>
          <w:p w14:paraId="0FE45696">
            <w:pPr>
              <w:pStyle w:val="34"/>
              <w:spacing w:line="360" w:lineRule="auto"/>
              <w:jc w:val="center"/>
              <w:rPr>
                <w:rFonts w:hint="eastAsia" w:ascii="仿宋" w:hAnsi="仿宋" w:eastAsia="仿宋" w:cs="仿宋"/>
                <w:color w:val="auto"/>
                <w:sz w:val="24"/>
                <w:highlight w:val="none"/>
              </w:rPr>
            </w:pPr>
          </w:p>
        </w:tc>
        <w:tc>
          <w:tcPr>
            <w:tcW w:w="1800" w:type="dxa"/>
          </w:tcPr>
          <w:p w14:paraId="2B5CF6E3">
            <w:pPr>
              <w:pStyle w:val="34"/>
              <w:spacing w:line="360" w:lineRule="auto"/>
              <w:jc w:val="center"/>
              <w:rPr>
                <w:rFonts w:hint="eastAsia" w:ascii="仿宋" w:hAnsi="仿宋" w:eastAsia="仿宋" w:cs="仿宋"/>
                <w:color w:val="auto"/>
                <w:sz w:val="24"/>
                <w:highlight w:val="none"/>
              </w:rPr>
            </w:pPr>
          </w:p>
        </w:tc>
        <w:tc>
          <w:tcPr>
            <w:tcW w:w="2880" w:type="dxa"/>
          </w:tcPr>
          <w:p w14:paraId="689DC644">
            <w:pPr>
              <w:pStyle w:val="34"/>
              <w:spacing w:line="360" w:lineRule="auto"/>
              <w:jc w:val="center"/>
              <w:rPr>
                <w:rFonts w:hint="eastAsia" w:ascii="仿宋" w:hAnsi="仿宋" w:eastAsia="仿宋" w:cs="仿宋"/>
                <w:color w:val="auto"/>
                <w:sz w:val="24"/>
                <w:highlight w:val="none"/>
              </w:rPr>
            </w:pPr>
          </w:p>
        </w:tc>
        <w:tc>
          <w:tcPr>
            <w:tcW w:w="1332" w:type="dxa"/>
          </w:tcPr>
          <w:p w14:paraId="46E8146B">
            <w:pPr>
              <w:pStyle w:val="34"/>
              <w:spacing w:line="360" w:lineRule="auto"/>
              <w:jc w:val="center"/>
              <w:rPr>
                <w:rFonts w:hint="eastAsia" w:ascii="仿宋" w:hAnsi="仿宋" w:eastAsia="仿宋" w:cs="仿宋"/>
                <w:color w:val="auto"/>
                <w:sz w:val="24"/>
                <w:highlight w:val="none"/>
              </w:rPr>
            </w:pPr>
          </w:p>
        </w:tc>
      </w:tr>
    </w:tbl>
    <w:p w14:paraId="567C59CD">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注：随机特殊工具和备品备件是指供应商在供货时免费赠送给采购人的工具及零配件，以备用。</w:t>
      </w:r>
    </w:p>
    <w:p w14:paraId="2F8467EF">
      <w:pPr>
        <w:spacing w:line="360" w:lineRule="auto"/>
        <w:ind w:firstLine="480" w:firstLineChars="200"/>
        <w:rPr>
          <w:rFonts w:hint="eastAsia" w:ascii="仿宋" w:hAnsi="仿宋" w:eastAsia="仿宋" w:cs="仿宋"/>
          <w:color w:val="auto"/>
          <w:sz w:val="24"/>
          <w:highlight w:val="none"/>
        </w:rPr>
      </w:pPr>
    </w:p>
    <w:p w14:paraId="0C6ECADC">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26C18DAD">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235A279F">
      <w:pPr>
        <w:spacing w:line="360" w:lineRule="auto"/>
        <w:jc w:val="center"/>
        <w:rPr>
          <w:rFonts w:hint="eastAsia" w:ascii="仿宋" w:hAnsi="仿宋" w:eastAsia="仿宋" w:cs="仿宋"/>
          <w:b/>
          <w:bCs/>
          <w:color w:val="auto"/>
          <w:sz w:val="32"/>
          <w:szCs w:val="32"/>
          <w:highlight w:val="none"/>
        </w:rPr>
      </w:pPr>
    </w:p>
    <w:p w14:paraId="5ACE81DC">
      <w:pPr>
        <w:spacing w:line="360" w:lineRule="auto"/>
        <w:jc w:val="center"/>
        <w:rPr>
          <w:rFonts w:hint="eastAsia" w:ascii="仿宋" w:hAnsi="仿宋" w:eastAsia="仿宋" w:cs="仿宋"/>
          <w:color w:val="auto"/>
          <w:kern w:val="0"/>
          <w:sz w:val="24"/>
          <w:highlight w:val="none"/>
        </w:rPr>
      </w:pPr>
    </w:p>
    <w:p w14:paraId="7952B4C6">
      <w:pPr>
        <w:spacing w:line="360" w:lineRule="auto"/>
        <w:jc w:val="center"/>
        <w:rPr>
          <w:rFonts w:hint="eastAsia" w:ascii="仿宋" w:hAnsi="仿宋" w:eastAsia="仿宋" w:cs="仿宋"/>
          <w:color w:val="auto"/>
          <w:kern w:val="0"/>
          <w:sz w:val="24"/>
          <w:highlight w:val="none"/>
        </w:rPr>
      </w:pPr>
    </w:p>
    <w:p w14:paraId="68B07C9F">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rPr>
        <w:t>十六、认为需求的</w:t>
      </w:r>
      <w:r>
        <w:rPr>
          <w:rFonts w:hint="eastAsia" w:ascii="仿宋" w:hAnsi="仿宋" w:eastAsia="仿宋" w:cs="仿宋"/>
          <w:b/>
          <w:color w:val="auto"/>
          <w:kern w:val="0"/>
          <w:sz w:val="32"/>
          <w:szCs w:val="32"/>
          <w:highlight w:val="none"/>
          <w:lang w:val="zh-CN"/>
        </w:rPr>
        <w:t>其他技术文件或说明</w:t>
      </w:r>
    </w:p>
    <w:p w14:paraId="75C2772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77D29358">
      <w:pPr>
        <w:spacing w:line="360" w:lineRule="auto"/>
        <w:rPr>
          <w:rFonts w:hint="eastAsia" w:ascii="仿宋" w:hAnsi="仿宋" w:eastAsia="仿宋" w:cs="仿宋"/>
          <w:color w:val="auto"/>
          <w:sz w:val="24"/>
          <w:highlight w:val="none"/>
        </w:rPr>
      </w:pPr>
    </w:p>
    <w:p w14:paraId="5B758E19">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65D79B24">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2699FDB4">
      <w:pPr>
        <w:spacing w:line="360" w:lineRule="auto"/>
        <w:jc w:val="center"/>
        <w:rPr>
          <w:rFonts w:hint="eastAsia" w:ascii="仿宋" w:hAnsi="仿宋" w:eastAsia="仿宋" w:cs="仿宋"/>
          <w:b/>
          <w:bCs/>
          <w:color w:val="auto"/>
          <w:sz w:val="32"/>
          <w:szCs w:val="32"/>
          <w:highlight w:val="none"/>
        </w:rPr>
      </w:pPr>
    </w:p>
    <w:p w14:paraId="6390E6D7">
      <w:pPr>
        <w:tabs>
          <w:tab w:val="left" w:pos="0"/>
        </w:tabs>
        <w:autoSpaceDE w:val="0"/>
        <w:autoSpaceDN w:val="0"/>
        <w:spacing w:line="360" w:lineRule="auto"/>
        <w:ind w:firstLine="2409" w:firstLineChars="800"/>
        <w:rPr>
          <w:rFonts w:hint="eastAsia" w:ascii="仿宋" w:hAnsi="仿宋" w:eastAsia="仿宋" w:cs="仿宋"/>
          <w:b/>
          <w:bCs/>
          <w:color w:val="auto"/>
          <w:sz w:val="30"/>
          <w:szCs w:val="30"/>
          <w:highlight w:val="none"/>
        </w:rPr>
      </w:pPr>
    </w:p>
    <w:p w14:paraId="59878D3F">
      <w:pPr>
        <w:tabs>
          <w:tab w:val="left" w:pos="0"/>
        </w:tabs>
        <w:autoSpaceDE w:val="0"/>
        <w:autoSpaceDN w:val="0"/>
        <w:spacing w:line="360" w:lineRule="auto"/>
        <w:jc w:val="center"/>
        <w:rPr>
          <w:rFonts w:hint="eastAsia" w:ascii="仿宋" w:hAnsi="仿宋" w:eastAsia="仿宋" w:cs="仿宋"/>
          <w:b/>
          <w:bCs/>
          <w:color w:val="auto"/>
          <w:sz w:val="30"/>
          <w:szCs w:val="30"/>
          <w:highlight w:val="none"/>
        </w:rPr>
      </w:pPr>
    </w:p>
    <w:p w14:paraId="383F1DA1">
      <w:pPr>
        <w:widowControl/>
        <w:adjustRightInd/>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p>
    <w:p w14:paraId="08020A50">
      <w:pPr>
        <w:tabs>
          <w:tab w:val="left" w:pos="0"/>
        </w:tabs>
        <w:autoSpaceDE w:val="0"/>
        <w:autoSpaceDN w:val="0"/>
        <w:spacing w:line="360" w:lineRule="auto"/>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十七、</w:t>
      </w:r>
      <w:r>
        <w:rPr>
          <w:rFonts w:hint="eastAsia" w:ascii="仿宋" w:hAnsi="仿宋" w:eastAsia="仿宋" w:cs="仿宋"/>
          <w:b/>
          <w:color w:val="auto"/>
          <w:kern w:val="0"/>
          <w:sz w:val="32"/>
          <w:szCs w:val="32"/>
          <w:highlight w:val="none"/>
          <w:lang w:val="zh-CN"/>
        </w:rPr>
        <w:t>政府采购供应商廉洁自律承诺书</w:t>
      </w:r>
    </w:p>
    <w:p w14:paraId="6296DFAA">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lang w:val="zh-CN"/>
        </w:rPr>
        <w:t>建德经济开发区管理委员会</w:t>
      </w:r>
      <w:r>
        <w:rPr>
          <w:rFonts w:hint="eastAsia" w:ascii="仿宋" w:hAnsi="仿宋" w:eastAsia="仿宋" w:cs="仿宋"/>
          <w:color w:val="auto"/>
          <w:kern w:val="0"/>
          <w:sz w:val="24"/>
          <w:highlight w:val="none"/>
          <w:lang w:val="zh-CN"/>
        </w:rPr>
        <w:t xml:space="preserve">：    </w:t>
      </w:r>
    </w:p>
    <w:p w14:paraId="4EF26EB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项目采购要求参加响应。在这次响应过程中和成交后，我们将严格遵守国家法律法规要求，并郑重承诺：</w:t>
      </w:r>
    </w:p>
    <w:p w14:paraId="38221D5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35715DA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5AA0CCE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133DD084">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669F8EAA">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5AD83CC7">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3D8341D1">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1AED1A85">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有权立即取消我单位响应、成交或在建项目的建设资格，有权拒绝我单位在一定时期内进入你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58CF13E1">
      <w:pPr>
        <w:autoSpaceDE w:val="0"/>
        <w:autoSpaceDN w:val="0"/>
        <w:spacing w:line="360" w:lineRule="auto"/>
        <w:ind w:left="2"/>
        <w:jc w:val="left"/>
        <w:rPr>
          <w:rFonts w:hint="eastAsia" w:ascii="仿宋" w:hAnsi="仿宋" w:eastAsia="仿宋" w:cs="仿宋"/>
          <w:color w:val="auto"/>
          <w:kern w:val="0"/>
          <w:sz w:val="24"/>
          <w:highlight w:val="none"/>
          <w:lang w:val="zh-CN"/>
        </w:rPr>
      </w:pPr>
    </w:p>
    <w:p w14:paraId="27676AF6">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528B5D4">
      <w:pPr>
        <w:autoSpaceDE w:val="0"/>
        <w:autoSpaceDN w:val="0"/>
        <w:spacing w:line="360" w:lineRule="auto"/>
        <w:ind w:left="2"/>
        <w:jc w:val="left"/>
        <w:rPr>
          <w:rFonts w:hint="eastAsia" w:ascii="仿宋" w:hAnsi="仿宋" w:eastAsia="仿宋" w:cs="仿宋"/>
          <w:color w:val="auto"/>
          <w:kern w:val="0"/>
          <w:sz w:val="24"/>
          <w:highlight w:val="none"/>
          <w:lang w:val="zh-CN"/>
        </w:rPr>
      </w:pPr>
    </w:p>
    <w:p w14:paraId="056860C2">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供应商</w:t>
      </w:r>
      <w:r>
        <w:rPr>
          <w:rFonts w:hint="eastAsia" w:ascii="仿宋" w:hAnsi="仿宋" w:eastAsia="仿宋" w:cs="仿宋"/>
          <w:color w:val="auto"/>
          <w:kern w:val="0"/>
          <w:sz w:val="24"/>
          <w:highlight w:val="none"/>
          <w:lang w:val="zh-CN"/>
        </w:rPr>
        <w:t>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3986A2F3">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46D13F2F">
      <w:pPr>
        <w:spacing w:line="360" w:lineRule="auto"/>
        <w:jc w:val="center"/>
        <w:rPr>
          <w:rFonts w:hint="eastAsia" w:ascii="仿宋" w:hAnsi="仿宋" w:eastAsia="仿宋" w:cs="仿宋"/>
          <w:b/>
          <w:color w:val="auto"/>
          <w:sz w:val="36"/>
          <w:szCs w:val="36"/>
          <w:highlight w:val="none"/>
        </w:rPr>
      </w:pPr>
    </w:p>
    <w:p w14:paraId="75F0A6CC">
      <w:pPr>
        <w:widowControl/>
        <w:adjustRightInd/>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4ACFEB42">
      <w:pPr>
        <w:pStyle w:val="118"/>
        <w:keepNext w:val="0"/>
        <w:pageBreakBefore w:val="0"/>
        <w:tabs>
          <w:tab w:val="clear" w:pos="720"/>
        </w:tabs>
        <w:ind w:firstLine="640"/>
        <w:outlineLvl w:val="9"/>
        <w:rPr>
          <w:rFonts w:hint="eastAsia" w:ascii="仿宋" w:hAnsi="仿宋" w:eastAsia="仿宋" w:cs="仿宋"/>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156D2D36">
      <w:pPr>
        <w:pStyle w:val="395"/>
        <w:ind w:firstLine="0" w:firstLineChars="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第八部分 最后报价格式</w:t>
      </w:r>
    </w:p>
    <w:p w14:paraId="68B6AB5A">
      <w:pPr>
        <w:pStyle w:val="118"/>
        <w:keepNext w:val="0"/>
        <w:pageBreakBefore w:val="0"/>
        <w:tabs>
          <w:tab w:val="clear" w:pos="720"/>
        </w:tabs>
        <w:ind w:firstLine="640"/>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（一）最后报价一览表</w:t>
      </w:r>
    </w:p>
    <w:p w14:paraId="304430E0">
      <w:pPr>
        <w:autoSpaceDE w:val="0"/>
        <w:autoSpaceDN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u w:val="single"/>
          <w:lang w:val="zh-CN"/>
        </w:rPr>
        <w:t>建德经济开发区管理委员会、杭州博望建设工程招标投标代理有限公司</w:t>
      </w:r>
      <w:r>
        <w:rPr>
          <w:rFonts w:hint="eastAsia" w:ascii="仿宋" w:hAnsi="仿宋" w:eastAsia="仿宋" w:cs="仿宋"/>
          <w:color w:val="auto"/>
          <w:kern w:val="0"/>
          <w:sz w:val="24"/>
          <w:highlight w:val="none"/>
          <w:lang w:val="zh-CN"/>
        </w:rPr>
        <w:t>：</w:t>
      </w:r>
    </w:p>
    <w:p w14:paraId="4ABD48C5">
      <w:pPr>
        <w:spacing w:line="360" w:lineRule="auto"/>
        <w:ind w:firstLine="72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按你方磋商文件要求，</w:t>
      </w:r>
      <w:r>
        <w:rPr>
          <w:rFonts w:hint="eastAsia" w:ascii="仿宋" w:hAnsi="仿宋" w:eastAsia="仿宋" w:cs="仿宋"/>
          <w:color w:val="auto"/>
          <w:sz w:val="24"/>
          <w:highlight w:val="none"/>
        </w:rPr>
        <w:t>我们即</w:t>
      </w:r>
      <w:r>
        <w:rPr>
          <w:rFonts w:hint="eastAsia" w:ascii="仿宋" w:hAnsi="仿宋" w:eastAsia="仿宋" w:cs="仿宋"/>
          <w:color w:val="auto"/>
          <w:kern w:val="0"/>
          <w:sz w:val="24"/>
          <w:highlight w:val="none"/>
          <w:lang w:val="zh-CN"/>
        </w:rPr>
        <w:t>本响应文件签字方，谨此向你方发出要约如下：如你方接受本响应，我方承诺按照如下最后报价一览表的价格完成</w:t>
      </w:r>
      <w:r>
        <w:rPr>
          <w:rFonts w:hint="eastAsia" w:ascii="仿宋" w:hAnsi="仿宋" w:eastAsia="仿宋" w:cs="仿宋"/>
          <w:color w:val="auto"/>
          <w:kern w:val="0"/>
          <w:sz w:val="24"/>
          <w:highlight w:val="none"/>
          <w:u w:val="single"/>
          <w:lang w:val="zh-CN"/>
        </w:rPr>
        <w:t>建德经济开发区管理委员会2025年-2026年安全生产社会化服务采购项目</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lang w:eastAsia="zh-CN"/>
        </w:rPr>
        <w:t>JD2025BF-080</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的实施。</w:t>
      </w:r>
    </w:p>
    <w:p w14:paraId="3C2239A4">
      <w:pPr>
        <w:snapToGrid w:val="0"/>
        <w:spacing w:line="360" w:lineRule="auto"/>
        <w:ind w:left="480"/>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最后报价一览表(单位均为人民币元)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8198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5AA51F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14:paraId="7402F97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tcPr>
          <w:p w14:paraId="4530CC96">
            <w:pPr>
              <w:spacing w:line="360" w:lineRule="auto"/>
              <w:jc w:val="center"/>
              <w:rPr>
                <w:rFonts w:hint="eastAsia" w:ascii="仿宋" w:hAnsi="仿宋" w:eastAsia="仿宋" w:cs="仿宋"/>
                <w:b/>
                <w:color w:val="auto"/>
                <w:sz w:val="24"/>
                <w:highlight w:val="none"/>
              </w:rPr>
            </w:pPr>
          </w:p>
          <w:p w14:paraId="6E351FB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14:paraId="22B47ED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14:paraId="19288FC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14:paraId="56E56F7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tcPr>
          <w:p w14:paraId="51DED389">
            <w:pPr>
              <w:spacing w:line="360" w:lineRule="auto"/>
              <w:jc w:val="center"/>
              <w:rPr>
                <w:rFonts w:hint="eastAsia" w:ascii="仿宋" w:hAnsi="仿宋" w:eastAsia="仿宋" w:cs="仿宋"/>
                <w:b/>
                <w:color w:val="auto"/>
                <w:sz w:val="24"/>
                <w:highlight w:val="none"/>
              </w:rPr>
            </w:pPr>
          </w:p>
          <w:p w14:paraId="6E42B13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14:paraId="5769B63E">
            <w:pPr>
              <w:spacing w:line="360" w:lineRule="auto"/>
              <w:jc w:val="center"/>
              <w:rPr>
                <w:rFonts w:hint="eastAsia" w:ascii="仿宋" w:hAnsi="仿宋" w:eastAsia="仿宋" w:cs="仿宋"/>
                <w:b/>
                <w:color w:val="auto"/>
                <w:sz w:val="24"/>
                <w:highlight w:val="none"/>
              </w:rPr>
            </w:pPr>
          </w:p>
          <w:p w14:paraId="6BF149B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2B87E66F">
            <w:pPr>
              <w:spacing w:line="360" w:lineRule="auto"/>
              <w:jc w:val="center"/>
              <w:rPr>
                <w:rFonts w:hint="eastAsia" w:ascii="仿宋" w:hAnsi="仿宋" w:eastAsia="仿宋" w:cs="仿宋"/>
                <w:b/>
                <w:color w:val="auto"/>
                <w:sz w:val="24"/>
                <w:highlight w:val="none"/>
              </w:rPr>
            </w:pPr>
          </w:p>
        </w:tc>
      </w:tr>
      <w:tr w14:paraId="6863D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1D9531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14:paraId="60CBE0C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1B3A40EA">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19F77990">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00BE378F">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08A56F48">
            <w:pPr>
              <w:spacing w:line="360" w:lineRule="auto"/>
              <w:jc w:val="center"/>
              <w:rPr>
                <w:rFonts w:hint="eastAsia" w:ascii="仿宋" w:hAnsi="仿宋" w:eastAsia="仿宋" w:cs="仿宋"/>
                <w:color w:val="auto"/>
                <w:sz w:val="24"/>
                <w:highlight w:val="none"/>
              </w:rPr>
            </w:pPr>
          </w:p>
        </w:tc>
        <w:tc>
          <w:tcPr>
            <w:tcW w:w="2127" w:type="dxa"/>
          </w:tcPr>
          <w:p w14:paraId="061F5C85">
            <w:pPr>
              <w:spacing w:line="360" w:lineRule="auto"/>
              <w:jc w:val="center"/>
              <w:rPr>
                <w:rFonts w:hint="eastAsia" w:ascii="仿宋" w:hAnsi="仿宋" w:eastAsia="仿宋" w:cs="仿宋"/>
                <w:color w:val="auto"/>
                <w:sz w:val="24"/>
                <w:highlight w:val="none"/>
              </w:rPr>
            </w:pPr>
          </w:p>
        </w:tc>
        <w:tc>
          <w:tcPr>
            <w:tcW w:w="2126" w:type="dxa"/>
            <w:vAlign w:val="center"/>
          </w:tcPr>
          <w:p w14:paraId="1D48ACED">
            <w:pPr>
              <w:spacing w:line="360" w:lineRule="auto"/>
              <w:jc w:val="center"/>
              <w:rPr>
                <w:rFonts w:hint="eastAsia" w:ascii="仿宋" w:hAnsi="仿宋" w:eastAsia="仿宋" w:cs="仿宋"/>
                <w:color w:val="auto"/>
                <w:sz w:val="24"/>
                <w:highlight w:val="none"/>
              </w:rPr>
            </w:pPr>
          </w:p>
        </w:tc>
      </w:tr>
      <w:tr w14:paraId="6350C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859EFC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14:paraId="45B63B5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6FE2DE02">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753CF14B">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3CBF060C">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123EFD42">
            <w:pPr>
              <w:spacing w:line="360" w:lineRule="auto"/>
              <w:jc w:val="center"/>
              <w:rPr>
                <w:rFonts w:hint="eastAsia" w:ascii="仿宋" w:hAnsi="仿宋" w:eastAsia="仿宋" w:cs="仿宋"/>
                <w:color w:val="auto"/>
                <w:sz w:val="24"/>
                <w:highlight w:val="none"/>
              </w:rPr>
            </w:pPr>
          </w:p>
        </w:tc>
        <w:tc>
          <w:tcPr>
            <w:tcW w:w="2127" w:type="dxa"/>
          </w:tcPr>
          <w:p w14:paraId="11BECDE3">
            <w:pPr>
              <w:spacing w:line="360" w:lineRule="auto"/>
              <w:jc w:val="center"/>
              <w:rPr>
                <w:rFonts w:hint="eastAsia" w:ascii="仿宋" w:hAnsi="仿宋" w:eastAsia="仿宋" w:cs="仿宋"/>
                <w:color w:val="auto"/>
                <w:sz w:val="24"/>
                <w:highlight w:val="none"/>
              </w:rPr>
            </w:pPr>
          </w:p>
        </w:tc>
        <w:tc>
          <w:tcPr>
            <w:tcW w:w="2126" w:type="dxa"/>
            <w:vAlign w:val="center"/>
          </w:tcPr>
          <w:p w14:paraId="092B8690">
            <w:pPr>
              <w:spacing w:line="360" w:lineRule="auto"/>
              <w:jc w:val="center"/>
              <w:rPr>
                <w:rFonts w:hint="eastAsia" w:ascii="仿宋" w:hAnsi="仿宋" w:eastAsia="仿宋" w:cs="仿宋"/>
                <w:color w:val="auto"/>
                <w:sz w:val="24"/>
                <w:highlight w:val="none"/>
              </w:rPr>
            </w:pPr>
          </w:p>
        </w:tc>
      </w:tr>
      <w:tr w14:paraId="07CFB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9A24A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14:paraId="359E0956">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2AAACD13">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188F8912">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327A57E5">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4513E5D1">
            <w:pPr>
              <w:spacing w:line="360" w:lineRule="auto"/>
              <w:jc w:val="center"/>
              <w:rPr>
                <w:rFonts w:hint="eastAsia" w:ascii="仿宋" w:hAnsi="仿宋" w:eastAsia="仿宋" w:cs="仿宋"/>
                <w:color w:val="auto"/>
                <w:sz w:val="24"/>
                <w:highlight w:val="none"/>
              </w:rPr>
            </w:pPr>
          </w:p>
        </w:tc>
        <w:tc>
          <w:tcPr>
            <w:tcW w:w="2127" w:type="dxa"/>
          </w:tcPr>
          <w:p w14:paraId="34ECFB99">
            <w:pPr>
              <w:spacing w:line="360" w:lineRule="auto"/>
              <w:jc w:val="center"/>
              <w:rPr>
                <w:rFonts w:hint="eastAsia" w:ascii="仿宋" w:hAnsi="仿宋" w:eastAsia="仿宋" w:cs="仿宋"/>
                <w:color w:val="auto"/>
                <w:sz w:val="24"/>
                <w:highlight w:val="none"/>
              </w:rPr>
            </w:pPr>
          </w:p>
        </w:tc>
        <w:tc>
          <w:tcPr>
            <w:tcW w:w="2126" w:type="dxa"/>
            <w:vAlign w:val="center"/>
          </w:tcPr>
          <w:p w14:paraId="0F8DD968">
            <w:pPr>
              <w:spacing w:line="360" w:lineRule="auto"/>
              <w:jc w:val="center"/>
              <w:rPr>
                <w:rFonts w:hint="eastAsia" w:ascii="仿宋" w:hAnsi="仿宋" w:eastAsia="仿宋" w:cs="仿宋"/>
                <w:color w:val="auto"/>
                <w:sz w:val="24"/>
                <w:highlight w:val="none"/>
              </w:rPr>
            </w:pPr>
          </w:p>
        </w:tc>
      </w:tr>
      <w:tr w14:paraId="025C9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609C40B">
            <w:pPr>
              <w:spacing w:line="360" w:lineRule="auto"/>
              <w:jc w:val="center"/>
              <w:rPr>
                <w:rFonts w:hint="eastAsia" w:ascii="仿宋" w:hAnsi="仿宋" w:eastAsia="仿宋" w:cs="仿宋"/>
                <w:color w:val="auto"/>
                <w:sz w:val="24"/>
                <w:highlight w:val="none"/>
              </w:rPr>
            </w:pPr>
          </w:p>
        </w:tc>
        <w:tc>
          <w:tcPr>
            <w:tcW w:w="992" w:type="dxa"/>
            <w:vAlign w:val="center"/>
          </w:tcPr>
          <w:p w14:paraId="65164E06">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1D9229C9">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15A4FBC0">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7FFE8301">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41B2814C">
            <w:pPr>
              <w:spacing w:line="360" w:lineRule="auto"/>
              <w:jc w:val="center"/>
              <w:rPr>
                <w:rFonts w:hint="eastAsia" w:ascii="仿宋" w:hAnsi="仿宋" w:eastAsia="仿宋" w:cs="仿宋"/>
                <w:color w:val="auto"/>
                <w:sz w:val="24"/>
                <w:highlight w:val="none"/>
              </w:rPr>
            </w:pPr>
          </w:p>
        </w:tc>
        <w:tc>
          <w:tcPr>
            <w:tcW w:w="2127" w:type="dxa"/>
          </w:tcPr>
          <w:p w14:paraId="017F2335">
            <w:pPr>
              <w:spacing w:line="360" w:lineRule="auto"/>
              <w:jc w:val="center"/>
              <w:rPr>
                <w:rFonts w:hint="eastAsia" w:ascii="仿宋" w:hAnsi="仿宋" w:eastAsia="仿宋" w:cs="仿宋"/>
                <w:color w:val="auto"/>
                <w:sz w:val="24"/>
                <w:highlight w:val="none"/>
              </w:rPr>
            </w:pPr>
          </w:p>
        </w:tc>
        <w:tc>
          <w:tcPr>
            <w:tcW w:w="2126" w:type="dxa"/>
            <w:vAlign w:val="center"/>
          </w:tcPr>
          <w:p w14:paraId="75B26B5E">
            <w:pPr>
              <w:spacing w:line="360" w:lineRule="auto"/>
              <w:jc w:val="center"/>
              <w:rPr>
                <w:rFonts w:hint="eastAsia" w:ascii="仿宋" w:hAnsi="仿宋" w:eastAsia="仿宋" w:cs="仿宋"/>
                <w:color w:val="auto"/>
                <w:sz w:val="24"/>
                <w:highlight w:val="none"/>
              </w:rPr>
            </w:pPr>
          </w:p>
        </w:tc>
      </w:tr>
      <w:tr w14:paraId="43C09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CEFA12B">
            <w:pPr>
              <w:spacing w:line="360" w:lineRule="auto"/>
              <w:jc w:val="center"/>
              <w:rPr>
                <w:rFonts w:hint="eastAsia" w:ascii="仿宋" w:hAnsi="仿宋" w:eastAsia="仿宋" w:cs="仿宋"/>
                <w:color w:val="auto"/>
                <w:sz w:val="24"/>
                <w:highlight w:val="none"/>
              </w:rPr>
            </w:pPr>
          </w:p>
        </w:tc>
        <w:tc>
          <w:tcPr>
            <w:tcW w:w="992" w:type="dxa"/>
            <w:vAlign w:val="center"/>
          </w:tcPr>
          <w:p w14:paraId="17B047A0">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1F7E68F5">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7B91999D">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2F474DC7">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7EEAE13F">
            <w:pPr>
              <w:spacing w:line="360" w:lineRule="auto"/>
              <w:jc w:val="center"/>
              <w:rPr>
                <w:rFonts w:hint="eastAsia" w:ascii="仿宋" w:hAnsi="仿宋" w:eastAsia="仿宋" w:cs="仿宋"/>
                <w:color w:val="auto"/>
                <w:sz w:val="24"/>
                <w:highlight w:val="none"/>
              </w:rPr>
            </w:pPr>
          </w:p>
        </w:tc>
        <w:tc>
          <w:tcPr>
            <w:tcW w:w="2127" w:type="dxa"/>
          </w:tcPr>
          <w:p w14:paraId="420DD8EF">
            <w:pPr>
              <w:spacing w:line="360" w:lineRule="auto"/>
              <w:jc w:val="center"/>
              <w:rPr>
                <w:rFonts w:hint="eastAsia" w:ascii="仿宋" w:hAnsi="仿宋" w:eastAsia="仿宋" w:cs="仿宋"/>
                <w:color w:val="auto"/>
                <w:sz w:val="24"/>
                <w:highlight w:val="none"/>
              </w:rPr>
            </w:pPr>
          </w:p>
        </w:tc>
        <w:tc>
          <w:tcPr>
            <w:tcW w:w="2126" w:type="dxa"/>
            <w:vAlign w:val="center"/>
          </w:tcPr>
          <w:p w14:paraId="257D10F4">
            <w:pPr>
              <w:spacing w:line="360" w:lineRule="auto"/>
              <w:jc w:val="center"/>
              <w:rPr>
                <w:rFonts w:hint="eastAsia" w:ascii="仿宋" w:hAnsi="仿宋" w:eastAsia="仿宋" w:cs="仿宋"/>
                <w:color w:val="auto"/>
                <w:sz w:val="24"/>
                <w:highlight w:val="none"/>
              </w:rPr>
            </w:pPr>
          </w:p>
        </w:tc>
      </w:tr>
      <w:tr w14:paraId="1DFD8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6AAF97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最后报价（小写）</w:t>
            </w:r>
          </w:p>
        </w:tc>
        <w:tc>
          <w:tcPr>
            <w:tcW w:w="8647" w:type="dxa"/>
            <w:gridSpan w:val="4"/>
          </w:tcPr>
          <w:p w14:paraId="168E719A">
            <w:pPr>
              <w:spacing w:line="360" w:lineRule="auto"/>
              <w:jc w:val="center"/>
              <w:rPr>
                <w:rFonts w:hint="eastAsia" w:ascii="仿宋" w:hAnsi="仿宋" w:eastAsia="仿宋" w:cs="仿宋"/>
                <w:color w:val="auto"/>
                <w:sz w:val="24"/>
                <w:highlight w:val="none"/>
              </w:rPr>
            </w:pPr>
          </w:p>
        </w:tc>
      </w:tr>
      <w:tr w14:paraId="4FE22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B8DDE1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最后报价（大写）</w:t>
            </w:r>
          </w:p>
        </w:tc>
        <w:tc>
          <w:tcPr>
            <w:tcW w:w="8647" w:type="dxa"/>
            <w:gridSpan w:val="4"/>
          </w:tcPr>
          <w:p w14:paraId="171EFD0A">
            <w:pPr>
              <w:spacing w:line="360" w:lineRule="auto"/>
              <w:jc w:val="center"/>
              <w:rPr>
                <w:rFonts w:hint="eastAsia" w:ascii="仿宋" w:hAnsi="仿宋" w:eastAsia="仿宋" w:cs="仿宋"/>
                <w:color w:val="auto"/>
                <w:sz w:val="24"/>
                <w:highlight w:val="none"/>
              </w:rPr>
            </w:pPr>
          </w:p>
        </w:tc>
      </w:tr>
    </w:tbl>
    <w:p w14:paraId="4A63BAFB">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注：</w:t>
      </w:r>
      <w:r>
        <w:rPr>
          <w:rFonts w:hint="eastAsia" w:ascii="仿宋" w:hAnsi="仿宋" w:eastAsia="仿宋" w:cs="仿宋"/>
          <w:color w:val="auto"/>
          <w:kern w:val="0"/>
          <w:sz w:val="24"/>
          <w:highlight w:val="none"/>
          <w:lang w:val="zh-CN"/>
        </w:rPr>
        <w:t>1、供应商需按本表格式填写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响应文件含有采购人不能接受的附加条件，响应无效</w:t>
      </w:r>
      <w:r>
        <w:rPr>
          <w:rFonts w:hint="eastAsia" w:ascii="仿宋" w:hAnsi="仿宋" w:eastAsia="仿宋" w:cs="仿宋"/>
          <w:color w:val="auto"/>
          <w:kern w:val="0"/>
          <w:sz w:val="24"/>
          <w:highlight w:val="none"/>
          <w:lang w:val="zh-CN"/>
        </w:rPr>
        <w:t>。</w:t>
      </w:r>
    </w:p>
    <w:p w14:paraId="07C83B71">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采购人将以合同形式有偿取得货物或服务，不接受供应商给予的赠品、回扣或者与采购无关的其他商品、服务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最后报价文件含有采购人不能接受的附加条件，响应无效</w:t>
      </w:r>
      <w:r>
        <w:rPr>
          <w:rFonts w:hint="eastAsia" w:ascii="仿宋" w:hAnsi="仿宋" w:eastAsia="仿宋" w:cs="仿宋"/>
          <w:b/>
          <w:color w:val="auto"/>
          <w:kern w:val="0"/>
          <w:sz w:val="24"/>
          <w:highlight w:val="none"/>
          <w:lang w:val="zh-CN"/>
        </w:rPr>
        <w:t>；采购内容未包含在《最后报价一览表》名称栏中，供应商不能作出合理解释的，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响应文件含有采购人不能接受的附加条件的，响应无效。</w:t>
      </w:r>
    </w:p>
    <w:p w14:paraId="4C0983D6">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3、特别提示：采购代理机构将对项目名称和项目编号，成交供应商名称、地址和成交金额，主要成交标的名称、服务范围、服务要求、服务时间、服务标准等予以公示。</w:t>
      </w:r>
    </w:p>
    <w:p w14:paraId="74D798F3">
      <w:pPr>
        <w:spacing w:line="360" w:lineRule="auto"/>
        <w:ind w:firstLine="480" w:firstLineChars="200"/>
        <w:rPr>
          <w:rFonts w:hint="eastAsia" w:ascii="仿宋" w:hAnsi="仿宋" w:eastAsia="仿宋" w:cs="仿宋"/>
          <w:color w:val="auto"/>
          <w:kern w:val="0"/>
          <w:sz w:val="24"/>
          <w:highlight w:val="none"/>
          <w:u w:val="singl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6231561">
      <w:pPr>
        <w:spacing w:line="360" w:lineRule="auto"/>
        <w:ind w:right="-874" w:rightChars="-416"/>
        <w:rPr>
          <w:rFonts w:hint="eastAsia" w:ascii="仿宋" w:hAnsi="仿宋" w:eastAsia="仿宋" w:cs="仿宋"/>
          <w:color w:val="auto"/>
          <w:sz w:val="24"/>
          <w:highlight w:val="none"/>
        </w:rPr>
      </w:pPr>
    </w:p>
    <w:p w14:paraId="0472D591">
      <w:pPr>
        <w:spacing w:line="360" w:lineRule="auto"/>
        <w:ind w:right="-874" w:rightChars="-416"/>
        <w:rPr>
          <w:rFonts w:hint="eastAsia" w:ascii="仿宋" w:hAnsi="仿宋" w:eastAsia="仿宋" w:cs="仿宋"/>
          <w:color w:val="auto"/>
          <w:sz w:val="24"/>
          <w:highlight w:val="none"/>
        </w:rPr>
      </w:pPr>
    </w:p>
    <w:p w14:paraId="1F6AAB6B">
      <w:pPr>
        <w:spacing w:line="360" w:lineRule="auto"/>
        <w:ind w:right="-874" w:rightChars="-416"/>
        <w:rPr>
          <w:rFonts w:hint="eastAsia" w:ascii="仿宋" w:hAnsi="仿宋" w:eastAsia="仿宋" w:cs="仿宋"/>
          <w:color w:val="auto"/>
          <w:sz w:val="24"/>
          <w:highlight w:val="none"/>
        </w:rPr>
      </w:pPr>
    </w:p>
    <w:p w14:paraId="143E022A">
      <w:pPr>
        <w:spacing w:line="360" w:lineRule="auto"/>
        <w:ind w:right="-874" w:rightChars="-416"/>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供应商名称（电子签名）：</w:t>
      </w:r>
    </w:p>
    <w:p w14:paraId="1198EF17">
      <w:pPr>
        <w:autoSpaceDE w:val="0"/>
        <w:autoSpaceDN w:val="0"/>
        <w:spacing w:line="360" w:lineRule="auto"/>
        <w:ind w:left="5040"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ACD6AEE">
      <w:pPr>
        <w:widowControl/>
        <w:adjustRightInd/>
        <w:jc w:val="left"/>
        <w:rPr>
          <w:rFonts w:hint="eastAsia" w:ascii="仿宋" w:hAnsi="仿宋" w:eastAsia="仿宋" w:cs="仿宋"/>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080B09FE">
      <w:pPr>
        <w:widowControl/>
        <w:adjustRightInd/>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（二）中小企业声明函</w:t>
      </w:r>
      <w:bookmarkStart w:id="163" w:name="_Toc465665161"/>
    </w:p>
    <w:p w14:paraId="03036FDD">
      <w:pPr>
        <w:widowControl/>
        <w:spacing w:line="360" w:lineRule="auto"/>
        <w:ind w:firstLine="120" w:firstLineChars="50"/>
        <w:jc w:val="left"/>
        <w:rPr>
          <w:rFonts w:hint="eastAsia" w:ascii="仿宋" w:hAnsi="仿宋" w:eastAsia="仿宋" w:cs="仿宋"/>
          <w:b/>
          <w:color w:val="auto"/>
          <w:sz w:val="24"/>
          <w:highlight w:val="none"/>
        </w:rPr>
      </w:pPr>
    </w:p>
    <w:p w14:paraId="27637C82">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w:t>
      </w:r>
      <w:r>
        <w:rPr>
          <w:rFonts w:hint="eastAsia" w:ascii="仿宋" w:hAnsi="仿宋" w:eastAsia="仿宋" w:cs="仿宋"/>
          <w:b/>
          <w:bCs/>
          <w:color w:val="auto"/>
          <w:sz w:val="24"/>
          <w:highlight w:val="none"/>
        </w:rPr>
        <w:t>竞争性磋商邀请公告</w:t>
      </w:r>
      <w:r>
        <w:rPr>
          <w:rFonts w:hint="eastAsia" w:ascii="仿宋" w:hAnsi="仿宋" w:eastAsia="仿宋" w:cs="仿宋"/>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109DC102">
      <w:pPr>
        <w:widowControl/>
        <w:adjustRightInd/>
        <w:jc w:val="center"/>
        <w:rPr>
          <w:rFonts w:hint="eastAsia" w:ascii="仿宋" w:hAnsi="仿宋" w:eastAsia="仿宋" w:cs="仿宋"/>
          <w:color w:val="auto"/>
          <w:sz w:val="24"/>
          <w:highlight w:val="none"/>
        </w:rPr>
      </w:pPr>
    </w:p>
    <w:p w14:paraId="645C14E7">
      <w:pPr>
        <w:widowControl/>
        <w:adjustRightInd/>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72258E0B">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bookmarkEnd w:id="163"/>
    </w:p>
    <w:p w14:paraId="09811C80">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附件1：质疑函范本及制作说明</w:t>
      </w:r>
    </w:p>
    <w:p w14:paraId="51F5006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3A9CF991">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1DA9F8F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47230AB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FBCF61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126195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5E0A9CE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38B274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4841FAC">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540FB31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5BE885F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0E6887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05AF5AA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40A74644">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351AF72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0C8FDF8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42D7C7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2ECB09E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59355C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EA9D40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4E788D0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47D461B">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6B67D6B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71FB5213">
      <w:pPr>
        <w:spacing w:line="360" w:lineRule="auto"/>
        <w:rPr>
          <w:rFonts w:hint="eastAsia" w:ascii="仿宋" w:hAnsi="仿宋" w:eastAsia="仿宋" w:cs="仿宋"/>
          <w:color w:val="auto"/>
          <w:sz w:val="24"/>
          <w:highlight w:val="none"/>
        </w:rPr>
      </w:pPr>
    </w:p>
    <w:p w14:paraId="7DD9D4E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F5A841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EE8A26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175741A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1B0773F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3F5B5F9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4EA2120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169ABC7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4986EB0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1B6B9C89">
      <w:pPr>
        <w:widowControl/>
        <w:spacing w:line="360" w:lineRule="auto"/>
        <w:ind w:firstLine="600" w:firstLineChars="200"/>
        <w:jc w:val="left"/>
        <w:rPr>
          <w:rFonts w:hint="eastAsia" w:ascii="仿宋" w:hAnsi="仿宋" w:eastAsia="仿宋" w:cs="仿宋"/>
          <w:color w:val="auto"/>
          <w:sz w:val="30"/>
          <w:szCs w:val="30"/>
          <w:highlight w:val="none"/>
        </w:rPr>
      </w:pPr>
    </w:p>
    <w:p w14:paraId="0FA47B02">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pacing w:val="6"/>
          <w:sz w:val="32"/>
          <w:szCs w:val="32"/>
          <w:highlight w:val="none"/>
        </w:rPr>
        <w:t>附件2：投诉书范本及制作说明</w:t>
      </w:r>
    </w:p>
    <w:p w14:paraId="432C4FFE">
      <w:pPr>
        <w:spacing w:line="360" w:lineRule="auto"/>
        <w:jc w:val="center"/>
        <w:rPr>
          <w:rFonts w:hint="eastAsia" w:ascii="仿宋" w:hAnsi="仿宋" w:eastAsia="仿宋" w:cs="仿宋"/>
          <w:b/>
          <w:color w:val="auto"/>
          <w:sz w:val="24"/>
          <w:highlight w:val="none"/>
        </w:rPr>
      </w:pPr>
    </w:p>
    <w:p w14:paraId="30C8AE56">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07E5039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19E2092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279B9CF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9457A4B">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AE27E37">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A54251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6FFAF1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57AF5BE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319A0F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7B0E04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9B631F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6674897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CBAFC2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B963B9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2CEC60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1259B1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4B3F180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0750192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CF31B8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E46CB7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40FEFF3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5025D8A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5A8E9C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47B2594E">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3238634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3999FCA">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68CEBDA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5C168EA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7001462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DAAAB7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4293A4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37EECA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E46B8F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0424054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182F51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2378ACC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290090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716EB09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927EA1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591CEC4">
      <w:pPr>
        <w:spacing w:line="360" w:lineRule="auto"/>
        <w:rPr>
          <w:rFonts w:hint="eastAsia" w:ascii="仿宋" w:hAnsi="仿宋" w:eastAsia="仿宋" w:cs="仿宋"/>
          <w:b/>
          <w:color w:val="auto"/>
          <w:sz w:val="24"/>
          <w:highlight w:val="none"/>
        </w:rPr>
      </w:pPr>
    </w:p>
    <w:p w14:paraId="6549A4E5">
      <w:pPr>
        <w:spacing w:line="360" w:lineRule="auto"/>
        <w:rPr>
          <w:rFonts w:hint="eastAsia" w:ascii="仿宋" w:hAnsi="仿宋" w:eastAsia="仿宋" w:cs="仿宋"/>
          <w:b/>
          <w:color w:val="auto"/>
          <w:sz w:val="24"/>
          <w:highlight w:val="none"/>
        </w:rPr>
      </w:pPr>
    </w:p>
    <w:p w14:paraId="3FA1551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1145AEB3">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0BDFD3C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1D09A31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1314C8D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14D29D8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43B7817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1E3C7882">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5C36BF67">
      <w:pPr>
        <w:rPr>
          <w:rFonts w:hint="eastAsia" w:ascii="仿宋" w:hAnsi="仿宋" w:eastAsia="仿宋" w:cs="仿宋"/>
          <w:b/>
          <w:color w:val="auto"/>
          <w:sz w:val="24"/>
          <w:highlight w:val="none"/>
        </w:rPr>
      </w:pPr>
    </w:p>
    <w:p w14:paraId="5EB0CE06">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10313AE0">
      <w:pPr>
        <w:spacing w:line="360" w:lineRule="auto"/>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附件3：</w:t>
      </w:r>
    </w:p>
    <w:p w14:paraId="2B503B67">
      <w:pPr>
        <w:spacing w:line="360" w:lineRule="auto"/>
        <w:rPr>
          <w:rFonts w:hint="eastAsia" w:ascii="仿宋" w:hAnsi="仿宋" w:eastAsia="仿宋" w:cs="仿宋"/>
          <w:b/>
          <w:color w:val="auto"/>
          <w:spacing w:val="6"/>
          <w:sz w:val="32"/>
          <w:szCs w:val="32"/>
          <w:highlight w:val="none"/>
        </w:rPr>
      </w:pPr>
    </w:p>
    <w:p w14:paraId="48FFCD7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残疾人福利性单位声明函</w:t>
      </w:r>
    </w:p>
    <w:p w14:paraId="036D13AE">
      <w:pPr>
        <w:spacing w:line="360" w:lineRule="auto"/>
        <w:rPr>
          <w:rFonts w:hint="eastAsia" w:ascii="仿宋" w:hAnsi="仿宋" w:eastAsia="仿宋" w:cs="仿宋"/>
          <w:b/>
          <w:color w:val="auto"/>
          <w:spacing w:val="6"/>
          <w:sz w:val="30"/>
          <w:szCs w:val="30"/>
          <w:highlight w:val="none"/>
        </w:rPr>
      </w:pPr>
    </w:p>
    <w:p w14:paraId="322A5B7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243F4D9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5EE548CA">
      <w:pPr>
        <w:spacing w:line="360" w:lineRule="auto"/>
        <w:ind w:firstLine="480" w:firstLineChars="200"/>
        <w:rPr>
          <w:rFonts w:hint="eastAsia" w:ascii="仿宋" w:hAnsi="仿宋" w:eastAsia="仿宋" w:cs="仿宋"/>
          <w:color w:val="auto"/>
          <w:sz w:val="24"/>
          <w:highlight w:val="none"/>
        </w:rPr>
      </w:pPr>
    </w:p>
    <w:p w14:paraId="0577B406">
      <w:pPr>
        <w:spacing w:line="360" w:lineRule="auto"/>
        <w:ind w:firstLine="480" w:firstLineChars="200"/>
        <w:rPr>
          <w:rFonts w:hint="eastAsia" w:ascii="仿宋" w:hAnsi="仿宋" w:eastAsia="仿宋" w:cs="仿宋"/>
          <w:color w:val="auto"/>
          <w:sz w:val="24"/>
          <w:highlight w:val="none"/>
        </w:rPr>
      </w:pPr>
    </w:p>
    <w:p w14:paraId="68A78E2A">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单位名称（</w:t>
      </w:r>
      <w:r>
        <w:rPr>
          <w:rFonts w:hint="eastAsia" w:ascii="仿宋" w:hAnsi="仿宋" w:eastAsia="仿宋" w:cs="仿宋"/>
          <w:color w:val="auto"/>
          <w:kern w:val="0"/>
          <w:sz w:val="24"/>
          <w:highlight w:val="none"/>
        </w:rPr>
        <w:t>电子签名</w:t>
      </w:r>
      <w:r>
        <w:rPr>
          <w:rFonts w:hint="eastAsia" w:ascii="仿宋" w:hAnsi="仿宋" w:eastAsia="仿宋" w:cs="仿宋"/>
          <w:color w:val="auto"/>
          <w:sz w:val="24"/>
          <w:highlight w:val="none"/>
        </w:rPr>
        <w:t>）：</w:t>
      </w:r>
    </w:p>
    <w:p w14:paraId="54A88C85">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1E7D834C">
      <w:pPr>
        <w:spacing w:line="360" w:lineRule="auto"/>
        <w:ind w:firstLine="480" w:firstLineChars="200"/>
        <w:rPr>
          <w:rFonts w:hint="eastAsia" w:ascii="仿宋" w:hAnsi="仿宋" w:eastAsia="仿宋" w:cs="仿宋"/>
          <w:color w:val="auto"/>
          <w:sz w:val="24"/>
          <w:highlight w:val="none"/>
        </w:rPr>
      </w:pPr>
    </w:p>
    <w:p w14:paraId="50769DEF">
      <w:pPr>
        <w:widowControl/>
        <w:adjustRightInd/>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764D5151">
      <w:pPr>
        <w:autoSpaceDE w:val="0"/>
        <w:autoSpaceDN w:val="0"/>
        <w:jc w:val="left"/>
        <w:rPr>
          <w:rFonts w:hint="eastAsia" w:ascii="仿宋" w:hAnsi="仿宋" w:eastAsia="仿宋" w:cs="仿宋"/>
          <w:b/>
          <w:color w:val="auto"/>
          <w:sz w:val="24"/>
          <w:highlight w:val="none"/>
        </w:rPr>
      </w:pPr>
      <w:r>
        <w:rPr>
          <w:rFonts w:hint="eastAsia" w:ascii="仿宋" w:hAnsi="仿宋" w:eastAsia="仿宋" w:cs="仿宋"/>
          <w:b/>
          <w:color w:val="auto"/>
          <w:sz w:val="32"/>
          <w:szCs w:val="32"/>
          <w:highlight w:val="none"/>
        </w:rPr>
        <w:t>附件4：</w:t>
      </w:r>
    </w:p>
    <w:p w14:paraId="5AA1B1FF">
      <w:pPr>
        <w:spacing w:line="360" w:lineRule="auto"/>
        <w:jc w:val="left"/>
        <w:rPr>
          <w:rFonts w:hint="eastAsia" w:ascii="仿宋" w:hAnsi="仿宋" w:eastAsia="仿宋" w:cs="仿宋"/>
          <w:b/>
          <w:color w:val="auto"/>
          <w:sz w:val="24"/>
          <w:highlight w:val="none"/>
        </w:rPr>
      </w:pPr>
    </w:p>
    <w:p w14:paraId="12A3DA3C">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业务专用章使用说明函</w:t>
      </w:r>
    </w:p>
    <w:p w14:paraId="422D2E7F">
      <w:pPr>
        <w:autoSpaceDE w:val="0"/>
        <w:autoSpaceDN w:val="0"/>
        <w:jc w:val="center"/>
        <w:rPr>
          <w:rFonts w:hint="eastAsia" w:ascii="仿宋" w:hAnsi="仿宋" w:eastAsia="仿宋" w:cs="仿宋"/>
          <w:b/>
          <w:bCs/>
          <w:color w:val="auto"/>
          <w:sz w:val="32"/>
          <w:szCs w:val="32"/>
          <w:highlight w:val="none"/>
        </w:rPr>
      </w:pPr>
    </w:p>
    <w:p w14:paraId="425E313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建德经济开发区管理委员会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杭州博望建设工程招标投标代理有限公司</w:t>
      </w:r>
      <w:r>
        <w:rPr>
          <w:rFonts w:hint="eastAsia" w:ascii="仿宋" w:hAnsi="仿宋" w:eastAsia="仿宋" w:cs="仿宋"/>
          <w:color w:val="auto"/>
          <w:sz w:val="24"/>
          <w:highlight w:val="none"/>
        </w:rPr>
        <w:t>：</w:t>
      </w:r>
    </w:p>
    <w:p w14:paraId="447AA9F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(供应商全称)是中华人民共和国依法登记注册的合法企业，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贵方组织的</w:t>
      </w:r>
      <w:r>
        <w:rPr>
          <w:rFonts w:hint="eastAsia" w:ascii="仿宋" w:hAnsi="仿宋" w:eastAsia="仿宋" w:cs="仿宋"/>
          <w:color w:val="auto"/>
          <w:sz w:val="24"/>
          <w:highlight w:val="none"/>
          <w:u w:val="single"/>
          <w:lang w:val="zh-CN"/>
        </w:rPr>
        <w:t>建德经济开发区管理委员会2025年-2026年安全生产社会化服务采购项目</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lang w:eastAsia="zh-CN"/>
        </w:rPr>
        <w:t>JD2025BF-080</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采购活动中作如下说明：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023DF8F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44F064A0">
      <w:pPr>
        <w:spacing w:line="360" w:lineRule="auto"/>
        <w:ind w:firstLine="494"/>
        <w:rPr>
          <w:rFonts w:hint="eastAsia" w:ascii="仿宋" w:hAnsi="仿宋" w:eastAsia="仿宋" w:cs="仿宋"/>
          <w:color w:val="auto"/>
          <w:sz w:val="24"/>
          <w:highlight w:val="none"/>
        </w:rPr>
      </w:pPr>
    </w:p>
    <w:p w14:paraId="540C7E10">
      <w:pPr>
        <w:spacing w:line="360" w:lineRule="auto"/>
        <w:ind w:firstLine="494"/>
        <w:rPr>
          <w:rFonts w:hint="eastAsia" w:ascii="仿宋" w:hAnsi="仿宋" w:eastAsia="仿宋" w:cs="仿宋"/>
          <w:color w:val="auto"/>
          <w:sz w:val="24"/>
          <w:highlight w:val="none"/>
        </w:rPr>
      </w:pPr>
    </w:p>
    <w:p w14:paraId="039199F9">
      <w:pPr>
        <w:spacing w:line="360" w:lineRule="auto"/>
        <w:ind w:firstLine="494"/>
        <w:rPr>
          <w:rFonts w:hint="eastAsia" w:ascii="仿宋" w:hAnsi="仿宋" w:eastAsia="仿宋" w:cs="仿宋"/>
          <w:color w:val="auto"/>
          <w:sz w:val="24"/>
          <w:highlight w:val="none"/>
        </w:rPr>
      </w:pPr>
    </w:p>
    <w:p w14:paraId="2EC1BA43">
      <w:pPr>
        <w:spacing w:line="360" w:lineRule="auto"/>
        <w:ind w:firstLine="494"/>
        <w:rPr>
          <w:rFonts w:hint="eastAsia" w:ascii="仿宋" w:hAnsi="仿宋" w:eastAsia="仿宋" w:cs="仿宋"/>
          <w:color w:val="auto"/>
          <w:sz w:val="24"/>
          <w:highlight w:val="none"/>
        </w:rPr>
      </w:pPr>
    </w:p>
    <w:p w14:paraId="670801B0">
      <w:pPr>
        <w:spacing w:line="360" w:lineRule="auto"/>
        <w:ind w:right="482"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供应商（法定名称章）：</w:t>
      </w:r>
    </w:p>
    <w:p w14:paraId="37D152AD">
      <w:pPr>
        <w:spacing w:line="360" w:lineRule="auto"/>
        <w:ind w:right="482"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1DEEDB5C">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6739EA5D">
      <w:pPr>
        <w:spacing w:line="360" w:lineRule="auto"/>
        <w:rPr>
          <w:rFonts w:hint="eastAsia" w:ascii="仿宋" w:hAnsi="仿宋" w:eastAsia="仿宋" w:cs="仿宋"/>
          <w:bCs/>
          <w:color w:val="auto"/>
          <w:sz w:val="24"/>
          <w:highlight w:val="none"/>
        </w:rPr>
      </w:pPr>
      <w:r>
        <w:rPr>
          <w:rFonts w:hint="eastAsia" w:ascii="仿宋" w:hAnsi="仿宋" w:eastAsia="仿宋" w:cs="仿宋"/>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仿宋" w:hAnsi="仿宋" w:eastAsia="仿宋" w:cs="仿宋"/>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供应商法定名称章（印模）                供应商“XX专用章”（印模）</w:t>
      </w:r>
    </w:p>
    <w:p w14:paraId="11A56E16">
      <w:pPr>
        <w:widowControl/>
        <w:spacing w:line="360" w:lineRule="auto"/>
        <w:ind w:firstLine="480" w:firstLineChars="200"/>
        <w:jc w:val="left"/>
        <w:rPr>
          <w:rFonts w:hint="eastAsia" w:ascii="仿宋" w:hAnsi="仿宋" w:eastAsia="仿宋" w:cs="仿宋"/>
          <w:color w:val="auto"/>
          <w:kern w:val="0"/>
          <w:sz w:val="24"/>
          <w:highlight w:val="none"/>
        </w:rPr>
      </w:pPr>
    </w:p>
    <w:p w14:paraId="06862EFA">
      <w:pPr>
        <w:snapToGrid w:val="0"/>
        <w:spacing w:line="360" w:lineRule="auto"/>
        <w:jc w:val="center"/>
        <w:rPr>
          <w:rFonts w:hint="eastAsia" w:ascii="仿宋" w:hAnsi="仿宋" w:eastAsia="仿宋" w:cs="仿宋"/>
          <w:b/>
          <w:color w:val="auto"/>
          <w:sz w:val="24"/>
          <w:highlight w:val="none"/>
        </w:rPr>
      </w:pPr>
    </w:p>
    <w:p w14:paraId="20A37429">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004A6DBF">
      <w:pPr>
        <w:autoSpaceDE w:val="0"/>
        <w:autoSpaceDN w:val="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附件5：</w:t>
      </w:r>
    </w:p>
    <w:p w14:paraId="50BC243E">
      <w:pPr>
        <w:spacing w:line="360" w:lineRule="auto"/>
        <w:jc w:val="center"/>
        <w:rPr>
          <w:rFonts w:hint="eastAsia" w:ascii="仿宋" w:hAnsi="仿宋" w:eastAsia="仿宋" w:cs="仿宋"/>
          <w:b/>
          <w:color w:val="auto"/>
          <w:sz w:val="32"/>
          <w:szCs w:val="32"/>
          <w:highlight w:val="none"/>
        </w:rPr>
      </w:pPr>
    </w:p>
    <w:p w14:paraId="611B363C">
      <w:pPr>
        <w:adjustRightInd/>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中小企业声明函（服务）</w:t>
      </w:r>
    </w:p>
    <w:p w14:paraId="69A62CB4">
      <w:pPr>
        <w:spacing w:line="360" w:lineRule="auto"/>
        <w:jc w:val="center"/>
        <w:rPr>
          <w:rFonts w:hint="eastAsia" w:ascii="仿宋" w:hAnsi="仿宋" w:eastAsia="仿宋" w:cs="仿宋"/>
          <w:b/>
          <w:color w:val="auto"/>
          <w:sz w:val="32"/>
          <w:szCs w:val="32"/>
          <w:highlight w:val="none"/>
        </w:rPr>
      </w:pPr>
    </w:p>
    <w:p w14:paraId="0DC253E2">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建德经济开发区管理委员会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建德经济开发区管理委员会2025年-2026年安全生产社会化服务采购项目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533BA0F">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lang w:eastAsia="zh-CN"/>
        </w:rPr>
        <w:t>建德经济开发区管理委员会2025年-2026年安全生产社会化服务采购项目</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lang w:eastAsia="zh-CN"/>
        </w:rPr>
        <w:t>其他未列明行业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02407661">
      <w:pPr>
        <w:spacing w:line="360" w:lineRule="auto"/>
        <w:ind w:firstLine="480" w:firstLineChars="200"/>
        <w:jc w:val="left"/>
        <w:rPr>
          <w:rFonts w:hint="eastAsia" w:ascii="仿宋" w:hAnsi="仿宋" w:eastAsia="仿宋" w:cs="仿宋"/>
          <w:color w:val="auto"/>
          <w:sz w:val="24"/>
          <w:highlight w:val="none"/>
        </w:rPr>
      </w:pPr>
    </w:p>
    <w:p w14:paraId="1B9A879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4A3A9C1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432257BA">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14:paraId="01964621">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2A763E64">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0A4F8639">
      <w:pPr>
        <w:spacing w:line="360" w:lineRule="auto"/>
        <w:ind w:right="420"/>
        <w:rPr>
          <w:rFonts w:hint="eastAsia" w:ascii="仿宋" w:hAnsi="仿宋" w:eastAsia="仿宋" w:cs="仿宋"/>
          <w:color w:val="auto"/>
          <w:sz w:val="24"/>
          <w:highlight w:val="none"/>
        </w:rPr>
      </w:pPr>
    </w:p>
    <w:p w14:paraId="253EA75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4C81C1E5">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288DB4A">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4D5DCD2">
      <w:pPr>
        <w:spacing w:line="360" w:lineRule="auto"/>
        <w:rPr>
          <w:rFonts w:hint="eastAsia" w:ascii="仿宋" w:hAnsi="仿宋" w:eastAsia="仿宋" w:cs="仿宋"/>
          <w:b/>
          <w:color w:val="auto"/>
          <w:sz w:val="24"/>
          <w:highlight w:val="none"/>
        </w:rPr>
      </w:pPr>
    </w:p>
    <w:p w14:paraId="46E94A2F">
      <w:pPr>
        <w:spacing w:line="360" w:lineRule="auto"/>
        <w:ind w:firstLine="482" w:firstLineChars="200"/>
        <w:rPr>
          <w:rFonts w:hint="eastAsia" w:ascii="仿宋" w:hAnsi="仿宋" w:eastAsia="仿宋" w:cs="仿宋"/>
          <w:b/>
          <w:color w:val="auto"/>
          <w:sz w:val="24"/>
          <w:highlight w:val="none"/>
        </w:rPr>
      </w:pPr>
    </w:p>
    <w:bookmarkEnd w:id="168"/>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30204"/>
    <w:charset w:val="00"/>
    <w:family w:val="swiss"/>
    <w:pitch w:val="default"/>
    <w:sig w:usb0="00000000" w:usb1="00000000" w:usb2="00000000" w:usb3="00000000" w:csb0="00000093"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华文中宋">
    <w:altName w:val="宋体"/>
    <w:panose1 w:val="02010600040101010101"/>
    <w:charset w:val="86"/>
    <w:family w:val="auto"/>
    <w:pitch w:val="default"/>
    <w:sig w:usb0="00000000" w:usb1="00000000" w:usb2="00000000" w:usb3="00000000" w:csb0="0004009F" w:csb1="DFD70000"/>
  </w:font>
  <w:font w:name=".PingFang SC">
    <w:altName w:val="微软雅黑"/>
    <w:panose1 w:val="00000000000000000000"/>
    <w:charset w:val="00"/>
    <w:family w:val="modern"/>
    <w:pitch w:val="default"/>
    <w:sig w:usb0="00000000" w:usb1="00000000" w:usb2="00000000" w:usb3="00000000" w:csb0="00040001" w:csb1="00000000"/>
  </w:font>
  <w:font w:name="???|CS?o｡ﾀ?">
    <w:altName w:val="MS Mincho"/>
    <w:panose1 w:val="00000000000000000000"/>
    <w:charset w:val="80"/>
    <w:family w:val="modern"/>
    <w:pitch w:val="default"/>
    <w:sig w:usb0="00000000" w:usb1="00000000" w:usb2="00000010" w:usb3="00000000" w:csb0="00020000"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2B9B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A6CDA">
    <w:pPr>
      <w:pStyle w:val="40"/>
      <w:framePr w:wrap="around" w:vAnchor="text" w:hAnchor="margin" w:xAlign="right" w:y="1"/>
      <w:rPr>
        <w:rStyle w:val="66"/>
      </w:rPr>
    </w:pPr>
    <w:r>
      <w:fldChar w:fldCharType="begin"/>
    </w:r>
    <w:r>
      <w:rPr>
        <w:rStyle w:val="66"/>
      </w:rPr>
      <w:instrText xml:space="preserve">PAGE  </w:instrText>
    </w:r>
    <w:r>
      <w:fldChar w:fldCharType="end"/>
    </w:r>
  </w:p>
  <w:p w14:paraId="79039BBE">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7545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B1B32">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8096F">
    <w:pPr>
      <w:pStyle w:val="40"/>
      <w:framePr w:wrap="around" w:vAnchor="text" w:hAnchor="margin" w:xAlign="right" w:y="1"/>
      <w:rPr>
        <w:rStyle w:val="66"/>
      </w:rPr>
    </w:pPr>
    <w:r>
      <w:fldChar w:fldCharType="begin"/>
    </w:r>
    <w:r>
      <w:rPr>
        <w:rStyle w:val="66"/>
      </w:rPr>
      <w:instrText xml:space="preserve">PAGE  </w:instrText>
    </w:r>
    <w:r>
      <w:fldChar w:fldCharType="end"/>
    </w:r>
  </w:p>
  <w:p w14:paraId="72B2C325">
    <w:pPr>
      <w:pStyle w:val="4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A1FAE">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64" w:name="_Toc164085800"/>
    <w:bookmarkStart w:id="165" w:name="_Toc131845147"/>
    <w:bookmarkStart w:id="166" w:name="_Toc91899912"/>
    <w:bookmarkStart w:id="167" w:name="_Toc36110187"/>
    <w:r>
      <w:rPr>
        <w:rFonts w:hint="eastAsia" w:ascii="仿宋_GB2312" w:eastAsia="仿宋_GB2312"/>
        <w:kern w:val="0"/>
        <w:szCs w:val="21"/>
      </w:rPr>
      <w:t xml:space="preserve"> 页</w:t>
    </w:r>
    <w:bookmarkEnd w:id="164"/>
    <w:bookmarkEnd w:id="165"/>
    <w:bookmarkEnd w:id="166"/>
    <w:bookmarkEnd w:id="167"/>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BB0BA">
    <w:pPr>
      <w:pStyle w:val="58"/>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18546">
    <w:pPr>
      <w:pStyle w:val="41"/>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B5432">
    <w:pPr>
      <w:pStyle w:val="41"/>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96364">
    <w:pPr>
      <w:pStyle w:val="41"/>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528531"/>
    <w:multiLevelType w:val="singleLevel"/>
    <w:tmpl w:val="A7528531"/>
    <w:lvl w:ilvl="0" w:tentative="0">
      <w:start w:val="4"/>
      <w:numFmt w:val="decimal"/>
      <w:lvlText w:val="%1."/>
      <w:lvlJc w:val="left"/>
      <w:pPr>
        <w:tabs>
          <w:tab w:val="left" w:pos="312"/>
        </w:tabs>
      </w:pPr>
    </w:lvl>
  </w:abstractNum>
  <w:abstractNum w:abstractNumId="1">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5"/>
      <w:lvlText w:val=""/>
      <w:lvlJc w:val="left"/>
      <w:pPr>
        <w:tabs>
          <w:tab w:val="left" w:pos="840"/>
        </w:tabs>
        <w:ind w:left="840" w:hanging="420"/>
      </w:pPr>
      <w:rPr>
        <w:rFonts w:hint="default" w:ascii="Wingdings" w:hAnsi="Wingdings"/>
      </w:rPr>
    </w:lvl>
    <w:lvl w:ilvl="1" w:tentative="0">
      <w:start w:val="1"/>
      <w:numFmt w:val="bullet"/>
      <w:pStyle w:val="88"/>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0000027"/>
    <w:multiLevelType w:val="singleLevel"/>
    <w:tmpl w:val="00000027"/>
    <w:lvl w:ilvl="0" w:tentative="0">
      <w:start w:val="0"/>
      <w:numFmt w:val="bullet"/>
      <w:lvlText w:val="*"/>
      <w:lvlJc w:val="left"/>
    </w:lvl>
  </w:abstractNum>
  <w:abstractNum w:abstractNumId="5">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3"/>
  </w:num>
  <w:num w:numId="3">
    <w:abstractNumId w:val="1"/>
  </w:num>
  <w:num w:numId="4">
    <w:abstractNumId w:val="2"/>
  </w:num>
  <w:num w:numId="5">
    <w:abstractNumId w:val="8"/>
  </w:num>
  <w:num w:numId="6">
    <w:abstractNumId w:val="10"/>
  </w:num>
  <w:num w:numId="7">
    <w:abstractNumId w:val="0"/>
  </w:num>
  <w:num w:numId="8">
    <w:abstractNumId w:val="11"/>
  </w:num>
  <w:num w:numId="9">
    <w:abstractNumId w:val="6"/>
  </w:num>
  <w:num w:numId="10">
    <w:abstractNumId w:val="9"/>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iZDMwMDUxZmUzNTMwZWI2MDE3NTJjNmYxMjBmNzg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CA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16D"/>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0B2BAB"/>
    <w:rsid w:val="01933E20"/>
    <w:rsid w:val="01EE1F3A"/>
    <w:rsid w:val="02241336"/>
    <w:rsid w:val="02DA0C0E"/>
    <w:rsid w:val="03465822"/>
    <w:rsid w:val="038F7676"/>
    <w:rsid w:val="03913E39"/>
    <w:rsid w:val="03D2042C"/>
    <w:rsid w:val="03DD35E4"/>
    <w:rsid w:val="03E5503B"/>
    <w:rsid w:val="03F236B0"/>
    <w:rsid w:val="040C25C7"/>
    <w:rsid w:val="04781A80"/>
    <w:rsid w:val="04A00615"/>
    <w:rsid w:val="04DA4474"/>
    <w:rsid w:val="04EA6DAD"/>
    <w:rsid w:val="050140F6"/>
    <w:rsid w:val="05152D0D"/>
    <w:rsid w:val="05347C6F"/>
    <w:rsid w:val="05545FD4"/>
    <w:rsid w:val="05717247"/>
    <w:rsid w:val="057A4F37"/>
    <w:rsid w:val="05B43990"/>
    <w:rsid w:val="05F039D4"/>
    <w:rsid w:val="0618237D"/>
    <w:rsid w:val="065A6178"/>
    <w:rsid w:val="06C21663"/>
    <w:rsid w:val="06E55C44"/>
    <w:rsid w:val="070276D8"/>
    <w:rsid w:val="070E28DC"/>
    <w:rsid w:val="073654DC"/>
    <w:rsid w:val="073C033A"/>
    <w:rsid w:val="074D717F"/>
    <w:rsid w:val="075562B7"/>
    <w:rsid w:val="076F17EB"/>
    <w:rsid w:val="076F7258"/>
    <w:rsid w:val="07F6164B"/>
    <w:rsid w:val="07FA6993"/>
    <w:rsid w:val="086C1887"/>
    <w:rsid w:val="087A1B7A"/>
    <w:rsid w:val="087D37AA"/>
    <w:rsid w:val="08B537D4"/>
    <w:rsid w:val="093F13C9"/>
    <w:rsid w:val="096807EE"/>
    <w:rsid w:val="096B2097"/>
    <w:rsid w:val="09F92282"/>
    <w:rsid w:val="0A1D7BF4"/>
    <w:rsid w:val="0A5B7E63"/>
    <w:rsid w:val="0A6E57EF"/>
    <w:rsid w:val="0A7A264F"/>
    <w:rsid w:val="0A833286"/>
    <w:rsid w:val="0A997548"/>
    <w:rsid w:val="0B0C7351"/>
    <w:rsid w:val="0B223BAA"/>
    <w:rsid w:val="0B601965"/>
    <w:rsid w:val="0B613EA8"/>
    <w:rsid w:val="0BBC0D77"/>
    <w:rsid w:val="0C022773"/>
    <w:rsid w:val="0C2B3807"/>
    <w:rsid w:val="0C801A53"/>
    <w:rsid w:val="0C87121B"/>
    <w:rsid w:val="0CF238BD"/>
    <w:rsid w:val="0D6E7A94"/>
    <w:rsid w:val="0D81362F"/>
    <w:rsid w:val="0D8A3029"/>
    <w:rsid w:val="0DB461AA"/>
    <w:rsid w:val="0DF702FE"/>
    <w:rsid w:val="0DF838AA"/>
    <w:rsid w:val="0E0802A4"/>
    <w:rsid w:val="0E2055ED"/>
    <w:rsid w:val="0E3F698B"/>
    <w:rsid w:val="0F21508F"/>
    <w:rsid w:val="0F3C5FD0"/>
    <w:rsid w:val="0F720A96"/>
    <w:rsid w:val="0F816ACD"/>
    <w:rsid w:val="0F8676D2"/>
    <w:rsid w:val="0FB94501"/>
    <w:rsid w:val="0FC24482"/>
    <w:rsid w:val="0FE55804"/>
    <w:rsid w:val="0FF07241"/>
    <w:rsid w:val="10486DC1"/>
    <w:rsid w:val="10807F7B"/>
    <w:rsid w:val="10872BE5"/>
    <w:rsid w:val="10B047CF"/>
    <w:rsid w:val="10B667BC"/>
    <w:rsid w:val="10FC16EA"/>
    <w:rsid w:val="11014843"/>
    <w:rsid w:val="11551A52"/>
    <w:rsid w:val="11757319"/>
    <w:rsid w:val="118963A1"/>
    <w:rsid w:val="118C0A0B"/>
    <w:rsid w:val="11B76268"/>
    <w:rsid w:val="122338FE"/>
    <w:rsid w:val="12433AC2"/>
    <w:rsid w:val="126441EB"/>
    <w:rsid w:val="126F0984"/>
    <w:rsid w:val="127723A9"/>
    <w:rsid w:val="12C96B5D"/>
    <w:rsid w:val="12CD73C6"/>
    <w:rsid w:val="13072A44"/>
    <w:rsid w:val="132D52E6"/>
    <w:rsid w:val="133C0F20"/>
    <w:rsid w:val="133F2ED0"/>
    <w:rsid w:val="135C7930"/>
    <w:rsid w:val="137361BF"/>
    <w:rsid w:val="13B6124C"/>
    <w:rsid w:val="13E8384D"/>
    <w:rsid w:val="143B3537"/>
    <w:rsid w:val="14502E4E"/>
    <w:rsid w:val="145044FA"/>
    <w:rsid w:val="14935674"/>
    <w:rsid w:val="14CD5132"/>
    <w:rsid w:val="14EE5212"/>
    <w:rsid w:val="15CB4E25"/>
    <w:rsid w:val="15CD20F8"/>
    <w:rsid w:val="15DD3DC4"/>
    <w:rsid w:val="16014D41"/>
    <w:rsid w:val="16041859"/>
    <w:rsid w:val="16041E97"/>
    <w:rsid w:val="162246DA"/>
    <w:rsid w:val="16730284"/>
    <w:rsid w:val="16857377"/>
    <w:rsid w:val="16DF3B6C"/>
    <w:rsid w:val="16FD761E"/>
    <w:rsid w:val="1723298A"/>
    <w:rsid w:val="172872C1"/>
    <w:rsid w:val="1768495A"/>
    <w:rsid w:val="177257A9"/>
    <w:rsid w:val="17BE78AF"/>
    <w:rsid w:val="17D15BAA"/>
    <w:rsid w:val="18181975"/>
    <w:rsid w:val="18452495"/>
    <w:rsid w:val="186742B0"/>
    <w:rsid w:val="187F3EE9"/>
    <w:rsid w:val="18835B23"/>
    <w:rsid w:val="18FE3CD3"/>
    <w:rsid w:val="190B6E9A"/>
    <w:rsid w:val="192F0DDA"/>
    <w:rsid w:val="1A5F14AD"/>
    <w:rsid w:val="1B145A55"/>
    <w:rsid w:val="1B2A271F"/>
    <w:rsid w:val="1B510A57"/>
    <w:rsid w:val="1B5146D8"/>
    <w:rsid w:val="1B890139"/>
    <w:rsid w:val="1B8B1502"/>
    <w:rsid w:val="1B8C35F4"/>
    <w:rsid w:val="1B96102B"/>
    <w:rsid w:val="1B991D20"/>
    <w:rsid w:val="1BB16AF4"/>
    <w:rsid w:val="1BC838BC"/>
    <w:rsid w:val="1BDD4B1E"/>
    <w:rsid w:val="1C077DEC"/>
    <w:rsid w:val="1C5A616E"/>
    <w:rsid w:val="1CA05B4B"/>
    <w:rsid w:val="1CB17D58"/>
    <w:rsid w:val="1CC13751"/>
    <w:rsid w:val="1D266CE1"/>
    <w:rsid w:val="1D3963AF"/>
    <w:rsid w:val="1D6F5C49"/>
    <w:rsid w:val="1D972197"/>
    <w:rsid w:val="1DA83D78"/>
    <w:rsid w:val="1DD957B9"/>
    <w:rsid w:val="1E026ABD"/>
    <w:rsid w:val="1E076B7D"/>
    <w:rsid w:val="1E2544B4"/>
    <w:rsid w:val="1E2A7DC2"/>
    <w:rsid w:val="1E42683B"/>
    <w:rsid w:val="1E596CBA"/>
    <w:rsid w:val="1E714A66"/>
    <w:rsid w:val="1E7267F2"/>
    <w:rsid w:val="1E7C2FB3"/>
    <w:rsid w:val="1E857F63"/>
    <w:rsid w:val="1F4E5D32"/>
    <w:rsid w:val="1F5C044F"/>
    <w:rsid w:val="1F7F60C4"/>
    <w:rsid w:val="1F953961"/>
    <w:rsid w:val="1FCA360B"/>
    <w:rsid w:val="1FE868A9"/>
    <w:rsid w:val="20041C8A"/>
    <w:rsid w:val="20076707"/>
    <w:rsid w:val="202F16C0"/>
    <w:rsid w:val="20547378"/>
    <w:rsid w:val="205C5695"/>
    <w:rsid w:val="20A37E6E"/>
    <w:rsid w:val="20B1770C"/>
    <w:rsid w:val="20FF1092"/>
    <w:rsid w:val="21156B9E"/>
    <w:rsid w:val="211E26D6"/>
    <w:rsid w:val="21283D08"/>
    <w:rsid w:val="21667F38"/>
    <w:rsid w:val="21752A73"/>
    <w:rsid w:val="21D22948"/>
    <w:rsid w:val="21D267A7"/>
    <w:rsid w:val="221E64EC"/>
    <w:rsid w:val="225223A9"/>
    <w:rsid w:val="22A37B5D"/>
    <w:rsid w:val="22AD0DF7"/>
    <w:rsid w:val="22C80D14"/>
    <w:rsid w:val="22E56A12"/>
    <w:rsid w:val="2335523F"/>
    <w:rsid w:val="237644F1"/>
    <w:rsid w:val="23E93556"/>
    <w:rsid w:val="23EB1DA2"/>
    <w:rsid w:val="242117BE"/>
    <w:rsid w:val="24325758"/>
    <w:rsid w:val="244D0366"/>
    <w:rsid w:val="245001AA"/>
    <w:rsid w:val="24643077"/>
    <w:rsid w:val="247F758B"/>
    <w:rsid w:val="24E12C2A"/>
    <w:rsid w:val="24EC4023"/>
    <w:rsid w:val="250007C0"/>
    <w:rsid w:val="252235A1"/>
    <w:rsid w:val="254F0272"/>
    <w:rsid w:val="257D4C7B"/>
    <w:rsid w:val="259F3EF0"/>
    <w:rsid w:val="25B440B3"/>
    <w:rsid w:val="25C25F66"/>
    <w:rsid w:val="25F42A9E"/>
    <w:rsid w:val="260E1D77"/>
    <w:rsid w:val="26143832"/>
    <w:rsid w:val="266A7F89"/>
    <w:rsid w:val="269D4204"/>
    <w:rsid w:val="27007014"/>
    <w:rsid w:val="2801136F"/>
    <w:rsid w:val="280E605F"/>
    <w:rsid w:val="28154F65"/>
    <w:rsid w:val="28163F76"/>
    <w:rsid w:val="282F2F82"/>
    <w:rsid w:val="28B05368"/>
    <w:rsid w:val="29115E06"/>
    <w:rsid w:val="29384F43"/>
    <w:rsid w:val="2967011C"/>
    <w:rsid w:val="29B76509"/>
    <w:rsid w:val="2A0D4E51"/>
    <w:rsid w:val="2A6A4B7F"/>
    <w:rsid w:val="2AA1365A"/>
    <w:rsid w:val="2AF44A43"/>
    <w:rsid w:val="2B283BFC"/>
    <w:rsid w:val="2B7F2FE3"/>
    <w:rsid w:val="2BCF2C1A"/>
    <w:rsid w:val="2BD44FDA"/>
    <w:rsid w:val="2C47494F"/>
    <w:rsid w:val="2C4825DD"/>
    <w:rsid w:val="2C4C1ABA"/>
    <w:rsid w:val="2C671545"/>
    <w:rsid w:val="2CAD4098"/>
    <w:rsid w:val="2CFB4A04"/>
    <w:rsid w:val="2D406CBA"/>
    <w:rsid w:val="2D852E22"/>
    <w:rsid w:val="2DD15014"/>
    <w:rsid w:val="2DE82ED1"/>
    <w:rsid w:val="2E2C5491"/>
    <w:rsid w:val="2E2C6E55"/>
    <w:rsid w:val="2E433225"/>
    <w:rsid w:val="2E60513A"/>
    <w:rsid w:val="2EE61AE3"/>
    <w:rsid w:val="2F0B154A"/>
    <w:rsid w:val="2F1748AE"/>
    <w:rsid w:val="2FC130E0"/>
    <w:rsid w:val="2FD25781"/>
    <w:rsid w:val="302B582D"/>
    <w:rsid w:val="30494873"/>
    <w:rsid w:val="30526ABE"/>
    <w:rsid w:val="308B46F0"/>
    <w:rsid w:val="30A92602"/>
    <w:rsid w:val="30AB121E"/>
    <w:rsid w:val="30BF083E"/>
    <w:rsid w:val="311E5564"/>
    <w:rsid w:val="319C6071"/>
    <w:rsid w:val="31DE4CF4"/>
    <w:rsid w:val="32556CDD"/>
    <w:rsid w:val="328C0BF4"/>
    <w:rsid w:val="32A775A9"/>
    <w:rsid w:val="32DB72BE"/>
    <w:rsid w:val="32DE750E"/>
    <w:rsid w:val="333A4076"/>
    <w:rsid w:val="337413A2"/>
    <w:rsid w:val="337D374B"/>
    <w:rsid w:val="338643EE"/>
    <w:rsid w:val="339A521E"/>
    <w:rsid w:val="341D7D55"/>
    <w:rsid w:val="342E63AB"/>
    <w:rsid w:val="344076FA"/>
    <w:rsid w:val="345D260B"/>
    <w:rsid w:val="347A452B"/>
    <w:rsid w:val="34CB734C"/>
    <w:rsid w:val="35A42E1F"/>
    <w:rsid w:val="35A85D44"/>
    <w:rsid w:val="35C83CF1"/>
    <w:rsid w:val="363E2205"/>
    <w:rsid w:val="365302AE"/>
    <w:rsid w:val="368857DA"/>
    <w:rsid w:val="368A29AA"/>
    <w:rsid w:val="36D66D03"/>
    <w:rsid w:val="37133692"/>
    <w:rsid w:val="375D5BCD"/>
    <w:rsid w:val="376D1A36"/>
    <w:rsid w:val="37890459"/>
    <w:rsid w:val="37D42E21"/>
    <w:rsid w:val="37F142D2"/>
    <w:rsid w:val="380354B4"/>
    <w:rsid w:val="38236C71"/>
    <w:rsid w:val="388465E1"/>
    <w:rsid w:val="38A53311"/>
    <w:rsid w:val="38AD71CE"/>
    <w:rsid w:val="38F444AB"/>
    <w:rsid w:val="397C1875"/>
    <w:rsid w:val="39A1028C"/>
    <w:rsid w:val="39A13F14"/>
    <w:rsid w:val="39B85B5E"/>
    <w:rsid w:val="39D97A0F"/>
    <w:rsid w:val="39F003EA"/>
    <w:rsid w:val="3A5C0EAC"/>
    <w:rsid w:val="3A810A8D"/>
    <w:rsid w:val="3A8C02DD"/>
    <w:rsid w:val="3AAD31D6"/>
    <w:rsid w:val="3AE960B8"/>
    <w:rsid w:val="3AEA0949"/>
    <w:rsid w:val="3B0921D0"/>
    <w:rsid w:val="3B110E11"/>
    <w:rsid w:val="3B3B31B7"/>
    <w:rsid w:val="3B425EB4"/>
    <w:rsid w:val="3B813E89"/>
    <w:rsid w:val="3BE467EC"/>
    <w:rsid w:val="3BF0562E"/>
    <w:rsid w:val="3C5F759A"/>
    <w:rsid w:val="3D0848C2"/>
    <w:rsid w:val="3D5C78D4"/>
    <w:rsid w:val="3D5E72E1"/>
    <w:rsid w:val="3DB81CA1"/>
    <w:rsid w:val="3DC01751"/>
    <w:rsid w:val="3DF4396E"/>
    <w:rsid w:val="3DF7631F"/>
    <w:rsid w:val="3DFD203D"/>
    <w:rsid w:val="3E027FBC"/>
    <w:rsid w:val="3E6A0C8A"/>
    <w:rsid w:val="3E8A12D2"/>
    <w:rsid w:val="3F840E1E"/>
    <w:rsid w:val="3FC217B1"/>
    <w:rsid w:val="3FCF152A"/>
    <w:rsid w:val="3FDE1034"/>
    <w:rsid w:val="3FFF72A6"/>
    <w:rsid w:val="40CC6C33"/>
    <w:rsid w:val="411029F0"/>
    <w:rsid w:val="412F52CF"/>
    <w:rsid w:val="41417FB7"/>
    <w:rsid w:val="41920576"/>
    <w:rsid w:val="41D0774D"/>
    <w:rsid w:val="41D93BE5"/>
    <w:rsid w:val="42243985"/>
    <w:rsid w:val="42472441"/>
    <w:rsid w:val="42E1381E"/>
    <w:rsid w:val="42E45EE2"/>
    <w:rsid w:val="43046206"/>
    <w:rsid w:val="43353FDF"/>
    <w:rsid w:val="43993B19"/>
    <w:rsid w:val="43DB5537"/>
    <w:rsid w:val="43FB717C"/>
    <w:rsid w:val="44121C51"/>
    <w:rsid w:val="443239D6"/>
    <w:rsid w:val="44674FD6"/>
    <w:rsid w:val="44697764"/>
    <w:rsid w:val="44AD53A6"/>
    <w:rsid w:val="44BE38D0"/>
    <w:rsid w:val="44FC6D1D"/>
    <w:rsid w:val="45097E82"/>
    <w:rsid w:val="451E447A"/>
    <w:rsid w:val="45345B76"/>
    <w:rsid w:val="454809AA"/>
    <w:rsid w:val="45504808"/>
    <w:rsid w:val="45712002"/>
    <w:rsid w:val="4585575A"/>
    <w:rsid w:val="459A09B0"/>
    <w:rsid w:val="45AD3512"/>
    <w:rsid w:val="45C41E28"/>
    <w:rsid w:val="45D728AB"/>
    <w:rsid w:val="45DD0152"/>
    <w:rsid w:val="45FB5A1D"/>
    <w:rsid w:val="46081EE8"/>
    <w:rsid w:val="4684619C"/>
    <w:rsid w:val="46846D2B"/>
    <w:rsid w:val="46AF7692"/>
    <w:rsid w:val="46B07A04"/>
    <w:rsid w:val="46BD2F50"/>
    <w:rsid w:val="46C239FA"/>
    <w:rsid w:val="46CB3641"/>
    <w:rsid w:val="47307808"/>
    <w:rsid w:val="474970F5"/>
    <w:rsid w:val="475278BE"/>
    <w:rsid w:val="4766010E"/>
    <w:rsid w:val="478D6B48"/>
    <w:rsid w:val="47BB52E5"/>
    <w:rsid w:val="480E34B9"/>
    <w:rsid w:val="486F747C"/>
    <w:rsid w:val="487B4BF3"/>
    <w:rsid w:val="48AF6AA2"/>
    <w:rsid w:val="49392333"/>
    <w:rsid w:val="4948541D"/>
    <w:rsid w:val="495C26F5"/>
    <w:rsid w:val="49E01723"/>
    <w:rsid w:val="4A404346"/>
    <w:rsid w:val="4A743FEF"/>
    <w:rsid w:val="4A9106FD"/>
    <w:rsid w:val="4AAE3A73"/>
    <w:rsid w:val="4B3D7CAC"/>
    <w:rsid w:val="4B5F781B"/>
    <w:rsid w:val="4BB607A3"/>
    <w:rsid w:val="4C324162"/>
    <w:rsid w:val="4C47264F"/>
    <w:rsid w:val="4C7107E7"/>
    <w:rsid w:val="4CD64999"/>
    <w:rsid w:val="4D0F5E59"/>
    <w:rsid w:val="4D101A3B"/>
    <w:rsid w:val="4D493511"/>
    <w:rsid w:val="4D861CF6"/>
    <w:rsid w:val="4DC51A2E"/>
    <w:rsid w:val="4DC971E5"/>
    <w:rsid w:val="4DDF3E76"/>
    <w:rsid w:val="4DFE60AA"/>
    <w:rsid w:val="4E0E382A"/>
    <w:rsid w:val="4E15164E"/>
    <w:rsid w:val="4E564138"/>
    <w:rsid w:val="4E7F1AF3"/>
    <w:rsid w:val="4F0A0A7E"/>
    <w:rsid w:val="4F287A64"/>
    <w:rsid w:val="4F461E2F"/>
    <w:rsid w:val="4F6E5963"/>
    <w:rsid w:val="4F813436"/>
    <w:rsid w:val="4FBA32A0"/>
    <w:rsid w:val="4FC76DD2"/>
    <w:rsid w:val="50073272"/>
    <w:rsid w:val="503C110B"/>
    <w:rsid w:val="51081457"/>
    <w:rsid w:val="51334F0D"/>
    <w:rsid w:val="513A05B1"/>
    <w:rsid w:val="51750D79"/>
    <w:rsid w:val="517843C5"/>
    <w:rsid w:val="517B503C"/>
    <w:rsid w:val="51A0432A"/>
    <w:rsid w:val="527140E5"/>
    <w:rsid w:val="5292508F"/>
    <w:rsid w:val="52A32EDF"/>
    <w:rsid w:val="52A96B6F"/>
    <w:rsid w:val="52D1683C"/>
    <w:rsid w:val="52EA3848"/>
    <w:rsid w:val="52F53AC1"/>
    <w:rsid w:val="530A041B"/>
    <w:rsid w:val="534A08D8"/>
    <w:rsid w:val="539E0C46"/>
    <w:rsid w:val="54556C40"/>
    <w:rsid w:val="54E82C59"/>
    <w:rsid w:val="54F5082C"/>
    <w:rsid w:val="550764A4"/>
    <w:rsid w:val="551926E0"/>
    <w:rsid w:val="554A586B"/>
    <w:rsid w:val="554F18E1"/>
    <w:rsid w:val="55517407"/>
    <w:rsid w:val="55D71631"/>
    <w:rsid w:val="55DD6EED"/>
    <w:rsid w:val="56114DE8"/>
    <w:rsid w:val="561279B9"/>
    <w:rsid w:val="56272DB4"/>
    <w:rsid w:val="56515F3B"/>
    <w:rsid w:val="566136BD"/>
    <w:rsid w:val="572B71CA"/>
    <w:rsid w:val="57866647"/>
    <w:rsid w:val="57905034"/>
    <w:rsid w:val="57B974E6"/>
    <w:rsid w:val="57E061A0"/>
    <w:rsid w:val="58480BFF"/>
    <w:rsid w:val="584E5E80"/>
    <w:rsid w:val="585468CB"/>
    <w:rsid w:val="58600972"/>
    <w:rsid w:val="58AE3BDF"/>
    <w:rsid w:val="58AE4F0C"/>
    <w:rsid w:val="58BB77D6"/>
    <w:rsid w:val="58CB74D0"/>
    <w:rsid w:val="59033B50"/>
    <w:rsid w:val="594A699D"/>
    <w:rsid w:val="59C27165"/>
    <w:rsid w:val="59CB3174"/>
    <w:rsid w:val="59DD0D1A"/>
    <w:rsid w:val="59E22D24"/>
    <w:rsid w:val="59E2350D"/>
    <w:rsid w:val="5A2A7C7B"/>
    <w:rsid w:val="5A334C16"/>
    <w:rsid w:val="5A390534"/>
    <w:rsid w:val="5ABC7F70"/>
    <w:rsid w:val="5ACD31D3"/>
    <w:rsid w:val="5AD30CEA"/>
    <w:rsid w:val="5B187CA7"/>
    <w:rsid w:val="5B45163E"/>
    <w:rsid w:val="5B745BFD"/>
    <w:rsid w:val="5BE0081B"/>
    <w:rsid w:val="5BEA4B20"/>
    <w:rsid w:val="5C422553"/>
    <w:rsid w:val="5C80234E"/>
    <w:rsid w:val="5CD64696"/>
    <w:rsid w:val="5CF95466"/>
    <w:rsid w:val="5D210D4E"/>
    <w:rsid w:val="5D323B73"/>
    <w:rsid w:val="5D403AD8"/>
    <w:rsid w:val="5D77771F"/>
    <w:rsid w:val="5D785644"/>
    <w:rsid w:val="5D9407D9"/>
    <w:rsid w:val="5E040F23"/>
    <w:rsid w:val="5E0C65C1"/>
    <w:rsid w:val="5E261785"/>
    <w:rsid w:val="5E4670EA"/>
    <w:rsid w:val="5E7E6787"/>
    <w:rsid w:val="5E96232F"/>
    <w:rsid w:val="5EA43D85"/>
    <w:rsid w:val="5EAF43E9"/>
    <w:rsid w:val="5ED454B6"/>
    <w:rsid w:val="5F2B0CC9"/>
    <w:rsid w:val="5F6D72BA"/>
    <w:rsid w:val="5F903222"/>
    <w:rsid w:val="5FCC5339"/>
    <w:rsid w:val="5FE70807"/>
    <w:rsid w:val="6011625E"/>
    <w:rsid w:val="60184047"/>
    <w:rsid w:val="60481349"/>
    <w:rsid w:val="60D93FB9"/>
    <w:rsid w:val="60DF0EEF"/>
    <w:rsid w:val="60DF4280"/>
    <w:rsid w:val="60E53485"/>
    <w:rsid w:val="60FE0B36"/>
    <w:rsid w:val="61054A27"/>
    <w:rsid w:val="61080514"/>
    <w:rsid w:val="611D2366"/>
    <w:rsid w:val="61422A3D"/>
    <w:rsid w:val="618D7A19"/>
    <w:rsid w:val="61A466ED"/>
    <w:rsid w:val="61F938BC"/>
    <w:rsid w:val="62157A0E"/>
    <w:rsid w:val="62283511"/>
    <w:rsid w:val="625E7607"/>
    <w:rsid w:val="626450F0"/>
    <w:rsid w:val="62885958"/>
    <w:rsid w:val="629848C7"/>
    <w:rsid w:val="62B26A11"/>
    <w:rsid w:val="62B8701B"/>
    <w:rsid w:val="62B96804"/>
    <w:rsid w:val="62BB6808"/>
    <w:rsid w:val="62DE6052"/>
    <w:rsid w:val="6338702C"/>
    <w:rsid w:val="63486E9F"/>
    <w:rsid w:val="639610E8"/>
    <w:rsid w:val="63D51581"/>
    <w:rsid w:val="63FA6EBC"/>
    <w:rsid w:val="645F6310"/>
    <w:rsid w:val="646575B6"/>
    <w:rsid w:val="64676529"/>
    <w:rsid w:val="64821B6F"/>
    <w:rsid w:val="64873E27"/>
    <w:rsid w:val="64CE2EAA"/>
    <w:rsid w:val="655F1CDA"/>
    <w:rsid w:val="65621015"/>
    <w:rsid w:val="65654809"/>
    <w:rsid w:val="65A41CAC"/>
    <w:rsid w:val="65D83045"/>
    <w:rsid w:val="65F16A26"/>
    <w:rsid w:val="65F20792"/>
    <w:rsid w:val="662E75B1"/>
    <w:rsid w:val="66342C2E"/>
    <w:rsid w:val="663E784C"/>
    <w:rsid w:val="6657634E"/>
    <w:rsid w:val="66833198"/>
    <w:rsid w:val="66DB609C"/>
    <w:rsid w:val="66DF3664"/>
    <w:rsid w:val="6700772C"/>
    <w:rsid w:val="67A05409"/>
    <w:rsid w:val="67F922CA"/>
    <w:rsid w:val="68205881"/>
    <w:rsid w:val="685867EC"/>
    <w:rsid w:val="687E6E88"/>
    <w:rsid w:val="689A7DCE"/>
    <w:rsid w:val="68EF0F47"/>
    <w:rsid w:val="69036813"/>
    <w:rsid w:val="6951757E"/>
    <w:rsid w:val="696F3EA8"/>
    <w:rsid w:val="69BC6377"/>
    <w:rsid w:val="6A1C62AC"/>
    <w:rsid w:val="6A2A7799"/>
    <w:rsid w:val="6A491AD6"/>
    <w:rsid w:val="6A551FA9"/>
    <w:rsid w:val="6AB90474"/>
    <w:rsid w:val="6AC47E99"/>
    <w:rsid w:val="6ACF5E5D"/>
    <w:rsid w:val="6B0D2453"/>
    <w:rsid w:val="6B2673A5"/>
    <w:rsid w:val="6B2A1D3D"/>
    <w:rsid w:val="6B301415"/>
    <w:rsid w:val="6C027255"/>
    <w:rsid w:val="6C392C1F"/>
    <w:rsid w:val="6C7C3CB4"/>
    <w:rsid w:val="6E0C7C83"/>
    <w:rsid w:val="6E7A5A0B"/>
    <w:rsid w:val="6E8E12EF"/>
    <w:rsid w:val="6FAF36E4"/>
    <w:rsid w:val="6FDA2E92"/>
    <w:rsid w:val="707E38FE"/>
    <w:rsid w:val="70827584"/>
    <w:rsid w:val="71312ADB"/>
    <w:rsid w:val="713A7DBB"/>
    <w:rsid w:val="71715DB7"/>
    <w:rsid w:val="71CA611F"/>
    <w:rsid w:val="71D43752"/>
    <w:rsid w:val="71E85F09"/>
    <w:rsid w:val="72005FE5"/>
    <w:rsid w:val="722D3D31"/>
    <w:rsid w:val="722E4900"/>
    <w:rsid w:val="726C676B"/>
    <w:rsid w:val="72880973"/>
    <w:rsid w:val="72C67EBE"/>
    <w:rsid w:val="72C82208"/>
    <w:rsid w:val="72DA6836"/>
    <w:rsid w:val="730B69EF"/>
    <w:rsid w:val="735406E5"/>
    <w:rsid w:val="73840A2F"/>
    <w:rsid w:val="738A6EC9"/>
    <w:rsid w:val="73DD6243"/>
    <w:rsid w:val="746A459B"/>
    <w:rsid w:val="749C4185"/>
    <w:rsid w:val="74A16091"/>
    <w:rsid w:val="74F57B63"/>
    <w:rsid w:val="75151DA7"/>
    <w:rsid w:val="75952EE8"/>
    <w:rsid w:val="75994786"/>
    <w:rsid w:val="75DA2C18"/>
    <w:rsid w:val="75DE663D"/>
    <w:rsid w:val="75F551A1"/>
    <w:rsid w:val="75FE7E24"/>
    <w:rsid w:val="76781F92"/>
    <w:rsid w:val="767C4448"/>
    <w:rsid w:val="76A01B45"/>
    <w:rsid w:val="76CF41D8"/>
    <w:rsid w:val="76DF3CD0"/>
    <w:rsid w:val="76F45266"/>
    <w:rsid w:val="773161EA"/>
    <w:rsid w:val="775319EF"/>
    <w:rsid w:val="776055A6"/>
    <w:rsid w:val="777032C5"/>
    <w:rsid w:val="777C610E"/>
    <w:rsid w:val="77A61E1F"/>
    <w:rsid w:val="77B07B65"/>
    <w:rsid w:val="78316434"/>
    <w:rsid w:val="78484242"/>
    <w:rsid w:val="78843819"/>
    <w:rsid w:val="789229C2"/>
    <w:rsid w:val="78A05E2C"/>
    <w:rsid w:val="78FD6DDA"/>
    <w:rsid w:val="790F1C77"/>
    <w:rsid w:val="79E21A8A"/>
    <w:rsid w:val="7A660A4C"/>
    <w:rsid w:val="7A67303B"/>
    <w:rsid w:val="7AA36675"/>
    <w:rsid w:val="7AAB1D04"/>
    <w:rsid w:val="7ABA4368"/>
    <w:rsid w:val="7B257FFD"/>
    <w:rsid w:val="7B2E5971"/>
    <w:rsid w:val="7B8025B0"/>
    <w:rsid w:val="7B8637EC"/>
    <w:rsid w:val="7B886DA3"/>
    <w:rsid w:val="7C2B1DA5"/>
    <w:rsid w:val="7CAD6D69"/>
    <w:rsid w:val="7CB579CC"/>
    <w:rsid w:val="7CC145C3"/>
    <w:rsid w:val="7D052AC7"/>
    <w:rsid w:val="7D801F34"/>
    <w:rsid w:val="7D956BBD"/>
    <w:rsid w:val="7DA75371"/>
    <w:rsid w:val="7DF4317E"/>
    <w:rsid w:val="7E1F70E3"/>
    <w:rsid w:val="7E64308B"/>
    <w:rsid w:val="7E6E65C6"/>
    <w:rsid w:val="7E9D553E"/>
    <w:rsid w:val="7EB93BEA"/>
    <w:rsid w:val="7F3217A8"/>
    <w:rsid w:val="7F465DDB"/>
    <w:rsid w:val="7F4A27E5"/>
    <w:rsid w:val="7FA2248A"/>
    <w:rsid w:val="7FC20D7E"/>
    <w:rsid w:val="7FCD35C1"/>
    <w:rsid w:val="7FE24F7C"/>
    <w:rsid w:val="7FFE1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37"/>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0"/>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600"/>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4"/>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3"/>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2"/>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2"/>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2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customStyle="1" w:styleId="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614"/>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5"/>
    <w:qFormat/>
    <w:uiPriority w:val="99"/>
    <w:pPr>
      <w:jc w:val="left"/>
    </w:pPr>
  </w:style>
  <w:style w:type="paragraph" w:styleId="21">
    <w:name w:val="Salutation"/>
    <w:basedOn w:val="1"/>
    <w:next w:val="1"/>
    <w:link w:val="483"/>
    <w:qFormat/>
    <w:uiPriority w:val="0"/>
    <w:rPr>
      <w:rFonts w:ascii="仿宋_GB2312" w:eastAsia="仿宋_GB2312"/>
      <w:sz w:val="28"/>
      <w:szCs w:val="20"/>
    </w:rPr>
  </w:style>
  <w:style w:type="paragraph" w:styleId="22">
    <w:name w:val="Body Text 3"/>
    <w:basedOn w:val="1"/>
    <w:link w:val="582"/>
    <w:qFormat/>
    <w:uiPriority w:val="0"/>
    <w:pPr>
      <w:jc w:val="center"/>
    </w:pPr>
    <w:rPr>
      <w:szCs w:val="20"/>
    </w:rPr>
  </w:style>
  <w:style w:type="paragraph" w:styleId="23">
    <w:name w:val="Body Text"/>
    <w:basedOn w:val="1"/>
    <w:next w:val="24"/>
    <w:link w:val="513"/>
    <w:qFormat/>
    <w:uiPriority w:val="0"/>
    <w:pPr>
      <w:autoSpaceDE w:val="0"/>
      <w:autoSpaceDN w:val="0"/>
      <w:spacing w:line="360" w:lineRule="auto"/>
    </w:pPr>
    <w:rPr>
      <w:rFonts w:ascii="宋体"/>
      <w:sz w:val="24"/>
      <w:szCs w:val="21"/>
      <w:lang w:val="zh-CN"/>
    </w:rPr>
  </w:style>
  <w:style w:type="paragraph" w:styleId="24">
    <w:name w:val="Body Text First Indent"/>
    <w:basedOn w:val="23"/>
    <w:next w:val="25"/>
    <w:link w:val="546"/>
    <w:qFormat/>
    <w:uiPriority w:val="0"/>
    <w:pPr>
      <w:ind w:firstLine="420"/>
    </w:pPr>
    <w:rPr>
      <w:szCs w:val="20"/>
    </w:rPr>
  </w:style>
  <w:style w:type="paragraph" w:styleId="25">
    <w:name w:val="toc 6"/>
    <w:basedOn w:val="1"/>
    <w:next w:val="1"/>
    <w:qFormat/>
    <w:uiPriority w:val="0"/>
    <w:pPr>
      <w:ind w:left="2100" w:leftChars="1000"/>
    </w:pPr>
  </w:style>
  <w:style w:type="paragraph" w:styleId="26">
    <w:name w:val="Body Text Indent"/>
    <w:basedOn w:val="1"/>
    <w:next w:val="16"/>
    <w:link w:val="476"/>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572"/>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490"/>
    <w:qFormat/>
    <w:uiPriority w:val="0"/>
    <w:rPr>
      <w:rFonts w:ascii="宋体" w:hAnsi="Courier New"/>
      <w:szCs w:val="20"/>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599"/>
    <w:qFormat/>
    <w:uiPriority w:val="0"/>
    <w:pPr>
      <w:ind w:left="100" w:leftChars="2500"/>
    </w:pPr>
    <w:rPr>
      <w:rFonts w:ascii="宋体"/>
      <w:sz w:val="24"/>
      <w:szCs w:val="21"/>
      <w:lang w:val="zh-CN"/>
    </w:rPr>
  </w:style>
  <w:style w:type="paragraph" w:styleId="38">
    <w:name w:val="Body Text Indent 2"/>
    <w:basedOn w:val="1"/>
    <w:link w:val="504"/>
    <w:qFormat/>
    <w:uiPriority w:val="0"/>
    <w:pPr>
      <w:spacing w:line="360" w:lineRule="auto"/>
      <w:ind w:firstLine="601"/>
      <w:textAlignment w:val="baseline"/>
    </w:pPr>
    <w:rPr>
      <w:rFonts w:ascii="宋体"/>
      <w:kern w:val="0"/>
      <w:sz w:val="28"/>
      <w:szCs w:val="20"/>
    </w:rPr>
  </w:style>
  <w:style w:type="paragraph" w:styleId="39">
    <w:name w:val="Balloon Text"/>
    <w:basedOn w:val="1"/>
    <w:link w:val="616"/>
    <w:semiHidden/>
    <w:qFormat/>
    <w:uiPriority w:val="0"/>
    <w:rPr>
      <w:sz w:val="18"/>
      <w:szCs w:val="18"/>
    </w:rPr>
  </w:style>
  <w:style w:type="paragraph" w:styleId="40">
    <w:name w:val="footer"/>
    <w:basedOn w:val="1"/>
    <w:qFormat/>
    <w:uiPriority w:val="0"/>
    <w:pPr>
      <w:tabs>
        <w:tab w:val="center" w:pos="4153"/>
        <w:tab w:val="right" w:pos="8306"/>
      </w:tabs>
      <w:snapToGrid w:val="0"/>
      <w:jc w:val="left"/>
    </w:pPr>
    <w:rPr>
      <w:sz w:val="18"/>
      <w:szCs w:val="18"/>
    </w:rPr>
  </w:style>
  <w:style w:type="paragraph" w:styleId="4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43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48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6"/>
    <w:link w:val="474"/>
    <w:qFormat/>
    <w:uiPriority w:val="0"/>
    <w:pPr>
      <w:adjustRightInd/>
      <w:snapToGrid/>
      <w:spacing w:before="60" w:after="60" w:line="300" w:lineRule="exact"/>
      <w:ind w:firstLine="0"/>
    </w:pPr>
    <w:rPr>
      <w:rFonts w:ascii="Times New Roman"/>
      <w:snapToGrid/>
      <w:color w:val="0000FF"/>
      <w:kern w:val="0"/>
      <w:sz w:val="21"/>
    </w:r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9"/>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semiHidden/>
    <w:qFormat/>
    <w:uiPriority w:val="0"/>
    <w:rPr>
      <w:b/>
      <w:bCs/>
    </w:rPr>
  </w:style>
  <w:style w:type="paragraph" w:styleId="60">
    <w:name w:val="Body Text First Indent 2"/>
    <w:basedOn w:val="26"/>
    <w:next w:val="61"/>
    <w:link w:val="503"/>
    <w:qFormat/>
    <w:uiPriority w:val="0"/>
    <w:pPr>
      <w:adjustRightInd/>
      <w:spacing w:after="120" w:line="240" w:lineRule="auto"/>
      <w:ind w:left="420" w:leftChars="200" w:firstLine="210"/>
    </w:pPr>
    <w:rPr>
      <w:sz w:val="21"/>
    </w:rPr>
  </w:style>
  <w:style w:type="paragraph" w:customStyle="1" w:styleId="61">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table" w:styleId="63">
    <w:name w:val="Table Grid"/>
    <w:basedOn w:val="6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style>
  <w:style w:type="character" w:styleId="70">
    <w:name w:val="Hyperlink"/>
    <w:qFormat/>
    <w:uiPriority w:val="0"/>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paragraph" w:customStyle="1" w:styleId="7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4">
    <w:name w:val="Basistekst Batenburg"/>
    <w:basedOn w:val="75"/>
    <w:qFormat/>
    <w:uiPriority w:val="0"/>
  </w:style>
  <w:style w:type="paragraph" w:customStyle="1" w:styleId="75">
    <w:name w:val="Zsysbasis Batenburg"/>
    <w:next w:val="74"/>
    <w:qFormat/>
    <w:uiPriority w:val="0"/>
    <w:pPr>
      <w:spacing w:line="300" w:lineRule="atLeast"/>
    </w:pPr>
    <w:rPr>
      <w:rFonts w:ascii="Times New Roman" w:hAnsi="Times New Roman" w:eastAsia="宋体" w:cs="Times New Roman"/>
      <w:sz w:val="22"/>
      <w:szCs w:val="18"/>
      <w:lang w:val="en-US" w:eastAsia="zh-CN" w:bidi="ar-SA"/>
    </w:rPr>
  </w:style>
  <w:style w:type="paragraph" w:customStyle="1" w:styleId="7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7">
    <w:name w:val="冯"/>
    <w:basedOn w:val="1"/>
    <w:link w:val="517"/>
    <w:qFormat/>
    <w:uiPriority w:val="0"/>
    <w:pPr>
      <w:widowControl/>
      <w:adjustRightInd/>
      <w:spacing w:line="360" w:lineRule="auto"/>
      <w:ind w:firstLine="480" w:firstLineChars="200"/>
    </w:pPr>
    <w:rPr>
      <w:rFonts w:ascii="宋体" w:hAnsi="宋体"/>
      <w:color w:val="000000"/>
      <w:kern w:val="0"/>
      <w:sz w:val="24"/>
    </w:rPr>
  </w:style>
  <w:style w:type="paragraph" w:customStyle="1" w:styleId="78">
    <w:name w:val="样式3"/>
    <w:basedOn w:val="79"/>
    <w:qFormat/>
    <w:uiPriority w:val="0"/>
    <w:pPr>
      <w:tabs>
        <w:tab w:val="left" w:pos="2790"/>
        <w:tab w:val="left" w:pos="4230"/>
      </w:tabs>
      <w:spacing w:before="312" w:beforeLines="100"/>
      <w:jc w:val="left"/>
    </w:pPr>
  </w:style>
  <w:style w:type="paragraph" w:customStyle="1" w:styleId="7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0">
    <w:name w:val="P1"/>
    <w:basedOn w:val="1"/>
    <w:qFormat/>
    <w:uiPriority w:val="0"/>
    <w:pPr>
      <w:adjustRightInd/>
      <w:spacing w:line="288" w:lineRule="auto"/>
      <w:ind w:firstLine="425" w:firstLineChars="200"/>
    </w:pPr>
  </w:style>
  <w:style w:type="paragraph" w:customStyle="1" w:styleId="81">
    <w:name w:val="Char1 Char Char Char"/>
    <w:basedOn w:val="1"/>
    <w:qFormat/>
    <w:uiPriority w:val="0"/>
    <w:rPr>
      <w:rFonts w:ascii="Tahoma" w:hAnsi="Tahoma"/>
      <w:sz w:val="24"/>
      <w:szCs w:val="20"/>
    </w:rPr>
  </w:style>
  <w:style w:type="paragraph" w:customStyle="1" w:styleId="8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6">
    <w:name w:val="样式7"/>
    <w:basedOn w:val="87"/>
    <w:next w:val="1"/>
    <w:qFormat/>
    <w:uiPriority w:val="0"/>
    <w:pPr>
      <w:spacing w:after="156" w:afterLines="50"/>
      <w:jc w:val="left"/>
      <w:outlineLvl w:val="3"/>
    </w:pPr>
    <w:rPr>
      <w:sz w:val="24"/>
      <w:szCs w:val="24"/>
    </w:rPr>
  </w:style>
  <w:style w:type="paragraph" w:customStyle="1" w:styleId="8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8">
    <w:name w:val="Bulleted List"/>
    <w:basedOn w:val="1"/>
    <w:qFormat/>
    <w:uiPriority w:val="0"/>
    <w:pPr>
      <w:numPr>
        <w:ilvl w:val="1"/>
        <w:numId w:val="4"/>
      </w:numPr>
      <w:adjustRightInd/>
    </w:pPr>
  </w:style>
  <w:style w:type="paragraph" w:customStyle="1" w:styleId="89">
    <w:name w:val="Char3"/>
    <w:basedOn w:val="1"/>
    <w:qFormat/>
    <w:uiPriority w:val="0"/>
    <w:pPr>
      <w:adjustRightInd/>
    </w:pPr>
    <w:rPr>
      <w:rFonts w:ascii="仿宋_GB2312" w:eastAsia="仿宋_GB2312"/>
      <w:b/>
      <w:sz w:val="32"/>
      <w:szCs w:val="32"/>
    </w:rPr>
  </w:style>
  <w:style w:type="paragraph" w:customStyle="1" w:styleId="90">
    <w:name w:val="Char Char1 Char Char Char Char Char Char"/>
    <w:basedOn w:val="1"/>
    <w:qFormat/>
    <w:uiPriority w:val="0"/>
    <w:rPr>
      <w:rFonts w:ascii="仿宋_GB2312" w:eastAsia="仿宋_GB2312"/>
      <w:b/>
      <w:sz w:val="32"/>
      <w:szCs w:val="20"/>
    </w:rPr>
  </w:style>
  <w:style w:type="paragraph" w:customStyle="1" w:styleId="91">
    <w:name w:val="文本正文 Char"/>
    <w:basedOn w:val="1"/>
    <w:qFormat/>
    <w:uiPriority w:val="0"/>
    <w:pPr>
      <w:spacing w:line="360" w:lineRule="auto"/>
      <w:ind w:firstLine="200" w:firstLineChars="200"/>
    </w:pPr>
    <w:rPr>
      <w:kern w:val="0"/>
      <w:sz w:val="24"/>
      <w:szCs w:val="20"/>
    </w:rPr>
  </w:style>
  <w:style w:type="paragraph" w:customStyle="1" w:styleId="9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7">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8">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1">
    <w:name w:val="Char1"/>
    <w:basedOn w:val="1"/>
    <w:qFormat/>
    <w:uiPriority w:val="0"/>
    <w:rPr>
      <w:rFonts w:ascii="仿宋_GB2312" w:eastAsia="仿宋_GB2312"/>
      <w:b/>
      <w:sz w:val="32"/>
      <w:szCs w:val="32"/>
    </w:rPr>
  </w:style>
  <w:style w:type="paragraph" w:customStyle="1" w:styleId="102">
    <w:name w:val="CM14"/>
    <w:basedOn w:val="103"/>
    <w:next w:val="103"/>
    <w:qFormat/>
    <w:uiPriority w:val="0"/>
    <w:pPr>
      <w:spacing w:after="68"/>
    </w:pPr>
    <w:rPr>
      <w:rFonts w:ascii="FHLHE E+ Futura Bk" w:eastAsia="FHLHE E+ Futura Bk" w:cs="Times New Roman"/>
      <w:color w:val="auto"/>
    </w:rPr>
  </w:style>
  <w:style w:type="paragraph" w:customStyle="1" w:styleId="103">
    <w:name w:val="Default"/>
    <w:link w:val="62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5">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8">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9">
    <w:name w:val="List Paragraph"/>
    <w:basedOn w:val="1"/>
    <w:qFormat/>
    <w:uiPriority w:val="0"/>
    <w:pPr>
      <w:spacing w:line="360" w:lineRule="auto"/>
      <w:ind w:firstLine="200" w:firstLineChars="200"/>
    </w:pPr>
    <w:rPr>
      <w:rFonts w:eastAsia="楷体_GB2312" w:cs="Lucida Sans"/>
      <w:sz w:val="24"/>
    </w:rPr>
  </w:style>
  <w:style w:type="paragraph" w:customStyle="1" w:styleId="110">
    <w:name w:val="Char2 Char Char Char"/>
    <w:basedOn w:val="1"/>
    <w:qFormat/>
    <w:uiPriority w:val="0"/>
    <w:rPr>
      <w:rFonts w:ascii="仿宋_GB2312" w:eastAsia="仿宋_GB2312"/>
      <w:b/>
      <w:sz w:val="32"/>
      <w:szCs w:val="32"/>
    </w:rPr>
  </w:style>
  <w:style w:type="paragraph" w:customStyle="1" w:styleId="1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2">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3">
    <w:name w:val="Char Char Char"/>
    <w:basedOn w:val="1"/>
    <w:qFormat/>
    <w:uiPriority w:val="0"/>
    <w:rPr>
      <w:rFonts w:ascii="Tahoma" w:hAnsi="Tahoma"/>
      <w:sz w:val="24"/>
      <w:szCs w:val="20"/>
    </w:rPr>
  </w:style>
  <w:style w:type="paragraph" w:customStyle="1" w:styleId="1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6">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9">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2">
    <w:name w:val="FA正文"/>
    <w:basedOn w:val="1"/>
    <w:qFormat/>
    <w:uiPriority w:val="0"/>
    <w:pPr>
      <w:spacing w:line="360" w:lineRule="auto"/>
      <w:ind w:firstLine="480" w:firstLineChars="200"/>
    </w:pPr>
    <w:rPr>
      <w:rFonts w:hAnsi="宋体"/>
      <w:sz w:val="24"/>
      <w:szCs w:val="20"/>
    </w:rPr>
  </w:style>
  <w:style w:type="paragraph" w:customStyle="1" w:styleId="123">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4">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5">
    <w:name w:val="有符号正文"/>
    <w:basedOn w:val="1"/>
    <w:qFormat/>
    <w:uiPriority w:val="0"/>
    <w:pPr>
      <w:adjustRightInd/>
      <w:spacing w:line="400" w:lineRule="exact"/>
      <w:ind w:firstLine="200" w:firstLineChars="200"/>
    </w:pPr>
    <w:rPr>
      <w:rFonts w:ascii="Arial" w:hAnsi="Arial"/>
    </w:rPr>
  </w:style>
  <w:style w:type="paragraph" w:customStyle="1" w:styleId="1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7">
    <w:name w:val="默认段落字体 Para Char"/>
    <w:basedOn w:val="1"/>
    <w:qFormat/>
    <w:uiPriority w:val="0"/>
    <w:rPr>
      <w:rFonts w:ascii="Tahoma" w:hAnsi="Tahoma"/>
      <w:sz w:val="24"/>
      <w:szCs w:val="20"/>
    </w:rPr>
  </w:style>
  <w:style w:type="paragraph" w:customStyle="1" w:styleId="128">
    <w:name w:val="Char1 Char Char Char2"/>
    <w:basedOn w:val="1"/>
    <w:qFormat/>
    <w:uiPriority w:val="0"/>
    <w:pPr>
      <w:adjustRightInd/>
      <w:ind w:firstLine="200" w:firstLineChars="200"/>
    </w:pPr>
    <w:rPr>
      <w:rFonts w:ascii="Tahoma" w:hAnsi="Tahoma"/>
      <w:sz w:val="24"/>
      <w:szCs w:val="20"/>
    </w:rPr>
  </w:style>
  <w:style w:type="paragraph" w:customStyle="1" w:styleId="12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1">
    <w:name w:val="注释"/>
    <w:basedOn w:val="1"/>
    <w:qFormat/>
    <w:uiPriority w:val="0"/>
    <w:pPr>
      <w:adjustRightInd/>
      <w:spacing w:line="360" w:lineRule="auto"/>
      <w:ind w:firstLine="480"/>
    </w:pPr>
    <w:rPr>
      <w:sz w:val="24"/>
    </w:rPr>
  </w:style>
  <w:style w:type="paragraph" w:customStyle="1" w:styleId="1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3">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4">
    <w:name w:val="trademark"/>
    <w:qFormat/>
    <w:uiPriority w:val="0"/>
    <w:pPr>
      <w:spacing w:after="60"/>
    </w:pPr>
    <w:rPr>
      <w:rFonts w:ascii="Futura Bk" w:hAnsi="Futura Bk" w:eastAsia="宋体" w:cs="Times New Roman"/>
      <w:sz w:val="15"/>
      <w:lang w:val="en-US" w:eastAsia="en-US" w:bidi="ar-SA"/>
    </w:rPr>
  </w:style>
  <w:style w:type="paragraph" w:customStyle="1" w:styleId="13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6">
    <w:name w:val="EB_表格"/>
    <w:basedOn w:val="1"/>
    <w:qFormat/>
    <w:uiPriority w:val="0"/>
    <w:pPr>
      <w:adjustRightInd/>
      <w:spacing w:line="300" w:lineRule="auto"/>
      <w:jc w:val="center"/>
    </w:pPr>
  </w:style>
  <w:style w:type="paragraph" w:customStyle="1" w:styleId="137">
    <w:name w:val="Char Char Char1 Char"/>
    <w:basedOn w:val="1"/>
    <w:qFormat/>
    <w:uiPriority w:val="0"/>
    <w:rPr>
      <w:szCs w:val="20"/>
    </w:rPr>
  </w:style>
  <w:style w:type="paragraph" w:customStyle="1" w:styleId="1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0">
    <w:name w:val="章标题"/>
    <w:next w:val="7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2">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4">
    <w:name w:val="表文字"/>
    <w:qFormat/>
    <w:uiPriority w:val="0"/>
    <w:rPr>
      <w:rFonts w:ascii="宋体" w:hAnsi="Times New Roman" w:eastAsia="宋体" w:cs="Times New Roman"/>
      <w:kern w:val="2"/>
      <w:lang w:val="en-US" w:eastAsia="zh-CN" w:bidi="ar-SA"/>
    </w:rPr>
  </w:style>
  <w:style w:type="paragraph" w:customStyle="1" w:styleId="14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qFormat/>
    <w:uiPriority w:val="0"/>
    <w:pPr>
      <w:widowControl/>
      <w:tabs>
        <w:tab w:val="left" w:pos="840"/>
      </w:tabs>
      <w:ind w:left="840" w:hanging="420"/>
      <w:jc w:val="left"/>
    </w:pPr>
    <w:rPr>
      <w:kern w:val="0"/>
      <w:sz w:val="18"/>
    </w:rPr>
  </w:style>
  <w:style w:type="paragraph" w:customStyle="1" w:styleId="14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qFormat/>
    <w:uiPriority w:val="0"/>
    <w:pPr>
      <w:adjustRightInd/>
    </w:pPr>
    <w:rPr>
      <w:rFonts w:ascii="Tahoma" w:hAnsi="Tahoma"/>
      <w:sz w:val="24"/>
      <w:szCs w:val="20"/>
    </w:rPr>
  </w:style>
  <w:style w:type="paragraph" w:customStyle="1" w:styleId="15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qFormat/>
    <w:uiPriority w:val="0"/>
    <w:rPr>
      <w:rFonts w:ascii="仿宋_GB2312" w:eastAsia="仿宋_GB2312"/>
      <w:b/>
      <w:sz w:val="32"/>
      <w:szCs w:val="20"/>
    </w:rPr>
  </w:style>
  <w:style w:type="paragraph" w:customStyle="1" w:styleId="15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qFormat/>
    <w:uiPriority w:val="0"/>
    <w:pPr>
      <w:suppressAutoHyphens/>
      <w:adjustRightInd/>
      <w:ind w:firstLine="420"/>
    </w:pPr>
    <w:rPr>
      <w:kern w:val="1"/>
      <w:szCs w:val="20"/>
    </w:rPr>
  </w:style>
  <w:style w:type="paragraph" w:customStyle="1" w:styleId="1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qFormat/>
    <w:uiPriority w:val="0"/>
    <w:pPr>
      <w:spacing w:line="360" w:lineRule="auto"/>
    </w:pPr>
    <w:rPr>
      <w:szCs w:val="20"/>
    </w:rPr>
  </w:style>
  <w:style w:type="paragraph" w:customStyle="1" w:styleId="163">
    <w:name w:val="Char Char11 Char Char Char"/>
    <w:basedOn w:val="1"/>
    <w:qFormat/>
    <w:uiPriority w:val="0"/>
    <w:pPr>
      <w:spacing w:line="360" w:lineRule="auto"/>
    </w:pPr>
    <w:rPr>
      <w:szCs w:val="20"/>
    </w:rPr>
  </w:style>
  <w:style w:type="paragraph" w:customStyle="1" w:styleId="16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qFormat/>
    <w:uiPriority w:val="0"/>
    <w:pPr>
      <w:adjustRightInd/>
      <w:ind w:firstLine="200" w:firstLineChars="200"/>
      <w:jc w:val="right"/>
    </w:pPr>
  </w:style>
  <w:style w:type="paragraph" w:customStyle="1" w:styleId="167">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0">
    <w:name w:val="无间隔1"/>
    <w:link w:val="532"/>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10"/>
    <w:qFormat/>
    <w:uiPriority w:val="0"/>
    <w:pPr>
      <w:tabs>
        <w:tab w:val="left" w:pos="2356"/>
      </w:tabs>
    </w:pPr>
  </w:style>
  <w:style w:type="paragraph" w:customStyle="1" w:styleId="172">
    <w:name w:val="样式 标题 4h4H4Fab-4T5Ref Heading 1rh1Heading sqlsect 1.2.3...."/>
    <w:basedOn w:val="6"/>
    <w:link w:val="560"/>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73"/>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73"/>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73"/>
    <w:qFormat/>
    <w:uiPriority w:val="0"/>
    <w:pPr>
      <w:numPr>
        <w:ilvl w:val="3"/>
        <w:numId w:val="4"/>
      </w:numPr>
      <w:tabs>
        <w:tab w:val="left" w:pos="1680"/>
      </w:tabs>
      <w:ind w:left="0"/>
      <w:outlineLvl w:val="3"/>
    </w:pPr>
  </w:style>
  <w:style w:type="paragraph" w:customStyle="1" w:styleId="176">
    <w:name w:val="一级条标题"/>
    <w:basedOn w:val="140"/>
    <w:next w:val="73"/>
    <w:qFormat/>
    <w:uiPriority w:val="0"/>
    <w:pPr>
      <w:tabs>
        <w:tab w:val="left" w:pos="1680"/>
        <w:tab w:val="clear" w:pos="1260"/>
      </w:tabs>
      <w:spacing w:before="0" w:beforeLines="0" w:after="0" w:afterLines="0"/>
      <w:ind w:left="1680"/>
      <w:outlineLvl w:val="2"/>
    </w:pPr>
  </w:style>
  <w:style w:type="paragraph" w:customStyle="1" w:styleId="1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qFormat/>
    <w:uiPriority w:val="0"/>
    <w:pPr>
      <w:spacing w:line="360" w:lineRule="auto"/>
      <w:ind w:firstLine="480" w:firstLineChars="200"/>
    </w:pPr>
    <w:rPr>
      <w:rFonts w:ascii="Arial" w:hAnsi="Arial"/>
      <w:sz w:val="24"/>
      <w:szCs w:val="21"/>
    </w:rPr>
  </w:style>
  <w:style w:type="paragraph" w:customStyle="1" w:styleId="179">
    <w:name w:val="表格"/>
    <w:basedOn w:val="1"/>
    <w:qFormat/>
    <w:uiPriority w:val="0"/>
    <w:pPr>
      <w:snapToGrid w:val="0"/>
      <w:ind w:firstLine="42" w:firstLineChars="21"/>
    </w:pPr>
    <w:rPr>
      <w:rFonts w:ascii="宋体" w:hAnsi="宋体"/>
      <w:kern w:val="0"/>
      <w:sz w:val="20"/>
      <w:szCs w:val="20"/>
    </w:rPr>
  </w:style>
  <w:style w:type="paragraph" w:customStyle="1" w:styleId="18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qFormat/>
    <w:uiPriority w:val="0"/>
    <w:rPr>
      <w:rFonts w:ascii="仿宋_GB2312" w:eastAsia="仿宋_GB2312"/>
      <w:b/>
      <w:sz w:val="32"/>
      <w:szCs w:val="32"/>
    </w:rPr>
  </w:style>
  <w:style w:type="paragraph" w:customStyle="1" w:styleId="1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qFormat/>
    <w:uiPriority w:val="0"/>
    <w:rPr>
      <w:rFonts w:ascii="仿宋_GB2312" w:eastAsia="仿宋_GB2312"/>
      <w:b/>
      <w:sz w:val="32"/>
      <w:szCs w:val="32"/>
    </w:rPr>
  </w:style>
  <w:style w:type="paragraph" w:customStyle="1" w:styleId="18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qFormat/>
    <w:uiPriority w:val="0"/>
    <w:pPr>
      <w:widowControl/>
      <w:adjustRightInd/>
      <w:spacing w:after="160" w:line="240" w:lineRule="exact"/>
      <w:jc w:val="left"/>
    </w:pPr>
  </w:style>
  <w:style w:type="paragraph" w:customStyle="1" w:styleId="195">
    <w:name w:val="Char2 Char Char1"/>
    <w:basedOn w:val="1"/>
    <w:qFormat/>
    <w:uiPriority w:val="0"/>
    <w:pPr>
      <w:adjustRightInd/>
    </w:pPr>
    <w:rPr>
      <w:rFonts w:ascii="Tahoma" w:hAnsi="Tahoma"/>
      <w:sz w:val="24"/>
      <w:szCs w:val="20"/>
    </w:rPr>
  </w:style>
  <w:style w:type="paragraph" w:customStyle="1" w:styleId="196">
    <w:name w:val="默认段落字体 Para Char Char Char Char Char Char Char"/>
    <w:basedOn w:val="1"/>
    <w:qFormat/>
    <w:uiPriority w:val="0"/>
    <w:rPr>
      <w:rFonts w:eastAsia="仿宋_GB2312"/>
      <w:sz w:val="28"/>
      <w:szCs w:val="20"/>
    </w:rPr>
  </w:style>
  <w:style w:type="paragraph" w:customStyle="1" w:styleId="19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8">
    <w:name w:val="正文21"/>
    <w:basedOn w:val="1"/>
    <w:qFormat/>
    <w:uiPriority w:val="0"/>
    <w:pPr>
      <w:adjustRightInd/>
      <w:spacing w:before="156" w:line="360" w:lineRule="auto"/>
      <w:ind w:firstLine="510" w:firstLineChars="200"/>
    </w:pPr>
    <w:rPr>
      <w:sz w:val="24"/>
      <w:szCs w:val="20"/>
    </w:rPr>
  </w:style>
  <w:style w:type="paragraph" w:customStyle="1" w:styleId="199">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qFormat/>
    <w:uiPriority w:val="0"/>
    <w:pPr>
      <w:adjustRightInd/>
      <w:spacing w:before="156" w:beforeLines="50" w:line="360" w:lineRule="auto"/>
    </w:pPr>
    <w:rPr>
      <w:b/>
      <w:sz w:val="24"/>
    </w:rPr>
  </w:style>
  <w:style w:type="paragraph" w:customStyle="1" w:styleId="202">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qFormat/>
    <w:uiPriority w:val="0"/>
    <w:pPr>
      <w:spacing w:line="360" w:lineRule="auto"/>
    </w:pPr>
    <w:rPr>
      <w:szCs w:val="20"/>
    </w:rPr>
  </w:style>
  <w:style w:type="paragraph" w:customStyle="1" w:styleId="20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Char Char1 Char Char Char1"/>
    <w:basedOn w:val="1"/>
    <w:qFormat/>
    <w:uiPriority w:val="0"/>
    <w:rPr>
      <w:rFonts w:ascii="仿宋_GB2312" w:eastAsia="仿宋_GB2312"/>
      <w:b/>
      <w:sz w:val="32"/>
      <w:szCs w:val="32"/>
    </w:rPr>
  </w:style>
  <w:style w:type="paragraph" w:customStyle="1" w:styleId="211">
    <w:name w:val="样式 标题 4PIM 4H4h4bulletblbbH41H42H43H44H45H46H47H48...1"/>
    <w:basedOn w:val="6"/>
    <w:qFormat/>
    <w:uiPriority w:val="0"/>
    <w:pPr>
      <w:widowControl/>
      <w:jc w:val="left"/>
    </w:pPr>
    <w:rPr>
      <w:rFonts w:cs="宋体"/>
      <w:sz w:val="24"/>
      <w:szCs w:val="20"/>
    </w:rPr>
  </w:style>
  <w:style w:type="paragraph" w:customStyle="1" w:styleId="21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qFormat/>
    <w:uiPriority w:val="0"/>
    <w:rPr>
      <w:b/>
    </w:rPr>
  </w:style>
  <w:style w:type="paragraph" w:customStyle="1" w:styleId="214">
    <w:name w:val="表格内文"/>
    <w:basedOn w:val="1"/>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qFormat/>
    <w:uiPriority w:val="0"/>
    <w:rPr>
      <w:rFonts w:ascii="仿宋_GB2312" w:eastAsia="仿宋_GB2312"/>
      <w:b/>
      <w:sz w:val="32"/>
      <w:szCs w:val="32"/>
    </w:rPr>
  </w:style>
  <w:style w:type="paragraph" w:customStyle="1" w:styleId="21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qFormat/>
    <w:uiPriority w:val="0"/>
    <w:pPr>
      <w:adjustRightInd/>
      <w:spacing w:line="360" w:lineRule="auto"/>
      <w:ind w:firstLine="480"/>
    </w:pPr>
    <w:rPr>
      <w:rFonts w:cs="宋体"/>
      <w:sz w:val="24"/>
      <w:szCs w:val="20"/>
    </w:rPr>
  </w:style>
  <w:style w:type="paragraph" w:customStyle="1" w:styleId="2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qFormat/>
    <w:uiPriority w:val="0"/>
    <w:pPr>
      <w:widowControl/>
      <w:spacing w:before="60" w:after="60"/>
      <w:jc w:val="left"/>
    </w:pPr>
    <w:rPr>
      <w:kern w:val="0"/>
      <w:sz w:val="24"/>
    </w:rPr>
  </w:style>
  <w:style w:type="paragraph" w:customStyle="1" w:styleId="22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qFormat/>
    <w:uiPriority w:val="0"/>
    <w:rPr>
      <w:rFonts w:ascii="仿宋_GB2312" w:eastAsia="仿宋_GB2312"/>
      <w:b/>
      <w:sz w:val="32"/>
      <w:szCs w:val="32"/>
    </w:rPr>
  </w:style>
  <w:style w:type="paragraph" w:customStyle="1" w:styleId="22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5"/>
    <w:qFormat/>
    <w:uiPriority w:val="0"/>
    <w:pPr>
      <w:snapToGrid w:val="0"/>
      <w:spacing w:line="360" w:lineRule="auto"/>
    </w:pPr>
    <w:rPr>
      <w:rFonts w:ascii="宋体"/>
      <w:b/>
      <w:sz w:val="24"/>
      <w:szCs w:val="20"/>
    </w:rPr>
  </w:style>
  <w:style w:type="paragraph" w:customStyle="1" w:styleId="23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qFormat/>
    <w:uiPriority w:val="0"/>
    <w:rPr>
      <w:rFonts w:ascii="仿宋_GB2312" w:eastAsia="仿宋_GB2312"/>
      <w:b/>
      <w:sz w:val="32"/>
      <w:szCs w:val="32"/>
    </w:rPr>
  </w:style>
  <w:style w:type="paragraph" w:customStyle="1" w:styleId="236">
    <w:name w:val="冯广丽"/>
    <w:basedOn w:val="1"/>
    <w:link w:val="473"/>
    <w:qFormat/>
    <w:uiPriority w:val="0"/>
    <w:pPr>
      <w:adjustRightInd/>
      <w:spacing w:line="360" w:lineRule="auto"/>
      <w:ind w:firstLine="480" w:firstLineChars="200"/>
    </w:pPr>
    <w:rPr>
      <w:rFonts w:ascii="宋体" w:hAnsi="宋体"/>
      <w:sz w:val="24"/>
      <w:szCs w:val="22"/>
    </w:rPr>
  </w:style>
  <w:style w:type="paragraph" w:customStyle="1" w:styleId="23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qFormat/>
    <w:uiPriority w:val="0"/>
    <w:pPr>
      <w:adjustRightInd/>
      <w:ind w:firstLine="200" w:firstLineChars="200"/>
    </w:pPr>
    <w:rPr>
      <w:rFonts w:ascii="Tahoma" w:hAnsi="Tahoma"/>
      <w:sz w:val="24"/>
      <w:szCs w:val="20"/>
    </w:rPr>
  </w:style>
  <w:style w:type="paragraph" w:customStyle="1" w:styleId="239">
    <w:name w:val="Char Char11 Char Char Char1"/>
    <w:basedOn w:val="1"/>
    <w:qFormat/>
    <w:uiPriority w:val="0"/>
    <w:pPr>
      <w:spacing w:line="360" w:lineRule="auto"/>
    </w:pPr>
    <w:rPr>
      <w:szCs w:val="20"/>
    </w:rPr>
  </w:style>
  <w:style w:type="paragraph" w:customStyle="1" w:styleId="24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1">
    <w:name w:val="_Style 236"/>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6"/>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8"/>
    <w:qFormat/>
    <w:uiPriority w:val="0"/>
    <w:pPr>
      <w:spacing w:after="120" w:line="480" w:lineRule="auto"/>
      <w:ind w:left="420" w:leftChars="200"/>
    </w:pPr>
    <w:rPr>
      <w:sz w:val="24"/>
      <w:szCs w:val="20"/>
    </w:rPr>
  </w:style>
  <w:style w:type="paragraph" w:customStyle="1" w:styleId="24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qFormat/>
    <w:uiPriority w:val="0"/>
    <w:pPr>
      <w:adjustRightInd/>
    </w:pPr>
    <w:rPr>
      <w:rFonts w:ascii="Tahoma" w:hAnsi="Tahoma"/>
      <w:sz w:val="24"/>
    </w:rPr>
  </w:style>
  <w:style w:type="paragraph" w:customStyle="1" w:styleId="25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6"/>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91"/>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103"/>
    <w:next w:val="103"/>
    <w:qFormat/>
    <w:uiPriority w:val="0"/>
    <w:rPr>
      <w:rFonts w:ascii="宋体" w:eastAsia="宋体" w:cs="Times New Roman"/>
      <w:color w:val="auto"/>
    </w:rPr>
  </w:style>
  <w:style w:type="paragraph" w:customStyle="1" w:styleId="2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60">
    <w:name w:val="Char5"/>
    <w:basedOn w:val="1"/>
    <w:qFormat/>
    <w:uiPriority w:val="0"/>
    <w:rPr>
      <w:rFonts w:ascii="仿宋_GB2312" w:eastAsia="仿宋_GB2312"/>
      <w:b/>
      <w:sz w:val="32"/>
      <w:szCs w:val="32"/>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qFormat/>
    <w:uiPriority w:val="0"/>
    <w:rPr>
      <w:rFonts w:ascii="仿宋_GB2312" w:eastAsia="仿宋_GB2312"/>
      <w:b/>
      <w:sz w:val="32"/>
      <w:szCs w:val="20"/>
    </w:rPr>
  </w:style>
  <w:style w:type="paragraph" w:customStyle="1" w:styleId="269">
    <w:name w:val="Char Char Char Char Char Char Char Char Char Char Char Char1 Char"/>
    <w:basedOn w:val="1"/>
    <w:qFormat/>
    <w:uiPriority w:val="0"/>
    <w:rPr>
      <w:rFonts w:ascii="Tahoma" w:hAnsi="Tahoma" w:cs="仿宋_GB2312"/>
      <w:sz w:val="24"/>
      <w:szCs w:val="20"/>
    </w:rPr>
  </w:style>
  <w:style w:type="paragraph" w:customStyle="1" w:styleId="27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2">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qFormat/>
    <w:uiPriority w:val="0"/>
    <w:pPr>
      <w:adjustRightInd/>
      <w:ind w:left="420" w:leftChars="200"/>
      <w:jc w:val="left"/>
    </w:pPr>
    <w:rPr>
      <w:sz w:val="28"/>
      <w:szCs w:val="20"/>
      <w:lang w:eastAsia="zh-TW"/>
    </w:rPr>
  </w:style>
  <w:style w:type="paragraph" w:customStyle="1" w:styleId="275">
    <w:name w:val="Char1 Char Char Char3"/>
    <w:basedOn w:val="1"/>
    <w:qFormat/>
    <w:uiPriority w:val="0"/>
    <w:pPr>
      <w:adjustRightInd/>
      <w:ind w:firstLine="200" w:firstLineChars="200"/>
    </w:pPr>
    <w:rPr>
      <w:rFonts w:ascii="Tahoma" w:hAnsi="Tahoma"/>
      <w:sz w:val="24"/>
      <w:szCs w:val="20"/>
    </w:rPr>
  </w:style>
  <w:style w:type="paragraph" w:customStyle="1" w:styleId="276">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qFormat/>
    <w:uiPriority w:val="0"/>
    <w:rPr>
      <w:rFonts w:ascii="Tahoma" w:hAnsi="Tahoma" w:cs="仿宋_GB2312"/>
      <w:sz w:val="24"/>
      <w:szCs w:val="20"/>
    </w:rPr>
  </w:style>
  <w:style w:type="paragraph" w:customStyle="1" w:styleId="278">
    <w:name w:val="Char Char1 Char1"/>
    <w:basedOn w:val="1"/>
    <w:qFormat/>
    <w:uiPriority w:val="0"/>
    <w:rPr>
      <w:rFonts w:ascii="仿宋_GB2312" w:eastAsia="仿宋_GB2312"/>
      <w:b/>
      <w:sz w:val="32"/>
      <w:szCs w:val="32"/>
    </w:rPr>
  </w:style>
  <w:style w:type="paragraph" w:customStyle="1" w:styleId="279">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qFormat/>
    <w:uiPriority w:val="0"/>
    <w:pPr>
      <w:widowControl/>
      <w:spacing w:after="160" w:line="240" w:lineRule="exact"/>
      <w:jc w:val="left"/>
    </w:pPr>
    <w:rPr>
      <w:rFonts w:eastAsia="仿宋_GB2312"/>
      <w:sz w:val="28"/>
    </w:rPr>
  </w:style>
  <w:style w:type="paragraph" w:customStyle="1" w:styleId="283">
    <w:name w:val="单元格居中"/>
    <w:basedOn w:val="1"/>
    <w:qFormat/>
    <w:uiPriority w:val="0"/>
    <w:pPr>
      <w:adjustRightInd/>
      <w:spacing w:line="360" w:lineRule="auto"/>
      <w:jc w:val="center"/>
    </w:pPr>
    <w:rPr>
      <w:sz w:val="24"/>
    </w:rPr>
  </w:style>
  <w:style w:type="paragraph" w:customStyle="1" w:styleId="284">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qFormat/>
    <w:uiPriority w:val="0"/>
    <w:pPr>
      <w:adjustRightInd/>
    </w:p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qFormat/>
    <w:uiPriority w:val="0"/>
    <w:rPr>
      <w:rFonts w:ascii="仿宋_GB2312" w:eastAsia="仿宋_GB2312"/>
      <w:b/>
      <w:sz w:val="32"/>
      <w:szCs w:val="32"/>
    </w:rPr>
  </w:style>
  <w:style w:type="paragraph" w:customStyle="1" w:styleId="2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qFormat/>
    <w:uiPriority w:val="0"/>
    <w:pPr>
      <w:spacing w:line="240" w:lineRule="atLeast"/>
      <w:ind w:left="420" w:firstLine="420"/>
    </w:pPr>
    <w:rPr>
      <w:sz w:val="24"/>
    </w:rPr>
  </w:style>
  <w:style w:type="paragraph" w:customStyle="1" w:styleId="29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qFormat/>
    <w:uiPriority w:val="0"/>
    <w:pPr>
      <w:adjustRightInd/>
      <w:ind w:firstLine="200" w:firstLineChars="200"/>
    </w:pPr>
    <w:rPr>
      <w:rFonts w:ascii="Tahoma" w:hAnsi="Tahoma"/>
      <w:sz w:val="24"/>
      <w:szCs w:val="20"/>
    </w:rPr>
  </w:style>
  <w:style w:type="paragraph" w:customStyle="1" w:styleId="300">
    <w:name w:val="Char Char Char Char Char Char Char1"/>
    <w:basedOn w:val="1"/>
    <w:qFormat/>
    <w:uiPriority w:val="0"/>
    <w:rPr>
      <w:rFonts w:ascii="仿宋_GB2312" w:eastAsia="仿宋_GB2312"/>
      <w:b/>
      <w:sz w:val="32"/>
      <w:szCs w:val="32"/>
    </w:rPr>
  </w:style>
  <w:style w:type="paragraph" w:customStyle="1" w:styleId="30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7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qFormat/>
    <w:uiPriority w:val="0"/>
    <w:pPr>
      <w:adjustRightInd/>
      <w:spacing w:line="360" w:lineRule="auto"/>
    </w:pPr>
    <w:rPr>
      <w:rFonts w:ascii="宋体" w:hAnsi="宋体"/>
      <w:szCs w:val="20"/>
    </w:rPr>
  </w:style>
  <w:style w:type="paragraph" w:customStyle="1" w:styleId="30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qFormat/>
    <w:uiPriority w:val="0"/>
    <w:pPr>
      <w:spacing w:line="360" w:lineRule="auto"/>
      <w:ind w:firstLine="480" w:firstLineChars="200"/>
    </w:pPr>
    <w:rPr>
      <w:rFonts w:ascii="宋体"/>
      <w:sz w:val="24"/>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qFormat/>
    <w:uiPriority w:val="34"/>
    <w:pPr>
      <w:spacing w:line="360" w:lineRule="auto"/>
      <w:ind w:firstLine="200" w:firstLineChars="200"/>
    </w:pPr>
    <w:rPr>
      <w:rFonts w:eastAsia="楷体_GB2312" w:cs="Lucida Sans"/>
      <w:sz w:val="24"/>
    </w:rPr>
  </w:style>
  <w:style w:type="paragraph" w:customStyle="1" w:styleId="3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qFormat/>
    <w:uiPriority w:val="0"/>
    <w:pPr>
      <w:spacing w:line="360" w:lineRule="auto"/>
    </w:pPr>
    <w:rPr>
      <w:szCs w:val="20"/>
    </w:rPr>
  </w:style>
  <w:style w:type="paragraph" w:customStyle="1" w:styleId="32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qFormat/>
    <w:uiPriority w:val="0"/>
    <w:pPr>
      <w:numPr>
        <w:ilvl w:val="0"/>
        <w:numId w:val="6"/>
      </w:numPr>
      <w:tabs>
        <w:tab w:val="left" w:pos="840"/>
      </w:tabs>
      <w:spacing w:after="0"/>
    </w:p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qFormat/>
    <w:uiPriority w:val="0"/>
    <w:rPr>
      <w:szCs w:val="20"/>
    </w:rPr>
  </w:style>
  <w:style w:type="paragraph" w:customStyle="1" w:styleId="3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5"/>
    <w:next w:val="1"/>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qFormat/>
    <w:uiPriority w:val="0"/>
    <w:pPr>
      <w:adjustRightInd/>
      <w:spacing w:line="360" w:lineRule="auto"/>
      <w:ind w:firstLine="480" w:firstLineChars="200"/>
    </w:pPr>
    <w:rPr>
      <w:sz w:val="24"/>
      <w:szCs w:val="20"/>
    </w:rPr>
  </w:style>
  <w:style w:type="paragraph" w:customStyle="1" w:styleId="33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qFormat/>
    <w:uiPriority w:val="0"/>
    <w:pPr>
      <w:widowControl/>
      <w:snapToGrid w:val="0"/>
      <w:spacing w:after="156" w:afterLines="50"/>
      <w:ind w:firstLine="200" w:firstLineChars="200"/>
    </w:pPr>
    <w:rPr>
      <w:kern w:val="0"/>
      <w:sz w:val="24"/>
      <w:szCs w:val="20"/>
    </w:rPr>
  </w:style>
  <w:style w:type="paragraph" w:customStyle="1" w:styleId="33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qFormat/>
    <w:uiPriority w:val="0"/>
    <w:pPr>
      <w:spacing w:line="360" w:lineRule="auto"/>
      <w:ind w:firstLine="200" w:firstLineChars="200"/>
    </w:pPr>
    <w:rPr>
      <w:sz w:val="24"/>
    </w:rPr>
  </w:style>
  <w:style w:type="paragraph" w:customStyle="1" w:styleId="342">
    <w:name w:val="MM Topic 3"/>
    <w:basedOn w:val="5"/>
    <w:qFormat/>
    <w:uiPriority w:val="0"/>
    <w:pPr>
      <w:numPr>
        <w:numId w:val="4"/>
      </w:numPr>
      <w:tabs>
        <w:tab w:val="left" w:pos="840"/>
        <w:tab w:val="left" w:pos="1680"/>
        <w:tab w:val="clear" w:pos="900"/>
      </w:tabs>
      <w:adjustRightInd/>
    </w:pPr>
  </w:style>
  <w:style w:type="paragraph" w:customStyle="1" w:styleId="3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qFormat/>
    <w:uiPriority w:val="0"/>
    <w:pPr>
      <w:snapToGrid w:val="0"/>
      <w:spacing w:line="0" w:lineRule="atLeast"/>
      <w:ind w:firstLine="200" w:firstLineChars="200"/>
      <w:jc w:val="center"/>
    </w:pPr>
    <w:rPr>
      <w:sz w:val="24"/>
      <w:szCs w:val="20"/>
    </w:rPr>
  </w:style>
  <w:style w:type="paragraph" w:customStyle="1" w:styleId="345">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qFormat/>
    <w:uiPriority w:val="0"/>
    <w:pPr>
      <w:adjustRightInd/>
      <w:ind w:firstLine="200" w:firstLineChars="200"/>
    </w:pPr>
    <w:rPr>
      <w:rFonts w:ascii="仿宋_GB2312" w:eastAsia="仿宋_GB2312"/>
      <w:b/>
      <w:sz w:val="32"/>
      <w:szCs w:val="32"/>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6"/>
    <w:link w:val="553"/>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qFormat/>
    <w:uiPriority w:val="0"/>
    <w:rPr>
      <w:rFonts w:ascii="仿宋_GB2312" w:eastAsia="仿宋_GB2312"/>
      <w:b/>
      <w:sz w:val="32"/>
      <w:szCs w:val="32"/>
    </w:rPr>
  </w:style>
  <w:style w:type="paragraph" w:customStyle="1" w:styleId="3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qFormat/>
    <w:uiPriority w:val="0"/>
    <w:pPr>
      <w:adjustRightInd/>
      <w:spacing w:line="360" w:lineRule="auto"/>
      <w:ind w:firstLine="200" w:firstLineChars="200"/>
    </w:pPr>
    <w:rPr>
      <w:sz w:val="24"/>
    </w:rPr>
  </w:style>
  <w:style w:type="paragraph" w:customStyle="1" w:styleId="3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qFormat/>
    <w:uiPriority w:val="0"/>
    <w:pPr>
      <w:widowControl/>
      <w:adjustRightInd/>
      <w:spacing w:after="160" w:line="240" w:lineRule="exact"/>
      <w:jc w:val="left"/>
    </w:pPr>
    <w:rPr>
      <w:szCs w:val="20"/>
    </w:rPr>
  </w:style>
  <w:style w:type="paragraph" w:customStyle="1" w:styleId="3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qFormat/>
    <w:uiPriority w:val="0"/>
    <w:pPr>
      <w:widowControl/>
      <w:spacing w:line="300" w:lineRule="atLeast"/>
      <w:jc w:val="left"/>
    </w:pPr>
    <w:rPr>
      <w:rFonts w:ascii="宋体" w:hAnsi="宋体"/>
      <w:kern w:val="0"/>
      <w:sz w:val="18"/>
      <w:szCs w:val="20"/>
    </w:rPr>
  </w:style>
  <w:style w:type="paragraph" w:customStyle="1" w:styleId="3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4"/>
    <w:qFormat/>
    <w:uiPriority w:val="0"/>
    <w:pPr>
      <w:ind w:left="0"/>
    </w:pPr>
  </w:style>
  <w:style w:type="paragraph" w:customStyle="1" w:styleId="3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19"/>
    <w:qFormat/>
    <w:uiPriority w:val="0"/>
    <w:pPr>
      <w:snapToGrid w:val="0"/>
      <w:spacing w:line="360" w:lineRule="auto"/>
    </w:pPr>
  </w:style>
  <w:style w:type="paragraph" w:customStyle="1" w:styleId="373">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qFormat/>
    <w:uiPriority w:val="0"/>
    <w:pPr>
      <w:spacing w:line="360" w:lineRule="auto"/>
    </w:pPr>
    <w:rPr>
      <w:rFonts w:ascii="Tahoma" w:hAnsi="Tahoma"/>
      <w:sz w:val="24"/>
      <w:szCs w:val="20"/>
    </w:rPr>
  </w:style>
  <w:style w:type="paragraph" w:customStyle="1" w:styleId="37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qFormat/>
    <w:uiPriority w:val="0"/>
    <w:pPr>
      <w:adjustRightInd/>
      <w:ind w:firstLine="420" w:firstLineChars="200"/>
    </w:pPr>
    <w:rPr>
      <w:rFonts w:ascii="Calibri" w:hAnsi="Calibri"/>
      <w:szCs w:val="22"/>
    </w:rPr>
  </w:style>
  <w:style w:type="paragraph" w:customStyle="1" w:styleId="3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qFormat/>
    <w:uiPriority w:val="0"/>
    <w:pPr>
      <w:adjustRightInd/>
    </w:pPr>
    <w:rPr>
      <w:szCs w:val="20"/>
    </w:rPr>
  </w:style>
  <w:style w:type="paragraph" w:customStyle="1" w:styleId="382">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qFormat/>
    <w:uiPriority w:val="0"/>
    <w:pPr>
      <w:adjustRightInd/>
      <w:snapToGrid w:val="0"/>
      <w:spacing w:line="300" w:lineRule="auto"/>
    </w:pPr>
    <w:rPr>
      <w:rFonts w:eastAsia="仿宋"/>
      <w:szCs w:val="21"/>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qFormat/>
    <w:uiPriority w:val="0"/>
    <w:rPr>
      <w:rFonts w:ascii="Tahoma" w:hAnsi="Tahoma"/>
      <w:sz w:val="24"/>
      <w:szCs w:val="20"/>
    </w:rPr>
  </w:style>
  <w:style w:type="paragraph" w:customStyle="1" w:styleId="391">
    <w:name w:val="p0"/>
    <w:basedOn w:val="1"/>
    <w:qFormat/>
    <w:uiPriority w:val="0"/>
    <w:pPr>
      <w:widowControl/>
      <w:adjustRightInd/>
    </w:pPr>
    <w:rPr>
      <w:kern w:val="0"/>
      <w:szCs w:val="21"/>
    </w:rPr>
  </w:style>
  <w:style w:type="paragraph" w:customStyle="1" w:styleId="39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qFormat/>
    <w:uiPriority w:val="0"/>
    <w:pPr>
      <w:spacing w:before="156" w:line="360" w:lineRule="auto"/>
      <w:ind w:firstLine="510" w:firstLineChars="200"/>
    </w:pPr>
    <w:rPr>
      <w:sz w:val="24"/>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qFormat/>
    <w:uiPriority w:val="0"/>
    <w:pPr>
      <w:tabs>
        <w:tab w:val="left" w:pos="840"/>
      </w:tabs>
      <w:adjustRightInd/>
      <w:ind w:left="840" w:hanging="420"/>
    </w:pPr>
  </w:style>
  <w:style w:type="paragraph" w:customStyle="1" w:styleId="400">
    <w:name w:val="五级条标题"/>
    <w:basedOn w:val="173"/>
    <w:next w:val="73"/>
    <w:qFormat/>
    <w:uiPriority w:val="0"/>
    <w:pPr>
      <w:numPr>
        <w:ilvl w:val="6"/>
      </w:numPr>
      <w:tabs>
        <w:tab w:val="clear" w:pos="2940"/>
      </w:tabs>
      <w:outlineLvl w:val="6"/>
    </w:pPr>
  </w:style>
  <w:style w:type="paragraph" w:customStyle="1" w:styleId="401">
    <w:name w:val="Char Char Char Char Char Char Char Char"/>
    <w:basedOn w:val="1"/>
    <w:qFormat/>
    <w:uiPriority w:val="0"/>
    <w:pPr>
      <w:tabs>
        <w:tab w:val="left" w:pos="360"/>
      </w:tabs>
    </w:pPr>
    <w:rPr>
      <w:sz w:val="24"/>
      <w:szCs w:val="20"/>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7"/>
    <w:next w:val="1"/>
    <w:qFormat/>
    <w:uiPriority w:val="0"/>
    <w:pPr>
      <w:numPr>
        <w:numId w:val="5"/>
      </w:numPr>
      <w:tabs>
        <w:tab w:val="left" w:pos="480"/>
        <w:tab w:val="left" w:pos="1080"/>
        <w:tab w:val="clear" w:pos="1008"/>
      </w:tabs>
    </w:pPr>
  </w:style>
  <w:style w:type="paragraph" w:customStyle="1" w:styleId="4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408">
    <w:name w:val="0"/>
    <w:basedOn w:val="1"/>
    <w:qFormat/>
    <w:uiPriority w:val="0"/>
    <w:pPr>
      <w:widowControl/>
    </w:pPr>
    <w:rPr>
      <w:kern w:val="0"/>
      <w:sz w:val="24"/>
      <w:szCs w:val="20"/>
    </w:rPr>
  </w:style>
  <w:style w:type="paragraph" w:customStyle="1" w:styleId="40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7"/>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3"/>
    <w:next w:val="1"/>
    <w:qFormat/>
    <w:uiPriority w:val="0"/>
    <w:pPr>
      <w:numPr>
        <w:numId w:val="5"/>
      </w:numPr>
      <w:tabs>
        <w:tab w:val="left" w:pos="480"/>
        <w:tab w:val="clear" w:pos="432"/>
      </w:tabs>
    </w:pPr>
  </w:style>
  <w:style w:type="paragraph" w:customStyle="1" w:styleId="41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3"/>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qFormat/>
    <w:uiPriority w:val="0"/>
    <w:pPr>
      <w:tabs>
        <w:tab w:val="left" w:pos="360"/>
      </w:tabs>
    </w:pPr>
    <w:rPr>
      <w:sz w:val="24"/>
      <w:szCs w:val="20"/>
    </w:rPr>
  </w:style>
  <w:style w:type="paragraph" w:customStyle="1" w:styleId="42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qFormat/>
    <w:uiPriority w:val="0"/>
    <w:pPr>
      <w:widowControl/>
      <w:adjustRightInd/>
      <w:spacing w:after="160" w:line="240" w:lineRule="exact"/>
      <w:jc w:val="left"/>
    </w:pPr>
    <w:rPr>
      <w:szCs w:val="20"/>
    </w:rPr>
  </w:style>
  <w:style w:type="paragraph" w:customStyle="1" w:styleId="426">
    <w:name w:val="Char Char12"/>
    <w:basedOn w:val="1"/>
    <w:qFormat/>
    <w:uiPriority w:val="0"/>
    <w:pPr>
      <w:widowControl/>
      <w:spacing w:after="160" w:line="240" w:lineRule="exact"/>
      <w:jc w:val="left"/>
    </w:pPr>
    <w:rPr>
      <w:rFonts w:eastAsia="仿宋_GB2312"/>
      <w:sz w:val="28"/>
    </w:rPr>
  </w:style>
  <w:style w:type="paragraph" w:customStyle="1" w:styleId="42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qFormat/>
    <w:uiPriority w:val="0"/>
    <w:pPr>
      <w:adjustRightInd/>
      <w:spacing w:line="360" w:lineRule="auto"/>
    </w:pPr>
    <w:rPr>
      <w:sz w:val="24"/>
    </w:rPr>
  </w:style>
  <w:style w:type="paragraph" w:customStyle="1" w:styleId="43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qFormat/>
    <w:uiPriority w:val="0"/>
    <w:rPr>
      <w:rFonts w:eastAsia="宋体"/>
      <w:kern w:val="2"/>
      <w:sz w:val="24"/>
      <w:szCs w:val="24"/>
      <w:lang w:val="en-US" w:eastAsia="zh-CN" w:bidi="ar-SA"/>
    </w:rPr>
  </w:style>
  <w:style w:type="character" w:customStyle="1" w:styleId="434">
    <w:name w:val="myp1111"/>
    <w:qFormat/>
    <w:uiPriority w:val="0"/>
    <w:rPr>
      <w:rFonts w:hint="default" w:ascii="ˎ̥" w:hAnsi="ˎ̥"/>
      <w:color w:val="000000"/>
      <w:sz w:val="20"/>
      <w:szCs w:val="20"/>
      <w:u w:val="none"/>
    </w:rPr>
  </w:style>
  <w:style w:type="character" w:customStyle="1" w:styleId="435">
    <w:name w:val="mdeck"/>
    <w:qFormat/>
    <w:uiPriority w:val="0"/>
    <w:rPr>
      <w:rFonts w:ascii="仿宋_GB2312" w:eastAsia="微软雅黑"/>
      <w:b/>
      <w:kern w:val="2"/>
      <w:sz w:val="32"/>
      <w:szCs w:val="32"/>
      <w:lang w:val="en-US" w:eastAsia="zh-CN" w:bidi="ar-SA"/>
    </w:rPr>
  </w:style>
  <w:style w:type="character" w:customStyle="1" w:styleId="436">
    <w:name w:val="签名 Char"/>
    <w:link w:val="42"/>
    <w:qFormat/>
    <w:uiPriority w:val="0"/>
    <w:rPr>
      <w:rFonts w:eastAsia="仿宋_GB2312"/>
      <w:sz w:val="24"/>
    </w:rPr>
  </w:style>
  <w:style w:type="character" w:customStyle="1" w:styleId="437">
    <w:name w:val="tw4winMark"/>
    <w:qFormat/>
    <w:uiPriority w:val="0"/>
    <w:rPr>
      <w:rFonts w:ascii="Courier New" w:hAnsi="Courier New" w:cs="Courier New"/>
      <w:vanish/>
      <w:color w:val="800080"/>
      <w:sz w:val="24"/>
      <w:szCs w:val="24"/>
      <w:vertAlign w:val="subscript"/>
    </w:rPr>
  </w:style>
  <w:style w:type="character" w:customStyle="1" w:styleId="43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semiHidden/>
    <w:qFormat/>
    <w:locked/>
    <w:uiPriority w:val="0"/>
    <w:rPr>
      <w:rFonts w:eastAsia="宋体"/>
      <w:kern w:val="2"/>
      <w:sz w:val="18"/>
      <w:szCs w:val="18"/>
      <w:lang w:val="en-US" w:eastAsia="zh-CN" w:bidi="ar-SA"/>
    </w:rPr>
  </w:style>
  <w:style w:type="character" w:customStyle="1" w:styleId="440">
    <w:name w:val="正文非缩进 Char"/>
    <w:qFormat/>
    <w:uiPriority w:val="0"/>
    <w:rPr>
      <w:rFonts w:ascii="宋体" w:eastAsia="宋体"/>
      <w:snapToGrid w:val="0"/>
      <w:color w:val="000000"/>
      <w:kern w:val="28"/>
      <w:sz w:val="28"/>
      <w:lang w:val="en-US" w:eastAsia="zh-CN" w:bidi="ar-SA"/>
    </w:rPr>
  </w:style>
  <w:style w:type="character" w:customStyle="1" w:styleId="441">
    <w:name w:val="此正文 Char"/>
    <w:link w:val="356"/>
    <w:qFormat/>
    <w:uiPriority w:val="0"/>
    <w:rPr>
      <w:kern w:val="2"/>
      <w:sz w:val="24"/>
      <w:szCs w:val="24"/>
    </w:rPr>
  </w:style>
  <w:style w:type="character" w:customStyle="1" w:styleId="442">
    <w:name w:val="Ò³Ã¼ Char Char"/>
    <w:qFormat/>
    <w:uiPriority w:val="0"/>
    <w:rPr>
      <w:rFonts w:eastAsia="宋体"/>
      <w:kern w:val="2"/>
      <w:sz w:val="18"/>
      <w:lang w:val="en-US" w:eastAsia="zh-CN" w:bidi="ar-SA"/>
    </w:rPr>
  </w:style>
  <w:style w:type="character" w:customStyle="1" w:styleId="443">
    <w:name w:val="style91"/>
    <w:qFormat/>
    <w:uiPriority w:val="0"/>
    <w:rPr>
      <w:color w:val="333333"/>
    </w:rPr>
  </w:style>
  <w:style w:type="character" w:customStyle="1" w:styleId="444">
    <w:name w:val="标书1 Char"/>
    <w:qFormat/>
    <w:uiPriority w:val="0"/>
    <w:rPr>
      <w:rFonts w:eastAsia="宋体"/>
      <w:b/>
      <w:bCs/>
      <w:kern w:val="44"/>
      <w:sz w:val="44"/>
      <w:szCs w:val="44"/>
      <w:lang w:val="en-US" w:eastAsia="zh-CN" w:bidi="ar-SA"/>
    </w:rPr>
  </w:style>
  <w:style w:type="character" w:customStyle="1" w:styleId="445">
    <w:name w:val="ca-131"/>
    <w:qFormat/>
    <w:uiPriority w:val="0"/>
    <w:rPr>
      <w:rFonts w:hint="eastAsia" w:ascii="仿宋_GB2312" w:eastAsia="仿宋_GB2312"/>
      <w:b/>
      <w:bCs/>
      <w:color w:val="000000"/>
      <w:spacing w:val="-20"/>
      <w:sz w:val="24"/>
      <w:szCs w:val="24"/>
    </w:rPr>
  </w:style>
  <w:style w:type="character" w:customStyle="1" w:styleId="446">
    <w:name w:val="标书正文格式 Char"/>
    <w:qFormat/>
    <w:uiPriority w:val="0"/>
    <w:rPr>
      <w:rFonts w:eastAsia="楷体_GB2312"/>
      <w:kern w:val="2"/>
      <w:sz w:val="24"/>
      <w:szCs w:val="24"/>
      <w:lang w:bidi="ar-SA"/>
    </w:rPr>
  </w:style>
  <w:style w:type="character" w:customStyle="1" w:styleId="447">
    <w:name w:val="Char Char6"/>
    <w:qFormat/>
    <w:uiPriority w:val="0"/>
    <w:rPr>
      <w:rFonts w:eastAsia="宋体"/>
      <w:kern w:val="2"/>
      <w:sz w:val="21"/>
      <w:szCs w:val="24"/>
      <w:lang w:val="en-US" w:eastAsia="zh-CN" w:bidi="ar-SA"/>
    </w:rPr>
  </w:style>
  <w:style w:type="character" w:customStyle="1" w:styleId="448">
    <w:name w:val="正文2 Char Char"/>
    <w:link w:val="395"/>
    <w:qFormat/>
    <w:uiPriority w:val="0"/>
    <w:rPr>
      <w:rFonts w:eastAsia="宋体"/>
      <w:kern w:val="2"/>
      <w:sz w:val="24"/>
      <w:lang w:val="en-US" w:eastAsia="zh-CN" w:bidi="ar-SA"/>
    </w:rPr>
  </w:style>
  <w:style w:type="character" w:customStyle="1" w:styleId="449">
    <w:name w:val="content"/>
    <w:qFormat/>
    <w:uiPriority w:val="0"/>
  </w:style>
  <w:style w:type="character" w:customStyle="1" w:styleId="450">
    <w:name w:val="正文文本 2 Char"/>
    <w:qFormat/>
    <w:uiPriority w:val="0"/>
    <w:rPr>
      <w:rFonts w:eastAsia="宋体"/>
      <w:kern w:val="2"/>
      <w:sz w:val="21"/>
      <w:szCs w:val="24"/>
      <w:lang w:val="en-US" w:eastAsia="zh-CN" w:bidi="ar-SA"/>
    </w:rPr>
  </w:style>
  <w:style w:type="character" w:customStyle="1" w:styleId="451">
    <w:name w:val="Heading 2 Hidden Char"/>
    <w:qFormat/>
    <w:uiPriority w:val="0"/>
    <w:rPr>
      <w:rFonts w:ascii="仿宋_GB2312" w:eastAsia="仿宋_GB2312"/>
      <w:b/>
      <w:bCs/>
      <w:kern w:val="2"/>
      <w:sz w:val="24"/>
      <w:szCs w:val="24"/>
      <w:lang w:val="zh-CN" w:eastAsia="zh-CN" w:bidi="ar-SA"/>
    </w:rPr>
  </w:style>
  <w:style w:type="character" w:customStyle="1" w:styleId="452">
    <w:name w:val="首行缩进 Char"/>
    <w:qFormat/>
    <w:uiPriority w:val="0"/>
    <w:rPr>
      <w:rFonts w:ascii="宋体" w:eastAsia="宋体"/>
      <w:kern w:val="2"/>
      <w:sz w:val="24"/>
      <w:lang w:val="en-US" w:eastAsia="zh-CN" w:bidi="ar-SA"/>
    </w:rPr>
  </w:style>
  <w:style w:type="character" w:customStyle="1" w:styleId="45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qFormat/>
    <w:uiPriority w:val="0"/>
    <w:rPr>
      <w:rFonts w:ascii="宋体" w:hAnsi="Courier New"/>
      <w:kern w:val="2"/>
      <w:sz w:val="21"/>
    </w:rPr>
  </w:style>
  <w:style w:type="character" w:customStyle="1" w:styleId="455">
    <w:name w:val="Footer-Even Char"/>
    <w:qFormat/>
    <w:uiPriority w:val="0"/>
    <w:rPr>
      <w:rFonts w:eastAsia="宋体"/>
      <w:kern w:val="2"/>
      <w:sz w:val="18"/>
      <w:lang w:val="en-US" w:eastAsia="zh-CN" w:bidi="ar-SA"/>
    </w:rPr>
  </w:style>
  <w:style w:type="character" w:customStyle="1" w:styleId="456">
    <w:name w:val="dandyren_title1"/>
    <w:qFormat/>
    <w:uiPriority w:val="0"/>
    <w:rPr>
      <w:b/>
      <w:bCs/>
      <w:color w:val="FF6633"/>
      <w:sz w:val="18"/>
      <w:szCs w:val="18"/>
    </w:rPr>
  </w:style>
  <w:style w:type="character" w:customStyle="1" w:styleId="457">
    <w:name w:val="标题 3 Char2"/>
    <w:qFormat/>
    <w:uiPriority w:val="0"/>
    <w:rPr>
      <w:rFonts w:eastAsia="宋体"/>
      <w:b/>
      <w:bCs/>
      <w:kern w:val="2"/>
      <w:sz w:val="32"/>
      <w:szCs w:val="32"/>
      <w:lang w:val="en-US" w:eastAsia="zh-CN" w:bidi="ar-SA"/>
    </w:rPr>
  </w:style>
  <w:style w:type="character" w:customStyle="1" w:styleId="458">
    <w:name w:val="gray6"/>
    <w:basedOn w:val="64"/>
    <w:qFormat/>
    <w:uiPriority w:val="0"/>
  </w:style>
  <w:style w:type="character" w:customStyle="1" w:styleId="459">
    <w:name w:val="标准正文格式 Char"/>
    <w:qFormat/>
    <w:uiPriority w:val="0"/>
    <w:rPr>
      <w:rFonts w:ascii="宋体" w:eastAsia="仿宋_GB2312" w:cs="宋体"/>
      <w:color w:val="000000"/>
      <w:sz w:val="24"/>
      <w:lang w:val="en-US" w:eastAsia="zh-CN" w:bidi="ar-SA"/>
    </w:rPr>
  </w:style>
  <w:style w:type="character" w:customStyle="1" w:styleId="460">
    <w:name w:val="Char Char3"/>
    <w:qFormat/>
    <w:uiPriority w:val="0"/>
    <w:rPr>
      <w:rFonts w:eastAsia="宋体"/>
      <w:kern w:val="2"/>
      <w:sz w:val="21"/>
      <w:szCs w:val="24"/>
      <w:lang w:val="en-US" w:eastAsia="zh-CN" w:bidi="ar-SA"/>
    </w:rPr>
  </w:style>
  <w:style w:type="character" w:customStyle="1" w:styleId="461">
    <w:name w:val="px14"/>
    <w:qFormat/>
    <w:uiPriority w:val="0"/>
    <w:rPr>
      <w:rFonts w:ascii="仿宋_GB2312" w:eastAsia="微软雅黑" w:cs="Times New Roman"/>
      <w:b/>
      <w:kern w:val="2"/>
      <w:sz w:val="32"/>
      <w:szCs w:val="32"/>
      <w:lang w:val="en-US" w:eastAsia="zh-CN" w:bidi="ar-SA"/>
    </w:rPr>
  </w:style>
  <w:style w:type="character" w:customStyle="1" w:styleId="462">
    <w:name w:val="txt"/>
    <w:qFormat/>
    <w:uiPriority w:val="0"/>
    <w:rPr>
      <w:rFonts w:ascii="仿宋_GB2312" w:eastAsia="微软雅黑"/>
      <w:b/>
      <w:kern w:val="2"/>
      <w:sz w:val="32"/>
      <w:szCs w:val="32"/>
      <w:lang w:val="en-US" w:eastAsia="zh-CN" w:bidi="ar-SA"/>
    </w:rPr>
  </w:style>
  <w:style w:type="character" w:customStyle="1" w:styleId="463">
    <w:name w:val="仿宋正文 Char"/>
    <w:link w:val="340"/>
    <w:qFormat/>
    <w:uiPriority w:val="0"/>
    <w:rPr>
      <w:rFonts w:ascii="仿宋_GB2312" w:eastAsia="仿宋_GB2312"/>
      <w:kern w:val="2"/>
      <w:sz w:val="24"/>
      <w:lang w:val="en-US" w:eastAsia="zh-CN" w:bidi="ar-SA"/>
    </w:rPr>
  </w:style>
  <w:style w:type="character" w:customStyle="1" w:styleId="464">
    <w:name w:val="Comment Text Char"/>
    <w:semiHidden/>
    <w:qFormat/>
    <w:locked/>
    <w:uiPriority w:val="0"/>
    <w:rPr>
      <w:rFonts w:ascii="宋体" w:hAnsi="宋体" w:eastAsia="宋体"/>
      <w:kern w:val="2"/>
      <w:sz w:val="24"/>
      <w:lang w:val="en-US" w:eastAsia="zh-CN" w:bidi="ar-SA"/>
    </w:rPr>
  </w:style>
  <w:style w:type="character" w:customStyle="1" w:styleId="465">
    <w:name w:val="tw4winExternal"/>
    <w:qFormat/>
    <w:uiPriority w:val="0"/>
    <w:rPr>
      <w:rFonts w:ascii="Courier New" w:hAnsi="Courier New" w:cs="Courier New"/>
      <w:color w:val="808080"/>
    </w:rPr>
  </w:style>
  <w:style w:type="character" w:customStyle="1" w:styleId="466">
    <w:name w:val="Char Char10"/>
    <w:semiHidden/>
    <w:qFormat/>
    <w:uiPriority w:val="0"/>
    <w:rPr>
      <w:rFonts w:ascii="宋体" w:hAnsi="宋体"/>
      <w:kern w:val="2"/>
      <w:sz w:val="21"/>
      <w:szCs w:val="24"/>
    </w:rPr>
  </w:style>
  <w:style w:type="character" w:customStyle="1" w:styleId="467">
    <w:name w:val="Bold"/>
    <w:qFormat/>
    <w:uiPriority w:val="0"/>
    <w:rPr>
      <w:rFonts w:ascii="Arial" w:hAnsi="Arial" w:eastAsia="黑体" w:cs="Times New Roman"/>
      <w:b/>
      <w:kern w:val="2"/>
      <w:sz w:val="32"/>
      <w:szCs w:val="32"/>
      <w:lang w:val="en-US" w:eastAsia="zh-CN" w:bidi="ar-SA"/>
    </w:rPr>
  </w:style>
  <w:style w:type="character" w:customStyle="1" w:styleId="468">
    <w:name w:val="Font Style82"/>
    <w:qFormat/>
    <w:uiPriority w:val="99"/>
    <w:rPr>
      <w:rFonts w:ascii="宋体" w:eastAsia="宋体" w:cs="宋体"/>
      <w:color w:val="000000"/>
      <w:sz w:val="14"/>
      <w:szCs w:val="14"/>
    </w:rPr>
  </w:style>
  <w:style w:type="character" w:customStyle="1" w:styleId="469">
    <w:name w:val="标题 2 Char"/>
    <w:qFormat/>
    <w:uiPriority w:val="0"/>
    <w:rPr>
      <w:rFonts w:ascii="Arial" w:hAnsi="Arial" w:eastAsia="黑体"/>
      <w:b/>
      <w:kern w:val="2"/>
      <w:sz w:val="32"/>
      <w:lang w:val="en-US" w:eastAsia="zh-CN"/>
    </w:rPr>
  </w:style>
  <w:style w:type="character" w:customStyle="1" w:styleId="470">
    <w:name w:val="h3 Char"/>
    <w:qFormat/>
    <w:uiPriority w:val="0"/>
    <w:rPr>
      <w:rFonts w:eastAsia="宋体"/>
      <w:b/>
      <w:kern w:val="2"/>
      <w:sz w:val="32"/>
      <w:lang w:val="en-US" w:eastAsia="zh-CN" w:bidi="ar-SA"/>
    </w:rPr>
  </w:style>
  <w:style w:type="character" w:customStyle="1" w:styleId="471">
    <w:name w:val="页眉 Char1"/>
    <w:qFormat/>
    <w:uiPriority w:val="0"/>
    <w:rPr>
      <w:rFonts w:eastAsia="宋体"/>
      <w:kern w:val="2"/>
      <w:sz w:val="18"/>
      <w:szCs w:val="18"/>
      <w:lang w:val="en-US" w:eastAsia="zh-CN" w:bidi="ar-SA"/>
    </w:rPr>
  </w:style>
  <w:style w:type="character" w:customStyle="1" w:styleId="472">
    <w:name w:val="标题 8 Char"/>
    <w:link w:val="10"/>
    <w:qFormat/>
    <w:uiPriority w:val="0"/>
    <w:rPr>
      <w:rFonts w:ascii="Arial" w:hAnsi="Arial" w:eastAsia="黑体"/>
      <w:kern w:val="2"/>
      <w:sz w:val="24"/>
      <w:szCs w:val="24"/>
    </w:rPr>
  </w:style>
  <w:style w:type="character" w:customStyle="1" w:styleId="473">
    <w:name w:val="冯广丽 Char"/>
    <w:link w:val="236"/>
    <w:qFormat/>
    <w:uiPriority w:val="0"/>
    <w:rPr>
      <w:rFonts w:ascii="宋体" w:hAnsi="宋体"/>
      <w:kern w:val="2"/>
      <w:sz w:val="24"/>
      <w:szCs w:val="22"/>
    </w:rPr>
  </w:style>
  <w:style w:type="character" w:customStyle="1" w:styleId="474">
    <w:name w:val="脚注文本 Char"/>
    <w:link w:val="50"/>
    <w:qFormat/>
    <w:uiPriority w:val="0"/>
    <w:rPr>
      <w:color w:val="0000FF"/>
      <w:sz w:val="21"/>
    </w:rPr>
  </w:style>
  <w:style w:type="character" w:customStyle="1" w:styleId="475">
    <w:name w:val="font12gray1"/>
    <w:qFormat/>
    <w:uiPriority w:val="0"/>
    <w:rPr>
      <w:rFonts w:ascii="仿宋_GB2312" w:eastAsia="微软雅黑"/>
      <w:b/>
      <w:spacing w:val="300"/>
      <w:kern w:val="2"/>
      <w:sz w:val="18"/>
      <w:szCs w:val="18"/>
      <w:lang w:val="en-US" w:eastAsia="zh-CN" w:bidi="ar-SA"/>
    </w:rPr>
  </w:style>
  <w:style w:type="character" w:customStyle="1" w:styleId="476">
    <w:name w:val="正文文本缩进 Char1"/>
    <w:link w:val="26"/>
    <w:qFormat/>
    <w:uiPriority w:val="0"/>
    <w:rPr>
      <w:rFonts w:ascii="宋体" w:hAnsi="宋体"/>
      <w:kern w:val="2"/>
      <w:sz w:val="24"/>
      <w:szCs w:val="24"/>
    </w:rPr>
  </w:style>
  <w:style w:type="character" w:customStyle="1" w:styleId="477">
    <w:name w:val="方案正文 Char"/>
    <w:qFormat/>
    <w:uiPriority w:val="0"/>
    <w:rPr>
      <w:rFonts w:ascii="仿宋_GB2312" w:eastAsia="仿宋_GB2312"/>
      <w:b/>
      <w:color w:val="000000"/>
      <w:kern w:val="2"/>
      <w:sz w:val="24"/>
      <w:lang w:val="en-US" w:eastAsia="zh-CN" w:bidi="ar-SA"/>
    </w:rPr>
  </w:style>
  <w:style w:type="character" w:customStyle="1" w:styleId="478">
    <w:name w:val="Item List Char"/>
    <w:link w:val="263"/>
    <w:qFormat/>
    <w:uiPriority w:val="0"/>
    <w:rPr>
      <w:rFonts w:ascii="Arial"/>
      <w:bCs/>
      <w:sz w:val="21"/>
      <w:szCs w:val="21"/>
      <w:lang w:val="en-US" w:eastAsia="zh-CN" w:bidi="ar-SA"/>
    </w:rPr>
  </w:style>
  <w:style w:type="character" w:customStyle="1" w:styleId="479">
    <w:name w:val="Normal Indent Char Char"/>
    <w:qFormat/>
    <w:uiPriority w:val="0"/>
    <w:rPr>
      <w:rFonts w:eastAsia="宋体"/>
      <w:kern w:val="2"/>
      <w:sz w:val="21"/>
      <w:lang w:val="en-US" w:eastAsia="zh-CN" w:bidi="ar-SA"/>
    </w:rPr>
  </w:style>
  <w:style w:type="character" w:customStyle="1" w:styleId="480">
    <w:name w:val="t21"/>
    <w:qFormat/>
    <w:uiPriority w:val="0"/>
    <w:rPr>
      <w:rFonts w:ascii="仿宋_GB2312" w:eastAsia="微软雅黑"/>
      <w:b/>
      <w:kern w:val="2"/>
      <w:sz w:val="23"/>
      <w:szCs w:val="23"/>
      <w:lang w:val="en-US" w:eastAsia="zh-CN" w:bidi="ar-SA"/>
    </w:rPr>
  </w:style>
  <w:style w:type="character" w:customStyle="1" w:styleId="481">
    <w:name w:val="Char Char121"/>
    <w:qFormat/>
    <w:uiPriority w:val="0"/>
    <w:rPr>
      <w:rFonts w:ascii="仿宋_GB2312" w:eastAsia="仿宋_GB2312"/>
      <w:b/>
      <w:bCs/>
      <w:kern w:val="2"/>
      <w:sz w:val="24"/>
      <w:szCs w:val="24"/>
      <w:lang w:val="zh-CN" w:eastAsia="zh-CN" w:bidi="ar-SA"/>
    </w:rPr>
  </w:style>
  <w:style w:type="character" w:customStyle="1" w:styleId="482">
    <w:name w:val="标题 7 Char"/>
    <w:link w:val="9"/>
    <w:qFormat/>
    <w:uiPriority w:val="0"/>
    <w:rPr>
      <w:b/>
      <w:bCs/>
      <w:kern w:val="2"/>
      <w:sz w:val="24"/>
      <w:szCs w:val="24"/>
    </w:rPr>
  </w:style>
  <w:style w:type="character" w:customStyle="1" w:styleId="483">
    <w:name w:val="称呼 Char"/>
    <w:link w:val="21"/>
    <w:qFormat/>
    <w:uiPriority w:val="0"/>
    <w:rPr>
      <w:rFonts w:ascii="仿宋_GB2312" w:eastAsia="仿宋_GB2312"/>
      <w:kern w:val="2"/>
      <w:sz w:val="28"/>
    </w:rPr>
  </w:style>
  <w:style w:type="character" w:customStyle="1" w:styleId="484">
    <w:name w:val="正文 项目 Char"/>
    <w:qFormat/>
    <w:uiPriority w:val="0"/>
    <w:rPr>
      <w:rFonts w:ascii="仿宋_GB2312" w:hAnsi="仿宋_GB2312" w:eastAsia="仿宋_GB2312"/>
      <w:kern w:val="2"/>
      <w:sz w:val="24"/>
      <w:lang w:bidi="ar-SA"/>
    </w:rPr>
  </w:style>
  <w:style w:type="character" w:customStyle="1" w:styleId="485">
    <w:name w:val="普通文字 Char1"/>
    <w:qFormat/>
    <w:uiPriority w:val="0"/>
    <w:rPr>
      <w:rFonts w:ascii="宋体" w:hAnsi="Courier New" w:eastAsia="宋体"/>
      <w:kern w:val="2"/>
      <w:sz w:val="21"/>
      <w:lang w:val="en-US" w:eastAsia="zh-CN"/>
    </w:rPr>
  </w:style>
  <w:style w:type="character" w:customStyle="1" w:styleId="486">
    <w:name w:val="正文1 Char1"/>
    <w:qFormat/>
    <w:uiPriority w:val="0"/>
    <w:rPr>
      <w:rFonts w:ascii="仿宋_GB2312" w:hAnsi="Courier New" w:eastAsia="仿宋_GB2312"/>
      <w:kern w:val="28"/>
      <w:sz w:val="24"/>
      <w:szCs w:val="24"/>
    </w:rPr>
  </w:style>
  <w:style w:type="character" w:customStyle="1" w:styleId="487">
    <w:name w:val="hei16b1"/>
    <w:qFormat/>
    <w:uiPriority w:val="0"/>
    <w:rPr>
      <w:rFonts w:hint="default" w:ascii="Arial" w:hAnsi="Arial" w:cs="Arial"/>
      <w:b/>
      <w:bCs/>
      <w:color w:val="000000"/>
      <w:sz w:val="24"/>
      <w:szCs w:val="24"/>
    </w:rPr>
  </w:style>
  <w:style w:type="character" w:customStyle="1" w:styleId="488">
    <w:name w:val="c7 style3"/>
    <w:qFormat/>
    <w:uiPriority w:val="0"/>
  </w:style>
  <w:style w:type="character" w:customStyle="1" w:styleId="489">
    <w:name w:val="副标题 Char"/>
    <w:link w:val="47"/>
    <w:qFormat/>
    <w:uiPriority w:val="0"/>
    <w:rPr>
      <w:rFonts w:ascii="Arial" w:hAnsi="Arial" w:eastAsia="隶书"/>
      <w:b/>
      <w:bCs/>
      <w:kern w:val="28"/>
      <w:sz w:val="44"/>
      <w:szCs w:val="32"/>
      <w:lang w:val="en-US" w:eastAsia="zh-CN" w:bidi="ar-SA"/>
    </w:rPr>
  </w:style>
  <w:style w:type="character" w:customStyle="1" w:styleId="490">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491">
    <w:name w:val="表正文 Char1"/>
    <w:qFormat/>
    <w:uiPriority w:val="0"/>
    <w:rPr>
      <w:rFonts w:ascii="宋体" w:eastAsia="宋体"/>
      <w:snapToGrid w:val="0"/>
      <w:color w:val="000000"/>
      <w:kern w:val="28"/>
      <w:sz w:val="28"/>
    </w:rPr>
  </w:style>
  <w:style w:type="character" w:customStyle="1" w:styleId="492">
    <w:name w:val="Char Char5"/>
    <w:qFormat/>
    <w:uiPriority w:val="0"/>
    <w:rPr>
      <w:rFonts w:ascii="宋体" w:hAnsi="Courier New" w:eastAsia="宋体"/>
      <w:kern w:val="2"/>
      <w:sz w:val="21"/>
      <w:lang w:val="en-US" w:eastAsia="zh-CN"/>
    </w:rPr>
  </w:style>
  <w:style w:type="character" w:customStyle="1" w:styleId="493">
    <w:name w:val="标题 1 Char Char"/>
    <w:basedOn w:val="64"/>
    <w:qFormat/>
    <w:uiPriority w:val="0"/>
    <w:rPr>
      <w:rFonts w:hint="eastAsia" w:ascii="宋体" w:hAnsi="宋体" w:eastAsia="宋体"/>
      <w:b/>
      <w:spacing w:val="-2"/>
      <w:sz w:val="24"/>
      <w:lang w:val="en-US" w:eastAsia="zh-CN" w:bidi="ar-SA"/>
    </w:rPr>
  </w:style>
  <w:style w:type="character" w:customStyle="1" w:styleId="494">
    <w:name w:val="Char Char4"/>
    <w:qFormat/>
    <w:uiPriority w:val="0"/>
    <w:rPr>
      <w:rFonts w:eastAsia="宋体"/>
      <w:b/>
      <w:sz w:val="24"/>
      <w:lang w:val="en-GB" w:eastAsia="zh-CN" w:bidi="ar-SA"/>
    </w:rPr>
  </w:style>
  <w:style w:type="character" w:customStyle="1" w:styleId="495">
    <w:name w:val="zbggmain style9"/>
    <w:qFormat/>
    <w:uiPriority w:val="0"/>
  </w:style>
  <w:style w:type="character" w:customStyle="1" w:styleId="496">
    <w:name w:val="Header Char"/>
    <w:semiHidden/>
    <w:qFormat/>
    <w:locked/>
    <w:uiPriority w:val="0"/>
    <w:rPr>
      <w:rFonts w:eastAsia="宋体"/>
      <w:kern w:val="2"/>
      <w:sz w:val="18"/>
      <w:szCs w:val="18"/>
      <w:lang w:val="en-US" w:eastAsia="zh-CN" w:bidi="ar-SA"/>
    </w:rPr>
  </w:style>
  <w:style w:type="character" w:customStyle="1" w:styleId="497">
    <w:name w:val="样式 宋体"/>
    <w:qFormat/>
    <w:uiPriority w:val="0"/>
    <w:rPr>
      <w:rFonts w:ascii="宋体" w:hAnsi="宋体"/>
      <w:sz w:val="24"/>
    </w:rPr>
  </w:style>
  <w:style w:type="character" w:customStyle="1" w:styleId="498">
    <w:name w:val="哈哈正文 Char"/>
    <w:link w:val="314"/>
    <w:qFormat/>
    <w:uiPriority w:val="0"/>
    <w:rPr>
      <w:rFonts w:ascii="宋体" w:hAnsi="宋体" w:eastAsia="宋体"/>
      <w:kern w:val="2"/>
      <w:sz w:val="24"/>
      <w:lang w:bidi="ar-SA"/>
    </w:rPr>
  </w:style>
  <w:style w:type="character" w:customStyle="1" w:styleId="499">
    <w:name w:val="标题 Char"/>
    <w:qFormat/>
    <w:uiPriority w:val="0"/>
    <w:rPr>
      <w:rFonts w:eastAsia="宋体"/>
      <w:b/>
      <w:sz w:val="24"/>
      <w:lang w:val="en-GB" w:eastAsia="zh-CN" w:bidi="ar-SA"/>
    </w:rPr>
  </w:style>
  <w:style w:type="character" w:customStyle="1" w:styleId="500">
    <w:name w:val="纯文本 Char Char Char"/>
    <w:qFormat/>
    <w:uiPriority w:val="0"/>
    <w:rPr>
      <w:rFonts w:ascii="宋体" w:hAnsi="Courier New" w:eastAsia="宋体"/>
      <w:kern w:val="2"/>
      <w:sz w:val="21"/>
      <w:lang w:val="en-US" w:eastAsia="zh-CN" w:bidi="ar-SA"/>
    </w:rPr>
  </w:style>
  <w:style w:type="character" w:customStyle="1" w:styleId="501">
    <w:name w:val="正文 编号 Char"/>
    <w:qFormat/>
    <w:uiPriority w:val="0"/>
    <w:rPr>
      <w:rFonts w:ascii="仿宋_GB2312" w:hAnsi="仿宋_GB2312" w:eastAsia="仿宋_GB2312"/>
      <w:kern w:val="2"/>
      <w:sz w:val="24"/>
      <w:lang w:bidi="ar-SA"/>
    </w:rPr>
  </w:style>
  <w:style w:type="character" w:customStyle="1" w:styleId="502">
    <w:name w:val="插图说明 Char"/>
    <w:qFormat/>
    <w:uiPriority w:val="0"/>
    <w:rPr>
      <w:rFonts w:eastAsia="黑体"/>
      <w:sz w:val="24"/>
      <w:lang w:val="en-US" w:eastAsia="zh-CN"/>
    </w:rPr>
  </w:style>
  <w:style w:type="character" w:customStyle="1" w:styleId="503">
    <w:name w:val="正文首行缩进 2 Char"/>
    <w:link w:val="60"/>
    <w:qFormat/>
    <w:uiPriority w:val="0"/>
    <w:rPr>
      <w:rFonts w:ascii="宋体" w:hAnsi="宋体"/>
      <w:kern w:val="2"/>
      <w:sz w:val="21"/>
      <w:szCs w:val="24"/>
    </w:rPr>
  </w:style>
  <w:style w:type="character" w:customStyle="1" w:styleId="504">
    <w:name w:val="正文文本缩进 2 Char"/>
    <w:link w:val="38"/>
    <w:qFormat/>
    <w:uiPriority w:val="0"/>
    <w:rPr>
      <w:rFonts w:ascii="宋体"/>
      <w:sz w:val="28"/>
    </w:rPr>
  </w:style>
  <w:style w:type="character" w:customStyle="1" w:styleId="505">
    <w:name w:val="公文正文 Char"/>
    <w:qFormat/>
    <w:uiPriority w:val="0"/>
    <w:rPr>
      <w:rFonts w:ascii="仿宋_GB2312" w:eastAsia="仿宋_GB2312"/>
      <w:kern w:val="2"/>
      <w:sz w:val="24"/>
      <w:szCs w:val="24"/>
      <w:lang w:val="en-US" w:eastAsia="zh-CN" w:bidi="ar-SA"/>
    </w:rPr>
  </w:style>
  <w:style w:type="character" w:customStyle="1" w:styleId="506">
    <w:name w:val="Char Char41"/>
    <w:qFormat/>
    <w:uiPriority w:val="0"/>
    <w:rPr>
      <w:rFonts w:eastAsia="宋体"/>
      <w:b/>
      <w:sz w:val="24"/>
      <w:lang w:val="en-GB" w:eastAsia="zh-CN" w:bidi="ar-SA"/>
    </w:rPr>
  </w:style>
  <w:style w:type="character" w:customStyle="1" w:styleId="507">
    <w:name w:val="unnamed31"/>
    <w:qFormat/>
    <w:uiPriority w:val="0"/>
    <w:rPr>
      <w:rFonts w:ascii="Tahoma" w:hAnsi="Tahoma" w:eastAsia="宋体"/>
      <w:b/>
      <w:kern w:val="2"/>
      <w:sz w:val="24"/>
      <w:szCs w:val="32"/>
      <w:u w:val="none"/>
      <w:lang w:val="en-US" w:eastAsia="zh-CN" w:bidi="ar-SA"/>
    </w:rPr>
  </w:style>
  <w:style w:type="character" w:customStyle="1" w:styleId="508">
    <w:name w:val="Char Char91"/>
    <w:qFormat/>
    <w:uiPriority w:val="0"/>
    <w:rPr>
      <w:rFonts w:eastAsia="宋体"/>
      <w:kern w:val="2"/>
      <w:sz w:val="18"/>
      <w:szCs w:val="18"/>
      <w:lang w:val="en-US" w:eastAsia="zh-CN" w:bidi="ar-SA"/>
    </w:rPr>
  </w:style>
  <w:style w:type="character" w:customStyle="1" w:styleId="509">
    <w:name w:val="Footer-Even Char1"/>
    <w:qFormat/>
    <w:uiPriority w:val="0"/>
    <w:rPr>
      <w:rFonts w:eastAsia="宋体"/>
      <w:kern w:val="2"/>
      <w:sz w:val="18"/>
      <w:szCs w:val="18"/>
      <w:lang w:val="en-US" w:eastAsia="zh-CN" w:bidi="ar-SA"/>
    </w:rPr>
  </w:style>
  <w:style w:type="character" w:customStyle="1" w:styleId="510">
    <w:name w:val="gf正文1 Char"/>
    <w:qFormat/>
    <w:uiPriority w:val="0"/>
    <w:rPr>
      <w:rFonts w:ascii="宋体" w:hAnsi="宋体" w:eastAsia="宋体" w:cs="宋体"/>
      <w:kern w:val="2"/>
      <w:sz w:val="24"/>
      <w:szCs w:val="24"/>
      <w:lang w:val="en-US" w:eastAsia="zh-CN" w:bidi="ar-SA"/>
    </w:rPr>
  </w:style>
  <w:style w:type="character" w:customStyle="1" w:styleId="511">
    <w:name w:val="javascript"/>
    <w:qFormat/>
    <w:uiPriority w:val="0"/>
  </w:style>
  <w:style w:type="character" w:customStyle="1" w:styleId="512">
    <w:name w:val="列出段落 Char"/>
    <w:qFormat/>
    <w:uiPriority w:val="34"/>
    <w:rPr>
      <w:rFonts w:eastAsia="楷体_GB2312" w:cs="Lucida Sans"/>
      <w:kern w:val="2"/>
      <w:sz w:val="24"/>
      <w:szCs w:val="24"/>
      <w:lang w:val="en-US" w:eastAsia="zh-CN" w:bidi="ar-SA"/>
    </w:rPr>
  </w:style>
  <w:style w:type="character" w:customStyle="1" w:styleId="51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qFormat/>
    <w:uiPriority w:val="0"/>
    <w:rPr>
      <w:kern w:val="2"/>
      <w:sz w:val="21"/>
      <w:szCs w:val="24"/>
      <w:lang w:bidi="ar-SA"/>
    </w:rPr>
  </w:style>
  <w:style w:type="character" w:customStyle="1" w:styleId="515">
    <w:name w:val="普通文字 Char3"/>
    <w:qFormat/>
    <w:uiPriority w:val="0"/>
    <w:rPr>
      <w:rFonts w:ascii="宋体" w:hAnsi="Courier New" w:eastAsia="宋体"/>
      <w:kern w:val="2"/>
      <w:sz w:val="21"/>
      <w:lang w:val="en-US" w:eastAsia="zh-CN" w:bidi="ar-SA"/>
    </w:rPr>
  </w:style>
  <w:style w:type="character" w:customStyle="1" w:styleId="516">
    <w:name w:val="h Char Char1"/>
    <w:qFormat/>
    <w:uiPriority w:val="0"/>
    <w:rPr>
      <w:rFonts w:eastAsia="宋体"/>
      <w:kern w:val="2"/>
      <w:sz w:val="18"/>
      <w:szCs w:val="18"/>
      <w:lang w:val="en-US" w:eastAsia="zh-CN" w:bidi="ar-SA"/>
    </w:rPr>
  </w:style>
  <w:style w:type="character" w:customStyle="1" w:styleId="517">
    <w:name w:val="冯 Char"/>
    <w:link w:val="77"/>
    <w:qFormat/>
    <w:uiPriority w:val="0"/>
    <w:rPr>
      <w:rFonts w:ascii="宋体" w:hAnsi="宋体"/>
      <w:color w:val="000000"/>
      <w:sz w:val="24"/>
      <w:szCs w:val="24"/>
    </w:rPr>
  </w:style>
  <w:style w:type="character" w:customStyle="1" w:styleId="518">
    <w:name w:val="highlight1"/>
    <w:qFormat/>
    <w:uiPriority w:val="0"/>
    <w:rPr>
      <w:rFonts w:ascii="仿宋_GB2312" w:eastAsia="微软雅黑"/>
      <w:b/>
      <w:kern w:val="2"/>
      <w:sz w:val="23"/>
      <w:szCs w:val="23"/>
      <w:lang w:val="en-US" w:eastAsia="zh-CN" w:bidi="ar-SA"/>
    </w:rPr>
  </w:style>
  <w:style w:type="character" w:customStyle="1" w:styleId="519">
    <w:name w:val="样式6 Char"/>
    <w:qFormat/>
    <w:uiPriority w:val="0"/>
    <w:rPr>
      <w:rFonts w:ascii="仿宋_GB2312" w:hAnsi="宋体" w:eastAsia="仿宋_GB2312"/>
      <w:b/>
      <w:bCs/>
      <w:kern w:val="2"/>
      <w:sz w:val="24"/>
      <w:szCs w:val="24"/>
      <w:lang w:val="en-US" w:eastAsia="zh-CN" w:bidi="ar-SA"/>
    </w:rPr>
  </w:style>
  <w:style w:type="character" w:customStyle="1" w:styleId="520">
    <w:name w:val="标题 9 Char"/>
    <w:link w:val="11"/>
    <w:qFormat/>
    <w:uiPriority w:val="0"/>
    <w:rPr>
      <w:rFonts w:ascii="Arial" w:hAnsi="Arial" w:eastAsia="黑体"/>
      <w:kern w:val="2"/>
      <w:sz w:val="21"/>
      <w:szCs w:val="21"/>
    </w:rPr>
  </w:style>
  <w:style w:type="character" w:customStyle="1" w:styleId="521">
    <w:name w:val="md"/>
    <w:basedOn w:val="64"/>
    <w:qFormat/>
    <w:uiPriority w:val="0"/>
  </w:style>
  <w:style w:type="character" w:customStyle="1" w:styleId="522">
    <w:name w:val="myp11"/>
    <w:qFormat/>
    <w:uiPriority w:val="0"/>
    <w:rPr>
      <w:rFonts w:ascii="仿宋_GB2312" w:eastAsia="微软雅黑"/>
      <w:b/>
      <w:kern w:val="2"/>
      <w:sz w:val="32"/>
      <w:szCs w:val="32"/>
      <w:lang w:val="en-US" w:eastAsia="zh-CN" w:bidi="ar-SA"/>
    </w:rPr>
  </w:style>
  <w:style w:type="character" w:customStyle="1" w:styleId="523">
    <w:name w:val="Ò³Ã¼ Char Char1"/>
    <w:qFormat/>
    <w:uiPriority w:val="0"/>
    <w:rPr>
      <w:rFonts w:eastAsia="宋体"/>
      <w:kern w:val="2"/>
      <w:sz w:val="18"/>
      <w:szCs w:val="18"/>
      <w:lang w:val="en-US" w:eastAsia="zh-CN" w:bidi="ar-SA"/>
    </w:rPr>
  </w:style>
  <w:style w:type="character" w:customStyle="1" w:styleId="524">
    <w:name w:val="tw4winTerm"/>
    <w:qFormat/>
    <w:uiPriority w:val="0"/>
    <w:rPr>
      <w:color w:val="0000FF"/>
    </w:rPr>
  </w:style>
  <w:style w:type="character" w:customStyle="1" w:styleId="525">
    <w:name w:val="表格 Char Char"/>
    <w:qFormat/>
    <w:uiPriority w:val="0"/>
    <w:rPr>
      <w:rFonts w:ascii="宋体" w:hAnsi="宋体" w:eastAsia="宋体"/>
      <w:lang w:bidi="ar-SA"/>
    </w:rPr>
  </w:style>
  <w:style w:type="character" w:customStyle="1" w:styleId="526">
    <w:name w:val="样式8 Char"/>
    <w:qFormat/>
    <w:uiPriority w:val="0"/>
    <w:rPr>
      <w:rFonts w:ascii="仿宋_GB2312" w:hAnsi="宋体" w:eastAsia="仿宋_GB2312"/>
      <w:b/>
      <w:bCs/>
      <w:kern w:val="2"/>
      <w:sz w:val="24"/>
      <w:szCs w:val="24"/>
    </w:rPr>
  </w:style>
  <w:style w:type="character" w:customStyle="1" w:styleId="527">
    <w:name w:val="样式5 Char"/>
    <w:qFormat/>
    <w:uiPriority w:val="0"/>
    <w:rPr>
      <w:rFonts w:ascii="仿宋_GB2312" w:hAnsi="仿宋" w:eastAsia="仿宋_GB2312"/>
      <w:kern w:val="2"/>
      <w:sz w:val="24"/>
      <w:szCs w:val="24"/>
    </w:rPr>
  </w:style>
  <w:style w:type="character" w:customStyle="1" w:styleId="528">
    <w:name w:val="页脚 Char1"/>
    <w:qFormat/>
    <w:uiPriority w:val="0"/>
    <w:rPr>
      <w:rFonts w:eastAsia="宋体"/>
      <w:kern w:val="2"/>
      <w:sz w:val="18"/>
      <w:szCs w:val="18"/>
      <w:lang w:val="en-US" w:eastAsia="zh-CN" w:bidi="ar-SA"/>
    </w:rPr>
  </w:style>
  <w:style w:type="character" w:customStyle="1" w:styleId="529">
    <w:name w:val="tw4winJump"/>
    <w:qFormat/>
    <w:uiPriority w:val="0"/>
    <w:rPr>
      <w:rFonts w:ascii="Courier New" w:hAnsi="Courier New" w:cs="Courier New"/>
      <w:color w:val="008080"/>
    </w:rPr>
  </w:style>
  <w:style w:type="character" w:customStyle="1" w:styleId="530">
    <w:name w:val="批注文字 Char"/>
    <w:qFormat/>
    <w:uiPriority w:val="99"/>
    <w:rPr>
      <w:kern w:val="2"/>
      <w:sz w:val="21"/>
      <w:szCs w:val="24"/>
    </w:rPr>
  </w:style>
  <w:style w:type="character" w:customStyle="1" w:styleId="531">
    <w:name w:val="Char Char122"/>
    <w:qFormat/>
    <w:uiPriority w:val="0"/>
    <w:rPr>
      <w:rFonts w:ascii="仿宋_GB2312" w:eastAsia="仿宋_GB2312"/>
      <w:b/>
      <w:bCs/>
      <w:kern w:val="2"/>
      <w:sz w:val="24"/>
      <w:szCs w:val="24"/>
      <w:lang w:val="zh-CN" w:eastAsia="zh-CN" w:bidi="ar-SA"/>
    </w:rPr>
  </w:style>
  <w:style w:type="character" w:customStyle="1" w:styleId="532">
    <w:name w:val="No Spacing Char"/>
    <w:link w:val="170"/>
    <w:qFormat/>
    <w:uiPriority w:val="1"/>
    <w:rPr>
      <w:rFonts w:ascii="Calibri" w:hAnsi="Calibri"/>
      <w:sz w:val="22"/>
      <w:szCs w:val="22"/>
      <w:lang w:val="en-US" w:eastAsia="zh-CN" w:bidi="ar-SA"/>
    </w:rPr>
  </w:style>
  <w:style w:type="character" w:customStyle="1" w:styleId="533">
    <w:name w:val="Char Char21"/>
    <w:qFormat/>
    <w:uiPriority w:val="0"/>
    <w:rPr>
      <w:rFonts w:ascii="宋体" w:hAnsi="Courier New" w:eastAsia="宋体"/>
      <w:kern w:val="2"/>
      <w:sz w:val="21"/>
      <w:lang w:val="en-US" w:eastAsia="zh-CN" w:bidi="ar-SA"/>
    </w:rPr>
  </w:style>
  <w:style w:type="character" w:customStyle="1" w:styleId="534">
    <w:name w:val="Char Char8"/>
    <w:qFormat/>
    <w:uiPriority w:val="0"/>
    <w:rPr>
      <w:rFonts w:eastAsia="宋体"/>
      <w:b/>
      <w:sz w:val="24"/>
      <w:lang w:val="en-GB" w:eastAsia="zh-CN"/>
    </w:rPr>
  </w:style>
  <w:style w:type="character" w:customStyle="1" w:styleId="535">
    <w:name w:val="font21"/>
    <w:qFormat/>
    <w:uiPriority w:val="0"/>
    <w:rPr>
      <w:rFonts w:hint="eastAsia" w:ascii="宋体" w:hAnsi="宋体" w:eastAsia="宋体"/>
      <w:kern w:val="2"/>
      <w:sz w:val="28"/>
      <w:szCs w:val="28"/>
      <w:lang w:val="en-US" w:eastAsia="zh-CN" w:bidi="ar-SA"/>
    </w:rPr>
  </w:style>
  <w:style w:type="character" w:customStyle="1" w:styleId="536">
    <w:name w:val="正文2 Char"/>
    <w:qFormat/>
    <w:uiPriority w:val="0"/>
    <w:rPr>
      <w:rFonts w:eastAsia="宋体"/>
      <w:kern w:val="2"/>
      <w:sz w:val="24"/>
      <w:lang w:val="en-US" w:eastAsia="zh-CN" w:bidi="ar-SA"/>
    </w:rPr>
  </w:style>
  <w:style w:type="character" w:customStyle="1" w:styleId="537">
    <w:name w:val="big1"/>
    <w:qFormat/>
    <w:uiPriority w:val="0"/>
    <w:rPr>
      <w:rFonts w:hint="eastAsia" w:ascii="宋体" w:hAnsi="宋体" w:eastAsia="宋体"/>
      <w:color w:val="333333"/>
      <w:sz w:val="22"/>
      <w:szCs w:val="22"/>
    </w:rPr>
  </w:style>
  <w:style w:type="character" w:customStyle="1" w:styleId="538">
    <w:name w:val="Body Text(ch) Char Char"/>
    <w:qFormat/>
    <w:uiPriority w:val="0"/>
    <w:rPr>
      <w:rFonts w:ascii="宋体"/>
      <w:kern w:val="2"/>
      <w:sz w:val="24"/>
      <w:szCs w:val="21"/>
      <w:lang w:val="zh-CN"/>
    </w:rPr>
  </w:style>
  <w:style w:type="character" w:customStyle="1" w:styleId="539">
    <w:name w:val="blue1"/>
    <w:basedOn w:val="64"/>
    <w:qFormat/>
    <w:uiPriority w:val="0"/>
  </w:style>
  <w:style w:type="character" w:customStyle="1" w:styleId="540">
    <w:name w:val="正文 项目2 Char"/>
    <w:basedOn w:val="484"/>
    <w:qFormat/>
    <w:uiPriority w:val="0"/>
    <w:rPr>
      <w:rFonts w:ascii="仿宋_GB2312" w:hAnsi="仿宋_GB2312" w:eastAsia="仿宋_GB2312"/>
      <w:kern w:val="2"/>
      <w:sz w:val="24"/>
      <w:lang w:bidi="ar-SA"/>
    </w:rPr>
  </w:style>
  <w:style w:type="character" w:customStyle="1" w:styleId="541">
    <w:name w:val="solutionfonts"/>
    <w:qFormat/>
    <w:uiPriority w:val="0"/>
  </w:style>
  <w:style w:type="character" w:customStyle="1" w:styleId="542">
    <w:name w:val="Char Char81"/>
    <w:qFormat/>
    <w:uiPriority w:val="0"/>
    <w:rPr>
      <w:rFonts w:eastAsia="宋体"/>
      <w:b/>
      <w:sz w:val="24"/>
      <w:lang w:val="en-GB" w:eastAsia="zh-CN"/>
    </w:rPr>
  </w:style>
  <w:style w:type="character" w:customStyle="1" w:styleId="543">
    <w:name w:val="Char Char2"/>
    <w:qFormat/>
    <w:uiPriority w:val="0"/>
    <w:rPr>
      <w:rFonts w:eastAsia="宋体"/>
      <w:b/>
      <w:bCs/>
      <w:kern w:val="2"/>
      <w:sz w:val="21"/>
      <w:szCs w:val="24"/>
      <w:lang w:val="en-US" w:eastAsia="zh-CN" w:bidi="ar-SA"/>
    </w:rPr>
  </w:style>
  <w:style w:type="character" w:customStyle="1" w:styleId="544">
    <w:name w:val="HTML 预设格式 Char"/>
    <w:link w:val="56"/>
    <w:qFormat/>
    <w:uiPriority w:val="0"/>
    <w:rPr>
      <w:rFonts w:ascii="黑体" w:hAnsi="Courier New" w:eastAsia="黑体"/>
    </w:rPr>
  </w:style>
  <w:style w:type="character" w:customStyle="1" w:styleId="545">
    <w:name w:val="Heading 7 Char"/>
    <w:qFormat/>
    <w:locked/>
    <w:uiPriority w:val="0"/>
    <w:rPr>
      <w:rFonts w:ascii="宋体" w:hAnsi="宋体" w:eastAsia="宋体"/>
      <w:b/>
      <w:bCs/>
      <w:kern w:val="2"/>
      <w:sz w:val="24"/>
      <w:szCs w:val="24"/>
      <w:lang w:val="en-US" w:eastAsia="zh-CN" w:bidi="ar-SA"/>
    </w:rPr>
  </w:style>
  <w:style w:type="character" w:customStyle="1" w:styleId="546">
    <w:name w:val="正文首行缩进 Char"/>
    <w:link w:val="24"/>
    <w:qFormat/>
    <w:uiPriority w:val="0"/>
    <w:rPr>
      <w:rFonts w:ascii="宋体"/>
      <w:kern w:val="2"/>
      <w:sz w:val="24"/>
      <w:lang w:val="zh-CN"/>
    </w:rPr>
  </w:style>
  <w:style w:type="character" w:customStyle="1" w:styleId="547">
    <w:name w:val="标题 2 Char Char"/>
    <w:qFormat/>
    <w:uiPriority w:val="0"/>
    <w:rPr>
      <w:rFonts w:ascii="楷体_GB2312" w:hAnsi="Arial" w:eastAsia="楷体_GB2312"/>
      <w:b/>
      <w:bCs/>
      <w:kern w:val="2"/>
      <w:sz w:val="24"/>
      <w:szCs w:val="32"/>
      <w:lang w:val="en-US" w:eastAsia="zh-CN" w:bidi="ar-SA"/>
    </w:rPr>
  </w:style>
  <w:style w:type="character" w:customStyle="1" w:styleId="548">
    <w:name w:val="pt141"/>
    <w:qFormat/>
    <w:uiPriority w:val="0"/>
    <w:rPr>
      <w:color w:val="330066"/>
      <w:sz w:val="22"/>
      <w:szCs w:val="22"/>
    </w:rPr>
  </w:style>
  <w:style w:type="character" w:customStyle="1" w:styleId="549">
    <w:name w:val="h Char Char"/>
    <w:qFormat/>
    <w:uiPriority w:val="0"/>
    <w:rPr>
      <w:rFonts w:eastAsia="宋体"/>
      <w:kern w:val="2"/>
      <w:sz w:val="18"/>
      <w:lang w:val="en-US" w:eastAsia="zh-CN" w:bidi="ar-SA"/>
    </w:rPr>
  </w:style>
  <w:style w:type="character" w:customStyle="1" w:styleId="550">
    <w:name w:val="标题 1 Char"/>
    <w:link w:val="3"/>
    <w:qFormat/>
    <w:uiPriority w:val="0"/>
    <w:rPr>
      <w:b/>
      <w:bCs/>
      <w:kern w:val="44"/>
      <w:sz w:val="44"/>
      <w:szCs w:val="44"/>
    </w:rPr>
  </w:style>
  <w:style w:type="character" w:customStyle="1" w:styleId="551">
    <w:name w:val="页眉 Char"/>
    <w:qFormat/>
    <w:uiPriority w:val="0"/>
    <w:rPr>
      <w:rFonts w:eastAsia="仿宋_GB2312"/>
      <w:kern w:val="2"/>
      <w:sz w:val="18"/>
      <w:lang w:val="en-US" w:eastAsia="zh-CN"/>
    </w:rPr>
  </w:style>
  <w:style w:type="character" w:customStyle="1" w:styleId="552">
    <w:name w:val="b11_01b Char"/>
    <w:link w:val="410"/>
    <w:qFormat/>
    <w:uiPriority w:val="0"/>
    <w:rPr>
      <w:rFonts w:ascii="Verdana" w:hAnsi="Verdana"/>
      <w:b/>
      <w:bCs/>
      <w:color w:val="4A82CA"/>
      <w:sz w:val="17"/>
      <w:szCs w:val="17"/>
    </w:rPr>
  </w:style>
  <w:style w:type="character" w:customStyle="1" w:styleId="553">
    <w:name w:val="标题4-dyf Char"/>
    <w:link w:val="348"/>
    <w:qFormat/>
    <w:uiPriority w:val="0"/>
    <w:rPr>
      <w:rFonts w:ascii="Cambria" w:hAnsi="Cambria"/>
      <w:b/>
      <w:bCs/>
      <w:color w:val="000000"/>
      <w:kern w:val="2"/>
      <w:sz w:val="21"/>
      <w:szCs w:val="21"/>
    </w:rPr>
  </w:style>
  <w:style w:type="character" w:customStyle="1" w:styleId="554">
    <w:name w:val="批注主题 Char"/>
    <w:qFormat/>
    <w:uiPriority w:val="0"/>
    <w:rPr>
      <w:rFonts w:eastAsia="宋体"/>
      <w:b/>
      <w:bCs/>
      <w:kern w:val="2"/>
      <w:sz w:val="21"/>
      <w:szCs w:val="24"/>
      <w:lang w:val="en-US" w:eastAsia="zh-CN" w:bidi="ar-SA"/>
    </w:rPr>
  </w:style>
  <w:style w:type="character" w:customStyle="1" w:styleId="55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qFormat/>
    <w:uiPriority w:val="0"/>
    <w:rPr>
      <w:sz w:val="24"/>
      <w:szCs w:val="24"/>
      <w:lang w:val="en-US" w:eastAsia="zh-CN" w:bidi="ar-SA"/>
    </w:rPr>
  </w:style>
  <w:style w:type="character" w:customStyle="1" w:styleId="557">
    <w:name w:val="Char Char51"/>
    <w:qFormat/>
    <w:uiPriority w:val="0"/>
    <w:rPr>
      <w:rFonts w:ascii="宋体" w:hAnsi="Courier New" w:eastAsia="宋体"/>
      <w:kern w:val="2"/>
      <w:sz w:val="21"/>
      <w:lang w:val="en-US" w:eastAsia="zh-CN"/>
    </w:rPr>
  </w:style>
  <w:style w:type="character" w:customStyle="1" w:styleId="558">
    <w:name w:val="带编号样式 Char"/>
    <w:qFormat/>
    <w:uiPriority w:val="0"/>
    <w:rPr>
      <w:rFonts w:ascii="仿宋_GB2312" w:eastAsia="仿宋_GB2312"/>
      <w:color w:val="000000"/>
      <w:sz w:val="24"/>
      <w:lang w:bidi="ar-SA"/>
    </w:rPr>
  </w:style>
  <w:style w:type="character" w:customStyle="1" w:styleId="559">
    <w:name w:val="样式4 Char"/>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2"/>
    <w:qFormat/>
    <w:uiPriority w:val="0"/>
    <w:rPr>
      <w:rFonts w:ascii="微软雅黑" w:hAnsi="微软雅黑" w:eastAsia="微软雅黑"/>
      <w:b/>
      <w:bCs/>
      <w:kern w:val="2"/>
      <w:sz w:val="24"/>
      <w:szCs w:val="28"/>
    </w:rPr>
  </w:style>
  <w:style w:type="character" w:customStyle="1" w:styleId="561">
    <w:name w:val="PI Char"/>
    <w:qFormat/>
    <w:uiPriority w:val="0"/>
    <w:rPr>
      <w:rFonts w:ascii="宋体" w:hAnsi="宋体" w:eastAsia="宋体"/>
      <w:kern w:val="2"/>
      <w:sz w:val="24"/>
      <w:szCs w:val="24"/>
      <w:lang w:val="en-US" w:eastAsia="zh-CN" w:bidi="ar-SA"/>
    </w:rPr>
  </w:style>
  <w:style w:type="character" w:customStyle="1" w:styleId="562">
    <w:name w:val="Char Char111"/>
    <w:qFormat/>
    <w:locked/>
    <w:uiPriority w:val="0"/>
    <w:rPr>
      <w:rFonts w:ascii="宋体" w:hAnsi="宋体" w:eastAsia="宋体"/>
      <w:b/>
      <w:kern w:val="2"/>
      <w:sz w:val="24"/>
      <w:szCs w:val="24"/>
      <w:lang w:val="en-US" w:eastAsia="zh-CN" w:bidi="ar-SA"/>
    </w:rPr>
  </w:style>
  <w:style w:type="character" w:customStyle="1" w:styleId="563">
    <w:name w:val="Document Map Char"/>
    <w:semiHidden/>
    <w:qFormat/>
    <w:locked/>
    <w:uiPriority w:val="0"/>
    <w:rPr>
      <w:rFonts w:eastAsia="宋体"/>
      <w:kern w:val="2"/>
      <w:sz w:val="21"/>
      <w:szCs w:val="24"/>
      <w:lang w:val="en-US" w:eastAsia="zh-CN" w:bidi="ar-SA"/>
    </w:rPr>
  </w:style>
  <w:style w:type="character" w:customStyle="1" w:styleId="564">
    <w:name w:val="正文文本缩进 Char"/>
    <w:qFormat/>
    <w:uiPriority w:val="0"/>
    <w:rPr>
      <w:rFonts w:ascii="宋体" w:hAnsi="宋体"/>
      <w:kern w:val="2"/>
      <w:sz w:val="24"/>
      <w:szCs w:val="24"/>
    </w:rPr>
  </w:style>
  <w:style w:type="character" w:customStyle="1" w:styleId="565">
    <w:name w:val="文本正文 Char Char"/>
    <w:qFormat/>
    <w:locked/>
    <w:uiPriority w:val="0"/>
    <w:rPr>
      <w:sz w:val="24"/>
      <w:lang w:bidi="ar-SA"/>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样式3 Char"/>
    <w:basedOn w:val="568"/>
    <w:qFormat/>
    <w:uiPriority w:val="0"/>
    <w:rPr>
      <w:rFonts w:ascii="仿宋_GB2312" w:hAnsi="仿宋" w:eastAsia="仿宋_GB2312" w:cs="仿宋_GB2312"/>
      <w:sz w:val="32"/>
      <w:szCs w:val="30"/>
      <w:lang w:val="zh-CN"/>
    </w:rPr>
  </w:style>
  <w:style w:type="character" w:customStyle="1" w:styleId="568">
    <w:name w:val="样式2 Char"/>
    <w:qFormat/>
    <w:uiPriority w:val="0"/>
    <w:rPr>
      <w:rFonts w:ascii="仿宋_GB2312" w:hAnsi="仿宋" w:eastAsia="仿宋_GB2312" w:cs="仿宋_GB2312"/>
      <w:b/>
      <w:bCs/>
      <w:sz w:val="32"/>
      <w:szCs w:val="30"/>
      <w:lang w:val="zh-CN"/>
    </w:rPr>
  </w:style>
  <w:style w:type="character" w:customStyle="1" w:styleId="569">
    <w:name w:val="二级标题 Char Char"/>
    <w:qFormat/>
    <w:uiPriority w:val="0"/>
    <w:rPr>
      <w:rFonts w:ascii="宋体" w:hAnsi="宋体" w:eastAsia="宋体"/>
      <w:b/>
      <w:snapToGrid w:val="0"/>
      <w:kern w:val="2"/>
      <w:sz w:val="24"/>
      <w:szCs w:val="24"/>
      <w:lang w:val="en-US" w:eastAsia="zh-CN" w:bidi="ar-SA"/>
    </w:rPr>
  </w:style>
  <w:style w:type="character" w:customStyle="1" w:styleId="570">
    <w:name w:val="Table Text Char1"/>
    <w:qFormat/>
    <w:uiPriority w:val="0"/>
    <w:rPr>
      <w:rFonts w:eastAsia="宋体"/>
      <w:sz w:val="24"/>
      <w:szCs w:val="24"/>
      <w:lang w:val="en-US" w:eastAsia="zh-CN" w:bidi="ar-SA"/>
    </w:rPr>
  </w:style>
  <w:style w:type="character" w:customStyle="1" w:styleId="571">
    <w:name w:val="shadow11"/>
    <w:qFormat/>
    <w:uiPriority w:val="0"/>
    <w:rPr>
      <w:color w:val="000000"/>
      <w:sz w:val="21"/>
    </w:rPr>
  </w:style>
  <w:style w:type="character" w:customStyle="1" w:styleId="572">
    <w:name w:val="HTML 地址 Char"/>
    <w:link w:val="31"/>
    <w:qFormat/>
    <w:uiPriority w:val="0"/>
    <w:rPr>
      <w:rFonts w:ascii="宋体" w:hAnsi="宋体"/>
      <w:i/>
      <w:iCs/>
      <w:sz w:val="24"/>
      <w:szCs w:val="24"/>
    </w:rPr>
  </w:style>
  <w:style w:type="character" w:customStyle="1" w:styleId="573">
    <w:name w:val="Char Char22"/>
    <w:qFormat/>
    <w:uiPriority w:val="0"/>
    <w:rPr>
      <w:rFonts w:eastAsia="宋体"/>
      <w:b/>
      <w:bCs/>
      <w:kern w:val="2"/>
      <w:sz w:val="21"/>
      <w:szCs w:val="24"/>
      <w:lang w:val="en-US" w:eastAsia="zh-CN" w:bidi="ar-SA"/>
    </w:rPr>
  </w:style>
  <w:style w:type="character" w:customStyle="1" w:styleId="574">
    <w:name w:val="标题 5 Char"/>
    <w:link w:val="7"/>
    <w:qFormat/>
    <w:uiPriority w:val="0"/>
    <w:rPr>
      <w:b/>
      <w:bCs/>
      <w:kern w:val="2"/>
      <w:sz w:val="28"/>
      <w:szCs w:val="28"/>
    </w:rPr>
  </w:style>
  <w:style w:type="character" w:customStyle="1" w:styleId="575">
    <w:name w:val="h3 Char1"/>
    <w:qFormat/>
    <w:uiPriority w:val="0"/>
    <w:rPr>
      <w:rFonts w:eastAsia="宋体"/>
      <w:b/>
      <w:bCs/>
      <w:kern w:val="2"/>
      <w:sz w:val="32"/>
      <w:szCs w:val="32"/>
      <w:lang w:bidi="ar-SA"/>
    </w:rPr>
  </w:style>
  <w:style w:type="character" w:customStyle="1" w:styleId="576">
    <w:name w:val="FA正文 Char Char"/>
    <w:qFormat/>
    <w:uiPriority w:val="0"/>
    <w:rPr>
      <w:rFonts w:hAnsi="宋体"/>
      <w:kern w:val="2"/>
      <w:sz w:val="24"/>
      <w:lang w:bidi="ar-SA"/>
    </w:rPr>
  </w:style>
  <w:style w:type="character" w:customStyle="1" w:styleId="577">
    <w:name w:val="Char Char7"/>
    <w:semiHidden/>
    <w:qFormat/>
    <w:uiPriority w:val="0"/>
    <w:rPr>
      <w:rFonts w:eastAsia="宋体"/>
      <w:kern w:val="2"/>
      <w:sz w:val="21"/>
      <w:szCs w:val="24"/>
      <w:lang w:val="en-US" w:eastAsia="zh-CN" w:bidi="ar-SA"/>
    </w:rPr>
  </w:style>
  <w:style w:type="character" w:customStyle="1" w:styleId="578">
    <w:name w:val="hui"/>
    <w:basedOn w:val="64"/>
    <w:qFormat/>
    <w:uiPriority w:val="0"/>
  </w:style>
  <w:style w:type="character" w:customStyle="1" w:styleId="579">
    <w:name w:val="正文缩进 Char"/>
    <w:qFormat/>
    <w:uiPriority w:val="0"/>
    <w:rPr>
      <w:rFonts w:eastAsia="宋体"/>
      <w:kern w:val="2"/>
      <w:sz w:val="21"/>
      <w:lang w:val="en-US" w:eastAsia="zh-CN"/>
    </w:rPr>
  </w:style>
  <w:style w:type="character" w:customStyle="1" w:styleId="580">
    <w:name w:val="正文1 Char"/>
    <w:qFormat/>
    <w:uiPriority w:val="0"/>
    <w:rPr>
      <w:rFonts w:ascii="宋体" w:eastAsia="宋体"/>
      <w:snapToGrid w:val="0"/>
      <w:color w:val="000000"/>
      <w:kern w:val="28"/>
      <w:sz w:val="28"/>
      <w:lang w:val="en-US" w:eastAsia="zh-CN" w:bidi="ar-SA"/>
    </w:rPr>
  </w:style>
  <w:style w:type="character" w:customStyle="1" w:styleId="581">
    <w:name w:val="Char Char61"/>
    <w:qFormat/>
    <w:uiPriority w:val="0"/>
    <w:rPr>
      <w:rFonts w:eastAsia="宋体"/>
      <w:kern w:val="2"/>
      <w:sz w:val="21"/>
      <w:szCs w:val="24"/>
      <w:lang w:val="en-US" w:eastAsia="zh-CN" w:bidi="ar-SA"/>
    </w:rPr>
  </w:style>
  <w:style w:type="character" w:customStyle="1" w:styleId="582">
    <w:name w:val="正文文本 3 Char"/>
    <w:link w:val="22"/>
    <w:qFormat/>
    <w:uiPriority w:val="0"/>
    <w:rPr>
      <w:kern w:val="2"/>
      <w:sz w:val="21"/>
    </w:rPr>
  </w:style>
  <w:style w:type="character" w:customStyle="1" w:styleId="583">
    <w:name w:val="message1"/>
    <w:qFormat/>
    <w:uiPriority w:val="0"/>
    <w:rPr>
      <w:rFonts w:hint="default" w:ascii="Tahoma" w:hAnsi="Tahoma" w:cs="Tahoma"/>
      <w:sz w:val="18"/>
      <w:szCs w:val="18"/>
    </w:rPr>
  </w:style>
  <w:style w:type="character" w:customStyle="1" w:styleId="584">
    <w:name w:val="DO_NOT_TRANSLATE"/>
    <w:qFormat/>
    <w:uiPriority w:val="0"/>
    <w:rPr>
      <w:rFonts w:ascii="Courier New" w:hAnsi="Courier New" w:cs="Courier New"/>
      <w:color w:val="800000"/>
    </w:rPr>
  </w:style>
  <w:style w:type="character" w:customStyle="1" w:styleId="585">
    <w:name w:val="unnamed11"/>
    <w:qFormat/>
    <w:uiPriority w:val="0"/>
    <w:rPr>
      <w:sz w:val="20"/>
      <w:szCs w:val="20"/>
    </w:rPr>
  </w:style>
  <w:style w:type="character" w:customStyle="1" w:styleId="586">
    <w:name w:val="tw4winInternal"/>
    <w:qFormat/>
    <w:uiPriority w:val="0"/>
    <w:rPr>
      <w:rFonts w:ascii="Courier New" w:hAnsi="Courier New" w:cs="Courier New"/>
      <w:color w:val="FF0000"/>
    </w:rPr>
  </w:style>
  <w:style w:type="character" w:customStyle="1" w:styleId="587">
    <w:name w:val="正文（缩进2汉字） Char"/>
    <w:link w:val="327"/>
    <w:qFormat/>
    <w:uiPriority w:val="0"/>
    <w:rPr>
      <w:rFonts w:ascii="宋体"/>
    </w:rPr>
  </w:style>
  <w:style w:type="character" w:customStyle="1" w:styleId="588">
    <w:name w:val="页脚 Char"/>
    <w:qFormat/>
    <w:uiPriority w:val="0"/>
    <w:rPr>
      <w:rFonts w:eastAsia="仿宋_GB2312"/>
      <w:kern w:val="2"/>
      <w:sz w:val="18"/>
      <w:lang w:val="en-US" w:eastAsia="zh-CN"/>
    </w:rPr>
  </w:style>
  <w:style w:type="character" w:customStyle="1" w:styleId="589">
    <w:name w:val="正文文本缩进 3 Char"/>
    <w:link w:val="52"/>
    <w:qFormat/>
    <w:uiPriority w:val="0"/>
    <w:rPr>
      <w:kern w:val="2"/>
      <w:sz w:val="24"/>
    </w:rPr>
  </w:style>
  <w:style w:type="character" w:customStyle="1" w:styleId="590">
    <w:name w:val="正文缩进 Char1"/>
    <w:qFormat/>
    <w:uiPriority w:val="0"/>
    <w:rPr>
      <w:rFonts w:ascii="宋体" w:eastAsia="宋体"/>
      <w:snapToGrid w:val="0"/>
      <w:color w:val="000000"/>
      <w:kern w:val="28"/>
      <w:sz w:val="28"/>
      <w:lang w:val="en-US" w:eastAsia="zh-CN" w:bidi="ar-SA"/>
    </w:rPr>
  </w:style>
  <w:style w:type="character" w:customStyle="1" w:styleId="591">
    <w:name w:val="style36"/>
    <w:basedOn w:val="64"/>
    <w:qFormat/>
    <w:uiPriority w:val="0"/>
  </w:style>
  <w:style w:type="character" w:customStyle="1" w:styleId="592">
    <w:name w:val="hui3"/>
    <w:qFormat/>
    <w:uiPriority w:val="0"/>
    <w:rPr>
      <w:color w:val="333333"/>
    </w:rPr>
  </w:style>
  <w:style w:type="character" w:customStyle="1" w:styleId="593">
    <w:name w:val="apple-converted-space"/>
    <w:qFormat/>
    <w:uiPriority w:val="0"/>
  </w:style>
  <w:style w:type="character" w:customStyle="1" w:styleId="594">
    <w:name w:val="文档结构图 Char"/>
    <w:qFormat/>
    <w:uiPriority w:val="0"/>
    <w:rPr>
      <w:rFonts w:eastAsia="宋体"/>
      <w:kern w:val="2"/>
      <w:sz w:val="21"/>
      <w:szCs w:val="24"/>
      <w:lang w:val="en-US" w:eastAsia="zh-CN" w:bidi="ar-SA"/>
    </w:rPr>
  </w:style>
  <w:style w:type="character" w:customStyle="1" w:styleId="595">
    <w:name w:val="正文非缩进 Char3"/>
    <w:qFormat/>
    <w:uiPriority w:val="0"/>
    <w:rPr>
      <w:rFonts w:ascii="宋体" w:eastAsia="宋体"/>
      <w:snapToGrid w:val="0"/>
      <w:color w:val="000000"/>
      <w:kern w:val="28"/>
      <w:sz w:val="28"/>
      <w:lang w:val="en-US" w:eastAsia="zh-CN" w:bidi="ar-SA"/>
    </w:rPr>
  </w:style>
  <w:style w:type="character" w:customStyle="1" w:styleId="596">
    <w:name w:val="dectext1"/>
    <w:qFormat/>
    <w:uiPriority w:val="0"/>
    <w:rPr>
      <w:rFonts w:ascii="宋体" w:hAnsi="宋体" w:eastAsia="宋体"/>
      <w:color w:val="333333"/>
      <w:sz w:val="21"/>
      <w:szCs w:val="21"/>
      <w:u w:val="none"/>
    </w:rPr>
  </w:style>
  <w:style w:type="character" w:customStyle="1" w:styleId="597">
    <w:name w:val="副标题 Char1"/>
    <w:qFormat/>
    <w:uiPriority w:val="0"/>
    <w:rPr>
      <w:rFonts w:ascii="Cambria" w:hAnsi="Cambria" w:eastAsia="宋体" w:cs="Times New Roman"/>
      <w:b/>
      <w:bCs/>
      <w:snapToGrid w:val="0"/>
      <w:kern w:val="28"/>
      <w:sz w:val="32"/>
      <w:szCs w:val="32"/>
    </w:rPr>
  </w:style>
  <w:style w:type="character" w:customStyle="1" w:styleId="598">
    <w:name w:val="f141"/>
    <w:qFormat/>
    <w:uiPriority w:val="0"/>
    <w:rPr>
      <w:rFonts w:ascii="Tahoma" w:hAnsi="Tahoma" w:eastAsia="宋体"/>
      <w:b/>
      <w:kern w:val="2"/>
      <w:sz w:val="21"/>
      <w:szCs w:val="21"/>
      <w:lang w:val="en-US" w:eastAsia="zh-CN" w:bidi="ar-SA"/>
    </w:rPr>
  </w:style>
  <w:style w:type="character" w:customStyle="1" w:styleId="599">
    <w:name w:val="日期 Char"/>
    <w:link w:val="37"/>
    <w:qFormat/>
    <w:uiPriority w:val="0"/>
    <w:rPr>
      <w:rFonts w:ascii="宋体"/>
      <w:kern w:val="2"/>
      <w:sz w:val="24"/>
      <w:szCs w:val="21"/>
      <w:lang w:val="zh-CN"/>
    </w:rPr>
  </w:style>
  <w:style w:type="character" w:customStyle="1" w:styleId="600">
    <w:name w:val="标题 4 Char"/>
    <w:link w:val="6"/>
    <w:qFormat/>
    <w:uiPriority w:val="0"/>
    <w:rPr>
      <w:rFonts w:ascii="Arial" w:hAnsi="Arial" w:eastAsia="黑体"/>
      <w:b/>
      <w:bCs/>
      <w:kern w:val="2"/>
      <w:sz w:val="28"/>
      <w:szCs w:val="28"/>
      <w:lang w:val="zh-CN"/>
    </w:rPr>
  </w:style>
  <w:style w:type="character" w:customStyle="1" w:styleId="601">
    <w:name w:val="链接"/>
    <w:qFormat/>
    <w:uiPriority w:val="0"/>
    <w:rPr>
      <w:color w:val="0000FF"/>
      <w:sz w:val="21"/>
      <w:szCs w:val="21"/>
      <w:u w:val="single"/>
    </w:rPr>
  </w:style>
  <w:style w:type="character" w:customStyle="1" w:styleId="602">
    <w:name w:val="正文首行缩进 Char Char Char Char Char Char"/>
    <w:qFormat/>
    <w:uiPriority w:val="0"/>
    <w:rPr>
      <w:rFonts w:ascii="宋体" w:eastAsia="宋体"/>
      <w:kern w:val="2"/>
      <w:sz w:val="24"/>
      <w:lang w:val="zh-CN" w:bidi="ar-SA"/>
    </w:rPr>
  </w:style>
  <w:style w:type="character" w:customStyle="1" w:styleId="603">
    <w:name w:val="tw4winError"/>
    <w:qFormat/>
    <w:uiPriority w:val="0"/>
    <w:rPr>
      <w:rFonts w:ascii="Courier New" w:hAnsi="Courier New" w:cs="Courier New"/>
      <w:color w:val="00FF00"/>
      <w:sz w:val="40"/>
      <w:szCs w:val="40"/>
    </w:rPr>
  </w:style>
  <w:style w:type="character" w:customStyle="1" w:styleId="604">
    <w:name w:val="Used by Word for text of Help footnotes Char Char"/>
    <w:semiHidden/>
    <w:qFormat/>
    <w:uiPriority w:val="0"/>
    <w:rPr>
      <w:rFonts w:ascii="Times New Roman" w:hAnsi="Times New Roman" w:eastAsia="宋体" w:cs="Times New Roman"/>
      <w:sz w:val="20"/>
      <w:szCs w:val="20"/>
    </w:rPr>
  </w:style>
  <w:style w:type="character" w:customStyle="1" w:styleId="605">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qFormat/>
    <w:uiPriority w:val="0"/>
    <w:rPr>
      <w:rFonts w:ascii="宋体" w:eastAsia="宋体"/>
      <w:snapToGrid w:val="0"/>
      <w:color w:val="000000"/>
      <w:kern w:val="28"/>
      <w:sz w:val="28"/>
      <w:lang w:val="en-US" w:eastAsia="zh-CN" w:bidi="ar-SA"/>
    </w:rPr>
  </w:style>
  <w:style w:type="character" w:customStyle="1" w:styleId="607">
    <w:name w:val="普通文字 Char1 Char"/>
    <w:qFormat/>
    <w:uiPriority w:val="0"/>
    <w:rPr>
      <w:rFonts w:ascii="宋体" w:hAnsi="Courier New" w:eastAsia="宋体"/>
      <w:kern w:val="2"/>
      <w:sz w:val="21"/>
      <w:szCs w:val="24"/>
      <w:lang w:val="en-US" w:eastAsia="zh-CN" w:bidi="ar-SA"/>
    </w:rPr>
  </w:style>
  <w:style w:type="character" w:customStyle="1" w:styleId="608">
    <w:name w:val="pt9"/>
    <w:qFormat/>
    <w:uiPriority w:val="0"/>
    <w:rPr>
      <w:rFonts w:ascii="仿宋_GB2312" w:eastAsia="微软雅黑"/>
      <w:b/>
      <w:kern w:val="2"/>
      <w:sz w:val="32"/>
      <w:szCs w:val="32"/>
      <w:lang w:val="en-US" w:eastAsia="zh-CN" w:bidi="ar-SA"/>
    </w:rPr>
  </w:style>
  <w:style w:type="character" w:customStyle="1" w:styleId="609">
    <w:name w:val="large1"/>
    <w:qFormat/>
    <w:uiPriority w:val="0"/>
    <w:rPr>
      <w:rFonts w:hint="eastAsia" w:ascii="宋体" w:hAnsi="宋体" w:eastAsia="宋体"/>
      <w:sz w:val="21"/>
      <w:szCs w:val="21"/>
    </w:rPr>
  </w:style>
  <w:style w:type="character" w:customStyle="1" w:styleId="610">
    <w:name w:val="样式 样式 标题 4h4H4Fab-4T5Ref Heading 1rh1Heading sqlsect 1.2.3.... +... Char"/>
    <w:link w:val="171"/>
    <w:qFormat/>
    <w:uiPriority w:val="0"/>
    <w:rPr>
      <w:rFonts w:ascii="微软雅黑" w:hAnsi="微软雅黑" w:eastAsia="微软雅黑"/>
      <w:b/>
      <w:bCs/>
      <w:kern w:val="2"/>
      <w:sz w:val="24"/>
      <w:szCs w:val="28"/>
    </w:rPr>
  </w:style>
  <w:style w:type="character" w:customStyle="1" w:styleId="611">
    <w:name w:val="标题 4 Char1"/>
    <w:semiHidden/>
    <w:qFormat/>
    <w:uiPriority w:val="9"/>
    <w:rPr>
      <w:rFonts w:ascii="Cambria" w:hAnsi="Cambria" w:eastAsia="宋体" w:cs="Times New Roman"/>
      <w:b/>
      <w:bCs/>
      <w:kern w:val="2"/>
      <w:sz w:val="28"/>
      <w:szCs w:val="28"/>
    </w:rPr>
  </w:style>
  <w:style w:type="character" w:customStyle="1" w:styleId="612">
    <w:name w:val="tw4winPopup"/>
    <w:qFormat/>
    <w:uiPriority w:val="0"/>
    <w:rPr>
      <w:rFonts w:ascii="Courier New" w:hAnsi="Courier New" w:cs="Courier New"/>
      <w:color w:val="008000"/>
    </w:rPr>
  </w:style>
  <w:style w:type="character" w:customStyle="1" w:styleId="613">
    <w:name w:val="标题 6 Char"/>
    <w:link w:val="8"/>
    <w:qFormat/>
    <w:uiPriority w:val="0"/>
    <w:rPr>
      <w:rFonts w:ascii="Arial" w:hAnsi="Arial" w:eastAsia="黑体"/>
      <w:b/>
      <w:bCs/>
      <w:kern w:val="2"/>
      <w:sz w:val="24"/>
      <w:szCs w:val="24"/>
    </w:rPr>
  </w:style>
  <w:style w:type="character" w:customStyle="1" w:styleId="614">
    <w:name w:val="正文缩进 Char2"/>
    <w:link w:val="16"/>
    <w:qFormat/>
    <w:uiPriority w:val="0"/>
    <w:rPr>
      <w:rFonts w:ascii="宋体" w:eastAsia="宋体"/>
      <w:snapToGrid w:val="0"/>
      <w:color w:val="000000"/>
      <w:kern w:val="28"/>
      <w:sz w:val="28"/>
      <w:lang w:val="en-US" w:eastAsia="zh-CN" w:bidi="ar-SA"/>
    </w:rPr>
  </w:style>
  <w:style w:type="character" w:customStyle="1" w:styleId="615">
    <w:name w:val="批注文字 Char1"/>
    <w:link w:val="20"/>
    <w:qFormat/>
    <w:uiPriority w:val="99"/>
    <w:rPr>
      <w:kern w:val="2"/>
      <w:sz w:val="21"/>
      <w:szCs w:val="24"/>
    </w:rPr>
  </w:style>
  <w:style w:type="character" w:customStyle="1" w:styleId="616">
    <w:name w:val="批注框文本 Char"/>
    <w:link w:val="39"/>
    <w:semiHidden/>
    <w:qFormat/>
    <w:uiPriority w:val="0"/>
    <w:rPr>
      <w:kern w:val="2"/>
      <w:sz w:val="18"/>
      <w:szCs w:val="18"/>
    </w:rPr>
  </w:style>
  <w:style w:type="character" w:customStyle="1" w:styleId="617">
    <w:name w:val="Footer Char"/>
    <w:qFormat/>
    <w:locked/>
    <w:uiPriority w:val="0"/>
    <w:rPr>
      <w:rFonts w:eastAsia="宋体"/>
      <w:kern w:val="2"/>
      <w:sz w:val="18"/>
      <w:lang w:val="en-US" w:eastAsia="zh-CN" w:bidi="ar-SA"/>
    </w:rPr>
  </w:style>
  <w:style w:type="paragraph" w:customStyle="1" w:styleId="6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qFormat/>
    <w:uiPriority w:val="0"/>
    <w:pPr>
      <w:adjustRightInd/>
      <w:spacing w:line="360" w:lineRule="auto"/>
    </w:pPr>
    <w:rPr>
      <w:rFonts w:ascii="仿宋_GB2312" w:eastAsia="仿宋_GB2312"/>
      <w:sz w:val="24"/>
      <w:szCs w:val="20"/>
    </w:rPr>
  </w:style>
  <w:style w:type="paragraph" w:customStyle="1" w:styleId="620">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1"/>
    <w:link w:val="622"/>
    <w:qFormat/>
    <w:uiPriority w:val="0"/>
    <w:pPr>
      <w:adjustRightInd/>
    </w:pPr>
    <w:rPr>
      <w:rFonts w:ascii="宋体" w:hAnsi="Courier New"/>
      <w:szCs w:val="21"/>
    </w:rPr>
  </w:style>
  <w:style w:type="character" w:customStyle="1" w:styleId="622">
    <w:name w:val="纯文本 Char_0"/>
    <w:link w:val="621"/>
    <w:qFormat/>
    <w:uiPriority w:val="0"/>
    <w:rPr>
      <w:rFonts w:ascii="宋体" w:hAnsi="Courier New"/>
      <w:kern w:val="2"/>
      <w:sz w:val="21"/>
      <w:szCs w:val="21"/>
      <w:lang w:val="en-US" w:eastAsia="zh-CN"/>
    </w:rPr>
  </w:style>
  <w:style w:type="character" w:customStyle="1" w:styleId="623">
    <w:name w:val="纯文本 Char1"/>
    <w:link w:val="624"/>
    <w:qFormat/>
    <w:uiPriority w:val="0"/>
    <w:rPr>
      <w:rFonts w:ascii="宋体" w:hAnsi="Courier New"/>
    </w:rPr>
  </w:style>
  <w:style w:type="paragraph" w:customStyle="1" w:styleId="624">
    <w:name w:val="纯文本1"/>
    <w:basedOn w:val="1"/>
    <w:link w:val="623"/>
    <w:qFormat/>
    <w:uiPriority w:val="0"/>
    <w:pPr>
      <w:adjustRightInd/>
    </w:pPr>
    <w:rPr>
      <w:rFonts w:ascii="宋体" w:hAnsi="Courier New"/>
      <w:kern w:val="0"/>
      <w:sz w:val="20"/>
      <w:szCs w:val="20"/>
    </w:rPr>
  </w:style>
  <w:style w:type="paragraph" w:customStyle="1" w:styleId="625">
    <w:name w:val="Char Char Char Char Char Char Char2"/>
    <w:basedOn w:val="1"/>
    <w:qFormat/>
    <w:uiPriority w:val="0"/>
    <w:rPr>
      <w:rFonts w:ascii="仿宋_GB2312" w:eastAsia="仿宋_GB2312"/>
      <w:b/>
      <w:sz w:val="32"/>
      <w:szCs w:val="32"/>
    </w:rPr>
  </w:style>
  <w:style w:type="paragraph" w:customStyle="1" w:styleId="626">
    <w:name w:val="Char Char1 Char Char Char Char Char Char2"/>
    <w:basedOn w:val="1"/>
    <w:qFormat/>
    <w:uiPriority w:val="0"/>
    <w:rPr>
      <w:rFonts w:ascii="仿宋_GB2312" w:eastAsia="仿宋_GB2312"/>
      <w:b/>
      <w:sz w:val="32"/>
      <w:szCs w:val="20"/>
    </w:rPr>
  </w:style>
  <w:style w:type="paragraph" w:customStyle="1" w:styleId="627">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8">
    <w:name w:val="Default Char"/>
    <w:link w:val="103"/>
    <w:qFormat/>
    <w:uiPriority w:val="0"/>
    <w:rPr>
      <w:rFonts w:ascii="仿宋_GB2312" w:eastAsia="仿宋_GB2312" w:cs="仿宋_GB2312"/>
      <w:color w:val="000000"/>
      <w:sz w:val="24"/>
      <w:szCs w:val="24"/>
    </w:rPr>
  </w:style>
  <w:style w:type="paragraph" w:customStyle="1" w:styleId="62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0">
    <w:name w:val="font61"/>
    <w:basedOn w:val="64"/>
    <w:qFormat/>
    <w:uiPriority w:val="0"/>
    <w:rPr>
      <w:rFonts w:hint="eastAsia" w:ascii="仿宋" w:hAnsi="仿宋" w:eastAsia="仿宋" w:cs="仿宋"/>
      <w:snapToGrid w:val="0"/>
      <w:color w:val="000000"/>
      <w:kern w:val="0"/>
      <w:sz w:val="20"/>
      <w:szCs w:val="20"/>
      <w:u w:val="none"/>
    </w:rPr>
  </w:style>
  <w:style w:type="character" w:customStyle="1" w:styleId="631">
    <w:name w:val="font11"/>
    <w:basedOn w:val="64"/>
    <w:qFormat/>
    <w:uiPriority w:val="0"/>
    <w:rPr>
      <w:rFonts w:hint="default" w:ascii="Times New Roman" w:hAnsi="Times New Roman" w:eastAsia="黑体" w:cs="Times New Roman"/>
      <w:snapToGrid w:val="0"/>
      <w:color w:val="000000"/>
      <w:kern w:val="0"/>
      <w:sz w:val="22"/>
      <w:szCs w:val="22"/>
      <w:u w:val="none"/>
    </w:rPr>
  </w:style>
  <w:style w:type="paragraph" w:customStyle="1" w:styleId="63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3">
    <w:name w:val="列表段落1"/>
    <w:basedOn w:val="1"/>
    <w:qFormat/>
    <w:uiPriority w:val="34"/>
    <w:pPr>
      <w:adjustRightInd/>
      <w:ind w:right="238" w:firstLine="420"/>
    </w:pPr>
    <w:rPr>
      <w:rFonts w:ascii="Calibri" w:hAnsi="Calibri"/>
      <w:sz w:val="24"/>
    </w:rPr>
  </w:style>
  <w:style w:type="paragraph" w:customStyle="1" w:styleId="634">
    <w:name w:val="列表段落11"/>
    <w:basedOn w:val="1"/>
    <w:qFormat/>
    <w:uiPriority w:val="0"/>
    <w:pPr>
      <w:widowControl w:val="0"/>
      <w:ind w:firstLine="420"/>
      <w:jc w:val="both"/>
    </w:pPr>
    <w:rPr>
      <w:rFonts w:ascii="Calibri" w:hAnsi="Calibri" w:eastAsia="宋体" w:cs="宋体"/>
      <w:color w:val="000000"/>
      <w:kern w:val="2"/>
      <w:sz w:val="21"/>
      <w:szCs w:val="21"/>
      <w:u w:color="000000"/>
    </w:rPr>
  </w:style>
  <w:style w:type="paragraph" w:customStyle="1" w:styleId="635">
    <w:name w:val="p1"/>
    <w:basedOn w:val="1"/>
    <w:qFormat/>
    <w:uiPriority w:val="0"/>
    <w:pPr>
      <w:widowControl/>
      <w:adjustRightInd/>
      <w:jc w:val="left"/>
    </w:pPr>
    <w:rPr>
      <w:rFonts w:ascii=".PingFang SC" w:eastAsia=".PingFang SC"/>
      <w:color w:val="454545"/>
      <w:kern w:val="0"/>
      <w:sz w:val="18"/>
      <w:szCs w:val="18"/>
    </w:rPr>
  </w:style>
  <w:style w:type="paragraph" w:customStyle="1" w:styleId="636">
    <w:name w:val="*正文"/>
    <w:basedOn w:val="1"/>
    <w:qFormat/>
    <w:uiPriority w:val="0"/>
    <w:pPr>
      <w:snapToGrid w:val="0"/>
      <w:spacing w:line="360" w:lineRule="auto"/>
      <w:ind w:firstLine="482"/>
      <w:jc w:val="left"/>
    </w:pPr>
    <w:rPr>
      <w:rFonts w:ascii="宋体" w:hAnsi="宋体"/>
      <w:kern w:val="0"/>
      <w:sz w:val="24"/>
      <w:szCs w:val="20"/>
    </w:rPr>
  </w:style>
  <w:style w:type="character" w:customStyle="1" w:styleId="637">
    <w:name w:val="NormalCharacter"/>
    <w:link w:val="1"/>
    <w:qFormat/>
    <w:uiPriority w:val="0"/>
    <w:rPr>
      <w:rFonts w:ascii="Times New Roman" w:hAnsi="Times New Roman" w:eastAsia="宋体" w:cs="Times New Roman"/>
      <w:kern w:val="2"/>
      <w:sz w:val="21"/>
      <w:szCs w:val="24"/>
      <w:lang w:val="en-US" w:eastAsia="zh-CN" w:bidi="ar-SA"/>
    </w:rPr>
  </w:style>
  <w:style w:type="paragraph" w:customStyle="1" w:styleId="638">
    <w:name w:val="内文正文"/>
    <w:qFormat/>
    <w:uiPriority w:val="99"/>
    <w:pPr>
      <w:autoSpaceDE w:val="0"/>
      <w:autoSpaceDN w:val="0"/>
      <w:spacing w:line="400" w:lineRule="exact"/>
      <w:ind w:firstLine="200" w:firstLineChars="200"/>
      <w:jc w:val="both"/>
    </w:pPr>
    <w:rPr>
      <w:rFonts w:ascii="宋体" w:hAnsi="???|CS?o｡ﾀ?" w:eastAsia="宋体" w:cs="Times New Roman"/>
      <w:sz w:val="21"/>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93</Pages>
  <Words>18118</Words>
  <Characters>19140</Characters>
  <Lines>379</Lines>
  <Paragraphs>106</Paragraphs>
  <TotalTime>17</TotalTime>
  <ScaleCrop>false</ScaleCrop>
  <LinksUpToDate>false</LinksUpToDate>
  <CharactersWithSpaces>19499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哇塞</cp:lastModifiedBy>
  <cp:lastPrinted>2025-05-15T05:33:00Z</cp:lastPrinted>
  <dcterms:modified xsi:type="dcterms:W3CDTF">2025-07-07T02:47:03Z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596BD7D4741C4349BB9792E36E92EBCA_13</vt:lpwstr>
  </property>
  <property fmtid="{D5CDD505-2E9C-101B-9397-08002B2CF9AE}" pid="4" name="KSOTemplateDocerSaveRecord">
    <vt:lpwstr>eyJoZGlkIjoiMDRiZDMwMDUxZmUzNTMwZWI2MDE3NTJjNmYxMjBmNzgiLCJ1c2VySWQiOiI3Mjg5OTIwMTkifQ==</vt:lpwstr>
  </property>
</Properties>
</file>