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4456822B">
      <w:pPr>
        <w:jc w:val="center"/>
        <w:rPr>
          <w:rFonts w:hint="eastAsia"/>
          <w:b/>
          <w:color w:val="auto"/>
          <w:sz w:val="72"/>
          <w:szCs w:val="72"/>
          <w:highlight w:val="none"/>
          <w:lang w:eastAsia="zh-CN"/>
        </w:rPr>
      </w:pPr>
      <w:r>
        <w:rPr>
          <w:rFonts w:hint="eastAsia"/>
          <w:b/>
          <w:color w:val="auto"/>
          <w:sz w:val="72"/>
          <w:szCs w:val="72"/>
          <w:highlight w:val="none"/>
          <w:lang w:eastAsia="zh-CN"/>
        </w:rPr>
        <w:t>浙江省重点河流主要控制断面生态流量监测评价</w:t>
      </w: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（2025年）</w:t>
      </w:r>
    </w:p>
    <w:p w14:paraId="133B914C">
      <w:pPr>
        <w:jc w:val="center"/>
        <w:rPr>
          <w:color w:val="auto"/>
          <w:sz w:val="36"/>
          <w:szCs w:val="36"/>
          <w:highlight w:val="none"/>
        </w:rPr>
      </w:pPr>
    </w:p>
    <w:p w14:paraId="326AB376">
      <w:pPr>
        <w:pStyle w:val="3"/>
        <w:ind w:firstLine="24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202505004</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87D89E5">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6155D2D5">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_Toc22021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_Toc22021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4D4A29EE">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_Toc31860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_Toc31860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7A142F8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_Toc5777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_Toc5777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14:paraId="206FCAB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_Toc10355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_Toc10355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7402E62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_Toc30925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_Toc30925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3565520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_Toc16809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_Toc16809 \h </w:instrText>
      </w:r>
      <w:r>
        <w:rPr>
          <w:color w:val="auto"/>
          <w:highlight w:val="none"/>
        </w:rPr>
        <w:fldChar w:fldCharType="separate"/>
      </w:r>
      <w:r>
        <w:rPr>
          <w:color w:val="auto"/>
          <w:highlight w:val="none"/>
        </w:rPr>
        <w:t>12</w:t>
      </w:r>
      <w:r>
        <w:rPr>
          <w:color w:val="auto"/>
          <w:highlight w:val="none"/>
        </w:rPr>
        <w:fldChar w:fldCharType="end"/>
      </w:r>
      <w:r>
        <w:rPr>
          <w:color w:val="auto"/>
          <w:szCs w:val="32"/>
          <w:highlight w:val="none"/>
        </w:rPr>
        <w:fldChar w:fldCharType="end"/>
      </w:r>
    </w:p>
    <w:p w14:paraId="05BD11D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_Toc5515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_Toc5515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432713D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_Toc14841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_Toc14841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474BF36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_Toc10786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_Toc10786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62C291C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_Toc18487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_Toc18487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14:paraId="5D65C52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_Toc19830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_Toc19830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14:paraId="4DA621B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_Toc23987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_Toc23987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20A5AAB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_Toc20929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_Toc20929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07F1ED60">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_Toc14651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_Toc14651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1213847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_Toc25102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立项依据</w:t>
      </w:r>
      <w:r>
        <w:rPr>
          <w:color w:val="auto"/>
          <w:highlight w:val="none"/>
        </w:rPr>
        <w:tab/>
      </w:r>
      <w:r>
        <w:rPr>
          <w:color w:val="auto"/>
          <w:highlight w:val="none"/>
        </w:rPr>
        <w:fldChar w:fldCharType="begin"/>
      </w:r>
      <w:r>
        <w:rPr>
          <w:color w:val="auto"/>
          <w:highlight w:val="none"/>
        </w:rPr>
        <w:instrText xml:space="preserve"> PAGEREF _Toc25102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193D1B2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_Toc2881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rFonts w:hint="eastAsia"/>
          <w:color w:val="auto"/>
          <w:highlight w:val="none"/>
          <w:lang w:val="en-US" w:eastAsia="zh-CN"/>
        </w:rPr>
        <w:t>项目工作内容</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14:paraId="32D47E1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_Toc8278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lang w:val="en-US" w:eastAsia="zh-CN"/>
        </w:rPr>
        <w:t>项目</w:t>
      </w:r>
      <w:r>
        <w:rPr>
          <w:rFonts w:hint="eastAsia"/>
          <w:color w:val="auto"/>
          <w:highlight w:val="none"/>
        </w:rPr>
        <w:t>进度要求</w:t>
      </w:r>
      <w:r>
        <w:rPr>
          <w:color w:val="auto"/>
          <w:highlight w:val="none"/>
        </w:rPr>
        <w:tab/>
      </w:r>
      <w:r>
        <w:rPr>
          <w:color w:val="auto"/>
          <w:highlight w:val="none"/>
        </w:rPr>
        <w:fldChar w:fldCharType="begin"/>
      </w:r>
      <w:r>
        <w:rPr>
          <w:color w:val="auto"/>
          <w:highlight w:val="none"/>
        </w:rPr>
        <w:instrText xml:space="preserve"> PAGEREF _Toc8278 \h </w:instrText>
      </w:r>
      <w:r>
        <w:rPr>
          <w:color w:val="auto"/>
          <w:highlight w:val="none"/>
        </w:rPr>
        <w:fldChar w:fldCharType="separate"/>
      </w:r>
      <w:r>
        <w:rPr>
          <w:color w:val="auto"/>
          <w:highlight w:val="none"/>
        </w:rPr>
        <w:t>19</w:t>
      </w:r>
      <w:r>
        <w:rPr>
          <w:color w:val="auto"/>
          <w:highlight w:val="none"/>
        </w:rPr>
        <w:fldChar w:fldCharType="end"/>
      </w:r>
      <w:r>
        <w:rPr>
          <w:color w:val="auto"/>
          <w:szCs w:val="32"/>
          <w:highlight w:val="none"/>
        </w:rPr>
        <w:fldChar w:fldCharType="end"/>
      </w:r>
    </w:p>
    <w:p w14:paraId="711C9C2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_Toc31738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3.4 </w:t>
      </w:r>
      <w:r>
        <w:rPr>
          <w:rFonts w:hint="eastAsia"/>
          <w:color w:val="auto"/>
          <w:highlight w:val="none"/>
          <w:lang w:val="en-US" w:eastAsia="zh-CN"/>
        </w:rPr>
        <w:t>项目目标要求</w:t>
      </w:r>
      <w:r>
        <w:rPr>
          <w:color w:val="auto"/>
          <w:highlight w:val="none"/>
        </w:rPr>
        <w:tab/>
      </w:r>
      <w:r>
        <w:rPr>
          <w:color w:val="auto"/>
          <w:highlight w:val="none"/>
        </w:rPr>
        <w:fldChar w:fldCharType="begin"/>
      </w:r>
      <w:r>
        <w:rPr>
          <w:color w:val="auto"/>
          <w:highlight w:val="none"/>
        </w:rPr>
        <w:instrText xml:space="preserve"> PAGEREF _Toc31738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2C177B2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_Toc29072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_Toc29072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571D3EB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_Toc11191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_Toc11191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0A982BB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_Toc20279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rPr>
        <w:t>其他</w:t>
      </w:r>
      <w:r>
        <w:rPr>
          <w:rFonts w:hint="eastAsia"/>
          <w:color w:val="auto"/>
          <w:highlight w:val="none"/>
          <w:lang w:val="en-US" w:eastAsia="zh-CN"/>
        </w:rPr>
        <w:t>要求</w:t>
      </w:r>
      <w:r>
        <w:rPr>
          <w:color w:val="auto"/>
          <w:highlight w:val="none"/>
        </w:rPr>
        <w:tab/>
      </w:r>
      <w:r>
        <w:rPr>
          <w:color w:val="auto"/>
          <w:highlight w:val="none"/>
        </w:rPr>
        <w:fldChar w:fldCharType="begin"/>
      </w:r>
      <w:r>
        <w:rPr>
          <w:color w:val="auto"/>
          <w:highlight w:val="none"/>
        </w:rPr>
        <w:instrText xml:space="preserve"> PAGEREF _Toc20279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19B8C464">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_Toc18120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_Toc18120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6D0993A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_Toc29205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_Toc29205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478B857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_Toc20898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_Toc20898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1DBAD1A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_Toc2130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_Toc2130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37B5CA2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_Toc14121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_Toc14121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2B2A074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_Toc31006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_Toc31006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06342DA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_Toc12870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_Toc12870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CE8015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_Toc2661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_Toc2661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53836B7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_Toc8560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_Toc8560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19D0015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_Toc17450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_Toc17450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3A02E5D4">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_Toc23917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_Toc23917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47BD04F7">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_Toc9793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_Toc9793 \h </w:instrText>
      </w:r>
      <w:r>
        <w:rPr>
          <w:color w:val="auto"/>
          <w:highlight w:val="none"/>
        </w:rPr>
        <w:fldChar w:fldCharType="separate"/>
      </w:r>
      <w:r>
        <w:rPr>
          <w:color w:val="auto"/>
          <w:highlight w:val="none"/>
        </w:rPr>
        <w:t>49</w:t>
      </w:r>
      <w:r>
        <w:rPr>
          <w:color w:val="auto"/>
          <w:highlight w:val="none"/>
        </w:rPr>
        <w:fldChar w:fldCharType="end"/>
      </w:r>
      <w:r>
        <w:rPr>
          <w:color w:val="auto"/>
          <w:szCs w:val="32"/>
          <w:highlight w:val="none"/>
        </w:rPr>
        <w:fldChar w:fldCharType="end"/>
      </w:r>
    </w:p>
    <w:p w14:paraId="4E7CAFE7">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22021"/>
      <w:bookmarkStart w:id="1" w:name="_Toc923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浙江省重点河流主要控制断面生态流量监测评价（2025年）</w:t>
            </w:r>
            <w:r>
              <w:rPr>
                <w:rFonts w:hint="eastAsia"/>
                <w:color w:val="auto"/>
                <w:highlight w:val="none"/>
              </w:rPr>
              <w:t>项目的潜在投标人应在政府采购云平台（www.zcygov.cn）获取（下载）招标文件，并于</w:t>
            </w:r>
            <w:r>
              <w:rPr>
                <w:rFonts w:hint="eastAsia"/>
                <w:color w:val="auto"/>
                <w:highlight w:val="none"/>
                <w:lang w:eastAsia="zh-CN"/>
              </w:rPr>
              <w:t>2025年06月17日16:00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202505004</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浙江省重点河流主要控制断面生态流量监测评价（2025年）</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589000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eastAsia="zh-CN"/>
        </w:rPr>
        <w:t>：</w:t>
      </w:r>
      <w:r>
        <w:rPr>
          <w:rFonts w:hint="eastAsia"/>
          <w:color w:val="auto"/>
          <w:highlight w:val="none"/>
          <w:lang w:val="en-US" w:eastAsia="zh-CN"/>
        </w:rPr>
        <w:t>589000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浙江省重点河流主要控制断面生态流量监测评价（2025年）</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589000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E49E3B">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14:paraId="5BD5394E">
      <w:pPr>
        <w:spacing w:line="338" w:lineRule="auto"/>
        <w:ind w:firstLine="480" w:firstLineChars="200"/>
        <w:rPr>
          <w:rFonts w:hint="default" w:eastAsia="宋体"/>
          <w:color w:val="auto"/>
          <w:highlight w:val="none"/>
          <w:lang w:val="en-US" w:eastAsia="zh-CN"/>
        </w:rPr>
      </w:pPr>
      <w:r>
        <w:rPr>
          <w:rFonts w:hint="eastAsia"/>
          <w:color w:val="auto"/>
          <w:highlight w:val="none"/>
          <w:lang w:val="en-US" w:eastAsia="zh-CN"/>
        </w:rPr>
        <w:t>3.本项目的特定资格要求：无。</w:t>
      </w:r>
    </w:p>
    <w:p w14:paraId="02A66754">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r>
        <w:rPr>
          <w:rFonts w:hint="eastAsia"/>
          <w:color w:val="auto"/>
          <w:highlight w:val="none"/>
        </w:rPr>
        <w:t>，每天上午00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2025年06月17日16:00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2025年06月17日16:00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7E42A0F5">
      <w:pPr>
        <w:adjustRightInd/>
        <w:spacing w:line="360" w:lineRule="auto"/>
        <w:ind w:firstLine="480" w:firstLineChars="200"/>
        <w:jc w:val="left"/>
        <w:rPr>
          <w:rFonts w:hint="eastAsia"/>
          <w:color w:val="auto"/>
          <w:szCs w:val="22"/>
          <w:highlight w:val="none"/>
        </w:rPr>
      </w:pPr>
      <w:r>
        <w:rPr>
          <w:rFonts w:hint="eastAsia"/>
          <w:color w:val="auto"/>
          <w:szCs w:val="22"/>
          <w:highlight w:val="none"/>
        </w:rPr>
        <w:t>（6）通过本公告下方“游客，浏览采购文件”下载的采购文件仅供浏览，不视作依法获取采购文件。</w:t>
      </w:r>
    </w:p>
    <w:p w14:paraId="4129A0D4">
      <w:pPr>
        <w:adjustRightInd/>
        <w:spacing w:line="360" w:lineRule="auto"/>
        <w:ind w:firstLine="480" w:firstLineChars="200"/>
        <w:jc w:val="left"/>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7</w:t>
      </w:r>
      <w:r>
        <w:rPr>
          <w:rFonts w:hint="eastAsia"/>
          <w:color w:val="auto"/>
          <w:szCs w:val="22"/>
          <w:highlight w:val="none"/>
          <w:lang w:eastAsia="zh-CN"/>
        </w:rPr>
        <w:t>）不接受联合体投标、不允许分包情况说明：结合项目实际情况，考虑到该项目</w:t>
      </w:r>
      <w:r>
        <w:rPr>
          <w:rFonts w:hint="eastAsia"/>
          <w:color w:val="auto"/>
          <w:szCs w:val="22"/>
          <w:highlight w:val="none"/>
          <w:lang w:val="en-US" w:eastAsia="zh-CN"/>
        </w:rPr>
        <w:t>为整体服务项目，无法区分主体。</w:t>
      </w:r>
      <w:r>
        <w:rPr>
          <w:rFonts w:ascii="Times New Roman" w:hAnsi="Times New Roman" w:eastAsia="宋体" w:cs="Times New Roman"/>
          <w:color w:val="auto"/>
          <w:sz w:val="24"/>
          <w:szCs w:val="22"/>
          <w:highlight w:val="none"/>
          <w:lang w:bidi="ar-SA"/>
        </w:rPr>
        <w:t>若采用联合体投标，将涉及多方的管理和沟通</w:t>
      </w:r>
      <w:r>
        <w:rPr>
          <w:rFonts w:hint="eastAsia"/>
          <w:color w:val="auto"/>
          <w:szCs w:val="22"/>
          <w:highlight w:val="none"/>
          <w:lang w:eastAsia="zh-CN"/>
        </w:rPr>
        <w:t>，不可避免会增加项目的管理成本和沟通成本，</w:t>
      </w:r>
      <w:r>
        <w:rPr>
          <w:rFonts w:hint="eastAsia"/>
          <w:color w:val="auto"/>
          <w:szCs w:val="22"/>
          <w:highlight w:val="none"/>
          <w:lang w:val="en-US" w:eastAsia="zh-CN"/>
        </w:rPr>
        <w:t>且</w:t>
      </w:r>
      <w:r>
        <w:rPr>
          <w:rFonts w:hint="eastAsia"/>
          <w:color w:val="auto"/>
          <w:szCs w:val="22"/>
          <w:highlight w:val="none"/>
          <w:lang w:eastAsia="zh-CN"/>
        </w:rPr>
        <w:t>联合体成员间的协调可能影响项目进度和</w:t>
      </w:r>
      <w:r>
        <w:rPr>
          <w:rFonts w:hint="eastAsia"/>
          <w:color w:val="auto"/>
          <w:szCs w:val="22"/>
          <w:highlight w:val="none"/>
          <w:lang w:val="en-US" w:eastAsia="zh-CN"/>
        </w:rPr>
        <w:t>质量</w:t>
      </w:r>
      <w:r>
        <w:rPr>
          <w:rFonts w:hint="eastAsia"/>
          <w:color w:val="auto"/>
          <w:szCs w:val="22"/>
          <w:highlight w:val="none"/>
          <w:lang w:eastAsia="zh-CN"/>
        </w:rPr>
        <w:t>。</w:t>
      </w:r>
      <w:r>
        <w:rPr>
          <w:rFonts w:hint="eastAsia"/>
          <w:color w:val="auto"/>
          <w:szCs w:val="22"/>
          <w:highlight w:val="none"/>
          <w:lang w:val="en-US" w:eastAsia="zh-CN"/>
        </w:rPr>
        <w:t>此外，</w:t>
      </w:r>
      <w:r>
        <w:rPr>
          <w:rFonts w:hint="eastAsia"/>
          <w:color w:val="auto"/>
          <w:szCs w:val="22"/>
          <w:highlight w:val="none"/>
          <w:lang w:eastAsia="zh-CN"/>
        </w:rPr>
        <w:t>联合体投标可能导致责任不清，增加管理难度和风险。因此</w:t>
      </w:r>
      <w:r>
        <w:rPr>
          <w:rFonts w:hint="eastAsia"/>
          <w:color w:val="auto"/>
          <w:szCs w:val="22"/>
          <w:highlight w:val="none"/>
          <w:lang w:val="en-US" w:eastAsia="zh-CN"/>
        </w:rPr>
        <w:t>该项目</w:t>
      </w:r>
      <w:r>
        <w:rPr>
          <w:rFonts w:hint="eastAsia"/>
          <w:color w:val="auto"/>
          <w:szCs w:val="22"/>
          <w:highlight w:val="none"/>
          <w:lang w:eastAsia="zh-CN"/>
        </w:rPr>
        <w:t>不接受联合体</w:t>
      </w:r>
      <w:r>
        <w:rPr>
          <w:rFonts w:hint="eastAsia"/>
          <w:color w:val="auto"/>
          <w:szCs w:val="22"/>
          <w:highlight w:val="none"/>
          <w:lang w:val="en-US" w:eastAsia="zh-CN"/>
        </w:rPr>
        <w:t>投标，不允许分包</w:t>
      </w:r>
      <w:r>
        <w:rPr>
          <w:rFonts w:hint="eastAsia"/>
          <w:color w:val="auto"/>
          <w:szCs w:val="22"/>
          <w:highlight w:val="none"/>
          <w:lang w:eastAsia="zh-CN"/>
        </w:rPr>
        <w:t>。</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28C0B67D">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09CF27D8">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5049B73B">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4F71C02E">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何先生</w:t>
      </w:r>
    </w:p>
    <w:p w14:paraId="66B49642">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项目联系方式（询问）：0571-</w:t>
      </w:r>
      <w:r>
        <w:rPr>
          <w:rFonts w:hint="eastAsia"/>
          <w:color w:val="auto"/>
          <w:szCs w:val="24"/>
          <w:highlight w:val="none"/>
          <w:lang w:val="en-US" w:eastAsia="zh-CN"/>
        </w:rPr>
        <w:t>87811272</w:t>
      </w:r>
    </w:p>
    <w:p w14:paraId="292FD054">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质疑联系人：陈先生</w:t>
      </w:r>
    </w:p>
    <w:p w14:paraId="3C66B3F2">
      <w:pPr>
        <w:snapToGrid w:val="0"/>
        <w:spacing w:line="338" w:lineRule="auto"/>
        <w:ind w:firstLine="480" w:firstLineChars="200"/>
        <w:rPr>
          <w:color w:val="auto"/>
          <w:szCs w:val="24"/>
          <w:highlight w:val="none"/>
        </w:rPr>
      </w:pPr>
      <w:r>
        <w:rPr>
          <w:rFonts w:hint="eastAsia"/>
          <w:color w:val="auto"/>
          <w:szCs w:val="24"/>
          <w:highlight w:val="none"/>
        </w:rPr>
        <w:t>质疑联系方式：0571-87826585</w:t>
      </w:r>
    </w:p>
    <w:p w14:paraId="260FBE57">
      <w:pPr>
        <w:pStyle w:val="2"/>
        <w:rPr>
          <w:color w:val="auto"/>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69E264B">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15691209">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76E3835">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48E604A9">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2F317585">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31860"/>
      <w:bookmarkStart w:id="6" w:name="_Toc4974"/>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浙江省重点河流主要控制断面生态流量监测评价（2025年）</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71305501"/>
            <w:bookmarkStart w:id="8" w:name="_Toc61532586"/>
            <w:bookmarkStart w:id="9" w:name="_Toc25015"/>
            <w:bookmarkStart w:id="10" w:name="_Toc9353086"/>
            <w:bookmarkStart w:id="11" w:name="_Toc19634"/>
            <w:bookmarkStart w:id="12" w:name="_Toc4654"/>
            <w:bookmarkStart w:id="13" w:name="_Toc510948476"/>
            <w:bookmarkStart w:id="14" w:name="_Toc15852"/>
            <w:bookmarkStart w:id="15" w:name="_Toc12598"/>
            <w:bookmarkStart w:id="16" w:name="_Toc21350"/>
            <w:bookmarkStart w:id="17" w:name="_Toc282"/>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202505004</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0AFB7000">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37D9A79B">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2025年06月17日16:00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0DD4355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14:paraId="7BD0D567">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E77DA0A">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7169214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03C2CC70">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097BE0D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BA222B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63AE5266">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4E14E726">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9578"/>
      <w:bookmarkStart w:id="19" w:name="_Toc5777"/>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7"/>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浙江省重点河流主要控制断面生态流量监测评价（2025年）</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202505004</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7"/>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7"/>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7"/>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7"/>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7"/>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7"/>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6AC6A0A5">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18F22BAA">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15011"/>
      <w:bookmarkStart w:id="24" w:name="_Toc10355"/>
      <w:r>
        <w:rPr>
          <w:color w:val="auto"/>
          <w:highlight w:val="none"/>
        </w:rPr>
        <w:t>采购文件</w:t>
      </w:r>
      <w:bookmarkEnd w:id="23"/>
      <w:bookmarkEnd w:id="24"/>
    </w:p>
    <w:p w14:paraId="66A93786">
      <w:pPr>
        <w:pStyle w:val="7"/>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7"/>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30925"/>
      <w:bookmarkStart w:id="26" w:name="_Toc6112"/>
      <w:r>
        <w:rPr>
          <w:color w:val="auto"/>
          <w:highlight w:val="none"/>
        </w:rPr>
        <w:t>投标文件</w:t>
      </w:r>
      <w:bookmarkEnd w:id="25"/>
      <w:bookmarkEnd w:id="26"/>
    </w:p>
    <w:p w14:paraId="3322E902">
      <w:pPr>
        <w:pStyle w:val="7"/>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8"/>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FD3E73B">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8"/>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8"/>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3DA2D66F">
      <w:pPr>
        <w:pStyle w:val="7"/>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7"/>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7"/>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28189"/>
      <w:bookmarkStart w:id="28" w:name="_Toc16809"/>
      <w:r>
        <w:rPr>
          <w:color w:val="auto"/>
          <w:highlight w:val="none"/>
        </w:rPr>
        <w:t>投标</w:t>
      </w:r>
      <w:bookmarkEnd w:id="27"/>
      <w:bookmarkEnd w:id="28"/>
    </w:p>
    <w:p w14:paraId="313B7108">
      <w:pPr>
        <w:pStyle w:val="7"/>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7"/>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2025年06月17日16:00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7"/>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5515"/>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5456"/>
      <w:bookmarkStart w:id="32" w:name="_Toc14841"/>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10786"/>
      <w:bookmarkStart w:id="34" w:name="_Toc15215"/>
      <w:r>
        <w:rPr>
          <w:color w:val="auto"/>
          <w:highlight w:val="none"/>
        </w:rPr>
        <w:t>开标与评标</w:t>
      </w:r>
      <w:bookmarkEnd w:id="33"/>
      <w:bookmarkEnd w:id="34"/>
    </w:p>
    <w:p w14:paraId="68976B72">
      <w:pPr>
        <w:pStyle w:val="7"/>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2025年06月17日16:00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7"/>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7"/>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7"/>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7"/>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7"/>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18487"/>
      <w:bookmarkStart w:id="38" w:name="_Toc496"/>
      <w:r>
        <w:rPr>
          <w:color w:val="auto"/>
          <w:highlight w:val="none"/>
        </w:rPr>
        <w:t>中标</w:t>
      </w:r>
      <w:bookmarkEnd w:id="37"/>
      <w:bookmarkEnd w:id="38"/>
    </w:p>
    <w:p w14:paraId="69BD79BF">
      <w:pPr>
        <w:pStyle w:val="7"/>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7"/>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19830"/>
      <w:bookmarkStart w:id="40" w:name="_Toc429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22140"/>
      <w:bookmarkStart w:id="42" w:name="_Toc23987"/>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20929"/>
      <w:bookmarkStart w:id="44" w:name="_Toc9000"/>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73757D5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17995"/>
      <w:bookmarkStart w:id="46" w:name="_Toc14651"/>
      <w:r>
        <w:rPr>
          <w:rFonts w:hint="eastAsia"/>
          <w:color w:val="auto"/>
          <w:highlight w:val="none"/>
          <w:lang w:eastAsia="zh-CN"/>
        </w:rPr>
        <w:t>采购需求</w:t>
      </w:r>
      <w:bookmarkEnd w:id="45"/>
      <w:bookmarkEnd w:id="46"/>
    </w:p>
    <w:p w14:paraId="4792936F">
      <w:pPr>
        <w:pStyle w:val="5"/>
        <w:rPr>
          <w:color w:val="auto"/>
          <w:highlight w:val="none"/>
        </w:rPr>
      </w:pPr>
      <w:bookmarkStart w:id="47" w:name="_Toc25102"/>
      <w:bookmarkStart w:id="48" w:name="_Toc28838"/>
      <w:bookmarkStart w:id="49" w:name="_Toc10442"/>
      <w:bookmarkStart w:id="50" w:name="_Toc12432"/>
      <w:bookmarkStart w:id="51" w:name="_Toc19293"/>
      <w:r>
        <w:rPr>
          <w:rFonts w:hint="eastAsia"/>
          <w:color w:val="auto"/>
          <w:highlight w:val="none"/>
          <w:lang w:val="en-US" w:eastAsia="zh-CN"/>
        </w:rPr>
        <w:t>立项依据</w:t>
      </w:r>
      <w:bookmarkEnd w:id="47"/>
      <w:bookmarkEnd w:id="48"/>
      <w:bookmarkEnd w:id="49"/>
      <w:bookmarkEnd w:id="50"/>
    </w:p>
    <w:p w14:paraId="4A6A350C">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（1）《浙江省水资源条例》第十三条规定：“县级以上人民政府水行政主管部门应当确定重要河流的生态流量控制目标，合理设置生态流量监测站位，建立生态流量监测评估机制”。</w:t>
      </w:r>
    </w:p>
    <w:p w14:paraId="176D2AA8">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第二十九条规定：“省水行政主管部门应当建立水资源节约保护和开发利用评价指标体系，定期对全省水资源开发、利用、节约、保护情况进行评价，并予以公布”。</w:t>
      </w:r>
    </w:p>
    <w:p w14:paraId="01D755BC">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2020年4月，水利部办公厅《做好河湖生态流量确定和保障工作的指导意见》，要求加强河湖生态流量监测，提出“根据河湖生态流量管理需要，按照管理权限，建设生态流量控制断面的监测设施，对河湖生态流量保障情况进行动态监测”。</w:t>
      </w:r>
    </w:p>
    <w:p w14:paraId="074946AC">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（3）水利部《第一批重点河湖生态流量保障目标（试行）》，并明确要求抓好生态流量保障目标的落实，提出“加快水资源监测体系建设，加大监测设施投入，完善监测手段，提升监管能力”。</w:t>
      </w:r>
    </w:p>
    <w:p w14:paraId="12962C8F">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4）《水利部办公厅关于进一步加强全国重点河湖生态流量监测预警工作的通知》（办水文函[2022]379号）：要求构建“全面覆盖、规范监测、及时预警、跟踪评估”的生态流量监测预警工作体系，实行生态流量控制断面”日监测、月通报、年考核”的管理模式，推动建立生态流量监测预警机制。</w:t>
      </w:r>
    </w:p>
    <w:p w14:paraId="218D3551">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5）水利部《2020年重点河湖生态流量保障目标确定工作安排》提出“要按照‘定断面、定目标、定保证率、定管理措施、定预警等级、定监测手段、定监管责任’的要求，结合江河流域水量调度、用水总量控制制度落实，制定生态流量保障实施方案，明确河湖生态流量保障要求”，并明确了包括钱塘江、瓯江、甬江、鳌江、西苕溪、曹娥江、武义江、常山港、椒江、松阴溪10条河湖的责任单位为浙江省水利厅。</w:t>
      </w:r>
    </w:p>
    <w:p w14:paraId="15387EEA">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6）2021年12月，水利部办公厅《关于复苏河湖生态环境的指导意见》，“要强化重要河湖生态流量目标确定，加强江河流域及重大调水工程水资源调度，加强生态流量日常监管，推进河湖重要控制断面的监测预警能力建设，切实保障河湖生态流量”。</w:t>
      </w:r>
    </w:p>
    <w:p w14:paraId="5B2DE26E">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7）2022年7月，水利部印发《母亲河复苏行动方案（2022—2025年）》，要求“强化水文水资源和水生态监测，做好河流生态流量、湖泊生态水位、河道外取用水、关键断面过流状况、地下水位变化、河湖水质、水生态变化等情况的动态监测与评估，推进河湖生态环境监测预警能力建设”。</w:t>
      </w:r>
    </w:p>
    <w:p w14:paraId="39A26622">
      <w:pPr>
        <w:spacing w:line="360" w:lineRule="auto"/>
        <w:ind w:firstLine="480" w:firstLineChars="200"/>
        <w:rPr>
          <w:rFonts w:hint="eastAsia"/>
          <w:color w:val="auto"/>
          <w:szCs w:val="24"/>
          <w:highlight w:val="none"/>
        </w:rPr>
      </w:pPr>
      <w:r>
        <w:rPr>
          <w:rFonts w:hint="eastAsia"/>
          <w:color w:val="auto"/>
          <w:szCs w:val="24"/>
          <w:highlight w:val="none"/>
          <w:lang w:val="en-US" w:eastAsia="zh-CN"/>
        </w:rPr>
        <w:t>（8）2024年3月，水利部办公厅印发《2024年水资源管理工作要点》，要求“强化河湖生态流量保障。严格生态流量泄放管理，健全监测预警响应机制，强化生态流量保障形势研判会商和问题整改”。</w:t>
      </w:r>
    </w:p>
    <w:p w14:paraId="318784AA">
      <w:pPr>
        <w:pStyle w:val="5"/>
        <w:rPr>
          <w:color w:val="auto"/>
          <w:highlight w:val="none"/>
        </w:rPr>
      </w:pPr>
      <w:bookmarkStart w:id="52" w:name="_Toc11129"/>
      <w:bookmarkStart w:id="53" w:name="_Toc3896"/>
      <w:bookmarkStart w:id="54" w:name="_Toc11257"/>
      <w:bookmarkStart w:id="55" w:name="_Toc10209"/>
      <w:bookmarkStart w:id="56" w:name="_Toc2881"/>
      <w:r>
        <w:rPr>
          <w:rFonts w:hint="eastAsia"/>
          <w:color w:val="auto"/>
          <w:highlight w:val="none"/>
          <w:lang w:val="en-US" w:eastAsia="zh-CN"/>
        </w:rPr>
        <w:t>项目工作内容</w:t>
      </w:r>
      <w:bookmarkEnd w:id="52"/>
      <w:bookmarkEnd w:id="53"/>
      <w:bookmarkEnd w:id="54"/>
      <w:bookmarkEnd w:id="55"/>
      <w:bookmarkEnd w:id="56"/>
      <w:bookmarkStart w:id="57" w:name="_Toc15016"/>
    </w:p>
    <w:p w14:paraId="25544126">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对规划建设的全省537个河湖生态流量监测站开展现状调查，包括实时监测站点建设、监测要素及量程匹配程度、数据传输类型、设备比测率定、资料整编情况等。对大中型水库、河流不同断面类型及不同监测手段，分类评估生态流量监测设施的适宜性和监测数据的可靠性，针对性提出指导意见。根据规划断面的监测现状，结合流域水资源条件、断面类型（重点河流断面、大中型水库、县级城市母亲河断面、中小河流干支流汇合口断面、县级行政交接断面），分级分类确定生态流量监测和监控断面。</w:t>
      </w:r>
    </w:p>
    <w:p w14:paraId="4E5BAD26">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开展监控断面生态流量目标保障情况评估。通过“逐一核对+重点调查”相结合的方式，采用整编数据、水文比拟法、以电折水等多种方法，开展生态流量目标保障情况评估，提出不同类型的生态流量监控断面的适用方法。</w:t>
      </w:r>
    </w:p>
    <w:p w14:paraId="0A89EE13">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3）对照水利部《跨省和省内重点河湖生态流量保障目标控制断面考核名录》，对各主要控制断面生态流量的年度目标保证率进行分析评估，统筹分析地下水水位变化情况，提出下一年度生态流量调度保障措施及优化建议。开展省界断面生态流量控制目标保障情况年度自评估。</w:t>
      </w:r>
    </w:p>
    <w:p w14:paraId="4E75B343">
      <w:pPr>
        <w:pStyle w:val="5"/>
        <w:rPr>
          <w:color w:val="auto"/>
          <w:highlight w:val="none"/>
        </w:rPr>
      </w:pPr>
      <w:bookmarkStart w:id="58" w:name="_Toc5997"/>
      <w:bookmarkStart w:id="59" w:name="_Toc17782"/>
      <w:bookmarkStart w:id="60" w:name="_Toc21182"/>
      <w:bookmarkStart w:id="61" w:name="_Toc8278"/>
      <w:r>
        <w:rPr>
          <w:rFonts w:hint="eastAsia"/>
          <w:color w:val="auto"/>
          <w:highlight w:val="none"/>
          <w:lang w:val="en-US" w:eastAsia="zh-CN"/>
        </w:rPr>
        <w:t>项目</w:t>
      </w:r>
      <w:r>
        <w:rPr>
          <w:rFonts w:hint="eastAsia"/>
          <w:color w:val="auto"/>
          <w:highlight w:val="none"/>
        </w:rPr>
        <w:t>进度要求</w:t>
      </w:r>
      <w:bookmarkEnd w:id="57"/>
      <w:bookmarkEnd w:id="58"/>
      <w:bookmarkEnd w:id="59"/>
      <w:bookmarkEnd w:id="60"/>
      <w:bookmarkEnd w:id="61"/>
    </w:p>
    <w:p w14:paraId="6FF98655">
      <w:pPr>
        <w:spacing w:line="360" w:lineRule="auto"/>
        <w:ind w:firstLine="480" w:firstLineChars="200"/>
        <w:rPr>
          <w:rFonts w:hint="eastAsia"/>
          <w:color w:val="auto"/>
          <w:highlight w:val="none"/>
          <w:lang w:val="en-US" w:eastAsia="zh-CN"/>
        </w:rPr>
      </w:pPr>
      <w:bookmarkStart w:id="62" w:name="_Toc930"/>
      <w:bookmarkStart w:id="63" w:name="_Toc20157"/>
      <w:r>
        <w:rPr>
          <w:rFonts w:hint="eastAsia"/>
          <w:color w:val="auto"/>
          <w:highlight w:val="none"/>
          <w:lang w:val="en-US" w:eastAsia="zh-CN"/>
        </w:rPr>
        <w:t>1.2025年7月底前，完成项目工作大纲编制，开展500余个站点生态流量监测现状面上基础资料收集与整理；</w:t>
      </w:r>
    </w:p>
    <w:p w14:paraId="140DCE0B">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2.2025年9月底前，完成监测现状存在问题梳理，分类评估生态流量监测设施的适宜性和监测数据的可靠性，针对性提出提高生态流量监测质量的指导性建议；分级分类确定生态流量监测和监控断面。</w:t>
      </w:r>
    </w:p>
    <w:p w14:paraId="1382C6D3">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3.2025年10月底前，完成生态流量目标保障状况评估，据此提出不同类型的生态流量监控断面保障评估适宜方法；提交《浙江省生态流量监测网现状调查与对策建议》《浙江省河湖生态流量监控断面名录与监测评估报告》《浙江省重点流域生态流量（水量）分析与评估（2025年度）》《2025年度浙江省重点河湖生态流量保障目标完成情况评估报告》《2025年度浙江省省界断面生态流量保障情况自评估报告》初稿；</w:t>
      </w:r>
    </w:p>
    <w:p w14:paraId="72FEB71B">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4.2025年11月底前，召开专家咨询会，根据意见补充完善，提交报告送审稿；</w:t>
      </w:r>
    </w:p>
    <w:p w14:paraId="151426D6">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5.2025年12月底前，成项目验收并归档。</w:t>
      </w:r>
    </w:p>
    <w:p w14:paraId="4D73845B">
      <w:pPr>
        <w:pStyle w:val="5"/>
        <w:bidi w:val="0"/>
        <w:rPr>
          <w:rFonts w:hint="eastAsia"/>
          <w:color w:val="auto"/>
          <w:highlight w:val="none"/>
          <w:lang w:val="en-US" w:eastAsia="zh-CN"/>
        </w:rPr>
      </w:pPr>
      <w:bookmarkStart w:id="64" w:name="_Toc13083"/>
      <w:bookmarkStart w:id="65" w:name="_Toc31738"/>
      <w:r>
        <w:rPr>
          <w:rFonts w:hint="eastAsia"/>
          <w:color w:val="auto"/>
          <w:highlight w:val="none"/>
          <w:lang w:val="en-US" w:eastAsia="zh-CN"/>
        </w:rPr>
        <w:t>项目目标要求</w:t>
      </w:r>
      <w:bookmarkEnd w:id="62"/>
      <w:bookmarkEnd w:id="63"/>
      <w:bookmarkEnd w:id="64"/>
      <w:bookmarkEnd w:id="65"/>
    </w:p>
    <w:p w14:paraId="3BA6B2C2">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一、</w:t>
      </w:r>
      <w:r>
        <w:rPr>
          <w:rFonts w:hint="eastAsia"/>
          <w:color w:val="auto"/>
          <w:szCs w:val="24"/>
          <w:highlight w:val="none"/>
          <w:lang w:eastAsia="zh-CN"/>
        </w:rPr>
        <w:t>目标总体描述</w:t>
      </w:r>
    </w:p>
    <w:p w14:paraId="6D5DE6A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针对浙江省河湖生态流量监测网规划建设的500余个站点，聚焦监控断面，完成生态流量实时监测现状调查，以问题为导向，对完善监测设施、提高数据质量、分级分类确定生态流量监测和监控断面、指导不同类型断面保障评估提出对策建议，为提升重要河湖生态流量监管能力提供支撑。根据水利部重点河湖生态流量保障目标控制断面考核名录，对照生态流量保障断面核定目标开展自查自评；根据已印发名录内各断面生态流量目标，按年对其生态流量保证情况进行分析评估，提出下一年度生态流量调度保障措施及优化建议，开展省界断面生态流量保障情况年度自评估。</w:t>
      </w:r>
    </w:p>
    <w:p w14:paraId="4B65A360">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二、</w:t>
      </w:r>
      <w:r>
        <w:rPr>
          <w:rFonts w:hint="eastAsia"/>
          <w:color w:val="auto"/>
          <w:szCs w:val="24"/>
          <w:highlight w:val="none"/>
          <w:lang w:eastAsia="zh-CN"/>
        </w:rPr>
        <w:t>定量绩效指标（1-N）</w:t>
      </w:r>
    </w:p>
    <w:p w14:paraId="264738D4">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（1）编制完成《浙江省生态流量监测网现状调查与对策建议》；</w:t>
      </w:r>
    </w:p>
    <w:p w14:paraId="17A368E8">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（2）编制完成《浙江省河湖生态流量监控断面名录与监测评估报告》；</w:t>
      </w:r>
    </w:p>
    <w:p w14:paraId="0AD9ADE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（3）编制完成《2025年度浙江省重点河湖生态流量保障目标完成情况评估报告》；</w:t>
      </w:r>
    </w:p>
    <w:p w14:paraId="2B7CB67D">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（4）编制完成《浙江省重点流域生态流量（水量）分析与评估（2025年度）》；</w:t>
      </w:r>
    </w:p>
    <w:p w14:paraId="12D6681A">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（5）编制完成《2025年度浙江省省界断面生态流量保障情况自评估报告》。</w:t>
      </w:r>
    </w:p>
    <w:p w14:paraId="244917CB">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三、</w:t>
      </w:r>
      <w:r>
        <w:rPr>
          <w:rFonts w:hint="eastAsia"/>
          <w:color w:val="auto"/>
          <w:szCs w:val="24"/>
          <w:highlight w:val="none"/>
          <w:lang w:eastAsia="zh-CN"/>
        </w:rPr>
        <w:t>定性绩效指标（1-N）</w:t>
      </w:r>
    </w:p>
    <w:p w14:paraId="3C33E3CA">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对浙江省河湖生态流量监测网规划建设站点，完成生态流量实时监测现状调查，对完善监测设施、提高数据质量、指导不同类型断面保障评估、分级分类确定生态流量监测和监控断面、开展监控断面生态流量目标保障情况评估，为提升重要河湖生态流量监管能力提供支撑。</w:t>
      </w:r>
    </w:p>
    <w:p w14:paraId="31BCF370">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对照水利部生态流量保障断面考核名录和最严格水资源管理制度考核赋分细则，开展自查自评；根据已印发名录内各断面生态流量目标，按年对其生态流量保障情况进行分析评估，提出下一年度生态流量调度保障措施及优化建议；开展省界断面生态流量保障情况年度自评估。</w:t>
      </w:r>
    </w:p>
    <w:p w14:paraId="5A81D3E9">
      <w:pPr>
        <w:pStyle w:val="5"/>
        <w:rPr>
          <w:color w:val="auto"/>
          <w:highlight w:val="none"/>
        </w:rPr>
      </w:pPr>
      <w:bookmarkStart w:id="66" w:name="_Toc29072"/>
      <w:bookmarkStart w:id="67" w:name="_Toc1525"/>
      <w:bookmarkStart w:id="68" w:name="_Toc17914"/>
      <w:bookmarkStart w:id="69" w:name="_Toc4653"/>
      <w:bookmarkStart w:id="70" w:name="_Toc4982"/>
      <w:r>
        <w:rPr>
          <w:rFonts w:hint="eastAsia"/>
          <w:color w:val="auto"/>
          <w:highlight w:val="none"/>
        </w:rPr>
        <w:t>验收方式</w:t>
      </w:r>
      <w:bookmarkEnd w:id="66"/>
      <w:bookmarkEnd w:id="67"/>
      <w:bookmarkEnd w:id="68"/>
      <w:bookmarkEnd w:id="69"/>
      <w:bookmarkEnd w:id="70"/>
    </w:p>
    <w:p w14:paraId="359446AE">
      <w:pPr>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lang w:val="en-US" w:eastAsia="zh-CN"/>
        </w:rPr>
        <w:t>通过采购人组织的验收</w:t>
      </w:r>
      <w:r>
        <w:rPr>
          <w:rFonts w:hint="eastAsia" w:ascii="宋体" w:hAnsi="宋体" w:cs="Arial"/>
          <w:color w:val="auto"/>
          <w:szCs w:val="24"/>
          <w:highlight w:val="none"/>
        </w:rPr>
        <w:t>。</w:t>
      </w:r>
    </w:p>
    <w:p w14:paraId="20ABE042">
      <w:pPr>
        <w:pStyle w:val="5"/>
        <w:rPr>
          <w:color w:val="auto"/>
          <w:highlight w:val="none"/>
        </w:rPr>
      </w:pPr>
      <w:bookmarkStart w:id="71" w:name="_Toc10817"/>
      <w:bookmarkStart w:id="72" w:name="_Toc11191"/>
      <w:bookmarkStart w:id="73" w:name="_Toc19300"/>
      <w:bookmarkStart w:id="74" w:name="_Toc28891"/>
      <w:bookmarkStart w:id="75" w:name="_Toc11026"/>
      <w:r>
        <w:rPr>
          <w:rFonts w:hint="eastAsia"/>
          <w:color w:val="auto"/>
          <w:highlight w:val="none"/>
        </w:rPr>
        <w:t>付款方式</w:t>
      </w:r>
      <w:bookmarkEnd w:id="71"/>
      <w:bookmarkEnd w:id="72"/>
      <w:bookmarkEnd w:id="73"/>
      <w:bookmarkEnd w:id="74"/>
      <w:bookmarkEnd w:id="75"/>
    </w:p>
    <w:p w14:paraId="33B7EAAB">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（1）合同签订</w:t>
      </w:r>
      <w:r>
        <w:rPr>
          <w:rFonts w:hint="eastAsia"/>
          <w:color w:val="auto"/>
          <w:szCs w:val="24"/>
          <w:highlight w:val="none"/>
          <w:lang w:val="en-US" w:eastAsia="zh-CN"/>
        </w:rPr>
        <w:t>并具备实施条件后</w:t>
      </w:r>
      <w:r>
        <w:rPr>
          <w:rFonts w:hint="eastAsia"/>
          <w:color w:val="auto"/>
          <w:szCs w:val="24"/>
          <w:highlight w:val="none"/>
          <w:lang w:eastAsia="zh-CN"/>
        </w:rPr>
        <w:t>，支付合同款的50%；</w:t>
      </w:r>
    </w:p>
    <w:p w14:paraId="4D21BB82">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（2）提交初步成果后一个月内，支付合同款的41%；</w:t>
      </w:r>
    </w:p>
    <w:p w14:paraId="21803A1C">
      <w:pPr>
        <w:spacing w:line="360" w:lineRule="auto"/>
        <w:ind w:firstLine="480" w:firstLineChars="200"/>
        <w:rPr>
          <w:rFonts w:hint="eastAsia"/>
          <w:color w:val="auto"/>
          <w:highlight w:val="none"/>
        </w:rPr>
      </w:pPr>
      <w:r>
        <w:rPr>
          <w:rFonts w:hint="eastAsia"/>
          <w:color w:val="auto"/>
          <w:szCs w:val="24"/>
          <w:highlight w:val="none"/>
          <w:lang w:eastAsia="zh-CN"/>
        </w:rPr>
        <w:t>（3）项目成果通过验收后一个月内，支付合同款的9%。</w:t>
      </w:r>
    </w:p>
    <w:p w14:paraId="4F43913D">
      <w:pPr>
        <w:pStyle w:val="5"/>
        <w:bidi w:val="0"/>
        <w:rPr>
          <w:rFonts w:hint="eastAsia"/>
          <w:color w:val="auto"/>
          <w:highlight w:val="none"/>
        </w:rPr>
      </w:pPr>
      <w:bookmarkStart w:id="76" w:name="_Toc28966"/>
      <w:bookmarkStart w:id="77" w:name="_Toc20279"/>
      <w:r>
        <w:rPr>
          <w:rFonts w:hint="eastAsia"/>
          <w:color w:val="auto"/>
          <w:highlight w:val="none"/>
        </w:rPr>
        <w:t>其他</w:t>
      </w:r>
      <w:r>
        <w:rPr>
          <w:rFonts w:hint="eastAsia"/>
          <w:color w:val="auto"/>
          <w:highlight w:val="none"/>
          <w:lang w:val="en-US" w:eastAsia="zh-CN"/>
        </w:rPr>
        <w:t>要求</w:t>
      </w:r>
      <w:bookmarkEnd w:id="76"/>
      <w:bookmarkEnd w:id="77"/>
    </w:p>
    <w:p w14:paraId="18BD1357">
      <w:pPr>
        <w:snapToGrid w:val="0"/>
        <w:spacing w:line="360" w:lineRule="auto"/>
        <w:ind w:firstLine="480" w:firstLineChars="200"/>
        <w:rPr>
          <w:color w:val="auto"/>
          <w:highlight w:val="none"/>
        </w:rPr>
      </w:pPr>
      <w:r>
        <w:rPr>
          <w:rFonts w:hint="eastAsia"/>
          <w:bCs/>
          <w:color w:val="auto"/>
          <w:highlight w:val="none"/>
          <w:lang w:eastAsia="zh-CN"/>
        </w:rPr>
        <w:t>中标供应商应按照《浙江省水利厅关于加强部门项目支出预算管理的通知》（浙水办计〔201</w:t>
      </w:r>
      <w:r>
        <w:rPr>
          <w:rFonts w:hint="eastAsia"/>
          <w:bCs/>
          <w:color w:val="auto"/>
          <w:highlight w:val="none"/>
          <w:lang w:val="en-US" w:eastAsia="zh-CN"/>
        </w:rPr>
        <w:t>8</w:t>
      </w:r>
      <w:r>
        <w:rPr>
          <w:rFonts w:hint="eastAsia"/>
          <w:bCs/>
          <w:color w:val="auto"/>
          <w:highlight w:val="none"/>
          <w:lang w:eastAsia="zh-CN"/>
        </w:rPr>
        <w:t>〕9号）要求，加强项目管理。项目验收时提供盖章的专项财务支出记录。</w:t>
      </w:r>
    </w:p>
    <w:p w14:paraId="06543EFE">
      <w:pPr>
        <w:pStyle w:val="4"/>
        <w:rPr>
          <w:color w:val="auto"/>
          <w:highlight w:val="none"/>
        </w:rPr>
      </w:pPr>
      <w:bookmarkStart w:id="78" w:name="_Toc18120"/>
      <w:r>
        <w:rPr>
          <w:color w:val="auto"/>
          <w:highlight w:val="none"/>
        </w:rPr>
        <w:t>评标细则</w:t>
      </w:r>
      <w:bookmarkEnd w:id="51"/>
      <w:bookmarkEnd w:id="78"/>
    </w:p>
    <w:p w14:paraId="21F93BB9">
      <w:pPr>
        <w:pStyle w:val="5"/>
        <w:rPr>
          <w:color w:val="auto"/>
          <w:highlight w:val="none"/>
        </w:rPr>
      </w:pPr>
      <w:bookmarkStart w:id="79" w:name="_Toc22077"/>
      <w:bookmarkStart w:id="80" w:name="_Toc29205"/>
      <w:r>
        <w:rPr>
          <w:color w:val="auto"/>
          <w:highlight w:val="none"/>
        </w:rPr>
        <w:t>评标组织</w:t>
      </w:r>
      <w:bookmarkEnd w:id="79"/>
      <w:bookmarkEnd w:id="80"/>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81" w:name="_Toc7781"/>
      <w:bookmarkStart w:id="82" w:name="_Toc20898"/>
      <w:r>
        <w:rPr>
          <w:color w:val="auto"/>
          <w:highlight w:val="none"/>
        </w:rPr>
        <w:t>评标原则与方法</w:t>
      </w:r>
      <w:bookmarkEnd w:id="81"/>
      <w:bookmarkEnd w:id="82"/>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83" w:name="_Toc2130"/>
      <w:bookmarkStart w:id="84" w:name="_Toc2441"/>
      <w:r>
        <w:rPr>
          <w:color w:val="auto"/>
          <w:highlight w:val="none"/>
        </w:rPr>
        <w:t>评标程序和内容</w:t>
      </w:r>
      <w:bookmarkEnd w:id="83"/>
      <w:bookmarkEnd w:id="84"/>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85" w:name="_Toc14121"/>
      <w:bookmarkStart w:id="86" w:name="_Toc17272"/>
      <w:bookmarkStart w:id="87" w:name="_Toc320543194"/>
      <w:bookmarkStart w:id="88" w:name="_Toc295337118"/>
      <w:r>
        <w:rPr>
          <w:color w:val="auto"/>
          <w:highlight w:val="none"/>
        </w:rPr>
        <w:t>投标文件的</w:t>
      </w:r>
      <w:r>
        <w:rPr>
          <w:rFonts w:hint="eastAsia"/>
          <w:color w:val="auto"/>
          <w:highlight w:val="none"/>
        </w:rPr>
        <w:t>符合性评审</w:t>
      </w:r>
      <w:bookmarkEnd w:id="85"/>
      <w:bookmarkEnd w:id="86"/>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89" w:name="_Toc4358"/>
      <w:bookmarkStart w:id="90" w:name="_Toc31006"/>
      <w:r>
        <w:rPr>
          <w:rFonts w:hint="eastAsia"/>
          <w:color w:val="auto"/>
          <w:highlight w:val="none"/>
        </w:rPr>
        <w:t>投标</w:t>
      </w:r>
      <w:r>
        <w:rPr>
          <w:color w:val="auto"/>
          <w:highlight w:val="none"/>
        </w:rPr>
        <w:t>文件的详细评审</w:t>
      </w:r>
      <w:bookmarkEnd w:id="89"/>
      <w:bookmarkEnd w:id="90"/>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87"/>
    <w:bookmarkEnd w:id="88"/>
    <w:p w14:paraId="77AD44D2">
      <w:pPr>
        <w:pStyle w:val="5"/>
        <w:rPr>
          <w:color w:val="auto"/>
          <w:highlight w:val="none"/>
        </w:rPr>
      </w:pPr>
      <w:bookmarkStart w:id="91" w:name="_Toc12870"/>
      <w:bookmarkStart w:id="92" w:name="_Toc11774"/>
      <w:r>
        <w:rPr>
          <w:color w:val="auto"/>
          <w:highlight w:val="none"/>
        </w:rPr>
        <w:t>澄清和补正</w:t>
      </w:r>
      <w:bookmarkEnd w:id="91"/>
      <w:bookmarkEnd w:id="92"/>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93" w:name="_Toc2661"/>
      <w:bookmarkStart w:id="94" w:name="_Toc7968"/>
      <w:r>
        <w:rPr>
          <w:color w:val="auto"/>
          <w:highlight w:val="none"/>
        </w:rPr>
        <w:t>评审计分内容和分值范围</w:t>
      </w:r>
      <w:bookmarkEnd w:id="93"/>
      <w:bookmarkEnd w:id="94"/>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5CA67828">
      <w:pPr>
        <w:pStyle w:val="27"/>
        <w:rPr>
          <w:rFonts w:ascii="Times New Roman" w:hAnsi="Times New Roman"/>
          <w:color w:val="auto"/>
          <w:highlight w:val="none"/>
        </w:rPr>
      </w:pPr>
      <w:bookmarkStart w:id="95" w:name="_Toc2120"/>
      <w:bookmarkStart w:id="96" w:name="_Toc5049"/>
      <w:bookmarkStart w:id="97" w:name="_Toc26607"/>
      <w:bookmarkStart w:id="98" w:name="_Toc830"/>
      <w:bookmarkStart w:id="99" w:name="_Toc25907"/>
      <w:bookmarkStart w:id="100" w:name="_Toc17646"/>
      <w:bookmarkStart w:id="101" w:name="_Toc7512"/>
      <w:bookmarkStart w:id="102" w:name="_Toc2626"/>
      <w:bookmarkStart w:id="103" w:name="_Toc20972"/>
      <w:bookmarkStart w:id="104" w:name="_Toc19750"/>
      <w:bookmarkStart w:id="105" w:name="_Toc27124"/>
      <w:bookmarkStart w:id="106" w:name="_Toc15856"/>
      <w:bookmarkStart w:id="107" w:name="_Toc21536"/>
      <w:bookmarkStart w:id="108" w:name="_Toc24163"/>
      <w:bookmarkStart w:id="109" w:name="_Toc22283"/>
      <w:bookmarkStart w:id="110" w:name="_Toc30811"/>
      <w:bookmarkStart w:id="111" w:name="_Toc10087"/>
      <w:bookmarkStart w:id="112" w:name="_Toc13608"/>
      <w:bookmarkStart w:id="113" w:name="_Toc30379"/>
      <w:bookmarkStart w:id="114" w:name="_Toc27961"/>
      <w:bookmarkStart w:id="115" w:name="_Toc12156"/>
      <w:bookmarkStart w:id="116" w:name="_Toc7275"/>
      <w:bookmarkStart w:id="117" w:name="_Toc14733"/>
      <w:bookmarkStart w:id="118" w:name="_Toc12935"/>
      <w:bookmarkStart w:id="119" w:name="_Toc28562"/>
      <w:bookmarkStart w:id="120" w:name="_Toc61532607"/>
      <w:bookmarkStart w:id="121" w:name="_Toc5320"/>
      <w:bookmarkStart w:id="122" w:name="_Toc18284"/>
      <w:bookmarkStart w:id="123" w:name="_Toc31278"/>
      <w:bookmarkStart w:id="124" w:name="_Toc12265"/>
      <w:bookmarkStart w:id="125" w:name="_Toc26568"/>
      <w:bookmarkStart w:id="126" w:name="_Toc22525"/>
      <w:bookmarkStart w:id="127" w:name="_Toc1862"/>
      <w:bookmarkStart w:id="128" w:name="_Toc15217"/>
      <w:bookmarkStart w:id="129" w:name="_Toc19171"/>
      <w:bookmarkStart w:id="130" w:name="_Toc15313"/>
      <w:bookmarkStart w:id="131" w:name="_Toc32032"/>
      <w:bookmarkStart w:id="132" w:name="_Toc23792"/>
      <w:bookmarkStart w:id="133" w:name="_Toc2178"/>
      <w:bookmarkStart w:id="134" w:name="_Toc4577"/>
      <w:bookmarkStart w:id="135" w:name="_Toc7900"/>
      <w:bookmarkStart w:id="136" w:name="_Toc23228"/>
      <w:bookmarkStart w:id="137" w:name="_Toc29834"/>
      <w:bookmarkStart w:id="138" w:name="_Toc28512"/>
      <w:bookmarkStart w:id="139" w:name="_Toc29105"/>
      <w:bookmarkStart w:id="140" w:name="_Toc15658"/>
      <w:bookmarkStart w:id="141" w:name="_Toc27749"/>
      <w:bookmarkStart w:id="142" w:name="_Toc26364"/>
      <w:bookmarkStart w:id="143" w:name="_Toc22605"/>
      <w:bookmarkStart w:id="144" w:name="_Toc23948"/>
      <w:bookmarkStart w:id="145" w:name="_Toc26672"/>
      <w:bookmarkStart w:id="146" w:name="_Toc3254"/>
      <w:bookmarkStart w:id="147" w:name="_Toc29308"/>
      <w:bookmarkStart w:id="148" w:name="_Toc10440"/>
      <w:bookmarkStart w:id="149" w:name="_Toc20212"/>
      <w:bookmarkStart w:id="150" w:name="_Toc11179"/>
      <w:bookmarkStart w:id="151" w:name="_Toc26674"/>
      <w:bookmarkStart w:id="152" w:name="_Toc4479"/>
      <w:bookmarkStart w:id="153" w:name="_Toc4357"/>
      <w:bookmarkStart w:id="154" w:name="_Toc30376"/>
      <w:bookmarkStart w:id="155" w:name="_Toc3082"/>
      <w:bookmarkStart w:id="156" w:name="_Toc19472"/>
      <w:bookmarkStart w:id="157" w:name="_Toc19819"/>
      <w:bookmarkStart w:id="158" w:name="_Toc28492"/>
      <w:bookmarkStart w:id="159" w:name="_Toc23330"/>
      <w:bookmarkStart w:id="160" w:name="_Toc17361"/>
      <w:bookmarkStart w:id="161" w:name="_Toc20128"/>
      <w:bookmarkStart w:id="162" w:name="_Toc26962"/>
      <w:bookmarkStart w:id="163" w:name="_Toc26426"/>
      <w:bookmarkStart w:id="164" w:name="_Toc117"/>
      <w:bookmarkStart w:id="165" w:name="_Toc698"/>
      <w:bookmarkStart w:id="166" w:name="_Toc14147"/>
      <w:bookmarkStart w:id="167" w:name="_Toc13621"/>
      <w:bookmarkStart w:id="168" w:name="_Toc71305522"/>
      <w:bookmarkStart w:id="169" w:name="_Toc12254"/>
      <w:bookmarkStart w:id="170" w:name="_Toc8289"/>
      <w:bookmarkStart w:id="171" w:name="_Toc9075"/>
      <w:bookmarkStart w:id="172" w:name="_Toc16969"/>
      <w:bookmarkStart w:id="173" w:name="_Toc1078"/>
      <w:bookmarkStart w:id="174" w:name="_Toc5354"/>
      <w:bookmarkStart w:id="175" w:name="_Toc3220"/>
      <w:bookmarkStart w:id="176" w:name="_Toc15384"/>
      <w:bookmarkStart w:id="177" w:name="_Toc7919"/>
      <w:r>
        <w:rPr>
          <w:rFonts w:ascii="Times New Roman" w:hAnsi="Times New Roman"/>
          <w:color w:val="auto"/>
          <w:highlight w:val="none"/>
        </w:rPr>
        <w:t>评分标准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71F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7E1656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3A0A8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78FF732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5AD5BFA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20EDA2C1">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A1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E9DCF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47C718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68351F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65520D3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类似业绩：自2022年1月1日以来（以合同签订时间为准），承担过生态流量评价相关</w:t>
            </w:r>
            <w:r>
              <w:rPr>
                <w:rFonts w:hint="default" w:ascii="Times New Roman" w:hAnsi="Times New Roman" w:eastAsia="宋体" w:cs="Times New Roman"/>
                <w:color w:val="auto"/>
                <w:kern w:val="0"/>
                <w:sz w:val="20"/>
                <w:szCs w:val="21"/>
                <w:highlight w:val="none"/>
                <w:lang w:val="en-US" w:eastAsia="zh-CN"/>
              </w:rPr>
              <w:t>项目</w:t>
            </w:r>
            <w:r>
              <w:rPr>
                <w:rFonts w:hint="eastAsia" w:ascii="Times New Roman" w:hAnsi="Times New Roman" w:eastAsia="宋体" w:cs="Times New Roman"/>
                <w:color w:val="auto"/>
                <w:kern w:val="0"/>
                <w:sz w:val="20"/>
                <w:szCs w:val="21"/>
                <w:highlight w:val="none"/>
                <w:lang w:val="en-US" w:eastAsia="zh-CN"/>
              </w:rPr>
              <w:t>的，每个得0.5分，最高得1分。</w:t>
            </w:r>
          </w:p>
          <w:p w14:paraId="0BDA2E6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【证明材料：合同】</w:t>
            </w:r>
          </w:p>
        </w:tc>
        <w:tc>
          <w:tcPr>
            <w:tcW w:w="795" w:type="dxa"/>
            <w:vAlign w:val="center"/>
          </w:tcPr>
          <w:p w14:paraId="64A08CB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18C115F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7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BD85B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9DB5D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28A7C31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体系认证：具有质量管理体系认证、环境管理体系认证、职业健康安全管理体系认证证书的，每项得1分，最高得3分。</w:t>
            </w:r>
          </w:p>
          <w:p w14:paraId="44D1D3D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w:t>
            </w:r>
            <w:r>
              <w:rPr>
                <w:rFonts w:hint="default" w:ascii="Times New Roman" w:hAnsi="Times New Roman" w:eastAsia="宋体" w:cs="Times New Roman"/>
                <w:color w:val="auto"/>
                <w:kern w:val="0"/>
                <w:sz w:val="20"/>
                <w:szCs w:val="21"/>
                <w:highlight w:val="none"/>
                <w:lang w:val="en-US" w:eastAsia="zh-CN"/>
              </w:rPr>
              <w:t>有效期内的证书</w:t>
            </w:r>
            <w:r>
              <w:rPr>
                <w:rFonts w:hint="eastAsia" w:ascii="Times New Roman" w:hAnsi="Times New Roman" w:eastAsia="宋体" w:cs="Times New Roman"/>
                <w:color w:val="auto"/>
                <w:kern w:val="0"/>
                <w:sz w:val="20"/>
                <w:szCs w:val="21"/>
                <w:highlight w:val="none"/>
                <w:lang w:val="en-US" w:eastAsia="zh-CN"/>
              </w:rPr>
              <w:t>】</w:t>
            </w:r>
          </w:p>
        </w:tc>
        <w:tc>
          <w:tcPr>
            <w:tcW w:w="795" w:type="dxa"/>
            <w:vAlign w:val="center"/>
          </w:tcPr>
          <w:p w14:paraId="60E946D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38C531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C9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E95651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268FB2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3</w:t>
            </w:r>
          </w:p>
        </w:tc>
        <w:tc>
          <w:tcPr>
            <w:tcW w:w="4667" w:type="dxa"/>
            <w:vAlign w:val="center"/>
          </w:tcPr>
          <w:p w14:paraId="30BAB986">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项目负责人：具有水文水资源专业副高级及以上职称的得3分</w:t>
            </w:r>
            <w:r>
              <w:rPr>
                <w:rFonts w:hint="eastAsia" w:cs="Times New Roman"/>
                <w:color w:val="auto"/>
                <w:kern w:val="0"/>
                <w:sz w:val="20"/>
                <w:szCs w:val="21"/>
                <w:highlight w:val="none"/>
                <w:lang w:val="en-US" w:eastAsia="zh-CN"/>
              </w:rPr>
              <w:t>。</w:t>
            </w:r>
          </w:p>
          <w:p w14:paraId="116AF0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lang w:val="en-US" w:eastAsia="zh-CN"/>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6B466A9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69F6AB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A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6459AB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CB14D2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60D0E9C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项目组人员</w:t>
            </w:r>
            <w:r>
              <w:rPr>
                <w:rFonts w:hint="default" w:ascii="Times New Roman" w:hAnsi="Times New Roman" w:eastAsia="宋体" w:cs="Times New Roman"/>
                <w:color w:val="auto"/>
                <w:kern w:val="0"/>
                <w:sz w:val="20"/>
                <w:szCs w:val="21"/>
                <w:highlight w:val="none"/>
                <w:lang w:val="en-US" w:eastAsia="zh-CN"/>
              </w:rPr>
              <w:t>（除项目负责人外）</w:t>
            </w:r>
            <w:r>
              <w:rPr>
                <w:rFonts w:hint="eastAsia"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lang w:val="en-US" w:eastAsia="zh-CN"/>
              </w:rPr>
              <w:t>具有水利相关</w:t>
            </w:r>
            <w:r>
              <w:rPr>
                <w:rFonts w:hint="eastAsia" w:ascii="Times New Roman" w:hAnsi="Times New Roman" w:eastAsia="宋体" w:cs="Times New Roman"/>
                <w:color w:val="auto"/>
                <w:kern w:val="0"/>
                <w:sz w:val="20"/>
                <w:szCs w:val="21"/>
                <w:highlight w:val="none"/>
                <w:lang w:val="en-US" w:eastAsia="zh-CN"/>
              </w:rPr>
              <w:t>副高级及以上</w:t>
            </w:r>
            <w:r>
              <w:rPr>
                <w:rFonts w:hint="default" w:ascii="Times New Roman" w:hAnsi="Times New Roman" w:eastAsia="宋体" w:cs="Times New Roman"/>
                <w:color w:val="auto"/>
                <w:kern w:val="0"/>
                <w:sz w:val="20"/>
                <w:szCs w:val="21"/>
                <w:highlight w:val="none"/>
                <w:lang w:val="en-US" w:eastAsia="zh-CN"/>
              </w:rPr>
              <w:t>职称的，每人得3分；具有水利相关专业</w:t>
            </w:r>
            <w:r>
              <w:rPr>
                <w:rFonts w:hint="eastAsia" w:ascii="Times New Roman" w:hAnsi="Times New Roman" w:eastAsia="宋体" w:cs="Times New Roman"/>
                <w:color w:val="auto"/>
                <w:kern w:val="0"/>
                <w:sz w:val="20"/>
                <w:szCs w:val="21"/>
                <w:highlight w:val="none"/>
                <w:lang w:val="en-US" w:eastAsia="zh-CN"/>
              </w:rPr>
              <w:t>中级</w:t>
            </w:r>
            <w:r>
              <w:rPr>
                <w:rFonts w:hint="default" w:ascii="Times New Roman" w:hAnsi="Times New Roman" w:eastAsia="宋体" w:cs="Times New Roman"/>
                <w:color w:val="auto"/>
                <w:kern w:val="0"/>
                <w:sz w:val="20"/>
                <w:szCs w:val="21"/>
                <w:highlight w:val="none"/>
                <w:lang w:val="en-US" w:eastAsia="zh-CN"/>
              </w:rPr>
              <w:t>职称的，每人得1分。本项最高得1</w:t>
            </w:r>
            <w:r>
              <w:rPr>
                <w:rFonts w:hint="eastAsia" w:ascii="Times New Roman" w:hAnsi="Times New Roman" w:eastAsia="宋体" w:cs="Times New Roman"/>
                <w:color w:val="auto"/>
                <w:kern w:val="0"/>
                <w:sz w:val="20"/>
                <w:szCs w:val="21"/>
                <w:highlight w:val="none"/>
                <w:lang w:val="en-US" w:eastAsia="zh-CN"/>
              </w:rPr>
              <w:t>5</w:t>
            </w:r>
            <w:r>
              <w:rPr>
                <w:rFonts w:hint="default" w:ascii="Times New Roman" w:hAnsi="Times New Roman" w:eastAsia="宋体" w:cs="Times New Roman"/>
                <w:color w:val="auto"/>
                <w:kern w:val="0"/>
                <w:sz w:val="20"/>
                <w:szCs w:val="21"/>
                <w:highlight w:val="none"/>
                <w:lang w:val="en-US" w:eastAsia="zh-CN"/>
              </w:rPr>
              <w:t>分（同一人按职称高的计）。</w:t>
            </w:r>
          </w:p>
          <w:p w14:paraId="41363C52">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注：水利相关专业职称证书指水利专业职称评委会评定的职称证书或职称证书中已注明水利专业的职称证书。</w:t>
            </w:r>
          </w:p>
          <w:p w14:paraId="01C69E8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【证明材料：相关证书及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A6288D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790BC09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17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063C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4737FA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6D81FAB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工作基础：对本项目基本情况及背景熟悉，重视已有工作基础的收集和利用。</w:t>
            </w:r>
          </w:p>
        </w:tc>
        <w:tc>
          <w:tcPr>
            <w:tcW w:w="795" w:type="dxa"/>
            <w:vAlign w:val="center"/>
          </w:tcPr>
          <w:p w14:paraId="20BBA212">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1CC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0A9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39" w:type="dxa"/>
            <w:vMerge w:val="continue"/>
            <w:vAlign w:val="center"/>
          </w:tcPr>
          <w:p w14:paraId="4147F9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C04B5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4B0F0408">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工作思路</w:t>
            </w:r>
            <w:r>
              <w:rPr>
                <w:rFonts w:hint="eastAsia" w:ascii="Times New Roman" w:hAnsi="Times New Roman" w:eastAsia="宋体" w:cs="Times New Roman"/>
                <w:color w:val="auto"/>
                <w:kern w:val="0"/>
                <w:sz w:val="20"/>
                <w:szCs w:val="21"/>
                <w:highlight w:val="none"/>
                <w:lang w:val="en-US" w:eastAsia="zh-CN"/>
              </w:rPr>
              <w:t>及技术路线：工作思路清晰明确，逻辑严谨，能够紧密结合本项目实际需求，对项目目标、任务的规划具有可操作性（0-5分）；</w:t>
            </w:r>
            <w:r>
              <w:rPr>
                <w:rFonts w:hint="default" w:ascii="Times New Roman" w:hAnsi="Times New Roman" w:eastAsia="宋体" w:cs="Times New Roman"/>
                <w:color w:val="auto"/>
                <w:kern w:val="0"/>
                <w:sz w:val="20"/>
                <w:szCs w:val="21"/>
                <w:highlight w:val="none"/>
                <w:lang w:val="en-US" w:eastAsia="zh-CN"/>
              </w:rPr>
              <w:t>技术路线正确，符合本项目实际情况和工作开展的要求</w:t>
            </w:r>
            <w:r>
              <w:rPr>
                <w:rFonts w:hint="eastAsia" w:ascii="Times New Roman" w:hAnsi="Times New Roman" w:eastAsia="宋体" w:cs="Times New Roman"/>
                <w:color w:val="auto"/>
                <w:kern w:val="0"/>
                <w:sz w:val="20"/>
                <w:szCs w:val="21"/>
                <w:highlight w:val="none"/>
                <w:lang w:val="en-US" w:eastAsia="zh-CN"/>
              </w:rPr>
              <w:t>（0-5分）</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8FCBB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083D350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640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1EF1D1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1183E1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323F5A67">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预期成果：</w:t>
            </w:r>
            <w:bookmarkStart w:id="245" w:name="_GoBack"/>
            <w:bookmarkEnd w:id="245"/>
            <w:r>
              <w:rPr>
                <w:rFonts w:hint="eastAsia" w:ascii="Times New Roman" w:hAnsi="Times New Roman" w:eastAsia="宋体" w:cs="Times New Roman"/>
                <w:color w:val="auto"/>
                <w:kern w:val="0"/>
                <w:sz w:val="20"/>
                <w:szCs w:val="21"/>
                <w:highlight w:val="none"/>
                <w:lang w:val="en-US" w:eastAsia="zh-CN"/>
              </w:rPr>
              <w:t>预期工作成果框架布局合理，结构形式符合本项目要求。</w:t>
            </w:r>
          </w:p>
        </w:tc>
        <w:tc>
          <w:tcPr>
            <w:tcW w:w="795" w:type="dxa"/>
            <w:vAlign w:val="center"/>
          </w:tcPr>
          <w:p w14:paraId="78FE0AE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9D4398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4D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780115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EDCA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5287B61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分工安排：项目组人员分工安排合理，满足工作开展需要。</w:t>
            </w:r>
          </w:p>
        </w:tc>
        <w:tc>
          <w:tcPr>
            <w:tcW w:w="795" w:type="dxa"/>
            <w:vAlign w:val="center"/>
          </w:tcPr>
          <w:p w14:paraId="4C0A878F">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F29101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2E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34535C1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8D6A6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44DC48C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工作方案：①河湖生态流量监测站现状调查、②监控断面生态流量目标保障情况评估、③各主要控制断面生态流量的年度目标保证率分析评估的工作方案与采购需求的吻合度高，</w:t>
            </w:r>
            <w:r>
              <w:rPr>
                <w:rFonts w:hint="default" w:ascii="Times New Roman" w:hAnsi="Times New Roman" w:eastAsia="宋体" w:cs="Times New Roman"/>
                <w:color w:val="auto"/>
                <w:kern w:val="0"/>
                <w:sz w:val="20"/>
                <w:szCs w:val="21"/>
                <w:highlight w:val="none"/>
                <w:lang w:val="en-US" w:eastAsia="zh-CN"/>
              </w:rPr>
              <w:t>内容具有完整性和可行性</w:t>
            </w:r>
            <w:r>
              <w:rPr>
                <w:rFonts w:hint="eastAsia" w:ascii="Times New Roman" w:hAnsi="Times New Roman" w:eastAsia="宋体" w:cs="Times New Roman"/>
                <w:color w:val="auto"/>
                <w:kern w:val="0"/>
                <w:sz w:val="20"/>
                <w:szCs w:val="21"/>
                <w:highlight w:val="none"/>
                <w:lang w:val="en-US" w:eastAsia="zh-CN"/>
              </w:rPr>
              <w:t>，每项0-5分，最高得15分。</w:t>
            </w:r>
          </w:p>
        </w:tc>
        <w:tc>
          <w:tcPr>
            <w:tcW w:w="795" w:type="dxa"/>
            <w:vAlign w:val="center"/>
          </w:tcPr>
          <w:p w14:paraId="1C17D4B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1C9EFE9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4F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5E5293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2D90F6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0885F6B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项目重难点：对项目重点、难点的把握准确，分析透彻、合理。</w:t>
            </w:r>
          </w:p>
        </w:tc>
        <w:tc>
          <w:tcPr>
            <w:tcW w:w="795" w:type="dxa"/>
            <w:vAlign w:val="center"/>
          </w:tcPr>
          <w:p w14:paraId="2919490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FCBB9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9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94635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0E736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77496E7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工作建议：</w:t>
            </w:r>
            <w:r>
              <w:rPr>
                <w:rFonts w:hint="default" w:ascii="Times New Roman" w:hAnsi="Times New Roman" w:eastAsia="宋体" w:cs="Times New Roman"/>
                <w:color w:val="auto"/>
                <w:kern w:val="0"/>
                <w:sz w:val="20"/>
                <w:szCs w:val="21"/>
                <w:highlight w:val="none"/>
                <w:lang w:val="en-US" w:eastAsia="zh-CN"/>
              </w:rPr>
              <w:t>针对本项目实施过程提出的工作建议合理且具有可操作性。</w:t>
            </w:r>
          </w:p>
        </w:tc>
        <w:tc>
          <w:tcPr>
            <w:tcW w:w="795" w:type="dxa"/>
            <w:vAlign w:val="center"/>
          </w:tcPr>
          <w:p w14:paraId="6F210D5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6DAB52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7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1BBCA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AFEF30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1CCD3ECD">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总体进度安排满足采购文件要求</w:t>
            </w:r>
            <w:r>
              <w:rPr>
                <w:rFonts w:hint="eastAsia" w:ascii="Times New Roman" w:hAnsi="Times New Roman" w:eastAsia="宋体"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0"/>
                <w:szCs w:val="21"/>
                <w:highlight w:val="none"/>
                <w:lang w:val="en-US" w:eastAsia="zh-CN"/>
              </w:rPr>
              <w:t>节点进度细化合理、有利于项目开展</w:t>
            </w:r>
            <w:r>
              <w:rPr>
                <w:rFonts w:hint="eastAsia" w:ascii="Times New Roman" w:hAnsi="Times New Roman" w:eastAsia="宋体" w:cs="Times New Roman"/>
                <w:color w:val="auto"/>
                <w:kern w:val="0"/>
                <w:sz w:val="20"/>
                <w:szCs w:val="21"/>
                <w:highlight w:val="none"/>
                <w:lang w:val="en-US" w:eastAsia="zh-CN"/>
              </w:rPr>
              <w:t>（0-</w:t>
            </w:r>
            <w:r>
              <w:rPr>
                <w:rFonts w:hint="eastAsia" w:eastAsia="宋体"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p>
        </w:tc>
        <w:tc>
          <w:tcPr>
            <w:tcW w:w="795" w:type="dxa"/>
            <w:vAlign w:val="center"/>
          </w:tcPr>
          <w:p w14:paraId="3A50B08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1277" w:type="dxa"/>
            <w:vAlign w:val="center"/>
          </w:tcPr>
          <w:p w14:paraId="1DCD7E5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8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4E2F7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431D9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53E470B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质量保证：结合采购需求，有针对性地建立了项目质量保障工作机制（0-</w:t>
            </w:r>
            <w:r>
              <w:rPr>
                <w:rFonts w:hint="eastAsia"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分）；内部校审制度齐全（0-</w:t>
            </w:r>
            <w:r>
              <w:rPr>
                <w:rFonts w:hint="eastAsia" w:eastAsia="宋体"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p>
        </w:tc>
        <w:tc>
          <w:tcPr>
            <w:tcW w:w="795" w:type="dxa"/>
            <w:vAlign w:val="center"/>
          </w:tcPr>
          <w:p w14:paraId="37C9FD13">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1277" w:type="dxa"/>
            <w:vAlign w:val="center"/>
          </w:tcPr>
          <w:p w14:paraId="697ED60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B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B1F6D7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84FDF0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5D8BEF1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D7A189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5D8171A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31D360C1">
      <w:pPr>
        <w:rPr>
          <w:rFonts w:ascii="Times New Roman" w:hAnsi="Times New Roman"/>
          <w:b/>
          <w:bCs/>
          <w:color w:val="auto"/>
          <w:highlight w:val="none"/>
        </w:rPr>
      </w:pPr>
    </w:p>
    <w:p w14:paraId="0DC5565A">
      <w:pPr>
        <w:rPr>
          <w:color w:val="auto"/>
          <w:highlight w:val="none"/>
        </w:rPr>
      </w:pPr>
      <w:bookmarkStart w:id="178" w:name="_Toc5218"/>
      <w:bookmarkStart w:id="179" w:name="_Toc26233"/>
      <w:bookmarkStart w:id="180" w:name="_Toc16264"/>
      <w:bookmarkStart w:id="181" w:name="_Toc28782"/>
      <w:bookmarkStart w:id="182" w:name="_Toc27091"/>
      <w:bookmarkStart w:id="183" w:name="_Toc1129"/>
      <w:bookmarkStart w:id="184" w:name="_Toc11310"/>
      <w:bookmarkStart w:id="185" w:name="_Toc9625"/>
      <w:bookmarkStart w:id="186" w:name="_Toc2099"/>
      <w:bookmarkStart w:id="187" w:name="_Toc14410"/>
      <w:bookmarkStart w:id="188" w:name="_Toc22662"/>
      <w:bookmarkStart w:id="189" w:name="_Toc4788"/>
      <w:bookmarkStart w:id="190" w:name="_Toc12848"/>
      <w:bookmarkStart w:id="191" w:name="_Toc7210"/>
      <w:bookmarkStart w:id="192" w:name="_Toc28011"/>
      <w:bookmarkStart w:id="193" w:name="_Toc15062"/>
      <w:bookmarkStart w:id="194" w:name="_Toc21510"/>
      <w:bookmarkStart w:id="195" w:name="_Toc6405"/>
      <w:bookmarkStart w:id="196" w:name="_Toc13236"/>
      <w:bookmarkStart w:id="197" w:name="_Toc6854"/>
      <w:bookmarkStart w:id="198" w:name="_Toc31859"/>
      <w:bookmarkStart w:id="199" w:name="_Toc23238"/>
      <w:bookmarkStart w:id="200" w:name="_Toc19539"/>
      <w:bookmarkStart w:id="201" w:name="_Toc3265"/>
      <w:bookmarkStart w:id="202" w:name="_Toc21165"/>
      <w:bookmarkStart w:id="203" w:name="_Toc29460"/>
      <w:bookmarkStart w:id="204" w:name="_Toc30633"/>
      <w:bookmarkStart w:id="205" w:name="_Toc15813"/>
      <w:bookmarkStart w:id="206" w:name="_Toc61532608"/>
      <w:bookmarkStart w:id="207" w:name="_Toc27019"/>
      <w:bookmarkStart w:id="208" w:name="_Toc32593"/>
      <w:bookmarkStart w:id="209" w:name="_Toc10945"/>
      <w:bookmarkStart w:id="210" w:name="_Toc19545"/>
      <w:bookmarkStart w:id="211" w:name="_Toc13228"/>
      <w:bookmarkStart w:id="212" w:name="_Toc30333"/>
      <w:bookmarkStart w:id="213" w:name="_Toc12834"/>
      <w:bookmarkStart w:id="214" w:name="_Toc32451"/>
      <w:bookmarkStart w:id="215" w:name="_Toc20055"/>
      <w:bookmarkStart w:id="216" w:name="_Toc4209"/>
      <w:bookmarkStart w:id="217" w:name="_Toc14943"/>
      <w:bookmarkStart w:id="218" w:name="_Toc7465"/>
      <w:bookmarkStart w:id="219" w:name="_Toc6247"/>
      <w:bookmarkStart w:id="220" w:name="_Toc3666"/>
      <w:bookmarkStart w:id="221" w:name="_Toc3065"/>
      <w:bookmarkStart w:id="222" w:name="_Toc18795"/>
      <w:bookmarkStart w:id="223" w:name="_Toc71305523"/>
      <w:bookmarkStart w:id="224" w:name="_Toc7556"/>
      <w:bookmarkStart w:id="225" w:name="_Toc24679"/>
      <w:bookmarkStart w:id="226" w:name="_Toc10013"/>
      <w:bookmarkStart w:id="227" w:name="_Toc6548"/>
      <w:bookmarkStart w:id="228" w:name="_Toc14826"/>
      <w:bookmarkStart w:id="229" w:name="_Toc4823"/>
      <w:bookmarkStart w:id="230" w:name="_Toc19997"/>
      <w:bookmarkStart w:id="231" w:name="_Toc3581"/>
      <w:bookmarkStart w:id="232" w:name="_Toc14722"/>
      <w:bookmarkStart w:id="233" w:name="_Toc2619"/>
      <w:bookmarkStart w:id="234" w:name="_Toc24289"/>
      <w:bookmarkStart w:id="235" w:name="_Toc16151"/>
      <w:bookmarkStart w:id="236" w:name="_Toc27394"/>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5EFD2288">
      <w:pPr>
        <w:pStyle w:val="5"/>
        <w:rPr>
          <w:color w:val="auto"/>
          <w:highlight w:val="none"/>
        </w:rPr>
      </w:pPr>
      <w:bookmarkStart w:id="237" w:name="_Toc8560"/>
      <w:bookmarkStart w:id="238" w:name="_Toc5400"/>
      <w:r>
        <w:rPr>
          <w:color w:val="auto"/>
          <w:highlight w:val="none"/>
        </w:rPr>
        <w:t>推荐中标候选人</w:t>
      </w:r>
      <w:bookmarkEnd w:id="237"/>
      <w:bookmarkEnd w:id="238"/>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239" w:name="_Toc17450"/>
      <w:bookmarkStart w:id="240" w:name="_Toc4864"/>
      <w:r>
        <w:rPr>
          <w:color w:val="auto"/>
          <w:highlight w:val="none"/>
        </w:rPr>
        <w:t>评标报告</w:t>
      </w:r>
      <w:bookmarkEnd w:id="239"/>
      <w:bookmarkEnd w:id="240"/>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241" w:name="_Toc29871"/>
      <w:bookmarkStart w:id="242" w:name="_Toc23917"/>
      <w:r>
        <w:rPr>
          <w:rFonts w:hint="eastAsia"/>
          <w:color w:val="auto"/>
          <w:highlight w:val="none"/>
        </w:rPr>
        <w:t>投标文件格式</w:t>
      </w:r>
      <w:bookmarkEnd w:id="241"/>
      <w:bookmarkEnd w:id="242"/>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浙江省重点河流主要控制断面生态流量监测评价（2025年）</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202505004</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49E8DC4F">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39E5BE9C">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5D5EB03D">
      <w:pPr>
        <w:rPr>
          <w:b/>
          <w:bCs/>
          <w:color w:val="auto"/>
          <w:highlight w:val="none"/>
        </w:rPr>
      </w:pPr>
      <w:r>
        <w:rPr>
          <w:b/>
          <w:color w:val="auto"/>
          <w:sz w:val="30"/>
          <w:szCs w:val="30"/>
          <w:highlight w:val="none"/>
        </w:rPr>
        <w:br w:type="page"/>
      </w:r>
    </w:p>
    <w:p w14:paraId="3EA6602C">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479C581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4FCB9957">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2254A939">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3CBA422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39DA8F8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5ED24912">
      <w:pPr>
        <w:spacing w:line="360" w:lineRule="auto"/>
        <w:ind w:firstLine="560" w:firstLineChars="200"/>
        <w:rPr>
          <w:color w:val="auto"/>
          <w:sz w:val="28"/>
          <w:szCs w:val="28"/>
          <w:highlight w:val="none"/>
        </w:rPr>
      </w:pPr>
      <w:r>
        <w:rPr>
          <w:rFonts w:hint="eastAsia"/>
          <w:color w:val="auto"/>
          <w:sz w:val="28"/>
          <w:szCs w:val="28"/>
          <w:highlight w:val="none"/>
        </w:rPr>
        <w:t>……</w:t>
      </w:r>
    </w:p>
    <w:p w14:paraId="39AD444F">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46E9727B">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7063ACE6">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3007CFE3">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37AA1908">
      <w:pPr>
        <w:rPr>
          <w:b/>
          <w:bCs/>
          <w:color w:val="auto"/>
          <w:highlight w:val="none"/>
        </w:rPr>
      </w:pPr>
    </w:p>
    <w:p w14:paraId="2584CE37">
      <w:pPr>
        <w:rPr>
          <w:rFonts w:eastAsia="方正小标宋_GBK"/>
          <w:color w:val="auto"/>
          <w:sz w:val="36"/>
          <w:szCs w:val="36"/>
          <w:highlight w:val="none"/>
        </w:rPr>
      </w:pPr>
      <w:r>
        <w:rPr>
          <w:rFonts w:eastAsia="方正小标宋_GBK"/>
          <w:color w:val="auto"/>
          <w:sz w:val="36"/>
          <w:szCs w:val="36"/>
          <w:highlight w:val="none"/>
        </w:rPr>
        <w:br w:type="page"/>
      </w:r>
    </w:p>
    <w:p w14:paraId="424F7081">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40E4D34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1C5E24EE">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F7147D">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3D3B3F1D">
      <w:pPr>
        <w:spacing w:before="240" w:beforeLines="100" w:line="360" w:lineRule="auto"/>
        <w:ind w:firstLine="560" w:firstLineChars="200"/>
        <w:rPr>
          <w:color w:val="auto"/>
          <w:sz w:val="28"/>
          <w:szCs w:val="28"/>
          <w:highlight w:val="none"/>
        </w:rPr>
      </w:pPr>
    </w:p>
    <w:p w14:paraId="4F8F7A2E">
      <w:pPr>
        <w:spacing w:before="240" w:beforeLines="100" w:line="360" w:lineRule="auto"/>
        <w:ind w:firstLine="560" w:firstLineChars="200"/>
        <w:rPr>
          <w:color w:val="auto"/>
          <w:sz w:val="28"/>
          <w:szCs w:val="28"/>
          <w:highlight w:val="none"/>
        </w:rPr>
      </w:pPr>
    </w:p>
    <w:p w14:paraId="691E382A">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A469AB">
      <w:pPr>
        <w:rPr>
          <w:color w:val="auto"/>
          <w:sz w:val="28"/>
          <w:szCs w:val="28"/>
          <w:highlight w:val="none"/>
        </w:rPr>
      </w:pPr>
      <w:r>
        <w:rPr>
          <w:color w:val="auto"/>
          <w:sz w:val="28"/>
          <w:szCs w:val="28"/>
          <w:highlight w:val="none"/>
        </w:rPr>
        <w:t xml:space="preserve">                                            日  期：  </w:t>
      </w:r>
    </w:p>
    <w:p w14:paraId="0F3A798C">
      <w:pPr>
        <w:rPr>
          <w:color w:val="auto"/>
          <w:sz w:val="28"/>
          <w:szCs w:val="28"/>
          <w:highlight w:val="none"/>
        </w:rPr>
      </w:pPr>
    </w:p>
    <w:p w14:paraId="54F64070">
      <w:pPr>
        <w:rPr>
          <w:color w:val="auto"/>
          <w:sz w:val="36"/>
          <w:szCs w:val="36"/>
          <w:highlight w:val="none"/>
        </w:rPr>
      </w:pPr>
      <w:r>
        <w:rPr>
          <w:rFonts w:hint="eastAsia"/>
          <w:color w:val="auto"/>
          <w:sz w:val="36"/>
          <w:szCs w:val="36"/>
          <w:highlight w:val="none"/>
        </w:rPr>
        <w:br w:type="page"/>
      </w:r>
    </w:p>
    <w:p w14:paraId="79B511C4">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6BFC868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7E747EA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38764B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17462446">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B241A93">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0B6B3490">
      <w:pPr>
        <w:spacing w:after="120"/>
        <w:ind w:firstLine="240" w:firstLineChars="100"/>
        <w:rPr>
          <w:color w:val="auto"/>
          <w:highlight w:val="none"/>
        </w:rPr>
      </w:pPr>
    </w:p>
    <w:p w14:paraId="4B99E85B">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B289733">
      <w:pPr>
        <w:rPr>
          <w:color w:val="auto"/>
          <w:sz w:val="28"/>
          <w:szCs w:val="28"/>
          <w:highlight w:val="none"/>
        </w:rPr>
      </w:pPr>
      <w:r>
        <w:rPr>
          <w:color w:val="auto"/>
          <w:sz w:val="28"/>
          <w:szCs w:val="28"/>
          <w:highlight w:val="none"/>
        </w:rPr>
        <w:t xml:space="preserve">                                            日  期：  </w:t>
      </w:r>
    </w:p>
    <w:p w14:paraId="59A7BBE3">
      <w:pPr>
        <w:rPr>
          <w:color w:val="auto"/>
          <w:highlight w:val="none"/>
        </w:rPr>
      </w:pPr>
    </w:p>
    <w:p w14:paraId="39DD43EA">
      <w:pPr>
        <w:spacing w:after="120"/>
        <w:ind w:firstLine="240" w:firstLineChars="100"/>
        <w:rPr>
          <w:color w:val="auto"/>
          <w:highlight w:val="none"/>
        </w:rPr>
      </w:pPr>
    </w:p>
    <w:p w14:paraId="796C34F2">
      <w:pPr>
        <w:widowControl/>
        <w:snapToGrid w:val="0"/>
        <w:spacing w:line="360" w:lineRule="auto"/>
        <w:ind w:firstLine="420" w:firstLineChars="200"/>
        <w:rPr>
          <w:rFonts w:ascii="宋体" w:hAnsi="宋体" w:cs="宋体"/>
          <w:color w:val="auto"/>
          <w:sz w:val="21"/>
          <w:szCs w:val="21"/>
          <w:highlight w:val="none"/>
        </w:rPr>
      </w:pPr>
    </w:p>
    <w:p w14:paraId="2E0AFA41">
      <w:pPr>
        <w:widowControl/>
        <w:snapToGrid w:val="0"/>
        <w:spacing w:line="360" w:lineRule="auto"/>
        <w:ind w:firstLine="420" w:firstLineChars="200"/>
        <w:rPr>
          <w:rFonts w:ascii="宋体" w:hAnsi="宋体" w:cs="宋体"/>
          <w:color w:val="auto"/>
          <w:sz w:val="21"/>
          <w:szCs w:val="21"/>
          <w:highlight w:val="none"/>
        </w:rPr>
      </w:pPr>
    </w:p>
    <w:p w14:paraId="3E7AD4D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7F2417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浙江省重点河流主要控制断面生态流量监测评价（2025年）</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202505004</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0562397B">
      <w:pPr>
        <w:jc w:val="center"/>
        <w:rPr>
          <w:b/>
          <w:bCs/>
          <w:color w:val="auto"/>
          <w:sz w:val="44"/>
          <w:highlight w:val="none"/>
        </w:rPr>
      </w:pPr>
      <w:r>
        <w:rPr>
          <w:b/>
          <w:bCs/>
          <w:color w:val="auto"/>
          <w:sz w:val="44"/>
          <w:highlight w:val="none"/>
        </w:rPr>
        <w:t>授权委托书</w:t>
      </w:r>
    </w:p>
    <w:p w14:paraId="59F8D744">
      <w:pPr>
        <w:jc w:val="left"/>
        <w:rPr>
          <w:color w:val="auto"/>
          <w:sz w:val="28"/>
          <w:highlight w:val="none"/>
        </w:rPr>
      </w:pPr>
    </w:p>
    <w:p w14:paraId="17BAF1AB">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6D479893">
      <w:pPr>
        <w:spacing w:line="360" w:lineRule="auto"/>
        <w:jc w:val="left"/>
        <w:rPr>
          <w:color w:val="auto"/>
          <w:szCs w:val="24"/>
          <w:highlight w:val="none"/>
        </w:rPr>
      </w:pPr>
    </w:p>
    <w:p w14:paraId="406B62DF">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3FDE4117">
      <w:pPr>
        <w:spacing w:line="360" w:lineRule="auto"/>
        <w:jc w:val="left"/>
        <w:rPr>
          <w:color w:val="auto"/>
          <w:szCs w:val="24"/>
          <w:highlight w:val="none"/>
        </w:rPr>
      </w:pPr>
    </w:p>
    <w:p w14:paraId="4CD2A4FB">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328802C8">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41BEFD8F">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24599663">
      <w:pPr>
        <w:spacing w:line="360" w:lineRule="auto"/>
        <w:jc w:val="left"/>
        <w:rPr>
          <w:color w:val="auto"/>
          <w:szCs w:val="24"/>
          <w:highlight w:val="none"/>
        </w:rPr>
      </w:pPr>
    </w:p>
    <w:p w14:paraId="68FC6753">
      <w:pPr>
        <w:spacing w:line="480" w:lineRule="auto"/>
        <w:jc w:val="left"/>
        <w:rPr>
          <w:color w:val="auto"/>
          <w:szCs w:val="24"/>
          <w:highlight w:val="none"/>
        </w:rPr>
      </w:pPr>
      <w:r>
        <w:rPr>
          <w:color w:val="auto"/>
          <w:szCs w:val="24"/>
          <w:highlight w:val="none"/>
        </w:rPr>
        <w:t>附：</w:t>
      </w:r>
    </w:p>
    <w:p w14:paraId="5E69DBC1">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47717233">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4129818C">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1B710503">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6448573">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031C86B2">
      <w:pPr>
        <w:spacing w:line="360" w:lineRule="auto"/>
        <w:ind w:firstLine="480" w:firstLineChars="200"/>
        <w:jc w:val="left"/>
        <w:rPr>
          <w:color w:val="auto"/>
          <w:szCs w:val="24"/>
          <w:highlight w:val="none"/>
        </w:rPr>
      </w:pPr>
      <w:r>
        <w:rPr>
          <w:color w:val="auto"/>
          <w:szCs w:val="24"/>
          <w:highlight w:val="none"/>
        </w:rPr>
        <w:t>法定代表身份证复印件（正、反面）</w:t>
      </w:r>
    </w:p>
    <w:p w14:paraId="330EC9B3">
      <w:pPr>
        <w:ind w:firstLine="480" w:firstLineChars="200"/>
        <w:rPr>
          <w:color w:val="auto"/>
          <w:szCs w:val="24"/>
          <w:highlight w:val="none"/>
        </w:rPr>
      </w:pPr>
      <w:r>
        <w:rPr>
          <w:color w:val="auto"/>
          <w:szCs w:val="24"/>
          <w:highlight w:val="none"/>
        </w:rPr>
        <w:t>授权代表身份证复印件（正、反面）</w:t>
      </w:r>
    </w:p>
    <w:p w14:paraId="5799F748">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8"/>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rFonts w:hint="eastAsia" w:eastAsia="宋体"/>
                <w:snapToGrid w:val="0"/>
                <w:color w:val="auto"/>
                <w:szCs w:val="24"/>
                <w:highlight w:val="none"/>
                <w:lang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浙江省重点河流主要控制断面生态流量监测评价（2025年）</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202505004</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41AD232D">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1984566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9A8CC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p>
    <w:p w14:paraId="5F7CB6B0">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243" w:name="_Toc4509"/>
      <w:bookmarkStart w:id="244" w:name="_Toc9793"/>
      <w:r>
        <w:rPr>
          <w:rFonts w:hint="eastAsia"/>
          <w:color w:val="auto"/>
          <w:highlight w:val="none"/>
        </w:rPr>
        <w:t>项目委托合同（样本）</w:t>
      </w:r>
      <w:bookmarkEnd w:id="243"/>
      <w:bookmarkEnd w:id="244"/>
    </w:p>
    <w:p w14:paraId="08C08233">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61F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3C73B08F">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3006FF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10C9A9A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2ED79F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4FD6C0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36F6719">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F9C18F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E13D5E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154FE9C4">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5EF84EF">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55BC94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1FC265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11BEDF3A">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19BC3D7B">
            <w:pPr>
              <w:autoSpaceDE/>
              <w:autoSpaceDN/>
              <w:adjustRightInd/>
              <w:spacing w:line="360" w:lineRule="auto"/>
              <w:ind w:right="11" w:firstLine="560" w:firstLineChars="200"/>
              <w:textAlignment w:val="auto"/>
              <w:rPr>
                <w:color w:val="auto"/>
                <w:kern w:val="2"/>
                <w:sz w:val="28"/>
                <w:highlight w:val="none"/>
              </w:rPr>
            </w:pPr>
          </w:p>
        </w:tc>
      </w:tr>
    </w:tbl>
    <w:p w14:paraId="3A5348F5">
      <w:pPr>
        <w:autoSpaceDE/>
        <w:autoSpaceDN/>
        <w:adjustRightInd/>
        <w:spacing w:before="100" w:beforeAutospacing="1" w:after="100" w:afterAutospacing="1" w:line="300" w:lineRule="auto"/>
        <w:textAlignment w:val="auto"/>
        <w:rPr>
          <w:rFonts w:eastAsia="黑体"/>
          <w:color w:val="auto"/>
          <w:kern w:val="2"/>
          <w:sz w:val="44"/>
          <w:highlight w:val="none"/>
        </w:rPr>
      </w:pPr>
    </w:p>
    <w:p w14:paraId="386C9D67">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10AC69D7">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2E64BF37">
      <w:pPr>
        <w:autoSpaceDE/>
        <w:autoSpaceDN/>
        <w:adjustRightInd/>
        <w:spacing w:line="240" w:lineRule="atLeast"/>
        <w:textAlignment w:val="auto"/>
        <w:rPr>
          <w:color w:val="auto"/>
          <w:spacing w:val="-4"/>
          <w:kern w:val="2"/>
          <w:sz w:val="30"/>
          <w:highlight w:val="none"/>
        </w:rPr>
      </w:pPr>
    </w:p>
    <w:p w14:paraId="34962545">
      <w:pPr>
        <w:autoSpaceDE/>
        <w:autoSpaceDN/>
        <w:adjustRightInd/>
        <w:spacing w:line="240" w:lineRule="atLeast"/>
        <w:textAlignment w:val="auto"/>
        <w:rPr>
          <w:color w:val="auto"/>
          <w:spacing w:val="-4"/>
          <w:kern w:val="2"/>
          <w:sz w:val="30"/>
          <w:highlight w:val="none"/>
        </w:rPr>
      </w:pPr>
    </w:p>
    <w:p w14:paraId="6A2DB7B8">
      <w:pPr>
        <w:autoSpaceDE/>
        <w:autoSpaceDN/>
        <w:adjustRightInd/>
        <w:spacing w:line="240" w:lineRule="atLeast"/>
        <w:textAlignment w:val="auto"/>
        <w:rPr>
          <w:color w:val="auto"/>
          <w:spacing w:val="-4"/>
          <w:kern w:val="2"/>
          <w:sz w:val="30"/>
          <w:highlight w:val="none"/>
        </w:rPr>
      </w:pPr>
    </w:p>
    <w:p w14:paraId="5E049117">
      <w:pPr>
        <w:autoSpaceDE/>
        <w:autoSpaceDN/>
        <w:adjustRightInd/>
        <w:spacing w:line="240" w:lineRule="atLeast"/>
        <w:textAlignment w:val="auto"/>
        <w:rPr>
          <w:color w:val="auto"/>
          <w:spacing w:val="-4"/>
          <w:kern w:val="2"/>
          <w:sz w:val="30"/>
          <w:highlight w:val="none"/>
        </w:rPr>
      </w:pPr>
    </w:p>
    <w:p w14:paraId="669637AE">
      <w:pPr>
        <w:autoSpaceDE/>
        <w:autoSpaceDN/>
        <w:adjustRightInd/>
        <w:spacing w:line="240" w:lineRule="atLeast"/>
        <w:textAlignment w:val="auto"/>
        <w:rPr>
          <w:color w:val="auto"/>
          <w:spacing w:val="-4"/>
          <w:kern w:val="2"/>
          <w:sz w:val="30"/>
          <w:highlight w:val="none"/>
        </w:rPr>
      </w:pPr>
    </w:p>
    <w:p w14:paraId="34961887">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non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浙江省重点河流主要控制断面生态流量监测评价（2025年）</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49321DDD">
      <w:pPr>
        <w:autoSpaceDE/>
        <w:autoSpaceDN/>
        <w:adjustRightInd/>
        <w:spacing w:line="240" w:lineRule="atLeast"/>
        <w:textAlignment w:val="auto"/>
        <w:rPr>
          <w:color w:val="auto"/>
          <w:spacing w:val="30"/>
          <w:kern w:val="2"/>
          <w:sz w:val="30"/>
          <w:highlight w:val="none"/>
        </w:rPr>
      </w:pPr>
    </w:p>
    <w:p w14:paraId="274F07FE">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259474533"/>
        </w:rPr>
        <w:t>委托方</w:t>
      </w:r>
      <w:r>
        <w:rPr>
          <w:color w:val="auto"/>
          <w:spacing w:val="0"/>
          <w:kern w:val="0"/>
          <w:sz w:val="30"/>
          <w:highlight w:val="none"/>
          <w:fitText w:val="1500" w:id="1259474533"/>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7C3A4B20">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6B91FA32">
      <w:pPr>
        <w:autoSpaceDE/>
        <w:autoSpaceDN/>
        <w:adjustRightInd/>
        <w:spacing w:line="240" w:lineRule="atLeast"/>
        <w:ind w:firstLine="707" w:firstLineChars="208"/>
        <w:textAlignment w:val="auto"/>
        <w:rPr>
          <w:color w:val="auto"/>
          <w:spacing w:val="30"/>
          <w:kern w:val="2"/>
          <w:sz w:val="28"/>
          <w:highlight w:val="none"/>
        </w:rPr>
      </w:pPr>
    </w:p>
    <w:p w14:paraId="74CF5722">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410563262"/>
        </w:rPr>
        <w:t>服务方</w:t>
      </w:r>
      <w:r>
        <w:rPr>
          <w:color w:val="auto"/>
          <w:spacing w:val="0"/>
          <w:kern w:val="0"/>
          <w:sz w:val="30"/>
          <w:highlight w:val="none"/>
          <w:fitText w:val="1500" w:id="1410563262"/>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7D2F67EC">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409B903B">
      <w:pPr>
        <w:autoSpaceDE/>
        <w:autoSpaceDN/>
        <w:adjustRightInd/>
        <w:snapToGrid w:val="0"/>
        <w:spacing w:line="240" w:lineRule="atLeast"/>
        <w:ind w:firstLine="1110" w:firstLineChars="370"/>
        <w:textAlignment w:val="auto"/>
        <w:rPr>
          <w:color w:val="auto"/>
          <w:kern w:val="2"/>
          <w:sz w:val="30"/>
          <w:highlight w:val="none"/>
        </w:rPr>
      </w:pPr>
    </w:p>
    <w:p w14:paraId="49419D2F">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272274614"/>
        </w:rPr>
        <w:t>鉴证方</w:t>
      </w:r>
      <w:r>
        <w:rPr>
          <w:color w:val="auto"/>
          <w:spacing w:val="0"/>
          <w:kern w:val="0"/>
          <w:sz w:val="30"/>
          <w:highlight w:val="none"/>
          <w:fitText w:val="1500" w:id="1272274614"/>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7AB12D1D">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3B8D0481">
      <w:pPr>
        <w:autoSpaceDE/>
        <w:autoSpaceDN/>
        <w:adjustRightInd/>
        <w:snapToGrid w:val="0"/>
        <w:spacing w:line="360" w:lineRule="auto"/>
        <w:ind w:firstLine="900" w:firstLineChars="300"/>
        <w:textAlignment w:val="auto"/>
        <w:rPr>
          <w:color w:val="auto"/>
          <w:kern w:val="2"/>
          <w:sz w:val="30"/>
          <w:highlight w:val="none"/>
        </w:rPr>
      </w:pPr>
    </w:p>
    <w:p w14:paraId="63266FD5">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5438255A">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2C38A872">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6949FD8E">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177CBD4C">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31BA2E55">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465841CF">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64D7B524">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5F69E086">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2E4AC5B2">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5BE0C728">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2EFA676C">
      <w:pPr>
        <w:autoSpaceDE/>
        <w:autoSpaceDN/>
        <w:snapToGrid w:val="0"/>
        <w:spacing w:line="360" w:lineRule="auto"/>
        <w:ind w:firstLine="480" w:firstLineChars="200"/>
        <w:rPr>
          <w:color w:val="auto"/>
          <w:highlight w:val="none"/>
        </w:rPr>
      </w:pPr>
      <w:r>
        <w:rPr>
          <w:color w:val="auto"/>
          <w:highlight w:val="none"/>
        </w:rPr>
        <w:t>五、工作条件和协作事项：</w:t>
      </w:r>
    </w:p>
    <w:p w14:paraId="175DC586">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001CDA2B">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7616F6D3">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7BC9128B">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6229FB62">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1CABC245">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334392C0">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7E78000D">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19E9278">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6404CB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7DCC0AB2">
            <w:pPr>
              <w:keepNext w:val="0"/>
              <w:keepLines w:val="0"/>
              <w:pageBreakBefore w:val="0"/>
              <w:widowControl w:val="0"/>
              <w:kinsoku/>
              <w:wordWrap/>
              <w:overflowPunct/>
              <w:topLinePunct w:val="0"/>
              <w:bidi w:val="0"/>
              <w:adjustRightInd w:val="0"/>
              <w:snapToGrid w:val="0"/>
              <w:spacing w:line="360" w:lineRule="auto"/>
              <w:ind w:left="0" w:right="0" w:firstLine="480" w:firstLineChars="20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浙江省重点河流主要控制断面生态流量监测评价（2025年）</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2C7F6834">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eastAsia="黑体"/>
                <w:color w:val="auto"/>
                <w:highlight w:val="none"/>
              </w:rPr>
              <w:t>一、项目主要内容</w:t>
            </w:r>
          </w:p>
          <w:p w14:paraId="7CA5DA3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p>
          <w:p w14:paraId="1A550516">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40F4A00C">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highlight w:val="none"/>
              </w:rPr>
            </w:pPr>
            <w:r>
              <w:rPr>
                <w:rFonts w:hint="eastAsia" w:eastAsia="黑体"/>
                <w:color w:val="auto"/>
                <w:highlight w:val="none"/>
              </w:rPr>
              <w:t>二、工作条件和协作事项</w:t>
            </w:r>
          </w:p>
          <w:p w14:paraId="08C5C214">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4D4A6FA5">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14:paraId="4E38C2BB">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14:paraId="49499907">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3EBF6C5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rPr>
              <w:t>三、履行期限、地点和方式</w:t>
            </w:r>
          </w:p>
          <w:p w14:paraId="3A895191">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14:paraId="1FE0E131">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r>
              <w:rPr>
                <w:color w:val="auto"/>
                <w:szCs w:val="24"/>
                <w:highlight w:val="none"/>
              </w:rPr>
              <w:t>本合同的履行方式：</w:t>
            </w:r>
          </w:p>
          <w:p w14:paraId="2791EC3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服务</w:t>
            </w:r>
            <w:r>
              <w:rPr>
                <w:rFonts w:ascii="Times New Roman" w:hAnsi="Times New Roman" w:cs="Times New Roman"/>
                <w:color w:val="auto"/>
                <w:szCs w:val="24"/>
                <w:highlight w:val="none"/>
              </w:rPr>
              <w:t>方负责提交下列成果：</w:t>
            </w:r>
          </w:p>
          <w:p w14:paraId="1A5B4054">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p>
          <w:p w14:paraId="49FD40CB">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348730FF">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99806DA">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0A4A2C5F">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lang w:eastAsia="zh-CN"/>
              </w:rPr>
            </w:pPr>
          </w:p>
          <w:p w14:paraId="2E9B790A">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3EADC585">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0757504C">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验收、评价方法：</w:t>
            </w:r>
          </w:p>
          <w:p w14:paraId="7AF1C2F5">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（1）鉴定会鉴定；     （2）专家评审；    （3）委托方直接认可；</w:t>
            </w:r>
          </w:p>
          <w:p w14:paraId="1386D3F9">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（4）其他方式（双方约定）。</w:t>
            </w:r>
          </w:p>
          <w:p w14:paraId="53FFF364">
            <w:pPr>
              <w:rPr>
                <w:color w:val="auto"/>
                <w:highlight w:val="none"/>
              </w:rPr>
            </w:pPr>
          </w:p>
          <w:p w14:paraId="3287514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6FA69090">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rFonts w:hint="eastAsia"/>
                <w:color w:val="auto"/>
                <w:highlight w:val="none"/>
              </w:rPr>
              <w:t>（一）</w:t>
            </w:r>
            <w:r>
              <w:rPr>
                <w:color w:val="auto"/>
                <w:highlight w:val="none"/>
              </w:rPr>
              <w:t>本项目报酬(服务费或培训费)：人民币：     元。</w:t>
            </w:r>
          </w:p>
          <w:p w14:paraId="39226D5D">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服务方完成专业技术工作，解决技术问题需要的经费，由    方负担。</w:t>
            </w:r>
          </w:p>
          <w:p w14:paraId="6576B16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4EE5209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①</w:t>
            </w:r>
            <w:r>
              <w:rPr>
                <w:color w:val="auto"/>
                <w:highlight w:val="none"/>
              </w:rPr>
              <w:t xml:space="preserve">一次总付：            元，时间： </w:t>
            </w:r>
          </w:p>
          <w:p w14:paraId="1578D604">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②</w:t>
            </w:r>
            <w:r>
              <w:rPr>
                <w:color w:val="auto"/>
                <w:highlight w:val="none"/>
              </w:rPr>
              <w:t>分期支付：</w:t>
            </w:r>
          </w:p>
          <w:p w14:paraId="5C43D718">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合同签订并具备实施条件后，支付合同款的50%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BF6E3E1">
            <w:pPr>
              <w:numPr>
                <w:ilvl w:val="0"/>
                <w:numId w:val="5"/>
              </w:numPr>
              <w:spacing w:line="336" w:lineRule="auto"/>
              <w:ind w:left="120" w:right="92" w:firstLine="390"/>
              <w:rPr>
                <w:color w:val="auto"/>
                <w:highlight w:val="none"/>
              </w:rPr>
            </w:pPr>
            <w:r>
              <w:rPr>
                <w:rFonts w:hint="eastAsia"/>
                <w:color w:val="auto"/>
                <w:highlight w:val="none"/>
              </w:rPr>
              <w:t>提交初步成果后一个月内，支付合同款的41%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1F7D451">
            <w:pPr>
              <w:numPr>
                <w:ilvl w:val="0"/>
                <w:numId w:val="5"/>
              </w:numPr>
              <w:spacing w:line="336" w:lineRule="auto"/>
              <w:ind w:left="120" w:right="92" w:firstLine="390"/>
              <w:rPr>
                <w:color w:val="auto"/>
                <w:highlight w:val="none"/>
              </w:rPr>
            </w:pPr>
            <w:r>
              <w:rPr>
                <w:rFonts w:hint="eastAsia"/>
                <w:color w:val="auto"/>
                <w:highlight w:val="none"/>
                <w:lang w:val="en-US" w:eastAsia="zh-CN"/>
              </w:rPr>
              <w:t>项目成果通过验收后一个月内，支付合同款的9%</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32CADFD0">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eastAsia"/>
                <w:color w:val="auto"/>
                <w:highlight w:val="none"/>
                <w:lang w:val="en-US" w:eastAsia="zh-CN"/>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00CAEC94">
            <w:pPr>
              <w:rPr>
                <w:rFonts w:hint="eastAsia"/>
                <w:color w:val="auto"/>
                <w:highlight w:val="none"/>
                <w:lang w:val="en-US" w:eastAsia="zh-CN"/>
              </w:rPr>
            </w:pPr>
          </w:p>
          <w:p w14:paraId="74E81B56">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62212462">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6E870A6B">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46F8D2D5">
            <w:pPr>
              <w:keepNext w:val="0"/>
              <w:keepLines w:val="0"/>
              <w:pageBreakBefore w:val="0"/>
              <w:widowControl w:val="0"/>
              <w:kinsoku/>
              <w:wordWrap/>
              <w:overflowPunct/>
              <w:topLinePunct w:val="0"/>
              <w:bidi w:val="0"/>
              <w:adjustRightInd w:val="0"/>
              <w:snapToGrid/>
              <w:spacing w:line="360" w:lineRule="auto"/>
              <w:ind w:left="0" w:right="0" w:firstLine="482" w:firstLineChars="200"/>
              <w:jc w:val="left"/>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56DF7AE5">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b/>
                <w:bCs/>
                <w:color w:val="auto"/>
                <w:highlight w:val="none"/>
                <w:lang w:val="en-US" w:eastAsia="zh-CN"/>
              </w:rPr>
              <w:t>二、四</w:t>
            </w:r>
            <w:r>
              <w:rPr>
                <w:rFonts w:hint="default" w:ascii="Times New Roman" w:hAnsi="Times New Roman" w:eastAsia="宋体" w:cs="Times New Roman"/>
                <w:b/>
                <w:bCs/>
                <w:color w:val="auto"/>
                <w:highlight w:val="none"/>
              </w:rPr>
              <w:t>、五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15C66AB0">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jc w:val="left"/>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6B80AEFC">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p>
          <w:p w14:paraId="5ECAA84C">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6DB9D8D1">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041DBE3D">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33F23081">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一</w:t>
            </w:r>
            <w:r>
              <w:rPr>
                <w:rFonts w:hint="eastAsia"/>
                <w:color w:val="auto"/>
                <w:szCs w:val="24"/>
                <w:highlight w:val="none"/>
                <w:lang w:eastAsia="zh-CN"/>
              </w:rPr>
              <w:t>）</w:t>
            </w: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56A9B05F">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color w:val="auto"/>
                <w:szCs w:val="24"/>
                <w:highlight w:val="none"/>
              </w:rPr>
              <w:t>按司法程序解决。</w:t>
            </w:r>
          </w:p>
          <w:p w14:paraId="3885D893">
            <w:pPr>
              <w:keepNext w:val="0"/>
              <w:keepLines w:val="0"/>
              <w:pageBreakBefore w:val="0"/>
              <w:widowControl w:val="0"/>
              <w:kinsoku/>
              <w:wordWrap/>
              <w:overflowPunct/>
              <w:topLinePunct w:val="0"/>
              <w:bidi w:val="0"/>
              <w:snapToGrid/>
              <w:spacing w:line="360" w:lineRule="auto"/>
              <w:ind w:firstLine="480" w:firstLineChars="200"/>
              <w:jc w:val="left"/>
              <w:rPr>
                <w:rFonts w:hint="eastAsia"/>
                <w:color w:val="auto"/>
                <w:highlight w:val="none"/>
                <w:lang w:val="en-US" w:eastAsia="zh-CN"/>
              </w:rPr>
            </w:pPr>
          </w:p>
          <w:p w14:paraId="482DF375">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73001497">
            <w:pPr>
              <w:keepNext w:val="0"/>
              <w:keepLines w:val="0"/>
              <w:pageBreakBefore w:val="0"/>
              <w:widowControl w:val="0"/>
              <w:kinsoku/>
              <w:wordWrap/>
              <w:overflowPunct/>
              <w:topLinePunct w:val="0"/>
              <w:bidi w:val="0"/>
              <w:adjustRightInd/>
              <w:snapToGrid/>
              <w:spacing w:line="360" w:lineRule="auto"/>
              <w:ind w:firstLine="480" w:firstLineChars="200"/>
              <w:jc w:val="left"/>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2614E4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106111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（三）</w:t>
            </w:r>
            <w:r>
              <w:rPr>
                <w:rFonts w:hint="eastAsia" w:cs="宋体"/>
                <w:color w:val="auto"/>
                <w:kern w:val="0"/>
                <w:sz w:val="24"/>
                <w:szCs w:val="20"/>
                <w:highlight w:val="none"/>
                <w:lang w:val="en-US" w:eastAsia="zh-CN" w:bidi="ar"/>
              </w:rPr>
              <w:t>服务方在合同履约期间应及时做好专项财务支出记录，提交项目验收时必须向委托方提供专项财务支出记录。</w:t>
            </w:r>
          </w:p>
          <w:p w14:paraId="703D5B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szCs w:val="20"/>
                <w:highlight w:val="none"/>
                <w:lang w:val="en-US" w:eastAsia="zh-CN" w:bidi="ar-SA"/>
              </w:rPr>
            </w:pPr>
            <w:r>
              <w:rPr>
                <w:rFonts w:hint="eastAsia" w:cs="宋体"/>
                <w:color w:val="auto"/>
                <w:kern w:val="0"/>
                <w:sz w:val="24"/>
                <w:szCs w:val="20"/>
                <w:highlight w:val="none"/>
                <w:lang w:val="en-US" w:eastAsia="zh-CN" w:bidi="ar"/>
              </w:rPr>
              <w:t>（四）</w:t>
            </w:r>
            <w:r>
              <w:rPr>
                <w:rFonts w:hint="default" w:ascii="Times New Roman" w:hAnsi="Times New Roman" w:eastAsia="宋体" w:cs="宋体"/>
                <w:color w:val="auto"/>
                <w:kern w:val="0"/>
                <w:sz w:val="24"/>
                <w:szCs w:val="20"/>
                <w:highlight w:val="none"/>
                <w:lang w:val="en-US" w:eastAsia="zh-CN" w:bidi="ar"/>
              </w:rPr>
              <w:t>未尽事项，双方协商。</w:t>
            </w:r>
          </w:p>
          <w:p w14:paraId="6A935DA4">
            <w:pPr>
              <w:rPr>
                <w:color w:val="auto"/>
                <w:highlight w:val="none"/>
              </w:rPr>
            </w:pPr>
          </w:p>
        </w:tc>
      </w:tr>
    </w:tbl>
    <w:p w14:paraId="4A5B282E">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6EA6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6D7FB05D">
            <w:pPr>
              <w:spacing w:before="120" w:beforeLines="50" w:after="120" w:afterLines="50"/>
              <w:jc w:val="center"/>
              <w:rPr>
                <w:color w:val="auto"/>
                <w:sz w:val="21"/>
                <w:highlight w:val="none"/>
              </w:rPr>
            </w:pPr>
          </w:p>
          <w:p w14:paraId="577270BA">
            <w:pPr>
              <w:spacing w:before="120" w:beforeLines="50" w:after="120" w:afterLines="50"/>
              <w:jc w:val="center"/>
              <w:rPr>
                <w:color w:val="auto"/>
                <w:sz w:val="21"/>
                <w:highlight w:val="none"/>
              </w:rPr>
            </w:pPr>
            <w:r>
              <w:rPr>
                <w:color w:val="auto"/>
                <w:sz w:val="21"/>
                <w:highlight w:val="none"/>
              </w:rPr>
              <w:t>委</w:t>
            </w:r>
          </w:p>
          <w:p w14:paraId="5B627C49">
            <w:pPr>
              <w:spacing w:before="120" w:beforeLines="50" w:after="120" w:afterLines="50"/>
              <w:jc w:val="center"/>
              <w:rPr>
                <w:color w:val="auto"/>
                <w:sz w:val="21"/>
                <w:highlight w:val="none"/>
              </w:rPr>
            </w:pPr>
            <w:r>
              <w:rPr>
                <w:color w:val="auto"/>
                <w:sz w:val="21"/>
                <w:highlight w:val="none"/>
              </w:rPr>
              <w:t>托</w:t>
            </w:r>
          </w:p>
          <w:p w14:paraId="6BF46965">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3B68F1A7">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4AF2EC41">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3945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57AC9AE">
            <w:pPr>
              <w:spacing w:before="120" w:beforeLines="50" w:after="120" w:afterLines="50"/>
              <w:jc w:val="center"/>
              <w:rPr>
                <w:color w:val="auto"/>
                <w:sz w:val="21"/>
                <w:highlight w:val="none"/>
              </w:rPr>
            </w:pPr>
          </w:p>
        </w:tc>
        <w:tc>
          <w:tcPr>
            <w:tcW w:w="1680" w:type="dxa"/>
            <w:vAlign w:val="center"/>
          </w:tcPr>
          <w:p w14:paraId="2CCD9F66">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2399F535">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38633475">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1257CEB9">
            <w:pPr>
              <w:spacing w:before="120" w:beforeLines="50" w:after="120" w:afterLines="50"/>
              <w:jc w:val="right"/>
              <w:rPr>
                <w:color w:val="auto"/>
                <w:sz w:val="21"/>
                <w:highlight w:val="none"/>
              </w:rPr>
            </w:pPr>
            <w:r>
              <w:rPr>
                <w:color w:val="auto"/>
                <w:sz w:val="21"/>
                <w:highlight w:val="none"/>
              </w:rPr>
              <w:t>(签章)</w:t>
            </w:r>
          </w:p>
        </w:tc>
      </w:tr>
      <w:tr w14:paraId="1234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2C3A770D">
            <w:pPr>
              <w:spacing w:before="120" w:beforeLines="50" w:after="120" w:afterLines="50"/>
              <w:jc w:val="center"/>
              <w:rPr>
                <w:color w:val="auto"/>
                <w:sz w:val="21"/>
                <w:highlight w:val="none"/>
              </w:rPr>
            </w:pPr>
          </w:p>
        </w:tc>
        <w:tc>
          <w:tcPr>
            <w:tcW w:w="1680" w:type="dxa"/>
            <w:vAlign w:val="center"/>
          </w:tcPr>
          <w:p w14:paraId="2BD512CE">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689BCB82">
            <w:pPr>
              <w:spacing w:before="120" w:beforeLines="50" w:after="120" w:afterLines="50"/>
              <w:jc w:val="center"/>
              <w:rPr>
                <w:color w:val="auto"/>
                <w:sz w:val="21"/>
                <w:highlight w:val="none"/>
              </w:rPr>
            </w:pPr>
            <w:r>
              <w:rPr>
                <w:color w:val="auto"/>
                <w:sz w:val="21"/>
                <w:highlight w:val="none"/>
              </w:rPr>
              <w:t>(签章)</w:t>
            </w:r>
          </w:p>
        </w:tc>
      </w:tr>
      <w:tr w14:paraId="0C1C1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71F57012">
            <w:pPr>
              <w:spacing w:before="120" w:beforeLines="50" w:after="120" w:afterLines="50"/>
              <w:jc w:val="center"/>
              <w:rPr>
                <w:color w:val="auto"/>
                <w:sz w:val="21"/>
                <w:highlight w:val="none"/>
              </w:rPr>
            </w:pPr>
          </w:p>
        </w:tc>
        <w:tc>
          <w:tcPr>
            <w:tcW w:w="1680" w:type="dxa"/>
            <w:vAlign w:val="center"/>
          </w:tcPr>
          <w:p w14:paraId="143C29DC">
            <w:pPr>
              <w:spacing w:before="120" w:beforeLines="50" w:after="120" w:afterLines="50"/>
              <w:jc w:val="center"/>
              <w:rPr>
                <w:color w:val="auto"/>
                <w:sz w:val="21"/>
                <w:highlight w:val="none"/>
              </w:rPr>
            </w:pPr>
            <w:r>
              <w:rPr>
                <w:color w:val="auto"/>
                <w:sz w:val="21"/>
                <w:highlight w:val="none"/>
              </w:rPr>
              <w:t>住      所</w:t>
            </w:r>
          </w:p>
          <w:p w14:paraId="1E08C455">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287C679D">
            <w:pPr>
              <w:spacing w:before="120" w:beforeLines="50" w:after="120" w:afterLines="50"/>
              <w:jc w:val="center"/>
              <w:rPr>
                <w:rFonts w:eastAsia="楷体_GB2312"/>
                <w:color w:val="auto"/>
                <w:sz w:val="21"/>
                <w:highlight w:val="none"/>
              </w:rPr>
            </w:pPr>
          </w:p>
        </w:tc>
      </w:tr>
      <w:tr w14:paraId="5D72C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18BEBE4D">
            <w:pPr>
              <w:spacing w:before="120" w:beforeLines="50" w:after="120" w:afterLines="50"/>
              <w:jc w:val="center"/>
              <w:rPr>
                <w:color w:val="auto"/>
                <w:sz w:val="21"/>
                <w:highlight w:val="none"/>
              </w:rPr>
            </w:pPr>
          </w:p>
        </w:tc>
        <w:tc>
          <w:tcPr>
            <w:tcW w:w="1680" w:type="dxa"/>
            <w:vAlign w:val="center"/>
          </w:tcPr>
          <w:p w14:paraId="5B50F337">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0A3E5C39">
            <w:pPr>
              <w:autoSpaceDE/>
              <w:autoSpaceDN/>
              <w:spacing w:before="120" w:beforeLines="50" w:after="120" w:afterLines="50"/>
              <w:jc w:val="center"/>
              <w:rPr>
                <w:rFonts w:eastAsia="楷体_GB2312"/>
                <w:color w:val="auto"/>
                <w:highlight w:val="none"/>
              </w:rPr>
            </w:pPr>
          </w:p>
        </w:tc>
        <w:tc>
          <w:tcPr>
            <w:tcW w:w="1200" w:type="dxa"/>
            <w:gridSpan w:val="2"/>
            <w:vAlign w:val="center"/>
          </w:tcPr>
          <w:p w14:paraId="7F8642FE">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410A6A4D">
            <w:pPr>
              <w:spacing w:before="120" w:beforeLines="50" w:after="120" w:afterLines="50"/>
              <w:jc w:val="center"/>
              <w:rPr>
                <w:rFonts w:eastAsia="楷体_GB2312"/>
                <w:color w:val="auto"/>
                <w:sz w:val="21"/>
                <w:highlight w:val="none"/>
              </w:rPr>
            </w:pPr>
          </w:p>
        </w:tc>
      </w:tr>
      <w:tr w14:paraId="232D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4D9D450F">
            <w:pPr>
              <w:spacing w:before="120" w:beforeLines="50" w:after="120" w:afterLines="50"/>
              <w:jc w:val="center"/>
              <w:rPr>
                <w:color w:val="auto"/>
                <w:sz w:val="21"/>
                <w:highlight w:val="none"/>
              </w:rPr>
            </w:pPr>
          </w:p>
        </w:tc>
        <w:tc>
          <w:tcPr>
            <w:tcW w:w="1680" w:type="dxa"/>
            <w:vAlign w:val="center"/>
          </w:tcPr>
          <w:p w14:paraId="3516655B">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DE0AC08">
            <w:pPr>
              <w:spacing w:before="120" w:beforeLines="50" w:after="120" w:afterLines="50"/>
              <w:jc w:val="center"/>
              <w:rPr>
                <w:rFonts w:eastAsia="楷体_GB2312"/>
                <w:color w:val="auto"/>
                <w:sz w:val="21"/>
                <w:highlight w:val="none"/>
              </w:rPr>
            </w:pPr>
          </w:p>
        </w:tc>
      </w:tr>
      <w:tr w14:paraId="2F13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0DA76FC">
            <w:pPr>
              <w:spacing w:before="120" w:beforeLines="50" w:after="120" w:afterLines="50"/>
              <w:jc w:val="center"/>
              <w:rPr>
                <w:color w:val="auto"/>
                <w:sz w:val="21"/>
                <w:highlight w:val="none"/>
              </w:rPr>
            </w:pPr>
          </w:p>
        </w:tc>
        <w:tc>
          <w:tcPr>
            <w:tcW w:w="1680" w:type="dxa"/>
            <w:vAlign w:val="center"/>
          </w:tcPr>
          <w:p w14:paraId="037062ED">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w:t>
            </w:r>
            <w:r>
              <w:rPr>
                <w:rFonts w:hint="eastAsia"/>
                <w:color w:val="auto"/>
                <w:sz w:val="21"/>
                <w:highlight w:val="none"/>
                <w:lang w:val="en-US" w:eastAsia="zh-CN"/>
              </w:rPr>
              <w:t xml:space="preserve"> </w:t>
            </w:r>
            <w:r>
              <w:rPr>
                <w:color w:val="auto"/>
                <w:sz w:val="21"/>
                <w:highlight w:val="none"/>
              </w:rPr>
              <w:t xml:space="preserve">  号</w:t>
            </w:r>
          </w:p>
        </w:tc>
        <w:tc>
          <w:tcPr>
            <w:tcW w:w="2760" w:type="dxa"/>
            <w:gridSpan w:val="2"/>
            <w:vAlign w:val="center"/>
          </w:tcPr>
          <w:p w14:paraId="0EABA595">
            <w:pPr>
              <w:spacing w:before="120" w:beforeLines="50" w:after="120" w:afterLines="50"/>
              <w:jc w:val="center"/>
              <w:rPr>
                <w:rFonts w:eastAsia="楷体_GB2312"/>
                <w:color w:val="auto"/>
                <w:sz w:val="21"/>
                <w:highlight w:val="none"/>
              </w:rPr>
            </w:pPr>
          </w:p>
        </w:tc>
        <w:tc>
          <w:tcPr>
            <w:tcW w:w="1200" w:type="dxa"/>
            <w:gridSpan w:val="2"/>
            <w:vAlign w:val="center"/>
          </w:tcPr>
          <w:p w14:paraId="515DB760">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58FCF84B">
            <w:pPr>
              <w:spacing w:before="120" w:beforeLines="50" w:after="120" w:afterLines="50"/>
              <w:jc w:val="center"/>
              <w:rPr>
                <w:rFonts w:eastAsia="楷体_GB2312"/>
                <w:color w:val="auto"/>
                <w:sz w:val="21"/>
                <w:highlight w:val="none"/>
              </w:rPr>
            </w:pPr>
          </w:p>
        </w:tc>
      </w:tr>
      <w:tr w14:paraId="158A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49A5BF48">
            <w:pPr>
              <w:spacing w:before="120" w:beforeLines="50" w:after="120" w:afterLines="50"/>
              <w:jc w:val="center"/>
              <w:rPr>
                <w:color w:val="auto"/>
                <w:sz w:val="21"/>
                <w:highlight w:val="none"/>
              </w:rPr>
            </w:pPr>
          </w:p>
          <w:p w14:paraId="697DB246">
            <w:pPr>
              <w:spacing w:before="120" w:beforeLines="50" w:after="120" w:afterLines="50"/>
              <w:jc w:val="center"/>
              <w:rPr>
                <w:color w:val="auto"/>
                <w:sz w:val="21"/>
                <w:highlight w:val="none"/>
              </w:rPr>
            </w:pPr>
            <w:r>
              <w:rPr>
                <w:color w:val="auto"/>
                <w:sz w:val="21"/>
                <w:highlight w:val="none"/>
              </w:rPr>
              <w:t>服</w:t>
            </w:r>
          </w:p>
          <w:p w14:paraId="6BC7C9C9">
            <w:pPr>
              <w:spacing w:before="120" w:beforeLines="50" w:after="120" w:afterLines="50"/>
              <w:jc w:val="center"/>
              <w:rPr>
                <w:color w:val="auto"/>
                <w:sz w:val="21"/>
                <w:highlight w:val="none"/>
              </w:rPr>
            </w:pPr>
          </w:p>
          <w:p w14:paraId="40BD52B5">
            <w:pPr>
              <w:spacing w:before="120" w:beforeLines="50" w:after="120" w:afterLines="50"/>
              <w:jc w:val="center"/>
              <w:rPr>
                <w:color w:val="auto"/>
                <w:sz w:val="21"/>
                <w:highlight w:val="none"/>
              </w:rPr>
            </w:pPr>
            <w:r>
              <w:rPr>
                <w:color w:val="auto"/>
                <w:sz w:val="21"/>
                <w:highlight w:val="none"/>
              </w:rPr>
              <w:t>务</w:t>
            </w:r>
          </w:p>
          <w:p w14:paraId="3D93AD6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608607D3">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4956B85A">
            <w:pPr>
              <w:spacing w:before="120" w:beforeLines="50" w:after="120" w:afterLines="50"/>
              <w:jc w:val="center"/>
              <w:rPr>
                <w:color w:val="auto"/>
                <w:sz w:val="21"/>
                <w:highlight w:val="none"/>
              </w:rPr>
            </w:pPr>
            <w:r>
              <w:rPr>
                <w:color w:val="auto"/>
                <w:sz w:val="21"/>
                <w:highlight w:val="none"/>
              </w:rPr>
              <w:t>(签章)</w:t>
            </w:r>
          </w:p>
        </w:tc>
      </w:tr>
      <w:tr w14:paraId="3C55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397A1D76">
            <w:pPr>
              <w:spacing w:before="120" w:beforeLines="50" w:after="120" w:afterLines="50"/>
              <w:jc w:val="center"/>
              <w:rPr>
                <w:color w:val="auto"/>
                <w:sz w:val="21"/>
                <w:highlight w:val="none"/>
              </w:rPr>
            </w:pPr>
          </w:p>
        </w:tc>
        <w:tc>
          <w:tcPr>
            <w:tcW w:w="1680" w:type="dxa"/>
            <w:vAlign w:val="center"/>
          </w:tcPr>
          <w:p w14:paraId="65185C7D">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6CDBC61E">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49280713">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6DCFEDF1">
            <w:pPr>
              <w:spacing w:before="120" w:beforeLines="50" w:after="120" w:afterLines="50"/>
              <w:jc w:val="right"/>
              <w:rPr>
                <w:color w:val="auto"/>
                <w:sz w:val="21"/>
                <w:highlight w:val="none"/>
              </w:rPr>
            </w:pPr>
            <w:r>
              <w:rPr>
                <w:color w:val="auto"/>
                <w:sz w:val="21"/>
                <w:highlight w:val="none"/>
              </w:rPr>
              <w:t>(签章)</w:t>
            </w:r>
          </w:p>
        </w:tc>
      </w:tr>
      <w:tr w14:paraId="7389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A58A1C5">
            <w:pPr>
              <w:spacing w:before="120" w:beforeLines="50" w:after="120" w:afterLines="50"/>
              <w:jc w:val="center"/>
              <w:rPr>
                <w:color w:val="auto"/>
                <w:sz w:val="21"/>
                <w:highlight w:val="none"/>
              </w:rPr>
            </w:pPr>
          </w:p>
        </w:tc>
        <w:tc>
          <w:tcPr>
            <w:tcW w:w="1680" w:type="dxa"/>
            <w:vAlign w:val="center"/>
          </w:tcPr>
          <w:p w14:paraId="2F1BFD93">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176C651E">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29BE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74C751D9">
            <w:pPr>
              <w:spacing w:before="120" w:beforeLines="50" w:after="120" w:afterLines="50"/>
              <w:jc w:val="center"/>
              <w:rPr>
                <w:color w:val="auto"/>
                <w:sz w:val="21"/>
                <w:highlight w:val="none"/>
              </w:rPr>
            </w:pPr>
          </w:p>
        </w:tc>
        <w:tc>
          <w:tcPr>
            <w:tcW w:w="1680" w:type="dxa"/>
            <w:vAlign w:val="center"/>
          </w:tcPr>
          <w:p w14:paraId="4910906E">
            <w:pPr>
              <w:spacing w:before="120" w:beforeLines="50" w:after="120" w:afterLines="50"/>
              <w:jc w:val="center"/>
              <w:rPr>
                <w:color w:val="auto"/>
                <w:sz w:val="21"/>
                <w:highlight w:val="none"/>
              </w:rPr>
            </w:pPr>
            <w:r>
              <w:rPr>
                <w:color w:val="auto"/>
                <w:sz w:val="21"/>
                <w:highlight w:val="none"/>
              </w:rPr>
              <w:t>住      所</w:t>
            </w:r>
          </w:p>
          <w:p w14:paraId="29AEBB9B">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10BD256C">
            <w:pPr>
              <w:spacing w:before="120" w:beforeLines="50" w:after="120" w:afterLines="50"/>
              <w:jc w:val="center"/>
              <w:rPr>
                <w:rFonts w:eastAsia="楷体_GB2312"/>
                <w:color w:val="auto"/>
                <w:sz w:val="28"/>
                <w:highlight w:val="none"/>
              </w:rPr>
            </w:pPr>
          </w:p>
        </w:tc>
      </w:tr>
      <w:tr w14:paraId="57582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FAE779B">
            <w:pPr>
              <w:spacing w:before="120" w:beforeLines="50" w:after="120" w:afterLines="50"/>
              <w:jc w:val="center"/>
              <w:rPr>
                <w:color w:val="auto"/>
                <w:sz w:val="21"/>
                <w:highlight w:val="none"/>
              </w:rPr>
            </w:pPr>
          </w:p>
        </w:tc>
        <w:tc>
          <w:tcPr>
            <w:tcW w:w="1680" w:type="dxa"/>
            <w:vAlign w:val="center"/>
          </w:tcPr>
          <w:p w14:paraId="71C6E533">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4342FF9B">
            <w:pPr>
              <w:spacing w:before="120" w:beforeLines="50" w:after="120" w:afterLines="50"/>
              <w:jc w:val="center"/>
              <w:rPr>
                <w:rFonts w:eastAsia="楷体_GB2312"/>
                <w:color w:val="auto"/>
                <w:sz w:val="28"/>
                <w:highlight w:val="none"/>
              </w:rPr>
            </w:pPr>
          </w:p>
        </w:tc>
        <w:tc>
          <w:tcPr>
            <w:tcW w:w="1200" w:type="dxa"/>
            <w:gridSpan w:val="2"/>
            <w:vAlign w:val="center"/>
          </w:tcPr>
          <w:p w14:paraId="085109C1">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4E5FC3C2">
            <w:pPr>
              <w:spacing w:before="120" w:beforeLines="50" w:after="120" w:afterLines="50"/>
              <w:jc w:val="center"/>
              <w:rPr>
                <w:rFonts w:eastAsia="楷体_GB2312"/>
                <w:color w:val="auto"/>
                <w:sz w:val="28"/>
                <w:highlight w:val="none"/>
              </w:rPr>
            </w:pPr>
          </w:p>
        </w:tc>
      </w:tr>
      <w:tr w14:paraId="4610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44DD5700">
            <w:pPr>
              <w:spacing w:before="120" w:beforeLines="50" w:after="120" w:afterLines="50"/>
              <w:jc w:val="center"/>
              <w:rPr>
                <w:color w:val="auto"/>
                <w:sz w:val="21"/>
                <w:highlight w:val="none"/>
              </w:rPr>
            </w:pPr>
          </w:p>
        </w:tc>
        <w:tc>
          <w:tcPr>
            <w:tcW w:w="1680" w:type="dxa"/>
            <w:vAlign w:val="center"/>
          </w:tcPr>
          <w:p w14:paraId="6DA7AF3C">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45D02FA9">
            <w:pPr>
              <w:spacing w:before="120" w:beforeLines="50" w:after="120" w:afterLines="50"/>
              <w:jc w:val="center"/>
              <w:rPr>
                <w:rFonts w:eastAsia="楷体_GB2312"/>
                <w:color w:val="auto"/>
                <w:sz w:val="28"/>
                <w:highlight w:val="none"/>
              </w:rPr>
            </w:pPr>
          </w:p>
        </w:tc>
      </w:tr>
      <w:tr w14:paraId="36E8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0AE8CA15">
            <w:pPr>
              <w:spacing w:before="120" w:beforeLines="50" w:after="120" w:afterLines="50"/>
              <w:jc w:val="center"/>
              <w:rPr>
                <w:color w:val="auto"/>
                <w:sz w:val="21"/>
                <w:highlight w:val="none"/>
              </w:rPr>
            </w:pPr>
          </w:p>
        </w:tc>
        <w:tc>
          <w:tcPr>
            <w:tcW w:w="1680" w:type="dxa"/>
            <w:vAlign w:val="center"/>
          </w:tcPr>
          <w:p w14:paraId="44123959">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5044086A">
            <w:pPr>
              <w:spacing w:before="120" w:beforeLines="50" w:after="120" w:afterLines="50"/>
              <w:jc w:val="center"/>
              <w:rPr>
                <w:rFonts w:eastAsia="楷体_GB2312"/>
                <w:color w:val="auto"/>
                <w:sz w:val="28"/>
                <w:szCs w:val="28"/>
                <w:highlight w:val="none"/>
              </w:rPr>
            </w:pPr>
          </w:p>
        </w:tc>
      </w:tr>
      <w:tr w14:paraId="425C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6025E9BD">
            <w:pPr>
              <w:spacing w:before="120" w:beforeLines="50" w:after="120" w:afterLines="50"/>
              <w:jc w:val="center"/>
              <w:rPr>
                <w:color w:val="auto"/>
                <w:sz w:val="21"/>
                <w:highlight w:val="none"/>
              </w:rPr>
            </w:pPr>
          </w:p>
        </w:tc>
        <w:tc>
          <w:tcPr>
            <w:tcW w:w="1680" w:type="dxa"/>
            <w:vAlign w:val="center"/>
          </w:tcPr>
          <w:p w14:paraId="2A37C148">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3000" w:type="dxa"/>
            <w:gridSpan w:val="3"/>
            <w:vAlign w:val="center"/>
          </w:tcPr>
          <w:p w14:paraId="3150D3B6">
            <w:pPr>
              <w:spacing w:before="120" w:beforeLines="50" w:after="120" w:afterLines="50"/>
              <w:jc w:val="center"/>
              <w:rPr>
                <w:rFonts w:eastAsia="楷体_GB2312"/>
                <w:color w:val="auto"/>
                <w:sz w:val="28"/>
                <w:szCs w:val="28"/>
                <w:highlight w:val="none"/>
              </w:rPr>
            </w:pPr>
          </w:p>
        </w:tc>
        <w:tc>
          <w:tcPr>
            <w:tcW w:w="1087" w:type="dxa"/>
            <w:gridSpan w:val="2"/>
            <w:vAlign w:val="center"/>
          </w:tcPr>
          <w:p w14:paraId="5B6958B8">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5C1D44D4">
            <w:pPr>
              <w:spacing w:before="120" w:beforeLines="50" w:after="120" w:afterLines="50"/>
              <w:jc w:val="center"/>
              <w:rPr>
                <w:rFonts w:eastAsia="楷体_GB2312"/>
                <w:color w:val="auto"/>
                <w:sz w:val="28"/>
                <w:szCs w:val="28"/>
                <w:highlight w:val="none"/>
              </w:rPr>
            </w:pPr>
          </w:p>
        </w:tc>
      </w:tr>
      <w:tr w14:paraId="32951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70460D25">
            <w:pPr>
              <w:spacing w:before="120" w:beforeLines="50" w:after="120" w:afterLines="50"/>
              <w:jc w:val="center"/>
              <w:rPr>
                <w:color w:val="auto"/>
                <w:sz w:val="21"/>
                <w:highlight w:val="none"/>
              </w:rPr>
            </w:pPr>
            <w:r>
              <w:rPr>
                <w:color w:val="auto"/>
                <w:sz w:val="21"/>
                <w:highlight w:val="none"/>
              </w:rPr>
              <w:t>鉴</w:t>
            </w:r>
          </w:p>
          <w:p w14:paraId="0FE7E338">
            <w:pPr>
              <w:spacing w:before="120" w:beforeLines="50" w:after="120" w:afterLines="50"/>
              <w:jc w:val="center"/>
              <w:rPr>
                <w:color w:val="auto"/>
                <w:sz w:val="21"/>
                <w:highlight w:val="none"/>
              </w:rPr>
            </w:pPr>
            <w:r>
              <w:rPr>
                <w:color w:val="auto"/>
                <w:sz w:val="21"/>
                <w:highlight w:val="none"/>
              </w:rPr>
              <w:t>证</w:t>
            </w:r>
          </w:p>
          <w:p w14:paraId="484D34D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652921F9">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1B990332">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0CC2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7826368B">
            <w:pPr>
              <w:spacing w:before="120" w:beforeLines="50" w:after="120" w:afterLines="50"/>
              <w:jc w:val="center"/>
              <w:rPr>
                <w:color w:val="auto"/>
                <w:sz w:val="21"/>
                <w:highlight w:val="none"/>
              </w:rPr>
            </w:pPr>
          </w:p>
        </w:tc>
        <w:tc>
          <w:tcPr>
            <w:tcW w:w="1680" w:type="dxa"/>
            <w:vAlign w:val="center"/>
          </w:tcPr>
          <w:p w14:paraId="57442304">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36779A7F">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55B14AFC">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58CD9372">
            <w:pPr>
              <w:spacing w:before="120" w:beforeLines="50" w:after="120" w:afterLines="50"/>
              <w:jc w:val="right"/>
              <w:rPr>
                <w:color w:val="auto"/>
                <w:sz w:val="21"/>
                <w:highlight w:val="none"/>
              </w:rPr>
            </w:pPr>
            <w:r>
              <w:rPr>
                <w:color w:val="auto"/>
                <w:sz w:val="21"/>
                <w:highlight w:val="none"/>
              </w:rPr>
              <w:t>(签章)</w:t>
            </w:r>
          </w:p>
        </w:tc>
      </w:tr>
      <w:tr w14:paraId="4643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62B20CA">
            <w:pPr>
              <w:spacing w:before="120" w:beforeLines="50" w:after="120" w:afterLines="50"/>
              <w:jc w:val="center"/>
              <w:rPr>
                <w:color w:val="auto"/>
                <w:sz w:val="21"/>
                <w:highlight w:val="none"/>
              </w:rPr>
            </w:pPr>
          </w:p>
        </w:tc>
        <w:tc>
          <w:tcPr>
            <w:tcW w:w="1680" w:type="dxa"/>
            <w:vAlign w:val="center"/>
          </w:tcPr>
          <w:p w14:paraId="7FC408F8">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7B76C834">
            <w:pPr>
              <w:spacing w:before="120" w:beforeLines="50" w:after="120" w:afterLines="50"/>
              <w:jc w:val="center"/>
              <w:rPr>
                <w:color w:val="auto"/>
                <w:sz w:val="21"/>
                <w:highlight w:val="none"/>
              </w:rPr>
            </w:pPr>
            <w:r>
              <w:rPr>
                <w:color w:val="auto"/>
                <w:sz w:val="21"/>
                <w:highlight w:val="none"/>
              </w:rPr>
              <w:t>(签章)</w:t>
            </w:r>
          </w:p>
        </w:tc>
      </w:tr>
      <w:tr w14:paraId="477D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3EFAFF90">
            <w:pPr>
              <w:spacing w:before="120" w:beforeLines="50" w:after="120" w:afterLines="50"/>
              <w:jc w:val="center"/>
              <w:rPr>
                <w:color w:val="auto"/>
                <w:sz w:val="21"/>
                <w:highlight w:val="none"/>
              </w:rPr>
            </w:pPr>
          </w:p>
        </w:tc>
        <w:tc>
          <w:tcPr>
            <w:tcW w:w="1680" w:type="dxa"/>
            <w:vAlign w:val="center"/>
          </w:tcPr>
          <w:p w14:paraId="2B971DBA">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1E9314D">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7C8A07AD">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7DE198E7">
            <w:pPr>
              <w:spacing w:before="120" w:beforeLines="50" w:after="120" w:afterLines="50"/>
              <w:jc w:val="center"/>
              <w:rPr>
                <w:color w:val="auto"/>
                <w:sz w:val="21"/>
                <w:highlight w:val="none"/>
              </w:rPr>
            </w:pPr>
          </w:p>
        </w:tc>
      </w:tr>
      <w:tr w14:paraId="0750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7DD9F6FC">
            <w:pPr>
              <w:spacing w:before="120" w:beforeLines="50" w:after="120" w:afterLines="50"/>
              <w:jc w:val="center"/>
              <w:rPr>
                <w:color w:val="auto"/>
                <w:sz w:val="21"/>
                <w:highlight w:val="none"/>
              </w:rPr>
            </w:pPr>
          </w:p>
        </w:tc>
        <w:tc>
          <w:tcPr>
            <w:tcW w:w="1680" w:type="dxa"/>
            <w:vAlign w:val="center"/>
          </w:tcPr>
          <w:p w14:paraId="2C2D2A9D">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29396C2A">
            <w:pPr>
              <w:spacing w:before="120" w:beforeLines="50" w:after="120" w:afterLines="50"/>
              <w:jc w:val="center"/>
              <w:rPr>
                <w:color w:val="auto"/>
                <w:sz w:val="21"/>
                <w:highlight w:val="none"/>
              </w:rPr>
            </w:pPr>
          </w:p>
        </w:tc>
      </w:tr>
      <w:tr w14:paraId="2260E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196CC424">
            <w:pPr>
              <w:spacing w:before="120" w:beforeLines="50" w:after="120" w:afterLines="50"/>
              <w:jc w:val="center"/>
              <w:rPr>
                <w:color w:val="auto"/>
                <w:sz w:val="21"/>
                <w:highlight w:val="none"/>
              </w:rPr>
            </w:pPr>
          </w:p>
        </w:tc>
        <w:tc>
          <w:tcPr>
            <w:tcW w:w="1680" w:type="dxa"/>
            <w:vAlign w:val="center"/>
          </w:tcPr>
          <w:p w14:paraId="4BEC12D8">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47" w:type="dxa"/>
            <w:gridSpan w:val="3"/>
            <w:vAlign w:val="center"/>
          </w:tcPr>
          <w:p w14:paraId="5E5B4A0B">
            <w:pPr>
              <w:spacing w:before="120" w:beforeLines="50" w:after="120" w:afterLines="50"/>
              <w:jc w:val="center"/>
              <w:rPr>
                <w:color w:val="auto"/>
                <w:sz w:val="21"/>
                <w:highlight w:val="none"/>
              </w:rPr>
            </w:pPr>
          </w:p>
        </w:tc>
        <w:tc>
          <w:tcPr>
            <w:tcW w:w="1176" w:type="dxa"/>
            <w:gridSpan w:val="2"/>
            <w:vAlign w:val="center"/>
          </w:tcPr>
          <w:p w14:paraId="501C8CD4">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30104CB0">
            <w:pPr>
              <w:spacing w:before="120" w:beforeLines="50" w:after="120" w:afterLines="50"/>
              <w:jc w:val="center"/>
              <w:rPr>
                <w:color w:val="auto"/>
                <w:sz w:val="21"/>
                <w:highlight w:val="none"/>
              </w:rPr>
            </w:pPr>
          </w:p>
        </w:tc>
      </w:tr>
    </w:tbl>
    <w:p w14:paraId="37F5C07C">
      <w:pPr>
        <w:spacing w:line="500" w:lineRule="exact"/>
        <w:ind w:firstLine="5760" w:firstLineChars="2400"/>
        <w:rPr>
          <w:color w:val="auto"/>
          <w:highlight w:val="none"/>
        </w:rPr>
      </w:pPr>
    </w:p>
    <w:p w14:paraId="3E030D41">
      <w:pPr>
        <w:spacing w:before="120" w:beforeLines="50"/>
        <w:ind w:right="11"/>
        <w:jc w:val="center"/>
        <w:rPr>
          <w:rFonts w:eastAsia="黑体"/>
          <w:color w:val="auto"/>
          <w:sz w:val="44"/>
          <w:highlight w:val="none"/>
          <w:u w:val="single"/>
        </w:rPr>
      </w:pPr>
    </w:p>
    <w:p w14:paraId="27E1CAFE">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49C9A6A7">
      <w:pPr>
        <w:ind w:right="11"/>
        <w:jc w:val="center"/>
        <w:rPr>
          <w:rFonts w:eastAsia="黑体"/>
          <w:color w:val="auto"/>
          <w:spacing w:val="122"/>
          <w:sz w:val="32"/>
          <w:highlight w:val="none"/>
          <w:u w:val="single"/>
        </w:rPr>
      </w:pPr>
    </w:p>
    <w:p w14:paraId="3B2E0BA9">
      <w:pPr>
        <w:ind w:right="11"/>
        <w:jc w:val="center"/>
        <w:rPr>
          <w:rFonts w:eastAsia="黑体"/>
          <w:color w:val="auto"/>
          <w:spacing w:val="122"/>
          <w:sz w:val="32"/>
          <w:highlight w:val="none"/>
          <w:u w:val="single"/>
        </w:rPr>
      </w:pPr>
    </w:p>
    <w:p w14:paraId="1EA565C7">
      <w:pPr>
        <w:ind w:right="11"/>
        <w:jc w:val="center"/>
        <w:rPr>
          <w:rFonts w:eastAsia="黑体"/>
          <w:color w:val="auto"/>
          <w:spacing w:val="122"/>
          <w:sz w:val="32"/>
          <w:highlight w:val="none"/>
          <w:u w:val="single"/>
        </w:rPr>
      </w:pPr>
    </w:p>
    <w:p w14:paraId="78680A53">
      <w:pPr>
        <w:ind w:right="11"/>
        <w:jc w:val="center"/>
        <w:rPr>
          <w:rFonts w:eastAsia="黑体"/>
          <w:color w:val="auto"/>
          <w:spacing w:val="122"/>
          <w:sz w:val="32"/>
          <w:highlight w:val="none"/>
          <w:u w:val="single"/>
        </w:rPr>
      </w:pPr>
    </w:p>
    <w:p w14:paraId="129A8CA0">
      <w:pPr>
        <w:ind w:right="11"/>
        <w:jc w:val="center"/>
        <w:rPr>
          <w:rFonts w:eastAsia="黑体"/>
          <w:color w:val="auto"/>
          <w:spacing w:val="122"/>
          <w:sz w:val="32"/>
          <w:highlight w:val="none"/>
          <w:u w:val="single"/>
        </w:rPr>
      </w:pPr>
    </w:p>
    <w:p w14:paraId="4B446844">
      <w:pPr>
        <w:ind w:right="11"/>
        <w:jc w:val="center"/>
        <w:rPr>
          <w:rFonts w:eastAsia="黑体"/>
          <w:color w:val="auto"/>
          <w:spacing w:val="122"/>
          <w:sz w:val="32"/>
          <w:highlight w:val="none"/>
          <w:u w:val="single"/>
        </w:rPr>
      </w:pPr>
    </w:p>
    <w:p w14:paraId="1A11001C">
      <w:pPr>
        <w:ind w:right="11"/>
        <w:jc w:val="center"/>
        <w:rPr>
          <w:rFonts w:eastAsia="黑体"/>
          <w:color w:val="auto"/>
          <w:spacing w:val="122"/>
          <w:sz w:val="32"/>
          <w:highlight w:val="none"/>
          <w:u w:val="single"/>
        </w:rPr>
      </w:pPr>
    </w:p>
    <w:p w14:paraId="28636593">
      <w:pPr>
        <w:ind w:right="11"/>
        <w:jc w:val="center"/>
        <w:rPr>
          <w:rFonts w:eastAsia="黑体"/>
          <w:color w:val="auto"/>
          <w:spacing w:val="122"/>
          <w:sz w:val="32"/>
          <w:highlight w:val="none"/>
          <w:u w:val="single"/>
        </w:rPr>
      </w:pPr>
    </w:p>
    <w:p w14:paraId="1F3E4AC5">
      <w:pPr>
        <w:ind w:right="11"/>
        <w:jc w:val="center"/>
        <w:rPr>
          <w:rFonts w:eastAsia="黑体"/>
          <w:color w:val="auto"/>
          <w:spacing w:val="122"/>
          <w:sz w:val="32"/>
          <w:highlight w:val="none"/>
          <w:u w:val="single"/>
        </w:rPr>
      </w:pPr>
    </w:p>
    <w:p w14:paraId="0783602C">
      <w:pPr>
        <w:ind w:right="11"/>
        <w:jc w:val="center"/>
        <w:rPr>
          <w:rFonts w:eastAsia="黑体"/>
          <w:color w:val="auto"/>
          <w:spacing w:val="122"/>
          <w:sz w:val="32"/>
          <w:highlight w:val="none"/>
          <w:u w:val="single"/>
        </w:rPr>
      </w:pPr>
    </w:p>
    <w:p w14:paraId="20F8FB97">
      <w:pPr>
        <w:ind w:right="11"/>
        <w:jc w:val="center"/>
        <w:rPr>
          <w:rFonts w:eastAsia="黑体"/>
          <w:color w:val="auto"/>
          <w:spacing w:val="122"/>
          <w:sz w:val="32"/>
          <w:highlight w:val="none"/>
          <w:u w:val="single"/>
        </w:rPr>
      </w:pPr>
    </w:p>
    <w:p w14:paraId="0FEF68D4">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359437B4">
                            <w:pPr>
                              <w:rPr>
                                <w:sz w:val="28"/>
                              </w:rPr>
                            </w:pPr>
                            <w:r>
                              <w:rPr>
                                <w:rFonts w:hint="eastAsia"/>
                                <w:sz w:val="28"/>
                              </w:rPr>
                              <w:t>登记机关审查登记栏：</w:t>
                            </w:r>
                          </w:p>
                          <w:p w14:paraId="35453276">
                            <w:pPr>
                              <w:rPr>
                                <w:sz w:val="28"/>
                              </w:rPr>
                            </w:pPr>
                          </w:p>
                          <w:p w14:paraId="782504FA">
                            <w:pPr>
                              <w:rPr>
                                <w:sz w:val="28"/>
                              </w:rPr>
                            </w:pPr>
                          </w:p>
                          <w:p w14:paraId="42C3B911">
                            <w:pPr>
                              <w:ind w:firstLine="3920" w:firstLineChars="1400"/>
                              <w:rPr>
                                <w:sz w:val="28"/>
                              </w:rPr>
                            </w:pPr>
                            <w:r>
                              <w:rPr>
                                <w:rFonts w:hint="eastAsia"/>
                                <w:sz w:val="28"/>
                              </w:rPr>
                              <w:t>技术合同登记机关（专用章）</w:t>
                            </w:r>
                          </w:p>
                          <w:p w14:paraId="3D0B7D30">
                            <w:pPr>
                              <w:ind w:firstLine="1120" w:firstLineChars="400"/>
                              <w:rPr>
                                <w:sz w:val="28"/>
                              </w:rPr>
                            </w:pPr>
                          </w:p>
                          <w:p w14:paraId="6DA5F5AC">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359437B4">
                      <w:pPr>
                        <w:rPr>
                          <w:sz w:val="28"/>
                        </w:rPr>
                      </w:pPr>
                      <w:r>
                        <w:rPr>
                          <w:rFonts w:hint="eastAsia"/>
                          <w:sz w:val="28"/>
                        </w:rPr>
                        <w:t>登记机关审查登记栏：</w:t>
                      </w:r>
                    </w:p>
                    <w:p w14:paraId="35453276">
                      <w:pPr>
                        <w:rPr>
                          <w:sz w:val="28"/>
                        </w:rPr>
                      </w:pPr>
                    </w:p>
                    <w:p w14:paraId="782504FA">
                      <w:pPr>
                        <w:rPr>
                          <w:sz w:val="28"/>
                        </w:rPr>
                      </w:pPr>
                    </w:p>
                    <w:p w14:paraId="42C3B911">
                      <w:pPr>
                        <w:ind w:firstLine="3920" w:firstLineChars="1400"/>
                        <w:rPr>
                          <w:sz w:val="28"/>
                        </w:rPr>
                      </w:pPr>
                      <w:r>
                        <w:rPr>
                          <w:rFonts w:hint="eastAsia"/>
                          <w:sz w:val="28"/>
                        </w:rPr>
                        <w:t>技术合同登记机关（专用章）</w:t>
                      </w:r>
                    </w:p>
                    <w:p w14:paraId="3D0B7D30">
                      <w:pPr>
                        <w:ind w:firstLine="1120" w:firstLineChars="400"/>
                        <w:rPr>
                          <w:sz w:val="28"/>
                        </w:rPr>
                      </w:pPr>
                    </w:p>
                    <w:p w14:paraId="6DA5F5AC">
                      <w:pPr>
                        <w:ind w:firstLine="1680" w:firstLineChars="600"/>
                        <w:rPr>
                          <w:rFonts w:ascii="黑体" w:eastAsia="黑体"/>
                          <w:sz w:val="28"/>
                        </w:rPr>
                      </w:pPr>
                      <w:r>
                        <w:rPr>
                          <w:rFonts w:hint="eastAsia"/>
                          <w:sz w:val="28"/>
                        </w:rPr>
                        <w:t>经办人：        （签章）    20   年   月   日</w:t>
                      </w:r>
                    </w:p>
                  </w:txbxContent>
                </v:textbox>
              </v:shape>
            </w:pict>
          </mc:Fallback>
        </mc:AlternateContent>
      </w:r>
    </w:p>
    <w:p w14:paraId="2194FB7C">
      <w:pPr>
        <w:ind w:right="11"/>
        <w:rPr>
          <w:color w:val="auto"/>
          <w:highlight w:val="none"/>
        </w:rPr>
      </w:pPr>
    </w:p>
    <w:p w14:paraId="3671DF47">
      <w:pPr>
        <w:ind w:right="11"/>
        <w:rPr>
          <w:color w:val="auto"/>
          <w:highlight w:val="none"/>
        </w:rPr>
      </w:pPr>
    </w:p>
    <w:p w14:paraId="5DB63802">
      <w:pPr>
        <w:ind w:right="11"/>
        <w:rPr>
          <w:color w:val="auto"/>
          <w:highlight w:val="none"/>
        </w:rPr>
      </w:pPr>
    </w:p>
    <w:p w14:paraId="2E53FCAE">
      <w:pPr>
        <w:rPr>
          <w:color w:val="auto"/>
          <w:highlight w:val="none"/>
        </w:rPr>
      </w:pPr>
    </w:p>
    <w:p w14:paraId="0ED5EAD9">
      <w:pPr>
        <w:rPr>
          <w:color w:val="auto"/>
          <w:highlight w:val="none"/>
        </w:rPr>
      </w:pPr>
    </w:p>
    <w:p w14:paraId="0E89A194">
      <w:pPr>
        <w:rPr>
          <w:color w:val="auto"/>
          <w:highlight w:val="none"/>
        </w:rPr>
      </w:pPr>
    </w:p>
    <w:p w14:paraId="1F712A00">
      <w:pPr>
        <w:rPr>
          <w:color w:val="auto"/>
          <w:highlight w:val="none"/>
        </w:rPr>
      </w:pPr>
    </w:p>
    <w:p w14:paraId="1F8369FA">
      <w:pPr>
        <w:tabs>
          <w:tab w:val="left" w:pos="3930"/>
        </w:tabs>
        <w:rPr>
          <w:color w:val="auto"/>
          <w:highlight w:val="none"/>
        </w:rPr>
      </w:pPr>
      <w:r>
        <w:rPr>
          <w:color w:val="auto"/>
          <w:highlight w:val="none"/>
        </w:rPr>
        <w:tab/>
      </w:r>
    </w:p>
    <w:p w14:paraId="069DE1A4">
      <w:pPr>
        <w:spacing w:line="500" w:lineRule="exact"/>
        <w:ind w:firstLine="5760" w:firstLineChars="2400"/>
        <w:rPr>
          <w:color w:val="auto"/>
          <w:highlight w:val="none"/>
        </w:rPr>
      </w:pPr>
    </w:p>
    <w:p w14:paraId="7535DBBC">
      <w:pPr>
        <w:jc w:val="center"/>
        <w:rPr>
          <w:color w:val="auto"/>
          <w:highlight w:val="none"/>
        </w:rPr>
      </w:pPr>
    </w:p>
    <w:p w14:paraId="788B3FA0">
      <w:pPr>
        <w:jc w:val="center"/>
        <w:rPr>
          <w:color w:val="auto"/>
          <w:highlight w:val="none"/>
        </w:rPr>
      </w:pPr>
    </w:p>
    <w:p w14:paraId="65AF52EB">
      <w:pPr>
        <w:ind w:right="11"/>
        <w:rPr>
          <w:color w:val="auto"/>
          <w:highlight w:val="none"/>
        </w:rPr>
      </w:pPr>
    </w:p>
    <w:p w14:paraId="102BECEC">
      <w:pPr>
        <w:spacing w:line="300" w:lineRule="auto"/>
        <w:rPr>
          <w:color w:val="auto"/>
          <w:highlight w:val="none"/>
        </w:rPr>
      </w:pPr>
    </w:p>
    <w:p w14:paraId="6C249D75">
      <w:pPr>
        <w:pStyle w:val="44"/>
        <w:rPr>
          <w:color w:val="auto"/>
          <w:highlight w:val="none"/>
          <w:lang w:eastAsia="zh-CN"/>
        </w:rPr>
      </w:pPr>
    </w:p>
    <w:p w14:paraId="3741974C">
      <w:pPr>
        <w:pStyle w:val="44"/>
        <w:rPr>
          <w:color w:val="auto"/>
          <w:highlight w:val="none"/>
        </w:rPr>
      </w:pPr>
    </w:p>
    <w:p w14:paraId="1FC95CC0">
      <w:pPr>
        <w:pStyle w:val="44"/>
        <w:rPr>
          <w:color w:val="auto"/>
          <w:highlight w:val="none"/>
        </w:rPr>
      </w:pPr>
    </w:p>
    <w:p w14:paraId="601D3AA9">
      <w:pPr>
        <w:pStyle w:val="44"/>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2190D6-A41D-4137-96D5-7A17FA60CA85}"/>
  </w:font>
  <w:font w:name="黑体">
    <w:panose1 w:val="02010609060101010101"/>
    <w:charset w:val="86"/>
    <w:family w:val="auto"/>
    <w:pitch w:val="default"/>
    <w:sig w:usb0="800002BF" w:usb1="38CF7CFA" w:usb2="00000016" w:usb3="00000000" w:csb0="00040001" w:csb1="00000000"/>
    <w:embedRegular r:id="rId2" w:fontKey="{686FA842-876D-4D91-A931-021401AAD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F0CD2230-C36F-4379-BAE0-D13B6E1CFE8D}"/>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3B5EBB2F-9D24-4B02-A2D6-18A7A5147178}"/>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5" w:fontKey="{7F9BF95E-4E7D-4549-8C9B-C70713D8EB71}"/>
  </w:font>
  <w:font w:name="楷体">
    <w:panose1 w:val="02010609060101010101"/>
    <w:charset w:val="86"/>
    <w:family w:val="auto"/>
    <w:pitch w:val="default"/>
    <w:sig w:usb0="800002BF" w:usb1="38CF7CFA" w:usb2="00000016" w:usb3="00000000" w:csb0="00040001" w:csb1="00000000"/>
    <w:embedRegular r:id="rId6" w:fontKey="{C3AA4073-1208-43FA-B380-A3D30669D5E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CF6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4384"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4384;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5168;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3360;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0288;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5"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2336;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6"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lang w:eastAsia="zh-CN"/>
      </w:rPr>
      <w:t>浙江省重点河流主要控制断面生态流量监测评价（2025年）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446C31"/>
    <w:rsid w:val="014761A5"/>
    <w:rsid w:val="014A2DD9"/>
    <w:rsid w:val="014A51C2"/>
    <w:rsid w:val="01953D19"/>
    <w:rsid w:val="019F36C4"/>
    <w:rsid w:val="01D408F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B0012B"/>
    <w:rsid w:val="03BF37C8"/>
    <w:rsid w:val="03E40907"/>
    <w:rsid w:val="041D4619"/>
    <w:rsid w:val="043A57EC"/>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CA098C"/>
    <w:rsid w:val="05E83DFF"/>
    <w:rsid w:val="06161AE0"/>
    <w:rsid w:val="06293014"/>
    <w:rsid w:val="064B0A93"/>
    <w:rsid w:val="06C25773"/>
    <w:rsid w:val="06D46DA7"/>
    <w:rsid w:val="07280369"/>
    <w:rsid w:val="07355355"/>
    <w:rsid w:val="073C5398"/>
    <w:rsid w:val="074D3623"/>
    <w:rsid w:val="075C3B02"/>
    <w:rsid w:val="07756781"/>
    <w:rsid w:val="077B12F4"/>
    <w:rsid w:val="077C4D12"/>
    <w:rsid w:val="077F20B8"/>
    <w:rsid w:val="07B428E5"/>
    <w:rsid w:val="07E13D6B"/>
    <w:rsid w:val="07E61182"/>
    <w:rsid w:val="07F04451"/>
    <w:rsid w:val="07F645C9"/>
    <w:rsid w:val="08460CF5"/>
    <w:rsid w:val="084E5F15"/>
    <w:rsid w:val="085B393A"/>
    <w:rsid w:val="088E7A4F"/>
    <w:rsid w:val="08C01BD2"/>
    <w:rsid w:val="08C711B3"/>
    <w:rsid w:val="08CB5CC9"/>
    <w:rsid w:val="08CF1E16"/>
    <w:rsid w:val="08F61A47"/>
    <w:rsid w:val="08FA5A5D"/>
    <w:rsid w:val="09045F63"/>
    <w:rsid w:val="090E6E51"/>
    <w:rsid w:val="094954B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A51BB4"/>
    <w:rsid w:val="0AB12DC0"/>
    <w:rsid w:val="0AC32216"/>
    <w:rsid w:val="0AC532E0"/>
    <w:rsid w:val="0ACC0D02"/>
    <w:rsid w:val="0AEC6CAF"/>
    <w:rsid w:val="0AEF621B"/>
    <w:rsid w:val="0AF83DB0"/>
    <w:rsid w:val="0B3B393F"/>
    <w:rsid w:val="0B422D73"/>
    <w:rsid w:val="0B454A94"/>
    <w:rsid w:val="0B6D6042"/>
    <w:rsid w:val="0B6E1DBA"/>
    <w:rsid w:val="0B753148"/>
    <w:rsid w:val="0B8D069C"/>
    <w:rsid w:val="0B925C75"/>
    <w:rsid w:val="0BA92DF2"/>
    <w:rsid w:val="0BA94BA0"/>
    <w:rsid w:val="0C175FAD"/>
    <w:rsid w:val="0C5B40EC"/>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A16476"/>
    <w:rsid w:val="0DD620A7"/>
    <w:rsid w:val="0DFD5A6A"/>
    <w:rsid w:val="0DFF4F4B"/>
    <w:rsid w:val="0E0E6DD2"/>
    <w:rsid w:val="0E231644"/>
    <w:rsid w:val="0E48537D"/>
    <w:rsid w:val="0E80369D"/>
    <w:rsid w:val="0EDF593E"/>
    <w:rsid w:val="0F151EDD"/>
    <w:rsid w:val="0F264E85"/>
    <w:rsid w:val="0F2E0B64"/>
    <w:rsid w:val="0F4946D0"/>
    <w:rsid w:val="0F4D1BD5"/>
    <w:rsid w:val="0F50417F"/>
    <w:rsid w:val="0F61539C"/>
    <w:rsid w:val="0F6E6935"/>
    <w:rsid w:val="0F8D08F5"/>
    <w:rsid w:val="0F9B1EDD"/>
    <w:rsid w:val="0FA86CE7"/>
    <w:rsid w:val="0FB12275"/>
    <w:rsid w:val="0FB51251"/>
    <w:rsid w:val="0FC401FA"/>
    <w:rsid w:val="0FCB5963"/>
    <w:rsid w:val="0FF36C1E"/>
    <w:rsid w:val="100C465D"/>
    <w:rsid w:val="103E531D"/>
    <w:rsid w:val="10482BD9"/>
    <w:rsid w:val="104D58A3"/>
    <w:rsid w:val="10671757"/>
    <w:rsid w:val="107420DF"/>
    <w:rsid w:val="108B6C39"/>
    <w:rsid w:val="10C7006A"/>
    <w:rsid w:val="10F92E76"/>
    <w:rsid w:val="110D6E77"/>
    <w:rsid w:val="110E534D"/>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465E30"/>
    <w:rsid w:val="135A59EC"/>
    <w:rsid w:val="13AA5959"/>
    <w:rsid w:val="13AA7B26"/>
    <w:rsid w:val="13B13D58"/>
    <w:rsid w:val="13E175CD"/>
    <w:rsid w:val="141B489B"/>
    <w:rsid w:val="143611E7"/>
    <w:rsid w:val="144D1257"/>
    <w:rsid w:val="14740691"/>
    <w:rsid w:val="14A800EA"/>
    <w:rsid w:val="14B175AA"/>
    <w:rsid w:val="14EA425F"/>
    <w:rsid w:val="14F769AE"/>
    <w:rsid w:val="15063063"/>
    <w:rsid w:val="150712B5"/>
    <w:rsid w:val="15094848"/>
    <w:rsid w:val="150C1E06"/>
    <w:rsid w:val="15254454"/>
    <w:rsid w:val="15376899"/>
    <w:rsid w:val="15394AE7"/>
    <w:rsid w:val="1542409B"/>
    <w:rsid w:val="155E32A3"/>
    <w:rsid w:val="15691807"/>
    <w:rsid w:val="156D5A31"/>
    <w:rsid w:val="1573093F"/>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73A1C"/>
    <w:rsid w:val="182849A3"/>
    <w:rsid w:val="18541871"/>
    <w:rsid w:val="186A2EB1"/>
    <w:rsid w:val="18987C80"/>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66281"/>
    <w:rsid w:val="1C1C7AFA"/>
    <w:rsid w:val="1C277A48"/>
    <w:rsid w:val="1C2A0C71"/>
    <w:rsid w:val="1C363B56"/>
    <w:rsid w:val="1C404155"/>
    <w:rsid w:val="1C662D65"/>
    <w:rsid w:val="1C7D2E60"/>
    <w:rsid w:val="1CAB4C49"/>
    <w:rsid w:val="1CD61AEE"/>
    <w:rsid w:val="1CDD6D9F"/>
    <w:rsid w:val="1D121BB1"/>
    <w:rsid w:val="1D297FDA"/>
    <w:rsid w:val="1D2B18B9"/>
    <w:rsid w:val="1D4B65E0"/>
    <w:rsid w:val="1D4E55A7"/>
    <w:rsid w:val="1D520724"/>
    <w:rsid w:val="1D5454AB"/>
    <w:rsid w:val="1D674BC4"/>
    <w:rsid w:val="1D832105"/>
    <w:rsid w:val="1DAF6046"/>
    <w:rsid w:val="1DBC69B5"/>
    <w:rsid w:val="1DD82FFB"/>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4F7F58"/>
    <w:rsid w:val="226F47E2"/>
    <w:rsid w:val="227278E8"/>
    <w:rsid w:val="22765CAC"/>
    <w:rsid w:val="229D4001"/>
    <w:rsid w:val="22A91CCF"/>
    <w:rsid w:val="22C90BDB"/>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F58EA"/>
    <w:rsid w:val="23D14CE3"/>
    <w:rsid w:val="23E312E2"/>
    <w:rsid w:val="23ED200D"/>
    <w:rsid w:val="23EE3EAC"/>
    <w:rsid w:val="23EF23EE"/>
    <w:rsid w:val="23F34774"/>
    <w:rsid w:val="23FD5041"/>
    <w:rsid w:val="24015975"/>
    <w:rsid w:val="2403533D"/>
    <w:rsid w:val="242757FF"/>
    <w:rsid w:val="242835F0"/>
    <w:rsid w:val="243454F7"/>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23001B"/>
    <w:rsid w:val="265F6C6A"/>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7E1561F"/>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DB1818"/>
    <w:rsid w:val="29ED5F9C"/>
    <w:rsid w:val="2A36003D"/>
    <w:rsid w:val="2A385FE8"/>
    <w:rsid w:val="2A3A3DAC"/>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62899"/>
    <w:rsid w:val="2B7E2B60"/>
    <w:rsid w:val="2B88032C"/>
    <w:rsid w:val="2B9500AB"/>
    <w:rsid w:val="2BB10388"/>
    <w:rsid w:val="2BC26A2A"/>
    <w:rsid w:val="2BE23A8A"/>
    <w:rsid w:val="2BE975ED"/>
    <w:rsid w:val="2C016606"/>
    <w:rsid w:val="2C2740D7"/>
    <w:rsid w:val="2C283082"/>
    <w:rsid w:val="2C46534E"/>
    <w:rsid w:val="2C4A7132"/>
    <w:rsid w:val="2C4F3044"/>
    <w:rsid w:val="2C4F3B32"/>
    <w:rsid w:val="2C532973"/>
    <w:rsid w:val="2C5C4906"/>
    <w:rsid w:val="2C666469"/>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6721A3"/>
    <w:rsid w:val="2F750C6B"/>
    <w:rsid w:val="2F7739FD"/>
    <w:rsid w:val="2F8A08D9"/>
    <w:rsid w:val="2F925A84"/>
    <w:rsid w:val="2F996B56"/>
    <w:rsid w:val="2F9A4D44"/>
    <w:rsid w:val="2F9F1779"/>
    <w:rsid w:val="2FB971F8"/>
    <w:rsid w:val="2FC6167E"/>
    <w:rsid w:val="2FCC0A00"/>
    <w:rsid w:val="2FEC2F3D"/>
    <w:rsid w:val="2FF37C75"/>
    <w:rsid w:val="2FFB28A7"/>
    <w:rsid w:val="2FFC488C"/>
    <w:rsid w:val="30265809"/>
    <w:rsid w:val="30352D1E"/>
    <w:rsid w:val="30575792"/>
    <w:rsid w:val="306B26E1"/>
    <w:rsid w:val="30726D55"/>
    <w:rsid w:val="30A56F22"/>
    <w:rsid w:val="30A752A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8842EE"/>
    <w:rsid w:val="32BA03F5"/>
    <w:rsid w:val="32DA5129"/>
    <w:rsid w:val="32F6606D"/>
    <w:rsid w:val="330253ED"/>
    <w:rsid w:val="33072028"/>
    <w:rsid w:val="334D2131"/>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530396"/>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592F82"/>
    <w:rsid w:val="3864392A"/>
    <w:rsid w:val="387E5850"/>
    <w:rsid w:val="38A87E0A"/>
    <w:rsid w:val="38EC50D0"/>
    <w:rsid w:val="38F71254"/>
    <w:rsid w:val="38F84E03"/>
    <w:rsid w:val="38F97119"/>
    <w:rsid w:val="391F5CD3"/>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E5120"/>
    <w:rsid w:val="3AC23C2B"/>
    <w:rsid w:val="3ADF0492"/>
    <w:rsid w:val="3AE434CE"/>
    <w:rsid w:val="3B0D3370"/>
    <w:rsid w:val="3B4C0F20"/>
    <w:rsid w:val="3B55499D"/>
    <w:rsid w:val="3B654785"/>
    <w:rsid w:val="3B660234"/>
    <w:rsid w:val="3B703301"/>
    <w:rsid w:val="3B7055B2"/>
    <w:rsid w:val="3B762A06"/>
    <w:rsid w:val="3B951093"/>
    <w:rsid w:val="3B9C552E"/>
    <w:rsid w:val="3BBA7F4D"/>
    <w:rsid w:val="3BCA66E4"/>
    <w:rsid w:val="3BF70E8C"/>
    <w:rsid w:val="3BFF50CF"/>
    <w:rsid w:val="3C0B7739"/>
    <w:rsid w:val="3C123996"/>
    <w:rsid w:val="3C2105FF"/>
    <w:rsid w:val="3C22755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35711"/>
    <w:rsid w:val="3D597514"/>
    <w:rsid w:val="3D7B3F30"/>
    <w:rsid w:val="3DD03D9F"/>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CB17B4"/>
    <w:rsid w:val="3FE41961"/>
    <w:rsid w:val="3FFF1D94"/>
    <w:rsid w:val="4006103B"/>
    <w:rsid w:val="401E455E"/>
    <w:rsid w:val="40553662"/>
    <w:rsid w:val="40784565"/>
    <w:rsid w:val="408F1FDB"/>
    <w:rsid w:val="40D92599"/>
    <w:rsid w:val="40F31F30"/>
    <w:rsid w:val="40F40090"/>
    <w:rsid w:val="40F415EF"/>
    <w:rsid w:val="40F51247"/>
    <w:rsid w:val="4109151B"/>
    <w:rsid w:val="411532F7"/>
    <w:rsid w:val="411E4407"/>
    <w:rsid w:val="412A3AB2"/>
    <w:rsid w:val="414F42C4"/>
    <w:rsid w:val="416556C8"/>
    <w:rsid w:val="41BE244C"/>
    <w:rsid w:val="41C36DF9"/>
    <w:rsid w:val="41DB3089"/>
    <w:rsid w:val="41E60C52"/>
    <w:rsid w:val="41FD7266"/>
    <w:rsid w:val="420B4088"/>
    <w:rsid w:val="421D5E85"/>
    <w:rsid w:val="42413C6E"/>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156DF"/>
    <w:rsid w:val="439E57CE"/>
    <w:rsid w:val="43A73053"/>
    <w:rsid w:val="43E77A38"/>
    <w:rsid w:val="43E837B0"/>
    <w:rsid w:val="43F07D06"/>
    <w:rsid w:val="43FC6EB9"/>
    <w:rsid w:val="440D0D96"/>
    <w:rsid w:val="441477C8"/>
    <w:rsid w:val="44181E0E"/>
    <w:rsid w:val="4430787B"/>
    <w:rsid w:val="44404BA1"/>
    <w:rsid w:val="444214C3"/>
    <w:rsid w:val="444D6105"/>
    <w:rsid w:val="445B10AF"/>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75584"/>
    <w:rsid w:val="469A6AFE"/>
    <w:rsid w:val="469F13C9"/>
    <w:rsid w:val="46AD5B4E"/>
    <w:rsid w:val="46B26B98"/>
    <w:rsid w:val="46C91677"/>
    <w:rsid w:val="46CB0614"/>
    <w:rsid w:val="46D6235B"/>
    <w:rsid w:val="46EA58B1"/>
    <w:rsid w:val="46F34946"/>
    <w:rsid w:val="470149F3"/>
    <w:rsid w:val="4732528E"/>
    <w:rsid w:val="4758671A"/>
    <w:rsid w:val="475A46E6"/>
    <w:rsid w:val="476E221E"/>
    <w:rsid w:val="47723308"/>
    <w:rsid w:val="477A7BDE"/>
    <w:rsid w:val="477D5F0A"/>
    <w:rsid w:val="478B6D6D"/>
    <w:rsid w:val="47A476DC"/>
    <w:rsid w:val="47B43096"/>
    <w:rsid w:val="47C44123"/>
    <w:rsid w:val="47CB7671"/>
    <w:rsid w:val="47F0713F"/>
    <w:rsid w:val="47F21489"/>
    <w:rsid w:val="47F837E0"/>
    <w:rsid w:val="480371F6"/>
    <w:rsid w:val="482C03C4"/>
    <w:rsid w:val="48393F48"/>
    <w:rsid w:val="485E24B5"/>
    <w:rsid w:val="48606A7C"/>
    <w:rsid w:val="487216E8"/>
    <w:rsid w:val="488B30BD"/>
    <w:rsid w:val="48A22978"/>
    <w:rsid w:val="48DE4D14"/>
    <w:rsid w:val="48DF33D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620EE0"/>
    <w:rsid w:val="4A655B5A"/>
    <w:rsid w:val="4A917C3E"/>
    <w:rsid w:val="4AAD3641"/>
    <w:rsid w:val="4AC24D5B"/>
    <w:rsid w:val="4AF83F85"/>
    <w:rsid w:val="4B095EA9"/>
    <w:rsid w:val="4B187071"/>
    <w:rsid w:val="4B321E6E"/>
    <w:rsid w:val="4B5811AD"/>
    <w:rsid w:val="4B5A314F"/>
    <w:rsid w:val="4B626DC4"/>
    <w:rsid w:val="4B75001F"/>
    <w:rsid w:val="4B7525A6"/>
    <w:rsid w:val="4B907CBF"/>
    <w:rsid w:val="4BA31E30"/>
    <w:rsid w:val="4BA91A77"/>
    <w:rsid w:val="4BBE1841"/>
    <w:rsid w:val="4BD77452"/>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2B362F"/>
    <w:rsid w:val="4E6A373F"/>
    <w:rsid w:val="4EB20A1B"/>
    <w:rsid w:val="4ED10696"/>
    <w:rsid w:val="4EE44C9C"/>
    <w:rsid w:val="4EEF09D9"/>
    <w:rsid w:val="4EF9194B"/>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74CC7"/>
    <w:rsid w:val="543C047C"/>
    <w:rsid w:val="543C3027"/>
    <w:rsid w:val="543F3BC9"/>
    <w:rsid w:val="545B2902"/>
    <w:rsid w:val="5462224C"/>
    <w:rsid w:val="54957D5E"/>
    <w:rsid w:val="54990BE6"/>
    <w:rsid w:val="549A3CA0"/>
    <w:rsid w:val="54D06235"/>
    <w:rsid w:val="54D67D1C"/>
    <w:rsid w:val="54D97674"/>
    <w:rsid w:val="54DC09A2"/>
    <w:rsid w:val="55027C53"/>
    <w:rsid w:val="55132319"/>
    <w:rsid w:val="553D1BAE"/>
    <w:rsid w:val="55747E44"/>
    <w:rsid w:val="55DE4BFD"/>
    <w:rsid w:val="55DE6552"/>
    <w:rsid w:val="55DF5623"/>
    <w:rsid w:val="55ED715E"/>
    <w:rsid w:val="55EE68C2"/>
    <w:rsid w:val="55F821A8"/>
    <w:rsid w:val="55F8384F"/>
    <w:rsid w:val="56075D18"/>
    <w:rsid w:val="561A1F58"/>
    <w:rsid w:val="56224489"/>
    <w:rsid w:val="563F54B2"/>
    <w:rsid w:val="565F35D2"/>
    <w:rsid w:val="56756A7E"/>
    <w:rsid w:val="567D5FDA"/>
    <w:rsid w:val="56953D3C"/>
    <w:rsid w:val="56A417B8"/>
    <w:rsid w:val="56B57E6A"/>
    <w:rsid w:val="56C146F7"/>
    <w:rsid w:val="5715646F"/>
    <w:rsid w:val="574F35D4"/>
    <w:rsid w:val="577B58B1"/>
    <w:rsid w:val="57DE0CFA"/>
    <w:rsid w:val="57E57349"/>
    <w:rsid w:val="57E7494D"/>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4BCF"/>
    <w:rsid w:val="5A346D9D"/>
    <w:rsid w:val="5A3D26D6"/>
    <w:rsid w:val="5A734511"/>
    <w:rsid w:val="5AB04765"/>
    <w:rsid w:val="5AE24170"/>
    <w:rsid w:val="5B19501C"/>
    <w:rsid w:val="5B251ED4"/>
    <w:rsid w:val="5B2D663D"/>
    <w:rsid w:val="5B3851A2"/>
    <w:rsid w:val="5B4C6D34"/>
    <w:rsid w:val="5B552493"/>
    <w:rsid w:val="5B61411C"/>
    <w:rsid w:val="5B8444D9"/>
    <w:rsid w:val="5B864AC2"/>
    <w:rsid w:val="5BBD4A2F"/>
    <w:rsid w:val="5BFB008A"/>
    <w:rsid w:val="5C3B1962"/>
    <w:rsid w:val="5C6055EE"/>
    <w:rsid w:val="5C763442"/>
    <w:rsid w:val="5C7679A1"/>
    <w:rsid w:val="5C85653F"/>
    <w:rsid w:val="5C8E04AF"/>
    <w:rsid w:val="5C926290"/>
    <w:rsid w:val="5CAA4D84"/>
    <w:rsid w:val="5CB37E02"/>
    <w:rsid w:val="5CBC6D34"/>
    <w:rsid w:val="5CC47E5C"/>
    <w:rsid w:val="5CCE23AD"/>
    <w:rsid w:val="5CD150E5"/>
    <w:rsid w:val="5D125008"/>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178BA"/>
    <w:rsid w:val="5F0C3CC3"/>
    <w:rsid w:val="5F532079"/>
    <w:rsid w:val="5F69243D"/>
    <w:rsid w:val="5F6D1211"/>
    <w:rsid w:val="5F7D3C1D"/>
    <w:rsid w:val="5F7E6FF1"/>
    <w:rsid w:val="5F930AB8"/>
    <w:rsid w:val="5FA0502E"/>
    <w:rsid w:val="5FAD62E4"/>
    <w:rsid w:val="5FB80B5C"/>
    <w:rsid w:val="5FBF10D2"/>
    <w:rsid w:val="5FE761F5"/>
    <w:rsid w:val="5FEC0360"/>
    <w:rsid w:val="5FF94209"/>
    <w:rsid w:val="5FFEE2DA"/>
    <w:rsid w:val="600125B9"/>
    <w:rsid w:val="605E7294"/>
    <w:rsid w:val="60602BF4"/>
    <w:rsid w:val="6085297F"/>
    <w:rsid w:val="60940A9B"/>
    <w:rsid w:val="609D31A2"/>
    <w:rsid w:val="60B75BB7"/>
    <w:rsid w:val="61234433"/>
    <w:rsid w:val="61377DF9"/>
    <w:rsid w:val="6139713B"/>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8A3F5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E48CA"/>
    <w:rsid w:val="64680078"/>
    <w:rsid w:val="646B496B"/>
    <w:rsid w:val="647C7BE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6C3DE9"/>
    <w:rsid w:val="65717652"/>
    <w:rsid w:val="65870C23"/>
    <w:rsid w:val="65884866"/>
    <w:rsid w:val="65891518"/>
    <w:rsid w:val="658D448B"/>
    <w:rsid w:val="659031BC"/>
    <w:rsid w:val="65924F60"/>
    <w:rsid w:val="6597404E"/>
    <w:rsid w:val="65A22204"/>
    <w:rsid w:val="65A97358"/>
    <w:rsid w:val="65AC3321"/>
    <w:rsid w:val="65CB5681"/>
    <w:rsid w:val="65E84D5F"/>
    <w:rsid w:val="65F10827"/>
    <w:rsid w:val="660C375D"/>
    <w:rsid w:val="661D62C6"/>
    <w:rsid w:val="663542AF"/>
    <w:rsid w:val="66400C99"/>
    <w:rsid w:val="66417024"/>
    <w:rsid w:val="666E6EE9"/>
    <w:rsid w:val="668B029F"/>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695DE5"/>
    <w:rsid w:val="6B9E0AD0"/>
    <w:rsid w:val="6BAE1FE0"/>
    <w:rsid w:val="6BC241B2"/>
    <w:rsid w:val="6BC32F47"/>
    <w:rsid w:val="6BE8148D"/>
    <w:rsid w:val="6BF02B9A"/>
    <w:rsid w:val="6BF25B74"/>
    <w:rsid w:val="6BF608B1"/>
    <w:rsid w:val="6BF6E0B8"/>
    <w:rsid w:val="6BF9BB6B"/>
    <w:rsid w:val="6C1B2BF9"/>
    <w:rsid w:val="6C1D327B"/>
    <w:rsid w:val="6C376397"/>
    <w:rsid w:val="6C670665"/>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F49BF"/>
    <w:rsid w:val="6DE82327"/>
    <w:rsid w:val="6DF02BC2"/>
    <w:rsid w:val="6E072901"/>
    <w:rsid w:val="6E2755A5"/>
    <w:rsid w:val="6E2A23D7"/>
    <w:rsid w:val="6E6D6B1A"/>
    <w:rsid w:val="6E7855AD"/>
    <w:rsid w:val="6E916D44"/>
    <w:rsid w:val="6EB36409"/>
    <w:rsid w:val="6EBA5CD6"/>
    <w:rsid w:val="6EC46ED0"/>
    <w:rsid w:val="6F2467A6"/>
    <w:rsid w:val="6F2B0ABC"/>
    <w:rsid w:val="6F2D48F6"/>
    <w:rsid w:val="6F321C00"/>
    <w:rsid w:val="6F482C6E"/>
    <w:rsid w:val="6F562E9A"/>
    <w:rsid w:val="6F8337F3"/>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97507B"/>
    <w:rsid w:val="70B56FFA"/>
    <w:rsid w:val="70C364EC"/>
    <w:rsid w:val="70CF5F2B"/>
    <w:rsid w:val="70D24974"/>
    <w:rsid w:val="70EF0E74"/>
    <w:rsid w:val="71171105"/>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2DF437B"/>
    <w:rsid w:val="73316424"/>
    <w:rsid w:val="73322C6F"/>
    <w:rsid w:val="733463A5"/>
    <w:rsid w:val="73413A65"/>
    <w:rsid w:val="736C5B29"/>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F57957"/>
    <w:rsid w:val="7506350D"/>
    <w:rsid w:val="75181898"/>
    <w:rsid w:val="751B5BB6"/>
    <w:rsid w:val="7530273D"/>
    <w:rsid w:val="753531A1"/>
    <w:rsid w:val="753B5890"/>
    <w:rsid w:val="75556648"/>
    <w:rsid w:val="756157EB"/>
    <w:rsid w:val="75634503"/>
    <w:rsid w:val="757665C2"/>
    <w:rsid w:val="75874327"/>
    <w:rsid w:val="75BF30E6"/>
    <w:rsid w:val="75C0301E"/>
    <w:rsid w:val="75FC2F67"/>
    <w:rsid w:val="75FE3F51"/>
    <w:rsid w:val="7600508C"/>
    <w:rsid w:val="76016C28"/>
    <w:rsid w:val="760216B3"/>
    <w:rsid w:val="76032F3C"/>
    <w:rsid w:val="760B5C1C"/>
    <w:rsid w:val="76132312"/>
    <w:rsid w:val="76133814"/>
    <w:rsid w:val="76160443"/>
    <w:rsid w:val="761E2EDE"/>
    <w:rsid w:val="764C1D31"/>
    <w:rsid w:val="768160D9"/>
    <w:rsid w:val="768674F2"/>
    <w:rsid w:val="76A472EE"/>
    <w:rsid w:val="76A52C35"/>
    <w:rsid w:val="76AC04E9"/>
    <w:rsid w:val="76FA3D9F"/>
    <w:rsid w:val="770D6FB1"/>
    <w:rsid w:val="7723261B"/>
    <w:rsid w:val="773D1E0C"/>
    <w:rsid w:val="77A2369A"/>
    <w:rsid w:val="77D32D2B"/>
    <w:rsid w:val="77E6661F"/>
    <w:rsid w:val="77E93513"/>
    <w:rsid w:val="77FF28CF"/>
    <w:rsid w:val="780003DF"/>
    <w:rsid w:val="780F540E"/>
    <w:rsid w:val="78171EB9"/>
    <w:rsid w:val="782A4738"/>
    <w:rsid w:val="783103F9"/>
    <w:rsid w:val="783F5C8F"/>
    <w:rsid w:val="7848230C"/>
    <w:rsid w:val="78686692"/>
    <w:rsid w:val="786B1CDE"/>
    <w:rsid w:val="78736406"/>
    <w:rsid w:val="78831B2D"/>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2F5245"/>
    <w:rsid w:val="7B551150"/>
    <w:rsid w:val="7B5D6256"/>
    <w:rsid w:val="7B8D35B8"/>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B3A9F"/>
    <w:rsid w:val="7D3F55E8"/>
    <w:rsid w:val="7D474D4D"/>
    <w:rsid w:val="7D537CCE"/>
    <w:rsid w:val="7D5E655A"/>
    <w:rsid w:val="7D5F64E8"/>
    <w:rsid w:val="7D715FE9"/>
    <w:rsid w:val="7D7358B8"/>
    <w:rsid w:val="7D755AD9"/>
    <w:rsid w:val="7D7828B6"/>
    <w:rsid w:val="7D871FB3"/>
    <w:rsid w:val="7D895DC0"/>
    <w:rsid w:val="7DA527B2"/>
    <w:rsid w:val="7DA8E748"/>
    <w:rsid w:val="7DCE6F97"/>
    <w:rsid w:val="7DFB2FE3"/>
    <w:rsid w:val="7DFF51C9"/>
    <w:rsid w:val="7E020282"/>
    <w:rsid w:val="7E096221"/>
    <w:rsid w:val="7E12333D"/>
    <w:rsid w:val="7E146EA1"/>
    <w:rsid w:val="7E296A42"/>
    <w:rsid w:val="7E357016"/>
    <w:rsid w:val="7E4E3093"/>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06B51"/>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spacing w:after="120"/>
    </w:pPr>
  </w:style>
  <w:style w:type="paragraph" w:styleId="3">
    <w:name w:val="Body Text First Indent"/>
    <w:basedOn w:val="2"/>
    <w:next w:val="1"/>
    <w:link w:val="94"/>
    <w:qFormat/>
    <w:uiPriority w:val="0"/>
    <w:pPr>
      <w:ind w:firstLine="420" w:firstLineChars="100"/>
    </w:pPr>
  </w:style>
  <w:style w:type="paragraph" w:styleId="6">
    <w:name w:val="Normal Indent"/>
    <w:basedOn w:val="1"/>
    <w:next w:val="1"/>
    <w:link w:val="48"/>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50"/>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1"/>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qFormat/>
    <w:uiPriority w:val="0"/>
    <w:pPr>
      <w:autoSpaceDE/>
      <w:autoSpaceDN/>
      <w:adjustRightInd/>
      <w:textAlignment w:val="auto"/>
    </w:pPr>
    <w:rPr>
      <w:rFonts w:ascii="宋体" w:hAnsi="Courier New"/>
      <w:kern w:val="2"/>
      <w:sz w:val="21"/>
    </w:rPr>
  </w:style>
  <w:style w:type="paragraph" w:styleId="20">
    <w:name w:val="Date"/>
    <w:basedOn w:val="1"/>
    <w:next w:val="1"/>
    <w:link w:val="53"/>
    <w:qFormat/>
    <w:uiPriority w:val="0"/>
    <w:pPr>
      <w:autoSpaceDE/>
      <w:autoSpaceDN/>
      <w:adjustRightInd/>
      <w:textAlignment w:val="auto"/>
    </w:pPr>
    <w:rPr>
      <w:kern w:val="2"/>
    </w:rPr>
  </w:style>
  <w:style w:type="paragraph" w:styleId="21">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5"/>
    <w:qFormat/>
    <w:uiPriority w:val="0"/>
    <w:rPr>
      <w:rFonts w:eastAsia="宋体"/>
      <w:b/>
      <w:sz w:val="24"/>
      <w:szCs w:val="24"/>
    </w:rPr>
  </w:style>
  <w:style w:type="character" w:customStyle="1" w:styleId="48">
    <w:name w:val="正文缩进 字符"/>
    <w:link w:val="6"/>
    <w:qFormat/>
    <w:uiPriority w:val="0"/>
    <w:rPr>
      <w:rFonts w:eastAsia="宋体"/>
      <w:sz w:val="24"/>
      <w:lang w:val="en-US" w:eastAsia="zh-CN" w:bidi="ar-SA"/>
    </w:rPr>
  </w:style>
  <w:style w:type="character" w:customStyle="1" w:styleId="49">
    <w:name w:val="标题 4 字符"/>
    <w:link w:val="8"/>
    <w:qFormat/>
    <w:uiPriority w:val="0"/>
    <w:rPr>
      <w:rFonts w:ascii="Times New Roman" w:hAnsi="Times New Roman" w:eastAsia="宋体"/>
      <w:b/>
      <w:bCs/>
      <w:sz w:val="24"/>
      <w:szCs w:val="28"/>
      <w:lang w:val="en-US" w:eastAsia="zh-CN" w:bidi="ar-SA"/>
    </w:rPr>
  </w:style>
  <w:style w:type="character" w:customStyle="1" w:styleId="50">
    <w:name w:val="批注文字 字符1"/>
    <w:link w:val="15"/>
    <w:qFormat/>
    <w:uiPriority w:val="99"/>
    <w:rPr>
      <w:sz w:val="24"/>
    </w:rPr>
  </w:style>
  <w:style w:type="character" w:customStyle="1" w:styleId="51">
    <w:name w:val="正文文本缩进 字符"/>
    <w:link w:val="17"/>
    <w:qFormat/>
    <w:uiPriority w:val="0"/>
    <w:rPr>
      <w:sz w:val="24"/>
    </w:rPr>
  </w:style>
  <w:style w:type="character" w:customStyle="1" w:styleId="52">
    <w:name w:val="纯文本 字符"/>
    <w:link w:val="19"/>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4"/>
    </w:rPr>
  </w:style>
  <w:style w:type="character" w:customStyle="1" w:styleId="54">
    <w:name w:val="正文文本缩进 2 字符1"/>
    <w:link w:val="21"/>
    <w:qFormat/>
    <w:uiPriority w:val="0"/>
    <w:rPr>
      <w:rFonts w:eastAsia="宋体"/>
      <w:kern w:val="2"/>
      <w:sz w:val="21"/>
      <w:lang w:val="en-US" w:eastAsia="zh-CN" w:bidi="ar-SA"/>
    </w:rPr>
  </w:style>
  <w:style w:type="character" w:customStyle="1" w:styleId="55">
    <w:name w:val="副标题 字符"/>
    <w:link w:val="27"/>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6"/>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2"/>
    <w:qFormat/>
    <w:uiPriority w:val="0"/>
    <w:rPr>
      <w:sz w:val="24"/>
    </w:rPr>
  </w:style>
  <w:style w:type="character" w:customStyle="1" w:styleId="94">
    <w:name w:val="正文文本首行缩进 字符"/>
    <w:basedOn w:val="93"/>
    <w:link w:val="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57</Pages>
  <Words>16927</Words>
  <Characters>17853</Characters>
  <Lines>232</Lines>
  <Paragraphs>65</Paragraphs>
  <TotalTime>6</TotalTime>
  <ScaleCrop>false</ScaleCrop>
  <LinksUpToDate>false</LinksUpToDate>
  <CharactersWithSpaces>18001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2025-05-28T09:27:21Z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0CAC3C01AB354A21AAB26810B67518F7_13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