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F5B9D">
      <w:pPr>
        <w:autoSpaceDN w:val="0"/>
        <w:spacing w:before="720" w:beforeLines="300" w:after="480" w:afterLines="200"/>
        <w:jc w:val="center"/>
        <w:rPr>
          <w:rFonts w:hint="eastAsia" w:ascii="宋体" w:hAnsi="宋体" w:eastAsia="宋体" w:cs="宋体"/>
          <w:color w:val="000000"/>
          <w:w w:val="66"/>
          <w:kern w:val="0"/>
          <w:sz w:val="72"/>
          <w:szCs w:val="72"/>
          <w:highlight w:val="none"/>
        </w:rPr>
      </w:pPr>
      <w:r>
        <w:rPr>
          <w:rFonts w:hint="eastAsia" w:ascii="宋体" w:hAnsi="宋体" w:eastAsia="宋体" w:cs="宋体"/>
          <w:color w:val="000000"/>
          <w:w w:val="66"/>
          <w:kern w:val="0"/>
          <w:sz w:val="72"/>
          <w:szCs w:val="72"/>
          <w:highlight w:val="none"/>
        </w:rPr>
        <w:t>浙江省省级政府采购电子交易项目</w:t>
      </w:r>
    </w:p>
    <w:p w14:paraId="75C102C1">
      <w:pPr>
        <w:autoSpaceDN w:val="0"/>
        <w:spacing w:before="120" w:beforeLines="50" w:after="120" w:afterLines="50"/>
        <w:jc w:val="center"/>
        <w:rPr>
          <w:rFonts w:hint="eastAsia" w:ascii="宋体" w:hAnsi="宋体" w:eastAsia="宋体" w:cs="宋体"/>
          <w:b/>
          <w:color w:val="000000"/>
          <w:sz w:val="72"/>
          <w:szCs w:val="72"/>
          <w:highlight w:val="none"/>
        </w:rPr>
      </w:pPr>
      <w:r>
        <w:rPr>
          <w:rFonts w:hint="eastAsia" w:ascii="宋体" w:hAnsi="宋体" w:eastAsia="宋体" w:cs="宋体"/>
          <w:color w:val="000000"/>
          <w:w w:val="80"/>
          <w:kern w:val="0"/>
          <w:sz w:val="96"/>
          <w:szCs w:val="48"/>
          <w:highlight w:val="none"/>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7"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14:paraId="0F3CB191">
      <w:pPr>
        <w:autoSpaceDN w:val="0"/>
        <w:spacing w:line="360" w:lineRule="auto"/>
        <w:jc w:val="center"/>
        <w:rPr>
          <w:rFonts w:hint="eastAsia" w:ascii="宋体" w:hAnsi="宋体" w:eastAsia="宋体" w:cs="宋体"/>
          <w:b/>
          <w:sz w:val="30"/>
          <w:szCs w:val="30"/>
          <w:highlight w:val="none"/>
        </w:rPr>
      </w:pPr>
      <w:r>
        <w:rPr>
          <w:rFonts w:hint="eastAsia" w:ascii="宋体" w:hAnsi="宋体" w:eastAsia="宋体" w:cs="宋体"/>
          <w:color w:val="000000"/>
          <w:w w:val="80"/>
          <w:kern w:val="0"/>
          <w:sz w:val="116"/>
          <w:szCs w:val="116"/>
          <w:highlight w:val="none"/>
        </w:rPr>
        <w:t>竞争性磋商采购文件</w:t>
      </w:r>
    </w:p>
    <w:tbl>
      <w:tblPr>
        <w:tblStyle w:val="51"/>
        <w:tblpPr w:leftFromText="180" w:rightFromText="180" w:vertAnchor="text" w:horzAnchor="page" w:tblpX="2396" w:tblpY="320"/>
        <w:tblOverlap w:val="never"/>
        <w:tblW w:w="8248" w:type="dxa"/>
        <w:tblInd w:w="0" w:type="dxa"/>
        <w:tblLayout w:type="fixed"/>
        <w:tblCellMar>
          <w:top w:w="0" w:type="dxa"/>
          <w:left w:w="108" w:type="dxa"/>
          <w:bottom w:w="0" w:type="dxa"/>
          <w:right w:w="108" w:type="dxa"/>
        </w:tblCellMar>
      </w:tblPr>
      <w:tblGrid>
        <w:gridCol w:w="1701"/>
        <w:gridCol w:w="6547"/>
      </w:tblGrid>
      <w:tr w14:paraId="60B17A2E">
        <w:tblPrEx>
          <w:tblCellMar>
            <w:top w:w="0" w:type="dxa"/>
            <w:left w:w="108" w:type="dxa"/>
            <w:bottom w:w="0" w:type="dxa"/>
            <w:right w:w="108" w:type="dxa"/>
          </w:tblCellMar>
        </w:tblPrEx>
        <w:trPr>
          <w:trHeight w:val="680" w:hRule="atLeast"/>
        </w:trPr>
        <w:tc>
          <w:tcPr>
            <w:tcW w:w="1701" w:type="dxa"/>
            <w:vAlign w:val="center"/>
          </w:tcPr>
          <w:p w14:paraId="78B65B69">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项目名称：</w:t>
            </w:r>
          </w:p>
        </w:tc>
        <w:tc>
          <w:tcPr>
            <w:tcW w:w="6547" w:type="dxa"/>
            <w:vAlign w:val="center"/>
          </w:tcPr>
          <w:p w14:paraId="2091B4B3">
            <w:pPr>
              <w:autoSpaceDN w:val="0"/>
              <w:adjustRightInd w:val="0"/>
              <w:snapToGrid w:val="0"/>
              <w:spacing w:line="360" w:lineRule="auto"/>
              <w:jc w:val="left"/>
              <w:rPr>
                <w:rFonts w:hint="eastAsia" w:ascii="宋体" w:hAnsi="宋体" w:eastAsia="宋体" w:cs="宋体"/>
                <w:bCs/>
                <w:color w:val="000000"/>
                <w:kern w:val="0"/>
                <w:sz w:val="28"/>
                <w:szCs w:val="28"/>
                <w:highlight w:val="none"/>
                <w:lang w:eastAsia="zh-CN"/>
              </w:rPr>
            </w:pPr>
            <w:r>
              <w:rPr>
                <w:rFonts w:hint="eastAsia" w:ascii="宋体" w:hAnsi="宋体" w:cs="宋体"/>
                <w:color w:val="000000"/>
                <w:w w:val="92"/>
                <w:sz w:val="28"/>
                <w:szCs w:val="28"/>
                <w:highlight w:val="none"/>
                <w:lang w:eastAsia="zh-CN"/>
              </w:rPr>
              <w:t>浙江中医药大学Ivan Psakhye教授实验室改造项目</w:t>
            </w:r>
          </w:p>
        </w:tc>
      </w:tr>
      <w:tr w14:paraId="2F8C9E13">
        <w:tblPrEx>
          <w:tblCellMar>
            <w:top w:w="0" w:type="dxa"/>
            <w:left w:w="108" w:type="dxa"/>
            <w:bottom w:w="0" w:type="dxa"/>
            <w:right w:w="108" w:type="dxa"/>
          </w:tblCellMar>
        </w:tblPrEx>
        <w:trPr>
          <w:trHeight w:val="680" w:hRule="atLeast"/>
        </w:trPr>
        <w:tc>
          <w:tcPr>
            <w:tcW w:w="1701" w:type="dxa"/>
            <w:vAlign w:val="center"/>
          </w:tcPr>
          <w:p w14:paraId="77CF28A4">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项目编号：</w:t>
            </w:r>
          </w:p>
        </w:tc>
        <w:tc>
          <w:tcPr>
            <w:tcW w:w="6547" w:type="dxa"/>
            <w:vAlign w:val="center"/>
          </w:tcPr>
          <w:p w14:paraId="71ACF763">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lang w:eastAsia="zh-CN"/>
              </w:rPr>
            </w:pPr>
            <w:r>
              <w:rPr>
                <w:rFonts w:hint="eastAsia" w:ascii="宋体" w:hAnsi="宋体" w:cs="宋体"/>
                <w:bCs/>
                <w:color w:val="000000"/>
                <w:kern w:val="0"/>
                <w:sz w:val="28"/>
                <w:szCs w:val="28"/>
                <w:highlight w:val="none"/>
                <w:lang w:eastAsia="zh-CN"/>
              </w:rPr>
              <w:t>CTZB-2025070039</w:t>
            </w:r>
          </w:p>
        </w:tc>
      </w:tr>
      <w:tr w14:paraId="0BD7C569">
        <w:tblPrEx>
          <w:tblCellMar>
            <w:top w:w="0" w:type="dxa"/>
            <w:left w:w="108" w:type="dxa"/>
            <w:bottom w:w="0" w:type="dxa"/>
            <w:right w:w="108" w:type="dxa"/>
          </w:tblCellMar>
        </w:tblPrEx>
        <w:trPr>
          <w:trHeight w:val="680" w:hRule="atLeast"/>
        </w:trPr>
        <w:tc>
          <w:tcPr>
            <w:tcW w:w="1701" w:type="dxa"/>
            <w:vAlign w:val="center"/>
          </w:tcPr>
          <w:p w14:paraId="3288C5D6">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采购方式：</w:t>
            </w:r>
          </w:p>
        </w:tc>
        <w:tc>
          <w:tcPr>
            <w:tcW w:w="6547" w:type="dxa"/>
            <w:vAlign w:val="center"/>
          </w:tcPr>
          <w:p w14:paraId="4DC1C78C">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竞争性磋商（分散采购-分散委托中介）</w:t>
            </w:r>
          </w:p>
        </w:tc>
      </w:tr>
      <w:tr w14:paraId="4F17F8AE">
        <w:tblPrEx>
          <w:tblCellMar>
            <w:top w:w="0" w:type="dxa"/>
            <w:left w:w="108" w:type="dxa"/>
            <w:bottom w:w="0" w:type="dxa"/>
            <w:right w:w="108" w:type="dxa"/>
          </w:tblCellMar>
        </w:tblPrEx>
        <w:trPr>
          <w:trHeight w:val="680" w:hRule="atLeast"/>
        </w:trPr>
        <w:tc>
          <w:tcPr>
            <w:tcW w:w="1701" w:type="dxa"/>
            <w:vAlign w:val="center"/>
          </w:tcPr>
          <w:p w14:paraId="0780C693">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交易方式：</w:t>
            </w:r>
          </w:p>
        </w:tc>
        <w:tc>
          <w:tcPr>
            <w:tcW w:w="6547" w:type="dxa"/>
            <w:vAlign w:val="center"/>
          </w:tcPr>
          <w:p w14:paraId="01B08D0F">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政府采购电子交易（政府采购云平台）</w:t>
            </w:r>
          </w:p>
        </w:tc>
      </w:tr>
      <w:tr w14:paraId="0B516BE8">
        <w:tblPrEx>
          <w:tblCellMar>
            <w:top w:w="0" w:type="dxa"/>
            <w:left w:w="108" w:type="dxa"/>
            <w:bottom w:w="0" w:type="dxa"/>
            <w:right w:w="108" w:type="dxa"/>
          </w:tblCellMar>
        </w:tblPrEx>
        <w:trPr>
          <w:trHeight w:val="680" w:hRule="atLeast"/>
        </w:trPr>
        <w:tc>
          <w:tcPr>
            <w:tcW w:w="1701" w:type="dxa"/>
            <w:vAlign w:val="center"/>
          </w:tcPr>
          <w:p w14:paraId="235688C2">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采 购 人：</w:t>
            </w:r>
          </w:p>
        </w:tc>
        <w:tc>
          <w:tcPr>
            <w:tcW w:w="6547" w:type="dxa"/>
            <w:vAlign w:val="center"/>
          </w:tcPr>
          <w:p w14:paraId="4FF05F84">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lang w:eastAsia="zh-CN"/>
              </w:rPr>
            </w:pPr>
            <w:r>
              <w:rPr>
                <w:rFonts w:hint="eastAsia" w:ascii="宋体" w:hAnsi="宋体" w:eastAsia="宋体" w:cs="宋体"/>
                <w:bCs/>
                <w:color w:val="000000"/>
                <w:kern w:val="0"/>
                <w:sz w:val="28"/>
                <w:szCs w:val="28"/>
                <w:highlight w:val="none"/>
                <w:lang w:eastAsia="zh-CN"/>
              </w:rPr>
              <w:t>浙江中医药大学</w:t>
            </w:r>
          </w:p>
        </w:tc>
      </w:tr>
      <w:tr w14:paraId="66777748">
        <w:tblPrEx>
          <w:tblCellMar>
            <w:top w:w="0" w:type="dxa"/>
            <w:left w:w="108" w:type="dxa"/>
            <w:bottom w:w="0" w:type="dxa"/>
            <w:right w:w="108" w:type="dxa"/>
          </w:tblCellMar>
        </w:tblPrEx>
        <w:trPr>
          <w:trHeight w:val="680" w:hRule="atLeast"/>
        </w:trPr>
        <w:tc>
          <w:tcPr>
            <w:tcW w:w="1701" w:type="dxa"/>
            <w:vAlign w:val="center"/>
          </w:tcPr>
          <w:p w14:paraId="55C5EFD6">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代理机构：</w:t>
            </w:r>
          </w:p>
        </w:tc>
        <w:tc>
          <w:tcPr>
            <w:tcW w:w="6547" w:type="dxa"/>
            <w:vAlign w:val="center"/>
          </w:tcPr>
          <w:p w14:paraId="35497274">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浙江省成套招标代理有限公司</w:t>
            </w:r>
          </w:p>
        </w:tc>
      </w:tr>
      <w:tr w14:paraId="7F925D87">
        <w:tblPrEx>
          <w:tblCellMar>
            <w:top w:w="0" w:type="dxa"/>
            <w:left w:w="108" w:type="dxa"/>
            <w:bottom w:w="0" w:type="dxa"/>
            <w:right w:w="108" w:type="dxa"/>
          </w:tblCellMar>
        </w:tblPrEx>
        <w:trPr>
          <w:trHeight w:val="680" w:hRule="atLeast"/>
        </w:trPr>
        <w:tc>
          <w:tcPr>
            <w:tcW w:w="1701" w:type="dxa"/>
            <w:vAlign w:val="center"/>
          </w:tcPr>
          <w:p w14:paraId="7E3ED142">
            <w:pPr>
              <w:autoSpaceDN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p>
        </w:tc>
        <w:tc>
          <w:tcPr>
            <w:tcW w:w="6547" w:type="dxa"/>
            <w:vAlign w:val="center"/>
          </w:tcPr>
          <w:p w14:paraId="5A3F28B8">
            <w:pPr>
              <w:autoSpaceDN w:val="0"/>
              <w:adjustRightInd w:val="0"/>
              <w:snapToGrid w:val="0"/>
              <w:spacing w:line="360" w:lineRule="auto"/>
              <w:ind w:left="-7" w:leftChars="-4" w:hanging="1"/>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二○二</w:t>
            </w:r>
            <w:r>
              <w:rPr>
                <w:rFonts w:hint="eastAsia" w:ascii="宋体" w:hAnsi="宋体" w:cs="宋体"/>
                <w:bCs/>
                <w:color w:val="000000"/>
                <w:kern w:val="0"/>
                <w:sz w:val="28"/>
                <w:szCs w:val="28"/>
                <w:highlight w:val="none"/>
                <w:lang w:val="en-US" w:eastAsia="zh-CN"/>
              </w:rPr>
              <w:t>五</w:t>
            </w:r>
            <w:r>
              <w:rPr>
                <w:rFonts w:hint="eastAsia" w:ascii="宋体" w:hAnsi="宋体" w:eastAsia="宋体" w:cs="宋体"/>
                <w:bCs/>
                <w:color w:val="000000"/>
                <w:kern w:val="0"/>
                <w:sz w:val="28"/>
                <w:szCs w:val="28"/>
                <w:highlight w:val="none"/>
              </w:rPr>
              <w:t>年</w:t>
            </w:r>
            <w:r>
              <w:rPr>
                <w:rFonts w:hint="eastAsia" w:ascii="宋体" w:hAnsi="宋体" w:cs="宋体"/>
                <w:bCs/>
                <w:color w:val="000000"/>
                <w:kern w:val="0"/>
                <w:sz w:val="28"/>
                <w:szCs w:val="28"/>
                <w:highlight w:val="none"/>
                <w:lang w:val="en-US" w:eastAsia="zh-CN"/>
              </w:rPr>
              <w:t>七</w:t>
            </w:r>
            <w:r>
              <w:rPr>
                <w:rFonts w:hint="eastAsia" w:ascii="宋体" w:hAnsi="宋体" w:eastAsia="宋体" w:cs="宋体"/>
                <w:bCs/>
                <w:color w:val="000000"/>
                <w:kern w:val="0"/>
                <w:sz w:val="28"/>
                <w:szCs w:val="28"/>
                <w:highlight w:val="none"/>
              </w:rPr>
              <w:t>月</w:t>
            </w:r>
          </w:p>
        </w:tc>
      </w:tr>
    </w:tbl>
    <w:p w14:paraId="22477D73">
      <w:pPr>
        <w:autoSpaceDN w:val="0"/>
        <w:snapToGrid w:val="0"/>
        <w:spacing w:line="480" w:lineRule="auto"/>
        <w:rPr>
          <w:rFonts w:hint="eastAsia" w:ascii="宋体" w:hAnsi="宋体" w:eastAsia="宋体" w:cs="宋体"/>
          <w:b/>
          <w:bCs/>
          <w:sz w:val="44"/>
          <w:szCs w:val="44"/>
          <w:highlight w:val="none"/>
        </w:rPr>
      </w:pPr>
    </w:p>
    <w:p w14:paraId="398969AF">
      <w:pPr>
        <w:autoSpaceDN w:val="0"/>
        <w:rPr>
          <w:rFonts w:hint="eastAsia" w:ascii="宋体" w:hAnsi="宋体" w:eastAsia="宋体" w:cs="宋体"/>
          <w:sz w:val="44"/>
          <w:szCs w:val="44"/>
          <w:highlight w:val="none"/>
        </w:rPr>
      </w:pPr>
    </w:p>
    <w:p w14:paraId="20A1A5A4">
      <w:pPr>
        <w:autoSpaceDN w:val="0"/>
        <w:rPr>
          <w:rFonts w:hint="eastAsia" w:ascii="宋体" w:hAnsi="宋体" w:eastAsia="宋体" w:cs="宋体"/>
          <w:sz w:val="44"/>
          <w:szCs w:val="44"/>
          <w:highlight w:val="none"/>
        </w:rPr>
      </w:pPr>
    </w:p>
    <w:p w14:paraId="44BD065B">
      <w:pPr>
        <w:autoSpaceDN w:val="0"/>
        <w:rPr>
          <w:rFonts w:hint="eastAsia" w:ascii="宋体" w:hAnsi="宋体" w:eastAsia="宋体" w:cs="宋体"/>
          <w:sz w:val="44"/>
          <w:szCs w:val="44"/>
          <w:highlight w:val="none"/>
        </w:rPr>
      </w:pPr>
    </w:p>
    <w:p w14:paraId="602B5EC8">
      <w:pPr>
        <w:autoSpaceDN w:val="0"/>
        <w:rPr>
          <w:rFonts w:hint="eastAsia" w:ascii="宋体" w:hAnsi="宋体" w:eastAsia="宋体" w:cs="宋体"/>
          <w:sz w:val="44"/>
          <w:szCs w:val="44"/>
          <w:highlight w:val="none"/>
        </w:rPr>
      </w:pPr>
    </w:p>
    <w:p w14:paraId="6BF75186">
      <w:pPr>
        <w:autoSpaceDN w:val="0"/>
        <w:rPr>
          <w:rFonts w:hint="eastAsia" w:ascii="宋体" w:hAnsi="宋体" w:eastAsia="宋体" w:cs="宋体"/>
          <w:sz w:val="44"/>
          <w:szCs w:val="44"/>
          <w:highlight w:val="none"/>
        </w:rPr>
      </w:pPr>
    </w:p>
    <w:p w14:paraId="7C8192DB">
      <w:pPr>
        <w:autoSpaceDN w:val="0"/>
        <w:rPr>
          <w:rFonts w:hint="eastAsia" w:ascii="宋体" w:hAnsi="宋体" w:eastAsia="宋体" w:cs="宋体"/>
          <w:sz w:val="44"/>
          <w:szCs w:val="44"/>
          <w:highlight w:val="none"/>
        </w:rPr>
      </w:pPr>
    </w:p>
    <w:p w14:paraId="60F95915">
      <w:pPr>
        <w:autoSpaceDN w:val="0"/>
        <w:rPr>
          <w:rFonts w:hint="eastAsia" w:ascii="宋体" w:hAnsi="宋体" w:eastAsia="宋体" w:cs="宋体"/>
          <w:sz w:val="44"/>
          <w:szCs w:val="44"/>
          <w:highlight w:val="none"/>
        </w:rPr>
      </w:pPr>
    </w:p>
    <w:p w14:paraId="590C7E81">
      <w:pPr>
        <w:autoSpaceDN w:val="0"/>
        <w:rPr>
          <w:rFonts w:hint="eastAsia" w:ascii="宋体" w:hAnsi="宋体" w:eastAsia="宋体" w:cs="宋体"/>
          <w:sz w:val="44"/>
          <w:szCs w:val="44"/>
          <w:highlight w:val="none"/>
        </w:rPr>
      </w:pPr>
    </w:p>
    <w:p w14:paraId="6EC34E0B">
      <w:pPr>
        <w:autoSpaceDN w:val="0"/>
        <w:rPr>
          <w:rFonts w:hint="eastAsia" w:ascii="宋体" w:hAnsi="宋体" w:eastAsia="宋体" w:cs="宋体"/>
          <w:sz w:val="44"/>
          <w:szCs w:val="44"/>
          <w:highlight w:val="none"/>
        </w:rPr>
      </w:pPr>
    </w:p>
    <w:p w14:paraId="69B7E3E8">
      <w:pPr>
        <w:widowControl/>
        <w:autoSpaceDN w:val="0"/>
        <w:jc w:val="left"/>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58B6CF84">
      <w:pPr>
        <w:tabs>
          <w:tab w:val="center" w:pos="4819"/>
        </w:tabs>
        <w:autoSpaceDN w:val="0"/>
        <w:rPr>
          <w:rFonts w:hint="eastAsia" w:ascii="宋体" w:hAnsi="宋体" w:eastAsia="宋体" w:cs="宋体"/>
          <w:sz w:val="44"/>
          <w:szCs w:val="44"/>
          <w:highlight w:val="none"/>
        </w:rPr>
        <w:sectPr>
          <w:headerReference r:id="rId4" w:type="first"/>
          <w:footerReference r:id="rId7" w:type="first"/>
          <w:headerReference r:id="rId3" w:type="default"/>
          <w:footerReference r:id="rId5" w:type="default"/>
          <w:footerReference r:id="rId6" w:type="even"/>
          <w:pgSz w:w="11905" w:h="16838"/>
          <w:pgMar w:top="856" w:right="1191" w:bottom="1417" w:left="1191" w:header="567" w:footer="680" w:gutter="0"/>
          <w:pgBorders>
            <w:top w:val="none" w:sz="0" w:space="0"/>
            <w:left w:val="none" w:sz="0" w:space="0"/>
            <w:bottom w:val="none" w:sz="0" w:space="0"/>
            <w:right w:val="none" w:sz="0" w:space="0"/>
          </w:pgBorders>
          <w:pgNumType w:fmt="decimal" w:start="0"/>
          <w:cols w:space="0" w:num="1"/>
          <w:titlePg/>
          <w:rtlGutter w:val="0"/>
          <w:docGrid w:linePitch="286" w:charSpace="0"/>
        </w:sectPr>
      </w:pPr>
    </w:p>
    <w:p w14:paraId="0D754384">
      <w:pPr>
        <w:autoSpaceDN w:val="0"/>
        <w:adjustRightInd w:val="0"/>
        <w:snapToGrid w:val="0"/>
        <w:spacing w:line="324"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目录</w:t>
      </w:r>
    </w:p>
    <w:p w14:paraId="392354AF">
      <w:pPr>
        <w:pStyle w:val="33"/>
        <w:tabs>
          <w:tab w:val="right" w:leader="dot" w:pos="9523"/>
          <w:tab w:val="clear" w:pos="9403"/>
        </w:tabs>
        <w:rPr>
          <w:highlight w:val="none"/>
        </w:rPr>
      </w:pPr>
      <w:r>
        <w:rPr>
          <w:rFonts w:hint="eastAsia" w:ascii="宋体" w:hAnsi="宋体" w:eastAsia="宋体" w:cs="宋体"/>
          <w:w w:val="90"/>
          <w:sz w:val="24"/>
          <w:highlight w:val="none"/>
        </w:rPr>
        <w:fldChar w:fldCharType="begin"/>
      </w:r>
      <w:r>
        <w:rPr>
          <w:rFonts w:hint="eastAsia" w:ascii="宋体" w:hAnsi="宋体" w:eastAsia="宋体" w:cs="宋体"/>
          <w:w w:val="90"/>
          <w:sz w:val="24"/>
          <w:highlight w:val="none"/>
        </w:rPr>
        <w:instrText xml:space="preserve"> TOC \o "1-2" \h \z </w:instrText>
      </w:r>
      <w:r>
        <w:rPr>
          <w:rFonts w:hint="eastAsia" w:ascii="宋体" w:hAnsi="宋体" w:eastAsia="宋体" w:cs="宋体"/>
          <w:w w:val="90"/>
          <w:sz w:val="24"/>
          <w:highlight w:val="none"/>
        </w:rPr>
        <w:fldChar w:fldCharType="separate"/>
      </w:r>
      <w:r>
        <w:rPr>
          <w:rFonts w:hint="eastAsia" w:ascii="宋体" w:hAnsi="宋体" w:eastAsia="宋体" w:cs="宋体"/>
          <w:w w:val="90"/>
          <w:highlight w:val="none"/>
        </w:rPr>
        <w:fldChar w:fldCharType="begin"/>
      </w:r>
      <w:r>
        <w:rPr>
          <w:rFonts w:hint="eastAsia" w:ascii="宋体" w:hAnsi="宋体" w:eastAsia="宋体" w:cs="宋体"/>
          <w:w w:val="90"/>
          <w:highlight w:val="none"/>
        </w:rPr>
        <w:instrText xml:space="preserve"> HYPERLINK \l _Toc13101 </w:instrText>
      </w:r>
      <w:r>
        <w:rPr>
          <w:rFonts w:hint="eastAsia" w:ascii="宋体" w:hAnsi="宋体" w:eastAsia="宋体" w:cs="宋体"/>
          <w:w w:val="90"/>
          <w:highlight w:val="none"/>
        </w:rPr>
        <w:fldChar w:fldCharType="separate"/>
      </w:r>
      <w:r>
        <w:rPr>
          <w:rFonts w:hint="eastAsia" w:ascii="宋体" w:hAnsi="宋体" w:eastAsia="宋体" w:cs="宋体"/>
          <w:bCs/>
          <w:kern w:val="44"/>
          <w:szCs w:val="44"/>
          <w:highlight w:val="none"/>
        </w:rPr>
        <w:t>第一章  竞争性磋商公告</w:t>
      </w:r>
      <w:r>
        <w:rPr>
          <w:highlight w:val="none"/>
        </w:rPr>
        <w:tab/>
      </w:r>
      <w:r>
        <w:rPr>
          <w:highlight w:val="none"/>
        </w:rPr>
        <w:fldChar w:fldCharType="begin"/>
      </w:r>
      <w:r>
        <w:rPr>
          <w:highlight w:val="none"/>
        </w:rPr>
        <w:instrText xml:space="preserve"> PAGEREF _Toc13101 \h </w:instrText>
      </w:r>
      <w:r>
        <w:rPr>
          <w:highlight w:val="none"/>
        </w:rPr>
        <w:fldChar w:fldCharType="separate"/>
      </w:r>
      <w:r>
        <w:rPr>
          <w:highlight w:val="none"/>
        </w:rPr>
        <w:t>1</w:t>
      </w:r>
      <w:r>
        <w:rPr>
          <w:highlight w:val="none"/>
        </w:rPr>
        <w:fldChar w:fldCharType="end"/>
      </w:r>
      <w:r>
        <w:rPr>
          <w:rFonts w:hint="eastAsia" w:ascii="宋体" w:hAnsi="宋体" w:eastAsia="宋体" w:cs="宋体"/>
          <w:w w:val="90"/>
          <w:highlight w:val="none"/>
        </w:rPr>
        <w:fldChar w:fldCharType="end"/>
      </w:r>
    </w:p>
    <w:p w14:paraId="5227B6DB">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_Toc18950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第二章  磋商须知前附表</w:t>
      </w:r>
      <w:r>
        <w:rPr>
          <w:highlight w:val="none"/>
        </w:rPr>
        <w:tab/>
      </w:r>
      <w:r>
        <w:rPr>
          <w:highlight w:val="none"/>
        </w:rPr>
        <w:fldChar w:fldCharType="begin"/>
      </w:r>
      <w:r>
        <w:rPr>
          <w:highlight w:val="none"/>
        </w:rPr>
        <w:instrText xml:space="preserve"> PAGEREF _Toc18950 \h </w:instrText>
      </w:r>
      <w:r>
        <w:rPr>
          <w:highlight w:val="none"/>
        </w:rPr>
        <w:fldChar w:fldCharType="separate"/>
      </w:r>
      <w:r>
        <w:rPr>
          <w:highlight w:val="none"/>
        </w:rPr>
        <w:t>5</w:t>
      </w:r>
      <w:r>
        <w:rPr>
          <w:highlight w:val="none"/>
        </w:rPr>
        <w:fldChar w:fldCharType="end"/>
      </w:r>
      <w:r>
        <w:rPr>
          <w:rFonts w:hint="eastAsia" w:ascii="宋体" w:hAnsi="宋体" w:eastAsia="宋体" w:cs="宋体"/>
          <w:bCs/>
          <w:w w:val="90"/>
          <w:highlight w:val="none"/>
        </w:rPr>
        <w:fldChar w:fldCharType="end"/>
      </w:r>
    </w:p>
    <w:p w14:paraId="63BEAA7A">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_Toc4570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第三章  磋商须知</w:t>
      </w:r>
      <w:r>
        <w:rPr>
          <w:highlight w:val="none"/>
        </w:rPr>
        <w:tab/>
      </w:r>
      <w:r>
        <w:rPr>
          <w:highlight w:val="none"/>
        </w:rPr>
        <w:fldChar w:fldCharType="begin"/>
      </w:r>
      <w:r>
        <w:rPr>
          <w:highlight w:val="none"/>
        </w:rPr>
        <w:instrText xml:space="preserve"> PAGEREF _Toc4570 \h </w:instrText>
      </w:r>
      <w:r>
        <w:rPr>
          <w:highlight w:val="none"/>
        </w:rPr>
        <w:fldChar w:fldCharType="separate"/>
      </w:r>
      <w:r>
        <w:rPr>
          <w:highlight w:val="none"/>
        </w:rPr>
        <w:t>11</w:t>
      </w:r>
      <w:r>
        <w:rPr>
          <w:highlight w:val="none"/>
        </w:rPr>
        <w:fldChar w:fldCharType="end"/>
      </w:r>
      <w:r>
        <w:rPr>
          <w:rFonts w:hint="eastAsia" w:ascii="宋体" w:hAnsi="宋体" w:eastAsia="宋体" w:cs="宋体"/>
          <w:bCs/>
          <w:w w:val="90"/>
          <w:highlight w:val="none"/>
        </w:rPr>
        <w:fldChar w:fldCharType="end"/>
      </w:r>
    </w:p>
    <w:p w14:paraId="371CF3C3">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_Toc20787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一、总则</w:t>
      </w:r>
      <w:r>
        <w:rPr>
          <w:highlight w:val="none"/>
        </w:rPr>
        <w:tab/>
      </w:r>
      <w:r>
        <w:rPr>
          <w:highlight w:val="none"/>
        </w:rPr>
        <w:fldChar w:fldCharType="begin"/>
      </w:r>
      <w:r>
        <w:rPr>
          <w:highlight w:val="none"/>
        </w:rPr>
        <w:instrText xml:space="preserve"> PAGEREF _Toc20787 \h </w:instrText>
      </w:r>
      <w:r>
        <w:rPr>
          <w:highlight w:val="none"/>
        </w:rPr>
        <w:fldChar w:fldCharType="separate"/>
      </w:r>
      <w:r>
        <w:rPr>
          <w:highlight w:val="none"/>
        </w:rPr>
        <w:t>11</w:t>
      </w:r>
      <w:r>
        <w:rPr>
          <w:highlight w:val="none"/>
        </w:rPr>
        <w:fldChar w:fldCharType="end"/>
      </w:r>
      <w:r>
        <w:rPr>
          <w:rFonts w:hint="eastAsia" w:ascii="宋体" w:hAnsi="宋体" w:eastAsia="宋体" w:cs="宋体"/>
          <w:bCs/>
          <w:w w:val="90"/>
          <w:highlight w:val="none"/>
        </w:rPr>
        <w:fldChar w:fldCharType="end"/>
      </w:r>
    </w:p>
    <w:p w14:paraId="40186784">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_Toc23257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二、落实的政府采购政策</w:t>
      </w:r>
      <w:r>
        <w:rPr>
          <w:highlight w:val="none"/>
        </w:rPr>
        <w:tab/>
      </w:r>
      <w:r>
        <w:rPr>
          <w:highlight w:val="none"/>
        </w:rPr>
        <w:fldChar w:fldCharType="begin"/>
      </w:r>
      <w:r>
        <w:rPr>
          <w:highlight w:val="none"/>
        </w:rPr>
        <w:instrText xml:space="preserve"> PAGEREF _Toc23257 \h </w:instrText>
      </w:r>
      <w:r>
        <w:rPr>
          <w:highlight w:val="none"/>
        </w:rPr>
        <w:fldChar w:fldCharType="separate"/>
      </w:r>
      <w:r>
        <w:rPr>
          <w:highlight w:val="none"/>
        </w:rPr>
        <w:t>17</w:t>
      </w:r>
      <w:r>
        <w:rPr>
          <w:highlight w:val="none"/>
        </w:rPr>
        <w:fldChar w:fldCharType="end"/>
      </w:r>
      <w:r>
        <w:rPr>
          <w:rFonts w:hint="eastAsia" w:ascii="宋体" w:hAnsi="宋体" w:eastAsia="宋体" w:cs="宋体"/>
          <w:bCs/>
          <w:w w:val="90"/>
          <w:highlight w:val="none"/>
        </w:rPr>
        <w:fldChar w:fldCharType="end"/>
      </w:r>
    </w:p>
    <w:p w14:paraId="725DFB4C">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_Toc582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三、竞争性磋商文件</w:t>
      </w:r>
      <w:r>
        <w:rPr>
          <w:highlight w:val="none"/>
        </w:rPr>
        <w:tab/>
      </w:r>
      <w:r>
        <w:rPr>
          <w:highlight w:val="none"/>
        </w:rPr>
        <w:fldChar w:fldCharType="begin"/>
      </w:r>
      <w:r>
        <w:rPr>
          <w:highlight w:val="none"/>
        </w:rPr>
        <w:instrText xml:space="preserve"> PAGEREF _Toc582 \h </w:instrText>
      </w:r>
      <w:r>
        <w:rPr>
          <w:highlight w:val="none"/>
        </w:rPr>
        <w:fldChar w:fldCharType="separate"/>
      </w:r>
      <w:r>
        <w:rPr>
          <w:highlight w:val="none"/>
        </w:rPr>
        <w:t>19</w:t>
      </w:r>
      <w:r>
        <w:rPr>
          <w:highlight w:val="none"/>
        </w:rPr>
        <w:fldChar w:fldCharType="end"/>
      </w:r>
      <w:r>
        <w:rPr>
          <w:rFonts w:hint="eastAsia" w:ascii="宋体" w:hAnsi="宋体" w:eastAsia="宋体" w:cs="宋体"/>
          <w:bCs/>
          <w:w w:val="90"/>
          <w:highlight w:val="none"/>
        </w:rPr>
        <w:fldChar w:fldCharType="end"/>
      </w:r>
    </w:p>
    <w:p w14:paraId="4FCF1778">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_Toc11409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四、磋商响应文件</w:t>
      </w:r>
      <w:r>
        <w:rPr>
          <w:highlight w:val="none"/>
        </w:rPr>
        <w:tab/>
      </w:r>
      <w:r>
        <w:rPr>
          <w:highlight w:val="none"/>
        </w:rPr>
        <w:fldChar w:fldCharType="begin"/>
      </w:r>
      <w:r>
        <w:rPr>
          <w:highlight w:val="none"/>
        </w:rPr>
        <w:instrText xml:space="preserve"> PAGEREF _Toc11409 \h </w:instrText>
      </w:r>
      <w:r>
        <w:rPr>
          <w:highlight w:val="none"/>
        </w:rPr>
        <w:fldChar w:fldCharType="separate"/>
      </w:r>
      <w:r>
        <w:rPr>
          <w:highlight w:val="none"/>
        </w:rPr>
        <w:t>20</w:t>
      </w:r>
      <w:r>
        <w:rPr>
          <w:highlight w:val="none"/>
        </w:rPr>
        <w:fldChar w:fldCharType="end"/>
      </w:r>
      <w:r>
        <w:rPr>
          <w:rFonts w:hint="eastAsia" w:ascii="宋体" w:hAnsi="宋体" w:eastAsia="宋体" w:cs="宋体"/>
          <w:bCs/>
          <w:w w:val="90"/>
          <w:highlight w:val="none"/>
        </w:rPr>
        <w:fldChar w:fldCharType="end"/>
      </w:r>
    </w:p>
    <w:p w14:paraId="3A70C6D3">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_Toc17132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五、磋商响应</w:t>
      </w:r>
      <w:r>
        <w:rPr>
          <w:highlight w:val="none"/>
        </w:rPr>
        <w:tab/>
      </w:r>
      <w:r>
        <w:rPr>
          <w:highlight w:val="none"/>
        </w:rPr>
        <w:fldChar w:fldCharType="begin"/>
      </w:r>
      <w:r>
        <w:rPr>
          <w:highlight w:val="none"/>
        </w:rPr>
        <w:instrText xml:space="preserve"> PAGEREF _Toc17132 \h </w:instrText>
      </w:r>
      <w:r>
        <w:rPr>
          <w:highlight w:val="none"/>
        </w:rPr>
        <w:fldChar w:fldCharType="separate"/>
      </w:r>
      <w:r>
        <w:rPr>
          <w:highlight w:val="none"/>
        </w:rPr>
        <w:t>24</w:t>
      </w:r>
      <w:r>
        <w:rPr>
          <w:highlight w:val="none"/>
        </w:rPr>
        <w:fldChar w:fldCharType="end"/>
      </w:r>
      <w:r>
        <w:rPr>
          <w:rFonts w:hint="eastAsia" w:ascii="宋体" w:hAnsi="宋体" w:eastAsia="宋体" w:cs="宋体"/>
          <w:bCs/>
          <w:w w:val="90"/>
          <w:highlight w:val="none"/>
        </w:rPr>
        <w:fldChar w:fldCharType="end"/>
      </w:r>
    </w:p>
    <w:p w14:paraId="5A2FECA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_Toc6995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六、开标</w:t>
      </w:r>
      <w:r>
        <w:rPr>
          <w:highlight w:val="none"/>
        </w:rPr>
        <w:tab/>
      </w:r>
      <w:r>
        <w:rPr>
          <w:highlight w:val="none"/>
        </w:rPr>
        <w:fldChar w:fldCharType="begin"/>
      </w:r>
      <w:r>
        <w:rPr>
          <w:highlight w:val="none"/>
        </w:rPr>
        <w:instrText xml:space="preserve"> PAGEREF _Toc6995 \h </w:instrText>
      </w:r>
      <w:r>
        <w:rPr>
          <w:highlight w:val="none"/>
        </w:rPr>
        <w:fldChar w:fldCharType="separate"/>
      </w:r>
      <w:r>
        <w:rPr>
          <w:highlight w:val="none"/>
        </w:rPr>
        <w:t>25</w:t>
      </w:r>
      <w:r>
        <w:rPr>
          <w:highlight w:val="none"/>
        </w:rPr>
        <w:fldChar w:fldCharType="end"/>
      </w:r>
      <w:r>
        <w:rPr>
          <w:rFonts w:hint="eastAsia" w:ascii="宋体" w:hAnsi="宋体" w:eastAsia="宋体" w:cs="宋体"/>
          <w:bCs/>
          <w:w w:val="90"/>
          <w:highlight w:val="none"/>
        </w:rPr>
        <w:fldChar w:fldCharType="end"/>
      </w:r>
    </w:p>
    <w:p w14:paraId="14452D3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_Toc28197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七、评审</w:t>
      </w:r>
      <w:r>
        <w:rPr>
          <w:highlight w:val="none"/>
        </w:rPr>
        <w:tab/>
      </w:r>
      <w:r>
        <w:rPr>
          <w:highlight w:val="none"/>
        </w:rPr>
        <w:fldChar w:fldCharType="begin"/>
      </w:r>
      <w:r>
        <w:rPr>
          <w:highlight w:val="none"/>
        </w:rPr>
        <w:instrText xml:space="preserve"> PAGEREF _Toc28197 \h </w:instrText>
      </w:r>
      <w:r>
        <w:rPr>
          <w:highlight w:val="none"/>
        </w:rPr>
        <w:fldChar w:fldCharType="separate"/>
      </w:r>
      <w:r>
        <w:rPr>
          <w:highlight w:val="none"/>
        </w:rPr>
        <w:t>26</w:t>
      </w:r>
      <w:r>
        <w:rPr>
          <w:highlight w:val="none"/>
        </w:rPr>
        <w:fldChar w:fldCharType="end"/>
      </w:r>
      <w:r>
        <w:rPr>
          <w:rFonts w:hint="eastAsia" w:ascii="宋体" w:hAnsi="宋体" w:eastAsia="宋体" w:cs="宋体"/>
          <w:bCs/>
          <w:w w:val="90"/>
          <w:highlight w:val="none"/>
        </w:rPr>
        <w:fldChar w:fldCharType="end"/>
      </w:r>
    </w:p>
    <w:p w14:paraId="13F2CB8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_Toc5711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八、采购结果确认与公告</w:t>
      </w:r>
      <w:r>
        <w:rPr>
          <w:highlight w:val="none"/>
        </w:rPr>
        <w:tab/>
      </w:r>
      <w:r>
        <w:rPr>
          <w:highlight w:val="none"/>
        </w:rPr>
        <w:fldChar w:fldCharType="begin"/>
      </w:r>
      <w:r>
        <w:rPr>
          <w:highlight w:val="none"/>
        </w:rPr>
        <w:instrText xml:space="preserve"> PAGEREF _Toc5711 \h </w:instrText>
      </w:r>
      <w:r>
        <w:rPr>
          <w:highlight w:val="none"/>
        </w:rPr>
        <w:fldChar w:fldCharType="separate"/>
      </w:r>
      <w:r>
        <w:rPr>
          <w:highlight w:val="none"/>
        </w:rPr>
        <w:t>27</w:t>
      </w:r>
      <w:r>
        <w:rPr>
          <w:highlight w:val="none"/>
        </w:rPr>
        <w:fldChar w:fldCharType="end"/>
      </w:r>
      <w:r>
        <w:rPr>
          <w:rFonts w:hint="eastAsia" w:ascii="宋体" w:hAnsi="宋体" w:eastAsia="宋体" w:cs="宋体"/>
          <w:bCs/>
          <w:w w:val="90"/>
          <w:highlight w:val="none"/>
        </w:rPr>
        <w:fldChar w:fldCharType="end"/>
      </w:r>
    </w:p>
    <w:p w14:paraId="685AFD5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_Toc24033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九、采购代理服务费和造价咨询服务费</w:t>
      </w:r>
      <w:r>
        <w:rPr>
          <w:highlight w:val="none"/>
        </w:rPr>
        <w:tab/>
      </w:r>
      <w:r>
        <w:rPr>
          <w:highlight w:val="none"/>
        </w:rPr>
        <w:fldChar w:fldCharType="begin"/>
      </w:r>
      <w:r>
        <w:rPr>
          <w:highlight w:val="none"/>
        </w:rPr>
        <w:instrText xml:space="preserve"> PAGEREF _Toc24033 \h </w:instrText>
      </w:r>
      <w:r>
        <w:rPr>
          <w:highlight w:val="none"/>
        </w:rPr>
        <w:fldChar w:fldCharType="separate"/>
      </w:r>
      <w:r>
        <w:rPr>
          <w:highlight w:val="none"/>
        </w:rPr>
        <w:t>28</w:t>
      </w:r>
      <w:r>
        <w:rPr>
          <w:highlight w:val="none"/>
        </w:rPr>
        <w:fldChar w:fldCharType="end"/>
      </w:r>
      <w:r>
        <w:rPr>
          <w:rFonts w:hint="eastAsia" w:ascii="宋体" w:hAnsi="宋体" w:eastAsia="宋体" w:cs="宋体"/>
          <w:bCs/>
          <w:w w:val="90"/>
          <w:highlight w:val="none"/>
        </w:rPr>
        <w:fldChar w:fldCharType="end"/>
      </w:r>
    </w:p>
    <w:p w14:paraId="5A541F9F">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_Toc8489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十、合同签订和履约担保</w:t>
      </w:r>
      <w:r>
        <w:rPr>
          <w:highlight w:val="none"/>
        </w:rPr>
        <w:tab/>
      </w:r>
      <w:r>
        <w:rPr>
          <w:highlight w:val="none"/>
        </w:rPr>
        <w:fldChar w:fldCharType="begin"/>
      </w:r>
      <w:r>
        <w:rPr>
          <w:highlight w:val="none"/>
        </w:rPr>
        <w:instrText xml:space="preserve"> PAGEREF _Toc8489 \h </w:instrText>
      </w:r>
      <w:r>
        <w:rPr>
          <w:highlight w:val="none"/>
        </w:rPr>
        <w:fldChar w:fldCharType="separate"/>
      </w:r>
      <w:r>
        <w:rPr>
          <w:highlight w:val="none"/>
        </w:rPr>
        <w:t>28</w:t>
      </w:r>
      <w:r>
        <w:rPr>
          <w:highlight w:val="none"/>
        </w:rPr>
        <w:fldChar w:fldCharType="end"/>
      </w:r>
      <w:r>
        <w:rPr>
          <w:rFonts w:hint="eastAsia" w:ascii="宋体" w:hAnsi="宋体" w:eastAsia="宋体" w:cs="宋体"/>
          <w:bCs/>
          <w:w w:val="90"/>
          <w:highlight w:val="none"/>
        </w:rPr>
        <w:fldChar w:fldCharType="end"/>
      </w:r>
    </w:p>
    <w:p w14:paraId="788EEC0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_Toc15048 </w:instrText>
      </w:r>
      <w:r>
        <w:rPr>
          <w:rFonts w:hint="eastAsia" w:ascii="宋体" w:hAnsi="宋体" w:eastAsia="宋体" w:cs="宋体"/>
          <w:bCs/>
          <w:w w:val="90"/>
          <w:highlight w:val="none"/>
        </w:rPr>
        <w:fldChar w:fldCharType="separate"/>
      </w:r>
      <w:r>
        <w:rPr>
          <w:rFonts w:hint="eastAsia" w:ascii="宋体" w:hAnsi="宋体" w:eastAsia="宋体" w:cs="宋体"/>
          <w:szCs w:val="22"/>
          <w:highlight w:val="none"/>
        </w:rPr>
        <w:t>十一、其他事项说明</w:t>
      </w:r>
      <w:r>
        <w:rPr>
          <w:highlight w:val="none"/>
        </w:rPr>
        <w:tab/>
      </w:r>
      <w:r>
        <w:rPr>
          <w:highlight w:val="none"/>
        </w:rPr>
        <w:fldChar w:fldCharType="begin"/>
      </w:r>
      <w:r>
        <w:rPr>
          <w:highlight w:val="none"/>
        </w:rPr>
        <w:instrText xml:space="preserve"> PAGEREF _Toc15048 \h </w:instrText>
      </w:r>
      <w:r>
        <w:rPr>
          <w:highlight w:val="none"/>
        </w:rPr>
        <w:fldChar w:fldCharType="separate"/>
      </w:r>
      <w:r>
        <w:rPr>
          <w:highlight w:val="none"/>
        </w:rPr>
        <w:t>29</w:t>
      </w:r>
      <w:r>
        <w:rPr>
          <w:highlight w:val="none"/>
        </w:rPr>
        <w:fldChar w:fldCharType="end"/>
      </w:r>
      <w:r>
        <w:rPr>
          <w:rFonts w:hint="eastAsia" w:ascii="宋体" w:hAnsi="宋体" w:eastAsia="宋体" w:cs="宋体"/>
          <w:bCs/>
          <w:w w:val="90"/>
          <w:highlight w:val="none"/>
        </w:rPr>
        <w:fldChar w:fldCharType="end"/>
      </w:r>
    </w:p>
    <w:p w14:paraId="44D01DDA">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_Toc28471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第四章  采购内容及技术要求</w:t>
      </w:r>
      <w:r>
        <w:rPr>
          <w:highlight w:val="none"/>
        </w:rPr>
        <w:tab/>
      </w:r>
      <w:r>
        <w:rPr>
          <w:highlight w:val="none"/>
        </w:rPr>
        <w:fldChar w:fldCharType="begin"/>
      </w:r>
      <w:r>
        <w:rPr>
          <w:highlight w:val="none"/>
        </w:rPr>
        <w:instrText xml:space="preserve"> PAGEREF _Toc28471 \h </w:instrText>
      </w:r>
      <w:r>
        <w:rPr>
          <w:highlight w:val="none"/>
        </w:rPr>
        <w:fldChar w:fldCharType="separate"/>
      </w:r>
      <w:r>
        <w:rPr>
          <w:highlight w:val="none"/>
        </w:rPr>
        <w:t>30</w:t>
      </w:r>
      <w:r>
        <w:rPr>
          <w:highlight w:val="none"/>
        </w:rPr>
        <w:fldChar w:fldCharType="end"/>
      </w:r>
      <w:r>
        <w:rPr>
          <w:rFonts w:hint="eastAsia" w:ascii="宋体" w:hAnsi="宋体" w:eastAsia="宋体" w:cs="宋体"/>
          <w:bCs/>
          <w:w w:val="90"/>
          <w:highlight w:val="none"/>
        </w:rPr>
        <w:fldChar w:fldCharType="end"/>
      </w:r>
    </w:p>
    <w:p w14:paraId="3C343B68">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_Toc2810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第五章  合同</w:t>
      </w:r>
      <w:r>
        <w:rPr>
          <w:highlight w:val="none"/>
        </w:rPr>
        <w:tab/>
      </w:r>
      <w:r>
        <w:rPr>
          <w:highlight w:val="none"/>
        </w:rPr>
        <w:fldChar w:fldCharType="begin"/>
      </w:r>
      <w:r>
        <w:rPr>
          <w:highlight w:val="none"/>
        </w:rPr>
        <w:instrText xml:space="preserve"> PAGEREF _Toc2810 \h </w:instrText>
      </w:r>
      <w:r>
        <w:rPr>
          <w:highlight w:val="none"/>
        </w:rPr>
        <w:fldChar w:fldCharType="separate"/>
      </w:r>
      <w:r>
        <w:rPr>
          <w:highlight w:val="none"/>
        </w:rPr>
        <w:t>32</w:t>
      </w:r>
      <w:r>
        <w:rPr>
          <w:highlight w:val="none"/>
        </w:rPr>
        <w:fldChar w:fldCharType="end"/>
      </w:r>
      <w:r>
        <w:rPr>
          <w:rFonts w:hint="eastAsia" w:ascii="宋体" w:hAnsi="宋体" w:eastAsia="宋体" w:cs="宋体"/>
          <w:bCs/>
          <w:w w:val="90"/>
          <w:highlight w:val="none"/>
        </w:rPr>
        <w:fldChar w:fldCharType="end"/>
      </w:r>
    </w:p>
    <w:p w14:paraId="0D3C8FFE">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_Toc6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第六章  磋商响应文件格式</w:t>
      </w:r>
      <w:r>
        <w:rPr>
          <w:highlight w:val="none"/>
        </w:rPr>
        <w:tab/>
      </w:r>
      <w:r>
        <w:rPr>
          <w:highlight w:val="none"/>
        </w:rPr>
        <w:fldChar w:fldCharType="begin"/>
      </w:r>
      <w:r>
        <w:rPr>
          <w:highlight w:val="none"/>
        </w:rPr>
        <w:instrText xml:space="preserve"> PAGEREF _Toc6 \h </w:instrText>
      </w:r>
      <w:r>
        <w:rPr>
          <w:highlight w:val="none"/>
        </w:rPr>
        <w:fldChar w:fldCharType="separate"/>
      </w:r>
      <w:r>
        <w:rPr>
          <w:highlight w:val="none"/>
        </w:rPr>
        <w:t>64</w:t>
      </w:r>
      <w:r>
        <w:rPr>
          <w:highlight w:val="none"/>
        </w:rPr>
        <w:fldChar w:fldCharType="end"/>
      </w:r>
      <w:r>
        <w:rPr>
          <w:rFonts w:hint="eastAsia" w:ascii="宋体" w:hAnsi="宋体" w:eastAsia="宋体" w:cs="宋体"/>
          <w:bCs/>
          <w:w w:val="90"/>
          <w:highlight w:val="none"/>
        </w:rPr>
        <w:fldChar w:fldCharType="end"/>
      </w:r>
    </w:p>
    <w:p w14:paraId="11DA6828">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_Toc29776 </w:instrText>
      </w:r>
      <w:r>
        <w:rPr>
          <w:rFonts w:hint="eastAsia" w:ascii="宋体" w:hAnsi="宋体" w:eastAsia="宋体" w:cs="宋体"/>
          <w:bCs/>
          <w:w w:val="90"/>
          <w:highlight w:val="none"/>
        </w:rPr>
        <w:fldChar w:fldCharType="separate"/>
      </w:r>
      <w:r>
        <w:rPr>
          <w:rFonts w:hint="eastAsia" w:ascii="宋体" w:hAnsi="宋体" w:eastAsia="宋体" w:cs="宋体"/>
          <w:szCs w:val="28"/>
          <w:highlight w:val="none"/>
        </w:rPr>
        <w:t>第一部分“资格文件格式”</w:t>
      </w:r>
      <w:r>
        <w:rPr>
          <w:highlight w:val="none"/>
        </w:rPr>
        <w:tab/>
      </w:r>
      <w:r>
        <w:rPr>
          <w:highlight w:val="none"/>
        </w:rPr>
        <w:fldChar w:fldCharType="begin"/>
      </w:r>
      <w:r>
        <w:rPr>
          <w:highlight w:val="none"/>
        </w:rPr>
        <w:instrText xml:space="preserve"> PAGEREF _Toc29776 \h </w:instrText>
      </w:r>
      <w:r>
        <w:rPr>
          <w:highlight w:val="none"/>
        </w:rPr>
        <w:fldChar w:fldCharType="separate"/>
      </w:r>
      <w:r>
        <w:rPr>
          <w:highlight w:val="none"/>
        </w:rPr>
        <w:t>65</w:t>
      </w:r>
      <w:r>
        <w:rPr>
          <w:highlight w:val="none"/>
        </w:rPr>
        <w:fldChar w:fldCharType="end"/>
      </w:r>
      <w:r>
        <w:rPr>
          <w:rFonts w:hint="eastAsia" w:ascii="宋体" w:hAnsi="宋体" w:eastAsia="宋体" w:cs="宋体"/>
          <w:bCs/>
          <w:w w:val="90"/>
          <w:highlight w:val="none"/>
        </w:rPr>
        <w:fldChar w:fldCharType="end"/>
      </w:r>
    </w:p>
    <w:p w14:paraId="1C23BBA9">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_Toc17775 </w:instrText>
      </w:r>
      <w:r>
        <w:rPr>
          <w:rFonts w:hint="eastAsia" w:ascii="宋体" w:hAnsi="宋体" w:eastAsia="宋体" w:cs="宋体"/>
          <w:bCs/>
          <w:w w:val="90"/>
          <w:highlight w:val="none"/>
        </w:rPr>
        <w:fldChar w:fldCharType="separate"/>
      </w:r>
      <w:r>
        <w:rPr>
          <w:rFonts w:hint="eastAsia" w:ascii="宋体" w:hAnsi="宋体" w:eastAsia="宋体" w:cs="宋体"/>
          <w:szCs w:val="28"/>
          <w:highlight w:val="none"/>
        </w:rPr>
        <w:t>第二部分“商务技术文件”格式</w:t>
      </w:r>
      <w:r>
        <w:rPr>
          <w:highlight w:val="none"/>
        </w:rPr>
        <w:tab/>
      </w:r>
      <w:r>
        <w:rPr>
          <w:highlight w:val="none"/>
        </w:rPr>
        <w:fldChar w:fldCharType="begin"/>
      </w:r>
      <w:r>
        <w:rPr>
          <w:highlight w:val="none"/>
        </w:rPr>
        <w:instrText xml:space="preserve"> PAGEREF _Toc17775 \h </w:instrText>
      </w:r>
      <w:r>
        <w:rPr>
          <w:highlight w:val="none"/>
        </w:rPr>
        <w:fldChar w:fldCharType="separate"/>
      </w:r>
      <w:r>
        <w:rPr>
          <w:highlight w:val="none"/>
        </w:rPr>
        <w:t>76</w:t>
      </w:r>
      <w:r>
        <w:rPr>
          <w:highlight w:val="none"/>
        </w:rPr>
        <w:fldChar w:fldCharType="end"/>
      </w:r>
      <w:r>
        <w:rPr>
          <w:rFonts w:hint="eastAsia" w:ascii="宋体" w:hAnsi="宋体" w:eastAsia="宋体" w:cs="宋体"/>
          <w:bCs/>
          <w:w w:val="90"/>
          <w:highlight w:val="none"/>
        </w:rPr>
        <w:fldChar w:fldCharType="end"/>
      </w:r>
    </w:p>
    <w:p w14:paraId="026DE1C2">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_Toc12366 </w:instrText>
      </w:r>
      <w:r>
        <w:rPr>
          <w:rFonts w:hint="eastAsia" w:ascii="宋体" w:hAnsi="宋体" w:eastAsia="宋体" w:cs="宋体"/>
          <w:bCs/>
          <w:w w:val="90"/>
          <w:highlight w:val="none"/>
        </w:rPr>
        <w:fldChar w:fldCharType="separate"/>
      </w:r>
      <w:r>
        <w:rPr>
          <w:rFonts w:hint="eastAsia" w:ascii="宋体" w:hAnsi="宋体" w:eastAsia="宋体" w:cs="宋体"/>
          <w:szCs w:val="28"/>
          <w:highlight w:val="none"/>
        </w:rPr>
        <w:t>第三部分“报价文件”格式</w:t>
      </w:r>
      <w:r>
        <w:rPr>
          <w:highlight w:val="none"/>
        </w:rPr>
        <w:tab/>
      </w:r>
      <w:r>
        <w:rPr>
          <w:highlight w:val="none"/>
        </w:rPr>
        <w:fldChar w:fldCharType="begin"/>
      </w:r>
      <w:r>
        <w:rPr>
          <w:highlight w:val="none"/>
        </w:rPr>
        <w:instrText xml:space="preserve"> PAGEREF _Toc12366 \h </w:instrText>
      </w:r>
      <w:r>
        <w:rPr>
          <w:highlight w:val="none"/>
        </w:rPr>
        <w:fldChar w:fldCharType="separate"/>
      </w:r>
      <w:r>
        <w:rPr>
          <w:highlight w:val="none"/>
        </w:rPr>
        <w:t>89</w:t>
      </w:r>
      <w:r>
        <w:rPr>
          <w:highlight w:val="none"/>
        </w:rPr>
        <w:fldChar w:fldCharType="end"/>
      </w:r>
      <w:r>
        <w:rPr>
          <w:rFonts w:hint="eastAsia" w:ascii="宋体" w:hAnsi="宋体" w:eastAsia="宋体" w:cs="宋体"/>
          <w:bCs/>
          <w:w w:val="90"/>
          <w:highlight w:val="none"/>
        </w:rPr>
        <w:fldChar w:fldCharType="end"/>
      </w:r>
    </w:p>
    <w:p w14:paraId="395FA371">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_Toc23664 </w:instrText>
      </w:r>
      <w:r>
        <w:rPr>
          <w:rFonts w:hint="eastAsia" w:ascii="宋体" w:hAnsi="宋体" w:eastAsia="宋体" w:cs="宋体"/>
          <w:bCs/>
          <w:w w:val="90"/>
          <w:highlight w:val="none"/>
        </w:rPr>
        <w:fldChar w:fldCharType="separate"/>
      </w:r>
      <w:r>
        <w:rPr>
          <w:rFonts w:hint="eastAsia" w:ascii="宋体" w:hAnsi="宋体" w:eastAsia="宋体" w:cs="宋体"/>
          <w:bCs/>
          <w:kern w:val="44"/>
          <w:szCs w:val="44"/>
          <w:highlight w:val="none"/>
        </w:rPr>
        <w:t>第七章  评审办法</w:t>
      </w:r>
      <w:r>
        <w:rPr>
          <w:highlight w:val="none"/>
        </w:rPr>
        <w:tab/>
      </w:r>
      <w:r>
        <w:rPr>
          <w:highlight w:val="none"/>
        </w:rPr>
        <w:fldChar w:fldCharType="begin"/>
      </w:r>
      <w:r>
        <w:rPr>
          <w:highlight w:val="none"/>
        </w:rPr>
        <w:instrText xml:space="preserve"> PAGEREF _Toc23664 \h </w:instrText>
      </w:r>
      <w:r>
        <w:rPr>
          <w:highlight w:val="none"/>
        </w:rPr>
        <w:fldChar w:fldCharType="separate"/>
      </w:r>
      <w:r>
        <w:rPr>
          <w:highlight w:val="none"/>
        </w:rPr>
        <w:t>94</w:t>
      </w:r>
      <w:r>
        <w:rPr>
          <w:highlight w:val="none"/>
        </w:rPr>
        <w:fldChar w:fldCharType="end"/>
      </w:r>
      <w:r>
        <w:rPr>
          <w:rFonts w:hint="eastAsia" w:ascii="宋体" w:hAnsi="宋体" w:eastAsia="宋体" w:cs="宋体"/>
          <w:bCs/>
          <w:w w:val="90"/>
          <w:highlight w:val="none"/>
        </w:rPr>
        <w:fldChar w:fldCharType="end"/>
      </w:r>
    </w:p>
    <w:p w14:paraId="60CF7B8D">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_Toc15230 </w:instrText>
      </w:r>
      <w:r>
        <w:rPr>
          <w:rFonts w:hint="eastAsia" w:ascii="宋体" w:hAnsi="宋体" w:eastAsia="宋体" w:cs="宋体"/>
          <w:bCs/>
          <w:w w:val="90"/>
          <w:highlight w:val="none"/>
        </w:rPr>
        <w:fldChar w:fldCharType="separate"/>
      </w:r>
      <w:r>
        <w:rPr>
          <w:rFonts w:hint="eastAsia" w:ascii="宋体" w:hAnsi="宋体" w:eastAsia="宋体" w:cs="宋体"/>
          <w:szCs w:val="21"/>
          <w:highlight w:val="none"/>
        </w:rPr>
        <w:t>一、总则</w:t>
      </w:r>
      <w:r>
        <w:rPr>
          <w:highlight w:val="none"/>
        </w:rPr>
        <w:tab/>
      </w:r>
      <w:r>
        <w:rPr>
          <w:highlight w:val="none"/>
        </w:rPr>
        <w:fldChar w:fldCharType="begin"/>
      </w:r>
      <w:r>
        <w:rPr>
          <w:highlight w:val="none"/>
        </w:rPr>
        <w:instrText xml:space="preserve"> PAGEREF _Toc15230 \h </w:instrText>
      </w:r>
      <w:r>
        <w:rPr>
          <w:highlight w:val="none"/>
        </w:rPr>
        <w:fldChar w:fldCharType="separate"/>
      </w:r>
      <w:r>
        <w:rPr>
          <w:highlight w:val="none"/>
        </w:rPr>
        <w:t>94</w:t>
      </w:r>
      <w:r>
        <w:rPr>
          <w:highlight w:val="none"/>
        </w:rPr>
        <w:fldChar w:fldCharType="end"/>
      </w:r>
      <w:r>
        <w:rPr>
          <w:rFonts w:hint="eastAsia" w:ascii="宋体" w:hAnsi="宋体" w:eastAsia="宋体" w:cs="宋体"/>
          <w:bCs/>
          <w:w w:val="90"/>
          <w:highlight w:val="none"/>
        </w:rPr>
        <w:fldChar w:fldCharType="end"/>
      </w:r>
    </w:p>
    <w:p w14:paraId="444803A6">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_Toc14055 </w:instrText>
      </w:r>
      <w:r>
        <w:rPr>
          <w:rFonts w:hint="eastAsia" w:ascii="宋体" w:hAnsi="宋体" w:eastAsia="宋体" w:cs="宋体"/>
          <w:bCs/>
          <w:w w:val="90"/>
          <w:highlight w:val="none"/>
        </w:rPr>
        <w:fldChar w:fldCharType="separate"/>
      </w:r>
      <w:r>
        <w:rPr>
          <w:rFonts w:hint="eastAsia" w:ascii="宋体" w:hAnsi="宋体" w:eastAsia="宋体" w:cs="宋体"/>
          <w:szCs w:val="21"/>
          <w:highlight w:val="none"/>
        </w:rPr>
        <w:t>二、评审程序</w:t>
      </w:r>
      <w:r>
        <w:rPr>
          <w:highlight w:val="none"/>
        </w:rPr>
        <w:tab/>
      </w:r>
      <w:r>
        <w:rPr>
          <w:highlight w:val="none"/>
        </w:rPr>
        <w:fldChar w:fldCharType="begin"/>
      </w:r>
      <w:r>
        <w:rPr>
          <w:highlight w:val="none"/>
        </w:rPr>
        <w:instrText xml:space="preserve"> PAGEREF _Toc14055 \h </w:instrText>
      </w:r>
      <w:r>
        <w:rPr>
          <w:highlight w:val="none"/>
        </w:rPr>
        <w:fldChar w:fldCharType="separate"/>
      </w:r>
      <w:r>
        <w:rPr>
          <w:highlight w:val="none"/>
        </w:rPr>
        <w:t>94</w:t>
      </w:r>
      <w:r>
        <w:rPr>
          <w:highlight w:val="none"/>
        </w:rPr>
        <w:fldChar w:fldCharType="end"/>
      </w:r>
      <w:r>
        <w:rPr>
          <w:rFonts w:hint="eastAsia" w:ascii="宋体" w:hAnsi="宋体" w:eastAsia="宋体" w:cs="宋体"/>
          <w:bCs/>
          <w:w w:val="90"/>
          <w:highlight w:val="none"/>
        </w:rPr>
        <w:fldChar w:fldCharType="end"/>
      </w:r>
    </w:p>
    <w:p w14:paraId="3ECF698E">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_Toc29214 </w:instrText>
      </w:r>
      <w:r>
        <w:rPr>
          <w:rFonts w:hint="eastAsia" w:ascii="宋体" w:hAnsi="宋体" w:eastAsia="宋体" w:cs="宋体"/>
          <w:bCs/>
          <w:w w:val="90"/>
          <w:highlight w:val="none"/>
        </w:rPr>
        <w:fldChar w:fldCharType="separate"/>
      </w:r>
      <w:r>
        <w:rPr>
          <w:rFonts w:hint="eastAsia" w:ascii="宋体" w:hAnsi="宋体" w:eastAsia="宋体" w:cs="宋体"/>
          <w:szCs w:val="21"/>
          <w:highlight w:val="none"/>
        </w:rPr>
        <w:t>三、评分标准</w:t>
      </w:r>
      <w:r>
        <w:rPr>
          <w:highlight w:val="none"/>
        </w:rPr>
        <w:tab/>
      </w:r>
      <w:r>
        <w:rPr>
          <w:highlight w:val="none"/>
        </w:rPr>
        <w:fldChar w:fldCharType="begin"/>
      </w:r>
      <w:r>
        <w:rPr>
          <w:highlight w:val="none"/>
        </w:rPr>
        <w:instrText xml:space="preserve"> PAGEREF _Toc29214 \h </w:instrText>
      </w:r>
      <w:r>
        <w:rPr>
          <w:highlight w:val="none"/>
        </w:rPr>
        <w:fldChar w:fldCharType="separate"/>
      </w:r>
      <w:r>
        <w:rPr>
          <w:highlight w:val="none"/>
        </w:rPr>
        <w:t>98</w:t>
      </w:r>
      <w:r>
        <w:rPr>
          <w:highlight w:val="none"/>
        </w:rPr>
        <w:fldChar w:fldCharType="end"/>
      </w:r>
      <w:r>
        <w:rPr>
          <w:rFonts w:hint="eastAsia" w:ascii="宋体" w:hAnsi="宋体" w:eastAsia="宋体" w:cs="宋体"/>
          <w:bCs/>
          <w:w w:val="90"/>
          <w:highlight w:val="none"/>
        </w:rPr>
        <w:fldChar w:fldCharType="end"/>
      </w:r>
    </w:p>
    <w:p w14:paraId="6C94078C">
      <w:pPr>
        <w:pStyle w:val="40"/>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_Toc4750 </w:instrText>
      </w:r>
      <w:r>
        <w:rPr>
          <w:rFonts w:hint="eastAsia" w:ascii="宋体" w:hAnsi="宋体" w:eastAsia="宋体" w:cs="宋体"/>
          <w:bCs/>
          <w:w w:val="90"/>
          <w:highlight w:val="none"/>
        </w:rPr>
        <w:fldChar w:fldCharType="separate"/>
      </w:r>
      <w:r>
        <w:rPr>
          <w:rFonts w:hint="eastAsia" w:ascii="宋体" w:hAnsi="宋体" w:eastAsia="宋体" w:cs="宋体"/>
          <w:szCs w:val="21"/>
          <w:highlight w:val="none"/>
        </w:rPr>
        <w:t>四、其他评审事项规定</w:t>
      </w:r>
      <w:r>
        <w:rPr>
          <w:highlight w:val="none"/>
        </w:rPr>
        <w:tab/>
      </w:r>
      <w:r>
        <w:rPr>
          <w:highlight w:val="none"/>
        </w:rPr>
        <w:fldChar w:fldCharType="begin"/>
      </w:r>
      <w:r>
        <w:rPr>
          <w:highlight w:val="none"/>
        </w:rPr>
        <w:instrText xml:space="preserve"> PAGEREF _Toc4750 \h </w:instrText>
      </w:r>
      <w:r>
        <w:rPr>
          <w:highlight w:val="none"/>
        </w:rPr>
        <w:fldChar w:fldCharType="separate"/>
      </w:r>
      <w:r>
        <w:rPr>
          <w:highlight w:val="none"/>
        </w:rPr>
        <w:t>100</w:t>
      </w:r>
      <w:r>
        <w:rPr>
          <w:highlight w:val="none"/>
        </w:rPr>
        <w:fldChar w:fldCharType="end"/>
      </w:r>
      <w:r>
        <w:rPr>
          <w:rFonts w:hint="eastAsia" w:ascii="宋体" w:hAnsi="宋体" w:eastAsia="宋体" w:cs="宋体"/>
          <w:bCs/>
          <w:w w:val="90"/>
          <w:highlight w:val="none"/>
        </w:rPr>
        <w:fldChar w:fldCharType="end"/>
      </w:r>
    </w:p>
    <w:p w14:paraId="4E0D1196">
      <w:pPr>
        <w:pStyle w:val="33"/>
        <w:tabs>
          <w:tab w:val="right" w:leader="dot" w:pos="9523"/>
          <w:tab w:val="clear" w:pos="9403"/>
        </w:tabs>
        <w:rPr>
          <w:highlight w:val="none"/>
        </w:rPr>
      </w:pPr>
      <w:r>
        <w:rPr>
          <w:rFonts w:hint="eastAsia" w:ascii="宋体" w:hAnsi="宋体" w:eastAsia="宋体" w:cs="宋体"/>
          <w:bCs/>
          <w:w w:val="90"/>
          <w:highlight w:val="none"/>
        </w:rPr>
        <w:fldChar w:fldCharType="begin"/>
      </w:r>
      <w:r>
        <w:rPr>
          <w:rFonts w:hint="eastAsia" w:ascii="宋体" w:hAnsi="宋体" w:eastAsia="宋体" w:cs="宋体"/>
          <w:bCs/>
          <w:w w:val="90"/>
          <w:highlight w:val="none"/>
        </w:rPr>
        <w:instrText xml:space="preserve"> HYPERLINK \l _Toc27569 </w:instrText>
      </w:r>
      <w:r>
        <w:rPr>
          <w:rFonts w:hint="eastAsia" w:ascii="宋体" w:hAnsi="宋体" w:eastAsia="宋体" w:cs="宋体"/>
          <w:bCs/>
          <w:w w:val="90"/>
          <w:highlight w:val="none"/>
        </w:rPr>
        <w:fldChar w:fldCharType="separate"/>
      </w:r>
      <w:r>
        <w:rPr>
          <w:rFonts w:hint="eastAsia" w:ascii="宋体" w:hAnsi="宋体" w:eastAsia="宋体" w:cs="宋体"/>
          <w:bCs/>
          <w:szCs w:val="32"/>
          <w:highlight w:val="none"/>
        </w:rPr>
        <w:t>第八章 附件</w:t>
      </w:r>
      <w:r>
        <w:rPr>
          <w:highlight w:val="none"/>
        </w:rPr>
        <w:tab/>
      </w:r>
      <w:r>
        <w:rPr>
          <w:highlight w:val="none"/>
        </w:rPr>
        <w:fldChar w:fldCharType="begin"/>
      </w:r>
      <w:r>
        <w:rPr>
          <w:highlight w:val="none"/>
        </w:rPr>
        <w:instrText xml:space="preserve"> PAGEREF _Toc27569 \h </w:instrText>
      </w:r>
      <w:r>
        <w:rPr>
          <w:highlight w:val="none"/>
        </w:rPr>
        <w:fldChar w:fldCharType="separate"/>
      </w:r>
      <w:r>
        <w:rPr>
          <w:highlight w:val="none"/>
        </w:rPr>
        <w:t>102</w:t>
      </w:r>
      <w:r>
        <w:rPr>
          <w:highlight w:val="none"/>
        </w:rPr>
        <w:fldChar w:fldCharType="end"/>
      </w:r>
      <w:r>
        <w:rPr>
          <w:rFonts w:hint="eastAsia" w:ascii="宋体" w:hAnsi="宋体" w:eastAsia="宋体" w:cs="宋体"/>
          <w:bCs/>
          <w:w w:val="90"/>
          <w:highlight w:val="none"/>
        </w:rPr>
        <w:fldChar w:fldCharType="end"/>
      </w:r>
    </w:p>
    <w:p w14:paraId="6B331D87">
      <w:pPr>
        <w:pStyle w:val="2"/>
        <w:keepNext w:val="0"/>
        <w:widowControl/>
        <w:autoSpaceDN w:val="0"/>
        <w:adjustRightInd w:val="0"/>
        <w:snapToGrid w:val="0"/>
        <w:spacing w:before="480" w:beforeLines="200" w:after="360" w:afterLines="150" w:line="340" w:lineRule="exact"/>
        <w:rPr>
          <w:rFonts w:hint="eastAsia" w:ascii="宋体" w:hAnsi="宋体" w:eastAsia="宋体" w:cs="宋体"/>
          <w:bCs/>
          <w:w w:val="90"/>
          <w:highlight w:val="none"/>
        </w:rPr>
      </w:pPr>
      <w:r>
        <w:rPr>
          <w:rFonts w:hint="eastAsia" w:ascii="宋体" w:hAnsi="宋体" w:eastAsia="宋体" w:cs="宋体"/>
          <w:bCs/>
          <w:w w:val="90"/>
          <w:highlight w:val="none"/>
        </w:rPr>
        <w:fldChar w:fldCharType="end"/>
      </w:r>
      <w:bookmarkStart w:id="0" w:name="_Toc293343927"/>
    </w:p>
    <w:p w14:paraId="69459B09">
      <w:pPr>
        <w:rPr>
          <w:rFonts w:hint="eastAsia" w:ascii="宋体" w:hAnsi="宋体" w:eastAsia="宋体" w:cs="宋体"/>
          <w:bCs/>
          <w:w w:val="90"/>
          <w:highlight w:val="none"/>
        </w:rPr>
      </w:pPr>
      <w:r>
        <w:rPr>
          <w:rFonts w:hint="eastAsia" w:ascii="宋体" w:hAnsi="宋体" w:eastAsia="宋体" w:cs="宋体"/>
          <w:bCs/>
          <w:w w:val="90"/>
          <w:highlight w:val="none"/>
        </w:rPr>
        <w:br w:type="page"/>
      </w:r>
    </w:p>
    <w:p w14:paraId="6B79C7CC">
      <w:pPr>
        <w:pStyle w:val="2"/>
        <w:keepNext w:val="0"/>
        <w:keepLines w:val="0"/>
        <w:pageBreakBefore w:val="0"/>
        <w:widowControl/>
        <w:kinsoku/>
        <w:wordWrap/>
        <w:overflowPunct/>
        <w:topLinePunct w:val="0"/>
        <w:autoSpaceDE/>
        <w:autoSpaceDN w:val="0"/>
        <w:bidi w:val="0"/>
        <w:adjustRightInd w:val="0"/>
        <w:snapToGrid w:val="0"/>
        <w:spacing w:before="859" w:beforeLines="300" w:after="360" w:afterLines="150" w:line="240" w:lineRule="auto"/>
        <w:textAlignment w:val="auto"/>
        <w:rPr>
          <w:rFonts w:hint="eastAsia" w:ascii="宋体" w:hAnsi="宋体" w:eastAsia="宋体" w:cs="宋体"/>
          <w:bCs/>
          <w:kern w:val="44"/>
          <w:sz w:val="18"/>
          <w:szCs w:val="18"/>
          <w:highlight w:val="none"/>
        </w:rPr>
      </w:pPr>
    </w:p>
    <w:p w14:paraId="3AF18AAE">
      <w:pPr>
        <w:pStyle w:val="2"/>
        <w:keepNext w:val="0"/>
        <w:keepLines w:val="0"/>
        <w:pageBreakBefore w:val="0"/>
        <w:widowControl/>
        <w:kinsoku/>
        <w:wordWrap/>
        <w:overflowPunct/>
        <w:topLinePunct w:val="0"/>
        <w:autoSpaceDE/>
        <w:autoSpaceDN w:val="0"/>
        <w:bidi w:val="0"/>
        <w:adjustRightInd w:val="0"/>
        <w:snapToGrid w:val="0"/>
        <w:spacing w:before="859" w:beforeLines="300" w:after="360" w:afterLines="150" w:line="340" w:lineRule="exact"/>
        <w:textAlignment w:val="auto"/>
        <w:rPr>
          <w:rFonts w:hint="eastAsia" w:ascii="宋体" w:hAnsi="宋体" w:eastAsia="宋体" w:cs="宋体"/>
          <w:bCs/>
          <w:sz w:val="24"/>
          <w:highlight w:val="none"/>
        </w:rPr>
      </w:pPr>
      <w:bookmarkStart w:id="1" w:name="_Toc13101"/>
      <w:r>
        <w:rPr>
          <w:rFonts w:hint="eastAsia" w:ascii="宋体" w:hAnsi="宋体" w:eastAsia="宋体" w:cs="宋体"/>
          <w:bCs/>
          <w:kern w:val="44"/>
          <w:sz w:val="44"/>
          <w:szCs w:val="44"/>
          <w:highlight w:val="none"/>
        </w:rPr>
        <w:t xml:space="preserve">第一章  </w:t>
      </w:r>
      <w:bookmarkEnd w:id="0"/>
      <w:r>
        <w:rPr>
          <w:rFonts w:hint="eastAsia" w:ascii="宋体" w:hAnsi="宋体" w:eastAsia="宋体" w:cs="宋体"/>
          <w:bCs/>
          <w:kern w:val="44"/>
          <w:sz w:val="44"/>
          <w:szCs w:val="44"/>
          <w:highlight w:val="none"/>
        </w:rPr>
        <w:t>竞争性磋商公告</w:t>
      </w:r>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14:paraId="4EEC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14:paraId="0E1726FA">
            <w:pPr>
              <w:autoSpaceDN w:val="0"/>
              <w:adjustRightInd w:val="0"/>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项目概况</w:t>
            </w:r>
          </w:p>
          <w:p w14:paraId="0B474A75">
            <w:pPr>
              <w:autoSpaceDN w:val="0"/>
              <w:adjustRightInd w:val="0"/>
              <w:snapToGrid w:val="0"/>
              <w:spacing w:line="360" w:lineRule="auto"/>
              <w:ind w:firstLine="422" w:firstLineChars="200"/>
              <w:jc w:val="left"/>
              <w:rPr>
                <w:rFonts w:hint="eastAsia" w:ascii="宋体" w:hAnsi="宋体" w:eastAsia="宋体" w:cs="宋体"/>
                <w:color w:val="000000"/>
                <w:sz w:val="21"/>
                <w:szCs w:val="21"/>
                <w:highlight w:val="none"/>
              </w:rPr>
            </w:pPr>
            <w:r>
              <w:rPr>
                <w:rFonts w:hint="eastAsia" w:ascii="宋体" w:hAnsi="宋体" w:cs="宋体"/>
                <w:b/>
                <w:bCs/>
                <w:sz w:val="21"/>
                <w:szCs w:val="21"/>
                <w:highlight w:val="none"/>
                <w:u w:val="single"/>
                <w:lang w:eastAsia="zh-CN"/>
              </w:rPr>
              <w:t>浙江中医药大学Ivan Psakhye教授实验室改造项目</w:t>
            </w:r>
            <w:r>
              <w:rPr>
                <w:rFonts w:hint="eastAsia" w:ascii="宋体" w:hAnsi="宋体" w:eastAsia="宋体" w:cs="宋体"/>
                <w:sz w:val="21"/>
                <w:szCs w:val="21"/>
                <w:highlight w:val="none"/>
              </w:rPr>
              <w:t>采购项目的潜在供应商应在</w:t>
            </w:r>
            <w:r>
              <w:rPr>
                <w:rFonts w:hint="eastAsia" w:ascii="宋体" w:hAnsi="宋体" w:eastAsia="宋体" w:cs="宋体"/>
                <w:b/>
                <w:bCs/>
                <w:sz w:val="21"/>
                <w:szCs w:val="21"/>
                <w:highlight w:val="none"/>
                <w:u w:val="single"/>
              </w:rPr>
              <w:t>政采云平台线上获取（下载）采购文件，并于</w:t>
            </w:r>
            <w:r>
              <w:rPr>
                <w:rFonts w:hint="eastAsia" w:ascii="宋体" w:hAnsi="宋体" w:cs="宋体"/>
                <w:b/>
                <w:bCs/>
                <w:sz w:val="21"/>
                <w:szCs w:val="21"/>
                <w:highlight w:val="none"/>
                <w:u w:val="single"/>
                <w:lang w:eastAsia="zh-CN"/>
              </w:rPr>
              <w:t>2025年7月</w:t>
            </w:r>
            <w:r>
              <w:rPr>
                <w:rFonts w:hint="eastAsia" w:ascii="宋体" w:hAnsi="宋体" w:cs="宋体"/>
                <w:b/>
                <w:bCs/>
                <w:sz w:val="21"/>
                <w:szCs w:val="21"/>
                <w:highlight w:val="none"/>
                <w:u w:val="single"/>
                <w:lang w:val="en-US" w:eastAsia="zh-CN"/>
              </w:rPr>
              <w:t>18</w:t>
            </w:r>
            <w:r>
              <w:rPr>
                <w:rFonts w:hint="eastAsia" w:ascii="宋体" w:hAnsi="宋体" w:cs="宋体"/>
                <w:b/>
                <w:bCs/>
                <w:sz w:val="21"/>
                <w:szCs w:val="21"/>
                <w:highlight w:val="none"/>
                <w:u w:val="single"/>
                <w:lang w:eastAsia="zh-CN"/>
              </w:rPr>
              <w:t>日</w:t>
            </w:r>
            <w:r>
              <w:rPr>
                <w:rFonts w:hint="eastAsia" w:ascii="宋体" w:hAnsi="宋体" w:cs="宋体"/>
                <w:b/>
                <w:bCs/>
                <w:sz w:val="21"/>
                <w:szCs w:val="21"/>
                <w:highlight w:val="none"/>
                <w:u w:val="single"/>
                <w:lang w:val="en-US" w:eastAsia="zh-CN"/>
              </w:rPr>
              <w:t>09:00</w:t>
            </w:r>
            <w:r>
              <w:rPr>
                <w:rFonts w:hint="eastAsia" w:ascii="宋体" w:hAnsi="宋体" w:eastAsia="宋体" w:cs="宋体"/>
                <w:b/>
                <w:bCs/>
                <w:color w:val="000000"/>
                <w:sz w:val="21"/>
                <w:szCs w:val="21"/>
                <w:highlight w:val="none"/>
                <w:u w:val="single"/>
              </w:rPr>
              <w:t>（北京时间）</w:t>
            </w:r>
            <w:r>
              <w:rPr>
                <w:rFonts w:hint="eastAsia" w:ascii="宋体" w:hAnsi="宋体" w:eastAsia="宋体" w:cs="宋体"/>
                <w:color w:val="000000"/>
                <w:sz w:val="21"/>
                <w:szCs w:val="21"/>
                <w:highlight w:val="none"/>
              </w:rPr>
              <w:t>前提交（上传）响应文件。</w:t>
            </w:r>
          </w:p>
        </w:tc>
      </w:tr>
    </w:tbl>
    <w:p w14:paraId="7521CC7F">
      <w:pPr>
        <w:pStyle w:val="45"/>
        <w:autoSpaceDN w:val="0"/>
        <w:adjustRightInd w:val="0"/>
        <w:snapToGrid w:val="0"/>
        <w:spacing w:before="120" w:beforeLines="50" w:beforeAutospacing="0" w:after="0" w:afterAutospacing="0" w:line="360" w:lineRule="auto"/>
        <w:rPr>
          <w:rFonts w:hint="eastAsia" w:ascii="宋体" w:hAnsi="宋体" w:eastAsia="宋体" w:cs="宋体"/>
          <w:sz w:val="21"/>
          <w:szCs w:val="21"/>
          <w:highlight w:val="none"/>
        </w:rPr>
      </w:pPr>
      <w:r>
        <w:rPr>
          <w:rStyle w:val="54"/>
          <w:rFonts w:hint="eastAsia" w:ascii="宋体" w:hAnsi="宋体" w:eastAsia="宋体" w:cs="宋体"/>
          <w:color w:val="000000"/>
          <w:sz w:val="21"/>
          <w:szCs w:val="21"/>
          <w:highlight w:val="none"/>
        </w:rPr>
        <w:t>一、项目基本情况</w:t>
      </w:r>
    </w:p>
    <w:p w14:paraId="6163DBEA">
      <w:pPr>
        <w:pStyle w:val="45"/>
        <w:autoSpaceDN w:val="0"/>
        <w:adjustRightInd w:val="0"/>
        <w:snapToGrid w:val="0"/>
        <w:spacing w:before="0" w:beforeAutospacing="0" w:after="0" w:afterAutospacing="0" w:line="360" w:lineRule="auto"/>
        <w:ind w:firstLine="373"/>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项目编号：</w:t>
      </w:r>
      <w:r>
        <w:rPr>
          <w:rFonts w:hint="eastAsia" w:cs="宋体"/>
          <w:color w:val="000000"/>
          <w:sz w:val="21"/>
          <w:szCs w:val="21"/>
          <w:highlight w:val="none"/>
          <w:lang w:eastAsia="zh-CN"/>
        </w:rPr>
        <w:t>CTZB-2025070039</w:t>
      </w:r>
    </w:p>
    <w:p w14:paraId="7F0FFDDB">
      <w:pPr>
        <w:pStyle w:val="45"/>
        <w:autoSpaceDN w:val="0"/>
        <w:adjustRightInd w:val="0"/>
        <w:snapToGrid w:val="0"/>
        <w:spacing w:before="0" w:beforeAutospacing="0" w:after="0" w:afterAutospacing="0" w:line="360" w:lineRule="auto"/>
        <w:ind w:firstLine="373"/>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项目名称：</w:t>
      </w:r>
      <w:r>
        <w:rPr>
          <w:rFonts w:hint="eastAsia" w:cs="宋体"/>
          <w:color w:val="000000"/>
          <w:sz w:val="21"/>
          <w:szCs w:val="21"/>
          <w:highlight w:val="none"/>
          <w:lang w:eastAsia="zh-CN"/>
        </w:rPr>
        <w:t>浙江中医药大学Ivan Psakhye教授实验室改造项目</w:t>
      </w:r>
    </w:p>
    <w:p w14:paraId="266492DB">
      <w:pPr>
        <w:pStyle w:val="45"/>
        <w:autoSpaceDN w:val="0"/>
        <w:adjustRightInd w:val="0"/>
        <w:snapToGrid w:val="0"/>
        <w:spacing w:before="0" w:beforeAutospacing="0" w:after="0" w:afterAutospacing="0" w:line="360" w:lineRule="auto"/>
        <w:ind w:firstLine="37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采购方式：竞争性磋商</w:t>
      </w:r>
    </w:p>
    <w:p w14:paraId="381738F4">
      <w:pPr>
        <w:pStyle w:val="45"/>
        <w:autoSpaceDN w:val="0"/>
        <w:adjustRightInd w:val="0"/>
        <w:snapToGrid w:val="0"/>
        <w:spacing w:before="0" w:beforeAutospacing="0" w:after="0" w:afterAutospacing="0" w:line="360" w:lineRule="auto"/>
        <w:ind w:firstLine="373"/>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预算金额（元）：</w:t>
      </w:r>
      <w:r>
        <w:rPr>
          <w:rFonts w:hint="eastAsia" w:cs="宋体"/>
          <w:color w:val="000000"/>
          <w:sz w:val="21"/>
          <w:szCs w:val="21"/>
          <w:highlight w:val="none"/>
          <w:lang w:val="en-US" w:eastAsia="zh-CN"/>
        </w:rPr>
        <w:t>770000</w:t>
      </w:r>
    </w:p>
    <w:p w14:paraId="31981511">
      <w:pPr>
        <w:pStyle w:val="45"/>
        <w:autoSpaceDN w:val="0"/>
        <w:adjustRightInd w:val="0"/>
        <w:snapToGrid w:val="0"/>
        <w:spacing w:before="0" w:beforeAutospacing="0" w:after="0" w:afterAutospacing="0" w:line="360" w:lineRule="auto"/>
        <w:ind w:firstLine="373"/>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最高限价（元）：</w:t>
      </w:r>
      <w:r>
        <w:rPr>
          <w:rFonts w:hint="eastAsia" w:cs="宋体"/>
          <w:color w:val="000000"/>
          <w:sz w:val="21"/>
          <w:szCs w:val="21"/>
          <w:highlight w:val="none"/>
          <w:lang w:val="en-US" w:eastAsia="zh-CN"/>
        </w:rPr>
        <w:t>680000</w:t>
      </w:r>
    </w:p>
    <w:p w14:paraId="77CA8BCA">
      <w:pPr>
        <w:pStyle w:val="45"/>
        <w:autoSpaceDN w:val="0"/>
        <w:adjustRightInd w:val="0"/>
        <w:snapToGrid w:val="0"/>
        <w:spacing w:before="0" w:beforeAutospacing="0" w:after="0" w:afterAutospacing="0" w:line="360" w:lineRule="auto"/>
        <w:ind w:firstLine="37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采购需求：</w:t>
      </w:r>
    </w:p>
    <w:tbl>
      <w:tblPr>
        <w:tblStyle w:val="51"/>
        <w:tblW w:w="5119" w:type="pct"/>
        <w:tblInd w:w="70" w:type="dxa"/>
        <w:tblBorders>
          <w:top w:val="double" w:color="auto" w:sz="4" w:space="0"/>
          <w:left w:val="double" w:color="auto" w:sz="4" w:space="0"/>
          <w:bottom w:val="double" w:color="auto" w:sz="4" w:space="0"/>
          <w:right w:val="doub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770"/>
        <w:gridCol w:w="2267"/>
        <w:gridCol w:w="780"/>
        <w:gridCol w:w="1352"/>
        <w:gridCol w:w="2265"/>
        <w:gridCol w:w="2561"/>
      </w:tblGrid>
      <w:tr w14:paraId="205E01CF">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bottom w:val="single" w:color="000000" w:sz="2" w:space="0"/>
              <w:right w:val="single" w:color="000000" w:sz="2" w:space="0"/>
            </w:tcBorders>
            <w:noWrap w:val="0"/>
            <w:tcMar>
              <w:top w:w="60" w:type="dxa"/>
              <w:left w:w="120" w:type="dxa"/>
              <w:bottom w:w="60" w:type="dxa"/>
              <w:right w:w="120" w:type="dxa"/>
            </w:tcMar>
            <w:vAlign w:val="center"/>
          </w:tcPr>
          <w:p w14:paraId="7C1B6F13">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标项序号</w:t>
            </w:r>
          </w:p>
        </w:tc>
        <w:tc>
          <w:tcPr>
            <w:tcW w:w="1133"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6AC960BE">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标项名称</w:t>
            </w:r>
          </w:p>
        </w:tc>
        <w:tc>
          <w:tcPr>
            <w:tcW w:w="390"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310A39B9">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数量</w:t>
            </w:r>
          </w:p>
        </w:tc>
        <w:tc>
          <w:tcPr>
            <w:tcW w:w="676"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059D129B">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预算金额(元)</w:t>
            </w:r>
          </w:p>
        </w:tc>
        <w:tc>
          <w:tcPr>
            <w:tcW w:w="1132" w:type="pct"/>
            <w:tcBorders>
              <w:left w:val="single" w:color="000000" w:sz="2" w:space="0"/>
              <w:bottom w:val="single" w:color="000000" w:sz="2" w:space="0"/>
              <w:right w:val="single" w:color="000000" w:sz="2" w:space="0"/>
            </w:tcBorders>
            <w:noWrap w:val="0"/>
            <w:tcMar>
              <w:top w:w="60" w:type="dxa"/>
              <w:left w:w="120" w:type="dxa"/>
              <w:bottom w:w="60" w:type="dxa"/>
              <w:right w:w="120" w:type="dxa"/>
            </w:tcMar>
            <w:vAlign w:val="center"/>
          </w:tcPr>
          <w:p w14:paraId="2C7D74C7">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简要规格描述</w:t>
            </w:r>
          </w:p>
        </w:tc>
        <w:tc>
          <w:tcPr>
            <w:tcW w:w="1280" w:type="pct"/>
            <w:tcBorders>
              <w:left w:val="single" w:color="000000" w:sz="2" w:space="0"/>
              <w:bottom w:val="single" w:color="000000" w:sz="2" w:space="0"/>
            </w:tcBorders>
            <w:noWrap w:val="0"/>
            <w:tcMar>
              <w:top w:w="60" w:type="dxa"/>
              <w:left w:w="120" w:type="dxa"/>
              <w:bottom w:w="60" w:type="dxa"/>
              <w:right w:w="120" w:type="dxa"/>
            </w:tcMar>
            <w:vAlign w:val="center"/>
          </w:tcPr>
          <w:p w14:paraId="6A866B92">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备注</w:t>
            </w:r>
          </w:p>
        </w:tc>
      </w:tr>
      <w:tr w14:paraId="2DA798E7">
        <w:tblPrEx>
          <w:tblBorders>
            <w:top w:val="double" w:color="auto" w:sz="4" w:space="0"/>
            <w:left w:val="double" w:color="auto" w:sz="4" w:space="0"/>
            <w:bottom w:val="double" w:color="auto" w:sz="4" w:space="0"/>
            <w:right w:val="double" w:color="auto" w:sz="4" w:space="0"/>
            <w:insideH w:val="none" w:color="auto" w:sz="4" w:space="0"/>
            <w:insideV w:val="none" w:color="auto" w:sz="4" w:space="0"/>
          </w:tblBorders>
          <w:tblCellMar>
            <w:top w:w="15" w:type="dxa"/>
            <w:left w:w="15" w:type="dxa"/>
            <w:bottom w:w="15" w:type="dxa"/>
            <w:right w:w="15" w:type="dxa"/>
          </w:tblCellMar>
        </w:tblPrEx>
        <w:tc>
          <w:tcPr>
            <w:tcW w:w="385" w:type="pct"/>
            <w:tcBorders>
              <w:top w:val="single" w:color="000000" w:sz="2" w:space="0"/>
              <w:right w:val="single" w:color="000000" w:sz="2" w:space="0"/>
            </w:tcBorders>
            <w:noWrap w:val="0"/>
            <w:tcMar>
              <w:top w:w="60" w:type="dxa"/>
              <w:left w:w="120" w:type="dxa"/>
              <w:bottom w:w="60" w:type="dxa"/>
              <w:right w:w="120" w:type="dxa"/>
            </w:tcMar>
            <w:vAlign w:val="center"/>
          </w:tcPr>
          <w:p w14:paraId="5F14F54D">
            <w:pPr>
              <w:widowControl/>
              <w:wordWrap w:val="0"/>
              <w:jc w:val="center"/>
              <w:rPr>
                <w:rFonts w:ascii="宋体" w:hAnsi="宋体" w:cs="仿宋"/>
                <w:sz w:val="21"/>
                <w:szCs w:val="21"/>
                <w:highlight w:val="none"/>
              </w:rPr>
            </w:pPr>
            <w:r>
              <w:rPr>
                <w:rFonts w:hint="eastAsia" w:ascii="宋体" w:hAnsi="宋体" w:cs="仿宋"/>
                <w:sz w:val="21"/>
                <w:szCs w:val="21"/>
                <w:highlight w:val="none"/>
              </w:rPr>
              <w:t>1</w:t>
            </w:r>
          </w:p>
        </w:tc>
        <w:tc>
          <w:tcPr>
            <w:tcW w:w="1133"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305E9099">
            <w:pPr>
              <w:widowControl/>
              <w:jc w:val="center"/>
              <w:rPr>
                <w:rFonts w:hint="eastAsia" w:ascii="宋体" w:hAnsi="宋体" w:eastAsia="宋体" w:cs="仿宋"/>
                <w:sz w:val="21"/>
                <w:szCs w:val="21"/>
                <w:highlight w:val="none"/>
                <w:lang w:eastAsia="zh-CN"/>
              </w:rPr>
            </w:pPr>
            <w:r>
              <w:rPr>
                <w:rFonts w:hint="eastAsia" w:ascii="宋体" w:hAnsi="宋体" w:cs="仿宋"/>
                <w:bCs/>
                <w:kern w:val="0"/>
                <w:sz w:val="21"/>
                <w:szCs w:val="21"/>
                <w:highlight w:val="none"/>
                <w:lang w:eastAsia="zh-CN"/>
              </w:rPr>
              <w:t>浙江中医药大学Ivan Psakhye教授实验室改造项目</w:t>
            </w:r>
          </w:p>
        </w:tc>
        <w:tc>
          <w:tcPr>
            <w:tcW w:w="390"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4A4DBD5D">
            <w:pPr>
              <w:widowControl/>
              <w:wordWrap w:val="0"/>
              <w:jc w:val="center"/>
              <w:rPr>
                <w:rFonts w:ascii="宋体" w:hAnsi="宋体" w:cs="仿宋"/>
                <w:sz w:val="21"/>
                <w:szCs w:val="21"/>
                <w:highlight w:val="none"/>
              </w:rPr>
            </w:pPr>
            <w:r>
              <w:rPr>
                <w:rFonts w:hint="eastAsia" w:ascii="宋体" w:hAnsi="宋体" w:cs="仿宋"/>
                <w:kern w:val="0"/>
                <w:sz w:val="21"/>
                <w:szCs w:val="21"/>
                <w:highlight w:val="none"/>
              </w:rPr>
              <w:t>1项</w:t>
            </w:r>
          </w:p>
        </w:tc>
        <w:tc>
          <w:tcPr>
            <w:tcW w:w="676"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16D70038">
            <w:pPr>
              <w:widowControl/>
              <w:wordWrap w:val="0"/>
              <w:jc w:val="center"/>
              <w:rPr>
                <w:rFonts w:hint="default" w:ascii="宋体" w:hAnsi="宋体" w:eastAsia="宋体" w:cs="仿宋"/>
                <w:sz w:val="21"/>
                <w:szCs w:val="21"/>
                <w:highlight w:val="none"/>
                <w:lang w:val="en-US" w:eastAsia="zh-CN"/>
              </w:rPr>
            </w:pPr>
            <w:r>
              <w:rPr>
                <w:rFonts w:hint="eastAsia" w:ascii="宋体" w:hAnsi="宋体" w:cs="仿宋"/>
                <w:sz w:val="21"/>
                <w:szCs w:val="21"/>
                <w:highlight w:val="none"/>
                <w:lang w:val="en-US" w:eastAsia="zh-CN"/>
              </w:rPr>
              <w:t>770000</w:t>
            </w:r>
          </w:p>
        </w:tc>
        <w:tc>
          <w:tcPr>
            <w:tcW w:w="1132" w:type="pct"/>
            <w:tcBorders>
              <w:top w:val="single" w:color="000000" w:sz="2" w:space="0"/>
              <w:left w:val="single" w:color="000000" w:sz="2" w:space="0"/>
              <w:right w:val="single" w:color="000000" w:sz="2" w:space="0"/>
            </w:tcBorders>
            <w:noWrap w:val="0"/>
            <w:tcMar>
              <w:top w:w="60" w:type="dxa"/>
              <w:left w:w="120" w:type="dxa"/>
              <w:bottom w:w="60" w:type="dxa"/>
              <w:right w:w="120" w:type="dxa"/>
            </w:tcMar>
            <w:vAlign w:val="center"/>
          </w:tcPr>
          <w:p w14:paraId="6B81F0FD">
            <w:pPr>
              <w:widowControl/>
              <w:jc w:val="center"/>
              <w:rPr>
                <w:rFonts w:ascii="宋体" w:hAnsi="宋体" w:cs="仿宋"/>
                <w:sz w:val="21"/>
                <w:szCs w:val="21"/>
                <w:highlight w:val="none"/>
              </w:rPr>
            </w:pPr>
            <w:r>
              <w:rPr>
                <w:rFonts w:hint="eastAsia" w:ascii="宋体" w:hAnsi="宋体" w:cs="仿宋"/>
                <w:sz w:val="21"/>
                <w:szCs w:val="21"/>
                <w:highlight w:val="none"/>
                <w:lang w:val="en-US" w:eastAsia="zh-CN"/>
              </w:rPr>
              <w:t>实验室暖通、净化、家具等改造施工，</w:t>
            </w:r>
            <w:r>
              <w:rPr>
                <w:rFonts w:hint="eastAsia" w:ascii="宋体" w:hAnsi="宋体" w:cs="仿宋"/>
                <w:sz w:val="21"/>
                <w:szCs w:val="21"/>
                <w:highlight w:val="none"/>
                <w:lang w:eastAsia="zh-CN"/>
              </w:rPr>
              <w:t>详见图纸和工程量清单</w:t>
            </w:r>
            <w:r>
              <w:rPr>
                <w:rFonts w:hint="eastAsia" w:ascii="宋体" w:hAnsi="宋体" w:cs="仿宋"/>
                <w:sz w:val="21"/>
                <w:szCs w:val="21"/>
                <w:highlight w:val="none"/>
              </w:rPr>
              <w:t>。</w:t>
            </w:r>
          </w:p>
        </w:tc>
        <w:tc>
          <w:tcPr>
            <w:tcW w:w="1280" w:type="pct"/>
            <w:tcBorders>
              <w:top w:val="single" w:color="000000" w:sz="2" w:space="0"/>
              <w:left w:val="single" w:color="000000" w:sz="2" w:space="0"/>
            </w:tcBorders>
            <w:noWrap w:val="0"/>
            <w:tcMar>
              <w:top w:w="60" w:type="dxa"/>
              <w:left w:w="120" w:type="dxa"/>
              <w:bottom w:w="60" w:type="dxa"/>
              <w:right w:w="120" w:type="dxa"/>
            </w:tcMar>
            <w:vAlign w:val="center"/>
          </w:tcPr>
          <w:p w14:paraId="6236FED8">
            <w:pPr>
              <w:widowControl/>
              <w:jc w:val="center"/>
              <w:rPr>
                <w:rFonts w:ascii="宋体" w:hAnsi="宋体" w:cs="仿宋"/>
                <w:sz w:val="21"/>
                <w:szCs w:val="21"/>
                <w:highlight w:val="none"/>
              </w:rPr>
            </w:pPr>
            <w:r>
              <w:rPr>
                <w:rFonts w:hint="eastAsia" w:ascii="宋体" w:hAnsi="宋体" w:cs="仿宋"/>
                <w:kern w:val="0"/>
                <w:sz w:val="21"/>
                <w:szCs w:val="21"/>
                <w:highlight w:val="none"/>
              </w:rPr>
              <w:t>本项目的招标控制价为</w:t>
            </w:r>
            <w:r>
              <w:rPr>
                <w:rFonts w:hint="eastAsia" w:ascii="宋体" w:hAnsi="宋体" w:cs="仿宋"/>
                <w:kern w:val="0"/>
                <w:sz w:val="21"/>
                <w:szCs w:val="21"/>
                <w:highlight w:val="none"/>
                <w:u w:val="single"/>
                <w:lang w:val="en-US" w:eastAsia="zh-CN"/>
              </w:rPr>
              <w:t>680101</w:t>
            </w:r>
            <w:r>
              <w:rPr>
                <w:rFonts w:hint="eastAsia" w:ascii="宋体" w:hAnsi="宋体" w:cs="仿宋"/>
                <w:kern w:val="0"/>
                <w:sz w:val="21"/>
                <w:szCs w:val="21"/>
                <w:highlight w:val="none"/>
              </w:rPr>
              <w:t>元，最高限价为</w:t>
            </w:r>
            <w:r>
              <w:rPr>
                <w:rFonts w:hint="eastAsia" w:ascii="宋体" w:hAnsi="宋体" w:cs="仿宋"/>
                <w:kern w:val="0"/>
                <w:sz w:val="21"/>
                <w:szCs w:val="21"/>
                <w:highlight w:val="none"/>
                <w:u w:val="single"/>
                <w:lang w:val="en-US" w:eastAsia="zh-CN"/>
              </w:rPr>
              <w:t>680000</w:t>
            </w:r>
            <w:r>
              <w:rPr>
                <w:rFonts w:ascii="宋体" w:hAnsi="宋体" w:cs="仿宋"/>
                <w:kern w:val="0"/>
                <w:sz w:val="21"/>
                <w:szCs w:val="21"/>
                <w:highlight w:val="none"/>
              </w:rPr>
              <w:t>元</w:t>
            </w:r>
            <w:r>
              <w:rPr>
                <w:rFonts w:hint="eastAsia" w:ascii="宋体" w:hAnsi="宋体" w:cs="仿宋"/>
                <w:kern w:val="0"/>
                <w:sz w:val="21"/>
                <w:szCs w:val="21"/>
                <w:highlight w:val="none"/>
              </w:rPr>
              <w:t>，超过最高限价的按无效标处理。</w:t>
            </w:r>
          </w:p>
        </w:tc>
      </w:tr>
    </w:tbl>
    <w:p w14:paraId="58A251F7">
      <w:pPr>
        <w:pStyle w:val="45"/>
        <w:autoSpaceDN w:val="0"/>
        <w:adjustRightInd w:val="0"/>
        <w:snapToGrid w:val="0"/>
        <w:spacing w:before="240" w:beforeLines="100" w:beforeAutospacing="0" w:after="0" w:afterAutospacing="0" w:line="36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合同履行期限：</w:t>
      </w:r>
      <w:r>
        <w:rPr>
          <w:rFonts w:hint="eastAsia" w:cs="宋体"/>
          <w:b/>
          <w:bCs/>
          <w:sz w:val="21"/>
          <w:szCs w:val="21"/>
          <w:highlight w:val="none"/>
          <w:u w:val="single"/>
          <w:lang w:eastAsia="zh-CN"/>
        </w:rPr>
        <w:t>60日历天</w:t>
      </w:r>
    </w:p>
    <w:p w14:paraId="6629AA58">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本项目（是）接受联合体投标。</w:t>
      </w:r>
    </w:p>
    <w:p w14:paraId="6B350261">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二、申请人的资格要求：</w:t>
      </w:r>
    </w:p>
    <w:p w14:paraId="68239D4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1.满足《中华人民共和国政府采购法》第二十二条的规定；未被“信用中国”（</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color w:val="000000"/>
          <w:sz w:val="21"/>
          <w:szCs w:val="21"/>
          <w:highlight w:val="none"/>
        </w:rPr>
        <w:fldChar w:fldCharType="end"/>
      </w:r>
    </w:p>
    <w:p w14:paraId="3F872319">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rPr>
        <w:t>2.落实政府采购政策需满足的资格要求：</w:t>
      </w:r>
      <w:r>
        <w:rPr>
          <w:rFonts w:hint="eastAsia" w:ascii="宋体" w:hAnsi="宋体" w:eastAsia="宋体" w:cs="宋体"/>
          <w:b/>
          <w:bCs/>
          <w:sz w:val="21"/>
          <w:szCs w:val="21"/>
          <w:highlight w:val="none"/>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宋体" w:hAnsi="宋体" w:eastAsia="宋体" w:cs="宋体"/>
          <w:b/>
          <w:bCs/>
          <w:sz w:val="21"/>
          <w:szCs w:val="21"/>
          <w:highlight w:val="none"/>
        </w:rPr>
        <w:t>。</w:t>
      </w:r>
    </w:p>
    <w:p w14:paraId="58A3D7AE">
      <w:pPr>
        <w:pStyle w:val="295"/>
        <w:autoSpaceDN w:val="0"/>
        <w:adjustRightInd w:val="0"/>
        <w:snapToGrid w:val="0"/>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3.本项目的特定资格要求：</w:t>
      </w:r>
    </w:p>
    <w:p w14:paraId="08D3BE25">
      <w:pPr>
        <w:pStyle w:val="295"/>
        <w:autoSpaceDN w:val="0"/>
        <w:adjustRightInd w:val="0"/>
        <w:snapToGrid w:val="0"/>
        <w:spacing w:line="360" w:lineRule="auto"/>
        <w:ind w:firstLine="211" w:firstLineChars="100"/>
        <w:rPr>
          <w:rFonts w:hint="default" w:ascii="宋体" w:hAnsi="宋体" w:eastAsia="宋体" w:cs="宋体"/>
          <w:b/>
          <w:bCs/>
          <w:kern w:val="0"/>
          <w:sz w:val="21"/>
          <w:szCs w:val="21"/>
          <w:highlight w:val="none"/>
          <w:u w:val="single"/>
          <w:lang w:val="en-US" w:eastAsia="zh-CN" w:bidi="ar-SA"/>
        </w:rPr>
      </w:pPr>
      <w:r>
        <w:rPr>
          <w:rFonts w:hint="eastAsia" w:ascii="宋体" w:hAnsi="宋体" w:eastAsia="宋体" w:cs="宋体"/>
          <w:b/>
          <w:bCs/>
          <w:kern w:val="0"/>
          <w:sz w:val="21"/>
          <w:szCs w:val="21"/>
          <w:highlight w:val="none"/>
          <w:u w:val="single"/>
          <w:lang w:val="en-US" w:eastAsia="zh-CN" w:bidi="ar-SA"/>
        </w:rPr>
        <w:t>（1）</w:t>
      </w:r>
      <w:r>
        <w:rPr>
          <w:rFonts w:hint="eastAsia" w:ascii="宋体" w:hAnsi="宋体" w:cs="宋体"/>
          <w:b/>
          <w:bCs/>
          <w:kern w:val="0"/>
          <w:sz w:val="21"/>
          <w:szCs w:val="21"/>
          <w:highlight w:val="none"/>
          <w:u w:val="single"/>
          <w:lang w:val="en-US" w:eastAsia="zh-CN" w:bidi="ar-SA"/>
        </w:rPr>
        <w:t>具有建筑机电安装工程专业承包三级及以上资质</w:t>
      </w:r>
      <w:r>
        <w:rPr>
          <w:rFonts w:hint="eastAsia" w:ascii="宋体" w:hAnsi="宋体" w:eastAsia="宋体" w:cs="宋体"/>
          <w:b/>
          <w:bCs/>
          <w:kern w:val="0"/>
          <w:sz w:val="21"/>
          <w:szCs w:val="21"/>
          <w:highlight w:val="none"/>
          <w:u w:val="single"/>
          <w:lang w:val="en-US" w:eastAsia="zh-CN" w:bidi="ar-SA"/>
        </w:rPr>
        <w:t>；</w:t>
      </w:r>
    </w:p>
    <w:p w14:paraId="4D3C8A7C">
      <w:pPr>
        <w:pStyle w:val="295"/>
        <w:autoSpaceDN w:val="0"/>
        <w:adjustRightInd w:val="0"/>
        <w:snapToGrid w:val="0"/>
        <w:spacing w:line="360" w:lineRule="auto"/>
        <w:ind w:firstLine="211" w:firstLineChars="100"/>
        <w:rPr>
          <w:rFonts w:hint="eastAsia" w:ascii="宋体" w:hAnsi="宋体" w:eastAsia="宋体" w:cs="宋体"/>
          <w:b/>
          <w:bCs/>
          <w:kern w:val="0"/>
          <w:sz w:val="21"/>
          <w:szCs w:val="21"/>
          <w:highlight w:val="none"/>
          <w:u w:val="single"/>
          <w:lang w:val="en-US" w:eastAsia="zh-CN" w:bidi="ar-SA"/>
        </w:rPr>
      </w:pPr>
      <w:r>
        <w:rPr>
          <w:rFonts w:hint="eastAsia" w:ascii="宋体" w:hAnsi="宋体" w:eastAsia="宋体" w:cs="宋体"/>
          <w:b/>
          <w:bCs/>
          <w:kern w:val="0"/>
          <w:sz w:val="21"/>
          <w:szCs w:val="21"/>
          <w:highlight w:val="none"/>
          <w:u w:val="single"/>
          <w:lang w:val="en-US" w:eastAsia="zh-CN" w:bidi="ar-SA"/>
        </w:rPr>
        <w:t>（2）具有企业《安全生产许可证》；</w:t>
      </w:r>
    </w:p>
    <w:p w14:paraId="03043330">
      <w:pPr>
        <w:pStyle w:val="295"/>
        <w:autoSpaceDN w:val="0"/>
        <w:adjustRightInd w:val="0"/>
        <w:snapToGrid w:val="0"/>
        <w:spacing w:line="360" w:lineRule="auto"/>
        <w:ind w:firstLine="211" w:firstLineChars="1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kern w:val="0"/>
          <w:sz w:val="21"/>
          <w:szCs w:val="21"/>
          <w:highlight w:val="none"/>
          <w:u w:val="single"/>
          <w:lang w:val="en-US" w:eastAsia="zh-CN" w:bidi="ar-SA"/>
        </w:rPr>
        <w:t>（3）以联合体形式参加本项目磋商的，须签订联合体协议；联合体各方均应满足资格条件。</w:t>
      </w:r>
    </w:p>
    <w:p w14:paraId="2EC4E8E7">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三、获取（下载）采购文件</w:t>
      </w:r>
    </w:p>
    <w:p w14:paraId="5DAA18AA">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时间：</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至</w:t>
      </w:r>
      <w:r>
        <w:rPr>
          <w:rFonts w:hint="eastAsia" w:cs="宋体"/>
          <w:b/>
          <w:bCs/>
          <w:color w:val="000000"/>
          <w:sz w:val="21"/>
          <w:szCs w:val="21"/>
          <w:highlight w:val="none"/>
          <w:u w:val="single"/>
          <w:lang w:eastAsia="zh-CN"/>
        </w:rPr>
        <w:t>2025年7月</w:t>
      </w:r>
      <w:r>
        <w:rPr>
          <w:rFonts w:hint="eastAsia" w:cs="宋体"/>
          <w:b/>
          <w:bCs/>
          <w:color w:val="000000"/>
          <w:sz w:val="21"/>
          <w:szCs w:val="21"/>
          <w:highlight w:val="none"/>
          <w:u w:val="single"/>
          <w:lang w:val="en-US" w:eastAsia="zh-CN"/>
        </w:rPr>
        <w:t>18</w:t>
      </w:r>
      <w:r>
        <w:rPr>
          <w:rFonts w:hint="eastAsia" w:cs="宋体"/>
          <w:b/>
          <w:bCs/>
          <w:color w:val="000000"/>
          <w:sz w:val="21"/>
          <w:szCs w:val="21"/>
          <w:highlight w:val="none"/>
          <w:u w:val="single"/>
          <w:lang w:eastAsia="zh-CN"/>
        </w:rPr>
        <w:t>日</w:t>
      </w:r>
      <w:r>
        <w:rPr>
          <w:rFonts w:hint="eastAsia" w:ascii="宋体" w:hAnsi="宋体" w:eastAsia="宋体" w:cs="宋体"/>
          <w:color w:val="000000"/>
          <w:sz w:val="21"/>
          <w:szCs w:val="21"/>
          <w:highlight w:val="none"/>
        </w:rPr>
        <w:t>，每天上午00:00至12:00，下午12:00至23:59（北京时间，线上获取法定节假日均可，线下获取文件法定节假日除外）</w:t>
      </w:r>
    </w:p>
    <w:p w14:paraId="0D4C79A0">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000000"/>
          <w:kern w:val="2"/>
          <w:sz w:val="21"/>
          <w:szCs w:val="21"/>
          <w:highlight w:val="none"/>
        </w:rPr>
      </w:pPr>
      <w:r>
        <w:rPr>
          <w:rFonts w:hint="eastAsia" w:ascii="宋体" w:hAnsi="宋体" w:eastAsia="宋体" w:cs="宋体"/>
          <w:b/>
          <w:bCs/>
          <w:color w:val="000000"/>
          <w:sz w:val="21"/>
          <w:szCs w:val="21"/>
          <w:highlight w:val="none"/>
        </w:rPr>
        <w:t>地点（网址）：</w:t>
      </w:r>
      <w:r>
        <w:rPr>
          <w:rFonts w:hint="eastAsia" w:ascii="宋体" w:hAnsi="宋体" w:eastAsia="宋体" w:cs="宋体"/>
          <w:color w:val="000000"/>
          <w:sz w:val="21"/>
          <w:szCs w:val="21"/>
          <w:highlight w:val="none"/>
        </w:rPr>
        <w:t>政采云平台线上获取</w:t>
      </w:r>
    </w:p>
    <w:p w14:paraId="770C0C2B">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方式：</w:t>
      </w:r>
      <w:r>
        <w:rPr>
          <w:rFonts w:hint="eastAsia" w:ascii="宋体" w:hAnsi="宋体" w:eastAsia="宋体" w:cs="宋体"/>
          <w:color w:val="000000"/>
          <w:sz w:val="21"/>
          <w:szCs w:val="21"/>
          <w:highlight w:val="none"/>
        </w:rPr>
        <w:t>在线登记后获取 供应商登录政采云平台https://www.zcygov.cn/在线申请获取采购文件（进入“项目采购”应用，在获取采购文件菜单中选择项目，申请获取采购文件）。公告下方“游客-浏览采购文件”内的采购文件仅供社会公众查阅使用，不视作依法获取采购文件；未按规定获取采购文件的供应商对采购文件提起的质疑、投诉将不予受理</w:t>
      </w:r>
      <w:r>
        <w:rPr>
          <w:rFonts w:hint="eastAsia" w:cs="宋体"/>
          <w:color w:val="000000"/>
          <w:sz w:val="21"/>
          <w:szCs w:val="21"/>
          <w:highlight w:val="none"/>
          <w:lang w:eastAsia="zh-CN"/>
        </w:rPr>
        <w:t>。</w:t>
      </w:r>
    </w:p>
    <w:p w14:paraId="50636D9E">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售价（元）：</w:t>
      </w:r>
      <w:r>
        <w:rPr>
          <w:rFonts w:hint="eastAsia" w:ascii="宋体" w:hAnsi="宋体" w:eastAsia="宋体" w:cs="宋体"/>
          <w:color w:val="000000"/>
          <w:sz w:val="21"/>
          <w:szCs w:val="21"/>
          <w:highlight w:val="none"/>
        </w:rPr>
        <w:t>0</w:t>
      </w:r>
    </w:p>
    <w:p w14:paraId="54983511">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四、响应文件提交（上传）</w:t>
      </w:r>
    </w:p>
    <w:p w14:paraId="05A65116">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截 止 时 间：</w:t>
      </w:r>
      <w:r>
        <w:rPr>
          <w:rFonts w:hint="eastAsia" w:cs="宋体"/>
          <w:b/>
          <w:bCs/>
          <w:sz w:val="21"/>
          <w:szCs w:val="21"/>
          <w:highlight w:val="none"/>
          <w:u w:val="single"/>
          <w:lang w:eastAsia="zh-CN"/>
        </w:rPr>
        <w:t>2025年</w:t>
      </w:r>
      <w:r>
        <w:rPr>
          <w:rFonts w:hint="eastAsia" w:cs="宋体"/>
          <w:b/>
          <w:bCs/>
          <w:sz w:val="21"/>
          <w:szCs w:val="21"/>
          <w:highlight w:val="none"/>
          <w:u w:val="single"/>
          <w:lang w:val="en-US" w:eastAsia="zh-CN"/>
        </w:rPr>
        <w:t>2025年7月18日09:00</w:t>
      </w:r>
      <w:r>
        <w:rPr>
          <w:rFonts w:hint="eastAsia" w:ascii="宋体" w:hAnsi="宋体" w:eastAsia="宋体" w:cs="宋体"/>
          <w:b/>
          <w:bCs/>
          <w:sz w:val="21"/>
          <w:szCs w:val="21"/>
          <w:highlight w:val="none"/>
        </w:rPr>
        <w:t>（北京时间）</w:t>
      </w:r>
    </w:p>
    <w:p w14:paraId="06CC7613">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地点（网址）：</w:t>
      </w:r>
      <w:r>
        <w:rPr>
          <w:rFonts w:hint="eastAsia" w:ascii="宋体" w:hAnsi="宋体" w:eastAsia="宋体" w:cs="宋体"/>
          <w:b/>
          <w:bCs/>
          <w:sz w:val="21"/>
          <w:szCs w:val="21"/>
          <w:highlight w:val="none"/>
          <w:u w:val="single"/>
        </w:rPr>
        <w:t>政府采购云平台（</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Fonts w:hint="eastAsia" w:ascii="宋体" w:hAnsi="宋体" w:eastAsia="宋体" w:cs="宋体"/>
          <w:b/>
          <w:bCs/>
          <w:sz w:val="21"/>
          <w:szCs w:val="21"/>
          <w:highlight w:val="none"/>
          <w:u w:val="single"/>
        </w:rPr>
        <w:t>www.zcygov.cn</w:t>
      </w:r>
      <w:r>
        <w:rPr>
          <w:rFonts w:hint="eastAsia" w:ascii="宋体" w:hAnsi="宋体" w:eastAsia="宋体" w:cs="宋体"/>
          <w:b/>
          <w:bCs/>
          <w:sz w:val="21"/>
          <w:szCs w:val="21"/>
          <w:highlight w:val="none"/>
          <w:u w:val="single"/>
        </w:rPr>
        <w:fldChar w:fldCharType="end"/>
      </w:r>
      <w:r>
        <w:rPr>
          <w:rFonts w:hint="eastAsia" w:ascii="宋体" w:hAnsi="宋体" w:eastAsia="宋体" w:cs="宋体"/>
          <w:b/>
          <w:bCs/>
          <w:sz w:val="21"/>
          <w:szCs w:val="21"/>
          <w:highlight w:val="none"/>
          <w:u w:val="single"/>
        </w:rPr>
        <w:t>）</w:t>
      </w:r>
    </w:p>
    <w:p w14:paraId="6BD5B655">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五、响应文件开启</w:t>
      </w:r>
    </w:p>
    <w:p w14:paraId="3872A1AB">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开 启 时 间：</w:t>
      </w:r>
      <w:r>
        <w:rPr>
          <w:rFonts w:hint="eastAsia" w:cs="宋体"/>
          <w:b/>
          <w:bCs/>
          <w:sz w:val="21"/>
          <w:szCs w:val="21"/>
          <w:highlight w:val="none"/>
          <w:u w:val="single"/>
          <w:lang w:eastAsia="zh-CN"/>
        </w:rPr>
        <w:t>2025年</w:t>
      </w:r>
      <w:r>
        <w:rPr>
          <w:rFonts w:hint="eastAsia" w:cs="宋体"/>
          <w:b/>
          <w:bCs/>
          <w:sz w:val="21"/>
          <w:szCs w:val="21"/>
          <w:highlight w:val="none"/>
          <w:u w:val="single"/>
          <w:lang w:val="en-US" w:eastAsia="zh-CN"/>
        </w:rPr>
        <w:t>2025年7月18日09:00</w:t>
      </w:r>
      <w:r>
        <w:rPr>
          <w:rFonts w:hint="eastAsia" w:ascii="宋体" w:hAnsi="宋体" w:eastAsia="宋体" w:cs="宋体"/>
          <w:b/>
          <w:bCs/>
          <w:sz w:val="21"/>
          <w:szCs w:val="21"/>
          <w:highlight w:val="none"/>
        </w:rPr>
        <w:t>（北京时间）</w:t>
      </w:r>
    </w:p>
    <w:p w14:paraId="723C7341">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地点（网址）：</w:t>
      </w:r>
      <w:r>
        <w:rPr>
          <w:rFonts w:hint="eastAsia" w:ascii="宋体" w:hAnsi="宋体" w:eastAsia="宋体" w:cs="宋体"/>
          <w:b/>
          <w:bCs/>
          <w:sz w:val="21"/>
          <w:szCs w:val="21"/>
          <w:highlight w:val="none"/>
          <w:u w:val="single"/>
        </w:rPr>
        <w:t>政府采购云平台（</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Fonts w:hint="eastAsia" w:ascii="宋体" w:hAnsi="宋体" w:eastAsia="宋体" w:cs="宋体"/>
          <w:b/>
          <w:bCs/>
          <w:sz w:val="21"/>
          <w:szCs w:val="21"/>
          <w:highlight w:val="none"/>
          <w:u w:val="single"/>
        </w:rPr>
        <w:t>www.zcygov.cn</w:t>
      </w:r>
      <w:r>
        <w:rPr>
          <w:rFonts w:hint="eastAsia" w:ascii="宋体" w:hAnsi="宋体" w:eastAsia="宋体" w:cs="宋体"/>
          <w:b/>
          <w:bCs/>
          <w:sz w:val="21"/>
          <w:szCs w:val="21"/>
          <w:highlight w:val="none"/>
          <w:u w:val="single"/>
        </w:rPr>
        <w:fldChar w:fldCharType="end"/>
      </w:r>
      <w:r>
        <w:rPr>
          <w:rFonts w:hint="eastAsia" w:ascii="宋体" w:hAnsi="宋体" w:eastAsia="宋体" w:cs="宋体"/>
          <w:b/>
          <w:bCs/>
          <w:sz w:val="21"/>
          <w:szCs w:val="21"/>
          <w:highlight w:val="none"/>
          <w:u w:val="single"/>
        </w:rPr>
        <w:t>）</w:t>
      </w:r>
    </w:p>
    <w:p w14:paraId="09B641D5">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六、公告期限</w:t>
      </w:r>
    </w:p>
    <w:p w14:paraId="22852FCF">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自本公告发布之日起3个工作日。</w:t>
      </w:r>
    </w:p>
    <w:p w14:paraId="04DD7682">
      <w:pPr>
        <w:pStyle w:val="45"/>
        <w:autoSpaceDN w:val="0"/>
        <w:adjustRightInd w:val="0"/>
        <w:snapToGrid w:val="0"/>
        <w:spacing w:before="0" w:beforeAutospacing="0" w:after="0" w:afterAutospacing="0" w:line="360" w:lineRule="auto"/>
        <w:rPr>
          <w:rStyle w:val="54"/>
          <w:rFonts w:hint="eastAsia" w:ascii="宋体" w:hAnsi="宋体" w:eastAsia="宋体" w:cs="宋体"/>
          <w:color w:val="000000"/>
          <w:sz w:val="21"/>
          <w:szCs w:val="21"/>
          <w:highlight w:val="none"/>
        </w:rPr>
      </w:pPr>
      <w:r>
        <w:rPr>
          <w:rStyle w:val="54"/>
          <w:rFonts w:hint="eastAsia" w:ascii="宋体" w:hAnsi="宋体" w:eastAsia="宋体" w:cs="宋体"/>
          <w:color w:val="000000"/>
          <w:sz w:val="21"/>
          <w:szCs w:val="21"/>
          <w:highlight w:val="none"/>
        </w:rPr>
        <w:t>七、其他补充事宜</w:t>
      </w:r>
    </w:p>
    <w:p w14:paraId="606414FD">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D34ED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8AB52">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74E0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4.其他事项：</w:t>
      </w:r>
    </w:p>
    <w:p w14:paraId="32CA5B7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（1）采购项目需要落实的政府采购政策：本项目依法落实促进中小企业发展政策以及节能产品、环境标志产品政府采购实施相关规定。</w:t>
      </w:r>
    </w:p>
    <w:p w14:paraId="2F239DC1">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44492E84">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（3）“关联供应商参加本项目采购活动的限制”的规定见第三章投标须知第1.13款规定；</w:t>
      </w:r>
    </w:p>
    <w:p w14:paraId="2D059BE5">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D8C1E69">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（5）为支持中小企业政府采购信用融资，进一步发挥促进中小企业发展中的政策引导作用，凡政府采购中标企业有意向融资的可向相关金融机构申请。</w:t>
      </w:r>
    </w:p>
    <w:p w14:paraId="1361E88A">
      <w:pPr>
        <w:pStyle w:val="45"/>
        <w:autoSpaceDN w:val="0"/>
        <w:adjustRightInd w:val="0"/>
        <w:snapToGrid w:val="0"/>
        <w:spacing w:before="0" w:beforeAutospacing="0" w:after="0" w:afterAutospacing="0" w:line="360" w:lineRule="auto"/>
        <w:rPr>
          <w:rFonts w:hint="eastAsia" w:ascii="宋体" w:hAnsi="宋体" w:eastAsia="宋体" w:cs="宋体"/>
          <w:sz w:val="21"/>
          <w:szCs w:val="21"/>
          <w:highlight w:val="none"/>
        </w:rPr>
      </w:pPr>
      <w:r>
        <w:rPr>
          <w:rStyle w:val="54"/>
          <w:rFonts w:hint="eastAsia" w:ascii="宋体" w:hAnsi="宋体" w:eastAsia="宋体" w:cs="宋体"/>
          <w:color w:val="000000"/>
          <w:sz w:val="21"/>
          <w:szCs w:val="21"/>
          <w:highlight w:val="none"/>
        </w:rPr>
        <w:t>八、对本次采购提出询问、质疑、投诉，请按以下方式联系。</w:t>
      </w:r>
    </w:p>
    <w:p w14:paraId="56E5B54A">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1.采购人信息</w:t>
      </w:r>
    </w:p>
    <w:p w14:paraId="2FD4C3B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lang w:eastAsia="zh-CN"/>
        </w:rPr>
        <w:t>浙江中医药大学</w:t>
      </w:r>
    </w:p>
    <w:p w14:paraId="56959A5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eastAsia="zh-CN"/>
        </w:rPr>
        <w:t>杭州市滨江区滨文路548号</w:t>
      </w:r>
    </w:p>
    <w:p w14:paraId="4D5BDE43">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color w:val="000000"/>
          <w:sz w:val="21"/>
          <w:szCs w:val="21"/>
          <w:highlight w:val="none"/>
        </w:rPr>
        <w:t>项目联系人（询问）：</w:t>
      </w:r>
      <w:r>
        <w:rPr>
          <w:rFonts w:hint="eastAsia" w:cs="宋体"/>
          <w:color w:val="000000"/>
          <w:sz w:val="21"/>
          <w:szCs w:val="21"/>
          <w:highlight w:val="none"/>
          <w:lang w:eastAsia="zh-CN"/>
        </w:rPr>
        <w:t>何老师</w:t>
      </w:r>
    </w:p>
    <w:p w14:paraId="479F4DAD">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项目联系方式（询问）：</w:t>
      </w:r>
      <w:r>
        <w:rPr>
          <w:rFonts w:hint="eastAsia" w:cs="宋体"/>
          <w:color w:val="000000"/>
          <w:sz w:val="21"/>
          <w:szCs w:val="21"/>
          <w:highlight w:val="none"/>
          <w:lang w:eastAsia="zh-CN"/>
        </w:rPr>
        <w:t>13185019731</w:t>
      </w:r>
    </w:p>
    <w:p w14:paraId="18E62581">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color w:val="000000"/>
          <w:sz w:val="21"/>
          <w:szCs w:val="21"/>
          <w:highlight w:val="none"/>
        </w:rPr>
        <w:t>质疑联系人：</w:t>
      </w:r>
      <w:r>
        <w:rPr>
          <w:rFonts w:hint="eastAsia" w:ascii="宋体" w:hAnsi="宋体" w:eastAsia="宋体" w:cs="宋体"/>
          <w:color w:val="000000"/>
          <w:sz w:val="21"/>
          <w:szCs w:val="21"/>
          <w:highlight w:val="none"/>
          <w:lang w:eastAsia="zh-CN"/>
        </w:rPr>
        <w:t>刘清明</w:t>
      </w:r>
    </w:p>
    <w:p w14:paraId="2DCE1FD8">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质疑联系方式：</w:t>
      </w:r>
      <w:r>
        <w:rPr>
          <w:rFonts w:hint="eastAsia" w:ascii="宋体" w:hAnsi="宋体" w:eastAsia="宋体" w:cs="宋体"/>
          <w:color w:val="000000"/>
          <w:sz w:val="21"/>
          <w:szCs w:val="21"/>
          <w:highlight w:val="none"/>
          <w:lang w:eastAsia="zh-CN"/>
        </w:rPr>
        <w:t>0571-86658089</w:t>
      </w:r>
    </w:p>
    <w:p w14:paraId="3424BA49">
      <w:pPr>
        <w:pStyle w:val="45"/>
        <w:autoSpaceDN w:val="0"/>
        <w:adjustRightInd w:val="0"/>
        <w:snapToGrid w:val="0"/>
        <w:spacing w:before="0" w:beforeAutospacing="0" w:after="0" w:afterAutospacing="0"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2.采购代理机构信息</w:t>
      </w:r>
    </w:p>
    <w:p w14:paraId="13D010DB">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名称：浙江省成套招标代理有限公司</w:t>
      </w:r>
    </w:p>
    <w:p w14:paraId="3C8BB6B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地址：杭州市文晖路42号现代置业大厦西楼17-18楼</w:t>
      </w:r>
    </w:p>
    <w:p w14:paraId="781118F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项目联系人（询问）：</w:t>
      </w:r>
      <w:r>
        <w:rPr>
          <w:rFonts w:hint="eastAsia" w:ascii="宋体" w:hAnsi="宋体" w:eastAsia="宋体" w:cs="宋体"/>
          <w:color w:val="000000"/>
          <w:sz w:val="21"/>
          <w:szCs w:val="21"/>
          <w:highlight w:val="none"/>
          <w:lang w:eastAsia="zh-CN"/>
        </w:rPr>
        <w:t>毛松翁、李刚雷</w:t>
      </w:r>
    </w:p>
    <w:p w14:paraId="107FF227">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项目联系方式（询问）：</w:t>
      </w:r>
      <w:r>
        <w:rPr>
          <w:rFonts w:hint="eastAsia" w:ascii="宋体" w:hAnsi="宋体" w:eastAsia="宋体" w:cs="宋体"/>
          <w:color w:val="000000"/>
          <w:sz w:val="21"/>
          <w:szCs w:val="21"/>
          <w:highlight w:val="none"/>
          <w:lang w:eastAsia="zh-CN"/>
        </w:rPr>
        <w:t>13588106919、15088746906</w:t>
      </w:r>
      <w:r>
        <w:rPr>
          <w:rFonts w:hint="eastAsia" w:ascii="宋体" w:hAnsi="宋体" w:eastAsia="宋体" w:cs="宋体"/>
          <w:color w:val="000000"/>
          <w:sz w:val="21"/>
          <w:szCs w:val="21"/>
          <w:highlight w:val="none"/>
        </w:rPr>
        <w:t> </w:t>
      </w:r>
    </w:p>
    <w:p w14:paraId="5E7B8F00">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质疑联系人：冯东东</w:t>
      </w:r>
    </w:p>
    <w:p w14:paraId="5A2698BC">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质疑联系方式：0571-85331293 </w:t>
      </w:r>
    </w:p>
    <w:p w14:paraId="3298C431">
      <w:pPr>
        <w:widowControl/>
        <w:spacing w:before="60" w:after="60" w:line="312" w:lineRule="auto"/>
        <w:ind w:firstLine="420" w:firstLineChars="200"/>
        <w:jc w:val="left"/>
        <w:rPr>
          <w:rFonts w:hint="eastAsia" w:ascii="宋体" w:hAnsi="宋体" w:eastAsia="宋体" w:cs="仿宋"/>
          <w:kern w:val="0"/>
          <w:sz w:val="21"/>
          <w:szCs w:val="21"/>
          <w:highlight w:val="none"/>
          <w:lang w:val="en-US" w:eastAsia="zh-CN" w:bidi="ar-SA"/>
        </w:rPr>
      </w:pPr>
      <w:r>
        <w:rPr>
          <w:rFonts w:hint="eastAsia" w:ascii="宋体" w:hAnsi="宋体" w:eastAsia="宋体" w:cs="仿宋"/>
          <w:b w:val="0"/>
          <w:bCs w:val="0"/>
          <w:kern w:val="0"/>
          <w:sz w:val="21"/>
          <w:szCs w:val="21"/>
          <w:highlight w:val="none"/>
          <w:lang w:val="en-US" w:eastAsia="zh-CN" w:bidi="ar-SA"/>
        </w:rPr>
        <w:t>3.该项目由采购人处理采购争议。质疑环节，采购人委托采购代理机构处理的，可由采购代理机构答复。对质疑答复不满意的，向采购人内部设置的采购监督机构反映</w:t>
      </w:r>
      <w:r>
        <w:rPr>
          <w:rFonts w:hint="eastAsia" w:ascii="宋体" w:hAnsi="宋体" w:cs="仿宋"/>
          <w:b w:val="0"/>
          <w:bCs w:val="0"/>
          <w:kern w:val="0"/>
          <w:sz w:val="21"/>
          <w:szCs w:val="21"/>
          <w:highlight w:val="none"/>
          <w:lang w:val="en-US" w:eastAsia="zh-CN" w:bidi="ar-SA"/>
        </w:rPr>
        <w:t>。</w:t>
      </w:r>
    </w:p>
    <w:p w14:paraId="2B95A547">
      <w:pPr>
        <w:widowControl/>
        <w:spacing w:before="60" w:after="60" w:line="312" w:lineRule="auto"/>
        <w:ind w:firstLine="420" w:firstLineChars="200"/>
        <w:jc w:val="left"/>
        <w:rPr>
          <w:rFonts w:hint="eastAsia" w:ascii="宋体" w:hAnsi="宋体" w:eastAsia="宋体" w:cs="仿宋"/>
          <w:kern w:val="0"/>
          <w:sz w:val="21"/>
          <w:szCs w:val="21"/>
          <w:highlight w:val="none"/>
          <w:lang w:val="en-US" w:eastAsia="zh-CN" w:bidi="ar-SA"/>
        </w:rPr>
      </w:pPr>
    </w:p>
    <w:p w14:paraId="37FDA009">
      <w:pPr>
        <w:widowControl/>
        <w:spacing w:before="60" w:after="60" w:line="312" w:lineRule="auto"/>
        <w:ind w:firstLine="420" w:firstLineChars="200"/>
        <w:jc w:val="left"/>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 xml:space="preserve">政策咨询：何一平、冯华，0571-87058424、87055741            </w:t>
      </w:r>
    </w:p>
    <w:p w14:paraId="49B4046E">
      <w:pPr>
        <w:widowControl/>
        <w:spacing w:before="60" w:after="60" w:line="312" w:lineRule="auto"/>
        <w:ind w:firstLine="420" w:firstLineChars="200"/>
        <w:jc w:val="left"/>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预算金额未达100万元的采购项目，由采购人处理采购争议。</w:t>
      </w:r>
    </w:p>
    <w:p w14:paraId="3E842138">
      <w:pPr>
        <w:widowControl/>
        <w:spacing w:before="300" w:after="60" w:line="312" w:lineRule="auto"/>
        <w:ind w:firstLine="420" w:firstLineChars="200"/>
        <w:jc w:val="left"/>
        <w:rPr>
          <w:rFonts w:ascii="宋体" w:hAnsi="宋体" w:eastAsia="宋体" w:cs="仿宋"/>
          <w:kern w:val="0"/>
          <w:sz w:val="21"/>
          <w:szCs w:val="21"/>
          <w:highlight w:val="none"/>
          <w:lang w:val="en-US" w:eastAsia="zh-CN" w:bidi="ar-SA"/>
        </w:rPr>
      </w:pPr>
      <w:r>
        <w:rPr>
          <w:rFonts w:hint="eastAsia" w:ascii="宋体" w:hAnsi="宋体" w:eastAsia="宋体" w:cs="仿宋"/>
          <w:kern w:val="0"/>
          <w:sz w:val="21"/>
          <w:szCs w:val="21"/>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r>
        <w:rPr>
          <w:rFonts w:ascii="宋体" w:hAnsi="宋体" w:eastAsia="宋体" w:cs="Calibri"/>
          <w:kern w:val="0"/>
          <w:sz w:val="21"/>
          <w:szCs w:val="21"/>
          <w:highlight w:val="none"/>
          <w:lang w:val="en-US" w:eastAsia="zh-CN" w:bidi="ar-SA"/>
        </w:rPr>
        <w:t> </w:t>
      </w:r>
      <w:r>
        <w:rPr>
          <w:rFonts w:hint="eastAsia" w:ascii="宋体" w:hAnsi="宋体" w:eastAsia="宋体" w:cs="仿宋"/>
          <w:kern w:val="0"/>
          <w:sz w:val="21"/>
          <w:szCs w:val="21"/>
          <w:highlight w:val="none"/>
          <w:lang w:val="en-US" w:eastAsia="zh-CN" w:bidi="ar-SA"/>
        </w:rPr>
        <w:t xml:space="preserve"> </w:t>
      </w:r>
      <w:r>
        <w:rPr>
          <w:rFonts w:ascii="宋体" w:hAnsi="宋体" w:eastAsia="宋体" w:cs="Calibri"/>
          <w:kern w:val="0"/>
          <w:sz w:val="21"/>
          <w:szCs w:val="21"/>
          <w:highlight w:val="none"/>
          <w:lang w:val="en-US" w:eastAsia="zh-CN" w:bidi="ar-SA"/>
        </w:rPr>
        <w:t> </w:t>
      </w:r>
      <w:r>
        <w:rPr>
          <w:rFonts w:hint="eastAsia" w:ascii="宋体" w:hAnsi="宋体" w:eastAsia="宋体" w:cs="仿宋"/>
          <w:kern w:val="0"/>
          <w:sz w:val="21"/>
          <w:szCs w:val="21"/>
          <w:highlight w:val="none"/>
          <w:lang w:val="en-US" w:eastAsia="zh-CN" w:bidi="ar-SA"/>
        </w:rPr>
        <w:t xml:space="preserve"> </w:t>
      </w:r>
      <w:r>
        <w:rPr>
          <w:rFonts w:ascii="宋体" w:hAnsi="宋体" w:eastAsia="宋体" w:cs="Calibri"/>
          <w:kern w:val="0"/>
          <w:sz w:val="21"/>
          <w:szCs w:val="21"/>
          <w:highlight w:val="none"/>
          <w:lang w:val="en-US" w:eastAsia="zh-CN" w:bidi="ar-SA"/>
        </w:rPr>
        <w:t> </w:t>
      </w:r>
      <w:r>
        <w:rPr>
          <w:rFonts w:hint="eastAsia" w:ascii="宋体" w:hAnsi="宋体" w:eastAsia="宋体" w:cs="仿宋"/>
          <w:kern w:val="0"/>
          <w:sz w:val="21"/>
          <w:szCs w:val="21"/>
          <w:highlight w:val="none"/>
          <w:lang w:val="en-US" w:eastAsia="zh-CN" w:bidi="ar-SA"/>
        </w:rPr>
        <w:t xml:space="preserve"> </w:t>
      </w:r>
      <w:r>
        <w:rPr>
          <w:rFonts w:ascii="宋体" w:hAnsi="宋体" w:eastAsia="宋体" w:cs="Calibri"/>
          <w:kern w:val="0"/>
          <w:sz w:val="21"/>
          <w:szCs w:val="21"/>
          <w:highlight w:val="none"/>
          <w:lang w:val="en-US" w:eastAsia="zh-CN" w:bidi="ar-SA"/>
        </w:rPr>
        <w:t>  </w:t>
      </w:r>
    </w:p>
    <w:p w14:paraId="362CCF9E">
      <w:pPr>
        <w:pStyle w:val="45"/>
        <w:autoSpaceDN w:val="0"/>
        <w:adjustRightInd w:val="0"/>
        <w:snapToGrid w:val="0"/>
        <w:spacing w:before="0" w:beforeAutospacing="0" w:after="0" w:afterAutospacing="0" w:line="360" w:lineRule="auto"/>
        <w:ind w:firstLine="420" w:firstLineChars="200"/>
        <w:rPr>
          <w:rFonts w:hint="eastAsia" w:ascii="宋体" w:hAnsi="宋体" w:eastAsia="宋体" w:cs="宋体"/>
          <w:color w:val="000000"/>
          <w:highlight w:val="none"/>
          <w:u w:val="single"/>
        </w:rPr>
      </w:pPr>
      <w:r>
        <w:rPr>
          <w:rFonts w:hint="eastAsia" w:ascii="宋体" w:hAnsi="宋体" w:eastAsia="宋体" w:cs="仿宋"/>
          <w:kern w:val="0"/>
          <w:sz w:val="21"/>
          <w:szCs w:val="21"/>
          <w:highlight w:val="none"/>
          <w:lang w:val="en-US" w:eastAsia="zh-CN" w:bidi="ar-SA"/>
        </w:rPr>
        <w:t>CA问题联系电话（人工）：汇信CA 400-888-4636；天谷CA 400-087-8198</w:t>
      </w:r>
      <w:r>
        <w:rPr>
          <w:rFonts w:hint="eastAsia" w:ascii="宋体" w:hAnsi="宋体" w:eastAsia="宋体" w:cs="宋体"/>
          <w:color w:val="000000"/>
          <w:sz w:val="21"/>
          <w:szCs w:val="21"/>
          <w:highlight w:val="none"/>
        </w:rPr>
        <w:t>。</w:t>
      </w:r>
      <w:bookmarkStart w:id="2" w:name="_Toc273624872"/>
      <w:bookmarkStart w:id="3" w:name="_Toc82873316"/>
      <w:bookmarkStart w:id="4" w:name="_Toc82338233"/>
      <w:bookmarkStart w:id="5" w:name="_Toc211745565"/>
      <w:r>
        <w:rPr>
          <w:rFonts w:hint="eastAsia" w:ascii="宋体" w:hAnsi="宋体" w:eastAsia="宋体" w:cs="宋体"/>
          <w:bCs/>
          <w:kern w:val="44"/>
          <w:sz w:val="44"/>
          <w:szCs w:val="44"/>
          <w:highlight w:val="none"/>
        </w:rPr>
        <w:br w:type="page"/>
      </w:r>
    </w:p>
    <w:p w14:paraId="4A9444C7">
      <w:pPr>
        <w:pStyle w:val="2"/>
        <w:autoSpaceDN w:val="0"/>
        <w:spacing w:before="240"/>
        <w:rPr>
          <w:rFonts w:hint="eastAsia" w:ascii="宋体" w:hAnsi="宋体" w:eastAsia="宋体" w:cs="宋体"/>
          <w:color w:val="auto"/>
          <w:highlight w:val="none"/>
        </w:rPr>
      </w:pPr>
      <w:bookmarkStart w:id="6" w:name="_Toc18950"/>
      <w:r>
        <w:rPr>
          <w:rFonts w:hint="eastAsia" w:ascii="宋体" w:hAnsi="宋体" w:eastAsia="宋体" w:cs="宋体"/>
          <w:bCs/>
          <w:kern w:val="44"/>
          <w:sz w:val="44"/>
          <w:szCs w:val="44"/>
          <w:highlight w:val="none"/>
        </w:rPr>
        <w:t xml:space="preserve">第二章  </w:t>
      </w:r>
      <w:bookmarkEnd w:id="2"/>
      <w:r>
        <w:rPr>
          <w:rFonts w:hint="eastAsia" w:ascii="宋体" w:hAnsi="宋体" w:eastAsia="宋体" w:cs="宋体"/>
          <w:bCs/>
          <w:kern w:val="44"/>
          <w:sz w:val="44"/>
          <w:szCs w:val="44"/>
          <w:highlight w:val="none"/>
        </w:rPr>
        <w:t>磋商须知前附表</w:t>
      </w:r>
      <w:bookmarkEnd w:id="6"/>
    </w:p>
    <w:tbl>
      <w:tblPr>
        <w:tblStyle w:val="51"/>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14:paraId="2D6D44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14:paraId="1CA3BF06">
            <w:pPr>
              <w:autoSpaceDN w:val="0"/>
              <w:spacing w:line="276"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2712" w:type="dxa"/>
            <w:shd w:val="clear" w:color="auto" w:fill="DAEEF3"/>
            <w:noWrap/>
            <w:vAlign w:val="center"/>
          </w:tcPr>
          <w:p w14:paraId="03D2989A">
            <w:pPr>
              <w:autoSpaceDN w:val="0"/>
              <w:spacing w:line="276"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5811" w:type="dxa"/>
            <w:shd w:val="clear" w:color="auto" w:fill="DAEEF3"/>
            <w:noWrap/>
            <w:vAlign w:val="center"/>
          </w:tcPr>
          <w:p w14:paraId="608C15D3">
            <w:pPr>
              <w:autoSpaceDN w:val="0"/>
              <w:spacing w:line="276"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说明或要求</w:t>
            </w:r>
          </w:p>
        </w:tc>
      </w:tr>
      <w:tr w14:paraId="7D3AFA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8DD3B6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w:t>
            </w:r>
          </w:p>
        </w:tc>
        <w:tc>
          <w:tcPr>
            <w:tcW w:w="2712" w:type="dxa"/>
            <w:noWrap/>
            <w:vAlign w:val="center"/>
          </w:tcPr>
          <w:p w14:paraId="2CE46E6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5811" w:type="dxa"/>
            <w:noWrap/>
            <w:vAlign w:val="center"/>
          </w:tcPr>
          <w:p w14:paraId="3024F88A">
            <w:pPr>
              <w:autoSpaceDN w:val="0"/>
              <w:spacing w:line="276" w:lineRule="auto"/>
              <w:rPr>
                <w:rFonts w:hint="eastAsia" w:ascii="宋体" w:hAnsi="宋体" w:eastAsia="宋体" w:cs="宋体"/>
                <w:sz w:val="21"/>
                <w:szCs w:val="21"/>
                <w:highlight w:val="none"/>
                <w:lang w:eastAsia="zh-CN"/>
              </w:rPr>
            </w:pPr>
            <w:r>
              <w:rPr>
                <w:rFonts w:hint="eastAsia" w:ascii="宋体" w:hAnsi="宋体" w:cs="宋体"/>
                <w:bCs/>
                <w:color w:val="000000"/>
                <w:sz w:val="21"/>
                <w:szCs w:val="21"/>
                <w:highlight w:val="none"/>
                <w:lang w:eastAsia="zh-CN"/>
              </w:rPr>
              <w:t>浙江中医药大学Ivan Psakhye教授实验室改造项目</w:t>
            </w:r>
          </w:p>
        </w:tc>
      </w:tr>
      <w:tr w14:paraId="7735BE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62E8E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w:t>
            </w:r>
          </w:p>
        </w:tc>
        <w:tc>
          <w:tcPr>
            <w:tcW w:w="2712" w:type="dxa"/>
            <w:noWrap/>
            <w:vAlign w:val="center"/>
          </w:tcPr>
          <w:p w14:paraId="5C540FC9">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tc>
        <w:tc>
          <w:tcPr>
            <w:tcW w:w="5811" w:type="dxa"/>
            <w:noWrap/>
            <w:vAlign w:val="center"/>
          </w:tcPr>
          <w:p w14:paraId="1E935E2A">
            <w:pPr>
              <w:autoSpaceDN w:val="0"/>
              <w:spacing w:line="276" w:lineRule="auto"/>
              <w:rPr>
                <w:rFonts w:hint="eastAsia" w:ascii="宋体" w:hAnsi="宋体" w:eastAsia="宋体" w:cs="宋体"/>
                <w:bCs/>
                <w:color w:val="FF0000"/>
                <w:sz w:val="21"/>
                <w:szCs w:val="21"/>
                <w:highlight w:val="none"/>
                <w:lang w:eastAsia="zh-CN"/>
              </w:rPr>
            </w:pPr>
            <w:r>
              <w:rPr>
                <w:rFonts w:hint="eastAsia" w:ascii="宋体" w:hAnsi="宋体" w:cs="宋体"/>
                <w:bCs/>
                <w:sz w:val="21"/>
                <w:szCs w:val="21"/>
                <w:highlight w:val="none"/>
                <w:lang w:eastAsia="zh-CN"/>
              </w:rPr>
              <w:t>CTZB-2025070039</w:t>
            </w:r>
          </w:p>
        </w:tc>
      </w:tr>
      <w:tr w14:paraId="2F0ADF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2CD668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w:t>
            </w:r>
          </w:p>
        </w:tc>
        <w:tc>
          <w:tcPr>
            <w:tcW w:w="2712" w:type="dxa"/>
            <w:noWrap/>
            <w:vAlign w:val="center"/>
          </w:tcPr>
          <w:p w14:paraId="49A1F946">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采购内容</w:t>
            </w:r>
          </w:p>
        </w:tc>
        <w:tc>
          <w:tcPr>
            <w:tcW w:w="5811" w:type="dxa"/>
            <w:noWrap/>
            <w:vAlign w:val="center"/>
          </w:tcPr>
          <w:p w14:paraId="1E63EB8B">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见第四章采购内容及技术要求、清单</w:t>
            </w:r>
          </w:p>
        </w:tc>
      </w:tr>
      <w:tr w14:paraId="051BF3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F466562">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w:t>
            </w:r>
          </w:p>
        </w:tc>
        <w:tc>
          <w:tcPr>
            <w:tcW w:w="2712" w:type="dxa"/>
            <w:noWrap/>
            <w:vAlign w:val="center"/>
          </w:tcPr>
          <w:p w14:paraId="289E61B5">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最高限价</w:t>
            </w:r>
          </w:p>
        </w:tc>
        <w:tc>
          <w:tcPr>
            <w:tcW w:w="5811" w:type="dxa"/>
            <w:noWrap/>
            <w:vAlign w:val="center"/>
          </w:tcPr>
          <w:p w14:paraId="70FB7FA4">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人民币</w:t>
            </w:r>
            <w:r>
              <w:rPr>
                <w:rFonts w:hint="eastAsia" w:ascii="宋体" w:hAnsi="宋体" w:cs="宋体"/>
                <w:b/>
                <w:sz w:val="21"/>
                <w:szCs w:val="21"/>
                <w:highlight w:val="none"/>
                <w:u w:val="single"/>
                <w:lang w:val="en-US" w:eastAsia="zh-CN"/>
              </w:rPr>
              <w:t>680000</w:t>
            </w:r>
            <w:r>
              <w:rPr>
                <w:rFonts w:hint="eastAsia" w:ascii="宋体" w:hAnsi="宋体" w:eastAsia="宋体" w:cs="宋体"/>
                <w:b/>
                <w:sz w:val="21"/>
                <w:szCs w:val="21"/>
                <w:highlight w:val="none"/>
              </w:rPr>
              <w:t>元，超过最高限价的按无效标处理。</w:t>
            </w:r>
          </w:p>
        </w:tc>
      </w:tr>
      <w:tr w14:paraId="302F87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1A6A03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1.2.5</w:t>
            </w:r>
          </w:p>
        </w:tc>
        <w:tc>
          <w:tcPr>
            <w:tcW w:w="2712" w:type="dxa"/>
            <w:noWrap/>
            <w:vAlign w:val="center"/>
          </w:tcPr>
          <w:p w14:paraId="3988121C">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采购资金落实情况</w:t>
            </w:r>
          </w:p>
        </w:tc>
        <w:tc>
          <w:tcPr>
            <w:tcW w:w="5811" w:type="dxa"/>
            <w:noWrap/>
            <w:vAlign w:val="center"/>
          </w:tcPr>
          <w:p w14:paraId="4BA79860">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已落实</w:t>
            </w:r>
          </w:p>
        </w:tc>
      </w:tr>
      <w:tr w14:paraId="505066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5DF0280">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1.2.6</w:t>
            </w:r>
          </w:p>
        </w:tc>
        <w:tc>
          <w:tcPr>
            <w:tcW w:w="2712" w:type="dxa"/>
            <w:noWrap/>
            <w:vAlign w:val="center"/>
          </w:tcPr>
          <w:p w14:paraId="7CD0CE85">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w:t>
            </w:r>
          </w:p>
        </w:tc>
        <w:tc>
          <w:tcPr>
            <w:tcW w:w="5811" w:type="dxa"/>
            <w:noWrap/>
            <w:vAlign w:val="center"/>
          </w:tcPr>
          <w:p w14:paraId="30AC0FE6">
            <w:pPr>
              <w:autoSpaceDN w:val="0"/>
              <w:spacing w:line="276"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单位名称：</w:t>
            </w:r>
            <w:r>
              <w:rPr>
                <w:rFonts w:hint="eastAsia" w:ascii="宋体" w:hAnsi="宋体" w:eastAsia="宋体" w:cs="宋体"/>
                <w:color w:val="000000"/>
                <w:sz w:val="21"/>
                <w:szCs w:val="21"/>
                <w:highlight w:val="none"/>
                <w:lang w:eastAsia="zh-CN"/>
              </w:rPr>
              <w:t>浙江中医药大学</w:t>
            </w:r>
          </w:p>
          <w:p w14:paraId="43685FF2">
            <w:pPr>
              <w:autoSpaceDN w:val="0"/>
              <w:spacing w:line="276"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eastAsia="zh-CN"/>
              </w:rPr>
              <w:t>杭州市滨江区滨文路548号</w:t>
            </w:r>
          </w:p>
          <w:p w14:paraId="10B17011">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r>
              <w:rPr>
                <w:rFonts w:hint="eastAsia" w:ascii="宋体" w:hAnsi="宋体" w:cs="宋体"/>
                <w:color w:val="000000"/>
                <w:sz w:val="21"/>
                <w:szCs w:val="21"/>
                <w:highlight w:val="none"/>
                <w:lang w:val="en-US" w:eastAsia="zh-CN"/>
              </w:rPr>
              <w:t>何老师</w:t>
            </w:r>
          </w:p>
          <w:p w14:paraId="255902CF">
            <w:pPr>
              <w:autoSpaceDN w:val="0"/>
              <w:spacing w:line="276"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联系电话：</w:t>
            </w:r>
            <w:r>
              <w:rPr>
                <w:rFonts w:hint="eastAsia" w:ascii="宋体" w:hAnsi="宋体" w:cs="宋体"/>
                <w:color w:val="000000"/>
                <w:sz w:val="21"/>
                <w:szCs w:val="21"/>
                <w:highlight w:val="none"/>
                <w:lang w:eastAsia="zh-CN"/>
              </w:rPr>
              <w:t>13185019731</w:t>
            </w:r>
          </w:p>
        </w:tc>
      </w:tr>
      <w:tr w14:paraId="50103B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C5D8AC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1.2.7</w:t>
            </w:r>
          </w:p>
        </w:tc>
        <w:tc>
          <w:tcPr>
            <w:tcW w:w="2712" w:type="dxa"/>
            <w:noWrap/>
            <w:vAlign w:val="center"/>
          </w:tcPr>
          <w:p w14:paraId="432D2560">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采购代理机构</w:t>
            </w:r>
          </w:p>
        </w:tc>
        <w:tc>
          <w:tcPr>
            <w:tcW w:w="5811" w:type="dxa"/>
            <w:noWrap/>
            <w:vAlign w:val="center"/>
          </w:tcPr>
          <w:p w14:paraId="015926F9">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单位名称：</w:t>
            </w:r>
            <w:r>
              <w:rPr>
                <w:rFonts w:hint="eastAsia" w:ascii="宋体" w:hAnsi="宋体" w:eastAsia="宋体" w:cs="宋体"/>
                <w:bCs/>
                <w:color w:val="000000"/>
                <w:sz w:val="21"/>
                <w:szCs w:val="21"/>
                <w:highlight w:val="none"/>
              </w:rPr>
              <w:t>浙江省成套招标代理有限公司</w:t>
            </w:r>
          </w:p>
          <w:p w14:paraId="2E103CF2">
            <w:pPr>
              <w:autoSpaceDN w:val="0"/>
              <w:spacing w:line="276"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eastAsia="zh-CN"/>
              </w:rPr>
              <w:t>毛松翁、李刚雷</w:t>
            </w:r>
          </w:p>
          <w:p w14:paraId="6A05A506">
            <w:pPr>
              <w:autoSpaceDN w:val="0"/>
              <w:spacing w:line="276"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lang w:eastAsia="zh-CN"/>
              </w:rPr>
              <w:t>13588106919、15088746906</w:t>
            </w:r>
          </w:p>
          <w:p w14:paraId="34872961">
            <w:pPr>
              <w:pStyle w:val="6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Email：</w:t>
            </w:r>
            <w:r>
              <w:rPr>
                <w:rFonts w:hint="eastAsia" w:hAnsi="宋体" w:cs="宋体"/>
                <w:sz w:val="21"/>
                <w:szCs w:val="21"/>
                <w:highlight w:val="none"/>
                <w:lang w:eastAsia="zh-CN"/>
              </w:rPr>
              <w:t>156624554@qq.com</w:t>
            </w:r>
          </w:p>
          <w:p w14:paraId="308A9340">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地址：杭州市文晖路42号现代置业大厦西楼18楼</w:t>
            </w:r>
          </w:p>
        </w:tc>
      </w:tr>
      <w:tr w14:paraId="71F3E7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DD1E140">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1.2.8</w:t>
            </w:r>
          </w:p>
        </w:tc>
        <w:tc>
          <w:tcPr>
            <w:tcW w:w="2712" w:type="dxa"/>
            <w:noWrap/>
            <w:vAlign w:val="center"/>
          </w:tcPr>
          <w:p w14:paraId="6AC14C6D">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交易方式</w:t>
            </w:r>
          </w:p>
        </w:tc>
        <w:tc>
          <w:tcPr>
            <w:tcW w:w="5811" w:type="dxa"/>
            <w:noWrap/>
            <w:vAlign w:val="center"/>
          </w:tcPr>
          <w:p w14:paraId="68A3034F">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电子交易</w:t>
            </w:r>
          </w:p>
        </w:tc>
      </w:tr>
      <w:tr w14:paraId="6A81AB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FD09D9">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1.2.9</w:t>
            </w:r>
          </w:p>
        </w:tc>
        <w:tc>
          <w:tcPr>
            <w:tcW w:w="2712" w:type="dxa"/>
            <w:noWrap/>
            <w:vAlign w:val="center"/>
          </w:tcPr>
          <w:p w14:paraId="2B05D03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电子交易平台</w:t>
            </w:r>
          </w:p>
        </w:tc>
        <w:tc>
          <w:tcPr>
            <w:tcW w:w="5811" w:type="dxa"/>
            <w:noWrap/>
            <w:vAlign w:val="center"/>
          </w:tcPr>
          <w:p w14:paraId="02F7C89E">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政府采购云平台</w:t>
            </w:r>
            <w:r>
              <w:rPr>
                <w:rFonts w:hint="eastAsia" w:ascii="宋体" w:hAnsi="宋体" w:eastAsia="宋体" w:cs="宋体"/>
                <w:color w:val="000000"/>
                <w:sz w:val="21"/>
                <w:szCs w:val="21"/>
                <w:highlight w:val="none"/>
              </w:rPr>
              <w:t>，网址</w:t>
            </w:r>
            <w:r>
              <w:rPr>
                <w:rFonts w:hint="eastAsia" w:ascii="宋体" w:hAnsi="宋体" w:eastAsia="宋体" w:cs="宋体"/>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1BECDE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2AC0C4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1.2.10</w:t>
            </w:r>
          </w:p>
        </w:tc>
        <w:tc>
          <w:tcPr>
            <w:tcW w:w="2712" w:type="dxa"/>
            <w:noWrap/>
            <w:vAlign w:val="center"/>
          </w:tcPr>
          <w:p w14:paraId="588783ED">
            <w:pPr>
              <w:autoSpaceDN w:val="0"/>
              <w:spacing w:line="276"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工期</w:t>
            </w:r>
          </w:p>
        </w:tc>
        <w:tc>
          <w:tcPr>
            <w:tcW w:w="5811" w:type="dxa"/>
            <w:noWrap/>
            <w:vAlign w:val="center"/>
          </w:tcPr>
          <w:p w14:paraId="16BB0FEC">
            <w:pPr>
              <w:autoSpaceDN w:val="0"/>
              <w:spacing w:line="276" w:lineRule="auto"/>
              <w:rPr>
                <w:rFonts w:hint="eastAsia" w:ascii="宋体" w:hAnsi="宋体" w:eastAsia="宋体" w:cs="宋体"/>
                <w:b/>
                <w:bCs/>
                <w:color w:val="0033CC"/>
                <w:sz w:val="21"/>
                <w:szCs w:val="21"/>
                <w:highlight w:val="none"/>
                <w:lang w:eastAsia="zh-CN"/>
              </w:rPr>
            </w:pPr>
            <w:r>
              <w:rPr>
                <w:rFonts w:hint="eastAsia" w:ascii="宋体" w:hAnsi="宋体" w:cs="宋体"/>
                <w:b/>
                <w:sz w:val="21"/>
                <w:szCs w:val="21"/>
                <w:highlight w:val="none"/>
                <w:lang w:val="en-US" w:eastAsia="zh-CN"/>
              </w:rPr>
              <w:t>60</w:t>
            </w:r>
            <w:r>
              <w:rPr>
                <w:rFonts w:hint="eastAsia" w:ascii="宋体" w:hAnsi="宋体" w:cs="宋体"/>
                <w:b/>
                <w:sz w:val="21"/>
                <w:szCs w:val="21"/>
                <w:highlight w:val="none"/>
                <w:lang w:eastAsia="zh-CN"/>
              </w:rPr>
              <w:t>日历天</w:t>
            </w:r>
          </w:p>
        </w:tc>
      </w:tr>
      <w:tr w14:paraId="35F2B3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A53F4B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712" w:type="dxa"/>
            <w:noWrap/>
            <w:vAlign w:val="center"/>
          </w:tcPr>
          <w:p w14:paraId="482F9BCA">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采购方式</w:t>
            </w:r>
          </w:p>
        </w:tc>
        <w:tc>
          <w:tcPr>
            <w:tcW w:w="5811" w:type="dxa"/>
            <w:noWrap/>
            <w:vAlign w:val="center"/>
          </w:tcPr>
          <w:p w14:paraId="11415973">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公告形式邀请（发布竞争性磋商公告后登记确定）</w:t>
            </w:r>
          </w:p>
        </w:tc>
      </w:tr>
      <w:tr w14:paraId="027809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652055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p>
        </w:tc>
        <w:tc>
          <w:tcPr>
            <w:tcW w:w="2712" w:type="dxa"/>
            <w:noWrap/>
            <w:vAlign w:val="center"/>
          </w:tcPr>
          <w:p w14:paraId="7E876B9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合格供应商资格要求</w:t>
            </w:r>
          </w:p>
        </w:tc>
        <w:tc>
          <w:tcPr>
            <w:tcW w:w="5811" w:type="dxa"/>
            <w:noWrap/>
            <w:vAlign w:val="center"/>
          </w:tcPr>
          <w:p w14:paraId="26911E49">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见第一章竞争性磋商公告</w:t>
            </w:r>
          </w:p>
        </w:tc>
      </w:tr>
      <w:tr w14:paraId="1EE0C9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E7D4FE9">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w:t>
            </w:r>
          </w:p>
        </w:tc>
        <w:tc>
          <w:tcPr>
            <w:tcW w:w="2712" w:type="dxa"/>
            <w:noWrap/>
            <w:vAlign w:val="center"/>
          </w:tcPr>
          <w:p w14:paraId="0EB33AC4">
            <w:pPr>
              <w:autoSpaceDN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联合体磋商响应</w:t>
            </w:r>
          </w:p>
        </w:tc>
        <w:tc>
          <w:tcPr>
            <w:tcW w:w="5811" w:type="dxa"/>
            <w:noWrap/>
            <w:vAlign w:val="center"/>
          </w:tcPr>
          <w:p w14:paraId="6E1ECB33">
            <w:pPr>
              <w:spacing w:line="276" w:lineRule="auto"/>
              <w:rPr>
                <w:rFonts w:ascii="Times New Roman" w:hAnsi="Times New Roman" w:eastAsia="宋体" w:cs="Times New Roman"/>
                <w:highlight w:val="none"/>
              </w:rPr>
            </w:pPr>
            <w:r>
              <w:rPr>
                <w:rFonts w:hint="eastAsia" w:ascii="宋体" w:hAnsi="宋体" w:eastAsia="宋体" w:cs="宋体"/>
                <w:b/>
                <w:sz w:val="21"/>
                <w:szCs w:val="21"/>
                <w:highlight w:val="none"/>
              </w:rPr>
              <w:t>接受</w:t>
            </w:r>
            <w:r>
              <w:rPr>
                <w:rFonts w:hint="eastAsia" w:ascii="Times New Roman" w:hAnsi="Times New Roman" w:eastAsia="宋体" w:cs="Times New Roman"/>
                <w:highlight w:val="none"/>
              </w:rPr>
              <w:t>（联合体仅接受中型企业与小微企业或小微企业与小微企业组成联合体投标）</w:t>
            </w:r>
          </w:p>
          <w:p w14:paraId="01F75AD6">
            <w:pPr>
              <w:autoSpaceDN w:val="0"/>
              <w:spacing w:line="276" w:lineRule="auto"/>
              <w:rPr>
                <w:rFonts w:hint="eastAsia" w:ascii="宋体" w:hAnsi="宋体" w:eastAsia="宋体" w:cs="宋体"/>
                <w:b/>
                <w:sz w:val="21"/>
                <w:szCs w:val="21"/>
                <w:highlight w:val="none"/>
              </w:rPr>
            </w:pPr>
            <w:r>
              <w:rPr>
                <w:rFonts w:hint="eastAsia" w:ascii="Times New Roman" w:hAnsi="Times New Roman" w:eastAsia="宋体" w:cs="Times New Roman"/>
                <w:kern w:val="2"/>
                <w:sz w:val="21"/>
                <w:szCs w:val="24"/>
                <w:highlight w:val="none"/>
                <w:lang w:val="zh-CN" w:eastAsia="zh-CN" w:bidi="ar-SA"/>
              </w:rPr>
              <w:t>供应商以联合体形式参加本项目磋商的，须签订联合体协议，响应文件中应提供联合体协议，并明确联合体各方的工作范围。</w:t>
            </w:r>
            <w:r>
              <w:rPr>
                <w:rFonts w:hint="eastAsia" w:ascii="Times New Roman" w:hAnsi="Times New Roman" w:eastAsia="宋体" w:cs="Times New Roman"/>
                <w:kern w:val="2"/>
                <w:sz w:val="21"/>
                <w:szCs w:val="24"/>
                <w:highlight w:val="none"/>
                <w:lang w:val="en-US" w:eastAsia="zh-CN" w:bidi="ar-SA"/>
              </w:rPr>
              <w:t>响应</w:t>
            </w:r>
            <w:r>
              <w:rPr>
                <w:rFonts w:hint="eastAsia" w:ascii="Times New Roman" w:hAnsi="Times New Roman" w:eastAsia="宋体" w:cs="Times New Roman"/>
                <w:kern w:val="2"/>
                <w:sz w:val="21"/>
                <w:szCs w:val="24"/>
                <w:highlight w:val="none"/>
                <w:lang w:val="zh-CN" w:eastAsia="zh-CN" w:bidi="ar-SA"/>
              </w:rPr>
              <w:t>文件除联合</w:t>
            </w:r>
            <w:r>
              <w:rPr>
                <w:rFonts w:hint="eastAsia" w:ascii="Times New Roman" w:hAnsi="Times New Roman" w:eastAsia="宋体" w:cs="Times New Roman"/>
                <w:kern w:val="2"/>
                <w:sz w:val="21"/>
                <w:szCs w:val="24"/>
                <w:highlight w:val="none"/>
                <w:lang w:val="en-US" w:eastAsia="zh-CN" w:bidi="ar-SA"/>
              </w:rPr>
              <w:t>体</w:t>
            </w:r>
            <w:r>
              <w:rPr>
                <w:rFonts w:hint="eastAsia" w:ascii="Times New Roman" w:hAnsi="Times New Roman" w:eastAsia="宋体" w:cs="Times New Roman"/>
                <w:kern w:val="2"/>
                <w:sz w:val="21"/>
                <w:szCs w:val="24"/>
                <w:highlight w:val="none"/>
                <w:lang w:val="zh-CN" w:eastAsia="zh-CN" w:bidi="ar-SA"/>
              </w:rPr>
              <w:t>协议须联合体各方盖章签字外，均由联合体牵头人签章。</w:t>
            </w:r>
          </w:p>
        </w:tc>
      </w:tr>
      <w:tr w14:paraId="7A9099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C2976AB">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w:t>
            </w:r>
          </w:p>
        </w:tc>
        <w:tc>
          <w:tcPr>
            <w:tcW w:w="2712" w:type="dxa"/>
            <w:noWrap/>
            <w:vAlign w:val="center"/>
          </w:tcPr>
          <w:p w14:paraId="1362D47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进口产品磋商响应</w:t>
            </w:r>
          </w:p>
        </w:tc>
        <w:tc>
          <w:tcPr>
            <w:tcW w:w="5811" w:type="dxa"/>
            <w:noWrap/>
            <w:vAlign w:val="center"/>
          </w:tcPr>
          <w:p w14:paraId="1D6CAC30">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不适用</w:t>
            </w:r>
          </w:p>
        </w:tc>
      </w:tr>
      <w:tr w14:paraId="1BE5F8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F0C2F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w:t>
            </w:r>
          </w:p>
        </w:tc>
        <w:tc>
          <w:tcPr>
            <w:tcW w:w="2712" w:type="dxa"/>
            <w:noWrap/>
            <w:vAlign w:val="center"/>
          </w:tcPr>
          <w:p w14:paraId="0AF4D91C">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现场勘查</w:t>
            </w:r>
          </w:p>
        </w:tc>
        <w:tc>
          <w:tcPr>
            <w:tcW w:w="5811" w:type="dxa"/>
            <w:noWrap/>
            <w:vAlign w:val="center"/>
          </w:tcPr>
          <w:p w14:paraId="0124168F">
            <w:pPr>
              <w:autoSpaceDN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sym w:font="Wingdings" w:char="F0FE"/>
            </w:r>
            <w:r>
              <w:rPr>
                <w:rFonts w:hint="eastAsia" w:ascii="宋体" w:hAnsi="宋体" w:eastAsia="宋体" w:cs="宋体"/>
                <w:b/>
                <w:bCs/>
                <w:sz w:val="21"/>
                <w:szCs w:val="21"/>
                <w:highlight w:val="none"/>
              </w:rPr>
              <w:t>自行踏勘</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lang w:eastAsia="zh-CN"/>
              </w:rPr>
              <w:t>本项目不组织集中踏勘，但供应商应须自行前往对现场进行踏勘，以实地了解磋商文件无法充分说明的施工现场、周边环境、场地实物状况等实际情况，并在响应时充分考虑该实际情况，合理进行施工组织设计和报价。采购人不接受供应商在成交后提出的因对现场和现场实物实际情况不了解而增加费用及相关变更。踏勘期间发生的费用或意外导致伤亡等一切责任和损失均由供应商自负。</w:t>
            </w:r>
          </w:p>
          <w:p w14:paraId="031B7456">
            <w:pPr>
              <w:autoSpaceDN w:val="0"/>
              <w:spacing w:line="276" w:lineRule="auto"/>
              <w:jc w:val="left"/>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地点：</w:t>
            </w:r>
            <w:r>
              <w:rPr>
                <w:rFonts w:hint="eastAsia" w:ascii="宋体" w:hAnsi="宋体" w:cs="宋体"/>
                <w:b/>
                <w:sz w:val="21"/>
                <w:szCs w:val="21"/>
                <w:highlight w:val="none"/>
                <w:lang w:val="en-US" w:eastAsia="zh-CN"/>
              </w:rPr>
              <w:t>浙江中医药大学滨文校区</w:t>
            </w:r>
          </w:p>
          <w:p w14:paraId="63CEAADF">
            <w:pPr>
              <w:autoSpaceDN w:val="0"/>
              <w:spacing w:line="276" w:lineRule="auto"/>
              <w:jc w:val="left"/>
              <w:rPr>
                <w:rFonts w:hint="eastAsia" w:ascii="宋体" w:hAnsi="宋体" w:eastAsia="宋体" w:cs="宋体"/>
                <w:b/>
                <w:color w:val="000000"/>
                <w:sz w:val="21"/>
                <w:szCs w:val="21"/>
                <w:highlight w:val="none"/>
                <w:lang w:eastAsia="zh-CN"/>
              </w:rPr>
            </w:pPr>
            <w:r>
              <w:rPr>
                <w:rFonts w:hint="eastAsia" w:ascii="宋体" w:hAnsi="宋体" w:eastAsia="宋体" w:cs="宋体"/>
                <w:b/>
                <w:sz w:val="21"/>
                <w:szCs w:val="21"/>
                <w:highlight w:val="none"/>
              </w:rPr>
              <w:t>联系人：</w:t>
            </w:r>
            <w:r>
              <w:rPr>
                <w:rFonts w:hint="eastAsia" w:ascii="宋体" w:hAnsi="宋体" w:cs="宋体"/>
                <w:b/>
                <w:sz w:val="21"/>
                <w:szCs w:val="21"/>
                <w:highlight w:val="none"/>
                <w:u w:val="single"/>
                <w:lang w:val="en-US" w:eastAsia="zh-CN"/>
              </w:rPr>
              <w:t>何老师</w:t>
            </w:r>
            <w:r>
              <w:rPr>
                <w:rFonts w:hint="eastAsia" w:ascii="宋体" w:hAnsi="宋体" w:eastAsia="宋体" w:cs="宋体"/>
                <w:b/>
                <w:sz w:val="21"/>
                <w:szCs w:val="21"/>
                <w:highlight w:val="none"/>
              </w:rPr>
              <w:t xml:space="preserve">       联系电话：</w:t>
            </w:r>
            <w:r>
              <w:rPr>
                <w:rFonts w:hint="eastAsia" w:ascii="宋体" w:hAnsi="宋体" w:cs="宋体"/>
                <w:b/>
                <w:sz w:val="21"/>
                <w:szCs w:val="21"/>
                <w:highlight w:val="none"/>
                <w:u w:val="single"/>
                <w:lang w:eastAsia="zh-CN"/>
              </w:rPr>
              <w:t>13185019731</w:t>
            </w:r>
          </w:p>
        </w:tc>
      </w:tr>
      <w:tr w14:paraId="67F1EC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45D5F4D">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1.12.1</w:t>
            </w:r>
          </w:p>
        </w:tc>
        <w:tc>
          <w:tcPr>
            <w:tcW w:w="2712" w:type="dxa"/>
            <w:noWrap/>
            <w:vAlign w:val="center"/>
          </w:tcPr>
          <w:p w14:paraId="0495610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标前答疑会时间、地点</w:t>
            </w:r>
          </w:p>
        </w:tc>
        <w:tc>
          <w:tcPr>
            <w:tcW w:w="5811" w:type="dxa"/>
            <w:noWrap/>
            <w:vAlign w:val="center"/>
          </w:tcPr>
          <w:p w14:paraId="1C061AC0">
            <w:pPr>
              <w:autoSpaceDE w:val="0"/>
              <w:autoSpaceDN w:val="0"/>
              <w:adjustRightInd w:val="0"/>
              <w:ind w:right="105" w:rightChars="5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sym w:font="Wingdings" w:char="F0FE"/>
            </w:r>
            <w:r>
              <w:rPr>
                <w:rFonts w:hint="eastAsia" w:ascii="宋体" w:hAnsi="宋体" w:eastAsia="宋体" w:cs="宋体"/>
                <w:b/>
                <w:bCs/>
                <w:kern w:val="0"/>
                <w:sz w:val="21"/>
                <w:szCs w:val="21"/>
                <w:highlight w:val="none"/>
              </w:rPr>
              <w:t>不召开</w:t>
            </w:r>
          </w:p>
          <w:p w14:paraId="18A36CF0">
            <w:pPr>
              <w:autoSpaceDE w:val="0"/>
              <w:autoSpaceDN w:val="0"/>
              <w:adjustRightInd w:val="0"/>
              <w:ind w:right="105" w:righ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sym w:font="Wingdings" w:char="F06F"/>
            </w:r>
            <w:r>
              <w:rPr>
                <w:rFonts w:hint="eastAsia" w:ascii="宋体" w:hAnsi="宋体" w:eastAsia="宋体" w:cs="宋体"/>
                <w:kern w:val="0"/>
                <w:sz w:val="21"/>
                <w:szCs w:val="21"/>
                <w:highlight w:val="none"/>
              </w:rPr>
              <w:t>召开，召开时间：</w:t>
            </w:r>
          </w:p>
          <w:p w14:paraId="3DF995DC">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kern w:val="0"/>
                <w:sz w:val="21"/>
                <w:szCs w:val="21"/>
                <w:highlight w:val="none"/>
              </w:rPr>
              <w:t>召开地点：</w:t>
            </w:r>
          </w:p>
        </w:tc>
      </w:tr>
      <w:tr w14:paraId="5BA653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35C038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1.13.5</w:t>
            </w:r>
          </w:p>
        </w:tc>
        <w:tc>
          <w:tcPr>
            <w:tcW w:w="2712" w:type="dxa"/>
            <w:noWrap/>
            <w:vAlign w:val="center"/>
          </w:tcPr>
          <w:p w14:paraId="58ABD68C">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核心产品内容</w:t>
            </w:r>
          </w:p>
          <w:p w14:paraId="1B0260FB">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（非单一产品适用）</w:t>
            </w:r>
          </w:p>
        </w:tc>
        <w:tc>
          <w:tcPr>
            <w:tcW w:w="5811" w:type="dxa"/>
            <w:noWrap/>
            <w:vAlign w:val="center"/>
          </w:tcPr>
          <w:p w14:paraId="348DCA54">
            <w:pPr>
              <w:autoSpaceDN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不适用</w:t>
            </w:r>
          </w:p>
        </w:tc>
      </w:tr>
      <w:tr w14:paraId="2AE9A5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14:paraId="0E316CB6">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1.15.1</w:t>
            </w:r>
          </w:p>
        </w:tc>
        <w:tc>
          <w:tcPr>
            <w:tcW w:w="2712" w:type="dxa"/>
            <w:noWrap/>
            <w:vAlign w:val="center"/>
          </w:tcPr>
          <w:p w14:paraId="6E158D72">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转包</w:t>
            </w:r>
          </w:p>
        </w:tc>
        <w:tc>
          <w:tcPr>
            <w:tcW w:w="5811" w:type="dxa"/>
            <w:noWrap/>
            <w:vAlign w:val="center"/>
          </w:tcPr>
          <w:p w14:paraId="11860961">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本项目不允许转包。</w:t>
            </w:r>
          </w:p>
        </w:tc>
      </w:tr>
      <w:tr w14:paraId="5A4975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632AB27">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1.15.2</w:t>
            </w:r>
          </w:p>
        </w:tc>
        <w:tc>
          <w:tcPr>
            <w:tcW w:w="2712" w:type="dxa"/>
            <w:noWrap/>
            <w:vAlign w:val="center"/>
          </w:tcPr>
          <w:p w14:paraId="2906E175">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分包</w:t>
            </w:r>
          </w:p>
        </w:tc>
        <w:tc>
          <w:tcPr>
            <w:tcW w:w="5811" w:type="dxa"/>
            <w:noWrap/>
            <w:vAlign w:val="center"/>
          </w:tcPr>
          <w:p w14:paraId="5824587D">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本项目允许分包。</w:t>
            </w:r>
          </w:p>
          <w:p w14:paraId="58E5394D">
            <w:pPr>
              <w:autoSpaceDN w:val="0"/>
              <w:spacing w:line="276"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分包内容要求：</w:t>
            </w:r>
            <w:r>
              <w:rPr>
                <w:rFonts w:hint="eastAsia" w:ascii="宋体" w:hAnsi="宋体" w:eastAsia="宋体" w:cs="宋体"/>
                <w:b/>
                <w:sz w:val="21"/>
                <w:szCs w:val="21"/>
                <w:highlight w:val="none"/>
                <w:u w:val="single"/>
              </w:rPr>
              <w:t>不允许违法分包</w:t>
            </w:r>
          </w:p>
          <w:p w14:paraId="12CEB47C">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14:paraId="39123B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E8E7BAC">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p>
        </w:tc>
        <w:tc>
          <w:tcPr>
            <w:tcW w:w="2712" w:type="dxa"/>
            <w:noWrap/>
            <w:vAlign w:val="center"/>
          </w:tcPr>
          <w:p w14:paraId="6E60DE1B">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是否专门面向</w:t>
            </w:r>
          </w:p>
          <w:p w14:paraId="34DE92D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中小企业采购</w:t>
            </w:r>
          </w:p>
        </w:tc>
        <w:tc>
          <w:tcPr>
            <w:tcW w:w="5811" w:type="dxa"/>
            <w:noWrap/>
            <w:vAlign w:val="center"/>
          </w:tcPr>
          <w:p w14:paraId="1CC0D11F">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w:t>
            </w:r>
          </w:p>
        </w:tc>
      </w:tr>
      <w:tr w14:paraId="0B371F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A52DF5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2.1.2</w:t>
            </w:r>
          </w:p>
        </w:tc>
        <w:tc>
          <w:tcPr>
            <w:tcW w:w="2712" w:type="dxa"/>
            <w:noWrap/>
            <w:vAlign w:val="center"/>
          </w:tcPr>
          <w:p w14:paraId="403BF1D2">
            <w:pPr>
              <w:autoSpaceDN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本项目中小企业划分标准所属行业</w:t>
            </w:r>
          </w:p>
        </w:tc>
        <w:tc>
          <w:tcPr>
            <w:tcW w:w="5811" w:type="dxa"/>
            <w:noWrap/>
            <w:vAlign w:val="center"/>
          </w:tcPr>
          <w:p w14:paraId="53FE52D7">
            <w:pPr>
              <w:autoSpaceDN w:val="0"/>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本项目属性为工程，中小企业划分标准对应行业为“建筑业”。</w:t>
            </w:r>
          </w:p>
          <w:p w14:paraId="0EB3DA1C">
            <w:pPr>
              <w:autoSpaceDN w:val="0"/>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ECA27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72AA98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p>
        </w:tc>
        <w:tc>
          <w:tcPr>
            <w:tcW w:w="2712" w:type="dxa"/>
            <w:noWrap/>
            <w:vAlign w:val="center"/>
          </w:tcPr>
          <w:p w14:paraId="7BA01ED9">
            <w:pPr>
              <w:autoSpaceDN w:val="0"/>
              <w:spacing w:line="276" w:lineRule="auto"/>
              <w:jc w:val="center"/>
              <w:rPr>
                <w:rFonts w:hint="eastAsia" w:ascii="宋体" w:hAnsi="宋体" w:eastAsia="宋体" w:cs="宋体"/>
                <w:color w:val="000000"/>
                <w:w w:val="90"/>
                <w:sz w:val="21"/>
                <w:szCs w:val="21"/>
                <w:highlight w:val="none"/>
              </w:rPr>
            </w:pPr>
            <w:r>
              <w:rPr>
                <w:rFonts w:hint="eastAsia" w:ascii="宋体" w:hAnsi="宋体" w:eastAsia="宋体" w:cs="宋体"/>
                <w:color w:val="000000"/>
                <w:w w:val="90"/>
                <w:sz w:val="21"/>
                <w:szCs w:val="21"/>
                <w:highlight w:val="none"/>
              </w:rPr>
              <w:t>是否落实节能、环保产品政府采购实施相关规定</w:t>
            </w:r>
          </w:p>
        </w:tc>
        <w:tc>
          <w:tcPr>
            <w:tcW w:w="5811" w:type="dxa"/>
            <w:noWrap/>
            <w:vAlign w:val="center"/>
          </w:tcPr>
          <w:p w14:paraId="77F6DB8A">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w:t>
            </w:r>
            <w:r>
              <w:rPr>
                <w:rFonts w:hint="eastAsia" w:ascii="宋体" w:hAnsi="宋体" w:eastAsia="宋体" w:cs="宋体"/>
                <w:color w:val="000000"/>
                <w:sz w:val="21"/>
                <w:szCs w:val="21"/>
                <w:highlight w:val="none"/>
              </w:rPr>
              <w:t>（详见第三章第2.2款相关规定）</w:t>
            </w:r>
          </w:p>
        </w:tc>
      </w:tr>
      <w:tr w14:paraId="32A48F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D6FFA37">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w:t>
            </w:r>
          </w:p>
        </w:tc>
        <w:tc>
          <w:tcPr>
            <w:tcW w:w="2712" w:type="dxa"/>
            <w:noWrap/>
            <w:vAlign w:val="center"/>
          </w:tcPr>
          <w:p w14:paraId="6CFE12ED">
            <w:pPr>
              <w:autoSpaceDN w:val="0"/>
              <w:spacing w:line="276"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竞争性磋商文件提疑截止时间</w:t>
            </w:r>
          </w:p>
        </w:tc>
        <w:tc>
          <w:tcPr>
            <w:tcW w:w="5811" w:type="dxa"/>
            <w:noWrap/>
            <w:vAlign w:val="center"/>
          </w:tcPr>
          <w:p w14:paraId="1AFD5EA3">
            <w:pPr>
              <w:numPr>
                <w:ilvl w:val="0"/>
                <w:numId w:val="0"/>
              </w:numPr>
              <w:autoSpaceDN w:val="0"/>
              <w:spacing w:line="276" w:lineRule="auto"/>
              <w:rPr>
                <w:rFonts w:hint="eastAsia" w:ascii="宋体" w:hAnsi="宋体" w:eastAsia="宋体" w:cs="宋体"/>
                <w:b/>
                <w:color w:val="0000FF"/>
                <w:sz w:val="21"/>
                <w:szCs w:val="21"/>
                <w:highlight w:val="none"/>
              </w:rPr>
            </w:pPr>
            <w:r>
              <w:rPr>
                <w:rFonts w:hint="eastAsia" w:ascii="宋体" w:hAnsi="宋体" w:eastAsia="宋体" w:cs="宋体"/>
                <w:b/>
                <w:color w:val="auto"/>
                <w:kern w:val="2"/>
                <w:sz w:val="21"/>
                <w:szCs w:val="21"/>
                <w:highlight w:val="none"/>
                <w:lang w:val="en-US" w:eastAsia="zh-CN" w:bidi="ar-SA"/>
              </w:rPr>
              <w:t>2025-</w:t>
            </w:r>
            <w:r>
              <w:rPr>
                <w:rFonts w:hint="eastAsia" w:ascii="宋体" w:hAnsi="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:00</w:t>
            </w:r>
          </w:p>
        </w:tc>
      </w:tr>
      <w:tr w14:paraId="31A006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BE6E7DA">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712" w:type="dxa"/>
            <w:noWrap/>
            <w:vAlign w:val="center"/>
          </w:tcPr>
          <w:p w14:paraId="09C2763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磋商响应文件的形式</w:t>
            </w:r>
          </w:p>
        </w:tc>
        <w:tc>
          <w:tcPr>
            <w:tcW w:w="5811" w:type="dxa"/>
            <w:noWrap/>
            <w:vAlign w:val="center"/>
          </w:tcPr>
          <w:p w14:paraId="17110E48">
            <w:pPr>
              <w:autoSpaceDN w:val="0"/>
              <w:spacing w:line="276" w:lineRule="auto"/>
              <w:rPr>
                <w:rFonts w:hint="eastAsia" w:ascii="宋体" w:hAnsi="宋体" w:eastAsia="宋体" w:cs="宋体"/>
                <w:color w:val="FF0000"/>
                <w:sz w:val="21"/>
                <w:szCs w:val="21"/>
                <w:highlight w:val="none"/>
              </w:rPr>
            </w:pPr>
            <w:r>
              <w:rPr>
                <w:rFonts w:hint="eastAsia" w:ascii="宋体" w:hAnsi="宋体" w:eastAsia="宋体" w:cs="宋体"/>
                <w:b/>
                <w:color w:val="000000"/>
                <w:sz w:val="21"/>
                <w:szCs w:val="21"/>
                <w:highlight w:val="none"/>
                <w:u w:val="single"/>
              </w:rPr>
              <w:t>电子加密磋商响应文件</w:t>
            </w:r>
            <w:r>
              <w:rPr>
                <w:rFonts w:hint="eastAsia" w:ascii="宋体" w:hAnsi="宋体" w:eastAsia="宋体" w:cs="宋体"/>
                <w:bCs/>
                <w:color w:val="000000"/>
                <w:sz w:val="21"/>
                <w:szCs w:val="21"/>
                <w:highlight w:val="none"/>
              </w:rPr>
              <w:t>（是指通过“政采云电子交易客户端”完成磋商响应文件编制后生成并加密的数据电文形式的磋商响应文件，</w:t>
            </w:r>
            <w:r>
              <w:rPr>
                <w:rFonts w:hint="eastAsia" w:ascii="宋体" w:hAnsi="宋体" w:eastAsia="宋体" w:cs="宋体"/>
                <w:b/>
                <w:color w:val="000000"/>
                <w:sz w:val="21"/>
                <w:szCs w:val="21"/>
                <w:highlight w:val="none"/>
              </w:rPr>
              <w:t>文件格式“.jmbs”）</w:t>
            </w:r>
          </w:p>
        </w:tc>
      </w:tr>
      <w:tr w14:paraId="0B4813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7AF9A97">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w:t>
            </w:r>
          </w:p>
        </w:tc>
        <w:tc>
          <w:tcPr>
            <w:tcW w:w="2712" w:type="dxa"/>
            <w:noWrap/>
            <w:vAlign w:val="center"/>
          </w:tcPr>
          <w:p w14:paraId="7E5F300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磋商响应文件的组成</w:t>
            </w:r>
          </w:p>
        </w:tc>
        <w:tc>
          <w:tcPr>
            <w:tcW w:w="5811" w:type="dxa"/>
            <w:noWrap/>
            <w:vAlign w:val="center"/>
          </w:tcPr>
          <w:p w14:paraId="34EAC316">
            <w:pPr>
              <w:autoSpaceDN w:val="0"/>
              <w:spacing w:line="276"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完整的《磋商响应文件》由资格文件、商务技术文件和报价文件三个部分组成</w:t>
            </w:r>
            <w:r>
              <w:rPr>
                <w:rFonts w:hint="eastAsia" w:ascii="宋体" w:hAnsi="宋体" w:eastAsia="宋体" w:cs="宋体"/>
                <w:bCs/>
                <w:color w:val="000000"/>
                <w:sz w:val="21"/>
                <w:szCs w:val="21"/>
                <w:highlight w:val="none"/>
              </w:rPr>
              <w:t>（具体组成内容详见第三章</w:t>
            </w:r>
            <w:r>
              <w:rPr>
                <w:rFonts w:hint="eastAsia" w:ascii="宋体" w:hAnsi="宋体" w:eastAsia="宋体" w:cs="宋体"/>
                <w:bCs/>
                <w:sz w:val="21"/>
                <w:szCs w:val="21"/>
                <w:highlight w:val="none"/>
              </w:rPr>
              <w:t>4.2.2</w:t>
            </w:r>
            <w:r>
              <w:rPr>
                <w:rFonts w:hint="eastAsia" w:ascii="宋体" w:hAnsi="宋体" w:eastAsia="宋体" w:cs="宋体"/>
                <w:bCs/>
                <w:color w:val="000000"/>
                <w:sz w:val="21"/>
                <w:szCs w:val="21"/>
                <w:highlight w:val="none"/>
              </w:rPr>
              <w:t>磋商响应文件内容组成）。</w:t>
            </w:r>
          </w:p>
        </w:tc>
      </w:tr>
      <w:tr w14:paraId="7EDCF4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B33DD9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w:t>
            </w:r>
          </w:p>
        </w:tc>
        <w:tc>
          <w:tcPr>
            <w:tcW w:w="2712" w:type="dxa"/>
            <w:noWrap/>
            <w:vAlign w:val="center"/>
          </w:tcPr>
          <w:p w14:paraId="15991D5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磋商响应文件的编制</w:t>
            </w:r>
          </w:p>
        </w:tc>
        <w:tc>
          <w:tcPr>
            <w:tcW w:w="5811" w:type="dxa"/>
            <w:noWrap/>
            <w:vAlign w:val="center"/>
          </w:tcPr>
          <w:p w14:paraId="31AC66AC">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依据《浙江省政府采购项目电子交易管理暂行办法》，本项目通过“政府采购云平台”（电子交易平台，网址：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Style w:val="58"/>
                <w:rFonts w:hint="eastAsia" w:ascii="宋体" w:hAnsi="宋体" w:eastAsia="宋体" w:cs="宋体"/>
                <w:bCs/>
                <w:color w:val="000000"/>
                <w:sz w:val="21"/>
                <w:szCs w:val="21"/>
                <w:highlight w:val="none"/>
                <w:u w:val="none"/>
              </w:rPr>
              <w:t>www.zcygov.cn</w:t>
            </w:r>
            <w:r>
              <w:rPr>
                <w:rStyle w:val="58"/>
                <w:rFonts w:hint="eastAsia" w:ascii="宋体" w:hAnsi="宋体" w:eastAsia="宋体" w:cs="宋体"/>
                <w:bCs/>
                <w:color w:val="000000"/>
                <w:sz w:val="21"/>
                <w:szCs w:val="21"/>
                <w:highlight w:val="none"/>
                <w:u w:val="none"/>
              </w:rPr>
              <w:fldChar w:fldCharType="end"/>
            </w:r>
            <w:r>
              <w:rPr>
                <w:rFonts w:hint="eastAsia" w:ascii="宋体" w:hAnsi="宋体" w:eastAsia="宋体" w:cs="宋体"/>
                <w:bCs/>
                <w:color w:val="000000"/>
                <w:sz w:val="21"/>
                <w:szCs w:val="21"/>
                <w:highlight w:val="none"/>
              </w:rPr>
              <w:t>）实行电子交易（在线磋商响应）。</w:t>
            </w:r>
            <w:r>
              <w:rPr>
                <w:rFonts w:hint="eastAsia" w:ascii="宋体" w:hAnsi="宋体" w:eastAsia="宋体" w:cs="宋体"/>
                <w:b/>
                <w:color w:val="000000"/>
                <w:sz w:val="21"/>
                <w:szCs w:val="21"/>
                <w:highlight w:val="none"/>
              </w:rPr>
              <w:t>供应商参加本项目电子交易应当安装“政采云电子交易客户端”，并按照本竞争性磋商文件和“政府采购云平台”的要求编制并加密磋商响应文件（1份）。</w:t>
            </w:r>
            <w:r>
              <w:rPr>
                <w:rFonts w:hint="eastAsia" w:ascii="宋体" w:hAnsi="宋体" w:eastAsia="宋体" w:cs="宋体"/>
                <w:b/>
                <w:color w:val="000000"/>
                <w:sz w:val="21"/>
                <w:szCs w:val="21"/>
                <w:highlight w:val="none"/>
                <w:u w:val="single"/>
              </w:rPr>
              <w:t>供应商未按规定加密的磋商响应文件，“政府采购云平台”将予以拒收并提示</w:t>
            </w:r>
            <w:r>
              <w:rPr>
                <w:rFonts w:hint="eastAsia" w:ascii="宋体" w:hAnsi="宋体" w:eastAsia="宋体" w:cs="宋体"/>
                <w:b/>
                <w:color w:val="000000"/>
                <w:sz w:val="21"/>
                <w:szCs w:val="21"/>
                <w:highlight w:val="none"/>
              </w:rPr>
              <w:t>。</w:t>
            </w:r>
          </w:p>
        </w:tc>
      </w:tr>
      <w:tr w14:paraId="17DA51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14:paraId="111CCA6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w:t>
            </w:r>
          </w:p>
        </w:tc>
        <w:tc>
          <w:tcPr>
            <w:tcW w:w="2712" w:type="dxa"/>
            <w:noWrap/>
            <w:vAlign w:val="center"/>
          </w:tcPr>
          <w:p w14:paraId="316F913C">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rPr>
              <w:t>磋商响应文件的签章形式</w:t>
            </w:r>
          </w:p>
        </w:tc>
        <w:tc>
          <w:tcPr>
            <w:tcW w:w="5811" w:type="dxa"/>
            <w:noWrap/>
            <w:vAlign w:val="center"/>
          </w:tcPr>
          <w:p w14:paraId="1159E7D9">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u w:val="single"/>
              </w:rPr>
              <w:t>电子签章</w:t>
            </w:r>
            <w:r>
              <w:rPr>
                <w:rFonts w:hint="eastAsia" w:ascii="宋体" w:hAnsi="宋体" w:eastAsia="宋体" w:cs="宋体"/>
                <w:color w:val="000000"/>
                <w:sz w:val="21"/>
                <w:szCs w:val="21"/>
                <w:highlight w:val="none"/>
              </w:rPr>
              <w:t>。按《第三章磋商须知》和《第六章 响应文件格式》标注的要求进行盖章、签署（电子签章）。</w:t>
            </w:r>
            <w:r>
              <w:rPr>
                <w:rFonts w:hint="eastAsia" w:hAnsi="宋体" w:cs="Arial"/>
                <w:b/>
                <w:bCs/>
                <w:color w:val="auto"/>
                <w:sz w:val="21"/>
                <w:szCs w:val="21"/>
                <w:highlight w:val="none"/>
                <w:u w:val="single"/>
              </w:rPr>
              <w:t>以联合体形式参加本项目磋商的，除联合体协议须联合体各方盖章签字外，均由联合体牵头人签章签字。</w:t>
            </w:r>
          </w:p>
        </w:tc>
      </w:tr>
      <w:tr w14:paraId="22C8B5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BB55D15">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4.7.1</w:t>
            </w:r>
          </w:p>
        </w:tc>
        <w:tc>
          <w:tcPr>
            <w:tcW w:w="2712" w:type="dxa"/>
            <w:noWrap/>
            <w:vAlign w:val="center"/>
          </w:tcPr>
          <w:p w14:paraId="027A9ECE">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备份磋商响应文件的约定</w:t>
            </w:r>
          </w:p>
        </w:tc>
        <w:tc>
          <w:tcPr>
            <w:tcW w:w="5811" w:type="dxa"/>
            <w:noWrap/>
            <w:vAlign w:val="center"/>
          </w:tcPr>
          <w:p w14:paraId="4BCFA490">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宋体" w:hAnsi="宋体" w:eastAsia="宋体" w:cs="宋体"/>
                <w:bCs/>
                <w:color w:val="000000"/>
                <w:sz w:val="21"/>
                <w:szCs w:val="21"/>
                <w:highlight w:val="none"/>
                <w:u w:val="single"/>
              </w:rPr>
              <w:t>“备份磋商响应文件”由供应商自愿递交，竞争性磋商文件不作强制性要求，</w:t>
            </w:r>
            <w:r>
              <w:rPr>
                <w:rFonts w:hint="eastAsia" w:ascii="宋体" w:hAnsi="宋体" w:eastAsia="宋体" w:cs="宋体"/>
                <w:b/>
                <w:color w:val="000000"/>
                <w:sz w:val="21"/>
                <w:szCs w:val="21"/>
                <w:highlight w:val="none"/>
                <w:u w:val="single"/>
              </w:rPr>
              <w:t>但供应商仅递交了“备份磋商响应文件”的，磋商响应无效</w:t>
            </w:r>
            <w:r>
              <w:rPr>
                <w:rFonts w:hint="eastAsia" w:ascii="宋体" w:hAnsi="宋体" w:eastAsia="宋体" w:cs="宋体"/>
                <w:b/>
                <w:color w:val="000000"/>
                <w:sz w:val="21"/>
                <w:szCs w:val="21"/>
                <w:highlight w:val="none"/>
              </w:rPr>
              <w:t>。</w:t>
            </w:r>
          </w:p>
        </w:tc>
      </w:tr>
      <w:tr w14:paraId="0ABE88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B4DFE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4.7.2</w:t>
            </w:r>
          </w:p>
        </w:tc>
        <w:tc>
          <w:tcPr>
            <w:tcW w:w="2712" w:type="dxa"/>
            <w:noWrap/>
            <w:vAlign w:val="center"/>
          </w:tcPr>
          <w:p w14:paraId="062C2F3A">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备份磋商响应文件的编制</w:t>
            </w:r>
          </w:p>
        </w:tc>
        <w:tc>
          <w:tcPr>
            <w:tcW w:w="5811" w:type="dxa"/>
            <w:noWrap/>
            <w:vAlign w:val="center"/>
          </w:tcPr>
          <w:p w14:paraId="3809111F">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供应商递交的备份磋商响应文件应当是通过“政采云电子交易客户端”完成磋商响应文件编制后，与电子加密“磋商响应文件”同时生成的数据电文形</w:t>
            </w:r>
            <w:bookmarkStart w:id="299" w:name="_GoBack"/>
            <w:bookmarkEnd w:id="299"/>
            <w:r>
              <w:rPr>
                <w:rFonts w:hint="eastAsia" w:ascii="宋体" w:hAnsi="宋体" w:eastAsia="宋体" w:cs="宋体"/>
                <w:bCs/>
                <w:color w:val="000000"/>
                <w:sz w:val="21"/>
                <w:szCs w:val="21"/>
                <w:highlight w:val="none"/>
              </w:rPr>
              <w:t>式的未加密的备份磋商响应文件，文件格式“.bfbs”。</w:t>
            </w:r>
            <w:r>
              <w:rPr>
                <w:rFonts w:hint="eastAsia" w:ascii="宋体" w:hAnsi="宋体" w:eastAsia="宋体" w:cs="宋体"/>
                <w:b/>
                <w:color w:val="000000"/>
                <w:sz w:val="21"/>
                <w:szCs w:val="21"/>
                <w:highlight w:val="none"/>
              </w:rPr>
              <w:t>以其他方式编制的“备份磋商响应文件”视为无效“备份磋商响应文件”。</w:t>
            </w:r>
          </w:p>
        </w:tc>
      </w:tr>
      <w:tr w14:paraId="12DF40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3C4CDB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4.7.3</w:t>
            </w:r>
          </w:p>
        </w:tc>
        <w:tc>
          <w:tcPr>
            <w:tcW w:w="2712" w:type="dxa"/>
            <w:noWrap/>
            <w:vAlign w:val="center"/>
          </w:tcPr>
          <w:p w14:paraId="60E37C0C">
            <w:pPr>
              <w:autoSpaceDN w:val="0"/>
              <w:spacing w:line="276" w:lineRule="auto"/>
              <w:jc w:val="center"/>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备份磋商响应文件的存储、份数、密封包装、标识、递交接收</w:t>
            </w:r>
          </w:p>
        </w:tc>
        <w:tc>
          <w:tcPr>
            <w:tcW w:w="5811" w:type="dxa"/>
            <w:noWrap/>
            <w:vAlign w:val="center"/>
          </w:tcPr>
          <w:p w14:paraId="6CD27659">
            <w:pPr>
              <w:autoSpaceDN w:val="0"/>
              <w:spacing w:line="276" w:lineRule="auto"/>
              <w:rPr>
                <w:rFonts w:hint="eastAsia" w:ascii="宋体" w:hAnsi="宋体" w:eastAsia="宋体" w:cs="宋体"/>
                <w:bCs/>
                <w:color w:val="000000"/>
                <w:sz w:val="21"/>
                <w:szCs w:val="21"/>
                <w:highlight w:val="none"/>
                <w:u w:val="single"/>
              </w:rPr>
            </w:pPr>
            <w:r>
              <w:rPr>
                <w:rFonts w:hint="eastAsia" w:ascii="宋体" w:hAnsi="宋体" w:eastAsia="宋体" w:cs="宋体"/>
                <w:b/>
                <w:color w:val="000000"/>
                <w:sz w:val="21"/>
                <w:szCs w:val="21"/>
                <w:highlight w:val="none"/>
              </w:rPr>
              <w:t>（1）备份磋商响应文件的存储：</w:t>
            </w:r>
            <w:r>
              <w:rPr>
                <w:rFonts w:hint="eastAsia" w:ascii="宋体" w:hAnsi="宋体" w:eastAsia="宋体" w:cs="宋体"/>
                <w:bCs/>
                <w:color w:val="000000"/>
                <w:sz w:val="21"/>
                <w:szCs w:val="21"/>
                <w:highlight w:val="none"/>
                <w:u w:val="single"/>
              </w:rPr>
              <w:t>以U盘或光盘介质存储</w:t>
            </w:r>
            <w:r>
              <w:rPr>
                <w:rFonts w:hint="eastAsia" w:ascii="宋体" w:hAnsi="宋体" w:eastAsia="宋体" w:cs="宋体"/>
                <w:bCs/>
                <w:color w:val="000000"/>
                <w:sz w:val="21"/>
                <w:szCs w:val="21"/>
                <w:highlight w:val="none"/>
              </w:rPr>
              <w:t>；</w:t>
            </w:r>
          </w:p>
          <w:p w14:paraId="5D2C6385">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（2）备份磋商响应文件的份数：</w:t>
            </w:r>
            <w:r>
              <w:rPr>
                <w:rFonts w:hint="eastAsia" w:ascii="宋体" w:hAnsi="宋体" w:eastAsia="宋体" w:cs="宋体"/>
                <w:bCs/>
                <w:color w:val="000000"/>
                <w:sz w:val="21"/>
                <w:szCs w:val="21"/>
                <w:highlight w:val="none"/>
                <w:u w:val="single"/>
              </w:rPr>
              <w:t>1份</w:t>
            </w:r>
            <w:r>
              <w:rPr>
                <w:rFonts w:hint="eastAsia" w:ascii="宋体" w:hAnsi="宋体" w:eastAsia="宋体" w:cs="宋体"/>
                <w:bCs/>
                <w:color w:val="000000"/>
                <w:sz w:val="21"/>
                <w:szCs w:val="21"/>
                <w:highlight w:val="none"/>
              </w:rPr>
              <w:t>；</w:t>
            </w:r>
          </w:p>
          <w:p w14:paraId="4B848D7C">
            <w:pPr>
              <w:autoSpaceDN w:val="0"/>
              <w:spacing w:line="276" w:lineRule="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（3）备份磋商响应文件的密封包装、标识：</w:t>
            </w:r>
            <w:r>
              <w:rPr>
                <w:rFonts w:hint="eastAsia" w:ascii="宋体" w:hAnsi="宋体" w:eastAsia="宋体" w:cs="宋体"/>
                <w:bCs/>
                <w:color w:val="000000"/>
                <w:sz w:val="21"/>
                <w:szCs w:val="21"/>
                <w:highlight w:val="none"/>
                <w:u w:val="single"/>
              </w:rPr>
              <w:t>“备份磋商响应文件”应当密封包装并在外包装上标注项目名称、磋商响应供应商名称并加盖公章。“备份磋商响应文件”没有密封包装或标识或盖章的视为未递交</w:t>
            </w:r>
            <w:r>
              <w:rPr>
                <w:rFonts w:hint="eastAsia" w:ascii="宋体" w:hAnsi="宋体" w:eastAsia="宋体" w:cs="宋体"/>
                <w:bCs/>
                <w:color w:val="000000"/>
                <w:sz w:val="21"/>
                <w:szCs w:val="21"/>
                <w:highlight w:val="none"/>
              </w:rPr>
              <w:t>；</w:t>
            </w:r>
          </w:p>
          <w:p w14:paraId="239F56C8">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（4）备份磋商响应文件的递交与接收：</w:t>
            </w:r>
            <w:r>
              <w:rPr>
                <w:rFonts w:hint="eastAsia" w:ascii="宋体" w:hAnsi="宋体" w:eastAsia="宋体" w:cs="宋体"/>
                <w:b/>
                <w:color w:val="000000"/>
                <w:sz w:val="21"/>
                <w:szCs w:val="21"/>
                <w:highlight w:val="none"/>
                <w:u w:val="single"/>
              </w:rPr>
              <w:t>磋商响应文件提交截止时间前邮寄等方式送达至采购组织机构（浙江省成套招标代理公司，杭州市文晖路42号现代置业大厦西楼180</w:t>
            </w:r>
            <w:r>
              <w:rPr>
                <w:rFonts w:hint="eastAsia" w:ascii="宋体" w:hAnsi="宋体" w:cs="宋体"/>
                <w:b/>
                <w:color w:val="000000"/>
                <w:sz w:val="21"/>
                <w:szCs w:val="21"/>
                <w:highlight w:val="none"/>
                <w:u w:val="single"/>
                <w:lang w:val="en-US" w:eastAsia="zh-CN"/>
              </w:rPr>
              <w:t>2</w:t>
            </w:r>
            <w:r>
              <w:rPr>
                <w:rFonts w:hint="eastAsia" w:ascii="宋体" w:hAnsi="宋体" w:eastAsia="宋体" w:cs="宋体"/>
                <w:b/>
                <w:color w:val="000000"/>
                <w:sz w:val="21"/>
                <w:szCs w:val="21"/>
                <w:highlight w:val="none"/>
                <w:u w:val="single"/>
              </w:rPr>
              <w:t>室，</w:t>
            </w:r>
            <w:r>
              <w:rPr>
                <w:rFonts w:hint="eastAsia" w:ascii="宋体" w:hAnsi="宋体" w:eastAsia="宋体" w:cs="宋体"/>
                <w:b/>
                <w:color w:val="000000"/>
                <w:sz w:val="21"/>
                <w:szCs w:val="21"/>
                <w:highlight w:val="none"/>
                <w:u w:val="single"/>
                <w:lang w:eastAsia="zh-CN"/>
              </w:rPr>
              <w:t>毛松翁、李刚雷</w:t>
            </w:r>
            <w:r>
              <w:rPr>
                <w:rFonts w:hint="eastAsia" w:ascii="宋体" w:hAnsi="宋体" w:eastAsia="宋体" w:cs="宋体"/>
                <w:b/>
                <w:color w:val="000000"/>
                <w:sz w:val="21"/>
                <w:szCs w:val="21"/>
                <w:highlight w:val="none"/>
                <w:u w:val="single"/>
              </w:rPr>
              <w:t>收，</w:t>
            </w:r>
            <w:r>
              <w:rPr>
                <w:rFonts w:hint="eastAsia" w:ascii="宋体" w:hAnsi="宋体" w:eastAsia="宋体" w:cs="宋体"/>
                <w:b/>
                <w:color w:val="000000"/>
                <w:sz w:val="21"/>
                <w:szCs w:val="21"/>
                <w:highlight w:val="none"/>
                <w:u w:val="single"/>
                <w:lang w:eastAsia="zh-CN"/>
              </w:rPr>
              <w:t>13588106919</w:t>
            </w:r>
            <w:r>
              <w:rPr>
                <w:rFonts w:hint="eastAsia" w:ascii="宋体" w:hAnsi="宋体" w:eastAsia="宋体" w:cs="宋体"/>
                <w:b/>
                <w:color w:val="000000"/>
                <w:sz w:val="21"/>
                <w:szCs w:val="21"/>
                <w:highlight w:val="none"/>
                <w:u w:val="single"/>
              </w:rPr>
              <w:t>），</w:t>
            </w:r>
            <w:r>
              <w:rPr>
                <w:rFonts w:hint="eastAsia" w:ascii="宋体" w:hAnsi="宋体" w:eastAsia="宋体" w:cs="宋体"/>
                <w:bCs/>
                <w:color w:val="000000"/>
                <w:sz w:val="21"/>
                <w:szCs w:val="21"/>
                <w:highlight w:val="none"/>
                <w:u w:val="single"/>
              </w:rPr>
              <w:t>送达时间以采购组织机构实际签收时间为准。“备份磋商响应文件”逾期送达的视为未递交，建议供应商提前3日办理邮寄事宜</w:t>
            </w:r>
            <w:r>
              <w:rPr>
                <w:rFonts w:hint="eastAsia" w:ascii="宋体" w:hAnsi="宋体" w:eastAsia="宋体" w:cs="宋体"/>
                <w:bCs/>
                <w:color w:val="000000"/>
                <w:sz w:val="21"/>
                <w:szCs w:val="21"/>
                <w:highlight w:val="none"/>
              </w:rPr>
              <w:t>。</w:t>
            </w:r>
          </w:p>
        </w:tc>
      </w:tr>
      <w:tr w14:paraId="078749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446525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4.6</w:t>
            </w:r>
          </w:p>
        </w:tc>
        <w:tc>
          <w:tcPr>
            <w:tcW w:w="2712" w:type="dxa"/>
            <w:noWrap/>
            <w:vAlign w:val="center"/>
          </w:tcPr>
          <w:p w14:paraId="0CB27CA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磋商响应文件有效期</w:t>
            </w:r>
          </w:p>
        </w:tc>
        <w:tc>
          <w:tcPr>
            <w:tcW w:w="5811" w:type="dxa"/>
            <w:noWrap/>
            <w:vAlign w:val="center"/>
          </w:tcPr>
          <w:p w14:paraId="6258CD9A">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自磋商响应文件提交截止之日起</w:t>
            </w:r>
            <w:r>
              <w:rPr>
                <w:rFonts w:hint="eastAsia" w:ascii="宋体" w:hAnsi="宋体" w:eastAsia="宋体" w:cs="宋体"/>
                <w:b/>
                <w:color w:val="000000"/>
                <w:sz w:val="21"/>
                <w:szCs w:val="21"/>
                <w:highlight w:val="none"/>
                <w:u w:val="single"/>
              </w:rPr>
              <w:t>90</w:t>
            </w:r>
            <w:r>
              <w:rPr>
                <w:rFonts w:hint="eastAsia" w:ascii="宋体" w:hAnsi="宋体" w:eastAsia="宋体" w:cs="宋体"/>
                <w:b/>
                <w:color w:val="000000"/>
                <w:sz w:val="21"/>
                <w:szCs w:val="21"/>
                <w:highlight w:val="none"/>
              </w:rPr>
              <w:t>天内保持有效，否则磋商响应无效。</w:t>
            </w:r>
          </w:p>
        </w:tc>
      </w:tr>
      <w:tr w14:paraId="6788A7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8100DE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5.1.1</w:t>
            </w:r>
          </w:p>
        </w:tc>
        <w:tc>
          <w:tcPr>
            <w:tcW w:w="2712" w:type="dxa"/>
            <w:noWrap/>
            <w:vAlign w:val="center"/>
          </w:tcPr>
          <w:p w14:paraId="7C757CE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响应文件提交截止时间</w:t>
            </w:r>
          </w:p>
        </w:tc>
        <w:tc>
          <w:tcPr>
            <w:tcW w:w="5811" w:type="dxa"/>
            <w:noWrap/>
            <w:vAlign w:val="center"/>
          </w:tcPr>
          <w:p w14:paraId="6EC32666">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见第一章竞争性磋商公告</w:t>
            </w:r>
          </w:p>
        </w:tc>
      </w:tr>
      <w:tr w14:paraId="3EBDF3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A51AF7">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5.2.1</w:t>
            </w:r>
          </w:p>
        </w:tc>
        <w:tc>
          <w:tcPr>
            <w:tcW w:w="2712" w:type="dxa"/>
            <w:noWrap/>
            <w:vAlign w:val="center"/>
          </w:tcPr>
          <w:p w14:paraId="372DE2F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磋商响应文件提交地点</w:t>
            </w:r>
          </w:p>
        </w:tc>
        <w:tc>
          <w:tcPr>
            <w:tcW w:w="5811" w:type="dxa"/>
            <w:noWrap/>
            <w:vAlign w:val="center"/>
          </w:tcPr>
          <w:p w14:paraId="3711BAD2">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u w:val="single"/>
              </w:rPr>
              <w:t>政府采购云平台</w:t>
            </w:r>
            <w:r>
              <w:rPr>
                <w:rFonts w:hint="eastAsia" w:ascii="宋体" w:hAnsi="宋体" w:eastAsia="宋体" w:cs="宋体"/>
                <w:color w:val="000000"/>
                <w:sz w:val="21"/>
                <w:szCs w:val="21"/>
                <w:highlight w:val="none"/>
                <w:u w:val="single"/>
              </w:rPr>
              <w:t>，网址：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Style w:val="58"/>
                <w:rFonts w:hint="eastAsia" w:ascii="宋体" w:hAnsi="宋体" w:eastAsia="宋体" w:cs="宋体"/>
                <w:color w:val="auto"/>
                <w:sz w:val="21"/>
                <w:szCs w:val="21"/>
                <w:highlight w:val="none"/>
              </w:rPr>
              <w:t>www.zcygov.cn</w:t>
            </w:r>
            <w:r>
              <w:rPr>
                <w:rStyle w:val="58"/>
                <w:rFonts w:hint="eastAsia" w:ascii="宋体" w:hAnsi="宋体" w:eastAsia="宋体" w:cs="宋体"/>
                <w:color w:val="auto"/>
                <w:sz w:val="21"/>
                <w:szCs w:val="21"/>
                <w:highlight w:val="none"/>
              </w:rPr>
              <w:fldChar w:fldCharType="end"/>
            </w:r>
          </w:p>
        </w:tc>
      </w:tr>
      <w:tr w14:paraId="4C1875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F0B8A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5.3.1</w:t>
            </w:r>
          </w:p>
        </w:tc>
        <w:tc>
          <w:tcPr>
            <w:tcW w:w="2712" w:type="dxa"/>
            <w:noWrap/>
            <w:vAlign w:val="center"/>
          </w:tcPr>
          <w:p w14:paraId="230EEC0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磋商响应文件的传输递交</w:t>
            </w:r>
          </w:p>
        </w:tc>
        <w:tc>
          <w:tcPr>
            <w:tcW w:w="5811" w:type="dxa"/>
            <w:noWrap/>
            <w:vAlign w:val="center"/>
          </w:tcPr>
          <w:p w14:paraId="059CB76D">
            <w:pPr>
              <w:autoSpaceDN w:val="0"/>
              <w:spacing w:line="276"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（1）</w:t>
            </w:r>
            <w:r>
              <w:rPr>
                <w:rFonts w:hint="eastAsia" w:ascii="宋体" w:hAnsi="宋体" w:eastAsia="宋体" w:cs="宋体"/>
                <w:b/>
                <w:color w:val="000000"/>
                <w:sz w:val="21"/>
                <w:szCs w:val="21"/>
                <w:highlight w:val="none"/>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宋体" w:hAnsi="宋体" w:eastAsia="宋体" w:cs="宋体"/>
                <w:b/>
                <w:color w:val="000000"/>
                <w:sz w:val="21"/>
                <w:szCs w:val="21"/>
                <w:highlight w:val="none"/>
              </w:rPr>
              <w:t>；</w:t>
            </w:r>
          </w:p>
          <w:p w14:paraId="23578485">
            <w:pPr>
              <w:autoSpaceDN w:val="0"/>
              <w:spacing w:line="276"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（2）磋商响应文件成功传输递交后，供应商可自行打印磋商响应文件接收回执；</w:t>
            </w:r>
          </w:p>
          <w:p w14:paraId="21F331DD">
            <w:pPr>
              <w:autoSpaceDN w:val="0"/>
              <w:spacing w:line="276"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（3）磋商响应文件提交截止时间前，除供应商补充、修改或者撤回磋商响应文件外，任何单位和个人不得解密或提取磋商响应文件；</w:t>
            </w:r>
          </w:p>
          <w:p w14:paraId="277CD717">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提示：</w:t>
            </w:r>
            <w:r>
              <w:rPr>
                <w:rFonts w:hint="eastAsia" w:ascii="宋体" w:hAnsi="宋体" w:eastAsia="宋体" w:cs="宋体"/>
                <w:b/>
                <w:color w:val="000000"/>
                <w:sz w:val="21"/>
                <w:szCs w:val="21"/>
                <w:highlight w:val="none"/>
                <w:u w:val="single"/>
              </w:rPr>
              <w:t>供应商传输递交的“磋商响应文件”应是通过“政采云电子交易客户端”，并按竞争性磋商文件和“政府采购云平台”要求编制并加密的电子加密磋商响应文件</w:t>
            </w:r>
            <w:r>
              <w:rPr>
                <w:rFonts w:hint="eastAsia" w:ascii="宋体" w:hAnsi="宋体" w:eastAsia="宋体" w:cs="宋体"/>
                <w:b/>
                <w:color w:val="000000"/>
                <w:sz w:val="21"/>
                <w:szCs w:val="21"/>
                <w:highlight w:val="none"/>
              </w:rPr>
              <w:t>。</w:t>
            </w:r>
          </w:p>
        </w:tc>
      </w:tr>
      <w:tr w14:paraId="43E3F9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F3746D7">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2712" w:type="dxa"/>
            <w:noWrap/>
            <w:vAlign w:val="center"/>
          </w:tcPr>
          <w:p w14:paraId="11D8B09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磋商时间</w:t>
            </w:r>
          </w:p>
        </w:tc>
        <w:tc>
          <w:tcPr>
            <w:tcW w:w="5811" w:type="dxa"/>
            <w:noWrap/>
            <w:vAlign w:val="center"/>
          </w:tcPr>
          <w:p w14:paraId="1A542A9D">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同</w:t>
            </w:r>
            <w:r>
              <w:rPr>
                <w:rFonts w:hint="eastAsia" w:ascii="宋体" w:hAnsi="宋体" w:eastAsia="宋体" w:cs="宋体"/>
                <w:b/>
                <w:bCs/>
                <w:color w:val="000000"/>
                <w:kern w:val="0"/>
                <w:sz w:val="21"/>
                <w:szCs w:val="21"/>
                <w:highlight w:val="none"/>
              </w:rPr>
              <w:t>磋商响应文件提交截止</w:t>
            </w:r>
            <w:r>
              <w:rPr>
                <w:rFonts w:hint="eastAsia" w:ascii="宋体" w:hAnsi="宋体" w:eastAsia="宋体" w:cs="宋体"/>
                <w:b/>
                <w:color w:val="000000"/>
                <w:sz w:val="21"/>
                <w:szCs w:val="21"/>
                <w:highlight w:val="none"/>
              </w:rPr>
              <w:t>时间</w:t>
            </w:r>
          </w:p>
        </w:tc>
      </w:tr>
      <w:tr w14:paraId="0041B4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92D213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w:t>
            </w:r>
          </w:p>
        </w:tc>
        <w:tc>
          <w:tcPr>
            <w:tcW w:w="2712" w:type="dxa"/>
            <w:noWrap/>
            <w:vAlign w:val="center"/>
          </w:tcPr>
          <w:p w14:paraId="5C408A8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磋商地点</w:t>
            </w:r>
          </w:p>
        </w:tc>
        <w:tc>
          <w:tcPr>
            <w:tcW w:w="5811" w:type="dxa"/>
            <w:noWrap/>
            <w:vAlign w:val="center"/>
          </w:tcPr>
          <w:p w14:paraId="176F9867">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政府采购云平台</w:t>
            </w:r>
            <w:r>
              <w:rPr>
                <w:rFonts w:hint="eastAsia" w:ascii="宋体" w:hAnsi="宋体" w:eastAsia="宋体" w:cs="宋体"/>
                <w:color w:val="000000"/>
                <w:sz w:val="21"/>
                <w:szCs w:val="21"/>
                <w:highlight w:val="none"/>
              </w:rPr>
              <w:t>，网址：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www.zcygov.cn</w:t>
            </w:r>
            <w:r>
              <w:rPr>
                <w:rFonts w:hint="eastAsia" w:ascii="宋体" w:hAnsi="宋体" w:eastAsia="宋体" w:cs="宋体"/>
                <w:color w:val="000000"/>
                <w:sz w:val="21"/>
                <w:szCs w:val="21"/>
                <w:highlight w:val="none"/>
              </w:rPr>
              <w:fldChar w:fldCharType="end"/>
            </w:r>
          </w:p>
        </w:tc>
      </w:tr>
      <w:tr w14:paraId="30A9E6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33613EF">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w:t>
            </w:r>
          </w:p>
        </w:tc>
        <w:tc>
          <w:tcPr>
            <w:tcW w:w="2712" w:type="dxa"/>
            <w:noWrap/>
            <w:vAlign w:val="center"/>
          </w:tcPr>
          <w:p w14:paraId="5A390F3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磋商邀请</w:t>
            </w:r>
          </w:p>
        </w:tc>
        <w:tc>
          <w:tcPr>
            <w:tcW w:w="5811" w:type="dxa"/>
            <w:noWrap/>
            <w:vAlign w:val="center"/>
          </w:tcPr>
          <w:p w14:paraId="6971A8B3">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本项目采用电子交易，采购组织机构将按照磋商文件规定的时间通过“政府采购云平台，网址：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Fonts w:hint="eastAsia" w:ascii="宋体" w:hAnsi="宋体" w:eastAsia="宋体" w:cs="宋体"/>
                <w:b/>
                <w:color w:val="000000"/>
                <w:sz w:val="21"/>
                <w:szCs w:val="21"/>
                <w:highlight w:val="none"/>
              </w:rPr>
              <w:t>www.zcygov.cn</w:t>
            </w:r>
            <w:r>
              <w:rPr>
                <w:rFonts w:hint="eastAsia" w:ascii="宋体" w:hAnsi="宋体" w:eastAsia="宋体" w:cs="宋体"/>
                <w:b/>
                <w:color w:val="000000"/>
                <w:sz w:val="21"/>
                <w:szCs w:val="21"/>
                <w:highlight w:val="none"/>
              </w:rPr>
              <w:fldChar w:fldCharType="end"/>
            </w:r>
            <w:r>
              <w:rPr>
                <w:rFonts w:hint="eastAsia" w:ascii="宋体" w:hAnsi="宋体" w:eastAsia="宋体" w:cs="宋体"/>
                <w:b/>
                <w:color w:val="000000"/>
                <w:sz w:val="21"/>
                <w:szCs w:val="21"/>
                <w:highlight w:val="none"/>
              </w:rPr>
              <w:t>”组织开标、开启磋商响应文件，所有供应商均应当准时在线参加。</w:t>
            </w:r>
          </w:p>
        </w:tc>
      </w:tr>
      <w:tr w14:paraId="2D1EBA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71871BE">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6.3.1</w:t>
            </w:r>
          </w:p>
        </w:tc>
        <w:tc>
          <w:tcPr>
            <w:tcW w:w="2712" w:type="dxa"/>
            <w:noWrap/>
            <w:vAlign w:val="center"/>
          </w:tcPr>
          <w:p w14:paraId="782E1BD8">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磋商响应文件的解密</w:t>
            </w:r>
          </w:p>
        </w:tc>
        <w:tc>
          <w:tcPr>
            <w:tcW w:w="5811" w:type="dxa"/>
            <w:noWrap/>
            <w:vAlign w:val="center"/>
          </w:tcPr>
          <w:p w14:paraId="49301AAB">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开标后，采购组织机构在政府采购云平台在线发出“磋商响应文件解密”通知，</w:t>
            </w:r>
            <w:r>
              <w:rPr>
                <w:rFonts w:hint="eastAsia" w:ascii="宋体" w:hAnsi="宋体" w:eastAsia="宋体" w:cs="宋体"/>
                <w:b/>
                <w:color w:val="000000"/>
                <w:kern w:val="0"/>
                <w:sz w:val="21"/>
                <w:szCs w:val="21"/>
                <w:highlight w:val="none"/>
              </w:rPr>
              <w:t>启动磋商响应文件的解密程序；</w:t>
            </w:r>
            <w:r>
              <w:rPr>
                <w:rFonts w:hint="eastAsia" w:ascii="宋体" w:hAnsi="宋体" w:eastAsia="宋体" w:cs="宋体"/>
                <w:b/>
                <w:color w:val="000000"/>
                <w:sz w:val="21"/>
                <w:szCs w:val="21"/>
                <w:highlight w:val="none"/>
              </w:rPr>
              <w:t>各磋商响应供应商应当在解密通知发出后30分钟内自行完成磋商响应文件的在线解密。供应商的磋商响应文件无法按时解密的，按磋商文件中“磋商响应文件解密异常情况处理办法”进行处理。</w:t>
            </w:r>
          </w:p>
          <w:p w14:paraId="2BA1F4F7">
            <w:pPr>
              <w:autoSpaceDN w:val="0"/>
              <w:spacing w:line="276" w:lineRule="auto"/>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备注：</w:t>
            </w:r>
            <w:r>
              <w:rPr>
                <w:rFonts w:hint="eastAsia" w:ascii="宋体" w:hAnsi="宋体" w:eastAsia="宋体" w:cs="宋体"/>
                <w:bCs/>
                <w:color w:val="000000"/>
                <w:sz w:val="21"/>
                <w:szCs w:val="21"/>
                <w:highlight w:val="none"/>
              </w:rPr>
              <w:t>磋商响应文件提交截止时间前，除供应商补充、修改或者撤回磋商响应文件外，任何单位和个人不得解密或提取磋商响应文件。</w:t>
            </w:r>
          </w:p>
        </w:tc>
      </w:tr>
      <w:tr w14:paraId="1DC0C1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F1D993B">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6.3.1</w:t>
            </w:r>
          </w:p>
        </w:tc>
        <w:tc>
          <w:tcPr>
            <w:tcW w:w="2712" w:type="dxa"/>
            <w:noWrap/>
            <w:vAlign w:val="center"/>
          </w:tcPr>
          <w:p w14:paraId="3D6C9C5B">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磋商响应文件解密异常情况处理办法</w:t>
            </w:r>
          </w:p>
        </w:tc>
        <w:tc>
          <w:tcPr>
            <w:tcW w:w="5811" w:type="dxa"/>
            <w:noWrap/>
            <w:vAlign w:val="center"/>
          </w:tcPr>
          <w:p w14:paraId="6056068D">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供应商传输递交至“政府采购云平台”的电子加密“磋商响应文件”无法按时解密时，按以下规定处理：</w:t>
            </w:r>
          </w:p>
          <w:p w14:paraId="7DA8B2E0">
            <w:pPr>
              <w:autoSpaceDN w:val="0"/>
              <w:spacing w:line="276"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5AF7985C">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u w:val="single"/>
              </w:rPr>
              <w:t>未按规定递交合格“备份磋商响应文件”的或递交的“备份磋商响应文件”无法成功上传的，视为磋商响应文件撤回</w:t>
            </w:r>
            <w:r>
              <w:rPr>
                <w:rFonts w:hint="eastAsia" w:ascii="宋体" w:hAnsi="宋体" w:eastAsia="宋体" w:cs="宋体"/>
                <w:b/>
                <w:color w:val="000000"/>
                <w:sz w:val="21"/>
                <w:szCs w:val="21"/>
                <w:highlight w:val="none"/>
              </w:rPr>
              <w:t>；</w:t>
            </w:r>
          </w:p>
          <w:p w14:paraId="5B6B6D7F">
            <w:pPr>
              <w:autoSpaceDN w:val="0"/>
              <w:spacing w:line="276" w:lineRule="auto"/>
              <w:rPr>
                <w:rFonts w:hint="eastAsia" w:ascii="宋体" w:hAnsi="宋体" w:eastAsia="宋体" w:cs="宋体"/>
                <w:b/>
                <w:color w:val="000000"/>
                <w:kern w:val="0"/>
                <w:sz w:val="21"/>
                <w:szCs w:val="21"/>
                <w:highlight w:val="none"/>
              </w:rPr>
            </w:pPr>
            <w:r>
              <w:rPr>
                <w:rFonts w:hint="eastAsia" w:ascii="宋体" w:hAnsi="宋体" w:eastAsia="宋体" w:cs="宋体"/>
                <w:bCs/>
                <w:color w:val="000000"/>
                <w:sz w:val="21"/>
                <w:szCs w:val="21"/>
                <w:highlight w:val="none"/>
              </w:rPr>
              <w:t>（3）备份磋商响应文件上传成功后视为磋商响应文件解密成功，供应商可以进入后续评审。</w:t>
            </w:r>
          </w:p>
        </w:tc>
      </w:tr>
      <w:tr w14:paraId="70A86A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E3BCEB">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kern w:val="0"/>
                <w:sz w:val="21"/>
                <w:szCs w:val="21"/>
                <w:highlight w:val="none"/>
              </w:rPr>
              <w:t>7.7.2</w:t>
            </w:r>
          </w:p>
        </w:tc>
        <w:tc>
          <w:tcPr>
            <w:tcW w:w="2712" w:type="dxa"/>
            <w:noWrap/>
            <w:vAlign w:val="center"/>
          </w:tcPr>
          <w:p w14:paraId="4BB2615D">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供应商信用信息</w:t>
            </w:r>
          </w:p>
          <w:p w14:paraId="63C32DFE">
            <w:pPr>
              <w:autoSpaceDN w:val="0"/>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查询、存档与使用</w:t>
            </w:r>
          </w:p>
        </w:tc>
        <w:tc>
          <w:tcPr>
            <w:tcW w:w="5811" w:type="dxa"/>
            <w:noWrap/>
            <w:vAlign w:val="center"/>
          </w:tcPr>
          <w:p w14:paraId="61966C93">
            <w:pPr>
              <w:autoSpaceDN w:val="0"/>
              <w:spacing w:line="276" w:lineRule="auto"/>
              <w:rPr>
                <w:rFonts w:hint="eastAsia" w:ascii="宋体" w:hAnsi="宋体" w:eastAsia="宋体" w:cs="宋体"/>
                <w:b/>
                <w:color w:val="000000"/>
                <w:sz w:val="21"/>
                <w:szCs w:val="21"/>
                <w:highlight w:val="none"/>
                <w:u w:val="single"/>
              </w:rPr>
            </w:pPr>
            <w:r>
              <w:rPr>
                <w:rFonts w:hint="eastAsia" w:ascii="宋体" w:hAnsi="宋体" w:eastAsia="宋体" w:cs="宋体"/>
                <w:bCs/>
                <w:color w:val="000000"/>
                <w:sz w:val="21"/>
                <w:szCs w:val="21"/>
                <w:highlight w:val="none"/>
              </w:rPr>
              <w:t>（1）根据《财政部关于在政府采购活动中查询及使用信用记录的通知》（财库〔2016〕125号）相关规定，采购组织机构将统一通过“信用中国”网站（www.creditchina.gov.cn）、中国政府采购网（www.ccgp.gov.cn）等渠道查询供应商信用记录，对供应商信用记录进行甄别。</w:t>
            </w:r>
            <w:r>
              <w:rPr>
                <w:rFonts w:hint="eastAsia" w:ascii="宋体" w:hAnsi="宋体" w:eastAsia="宋体" w:cs="宋体"/>
                <w:b/>
                <w:color w:val="000000"/>
                <w:sz w:val="21"/>
                <w:szCs w:val="21"/>
                <w:highlight w:val="none"/>
                <w:u w:val="single"/>
              </w:rPr>
              <w:t>凡是列入失信被执行人、重大税收违法案件当事人名单、政府采购严重违法失信行为记录名单及其他不符合《中华人民共和国政府采购法》第二十二条规定条件的供应商，一律拒绝其参加本次政府采购活动</w:t>
            </w:r>
            <w:r>
              <w:rPr>
                <w:rFonts w:hint="eastAsia" w:ascii="宋体" w:hAnsi="宋体" w:eastAsia="宋体" w:cs="宋体"/>
                <w:b/>
                <w:color w:val="000000"/>
                <w:sz w:val="21"/>
                <w:szCs w:val="21"/>
                <w:highlight w:val="none"/>
              </w:rPr>
              <w:t>；</w:t>
            </w:r>
          </w:p>
          <w:p w14:paraId="38CC832A">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（2）查询工作在资格审查时由采购组织机构统一进行，查询结果打印后留存备案；</w:t>
            </w:r>
          </w:p>
          <w:p w14:paraId="0C444834">
            <w:pPr>
              <w:autoSpaceDN w:val="0"/>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（3）以联合体形式参加采购活动的，联合体中任何一方存在“被拒绝情形”的视同联合体存在“被拒绝情形”。</w:t>
            </w:r>
          </w:p>
        </w:tc>
      </w:tr>
      <w:tr w14:paraId="3FCE9E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843B5C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7.7.1</w:t>
            </w:r>
          </w:p>
        </w:tc>
        <w:tc>
          <w:tcPr>
            <w:tcW w:w="2712" w:type="dxa"/>
            <w:noWrap/>
            <w:vAlign w:val="center"/>
          </w:tcPr>
          <w:p w14:paraId="7B3C8A4A">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评审方法</w:t>
            </w:r>
          </w:p>
        </w:tc>
        <w:tc>
          <w:tcPr>
            <w:tcW w:w="5811" w:type="dxa"/>
            <w:noWrap/>
            <w:vAlign w:val="center"/>
          </w:tcPr>
          <w:p w14:paraId="134B4102">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u w:val="single"/>
              </w:rPr>
              <w:t>综合评分法</w:t>
            </w:r>
            <w:r>
              <w:rPr>
                <w:rFonts w:hint="eastAsia" w:ascii="宋体" w:hAnsi="宋体" w:eastAsia="宋体" w:cs="宋体"/>
                <w:color w:val="000000"/>
                <w:sz w:val="21"/>
                <w:szCs w:val="21"/>
                <w:highlight w:val="none"/>
              </w:rPr>
              <w:t>，详见竞争性磋商文件《第七章 评审方法》</w:t>
            </w:r>
          </w:p>
        </w:tc>
      </w:tr>
      <w:tr w14:paraId="27D08F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D1F897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8.1.1</w:t>
            </w:r>
          </w:p>
        </w:tc>
        <w:tc>
          <w:tcPr>
            <w:tcW w:w="2712" w:type="dxa"/>
            <w:noWrap/>
            <w:vAlign w:val="center"/>
          </w:tcPr>
          <w:p w14:paraId="1B6AD7FE">
            <w:pPr>
              <w:autoSpaceDN w:val="0"/>
              <w:spacing w:line="276"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确定成交供应商</w:t>
            </w:r>
          </w:p>
          <w:p w14:paraId="6FAAC65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采购结果确认</w:t>
            </w:r>
            <w:r>
              <w:rPr>
                <w:rFonts w:hint="eastAsia" w:ascii="宋体" w:hAnsi="宋体" w:eastAsia="宋体" w:cs="宋体"/>
                <w:color w:val="000000"/>
                <w:kern w:val="0"/>
                <w:sz w:val="21"/>
                <w:szCs w:val="21"/>
                <w:highlight w:val="none"/>
              </w:rPr>
              <w:t>）</w:t>
            </w:r>
          </w:p>
        </w:tc>
        <w:tc>
          <w:tcPr>
            <w:tcW w:w="5811" w:type="dxa"/>
            <w:noWrap/>
            <w:vAlign w:val="center"/>
          </w:tcPr>
          <w:p w14:paraId="1C8B308F">
            <w:pPr>
              <w:autoSpaceDN w:val="0"/>
              <w:spacing w:line="276"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kern w:val="0"/>
                <w:sz w:val="21"/>
                <w:szCs w:val="21"/>
                <w:highlight w:val="none"/>
              </w:rPr>
              <w:t>本项目由采购人根据磋商小组递交的《评审报告》，通过“政府采购云平台”依法确定成交供应商。</w:t>
            </w:r>
            <w:r>
              <w:rPr>
                <w:rFonts w:hint="eastAsia" w:ascii="宋体" w:hAnsi="宋体" w:eastAsia="宋体" w:cs="宋体"/>
                <w:bCs/>
                <w:color w:val="000000"/>
                <w:kern w:val="0"/>
                <w:sz w:val="21"/>
                <w:szCs w:val="21"/>
                <w:highlight w:val="none"/>
              </w:rPr>
              <w:t>具体流程见第三章第8.1.1款规定。</w:t>
            </w:r>
          </w:p>
        </w:tc>
      </w:tr>
      <w:tr w14:paraId="6E7A65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032E55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8.2.1</w:t>
            </w:r>
          </w:p>
        </w:tc>
        <w:tc>
          <w:tcPr>
            <w:tcW w:w="2712" w:type="dxa"/>
            <w:noWrap/>
            <w:vAlign w:val="center"/>
          </w:tcPr>
          <w:p w14:paraId="5D0EF6D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结果公告及《成交通知书》签发</w:t>
            </w:r>
          </w:p>
        </w:tc>
        <w:tc>
          <w:tcPr>
            <w:tcW w:w="5811" w:type="dxa"/>
            <w:noWrap/>
            <w:vAlign w:val="center"/>
          </w:tcPr>
          <w:p w14:paraId="6C5DF010">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（1）采购结果经采购人确认后2个工作日内，采购代理机构将在“浙江政府采购网”公告采购结果，同时向成交供应商发出《成交通知书》。成交公告期限为1个工作日；</w:t>
            </w:r>
          </w:p>
          <w:p w14:paraId="1DB2EAF7">
            <w:pPr>
              <w:autoSpaceDN w:val="0"/>
              <w:spacing w:line="276" w:lineRule="auto"/>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rPr>
              <w:t>（2）供应商在收到《成交通知书》后3个工作日内，向采购人提供7套纸质版本磋商响应文件（须与政府采购云平台上的电子文件内容一致），向采购代理机构提供1套纸质版本磋商响应文件。</w:t>
            </w:r>
          </w:p>
        </w:tc>
      </w:tr>
      <w:tr w14:paraId="5B7F8F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1914B0E">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9.1.1</w:t>
            </w:r>
          </w:p>
        </w:tc>
        <w:tc>
          <w:tcPr>
            <w:tcW w:w="2712" w:type="dxa"/>
            <w:noWrap/>
            <w:vAlign w:val="center"/>
          </w:tcPr>
          <w:p w14:paraId="5987A74A">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采购代理服务费、造价咨询服务费的</w:t>
            </w:r>
          </w:p>
          <w:p w14:paraId="1D086841">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收取标准或金额</w:t>
            </w:r>
          </w:p>
        </w:tc>
        <w:tc>
          <w:tcPr>
            <w:tcW w:w="5811" w:type="dxa"/>
            <w:noWrap/>
            <w:vAlign w:val="center"/>
          </w:tcPr>
          <w:p w14:paraId="69766752">
            <w:pPr>
              <w:spacing w:line="276" w:lineRule="auto"/>
              <w:rPr>
                <w:rFonts w:ascii="宋体" w:hAnsi="宋体" w:cs="仿宋"/>
                <w:b/>
                <w:kern w:val="0"/>
                <w:sz w:val="21"/>
                <w:szCs w:val="21"/>
                <w:highlight w:val="none"/>
              </w:rPr>
            </w:pPr>
            <w:r>
              <w:rPr>
                <w:rFonts w:hint="eastAsia" w:ascii="宋体" w:hAnsi="宋体" w:cs="仿宋"/>
                <w:b/>
                <w:kern w:val="0"/>
                <w:sz w:val="21"/>
                <w:szCs w:val="21"/>
                <w:highlight w:val="none"/>
              </w:rPr>
              <w:t>（1）采购代理服务费按《招标代理服务收费管理暂行办法》计价格[2002]1980 号文件的收费标准×50%。对于未明确中标（成交）金额的采购项目和代理服务费不足2000元的项目，代理服务费均按2000元计收取。</w:t>
            </w:r>
          </w:p>
          <w:p w14:paraId="3668A2AF">
            <w:pPr>
              <w:spacing w:line="276" w:lineRule="auto"/>
              <w:rPr>
                <w:rFonts w:ascii="宋体" w:hAnsi="宋体" w:cs="仿宋"/>
                <w:b/>
                <w:kern w:val="0"/>
                <w:sz w:val="21"/>
                <w:szCs w:val="21"/>
                <w:highlight w:val="none"/>
              </w:rPr>
            </w:pPr>
            <w:r>
              <w:rPr>
                <w:rFonts w:hint="eastAsia" w:ascii="宋体" w:hAnsi="宋体" w:cs="仿宋"/>
                <w:b/>
                <w:kern w:val="0"/>
                <w:sz w:val="21"/>
                <w:szCs w:val="21"/>
                <w:highlight w:val="none"/>
              </w:rPr>
              <w:t>（2）造价咨询服务费按浙江省物价局《关于进一步完善工程造价咨询服务收费的通知》计浙价服〔2009〕84号文件的收费标准×50%，单个项目造价咨询服务费用不足2000元的，按2000元计收取。</w:t>
            </w:r>
          </w:p>
          <w:p w14:paraId="3E1E47FB">
            <w:pPr>
              <w:spacing w:line="276" w:lineRule="auto"/>
              <w:rPr>
                <w:rFonts w:ascii="宋体" w:hAnsi="宋体" w:cs="仿宋"/>
                <w:b/>
                <w:kern w:val="0"/>
                <w:sz w:val="21"/>
                <w:szCs w:val="21"/>
                <w:highlight w:val="none"/>
              </w:rPr>
            </w:pPr>
            <w:r>
              <w:rPr>
                <w:rFonts w:hint="eastAsia" w:ascii="宋体" w:hAnsi="宋体" w:cs="仿宋"/>
                <w:b/>
                <w:kern w:val="0"/>
                <w:sz w:val="21"/>
                <w:szCs w:val="21"/>
                <w:highlight w:val="none"/>
              </w:rPr>
              <w:t>（3）上述费用的计算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6B14A3AF">
            <w:pPr>
              <w:spacing w:line="276" w:lineRule="auto"/>
              <w:rPr>
                <w:rFonts w:ascii="宋体" w:hAnsi="宋体" w:cs="仿宋"/>
                <w:sz w:val="21"/>
                <w:szCs w:val="21"/>
                <w:highlight w:val="none"/>
              </w:rPr>
            </w:pPr>
            <w:r>
              <w:rPr>
                <w:rFonts w:hint="eastAsia" w:ascii="宋体" w:hAnsi="宋体" w:cs="仿宋"/>
                <w:sz w:val="21"/>
                <w:szCs w:val="21"/>
                <w:highlight w:val="none"/>
              </w:rPr>
              <w:t>户  名：浙江省成套招标代理有限公司</w:t>
            </w:r>
          </w:p>
          <w:p w14:paraId="373DDBBF">
            <w:pPr>
              <w:spacing w:line="276" w:lineRule="auto"/>
              <w:rPr>
                <w:rFonts w:ascii="宋体" w:hAnsi="宋体" w:cs="仿宋"/>
                <w:sz w:val="21"/>
                <w:szCs w:val="21"/>
                <w:highlight w:val="none"/>
              </w:rPr>
            </w:pPr>
            <w:r>
              <w:rPr>
                <w:rFonts w:hint="eastAsia" w:ascii="宋体" w:hAnsi="宋体" w:cs="仿宋"/>
                <w:sz w:val="21"/>
                <w:szCs w:val="21"/>
                <w:highlight w:val="none"/>
              </w:rPr>
              <w:t>帐  号：7331 6101 8260 0126 385</w:t>
            </w:r>
          </w:p>
          <w:p w14:paraId="5F89A14D">
            <w:pPr>
              <w:spacing w:line="276" w:lineRule="auto"/>
              <w:jc w:val="left"/>
              <w:rPr>
                <w:rFonts w:ascii="宋体" w:hAnsi="宋体" w:cs="仿宋"/>
                <w:sz w:val="21"/>
                <w:szCs w:val="21"/>
                <w:highlight w:val="none"/>
              </w:rPr>
            </w:pPr>
            <w:r>
              <w:rPr>
                <w:rFonts w:hint="eastAsia" w:ascii="宋体" w:hAnsi="宋体" w:cs="仿宋"/>
                <w:sz w:val="21"/>
                <w:szCs w:val="21"/>
                <w:highlight w:val="none"/>
              </w:rPr>
              <w:t>开户行：中信银行杭州西湖支行</w:t>
            </w:r>
          </w:p>
          <w:p w14:paraId="2B955851">
            <w:pPr>
              <w:autoSpaceDN w:val="0"/>
              <w:spacing w:line="276" w:lineRule="auto"/>
              <w:jc w:val="left"/>
              <w:rPr>
                <w:rFonts w:hint="eastAsia" w:ascii="宋体" w:hAnsi="宋体" w:eastAsia="宋体" w:cs="宋体"/>
                <w:sz w:val="21"/>
                <w:szCs w:val="21"/>
                <w:highlight w:val="none"/>
              </w:rPr>
            </w:pPr>
            <w:r>
              <w:rPr>
                <w:rFonts w:hint="eastAsia" w:ascii="宋体" w:hAnsi="宋体" w:cs="Arial"/>
                <w:b/>
                <w:kern w:val="0"/>
                <w:sz w:val="21"/>
                <w:szCs w:val="21"/>
                <w:highlight w:val="none"/>
              </w:rPr>
              <w:t>采购代理服务费和造价咨询服务费缴纳凭证将作为采购人合同付款和验收的前提条件，成交供应商未按磋商文件规定和磋商承诺缴纳采购代理服务费的，合同款不予支付、合同验收不予通过。</w:t>
            </w:r>
          </w:p>
        </w:tc>
      </w:tr>
      <w:tr w14:paraId="4D9B99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B827D5B">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10.1.1</w:t>
            </w:r>
          </w:p>
        </w:tc>
        <w:tc>
          <w:tcPr>
            <w:tcW w:w="2712" w:type="dxa"/>
            <w:noWrap/>
            <w:vAlign w:val="center"/>
          </w:tcPr>
          <w:p w14:paraId="297926C2">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合同签订时间期限</w:t>
            </w:r>
          </w:p>
        </w:tc>
        <w:tc>
          <w:tcPr>
            <w:tcW w:w="5811" w:type="dxa"/>
            <w:noWrap/>
            <w:vAlign w:val="center"/>
          </w:tcPr>
          <w:p w14:paraId="44855C73">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《成交通知书》发出后30天内，成交供应商应持《成交通知书》与采购人签订《政府采购合同》。</w:t>
            </w:r>
          </w:p>
        </w:tc>
      </w:tr>
      <w:tr w14:paraId="2DAE6F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C731E1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10.2.1</w:t>
            </w:r>
          </w:p>
        </w:tc>
        <w:tc>
          <w:tcPr>
            <w:tcW w:w="2712" w:type="dxa"/>
            <w:noWrap/>
            <w:vAlign w:val="center"/>
          </w:tcPr>
          <w:p w14:paraId="535F01A4">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w:t>
            </w:r>
          </w:p>
        </w:tc>
        <w:tc>
          <w:tcPr>
            <w:tcW w:w="5811" w:type="dxa"/>
            <w:noWrap/>
            <w:vAlign w:val="center"/>
          </w:tcPr>
          <w:p w14:paraId="5C7B849D">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（1）履约保证金递交形式：现金、转账、银行或保险公司出具的保函等。</w:t>
            </w:r>
          </w:p>
          <w:p w14:paraId="48CF9ED3">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（2）履约保证金的金额：成交金额的2%。</w:t>
            </w:r>
          </w:p>
        </w:tc>
      </w:tr>
      <w:tr w14:paraId="51A3CC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2C9B13">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w:t>
            </w:r>
          </w:p>
        </w:tc>
        <w:tc>
          <w:tcPr>
            <w:tcW w:w="2712" w:type="dxa"/>
            <w:noWrap/>
            <w:vAlign w:val="center"/>
          </w:tcPr>
          <w:p w14:paraId="05580316">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中小企业信用融资</w:t>
            </w:r>
          </w:p>
        </w:tc>
        <w:tc>
          <w:tcPr>
            <w:tcW w:w="5811" w:type="dxa"/>
            <w:noWrap/>
            <w:vAlign w:val="center"/>
          </w:tcPr>
          <w:p w14:paraId="28CC6B96">
            <w:pPr>
              <w:autoSpaceDN w:val="0"/>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760615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00B0988">
            <w:pPr>
              <w:autoSpaceDN w:val="0"/>
              <w:spacing w:line="276"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11.2.1</w:t>
            </w:r>
          </w:p>
        </w:tc>
        <w:tc>
          <w:tcPr>
            <w:tcW w:w="2712" w:type="dxa"/>
            <w:noWrap/>
            <w:vAlign w:val="center"/>
          </w:tcPr>
          <w:p w14:paraId="20242C6F">
            <w:pPr>
              <w:autoSpaceDN w:val="0"/>
              <w:spacing w:line="276"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重要提醒</w:t>
            </w:r>
          </w:p>
        </w:tc>
        <w:tc>
          <w:tcPr>
            <w:tcW w:w="5811" w:type="dxa"/>
            <w:noWrap/>
            <w:vAlign w:val="center"/>
          </w:tcPr>
          <w:p w14:paraId="449AE57A">
            <w:pPr>
              <w:autoSpaceDN w:val="0"/>
              <w:spacing w:line="276"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（1）磋商响应供应商应仔细对照磋商须知条款阅读本表，如本表与须知内容就同一事项规定不一致的，以本表为准；</w:t>
            </w:r>
          </w:p>
          <w:p w14:paraId="3CD8A2F9">
            <w:pPr>
              <w:autoSpaceDN w:val="0"/>
              <w:spacing w:line="276"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74F957D6">
            <w:pPr>
              <w:autoSpaceDN w:val="0"/>
              <w:spacing w:line="276"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（3）竞争性磋商文件中标注“▲”的技术或商务条款均为实质性要求条款，不满足实质性要求条款的投标响应无效；</w:t>
            </w:r>
          </w:p>
          <w:p w14:paraId="4BA1C04D">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highlight w:val="none"/>
              </w:rPr>
              <w:t>（4）供应商不得进行影响产品质量或者诚信履约的恶意报价。如供应商初次报价低于项目预算50%的，应当在初次报价文件中详细阐述不影响产品质量或者诚信履约的具体原因以及相应证明材料；或如供应</w:t>
            </w:r>
            <w:r>
              <w:rPr>
                <w:rFonts w:hint="eastAsia" w:ascii="宋体" w:hAnsi="宋体" w:eastAsia="宋体" w:cs="宋体"/>
                <w:b/>
                <w:bCs/>
                <w:color w:val="auto"/>
                <w:sz w:val="21"/>
                <w:szCs w:val="21"/>
                <w:highlight w:val="none"/>
              </w:rPr>
              <w:t>商最终报价低于项目预算50%的，应当在提交最终报价的同时提供详细阐述不影响产品质量或者诚信履约的具体原因及相应证明材料，以备磋商小组核查。报价时如未按要求提供相应说明及证明材料的，做无效标处理；</w:t>
            </w:r>
          </w:p>
          <w:p w14:paraId="2606CD0A">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287F29F6">
            <w:pPr>
              <w:autoSpaceDN w:val="0"/>
              <w:spacing w:line="276"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lang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F19C36">
            <w:pPr>
              <w:autoSpaceDN w:val="0"/>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竞争性磋商报价以最终报价为准，单价同比例下浮（暂列金</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如有</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不下浮）</w:t>
            </w:r>
            <w:r>
              <w:rPr>
                <w:rFonts w:hint="eastAsia" w:ascii="宋体" w:hAnsi="宋体" w:eastAsia="宋体" w:cs="宋体"/>
                <w:b/>
                <w:bCs/>
                <w:color w:val="auto"/>
                <w:sz w:val="21"/>
                <w:szCs w:val="21"/>
                <w:highlight w:val="none"/>
              </w:rPr>
              <w:t>。</w:t>
            </w:r>
          </w:p>
          <w:p w14:paraId="62EDBE25">
            <w:pPr>
              <w:autoSpaceDN w:val="0"/>
              <w:spacing w:line="276" w:lineRule="auto"/>
              <w:rPr>
                <w:rFonts w:hint="eastAsia" w:ascii="宋体" w:hAnsi="宋体" w:eastAsia="宋体" w:cs="宋体"/>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lang w:eastAsia="zh-CN"/>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bookmarkEnd w:id="3"/>
      <w:bookmarkEnd w:id="4"/>
      <w:bookmarkEnd w:id="5"/>
    </w:tbl>
    <w:p w14:paraId="6AB087E9">
      <w:pPr>
        <w:autoSpaceDN w:val="0"/>
        <w:rPr>
          <w:rFonts w:hint="eastAsia" w:ascii="宋体" w:hAnsi="宋体" w:eastAsia="宋体" w:cs="宋体"/>
          <w:highlight w:val="none"/>
        </w:rPr>
      </w:pPr>
      <w:bookmarkStart w:id="7" w:name="_Toc82873321"/>
      <w:bookmarkStart w:id="8" w:name="_Toc82338238"/>
      <w:bookmarkStart w:id="9" w:name="_Toc211745567"/>
    </w:p>
    <w:p w14:paraId="692E6547">
      <w:pPr>
        <w:rPr>
          <w:rFonts w:hint="eastAsia" w:ascii="宋体" w:hAnsi="宋体" w:eastAsia="宋体" w:cs="宋体"/>
          <w:bCs/>
          <w:kern w:val="44"/>
          <w:sz w:val="44"/>
          <w:szCs w:val="44"/>
          <w:highlight w:val="none"/>
        </w:rPr>
      </w:pPr>
      <w:r>
        <w:rPr>
          <w:rFonts w:hint="eastAsia" w:ascii="宋体" w:hAnsi="宋体" w:eastAsia="宋体" w:cs="宋体"/>
          <w:bCs/>
          <w:kern w:val="44"/>
          <w:sz w:val="44"/>
          <w:szCs w:val="44"/>
          <w:highlight w:val="none"/>
        </w:rPr>
        <w:br w:type="page"/>
      </w:r>
    </w:p>
    <w:p w14:paraId="1429B243">
      <w:pPr>
        <w:pStyle w:val="2"/>
        <w:autoSpaceDN w:val="0"/>
        <w:spacing w:before="240"/>
        <w:rPr>
          <w:rFonts w:hint="eastAsia" w:ascii="宋体" w:hAnsi="宋体" w:eastAsia="宋体" w:cs="宋体"/>
          <w:color w:val="auto"/>
          <w:highlight w:val="none"/>
        </w:rPr>
      </w:pPr>
      <w:bookmarkStart w:id="10" w:name="_Toc4570"/>
      <w:r>
        <w:rPr>
          <w:rFonts w:hint="eastAsia" w:ascii="宋体" w:hAnsi="宋体" w:eastAsia="宋体" w:cs="宋体"/>
          <w:bCs/>
          <w:kern w:val="44"/>
          <w:sz w:val="44"/>
          <w:szCs w:val="44"/>
          <w:highlight w:val="none"/>
        </w:rPr>
        <w:t xml:space="preserve">第三章  </w:t>
      </w:r>
      <w:bookmarkEnd w:id="7"/>
      <w:bookmarkEnd w:id="8"/>
      <w:bookmarkEnd w:id="9"/>
      <w:r>
        <w:rPr>
          <w:rFonts w:hint="eastAsia" w:ascii="宋体" w:hAnsi="宋体" w:eastAsia="宋体" w:cs="宋体"/>
          <w:bCs/>
          <w:color w:val="auto"/>
          <w:kern w:val="44"/>
          <w:sz w:val="44"/>
          <w:szCs w:val="44"/>
          <w:highlight w:val="none"/>
        </w:rPr>
        <w:t>磋商须知</w:t>
      </w:r>
      <w:bookmarkEnd w:id="10"/>
    </w:p>
    <w:p w14:paraId="0B875C95">
      <w:pPr>
        <w:pStyle w:val="3"/>
        <w:autoSpaceDN w:val="0"/>
        <w:spacing w:before="360"/>
        <w:ind w:firstLine="221" w:firstLineChars="100"/>
        <w:rPr>
          <w:rFonts w:hint="eastAsia" w:ascii="宋体" w:hAnsi="宋体" w:eastAsia="宋体" w:cs="宋体"/>
          <w:sz w:val="22"/>
          <w:szCs w:val="22"/>
          <w:highlight w:val="none"/>
        </w:rPr>
      </w:pPr>
      <w:bookmarkStart w:id="11" w:name="_Toc82338239"/>
      <w:bookmarkStart w:id="12" w:name="_Toc82873322"/>
      <w:bookmarkStart w:id="13" w:name="_Toc30699"/>
      <w:bookmarkStart w:id="14" w:name="_Toc20787"/>
      <w:r>
        <w:rPr>
          <w:rFonts w:hint="eastAsia" w:ascii="宋体" w:hAnsi="宋体" w:eastAsia="宋体" w:cs="宋体"/>
          <w:sz w:val="22"/>
          <w:szCs w:val="22"/>
          <w:highlight w:val="none"/>
        </w:rPr>
        <w:t>一、</w:t>
      </w:r>
      <w:bookmarkEnd w:id="11"/>
      <w:bookmarkEnd w:id="12"/>
      <w:r>
        <w:rPr>
          <w:rFonts w:hint="eastAsia" w:ascii="宋体" w:hAnsi="宋体" w:eastAsia="宋体" w:cs="宋体"/>
          <w:sz w:val="22"/>
          <w:szCs w:val="22"/>
          <w:highlight w:val="none"/>
        </w:rPr>
        <w:t>总则</w:t>
      </w:r>
      <w:bookmarkEnd w:id="13"/>
      <w:bookmarkEnd w:id="14"/>
    </w:p>
    <w:p w14:paraId="784FB414">
      <w:pPr>
        <w:pStyle w:val="4"/>
        <w:spacing w:before="120" w:after="120"/>
        <w:ind w:firstLine="240"/>
        <w:rPr>
          <w:rFonts w:hint="eastAsia" w:ascii="宋体" w:hAnsi="宋体" w:eastAsia="宋体" w:cs="宋体"/>
          <w:bCs/>
          <w:sz w:val="21"/>
          <w:szCs w:val="24"/>
          <w:highlight w:val="none"/>
        </w:rPr>
      </w:pPr>
      <w:bookmarkStart w:id="15" w:name="_Toc82873323"/>
      <w:bookmarkStart w:id="16" w:name="_Toc82338240"/>
      <w:r>
        <w:rPr>
          <w:rFonts w:hint="eastAsia" w:ascii="宋体" w:hAnsi="宋体" w:eastAsia="宋体" w:cs="宋体"/>
          <w:bCs/>
          <w:sz w:val="21"/>
          <w:szCs w:val="24"/>
          <w:highlight w:val="none"/>
        </w:rPr>
        <w:t>1.1 实施依据及适用范围</w:t>
      </w:r>
    </w:p>
    <w:p w14:paraId="05563F73">
      <w:pPr>
        <w:autoSpaceDN w:val="0"/>
        <w:spacing w:line="360" w:lineRule="auto"/>
        <w:ind w:firstLine="371" w:firstLineChars="177"/>
        <w:rPr>
          <w:rFonts w:hint="eastAsia" w:ascii="宋体" w:hAnsi="宋体" w:eastAsia="宋体" w:cs="宋体"/>
          <w:sz w:val="21"/>
          <w:szCs w:val="16"/>
          <w:highlight w:val="none"/>
        </w:rPr>
      </w:pPr>
      <w:r>
        <w:rPr>
          <w:rFonts w:hint="eastAsia" w:ascii="宋体" w:hAnsi="宋体" w:eastAsia="宋体" w:cs="宋体"/>
          <w:color w:val="000000"/>
          <w:kern w:val="0"/>
          <w:sz w:val="21"/>
          <w:szCs w:val="16"/>
          <w:highlight w:val="none"/>
        </w:rPr>
        <w:t>1.1.1实施依据：本次采购工作按照《中华人民共和国政府采购法》、《中华人民共和国政府采购法实施条例》、《浙江省政府采购项目电子交易管理暂行办法</w:t>
      </w:r>
      <w:r>
        <w:rPr>
          <w:rFonts w:hint="eastAsia" w:ascii="宋体" w:hAnsi="宋体" w:eastAsia="宋体" w:cs="宋体"/>
          <w:kern w:val="0"/>
          <w:sz w:val="21"/>
          <w:szCs w:val="16"/>
          <w:highlight w:val="none"/>
        </w:rPr>
        <w:t>》、浙财采监[2022]3号等政府采购有关法律、法规、规章、文件的规定组织和实施；</w:t>
      </w:r>
    </w:p>
    <w:p w14:paraId="62888983">
      <w:pPr>
        <w:autoSpaceDN w:val="0"/>
        <w:spacing w:line="360" w:lineRule="auto"/>
        <w:ind w:firstLine="371" w:firstLineChars="177"/>
        <w:jc w:val="left"/>
        <w:rPr>
          <w:rFonts w:hint="eastAsia" w:ascii="宋体" w:hAnsi="宋体" w:eastAsia="宋体" w:cs="宋体"/>
          <w:color w:val="000000"/>
          <w:kern w:val="0"/>
          <w:sz w:val="21"/>
          <w:szCs w:val="16"/>
          <w:highlight w:val="none"/>
        </w:rPr>
      </w:pPr>
      <w:r>
        <w:rPr>
          <w:rFonts w:hint="eastAsia" w:ascii="宋体" w:hAnsi="宋体" w:eastAsia="宋体" w:cs="宋体"/>
          <w:kern w:val="0"/>
          <w:sz w:val="21"/>
          <w:szCs w:val="16"/>
          <w:highlight w:val="none"/>
        </w:rPr>
        <w:t>1.1.2本竞争性磋商文件适用于</w:t>
      </w:r>
      <w:r>
        <w:rPr>
          <w:rFonts w:hint="eastAsia" w:ascii="宋体" w:hAnsi="宋体" w:cs="宋体"/>
          <w:b/>
          <w:kern w:val="0"/>
          <w:sz w:val="21"/>
          <w:szCs w:val="16"/>
          <w:highlight w:val="none"/>
          <w:u w:val="single"/>
          <w:lang w:eastAsia="zh-CN"/>
        </w:rPr>
        <w:t>浙江中医药大学Ivan Psakhye教授实验室改造项目</w:t>
      </w:r>
      <w:r>
        <w:rPr>
          <w:rFonts w:hint="eastAsia" w:ascii="宋体" w:hAnsi="宋体" w:eastAsia="宋体" w:cs="宋体"/>
          <w:b/>
          <w:kern w:val="0"/>
          <w:sz w:val="21"/>
          <w:szCs w:val="16"/>
          <w:highlight w:val="none"/>
          <w:u w:val="single"/>
        </w:rPr>
        <w:t>（项目编号：</w:t>
      </w:r>
      <w:r>
        <w:rPr>
          <w:rFonts w:hint="eastAsia" w:ascii="宋体" w:hAnsi="宋体" w:cs="宋体"/>
          <w:b/>
          <w:kern w:val="0"/>
          <w:sz w:val="21"/>
          <w:szCs w:val="16"/>
          <w:highlight w:val="none"/>
          <w:u w:val="single"/>
          <w:lang w:eastAsia="zh-CN"/>
        </w:rPr>
        <w:t>CTZB-2025070039</w:t>
      </w:r>
      <w:r>
        <w:rPr>
          <w:rFonts w:hint="eastAsia" w:ascii="宋体" w:hAnsi="宋体" w:eastAsia="宋体" w:cs="宋体"/>
          <w:b/>
          <w:kern w:val="0"/>
          <w:sz w:val="21"/>
          <w:szCs w:val="16"/>
          <w:highlight w:val="none"/>
          <w:u w:val="single"/>
        </w:rPr>
        <w:t>）</w:t>
      </w:r>
      <w:r>
        <w:rPr>
          <w:rFonts w:hint="eastAsia" w:ascii="宋体" w:hAnsi="宋体" w:eastAsia="宋体" w:cs="宋体"/>
          <w:color w:val="000000"/>
          <w:kern w:val="0"/>
          <w:sz w:val="21"/>
          <w:szCs w:val="16"/>
          <w:highlight w:val="none"/>
        </w:rPr>
        <w:t>的采购、响应、磋商、评标、定标、验收、合同履约、付款等（法律、法规另有规定的，从其规定）。</w:t>
      </w:r>
    </w:p>
    <w:p w14:paraId="5A388589">
      <w:pPr>
        <w:pStyle w:val="4"/>
        <w:spacing w:before="120" w:after="120"/>
        <w:ind w:firstLine="240"/>
        <w:rPr>
          <w:rFonts w:hint="eastAsia" w:ascii="宋体" w:hAnsi="宋体" w:eastAsia="宋体" w:cs="宋体"/>
          <w:sz w:val="21"/>
          <w:szCs w:val="16"/>
          <w:highlight w:val="none"/>
        </w:rPr>
      </w:pPr>
      <w:r>
        <w:rPr>
          <w:rFonts w:hint="eastAsia" w:ascii="宋体" w:hAnsi="宋体" w:eastAsia="宋体" w:cs="宋体"/>
          <w:bCs/>
          <w:sz w:val="21"/>
          <w:szCs w:val="24"/>
          <w:highlight w:val="none"/>
        </w:rPr>
        <w:t xml:space="preserve">1.2 </w:t>
      </w:r>
      <w:r>
        <w:rPr>
          <w:rFonts w:hint="eastAsia" w:ascii="宋体" w:hAnsi="宋体" w:eastAsia="宋体" w:cs="宋体"/>
          <w:sz w:val="21"/>
          <w:szCs w:val="16"/>
          <w:highlight w:val="none"/>
        </w:rPr>
        <w:t>项目基本信息</w:t>
      </w:r>
    </w:p>
    <w:p w14:paraId="185ED6B0">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1.2.1项目名称：</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767B56CA">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1.2.2项目编号：</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2B9ECC30">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1.2.3采购内容：</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413C86FF">
      <w:pPr>
        <w:autoSpaceDN w:val="0"/>
        <w:spacing w:line="360" w:lineRule="auto"/>
        <w:ind w:firstLine="373" w:firstLineChars="177"/>
        <w:rPr>
          <w:rFonts w:hint="eastAsia" w:ascii="宋体" w:hAnsi="宋体" w:eastAsia="宋体" w:cs="宋体"/>
          <w:b/>
          <w:sz w:val="21"/>
          <w:szCs w:val="16"/>
          <w:highlight w:val="none"/>
        </w:rPr>
      </w:pPr>
      <w:r>
        <w:rPr>
          <w:rFonts w:hint="eastAsia" w:ascii="宋体" w:hAnsi="宋体" w:eastAsia="宋体" w:cs="宋体"/>
          <w:b/>
          <w:sz w:val="21"/>
          <w:szCs w:val="16"/>
          <w:highlight w:val="none"/>
        </w:rPr>
        <w:t>1.2.4最高限价：</w:t>
      </w:r>
      <w:r>
        <w:rPr>
          <w:rFonts w:hint="eastAsia" w:ascii="宋体" w:hAnsi="宋体" w:eastAsia="宋体" w:cs="宋体"/>
          <w:b/>
          <w:kern w:val="0"/>
          <w:sz w:val="21"/>
          <w:szCs w:val="16"/>
          <w:highlight w:val="none"/>
          <w:u w:val="single"/>
        </w:rPr>
        <w:t>见《磋商须知前附表》</w:t>
      </w:r>
      <w:r>
        <w:rPr>
          <w:rFonts w:hint="eastAsia" w:ascii="宋体" w:hAnsi="宋体" w:eastAsia="宋体" w:cs="宋体"/>
          <w:b/>
          <w:sz w:val="21"/>
          <w:szCs w:val="16"/>
          <w:highlight w:val="none"/>
        </w:rPr>
        <w:t>；</w:t>
      </w:r>
    </w:p>
    <w:p w14:paraId="0DB9FD7B">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1.2.5资金落实情况：</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2C997651">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1.2.6采购人：</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17D17A4C">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1.2.7采购代理机构：</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7E6FA575">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1.2.8交易方式：</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2FB8D2B5">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1.2.9电子交易平台：</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49978B9E">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1.2.10工期：</w:t>
      </w:r>
      <w:r>
        <w:rPr>
          <w:rFonts w:hint="eastAsia" w:ascii="宋体" w:hAnsi="宋体" w:eastAsia="宋体" w:cs="宋体"/>
          <w:b/>
          <w:color w:val="000000"/>
          <w:sz w:val="21"/>
          <w:szCs w:val="16"/>
          <w:highlight w:val="none"/>
          <w:u w:val="single"/>
        </w:rPr>
        <w:t>见《磋商须知前附表》</w:t>
      </w:r>
      <w:r>
        <w:rPr>
          <w:rFonts w:hint="eastAsia" w:ascii="宋体" w:hAnsi="宋体" w:eastAsia="宋体" w:cs="宋体"/>
          <w:b/>
          <w:color w:val="000000"/>
          <w:sz w:val="21"/>
          <w:szCs w:val="16"/>
          <w:highlight w:val="none"/>
        </w:rPr>
        <w:t>。</w:t>
      </w:r>
    </w:p>
    <w:p w14:paraId="02563E2D">
      <w:pPr>
        <w:pStyle w:val="4"/>
        <w:spacing w:before="120" w:after="120"/>
        <w:ind w:firstLine="240"/>
        <w:rPr>
          <w:rFonts w:hint="eastAsia" w:ascii="宋体" w:hAnsi="宋体" w:eastAsia="宋体" w:cs="宋体"/>
          <w:bCs/>
          <w:sz w:val="21"/>
          <w:szCs w:val="24"/>
          <w:highlight w:val="none"/>
        </w:rPr>
      </w:pPr>
      <w:r>
        <w:rPr>
          <w:rFonts w:hint="eastAsia" w:ascii="宋体" w:hAnsi="宋体" w:eastAsia="宋体" w:cs="宋体"/>
          <w:bCs/>
          <w:sz w:val="21"/>
          <w:szCs w:val="24"/>
          <w:highlight w:val="none"/>
        </w:rPr>
        <w:t>1.3 采购方式和采购组织类型</w:t>
      </w:r>
    </w:p>
    <w:p w14:paraId="29CC72E0">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1.3.1采购方式：</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color w:val="000000"/>
          <w:sz w:val="21"/>
          <w:szCs w:val="16"/>
          <w:highlight w:val="none"/>
        </w:rPr>
        <w:t>；</w:t>
      </w:r>
    </w:p>
    <w:p w14:paraId="3B6D91D0">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1.3.2采购组织类型：</w:t>
      </w:r>
      <w:r>
        <w:rPr>
          <w:rFonts w:hint="eastAsia" w:ascii="宋体" w:hAnsi="宋体" w:eastAsia="宋体" w:cs="宋体"/>
          <w:b/>
          <w:color w:val="000000"/>
          <w:sz w:val="21"/>
          <w:szCs w:val="16"/>
          <w:highlight w:val="none"/>
          <w:u w:val="single"/>
        </w:rPr>
        <w:t>分散采购-分散委托中介</w:t>
      </w:r>
      <w:r>
        <w:rPr>
          <w:rFonts w:hint="eastAsia" w:ascii="宋体" w:hAnsi="宋体" w:eastAsia="宋体" w:cs="宋体"/>
          <w:b/>
          <w:color w:val="000000"/>
          <w:kern w:val="0"/>
          <w:sz w:val="21"/>
          <w:szCs w:val="16"/>
          <w:highlight w:val="none"/>
        </w:rPr>
        <w:t>。</w:t>
      </w:r>
    </w:p>
    <w:p w14:paraId="1E96DA17">
      <w:pPr>
        <w:pStyle w:val="4"/>
        <w:spacing w:before="120" w:after="120"/>
        <w:ind w:firstLine="240"/>
        <w:rPr>
          <w:rFonts w:hint="eastAsia" w:ascii="宋体" w:hAnsi="宋体" w:eastAsia="宋体" w:cs="宋体"/>
          <w:sz w:val="21"/>
          <w:szCs w:val="16"/>
          <w:highlight w:val="none"/>
        </w:rPr>
      </w:pPr>
      <w:r>
        <w:rPr>
          <w:rFonts w:hint="eastAsia" w:ascii="宋体" w:hAnsi="宋体" w:eastAsia="宋体" w:cs="宋体"/>
          <w:bCs/>
          <w:sz w:val="21"/>
          <w:szCs w:val="24"/>
          <w:highlight w:val="none"/>
        </w:rPr>
        <w:t>1.4 合格供应商资格要</w:t>
      </w:r>
      <w:r>
        <w:rPr>
          <w:rFonts w:hint="eastAsia" w:ascii="宋体" w:hAnsi="宋体" w:eastAsia="宋体" w:cs="宋体"/>
          <w:sz w:val="21"/>
          <w:szCs w:val="16"/>
          <w:highlight w:val="none"/>
        </w:rPr>
        <w:t>求</w:t>
      </w:r>
    </w:p>
    <w:p w14:paraId="0593A2E7">
      <w:pPr>
        <w:autoSpaceDN w:val="0"/>
        <w:spacing w:line="360" w:lineRule="auto"/>
        <w:ind w:firstLine="373" w:firstLineChars="177"/>
        <w:rPr>
          <w:rFonts w:hint="eastAsia" w:ascii="宋体" w:hAnsi="宋体" w:eastAsia="宋体" w:cs="宋体"/>
          <w:sz w:val="21"/>
          <w:szCs w:val="16"/>
          <w:highlight w:val="none"/>
        </w:rPr>
      </w:pPr>
      <w:r>
        <w:rPr>
          <w:rFonts w:hint="eastAsia" w:ascii="宋体" w:hAnsi="宋体" w:eastAsia="宋体" w:cs="宋体"/>
          <w:b/>
          <w:sz w:val="21"/>
          <w:szCs w:val="16"/>
          <w:highlight w:val="none"/>
        </w:rPr>
        <w:t>1.4.1合格供应商“基本资格”要求：</w:t>
      </w:r>
      <w:r>
        <w:rPr>
          <w:rFonts w:hint="eastAsia" w:ascii="宋体" w:hAnsi="宋体" w:eastAsia="宋体" w:cs="宋体"/>
          <w:b/>
          <w:color w:val="000000"/>
          <w:kern w:val="0"/>
          <w:sz w:val="21"/>
          <w:szCs w:val="16"/>
          <w:highlight w:val="none"/>
          <w:u w:val="single"/>
        </w:rPr>
        <w:t>见《第一章 竞争性磋商公告》</w:t>
      </w:r>
      <w:r>
        <w:rPr>
          <w:rFonts w:hint="eastAsia" w:ascii="宋体" w:hAnsi="宋体" w:eastAsia="宋体" w:cs="宋体"/>
          <w:color w:val="000000"/>
          <w:kern w:val="0"/>
          <w:sz w:val="21"/>
          <w:szCs w:val="16"/>
          <w:highlight w:val="none"/>
        </w:rPr>
        <w:t>；</w:t>
      </w:r>
    </w:p>
    <w:p w14:paraId="191793D5">
      <w:pPr>
        <w:autoSpaceDN w:val="0"/>
        <w:spacing w:line="360" w:lineRule="auto"/>
        <w:ind w:firstLine="373" w:firstLineChars="177"/>
        <w:rPr>
          <w:rFonts w:hint="eastAsia" w:ascii="宋体" w:hAnsi="宋体" w:eastAsia="宋体" w:cs="宋体"/>
          <w:sz w:val="21"/>
          <w:szCs w:val="16"/>
          <w:highlight w:val="none"/>
        </w:rPr>
      </w:pPr>
      <w:r>
        <w:rPr>
          <w:rFonts w:hint="eastAsia" w:ascii="宋体" w:hAnsi="宋体" w:eastAsia="宋体" w:cs="宋体"/>
          <w:b/>
          <w:sz w:val="21"/>
          <w:szCs w:val="16"/>
          <w:highlight w:val="none"/>
        </w:rPr>
        <w:t>1.4.2合格供应商“特定资格”要求：</w:t>
      </w:r>
      <w:r>
        <w:rPr>
          <w:rFonts w:hint="eastAsia" w:ascii="宋体" w:hAnsi="宋体" w:eastAsia="宋体" w:cs="宋体"/>
          <w:b/>
          <w:color w:val="000000"/>
          <w:kern w:val="0"/>
          <w:sz w:val="21"/>
          <w:szCs w:val="16"/>
          <w:highlight w:val="none"/>
          <w:u w:val="single"/>
        </w:rPr>
        <w:t>见《第一章 竞争性磋商公告》</w:t>
      </w:r>
      <w:r>
        <w:rPr>
          <w:rFonts w:hint="eastAsia" w:ascii="宋体" w:hAnsi="宋体" w:eastAsia="宋体" w:cs="宋体"/>
          <w:color w:val="000000"/>
          <w:kern w:val="0"/>
          <w:sz w:val="21"/>
          <w:szCs w:val="16"/>
          <w:highlight w:val="none"/>
        </w:rPr>
        <w:t>。</w:t>
      </w:r>
    </w:p>
    <w:p w14:paraId="5291CAC7">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1.5 定义</w:t>
      </w:r>
    </w:p>
    <w:p w14:paraId="4DF24804">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1.5.1“采购人”：</w:t>
      </w:r>
      <w:r>
        <w:rPr>
          <w:rFonts w:hint="eastAsia" w:ascii="宋体" w:hAnsi="宋体" w:eastAsia="宋体" w:cs="宋体"/>
          <w:color w:val="000000"/>
          <w:sz w:val="21"/>
          <w:szCs w:val="16"/>
          <w:highlight w:val="none"/>
        </w:rPr>
        <w:t>是</w:t>
      </w:r>
      <w:r>
        <w:rPr>
          <w:rFonts w:hint="eastAsia" w:ascii="宋体" w:hAnsi="宋体" w:eastAsia="宋体" w:cs="宋体"/>
          <w:color w:val="000000"/>
          <w:kern w:val="0"/>
          <w:sz w:val="21"/>
          <w:szCs w:val="16"/>
          <w:highlight w:val="none"/>
        </w:rPr>
        <w:t>指依法进行政府采购的国家机关、事业单位、团体组织，即政府采购合同中的“甲方”</w:t>
      </w:r>
      <w:r>
        <w:rPr>
          <w:rFonts w:hint="eastAsia" w:ascii="宋体" w:hAnsi="宋体" w:eastAsia="宋体" w:cs="宋体"/>
          <w:b/>
          <w:color w:val="000000"/>
          <w:kern w:val="0"/>
          <w:sz w:val="21"/>
          <w:szCs w:val="16"/>
          <w:highlight w:val="none"/>
        </w:rPr>
        <w:t>（本项目的采购人是指“</w:t>
      </w:r>
      <w:r>
        <w:rPr>
          <w:rFonts w:hint="eastAsia" w:ascii="宋体" w:hAnsi="宋体" w:eastAsia="宋体" w:cs="宋体"/>
          <w:b/>
          <w:color w:val="000000"/>
          <w:sz w:val="21"/>
          <w:szCs w:val="16"/>
          <w:highlight w:val="none"/>
          <w:u w:val="single"/>
          <w:lang w:eastAsia="zh-CN"/>
        </w:rPr>
        <w:t>浙江中医药大学</w:t>
      </w:r>
      <w:r>
        <w:rPr>
          <w:rFonts w:hint="eastAsia" w:ascii="宋体" w:hAnsi="宋体" w:eastAsia="宋体" w:cs="宋体"/>
          <w:b/>
          <w:color w:val="000000"/>
          <w:kern w:val="0"/>
          <w:sz w:val="21"/>
          <w:szCs w:val="16"/>
          <w:highlight w:val="none"/>
        </w:rPr>
        <w:t>”）</w:t>
      </w:r>
      <w:r>
        <w:rPr>
          <w:rFonts w:hint="eastAsia" w:ascii="宋体" w:hAnsi="宋体" w:eastAsia="宋体" w:cs="宋体"/>
          <w:color w:val="000000"/>
          <w:kern w:val="0"/>
          <w:sz w:val="21"/>
          <w:szCs w:val="16"/>
          <w:highlight w:val="none"/>
        </w:rPr>
        <w:t>；</w:t>
      </w:r>
    </w:p>
    <w:p w14:paraId="26E0C27E">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1.5.2“采购代理机构”：</w:t>
      </w:r>
      <w:r>
        <w:rPr>
          <w:rFonts w:hint="eastAsia" w:ascii="宋体" w:hAnsi="宋体" w:eastAsia="宋体" w:cs="宋体"/>
          <w:color w:val="000000"/>
          <w:sz w:val="21"/>
          <w:szCs w:val="16"/>
          <w:highlight w:val="none"/>
        </w:rPr>
        <w:t>是</w:t>
      </w:r>
      <w:r>
        <w:rPr>
          <w:rFonts w:hint="eastAsia" w:ascii="宋体" w:hAnsi="宋体" w:eastAsia="宋体" w:cs="宋体"/>
          <w:color w:val="000000"/>
          <w:kern w:val="0"/>
          <w:sz w:val="21"/>
          <w:szCs w:val="16"/>
          <w:highlight w:val="none"/>
        </w:rPr>
        <w:t>指受采购人委托，在委托的范围内办理采购事宜的机构</w:t>
      </w:r>
      <w:r>
        <w:rPr>
          <w:rFonts w:hint="eastAsia" w:ascii="宋体" w:hAnsi="宋体" w:eastAsia="宋体" w:cs="宋体"/>
          <w:b/>
          <w:color w:val="000000"/>
          <w:kern w:val="0"/>
          <w:sz w:val="21"/>
          <w:szCs w:val="16"/>
          <w:highlight w:val="none"/>
        </w:rPr>
        <w:t>（本项目的采购代理机构是指“</w:t>
      </w:r>
      <w:r>
        <w:rPr>
          <w:rFonts w:hint="eastAsia" w:ascii="宋体" w:hAnsi="宋体" w:eastAsia="宋体" w:cs="宋体"/>
          <w:b/>
          <w:color w:val="000000"/>
          <w:kern w:val="0"/>
          <w:sz w:val="21"/>
          <w:szCs w:val="16"/>
          <w:highlight w:val="none"/>
          <w:u w:val="single"/>
        </w:rPr>
        <w:t>浙江省成套招标代理有限公司</w:t>
      </w:r>
      <w:r>
        <w:rPr>
          <w:rFonts w:hint="eastAsia" w:ascii="宋体" w:hAnsi="宋体" w:eastAsia="宋体" w:cs="宋体"/>
          <w:b/>
          <w:color w:val="000000"/>
          <w:kern w:val="0"/>
          <w:sz w:val="21"/>
          <w:szCs w:val="16"/>
          <w:highlight w:val="none"/>
        </w:rPr>
        <w:t>”）</w:t>
      </w:r>
      <w:r>
        <w:rPr>
          <w:rFonts w:hint="eastAsia" w:ascii="宋体" w:hAnsi="宋体" w:eastAsia="宋体" w:cs="宋体"/>
          <w:color w:val="000000"/>
          <w:kern w:val="0"/>
          <w:sz w:val="21"/>
          <w:szCs w:val="16"/>
          <w:highlight w:val="none"/>
        </w:rPr>
        <w:t>；</w:t>
      </w:r>
    </w:p>
    <w:p w14:paraId="4BAD8508">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1.5.3“采购组织机构”：</w:t>
      </w:r>
      <w:r>
        <w:rPr>
          <w:rFonts w:hint="eastAsia" w:ascii="宋体" w:hAnsi="宋体" w:eastAsia="宋体" w:cs="宋体"/>
          <w:color w:val="000000"/>
          <w:sz w:val="21"/>
          <w:szCs w:val="16"/>
          <w:highlight w:val="none"/>
        </w:rPr>
        <w:t>是</w:t>
      </w:r>
      <w:r>
        <w:rPr>
          <w:rFonts w:hint="eastAsia" w:ascii="宋体" w:hAnsi="宋体" w:eastAsia="宋体" w:cs="宋体"/>
          <w:color w:val="000000"/>
          <w:kern w:val="0"/>
          <w:sz w:val="21"/>
          <w:szCs w:val="16"/>
          <w:highlight w:val="none"/>
        </w:rPr>
        <w:t>指采购人和受采购人委托的采购代理机构；</w:t>
      </w:r>
    </w:p>
    <w:p w14:paraId="5FAAF6FD">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1.5.4“磋商响应供应商”（或磋商供应商或供应商）：</w:t>
      </w:r>
      <w:r>
        <w:rPr>
          <w:rFonts w:hint="eastAsia" w:ascii="宋体" w:hAnsi="宋体" w:eastAsia="宋体" w:cs="宋体"/>
          <w:color w:val="000000"/>
          <w:sz w:val="21"/>
          <w:szCs w:val="16"/>
          <w:highlight w:val="none"/>
        </w:rPr>
        <w:t>是</w:t>
      </w:r>
      <w:r>
        <w:rPr>
          <w:rFonts w:hint="eastAsia" w:ascii="宋体" w:hAnsi="宋体" w:eastAsia="宋体" w:cs="宋体"/>
          <w:color w:val="000000"/>
          <w:kern w:val="0"/>
          <w:sz w:val="21"/>
          <w:szCs w:val="16"/>
          <w:highlight w:val="none"/>
        </w:rPr>
        <w:t>指响应采购、参加投标竞争的法人、其他组织或者自然人；</w:t>
      </w:r>
    </w:p>
    <w:p w14:paraId="2CFC966C">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kern w:val="0"/>
          <w:sz w:val="21"/>
          <w:szCs w:val="16"/>
          <w:highlight w:val="none"/>
        </w:rPr>
        <w:t>1.5.5“磋商响应供应商代表”：</w:t>
      </w:r>
      <w:r>
        <w:rPr>
          <w:rFonts w:hint="eastAsia" w:ascii="宋体" w:hAnsi="宋体" w:eastAsia="宋体" w:cs="宋体"/>
          <w:color w:val="000000"/>
          <w:sz w:val="21"/>
          <w:szCs w:val="16"/>
          <w:highlight w:val="none"/>
        </w:rPr>
        <w:t>是指参加本项目磋商活动的磋商响应供应商的法定代表人或法定代表人授权代表；</w:t>
      </w:r>
    </w:p>
    <w:p w14:paraId="36693E5B">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kern w:val="0"/>
          <w:sz w:val="21"/>
          <w:szCs w:val="16"/>
          <w:highlight w:val="none"/>
        </w:rPr>
        <w:t>1.5.6“</w:t>
      </w:r>
      <w:r>
        <w:rPr>
          <w:rFonts w:hint="eastAsia" w:ascii="宋体" w:hAnsi="宋体" w:eastAsia="宋体" w:cs="宋体"/>
          <w:b/>
          <w:color w:val="000000"/>
          <w:sz w:val="21"/>
          <w:szCs w:val="16"/>
          <w:highlight w:val="none"/>
        </w:rPr>
        <w:t>磋商联合体</w:t>
      </w:r>
      <w:r>
        <w:rPr>
          <w:rFonts w:hint="eastAsia" w:ascii="宋体" w:hAnsi="宋体" w:eastAsia="宋体" w:cs="宋体"/>
          <w:b/>
          <w:color w:val="000000"/>
          <w:kern w:val="0"/>
          <w:sz w:val="21"/>
          <w:szCs w:val="16"/>
          <w:highlight w:val="none"/>
        </w:rPr>
        <w:t>”</w:t>
      </w:r>
      <w:r>
        <w:rPr>
          <w:rFonts w:hint="eastAsia" w:ascii="宋体" w:hAnsi="宋体" w:eastAsia="宋体" w:cs="宋体"/>
          <w:b/>
          <w:color w:val="000000"/>
          <w:sz w:val="21"/>
          <w:szCs w:val="16"/>
          <w:highlight w:val="none"/>
        </w:rPr>
        <w:t>：</w:t>
      </w:r>
      <w:r>
        <w:rPr>
          <w:rFonts w:hint="eastAsia" w:ascii="宋体" w:hAnsi="宋体" w:eastAsia="宋体" w:cs="宋体"/>
          <w:color w:val="000000"/>
          <w:sz w:val="21"/>
          <w:szCs w:val="16"/>
          <w:highlight w:val="none"/>
        </w:rPr>
        <w:t>是指两个或以上供应商组成联合体，以一个磋商响应供应商的身份参加磋商响应；</w:t>
      </w:r>
    </w:p>
    <w:p w14:paraId="22E357BD">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kern w:val="0"/>
          <w:sz w:val="21"/>
          <w:szCs w:val="16"/>
          <w:highlight w:val="none"/>
        </w:rPr>
        <w:t>1.5.7“成交供应商”（或中标供应商）：</w:t>
      </w:r>
      <w:r>
        <w:rPr>
          <w:rFonts w:hint="eastAsia" w:ascii="宋体" w:hAnsi="宋体" w:eastAsia="宋体" w:cs="宋体"/>
          <w:color w:val="000000"/>
          <w:kern w:val="0"/>
          <w:sz w:val="21"/>
          <w:szCs w:val="16"/>
          <w:highlight w:val="none"/>
        </w:rPr>
        <w:t>是指经磋商小组推荐并经采购人确认的成交单位，</w:t>
      </w:r>
      <w:r>
        <w:rPr>
          <w:rFonts w:hint="eastAsia" w:ascii="宋体" w:hAnsi="宋体" w:eastAsia="宋体" w:cs="宋体"/>
          <w:b/>
          <w:color w:val="000000"/>
          <w:kern w:val="0"/>
          <w:sz w:val="21"/>
          <w:szCs w:val="16"/>
          <w:highlight w:val="none"/>
        </w:rPr>
        <w:t>即政府采购合同中的“承包人”</w:t>
      </w:r>
      <w:r>
        <w:rPr>
          <w:rFonts w:hint="eastAsia" w:ascii="宋体" w:hAnsi="宋体" w:eastAsia="宋体" w:cs="宋体"/>
          <w:color w:val="000000"/>
          <w:kern w:val="0"/>
          <w:sz w:val="21"/>
          <w:szCs w:val="16"/>
          <w:highlight w:val="none"/>
        </w:rPr>
        <w:t>；</w:t>
      </w:r>
    </w:p>
    <w:p w14:paraId="7E43AB09">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1.5.8“同级政府采购监督管理部门”：是指“</w:t>
      </w:r>
      <w:r>
        <w:rPr>
          <w:rFonts w:hint="eastAsia" w:ascii="宋体" w:hAnsi="宋体" w:eastAsia="宋体" w:cs="宋体"/>
          <w:b/>
          <w:color w:val="000000"/>
          <w:kern w:val="0"/>
          <w:sz w:val="21"/>
          <w:szCs w:val="16"/>
          <w:highlight w:val="none"/>
          <w:u w:val="single"/>
        </w:rPr>
        <w:t>浙江省财政厅政府采购监管处、浙江省政府采购行政裁决服务中心（杭州）</w:t>
      </w:r>
      <w:r>
        <w:rPr>
          <w:rFonts w:hint="eastAsia" w:ascii="宋体" w:hAnsi="宋体" w:eastAsia="宋体" w:cs="宋体"/>
          <w:b/>
          <w:color w:val="000000"/>
          <w:kern w:val="0"/>
          <w:sz w:val="21"/>
          <w:szCs w:val="16"/>
          <w:highlight w:val="none"/>
        </w:rPr>
        <w:t>”；</w:t>
      </w:r>
    </w:p>
    <w:p w14:paraId="1C6B73D5">
      <w:pPr>
        <w:autoSpaceDN w:val="0"/>
        <w:spacing w:line="360" w:lineRule="auto"/>
        <w:ind w:firstLine="373" w:firstLineChars="177"/>
        <w:rPr>
          <w:rFonts w:hint="eastAsia" w:ascii="宋体" w:hAnsi="宋体" w:eastAsia="宋体" w:cs="宋体"/>
          <w:b/>
          <w:bCs/>
          <w:color w:val="000000"/>
          <w:kern w:val="0"/>
          <w:sz w:val="21"/>
          <w:szCs w:val="16"/>
          <w:highlight w:val="none"/>
        </w:rPr>
      </w:pPr>
      <w:r>
        <w:rPr>
          <w:rFonts w:hint="eastAsia" w:ascii="宋体" w:hAnsi="宋体" w:eastAsia="宋体" w:cs="宋体"/>
          <w:b/>
          <w:bCs/>
          <w:color w:val="000000"/>
          <w:sz w:val="21"/>
          <w:szCs w:val="16"/>
          <w:highlight w:val="none"/>
        </w:rPr>
        <w:t>1.5.9“中小企业（含中型、小型、微型）”：</w:t>
      </w:r>
      <w:r>
        <w:rPr>
          <w:rFonts w:hint="eastAsia" w:ascii="宋体" w:hAnsi="宋体" w:eastAsia="宋体" w:cs="宋体"/>
          <w:color w:val="000000"/>
          <w:kern w:val="0"/>
          <w:sz w:val="21"/>
          <w:szCs w:val="16"/>
          <w:highlight w:val="none"/>
        </w:rPr>
        <w:t>是指在中华人民共和国境内依法设立，依据国务院批准的中小企业划分标准（工信部联企业[2011]300号）确定的中型企业、小型企业和微型企业（与大企业的负责人为同一人，或者与大企业存在直接控股、管理关系的除外）。</w:t>
      </w:r>
      <w:r>
        <w:rPr>
          <w:rFonts w:hint="eastAsia" w:ascii="宋体" w:hAnsi="宋体" w:eastAsia="宋体" w:cs="宋体"/>
          <w:b/>
          <w:bCs/>
          <w:color w:val="000000"/>
          <w:kern w:val="0"/>
          <w:sz w:val="21"/>
          <w:szCs w:val="16"/>
          <w:highlight w:val="none"/>
        </w:rPr>
        <w:t>符合中小企业划分标准（工信部联企业[2011]300号）的个体工商户在政府采购活动中视同中小企业。</w:t>
      </w:r>
    </w:p>
    <w:p w14:paraId="147D1706">
      <w:pPr>
        <w:autoSpaceDN w:val="0"/>
        <w:spacing w:line="360" w:lineRule="auto"/>
        <w:ind w:firstLine="373" w:firstLineChars="177"/>
        <w:rPr>
          <w:rFonts w:hint="eastAsia" w:ascii="宋体" w:hAnsi="宋体" w:eastAsia="宋体" w:cs="宋体"/>
          <w:b/>
          <w:bCs/>
          <w:color w:val="000000"/>
          <w:kern w:val="0"/>
          <w:sz w:val="21"/>
          <w:szCs w:val="16"/>
          <w:highlight w:val="none"/>
        </w:rPr>
      </w:pPr>
      <w:r>
        <w:rPr>
          <w:rFonts w:hint="eastAsia" w:ascii="宋体" w:hAnsi="宋体" w:eastAsia="宋体" w:cs="宋体"/>
          <w:b/>
          <w:bCs/>
          <w:color w:val="000000"/>
          <w:kern w:val="0"/>
          <w:sz w:val="21"/>
          <w:szCs w:val="16"/>
          <w:highlight w:val="none"/>
        </w:rPr>
        <w:t>1.5.10“监狱企业”：</w:t>
      </w:r>
      <w:r>
        <w:rPr>
          <w:rFonts w:hint="eastAsia" w:ascii="宋体" w:hAnsi="宋体" w:eastAsia="宋体" w:cs="宋体"/>
          <w:color w:val="000000"/>
          <w:kern w:val="0"/>
          <w:sz w:val="21"/>
          <w:szCs w:val="16"/>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000000"/>
          <w:kern w:val="0"/>
          <w:sz w:val="21"/>
          <w:szCs w:val="16"/>
          <w:highlight w:val="none"/>
          <w:lang w:eastAsia="zh-CN"/>
        </w:rPr>
        <w:t>；</w:t>
      </w:r>
    </w:p>
    <w:p w14:paraId="786D02C7">
      <w:pPr>
        <w:autoSpaceDN w:val="0"/>
        <w:spacing w:line="360" w:lineRule="auto"/>
        <w:ind w:firstLine="373" w:firstLineChars="177"/>
        <w:rPr>
          <w:rFonts w:hint="eastAsia" w:ascii="宋体" w:hAnsi="宋体" w:eastAsia="宋体" w:cs="宋体"/>
          <w:b/>
          <w:bCs/>
          <w:color w:val="000000"/>
          <w:kern w:val="0"/>
          <w:sz w:val="21"/>
          <w:szCs w:val="16"/>
          <w:highlight w:val="none"/>
        </w:rPr>
      </w:pPr>
      <w:r>
        <w:rPr>
          <w:rFonts w:hint="eastAsia" w:ascii="宋体" w:hAnsi="宋体" w:eastAsia="宋体" w:cs="宋体"/>
          <w:b/>
          <w:bCs/>
          <w:color w:val="000000"/>
          <w:kern w:val="0"/>
          <w:sz w:val="21"/>
          <w:szCs w:val="16"/>
          <w:highlight w:val="none"/>
        </w:rPr>
        <w:t>1.5.11“残疾人福利性单位”：</w:t>
      </w:r>
      <w:r>
        <w:rPr>
          <w:rFonts w:hint="eastAsia" w:ascii="宋体" w:hAnsi="宋体" w:eastAsia="宋体" w:cs="宋体"/>
          <w:color w:val="000000"/>
          <w:kern w:val="0"/>
          <w:sz w:val="21"/>
          <w:szCs w:val="16"/>
          <w:highlight w:val="none"/>
        </w:rPr>
        <w:t>是指符合《财政部 民政部 中国残疾人联合会关于促进残疾人就业政府采购政策的通知》（财库〔2017〕141号）的规定单位。</w:t>
      </w:r>
      <w:r>
        <w:rPr>
          <w:rFonts w:hint="eastAsia" w:ascii="宋体" w:hAnsi="宋体" w:eastAsia="宋体" w:cs="宋体"/>
          <w:b/>
          <w:bCs/>
          <w:color w:val="000000"/>
          <w:kern w:val="0"/>
          <w:sz w:val="21"/>
          <w:szCs w:val="16"/>
          <w:highlight w:val="none"/>
        </w:rPr>
        <w:t>在政府采购活动中，残疾人福利性单位视同小型、微型企业。</w:t>
      </w:r>
    </w:p>
    <w:p w14:paraId="4D0B8DD5">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1.5.12“项目”：</w:t>
      </w:r>
      <w:r>
        <w:rPr>
          <w:rFonts w:hint="eastAsia" w:ascii="宋体" w:hAnsi="宋体" w:eastAsia="宋体" w:cs="宋体"/>
          <w:color w:val="000000"/>
          <w:kern w:val="0"/>
          <w:sz w:val="21"/>
          <w:szCs w:val="16"/>
          <w:highlight w:val="none"/>
        </w:rPr>
        <w:t>是指磋商响应供应商按竞争性磋商文件规定向采购人提供的货物或服务或工程；</w:t>
      </w:r>
    </w:p>
    <w:p w14:paraId="42B22AB4">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1.5.13“书面形式”：</w:t>
      </w:r>
      <w:r>
        <w:rPr>
          <w:rFonts w:hint="eastAsia" w:ascii="宋体" w:hAnsi="宋体" w:eastAsia="宋体" w:cs="宋体"/>
          <w:color w:val="000000"/>
          <w:kern w:val="0"/>
          <w:sz w:val="21"/>
          <w:szCs w:val="16"/>
          <w:highlight w:val="none"/>
        </w:rPr>
        <w:t>是指加盖有单位公章的信函、传真、电子扫描件等；</w:t>
      </w:r>
    </w:p>
    <w:p w14:paraId="564EDD16">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1.5.14“个人有效身份证明”：</w:t>
      </w:r>
      <w:r>
        <w:rPr>
          <w:rFonts w:hint="eastAsia" w:ascii="宋体" w:hAnsi="宋体" w:eastAsia="宋体" w:cs="宋体"/>
          <w:color w:val="000000"/>
          <w:kern w:val="0"/>
          <w:sz w:val="21"/>
          <w:szCs w:val="16"/>
          <w:highlight w:val="none"/>
        </w:rPr>
        <w:t>是指有效的居民身份证、临时居民身份证、护照、驾驶证等，有期限规定的证件在有效期内方为有效；</w:t>
      </w:r>
    </w:p>
    <w:p w14:paraId="6E8FC399">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1.5.15“制造商”：</w:t>
      </w:r>
      <w:r>
        <w:rPr>
          <w:rFonts w:hint="eastAsia" w:ascii="宋体" w:hAnsi="宋体" w:eastAsia="宋体" w:cs="宋体"/>
          <w:color w:val="000000"/>
          <w:kern w:val="0"/>
          <w:sz w:val="21"/>
          <w:szCs w:val="16"/>
          <w:highlight w:val="none"/>
        </w:rPr>
        <w:t>是指拥有投标产品自主知识产权的单位；</w:t>
      </w:r>
    </w:p>
    <w:p w14:paraId="33063196">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1.5.16“竞争性磋商文件（或磋商文件或采购文件）”：</w:t>
      </w:r>
      <w:r>
        <w:rPr>
          <w:rFonts w:hint="eastAsia" w:ascii="宋体" w:hAnsi="宋体" w:eastAsia="宋体" w:cs="宋体"/>
          <w:color w:val="000000"/>
          <w:kern w:val="0"/>
          <w:sz w:val="21"/>
          <w:szCs w:val="16"/>
          <w:highlight w:val="none"/>
        </w:rPr>
        <w:t>是指本文件；</w:t>
      </w:r>
    </w:p>
    <w:p w14:paraId="676F9E2E">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1.5.17“进口产品”：</w:t>
      </w:r>
      <w:r>
        <w:rPr>
          <w:rFonts w:hint="eastAsia" w:ascii="宋体" w:hAnsi="宋体" w:eastAsia="宋体" w:cs="宋体"/>
          <w:color w:val="000000"/>
          <w:kern w:val="0"/>
          <w:sz w:val="21"/>
          <w:szCs w:val="16"/>
          <w:highlight w:val="none"/>
        </w:rPr>
        <w:t>是指通过中国海关报关验放进入中国境内且产自关境外的产品；</w:t>
      </w:r>
    </w:p>
    <w:p w14:paraId="44BC9CC1">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1.5.18“实质性条款（或要求）”：</w:t>
      </w:r>
      <w:r>
        <w:rPr>
          <w:rFonts w:hint="eastAsia" w:ascii="宋体" w:hAnsi="宋体" w:eastAsia="宋体" w:cs="宋体"/>
          <w:b/>
          <w:color w:val="000000"/>
          <w:kern w:val="0"/>
          <w:sz w:val="21"/>
          <w:szCs w:val="16"/>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宋体" w:hAnsi="宋体" w:eastAsia="宋体" w:cs="宋体"/>
          <w:b/>
          <w:color w:val="000000"/>
          <w:kern w:val="0"/>
          <w:sz w:val="21"/>
          <w:szCs w:val="16"/>
          <w:highlight w:val="none"/>
        </w:rPr>
        <w:t>；</w:t>
      </w:r>
    </w:p>
    <w:p w14:paraId="19EA7787">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sz w:val="21"/>
          <w:szCs w:val="16"/>
          <w:highlight w:val="none"/>
        </w:rPr>
        <w:t>1.5.19“重大偏离”或“保留”：</w:t>
      </w:r>
      <w:r>
        <w:rPr>
          <w:rFonts w:hint="eastAsia" w:ascii="宋体" w:hAnsi="宋体" w:eastAsia="宋体" w:cs="宋体"/>
          <w:color w:val="000000"/>
          <w:sz w:val="21"/>
          <w:szCs w:val="16"/>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0A3EDAE5">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sz w:val="21"/>
          <w:szCs w:val="16"/>
          <w:highlight w:val="none"/>
        </w:rPr>
        <w:t>1.5.20“细微偏离”</w:t>
      </w:r>
      <w:r>
        <w:rPr>
          <w:rFonts w:hint="eastAsia" w:ascii="宋体" w:hAnsi="宋体" w:eastAsia="宋体" w:cs="宋体"/>
          <w:color w:val="000000"/>
          <w:sz w:val="21"/>
          <w:szCs w:val="16"/>
          <w:highlight w:val="none"/>
        </w:rPr>
        <w:t>：是指磋商响应文件对磋商文件的非实质性内容存在不完全响应或不响应。</w:t>
      </w:r>
    </w:p>
    <w:p w14:paraId="5AC8EC40">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1.6 投标委托</w:t>
      </w:r>
    </w:p>
    <w:p w14:paraId="0B319AD4">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kern w:val="0"/>
          <w:sz w:val="21"/>
          <w:szCs w:val="16"/>
          <w:highlight w:val="none"/>
        </w:rPr>
        <w:t>磋商响应供应商可以授权其单位的其他在职员工全权代表其处理与本次磋商有关的事项，但其授权代表必须持有法出具的《法人授权委托书》（格式见第六章磋商响应文件格式），《法人授权委托书》</w:t>
      </w:r>
      <w:r>
        <w:rPr>
          <w:rFonts w:hint="eastAsia" w:ascii="宋体" w:hAnsi="宋体" w:eastAsia="宋体" w:cs="宋体"/>
          <w:b/>
          <w:color w:val="000000"/>
          <w:sz w:val="21"/>
          <w:szCs w:val="16"/>
          <w:highlight w:val="none"/>
        </w:rPr>
        <w:t>必须经法人（单位）盖章，否则视为无效授权（等同未提供）。</w:t>
      </w:r>
    </w:p>
    <w:p w14:paraId="136E1C99">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1.7 联合体磋商响应</w:t>
      </w:r>
    </w:p>
    <w:p w14:paraId="2D79C283">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1.7.1是否接受联合体磋商响应：</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4BEC9289">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1.7.2《磋商须知前附表》规定接受联合体磋商的，参加磋商的联合体应遵守以下规定：</w:t>
      </w:r>
    </w:p>
    <w:p w14:paraId="285754AF">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（1）两个或以上供应商可以组成一个联合体，以一个磋商响应供应商的身份共同参加磋商；</w:t>
      </w:r>
    </w:p>
    <w:p w14:paraId="14F1ADE0">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（2）两个或以上供应商组成联合体参加本项目磋商响应的，在登记获取竞争性磋商文件时应予以说明备注，并在资格文件中递交《</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》，未递交《</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》的联合体无效；</w:t>
      </w:r>
    </w:p>
    <w:p w14:paraId="5255E67A">
      <w:pPr>
        <w:autoSpaceDN w:val="0"/>
        <w:spacing w:line="360" w:lineRule="auto"/>
        <w:ind w:firstLine="371" w:firstLineChars="177"/>
        <w:rPr>
          <w:rFonts w:hint="eastAsia" w:ascii="宋体" w:hAnsi="宋体" w:eastAsia="宋体" w:cs="宋体"/>
          <w:color w:val="0000FF"/>
          <w:kern w:val="0"/>
          <w:sz w:val="21"/>
          <w:szCs w:val="16"/>
          <w:highlight w:val="none"/>
        </w:rPr>
      </w:pPr>
      <w:r>
        <w:rPr>
          <w:rFonts w:hint="eastAsia" w:ascii="宋体" w:hAnsi="宋体" w:eastAsia="宋体" w:cs="宋体"/>
          <w:color w:val="000000"/>
          <w:kern w:val="0"/>
          <w:sz w:val="21"/>
          <w:szCs w:val="16"/>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023B2D19">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（4）联合体各方之间须签订《</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》，明确约定联合体各方承担的工作和相应的责任，在《</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》中指定本项目主办人，并将《</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》作为磋商响应文件组成的一部分；本项目的主体、关键性工作须由主办人完成，并在《</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》中进行说明；</w:t>
      </w:r>
    </w:p>
    <w:p w14:paraId="0492D8EC">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（5）联合体各方签订《</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》后，不得再以自己名义单独在本项目中参加磋商，也不得组成新的联合体参加本项目磋商；</w:t>
      </w:r>
    </w:p>
    <w:p w14:paraId="5FEFAD4C">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（6）联合体各方共同与采购人签订采购合同，就采购合同约定的事项对采购人承担连带责任；</w:t>
      </w:r>
    </w:p>
    <w:p w14:paraId="6D4613E1">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（7）联合体磋商响应文件应由主办人按规定进行签章；</w:t>
      </w:r>
    </w:p>
    <w:p w14:paraId="11525D58">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（8）采购代理服务费可由主办人一方缴纳，也可以由联合体各方共同缴纳（具体缴纳金额须在《</w:t>
      </w:r>
      <w:r>
        <w:rPr>
          <w:rFonts w:hint="eastAsia" w:ascii="宋体" w:hAnsi="宋体" w:cs="宋体"/>
          <w:color w:val="000000"/>
          <w:kern w:val="0"/>
          <w:sz w:val="21"/>
          <w:szCs w:val="16"/>
          <w:highlight w:val="none"/>
          <w:lang w:eastAsia="zh-CN"/>
        </w:rPr>
        <w:t>联合体协议</w:t>
      </w:r>
      <w:r>
        <w:rPr>
          <w:rFonts w:hint="eastAsia" w:ascii="宋体" w:hAnsi="宋体" w:eastAsia="宋体" w:cs="宋体"/>
          <w:color w:val="000000"/>
          <w:kern w:val="0"/>
          <w:sz w:val="21"/>
          <w:szCs w:val="16"/>
          <w:highlight w:val="none"/>
        </w:rPr>
        <w:t>》中明确）。</w:t>
      </w:r>
    </w:p>
    <w:p w14:paraId="1D53425B">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1.8 进口产品磋商响应</w:t>
      </w:r>
    </w:p>
    <w:p w14:paraId="7C35BA51">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1.8.1是否允许进口产品磋商响应：</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45DE56C3">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1.8.2</w:t>
      </w:r>
      <w:r>
        <w:rPr>
          <w:rFonts w:hint="eastAsia" w:ascii="宋体" w:hAnsi="宋体" w:eastAsia="宋体" w:cs="宋体"/>
          <w:b/>
          <w:color w:val="000000"/>
          <w:kern w:val="0"/>
          <w:sz w:val="21"/>
          <w:szCs w:val="16"/>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宋体" w:hAnsi="宋体" w:eastAsia="宋体" w:cs="宋体"/>
          <w:b/>
          <w:color w:val="000000"/>
          <w:kern w:val="0"/>
          <w:sz w:val="21"/>
          <w:szCs w:val="16"/>
          <w:highlight w:val="none"/>
        </w:rPr>
        <w:t>。</w:t>
      </w:r>
    </w:p>
    <w:p w14:paraId="0CE70BA0">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1.9 磋商费用</w:t>
      </w:r>
    </w:p>
    <w:p w14:paraId="1B09BE10">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1.9.1不论磋商结果如何，磋商响应供应商均应自行承担所有与投标有关的全部费用，采购组织机构概不负责；</w:t>
      </w:r>
    </w:p>
    <w:p w14:paraId="38CE906E">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1.9.2合同实施过程中，成交供应商须与采购人积极配合。成交供应商自行承担本次采购活动中所发生的全部费用。</w:t>
      </w:r>
    </w:p>
    <w:p w14:paraId="7AD81F73">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1.10 语言文字及计量单位</w:t>
      </w:r>
    </w:p>
    <w:p w14:paraId="4750824B">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1.10.1语言文字：</w:t>
      </w:r>
      <w:r>
        <w:rPr>
          <w:rFonts w:hint="eastAsia" w:ascii="宋体" w:hAnsi="宋体" w:eastAsia="宋体" w:cs="宋体"/>
          <w:color w:val="000000"/>
          <w:kern w:val="0"/>
          <w:sz w:val="21"/>
          <w:szCs w:val="16"/>
          <w:highlight w:val="none"/>
        </w:rPr>
        <w:t>除专业术语、签名、盖章、名称等特殊情形外，与本次采购工作有关的所有材料、来往函电语言均应使用中文，专业术语、名称应附有中文注释。</w:t>
      </w:r>
      <w:r>
        <w:rPr>
          <w:rFonts w:hint="eastAsia" w:ascii="宋体" w:hAnsi="宋体" w:eastAsia="宋体" w:cs="宋体"/>
          <w:b/>
          <w:color w:val="000000"/>
          <w:kern w:val="0"/>
          <w:sz w:val="21"/>
          <w:szCs w:val="16"/>
          <w:highlight w:val="none"/>
        </w:rPr>
        <w:t>仅以中文以外的文字表述的材料视同未提供。</w:t>
      </w:r>
    </w:p>
    <w:p w14:paraId="748B4968">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1.10.2计量单位：</w:t>
      </w:r>
      <w:r>
        <w:rPr>
          <w:rFonts w:hint="eastAsia" w:ascii="宋体" w:hAnsi="宋体" w:eastAsia="宋体" w:cs="宋体"/>
          <w:color w:val="000000"/>
          <w:kern w:val="0"/>
          <w:sz w:val="21"/>
          <w:szCs w:val="16"/>
          <w:highlight w:val="none"/>
        </w:rPr>
        <w:t>竞争性磋商文件已有明确规定的，使用竞争性磋商文件规定的计量单位；</w:t>
      </w:r>
      <w:r>
        <w:rPr>
          <w:rFonts w:hint="eastAsia" w:ascii="宋体" w:hAnsi="宋体" w:eastAsia="宋体" w:cs="宋体"/>
          <w:b/>
          <w:color w:val="000000"/>
          <w:kern w:val="0"/>
          <w:sz w:val="21"/>
          <w:szCs w:val="16"/>
          <w:highlight w:val="none"/>
        </w:rPr>
        <w:t>竞争性磋商文件没有规定的，应采用中华人民共和国法定计量单位，否则视同未响应。</w:t>
      </w:r>
    </w:p>
    <w:p w14:paraId="7EEA4263">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1.11 现场勘查</w:t>
      </w:r>
    </w:p>
    <w:p w14:paraId="0E3F44DF">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1.11.1现场勘查时间、地点、联系人：</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543B11EF">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785B8641">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1.11.3供应商应自行前往规定的地点参加现场勘查，因参加现场勘查而发生的所有费用由供应商自行承担；</w:t>
      </w:r>
    </w:p>
    <w:p w14:paraId="29F08818">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1.11.4现场勘查过程中，供应商应注意勘查安全，除采购人的原因外，供应商在踏勘现场中所发生的人员伤亡和财产损失由供应商自行承担；</w:t>
      </w:r>
    </w:p>
    <w:p w14:paraId="5B858D7A">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1.11.5采购人在现场勘查中介绍的场地和相关的周边环境情况，仅供供应商在编制磋商响应文件时参考，采购人不对供应商据此作出的判断和决策负责。</w:t>
      </w:r>
    </w:p>
    <w:p w14:paraId="729EBDCA">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1.12 标前答疑会</w:t>
      </w:r>
    </w:p>
    <w:p w14:paraId="5E6D0B4C">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1.12.1标前答疑会时间、地点：</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sz w:val="21"/>
          <w:szCs w:val="16"/>
          <w:highlight w:val="none"/>
        </w:rPr>
        <w:t>；</w:t>
      </w:r>
    </w:p>
    <w:p w14:paraId="623657EE">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1.12.2前附表规定召开标前答疑会的，采购组织机构按《磋商须知前附表》规定的时间和地点召开标前答疑会，澄清供应商提出的问题；</w:t>
      </w:r>
    </w:p>
    <w:p w14:paraId="41750E5E">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1.12.3供应商应在答疑会时间的2日前，以书面形式将需要提出的问题送达采购组织机构，以便采购组织机构在会议期间澄清；</w:t>
      </w:r>
    </w:p>
    <w:p w14:paraId="608535C4">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56FE91B3">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1.13 关联供应商投标限制</w:t>
      </w:r>
    </w:p>
    <w:p w14:paraId="73FA286B">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本采购文件所称“关联企业”，是指存在关联关系的企业；“关联关系”的界定适用《中华人民共和国公司法》相关规定。</w:t>
      </w:r>
    </w:p>
    <w:p w14:paraId="292C270B">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1.13.1单位负责人为同一人或者存在直接控股、管理关系的不同供应商，不得同时参加同一合同项下的政府采购活动，否则相关供应商的资格均作“不合格”处理。</w:t>
      </w:r>
    </w:p>
    <w:p w14:paraId="360D3C4E">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1.13.2存在以下利害关系的不同供应商，不得同时参加同一合同项下的政府采购活动，否则相关供应商的投标响应均作无效处理：</w:t>
      </w:r>
    </w:p>
    <w:p w14:paraId="3FDE9BA7">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（1）法定代表人或负责人或实际控制人是夫妻关系；</w:t>
      </w:r>
    </w:p>
    <w:p w14:paraId="65F35AEC">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（2）法定代表人或负责人或实际控制人是直系血亲关系；</w:t>
      </w:r>
    </w:p>
    <w:p w14:paraId="6B67AEA7">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（3）法定代表人或负责人或实际控制人存在三代以内旁系血亲关系；</w:t>
      </w:r>
    </w:p>
    <w:p w14:paraId="7253E2A6">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（4）法定代表人或负责人或实际控制人存在近姻亲关系；</w:t>
      </w:r>
    </w:p>
    <w:p w14:paraId="14ED13A9">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（5）法定代表人或负责人或实际控制人存在股份控制或实际控制关系；</w:t>
      </w:r>
    </w:p>
    <w:p w14:paraId="15476F19">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（6）存在共同直接或间接投资设立子公司、联营企业和合营企业情况；</w:t>
      </w:r>
    </w:p>
    <w:p w14:paraId="34D5AE7B">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（7）存在分级代理或代销关系、同一生产制造商关系、管理关系、重要业务（占主营业务收入50%以上）或重要财务往来关系（如融资）等其他实质性控制关系。</w:t>
      </w:r>
    </w:p>
    <w:p w14:paraId="2F9C83A5">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1.13.3除单一来源采购项目外，为采购项目提供整体设计、规范编制或者项目管理、监理、检测等服务的供应商，不得再参加该采购项目的其他采购活动，相关磋商响应供应商的</w:t>
      </w:r>
      <w:r>
        <w:rPr>
          <w:rFonts w:hint="eastAsia" w:ascii="宋体" w:hAnsi="宋体" w:eastAsia="宋体" w:cs="宋体"/>
          <w:b/>
          <w:kern w:val="0"/>
          <w:sz w:val="21"/>
          <w:szCs w:val="16"/>
          <w:highlight w:val="none"/>
        </w:rPr>
        <w:t>磋商响应</w:t>
      </w:r>
      <w:r>
        <w:rPr>
          <w:rFonts w:hint="eastAsia" w:ascii="宋体" w:hAnsi="宋体" w:eastAsia="宋体" w:cs="宋体"/>
          <w:b/>
          <w:color w:val="000000"/>
          <w:kern w:val="0"/>
          <w:sz w:val="21"/>
          <w:szCs w:val="16"/>
          <w:highlight w:val="none"/>
        </w:rPr>
        <w:t>作无效处理。</w:t>
      </w:r>
    </w:p>
    <w:p w14:paraId="09198642">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522F6AC5">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1.14 特殊供应商投标规定</w:t>
      </w:r>
    </w:p>
    <w:p w14:paraId="59189D63">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根据《关于规范政府采购供应商资格设定及资格审查的通知（浙财采监【2013】24号）》第六条规定，</w:t>
      </w:r>
      <w:r>
        <w:rPr>
          <w:rFonts w:hint="eastAsia" w:ascii="宋体" w:hAnsi="宋体" w:eastAsia="宋体" w:cs="宋体"/>
          <w:b/>
          <w:color w:val="000000"/>
          <w:kern w:val="0"/>
          <w:sz w:val="21"/>
          <w:szCs w:val="16"/>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CA94A8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1.15 转包、分包</w:t>
      </w:r>
    </w:p>
    <w:p w14:paraId="23EB628E">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1.15.1转包：</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3B343A80">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1.15.2分包：</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4399DF8C">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1.15.3《磋商须知前附表》中声明允许分包的，磋商响应供应商可以根据竞争性磋商文件的规定和采购项目的实际情况进行分包。</w:t>
      </w:r>
      <w:r>
        <w:rPr>
          <w:rFonts w:hint="eastAsia" w:ascii="宋体" w:hAnsi="宋体" w:eastAsia="宋体" w:cs="宋体"/>
          <w:b/>
          <w:color w:val="000000"/>
          <w:kern w:val="0"/>
          <w:sz w:val="21"/>
          <w:szCs w:val="16"/>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宋体" w:hAnsi="宋体" w:eastAsia="宋体" w:cs="宋体"/>
          <w:color w:val="000000"/>
          <w:kern w:val="0"/>
          <w:sz w:val="21"/>
          <w:szCs w:val="16"/>
          <w:highlight w:val="none"/>
        </w:rPr>
        <w:t>政府采购合同分包履行的，中标/成交供应商就采购项目和分包项目向采购人负责，分包供应商就分包项目承担责任。</w:t>
      </w:r>
    </w:p>
    <w:p w14:paraId="342367E8">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1.16 供应商询问、质疑和投诉</w:t>
      </w:r>
    </w:p>
    <w:p w14:paraId="41A09A79">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1.16.1询问：</w:t>
      </w:r>
      <w:r>
        <w:rPr>
          <w:rFonts w:hint="eastAsia" w:ascii="宋体" w:hAnsi="宋体" w:eastAsia="宋体" w:cs="宋体"/>
          <w:color w:val="000000"/>
          <w:kern w:val="0"/>
          <w:sz w:val="21"/>
          <w:szCs w:val="16"/>
          <w:highlight w:val="none"/>
        </w:rPr>
        <w:t>在采购活动中供应商可以就某一事项向采购组织机构发出“询问”，采购组织机构将在收到供应商“询问”后三个工作日内予以答复，但规定不予答复的内容除外。</w:t>
      </w:r>
    </w:p>
    <w:p w14:paraId="3035F3DA">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1.16.2质</w:t>
      </w:r>
      <w:r>
        <w:rPr>
          <w:rFonts w:hint="eastAsia" w:ascii="宋体" w:hAnsi="宋体" w:eastAsia="宋体" w:cs="宋体"/>
          <w:b/>
          <w:kern w:val="0"/>
          <w:sz w:val="21"/>
          <w:szCs w:val="16"/>
          <w:highlight w:val="none"/>
        </w:rPr>
        <w:t>疑：供应商认为竞争性磋商文件、采购过程和采购结果使自己的合法权益受到损害的，应当在知道或者应知其权益受到损害之日起七个工作日内，以书面形式一次性向采购人、采购代理</w:t>
      </w:r>
      <w:r>
        <w:rPr>
          <w:rFonts w:hint="eastAsia" w:ascii="宋体" w:hAnsi="宋体" w:eastAsia="宋体" w:cs="宋体"/>
          <w:b/>
          <w:color w:val="000000"/>
          <w:kern w:val="0"/>
          <w:sz w:val="21"/>
          <w:szCs w:val="16"/>
          <w:highlight w:val="none"/>
        </w:rPr>
        <w:t>机构提出质疑。</w:t>
      </w:r>
    </w:p>
    <w:p w14:paraId="0A6BA04C">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1.16.2.1上述所指“供应商应知其权益受到损害之日”，是指：</w:t>
      </w:r>
    </w:p>
    <w:p w14:paraId="79454FBE">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w:t>
      </w:r>
      <w:r>
        <w:rPr>
          <w:rFonts w:hint="eastAsia" w:ascii="宋体" w:hAnsi="宋体" w:eastAsia="宋体" w:cs="宋体"/>
          <w:color w:val="000000"/>
          <w:kern w:val="0"/>
          <w:sz w:val="21"/>
          <w:szCs w:val="16"/>
          <w:highlight w:val="none"/>
          <w:u w:val="single"/>
        </w:rPr>
        <w:t>对</w:t>
      </w:r>
      <w:r>
        <w:rPr>
          <w:rFonts w:hint="eastAsia" w:ascii="宋体" w:hAnsi="宋体" w:eastAsia="宋体" w:cs="宋体"/>
          <w:color w:val="000000"/>
          <w:sz w:val="21"/>
          <w:szCs w:val="16"/>
          <w:highlight w:val="none"/>
          <w:u w:val="single"/>
        </w:rPr>
        <w:t>竞争性磋商文件</w:t>
      </w:r>
      <w:r>
        <w:rPr>
          <w:rFonts w:hint="eastAsia" w:ascii="宋体" w:hAnsi="宋体" w:eastAsia="宋体" w:cs="宋体"/>
          <w:color w:val="000000"/>
          <w:kern w:val="0"/>
          <w:sz w:val="21"/>
          <w:szCs w:val="16"/>
          <w:highlight w:val="none"/>
          <w:u w:val="single"/>
        </w:rPr>
        <w:t>提出质疑的，</w:t>
      </w:r>
      <w:r>
        <w:rPr>
          <w:rFonts w:hint="eastAsia" w:ascii="宋体" w:hAnsi="宋体" w:eastAsia="宋体" w:cs="宋体"/>
          <w:color w:val="000000"/>
          <w:sz w:val="21"/>
          <w:szCs w:val="16"/>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宋体" w:hAnsi="宋体" w:eastAsia="宋体" w:cs="宋体"/>
          <w:b/>
          <w:bCs/>
          <w:color w:val="000000"/>
          <w:sz w:val="21"/>
          <w:szCs w:val="16"/>
          <w:highlight w:val="none"/>
          <w:u w:val="single"/>
        </w:rPr>
        <w:t>但</w:t>
      </w:r>
      <w:r>
        <w:rPr>
          <w:rFonts w:hint="eastAsia" w:ascii="宋体" w:hAnsi="宋体" w:eastAsia="宋体" w:cs="宋体"/>
          <w:b/>
          <w:kern w:val="0"/>
          <w:sz w:val="21"/>
          <w:szCs w:val="16"/>
          <w:highlight w:val="none"/>
          <w:u w:val="single"/>
        </w:rPr>
        <w:t>须在磋商响应文件提交截止时间前提出</w:t>
      </w:r>
      <w:r>
        <w:rPr>
          <w:rFonts w:hint="eastAsia" w:ascii="宋体" w:hAnsi="宋体" w:eastAsia="宋体" w:cs="宋体"/>
          <w:color w:val="000000"/>
          <w:kern w:val="0"/>
          <w:sz w:val="21"/>
          <w:szCs w:val="16"/>
          <w:highlight w:val="none"/>
        </w:rPr>
        <w:t>；</w:t>
      </w:r>
    </w:p>
    <w:p w14:paraId="7A087FAF">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（2）</w:t>
      </w:r>
      <w:r>
        <w:rPr>
          <w:rFonts w:hint="eastAsia" w:ascii="宋体" w:hAnsi="宋体" w:eastAsia="宋体" w:cs="宋体"/>
          <w:color w:val="000000"/>
          <w:kern w:val="0"/>
          <w:sz w:val="21"/>
          <w:szCs w:val="16"/>
          <w:highlight w:val="none"/>
          <w:u w:val="single"/>
        </w:rPr>
        <w:t>对采购过程提出质疑的，为各采购程序环节结束之日</w:t>
      </w:r>
      <w:r>
        <w:rPr>
          <w:rFonts w:hint="eastAsia" w:ascii="宋体" w:hAnsi="宋体" w:eastAsia="宋体" w:cs="宋体"/>
          <w:color w:val="000000"/>
          <w:kern w:val="0"/>
          <w:sz w:val="21"/>
          <w:szCs w:val="16"/>
          <w:highlight w:val="none"/>
        </w:rPr>
        <w:t>；</w:t>
      </w:r>
    </w:p>
    <w:p w14:paraId="5E2AF03E">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（3）</w:t>
      </w:r>
      <w:r>
        <w:rPr>
          <w:rFonts w:hint="eastAsia" w:ascii="宋体" w:hAnsi="宋体" w:eastAsia="宋体" w:cs="宋体"/>
          <w:color w:val="000000"/>
          <w:kern w:val="0"/>
          <w:sz w:val="21"/>
          <w:szCs w:val="16"/>
          <w:highlight w:val="none"/>
          <w:u w:val="single"/>
        </w:rPr>
        <w:t>对成交结果提出质疑的，为成交结果公告期限届满之日</w:t>
      </w:r>
      <w:r>
        <w:rPr>
          <w:rFonts w:hint="eastAsia" w:ascii="宋体" w:hAnsi="宋体" w:eastAsia="宋体" w:cs="宋体"/>
          <w:color w:val="000000"/>
          <w:kern w:val="0"/>
          <w:sz w:val="21"/>
          <w:szCs w:val="16"/>
          <w:highlight w:val="none"/>
        </w:rPr>
        <w:t>。</w:t>
      </w:r>
    </w:p>
    <w:p w14:paraId="524B7EE9">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1.16.2.2</w:t>
      </w:r>
      <w:r>
        <w:rPr>
          <w:rFonts w:hint="eastAsia" w:ascii="宋体" w:hAnsi="宋体" w:eastAsia="宋体" w:cs="宋体"/>
          <w:b/>
          <w:color w:val="000000"/>
          <w:sz w:val="21"/>
          <w:szCs w:val="22"/>
          <w:highlight w:val="none"/>
        </w:rPr>
        <w:t>供应商提出质疑应当递交质疑函和必要的证明材料。</w:t>
      </w:r>
      <w:r>
        <w:rPr>
          <w:rFonts w:hint="eastAsia" w:ascii="宋体" w:hAnsi="宋体" w:eastAsia="宋体" w:cs="宋体"/>
          <w:color w:val="000000"/>
          <w:sz w:val="21"/>
          <w:szCs w:val="22"/>
          <w:highlight w:val="none"/>
        </w:rPr>
        <w:t>质疑函应当包括下列内容：</w:t>
      </w:r>
    </w:p>
    <w:p w14:paraId="336A2561">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（1）供应商的姓名或者名称、地址、邮编、联系人及联系电话；</w:t>
      </w:r>
    </w:p>
    <w:p w14:paraId="457DE0EA">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（2）质疑项目的名称、编号；</w:t>
      </w:r>
    </w:p>
    <w:p w14:paraId="71A99A53">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（3）具体、明确的质疑事项和与质疑事项相关的请求；</w:t>
      </w:r>
    </w:p>
    <w:p w14:paraId="454F89E4">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（4）事实依据；</w:t>
      </w:r>
    </w:p>
    <w:p w14:paraId="7EBBC1A3">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（5）必要的法律依据；</w:t>
      </w:r>
    </w:p>
    <w:p w14:paraId="68C2BB66">
      <w:pPr>
        <w:autoSpaceDN w:val="0"/>
        <w:spacing w:line="360" w:lineRule="auto"/>
        <w:ind w:firstLine="371" w:firstLineChars="177"/>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（6）提出质疑的日期。</w:t>
      </w:r>
    </w:p>
    <w:p w14:paraId="195DA0E9">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sz w:val="21"/>
          <w:szCs w:val="22"/>
          <w:highlight w:val="none"/>
        </w:rPr>
        <w:t>供应商为自然人的，应当由本人签字并附上身份证明；供应商为法人或者其他组织的，应当由法定代表人或者其授权代表签字或者盖章，并加盖公章。</w:t>
      </w:r>
    </w:p>
    <w:p w14:paraId="5FD8E5C7">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1.16.2.3供应商认可采购组织机构在质疑答复程序中启用的调查和重新评审等程序，在该程序操作过程未明显违反法律禁止性规定时，不得再提出异议；</w:t>
      </w:r>
    </w:p>
    <w:p w14:paraId="47F51B35">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000000"/>
          <w:kern w:val="0"/>
          <w:sz w:val="21"/>
          <w:szCs w:val="16"/>
          <w:highlight w:val="none"/>
          <w:u w:val="single"/>
        </w:rPr>
        <w:t>即通过合法手段获得的能够证明供应商的诉求成立的必要材料</w:t>
      </w:r>
      <w:r>
        <w:rPr>
          <w:rFonts w:hint="eastAsia" w:ascii="宋体" w:hAnsi="宋体" w:eastAsia="宋体" w:cs="宋体"/>
          <w:b/>
          <w:color w:val="000000"/>
          <w:kern w:val="0"/>
          <w:sz w:val="21"/>
          <w:szCs w:val="16"/>
          <w:highlight w:val="none"/>
        </w:rPr>
        <w:t>）；</w:t>
      </w:r>
    </w:p>
    <w:p w14:paraId="165FC734">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1.16.3投诉：</w:t>
      </w:r>
      <w:r>
        <w:rPr>
          <w:rFonts w:hint="eastAsia" w:ascii="宋体" w:hAnsi="宋体" w:eastAsia="宋体" w:cs="宋体"/>
          <w:color w:val="000000"/>
          <w:kern w:val="0"/>
          <w:sz w:val="21"/>
          <w:szCs w:val="16"/>
          <w:highlight w:val="none"/>
        </w:rPr>
        <w:t>供应商对采购组织机构的质疑答复不满意或者采购组织机构未在规定时间内作出答复的，可以在答复期满后十五个工作日内向同级采购监管部门投诉。</w:t>
      </w:r>
    </w:p>
    <w:p w14:paraId="7E2CBFF5">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1.17 其他说明</w:t>
      </w:r>
    </w:p>
    <w:p w14:paraId="0F87CA25">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宋体" w:hAnsi="宋体" w:eastAsia="宋体" w:cs="宋体"/>
          <w:color w:val="000000"/>
          <w:kern w:val="0"/>
          <w:sz w:val="21"/>
          <w:szCs w:val="16"/>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DC96C4F">
      <w:pPr>
        <w:autoSpaceDN w:val="0"/>
        <w:spacing w:line="360" w:lineRule="auto"/>
        <w:ind w:firstLine="373" w:firstLineChars="177"/>
        <w:rPr>
          <w:rFonts w:hint="eastAsia" w:ascii="宋体" w:hAnsi="宋体" w:eastAsia="宋体" w:cs="宋体"/>
          <w:b/>
          <w:kern w:val="0"/>
          <w:sz w:val="21"/>
          <w:szCs w:val="16"/>
          <w:highlight w:val="none"/>
        </w:rPr>
      </w:pPr>
      <w:r>
        <w:rPr>
          <w:rFonts w:hint="eastAsia" w:ascii="宋体" w:hAnsi="宋体" w:eastAsia="宋体" w:cs="宋体"/>
          <w:b/>
          <w:kern w:val="0"/>
          <w:sz w:val="21"/>
          <w:szCs w:val="16"/>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19701B80">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1.17.3磋商响应供应商应仔细阅读竞争性磋商文件的所有内容，按照竞争性磋商文件的要求递交《磋商响应文件》。</w:t>
      </w:r>
      <w:r>
        <w:rPr>
          <w:rFonts w:hint="eastAsia" w:ascii="宋体" w:hAnsi="宋体" w:eastAsia="宋体" w:cs="宋体"/>
          <w:bCs/>
          <w:color w:val="000000"/>
          <w:kern w:val="0"/>
          <w:sz w:val="21"/>
          <w:szCs w:val="16"/>
          <w:highlight w:val="none"/>
        </w:rPr>
        <w:t>《磋商响应文件》应对竞争性磋商文件的要求作出实质性响应，并对所提供的全部资料的真实性承担法律责任。</w:t>
      </w:r>
    </w:p>
    <w:p w14:paraId="308D4770">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1FFD4E27">
      <w:pPr>
        <w:pStyle w:val="134"/>
        <w:autoSpaceDN w:val="0"/>
        <w:spacing w:line="360" w:lineRule="auto"/>
        <w:ind w:firstLine="482"/>
        <w:rPr>
          <w:rFonts w:hint="eastAsia" w:ascii="宋体" w:hAnsi="宋体" w:eastAsia="宋体" w:cs="宋体"/>
          <w:bCs/>
          <w:sz w:val="21"/>
          <w:szCs w:val="21"/>
          <w:highlight w:val="none"/>
        </w:rPr>
      </w:pPr>
      <w:r>
        <w:rPr>
          <w:rFonts w:hint="eastAsia" w:ascii="宋体" w:hAnsi="宋体" w:eastAsia="宋体" w:cs="宋体"/>
          <w:b/>
          <w:bCs/>
          <w:color w:val="000000"/>
          <w:kern w:val="0"/>
          <w:sz w:val="21"/>
          <w:szCs w:val="16"/>
          <w:highlight w:val="none"/>
        </w:rPr>
        <w:t>1.17.5</w:t>
      </w:r>
      <w:r>
        <w:rPr>
          <w:rFonts w:hint="eastAsia" w:ascii="宋体" w:hAnsi="宋体" w:eastAsia="宋体" w:cs="宋体"/>
          <w:b/>
          <w:bCs/>
          <w:sz w:val="21"/>
          <w:szCs w:val="21"/>
          <w:highlight w:val="none"/>
          <w:u w:val="single"/>
        </w:rPr>
        <w:t>磋商响应供应商对所响应项内的采购内容必须全部进行响应</w:t>
      </w:r>
      <w:r>
        <w:rPr>
          <w:rFonts w:hint="eastAsia" w:ascii="宋体" w:hAnsi="宋体" w:eastAsia="宋体" w:cs="宋体"/>
          <w:b/>
          <w:bCs/>
          <w:sz w:val="21"/>
          <w:szCs w:val="21"/>
          <w:highlight w:val="none"/>
        </w:rPr>
        <w:t>。</w:t>
      </w:r>
    </w:p>
    <w:p w14:paraId="07D1FBC6">
      <w:pPr>
        <w:pStyle w:val="134"/>
        <w:autoSpaceDN w:val="0"/>
        <w:spacing w:line="360" w:lineRule="auto"/>
        <w:ind w:firstLine="480"/>
        <w:rPr>
          <w:rFonts w:hint="eastAsia" w:ascii="宋体" w:hAnsi="宋体" w:eastAsia="宋体" w:cs="宋体"/>
          <w:bCs/>
          <w:sz w:val="21"/>
          <w:szCs w:val="21"/>
          <w:highlight w:val="none"/>
        </w:rPr>
      </w:pPr>
      <w:r>
        <w:rPr>
          <w:rFonts w:hint="eastAsia" w:ascii="宋体" w:hAnsi="宋体" w:eastAsia="宋体" w:cs="宋体"/>
          <w:color w:val="000000"/>
          <w:kern w:val="0"/>
          <w:sz w:val="21"/>
          <w:szCs w:val="16"/>
          <w:highlight w:val="none"/>
        </w:rPr>
        <w:t>1.17.6</w:t>
      </w:r>
      <w:r>
        <w:rPr>
          <w:rFonts w:hint="eastAsia" w:ascii="宋体" w:hAnsi="宋体" w:eastAsia="宋体" w:cs="宋体"/>
          <w:bCs/>
          <w:sz w:val="21"/>
          <w:szCs w:val="21"/>
          <w:highlight w:val="none"/>
        </w:rPr>
        <w:t>竞争性磋商文件中如有描述歧义或前后不一致的地方，磋商小组有权按公平、合理的原则进行评判，但对同一条款的评判适用于每个供应商。</w:t>
      </w:r>
    </w:p>
    <w:p w14:paraId="6DA3B26A">
      <w:pPr>
        <w:pStyle w:val="134"/>
        <w:autoSpaceDN w:val="0"/>
        <w:spacing w:line="360" w:lineRule="auto"/>
        <w:ind w:firstLine="480"/>
        <w:rPr>
          <w:rFonts w:hint="eastAsia" w:ascii="宋体" w:hAnsi="宋体" w:eastAsia="宋体" w:cs="宋体"/>
          <w:sz w:val="21"/>
          <w:szCs w:val="21"/>
          <w:highlight w:val="none"/>
        </w:rPr>
      </w:pPr>
      <w:r>
        <w:rPr>
          <w:rFonts w:hint="eastAsia" w:ascii="宋体" w:hAnsi="宋体" w:eastAsia="宋体" w:cs="宋体"/>
          <w:color w:val="000000"/>
          <w:kern w:val="0"/>
          <w:sz w:val="21"/>
          <w:szCs w:val="16"/>
          <w:highlight w:val="none"/>
        </w:rPr>
        <w:t>1.17.7</w:t>
      </w:r>
      <w:r>
        <w:rPr>
          <w:rFonts w:hint="eastAsia" w:ascii="宋体" w:hAnsi="宋体" w:eastAsia="宋体" w:cs="宋体"/>
          <w:bCs/>
          <w:sz w:val="21"/>
          <w:szCs w:val="21"/>
          <w:highlight w:val="none"/>
        </w:rPr>
        <w:t>响应文件的响应内容必须真实、明确、准确。否则，磋商小组将对其作出不利的评审。</w:t>
      </w:r>
    </w:p>
    <w:p w14:paraId="3EF0F2DD">
      <w:pPr>
        <w:autoSpaceDN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16"/>
          <w:highlight w:val="none"/>
        </w:rPr>
        <w:t>1.17.8</w:t>
      </w:r>
      <w:r>
        <w:rPr>
          <w:rFonts w:hint="eastAsia" w:ascii="宋体" w:hAnsi="宋体" w:eastAsia="宋体" w:cs="宋体"/>
          <w:sz w:val="21"/>
          <w:szCs w:val="21"/>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4D48F21">
      <w:pPr>
        <w:pStyle w:val="3"/>
        <w:autoSpaceDN w:val="0"/>
        <w:spacing w:before="360"/>
        <w:ind w:firstLine="0" w:firstLineChars="0"/>
        <w:rPr>
          <w:rFonts w:hint="eastAsia" w:ascii="宋体" w:hAnsi="宋体" w:eastAsia="宋体" w:cs="宋体"/>
          <w:sz w:val="22"/>
          <w:szCs w:val="22"/>
          <w:highlight w:val="none"/>
        </w:rPr>
      </w:pPr>
      <w:bookmarkStart w:id="17" w:name="_Toc20894"/>
      <w:bookmarkStart w:id="18" w:name="_Toc23257"/>
      <w:r>
        <w:rPr>
          <w:rFonts w:hint="eastAsia" w:ascii="宋体" w:hAnsi="宋体" w:eastAsia="宋体" w:cs="宋体"/>
          <w:sz w:val="22"/>
          <w:szCs w:val="22"/>
          <w:highlight w:val="none"/>
        </w:rPr>
        <w:t>二、</w:t>
      </w:r>
      <w:bookmarkEnd w:id="15"/>
      <w:bookmarkEnd w:id="16"/>
      <w:r>
        <w:rPr>
          <w:rFonts w:hint="eastAsia" w:ascii="宋体" w:hAnsi="宋体" w:eastAsia="宋体" w:cs="宋体"/>
          <w:sz w:val="22"/>
          <w:szCs w:val="22"/>
          <w:highlight w:val="none"/>
        </w:rPr>
        <w:t>落实的政府采购政策</w:t>
      </w:r>
      <w:bookmarkEnd w:id="17"/>
      <w:bookmarkEnd w:id="18"/>
    </w:p>
    <w:p w14:paraId="75B35B4B">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bookmarkStart w:id="19" w:name="_Toc82338241"/>
      <w:bookmarkStart w:id="20" w:name="_Toc82873324"/>
      <w:r>
        <w:rPr>
          <w:rFonts w:hint="eastAsia" w:ascii="宋体" w:hAnsi="宋体" w:eastAsia="宋体" w:cs="宋体"/>
          <w:b/>
          <w:bCs/>
          <w:sz w:val="21"/>
          <w:szCs w:val="24"/>
          <w:highlight w:val="none"/>
        </w:rPr>
        <w:t>2.1 支持中小企业发展</w:t>
      </w:r>
    </w:p>
    <w:p w14:paraId="255F34D3">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2.1.1是否专门面向中小企业采购：</w:t>
      </w:r>
      <w:r>
        <w:rPr>
          <w:rFonts w:hint="eastAsia" w:ascii="宋体" w:hAnsi="宋体" w:eastAsia="宋体" w:cs="宋体"/>
          <w:b/>
          <w:color w:val="000000"/>
          <w:sz w:val="21"/>
          <w:szCs w:val="16"/>
          <w:highlight w:val="none"/>
          <w:u w:val="single"/>
        </w:rPr>
        <w:t>见《磋商须知前附表》</w:t>
      </w:r>
      <w:r>
        <w:rPr>
          <w:rFonts w:hint="eastAsia" w:ascii="宋体" w:hAnsi="宋体" w:eastAsia="宋体" w:cs="宋体"/>
          <w:b/>
          <w:color w:val="000000"/>
          <w:sz w:val="21"/>
          <w:szCs w:val="16"/>
          <w:highlight w:val="none"/>
        </w:rPr>
        <w:t>；</w:t>
      </w:r>
    </w:p>
    <w:p w14:paraId="3F22016B">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2.1.2 本项目中小企业划分标准所属行业：</w:t>
      </w:r>
      <w:r>
        <w:rPr>
          <w:rFonts w:hint="eastAsia" w:ascii="宋体" w:hAnsi="宋体" w:eastAsia="宋体" w:cs="宋体"/>
          <w:b/>
          <w:color w:val="000000"/>
          <w:sz w:val="21"/>
          <w:szCs w:val="16"/>
          <w:highlight w:val="none"/>
          <w:u w:val="single"/>
        </w:rPr>
        <w:t>见《磋商须知前附表》</w:t>
      </w:r>
      <w:r>
        <w:rPr>
          <w:rFonts w:hint="eastAsia" w:ascii="宋体" w:hAnsi="宋体" w:eastAsia="宋体" w:cs="宋体"/>
          <w:b/>
          <w:color w:val="000000"/>
          <w:sz w:val="21"/>
          <w:szCs w:val="16"/>
          <w:highlight w:val="none"/>
        </w:rPr>
        <w:t>。</w:t>
      </w:r>
    </w:p>
    <w:p w14:paraId="21B7C634">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2.1.3在政府采购活动中，供应商提供的货物、工程或者服务符合下列情形的，享受中小企业扶持政策：</w:t>
      </w:r>
    </w:p>
    <w:p w14:paraId="475EA916">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29469F5">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bCs/>
          <w:color w:val="000000"/>
          <w:sz w:val="21"/>
          <w:szCs w:val="16"/>
          <w:highlight w:val="none"/>
        </w:rPr>
        <w:t>（2）在工程采购项目中，工程由中小企业承建，即工程施工单位为中小企业；</w:t>
      </w:r>
    </w:p>
    <w:p w14:paraId="1D64EB95">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（3）在服务采购项目中，服务由中小企业承接，即提供服务的人员为中小企业依照《中华人民共和国劳动合同法》订立劳动合同的从业人员。</w:t>
      </w:r>
    </w:p>
    <w:p w14:paraId="2FA67A84">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以联合体形式参加政府采购活动，联合体各方均为中小企业的，联合体视同中小企业。其中，联合体各方均为小微企业的，联合体视同小微企业。</w:t>
      </w:r>
    </w:p>
    <w:p w14:paraId="46DF175D">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2.1.4对于未预留份额专门面向中小企业采购的采购项目，以及预留份额项目中的非预留部分采购包，对小微企业报价给予5%的扣除，用扣除后的价格参加评审。</w:t>
      </w:r>
    </w:p>
    <w:p w14:paraId="3CEE3C13">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2.1.5接受大中型企业与小微企业组成联合体或者允许大中型企业向一家或者多家小微企业分包的采购项目，对于联合</w:t>
      </w:r>
      <w:r>
        <w:rPr>
          <w:rFonts w:hint="eastAsia" w:ascii="宋体" w:hAnsi="宋体" w:cs="宋体"/>
          <w:color w:val="000000"/>
          <w:sz w:val="21"/>
          <w:szCs w:val="16"/>
          <w:highlight w:val="none"/>
          <w:lang w:val="en-US" w:eastAsia="zh-CN"/>
        </w:rPr>
        <w:t>体</w:t>
      </w:r>
      <w:r>
        <w:rPr>
          <w:rFonts w:hint="eastAsia" w:ascii="宋体" w:hAnsi="宋体" w:eastAsia="宋体" w:cs="宋体"/>
          <w:color w:val="000000"/>
          <w:sz w:val="21"/>
          <w:szCs w:val="16"/>
          <w:highlight w:val="none"/>
        </w:rPr>
        <w:t>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1A10E167">
      <w:pPr>
        <w:autoSpaceDN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color w:val="000000"/>
          <w:sz w:val="21"/>
          <w:szCs w:val="16"/>
          <w:highlight w:val="none"/>
        </w:rPr>
        <w:t>2.1.6</w:t>
      </w:r>
      <w:r>
        <w:rPr>
          <w:rFonts w:hint="eastAsia" w:ascii="宋体" w:hAnsi="宋体" w:eastAsia="宋体" w:cs="宋体"/>
          <w:b/>
          <w:bCs/>
          <w:sz w:val="21"/>
          <w:szCs w:val="21"/>
          <w:highlight w:val="none"/>
        </w:rPr>
        <w:t>可享受</w:t>
      </w:r>
      <w:r>
        <w:rPr>
          <w:rFonts w:hint="eastAsia" w:ascii="宋体" w:hAnsi="宋体" w:eastAsia="宋体" w:cs="宋体"/>
          <w:b/>
          <w:bCs/>
          <w:kern w:val="0"/>
          <w:sz w:val="21"/>
          <w:szCs w:val="21"/>
          <w:highlight w:val="none"/>
        </w:rPr>
        <w:t>中小企业扶持政策</w:t>
      </w:r>
      <w:r>
        <w:rPr>
          <w:rFonts w:hint="eastAsia" w:ascii="宋体" w:hAnsi="宋体" w:eastAsia="宋体" w:cs="宋体"/>
          <w:b/>
          <w:bCs/>
          <w:sz w:val="21"/>
          <w:szCs w:val="21"/>
          <w:highlight w:val="none"/>
        </w:rPr>
        <w:t>的供应商应按照磋商响应文件格式要求提供《中小企业声明函》。</w:t>
      </w:r>
    </w:p>
    <w:p w14:paraId="3FAE86DA">
      <w:pPr>
        <w:autoSpaceDN w:val="0"/>
        <w:spacing w:line="360" w:lineRule="auto"/>
        <w:ind w:firstLine="373" w:firstLineChars="177"/>
        <w:rPr>
          <w:rFonts w:hint="eastAsia" w:ascii="宋体" w:hAnsi="宋体" w:eastAsia="宋体" w:cs="宋体"/>
          <w:b/>
          <w:sz w:val="21"/>
          <w:szCs w:val="16"/>
          <w:highlight w:val="none"/>
        </w:rPr>
      </w:pPr>
      <w:r>
        <w:rPr>
          <w:rFonts w:hint="eastAsia" w:ascii="宋体" w:hAnsi="宋体" w:eastAsia="宋体" w:cs="宋体"/>
          <w:b/>
          <w:sz w:val="21"/>
          <w:szCs w:val="16"/>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29642E8">
      <w:pPr>
        <w:autoSpaceDN w:val="0"/>
        <w:spacing w:line="360" w:lineRule="auto"/>
        <w:ind w:firstLine="371" w:firstLineChars="177"/>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3F9BDCA9">
      <w:pPr>
        <w:autoSpaceDN w:val="0"/>
        <w:spacing w:line="360" w:lineRule="auto"/>
        <w:ind w:firstLine="373" w:firstLineChars="177"/>
        <w:rPr>
          <w:rFonts w:hint="eastAsia" w:ascii="宋体" w:hAnsi="宋体" w:eastAsia="宋体" w:cs="宋体"/>
          <w:b/>
          <w:sz w:val="21"/>
          <w:szCs w:val="16"/>
          <w:highlight w:val="none"/>
        </w:rPr>
      </w:pPr>
      <w:r>
        <w:rPr>
          <w:rFonts w:hint="eastAsia" w:ascii="宋体" w:hAnsi="宋体" w:eastAsia="宋体" w:cs="宋体"/>
          <w:b/>
          <w:sz w:val="21"/>
          <w:szCs w:val="16"/>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ADF670D">
      <w:pPr>
        <w:autoSpaceDN w:val="0"/>
        <w:spacing w:line="360" w:lineRule="auto"/>
        <w:ind w:firstLine="420" w:firstLineChars="20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12462F16">
      <w:pPr>
        <w:autoSpaceDN w:val="0"/>
        <w:spacing w:line="360" w:lineRule="auto"/>
        <w:ind w:firstLine="420" w:firstLineChars="20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2.1.9中小企业享受扶持政策获得政府采购合同的，小微企业不得将合同分包给大中型企业，中型企业不得将合同分包给大型企业。</w:t>
      </w:r>
    </w:p>
    <w:p w14:paraId="5F9BF7EF">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2.2 节能、环保产品政府采购实施相关规定</w:t>
      </w:r>
    </w:p>
    <w:p w14:paraId="413E4A3D">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39CB2C1">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sz w:val="21"/>
          <w:szCs w:val="16"/>
          <w:highlight w:val="none"/>
        </w:rPr>
        <w:t>2.2.2《节能产品政府采购品目清单》详见《关于印发节能产品政府采购品目清单的通知（财库[2019]19号）》（如遇调整，按最新清单执行）。</w:t>
      </w:r>
    </w:p>
    <w:p w14:paraId="3539AE25">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39383AFB">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sz w:val="21"/>
          <w:szCs w:val="16"/>
          <w:highlight w:val="none"/>
        </w:rPr>
        <w:t>2.2.4《环境标志产品政府采购品目清单》详见《关于印发环境标志产品政府采购品目清单的通知（财库[2019]18号）》（如遇调整，按最新清单执行）。</w:t>
      </w:r>
    </w:p>
    <w:p w14:paraId="4BF6FF45">
      <w:pPr>
        <w:autoSpaceDN w:val="0"/>
        <w:spacing w:line="360" w:lineRule="auto"/>
        <w:ind w:firstLine="373" w:firstLineChars="177"/>
        <w:rPr>
          <w:rFonts w:hint="eastAsia" w:ascii="宋体" w:hAnsi="宋体" w:eastAsia="宋体" w:cs="宋体"/>
          <w:color w:val="000000"/>
          <w:sz w:val="21"/>
          <w:szCs w:val="16"/>
          <w:highlight w:val="none"/>
        </w:rPr>
      </w:pPr>
      <w:r>
        <w:rPr>
          <w:rFonts w:hint="eastAsia" w:ascii="宋体" w:hAnsi="宋体" w:eastAsia="宋体" w:cs="宋体"/>
          <w:b/>
          <w:color w:val="000000"/>
          <w:sz w:val="21"/>
          <w:szCs w:val="16"/>
          <w:highlight w:val="none"/>
        </w:rPr>
        <w:t>2.2.5本次采购对属于品目清单范围但不属于政府强制采购产品的，实施优先采购，详见第七章评分标准中有关节能、环保评分内容。</w:t>
      </w:r>
      <w:r>
        <w:rPr>
          <w:rFonts w:hint="eastAsia" w:ascii="宋体" w:hAnsi="宋体" w:eastAsia="宋体" w:cs="宋体"/>
          <w:color w:val="000000"/>
          <w:sz w:val="21"/>
          <w:szCs w:val="16"/>
          <w:highlight w:val="none"/>
        </w:rPr>
        <w:t>供应商在响应文件中提供国家确定的认证机构出具的、处于有效期之内的节能产品或环境标志产品认证证书（扫描件）。</w:t>
      </w:r>
    </w:p>
    <w:p w14:paraId="398A28EA">
      <w:pPr>
        <w:autoSpaceDN w:val="0"/>
        <w:spacing w:line="360" w:lineRule="auto"/>
        <w:ind w:firstLine="373" w:firstLineChars="177"/>
        <w:rPr>
          <w:rFonts w:hint="eastAsia" w:ascii="宋体" w:hAnsi="宋体" w:eastAsia="宋体" w:cs="宋体"/>
          <w:b/>
          <w:color w:val="000000"/>
          <w:sz w:val="21"/>
          <w:szCs w:val="16"/>
          <w:highlight w:val="none"/>
        </w:rPr>
      </w:pPr>
      <w:r>
        <w:rPr>
          <w:rFonts w:hint="eastAsia" w:ascii="宋体" w:hAnsi="宋体" w:eastAsia="宋体" w:cs="宋体"/>
          <w:b/>
          <w:color w:val="000000"/>
          <w:sz w:val="21"/>
          <w:szCs w:val="16"/>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20913EBD">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sz w:val="21"/>
          <w:szCs w:val="16"/>
          <w:highlight w:val="none"/>
        </w:rPr>
        <w:t>2.2.7国家确定的认证机构以国家市场监管总局发布的参与实施政府采购节能产品、环境标志产品认证机构名录为准，详见第八章附件（如遇调整，请以最新公布的为准）。</w:t>
      </w:r>
      <w:bookmarkEnd w:id="19"/>
      <w:bookmarkEnd w:id="20"/>
    </w:p>
    <w:p w14:paraId="04334AD7">
      <w:pPr>
        <w:pStyle w:val="3"/>
        <w:autoSpaceDN w:val="0"/>
        <w:spacing w:before="360"/>
        <w:ind w:firstLine="221" w:firstLineChars="100"/>
        <w:rPr>
          <w:rFonts w:hint="eastAsia" w:ascii="宋体" w:hAnsi="宋体" w:eastAsia="宋体" w:cs="宋体"/>
          <w:sz w:val="22"/>
          <w:szCs w:val="22"/>
          <w:highlight w:val="none"/>
        </w:rPr>
      </w:pPr>
      <w:bookmarkStart w:id="21" w:name="_Toc582"/>
      <w:bookmarkStart w:id="22" w:name="_Toc23444"/>
      <w:r>
        <w:rPr>
          <w:rFonts w:hint="eastAsia" w:ascii="宋体" w:hAnsi="宋体" w:eastAsia="宋体" w:cs="宋体"/>
          <w:sz w:val="22"/>
          <w:szCs w:val="22"/>
          <w:highlight w:val="none"/>
        </w:rPr>
        <w:t>三、竞争性磋商文件</w:t>
      </w:r>
      <w:bookmarkEnd w:id="21"/>
      <w:bookmarkEnd w:id="22"/>
    </w:p>
    <w:p w14:paraId="10948A1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3.1 竞争性磋商文件的组成</w:t>
      </w:r>
    </w:p>
    <w:p w14:paraId="5EE5CD6D">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第一章 竞争性磋商公告；</w:t>
      </w:r>
    </w:p>
    <w:p w14:paraId="1819EA60">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第二章 磋商须知前附表；</w:t>
      </w:r>
    </w:p>
    <w:p w14:paraId="1713BA3A">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第三章 磋商须知；</w:t>
      </w:r>
    </w:p>
    <w:p w14:paraId="5DA07451">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第四章 采购内容及技术要求；</w:t>
      </w:r>
    </w:p>
    <w:p w14:paraId="28918904">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第五章 合同主要条款；</w:t>
      </w:r>
    </w:p>
    <w:p w14:paraId="6D03F9C1">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第六章 磋商响应文件格式；</w:t>
      </w:r>
    </w:p>
    <w:p w14:paraId="4F39EC55">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第七章 评审办法</w:t>
      </w:r>
    </w:p>
    <w:p w14:paraId="6E4608E7">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第八章 附件（如有）；</w:t>
      </w:r>
    </w:p>
    <w:p w14:paraId="70D9AFC8">
      <w:pPr>
        <w:numPr>
          <w:ilvl w:val="0"/>
          <w:numId w:val="2"/>
        </w:numPr>
        <w:autoSpaceDN w:val="0"/>
        <w:spacing w:line="360" w:lineRule="auto"/>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竞争性磋商文件的澄清、修改文件以及磋商过程中对磋商文件作出的实质性变动（如有，另册）。</w:t>
      </w:r>
    </w:p>
    <w:p w14:paraId="6C900E9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3.2 竞争性磋商文件的提疑</w:t>
      </w:r>
    </w:p>
    <w:p w14:paraId="7AD9DFB5">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3.2.1竞争性磋商文件提疑截止时间：</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4F57DDB0">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3.2.2供应商应认真阅读通过“政府采购云平台”获取的竞争性磋商文件，如发现竞争性磋商文件或清单、图纸（如有）中有前后不一致或不清楚或有误的内容，应在“竞争性磋商文件提疑截止时间”前以书面形式向采购组织机构提出，否则造成的一切后果由供应商自行承担，采购组织机构概不负责；</w:t>
      </w:r>
    </w:p>
    <w:p w14:paraId="1B3A74AE">
      <w:pPr>
        <w:autoSpaceDN w:val="0"/>
        <w:spacing w:line="360" w:lineRule="auto"/>
        <w:ind w:firstLine="371" w:firstLineChars="177"/>
        <w:rPr>
          <w:rFonts w:hint="eastAsia" w:ascii="宋体" w:hAnsi="宋体" w:eastAsia="宋体" w:cs="宋体"/>
          <w:color w:val="FF0000"/>
          <w:kern w:val="0"/>
          <w:sz w:val="21"/>
          <w:szCs w:val="16"/>
          <w:highlight w:val="none"/>
        </w:rPr>
      </w:pPr>
      <w:r>
        <w:rPr>
          <w:rFonts w:hint="eastAsia" w:ascii="宋体" w:hAnsi="宋体" w:eastAsia="宋体" w:cs="宋体"/>
          <w:color w:val="000000"/>
          <w:kern w:val="0"/>
          <w:sz w:val="21"/>
          <w:szCs w:val="16"/>
          <w:highlight w:val="none"/>
        </w:rPr>
        <w:t>3.2.3采购组织机构将在收到供应商递交的《疑问函》后三个工作日内以书面形式答复供应商提出的问题，</w:t>
      </w:r>
      <w:r>
        <w:rPr>
          <w:rFonts w:hint="eastAsia" w:ascii="宋体" w:hAnsi="宋体" w:eastAsia="宋体" w:cs="宋体"/>
          <w:kern w:val="0"/>
          <w:sz w:val="21"/>
          <w:szCs w:val="16"/>
          <w:highlight w:val="none"/>
        </w:rPr>
        <w:t>并将不包含问题来源的答复通知所有已登记获取竞争性磋商文件的供应商。</w:t>
      </w:r>
    </w:p>
    <w:p w14:paraId="2359FD4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3.3 竞争性磋商文件的澄清、修改（更正）</w:t>
      </w:r>
    </w:p>
    <w:p w14:paraId="7F27058F">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color w:val="000000"/>
          <w:kern w:val="0"/>
          <w:sz w:val="21"/>
          <w:szCs w:val="16"/>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1996AA98">
      <w:pPr>
        <w:autoSpaceDN w:val="0"/>
        <w:spacing w:line="360" w:lineRule="auto"/>
        <w:ind w:firstLine="373" w:firstLineChars="177"/>
        <w:rPr>
          <w:rFonts w:hint="eastAsia" w:ascii="宋体" w:hAnsi="宋体" w:eastAsia="宋体" w:cs="宋体"/>
          <w:color w:val="000000"/>
          <w:kern w:val="0"/>
          <w:sz w:val="21"/>
          <w:szCs w:val="16"/>
          <w:highlight w:val="none"/>
        </w:rPr>
      </w:pPr>
      <w:r>
        <w:rPr>
          <w:rFonts w:hint="eastAsia" w:ascii="宋体" w:hAnsi="宋体" w:eastAsia="宋体" w:cs="宋体"/>
          <w:b/>
          <w:color w:val="000000"/>
          <w:kern w:val="0"/>
          <w:sz w:val="21"/>
          <w:szCs w:val="16"/>
          <w:highlight w:val="none"/>
        </w:rPr>
        <w:t>3.3.2竞争性磋商文件的澄清或者修改内容为竞争性磋商文件的组成部分，对所有参加本次采购活动的供应商均有约束力；</w:t>
      </w:r>
      <w:r>
        <w:rPr>
          <w:rFonts w:hint="eastAsia" w:ascii="宋体" w:hAnsi="宋体" w:eastAsia="宋体" w:cs="宋体"/>
          <w:color w:val="000000"/>
          <w:kern w:val="0"/>
          <w:sz w:val="21"/>
          <w:szCs w:val="16"/>
          <w:highlight w:val="none"/>
        </w:rPr>
        <w:t>当原竞争性磋商文件与澄清、修改的内容就同一事项的表述不一致时，以最后发出的文件为准；</w:t>
      </w:r>
    </w:p>
    <w:p w14:paraId="1EE2E614">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3.3.3竞争性磋商文件的澄清、修改的内容影响到供应商磋商响应文件编制的，采购人或采购代理机构将按相关规定顺延磋商响应文件截止时间及开启时间，使之满足政府采购相关规定；</w:t>
      </w:r>
    </w:p>
    <w:p w14:paraId="41B3C009">
      <w:pPr>
        <w:autoSpaceDN w:val="0"/>
        <w:spacing w:line="360" w:lineRule="auto"/>
        <w:ind w:left="1" w:firstLine="369" w:firstLineChars="175"/>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3.3.4供应商收到采购组织机构发出的澄清、修改（更正）文件后，应在24小时内向采购组织机构递交书面回执；</w:t>
      </w:r>
    </w:p>
    <w:p w14:paraId="282CAE55">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3.3.5供应商对收到的澄清、修改（更正）文件内容有疑问的，应当同时在书面回执中加注说明并与采购人或采购代理机构确认，疑问内容应加盖单位公章、写明日期；</w:t>
      </w:r>
    </w:p>
    <w:p w14:paraId="40540D7E">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3.3.6任何口头形式的答复、说明均不属于竞争性磋商文件的组成部分。</w:t>
      </w:r>
    </w:p>
    <w:p w14:paraId="7B08F349">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3.4 竞争性磋商文件的质疑</w:t>
      </w:r>
    </w:p>
    <w:p w14:paraId="2E1511A3">
      <w:pPr>
        <w:autoSpaceDN w:val="0"/>
        <w:spacing w:line="360" w:lineRule="auto"/>
        <w:ind w:firstLine="371" w:firstLineChars="177"/>
        <w:rPr>
          <w:rFonts w:hint="eastAsia" w:ascii="宋体" w:hAnsi="宋体" w:eastAsia="宋体" w:cs="宋体"/>
          <w:color w:val="000000"/>
          <w:kern w:val="0"/>
          <w:sz w:val="21"/>
          <w:szCs w:val="16"/>
          <w:highlight w:val="none"/>
        </w:rPr>
      </w:pPr>
      <w:r>
        <w:rPr>
          <w:rFonts w:hint="eastAsia" w:ascii="宋体" w:hAnsi="宋体" w:eastAsia="宋体" w:cs="宋体"/>
          <w:color w:val="000000"/>
          <w:kern w:val="0"/>
          <w:sz w:val="21"/>
          <w:szCs w:val="16"/>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0D7ACD5">
      <w:pPr>
        <w:pStyle w:val="3"/>
        <w:autoSpaceDN w:val="0"/>
        <w:spacing w:before="360"/>
        <w:ind w:firstLine="221" w:firstLineChars="100"/>
        <w:rPr>
          <w:rFonts w:hint="eastAsia" w:ascii="宋体" w:hAnsi="宋体" w:eastAsia="宋体" w:cs="宋体"/>
          <w:sz w:val="22"/>
          <w:szCs w:val="22"/>
          <w:highlight w:val="none"/>
        </w:rPr>
      </w:pPr>
      <w:bookmarkStart w:id="23" w:name="_Toc11409"/>
      <w:bookmarkStart w:id="24" w:name="_Toc27827"/>
      <w:r>
        <w:rPr>
          <w:rFonts w:hint="eastAsia" w:ascii="宋体" w:hAnsi="宋体" w:eastAsia="宋体" w:cs="宋体"/>
          <w:sz w:val="22"/>
          <w:szCs w:val="22"/>
          <w:highlight w:val="none"/>
        </w:rPr>
        <w:t>四、磋商响应文件</w:t>
      </w:r>
      <w:bookmarkEnd w:id="23"/>
      <w:bookmarkEnd w:id="24"/>
    </w:p>
    <w:p w14:paraId="1ED846B8">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4.1 磋商响应文件的形式</w:t>
      </w:r>
    </w:p>
    <w:p w14:paraId="4AFBDEB9">
      <w:pPr>
        <w:autoSpaceDN w:val="0"/>
        <w:spacing w:line="360" w:lineRule="auto"/>
        <w:ind w:firstLine="373" w:firstLineChars="177"/>
        <w:rPr>
          <w:rFonts w:hint="eastAsia" w:ascii="宋体" w:hAnsi="宋体" w:eastAsia="宋体" w:cs="宋体"/>
          <w:sz w:val="21"/>
          <w:szCs w:val="16"/>
          <w:highlight w:val="none"/>
        </w:rPr>
      </w:pPr>
      <w:r>
        <w:rPr>
          <w:rFonts w:hint="eastAsia" w:ascii="宋体" w:hAnsi="宋体" w:eastAsia="宋体" w:cs="宋体"/>
          <w:b/>
          <w:color w:val="000000"/>
          <w:sz w:val="21"/>
          <w:szCs w:val="16"/>
          <w:highlight w:val="none"/>
        </w:rPr>
        <w:t>4.1.1磋商响应文件的形式：</w:t>
      </w:r>
      <w:r>
        <w:rPr>
          <w:rFonts w:hint="eastAsia" w:ascii="宋体" w:hAnsi="宋体" w:eastAsia="宋体" w:cs="宋体"/>
          <w:b/>
          <w:color w:val="000000"/>
          <w:sz w:val="21"/>
          <w:szCs w:val="16"/>
          <w:highlight w:val="none"/>
          <w:u w:val="single"/>
        </w:rPr>
        <w:t>电子加密磋商响应文件</w:t>
      </w:r>
      <w:r>
        <w:rPr>
          <w:rFonts w:hint="eastAsia" w:ascii="宋体" w:hAnsi="宋体" w:eastAsia="宋体" w:cs="宋体"/>
          <w:b/>
          <w:color w:val="000000"/>
          <w:sz w:val="21"/>
          <w:szCs w:val="16"/>
          <w:highlight w:val="none"/>
        </w:rPr>
        <w:t>（是指通过“政采云电子交易客户端”完成磋商响应文件编制后生成并加密的数据电文形式的磋商响应文件，文件格式“.jmbs”）。</w:t>
      </w:r>
    </w:p>
    <w:p w14:paraId="51F413D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4.2 磋商响应文件的组成</w:t>
      </w:r>
    </w:p>
    <w:p w14:paraId="7BE8FD88">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4.2.1</w:t>
      </w:r>
      <w:r>
        <w:rPr>
          <w:rFonts w:hint="eastAsia" w:ascii="宋体" w:hAnsi="宋体" w:eastAsia="宋体" w:cs="宋体"/>
          <w:b/>
          <w:color w:val="000000"/>
          <w:sz w:val="21"/>
          <w:szCs w:val="16"/>
          <w:highlight w:val="none"/>
        </w:rPr>
        <w:t>完整的磋商响应文件由《资格文件》、《商务技术文件》和《报价文件》三个部分组成</w:t>
      </w:r>
      <w:r>
        <w:rPr>
          <w:rFonts w:hint="eastAsia" w:ascii="宋体" w:hAnsi="宋体" w:eastAsia="宋体" w:cs="宋体"/>
          <w:b/>
          <w:color w:val="000000"/>
          <w:kern w:val="0"/>
          <w:sz w:val="21"/>
          <w:szCs w:val="20"/>
          <w:highlight w:val="none"/>
        </w:rPr>
        <w:t>（以下统称“磋商响应文件”）。</w:t>
      </w:r>
    </w:p>
    <w:p w14:paraId="4CC7EA42">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4.2.2磋商响应文件内容组成</w:t>
      </w:r>
    </w:p>
    <w:p w14:paraId="5B64A082">
      <w:pPr>
        <w:pStyle w:val="5"/>
        <w:autoSpaceDN w:val="0"/>
        <w:ind w:firstLine="561"/>
        <w:rPr>
          <w:rFonts w:hint="eastAsia" w:ascii="宋体" w:hAnsi="宋体" w:eastAsia="宋体" w:cs="宋体"/>
          <w:sz w:val="22"/>
          <w:szCs w:val="22"/>
          <w:highlight w:val="none"/>
        </w:rPr>
      </w:pPr>
      <w:r>
        <w:rPr>
          <w:rFonts w:hint="eastAsia" w:ascii="宋体" w:hAnsi="宋体" w:eastAsia="宋体" w:cs="宋体"/>
          <w:sz w:val="22"/>
          <w:szCs w:val="22"/>
          <w:highlight w:val="none"/>
        </w:rPr>
        <w:t>（1）《资格文件》</w:t>
      </w:r>
    </w:p>
    <w:tbl>
      <w:tblPr>
        <w:tblStyle w:val="51"/>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14:paraId="552D7C0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14:paraId="7CBC6BE2">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18"/>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331" w:type="dxa"/>
            <w:shd w:val="clear" w:color="auto" w:fill="DAEEF3"/>
            <w:vAlign w:val="center"/>
          </w:tcPr>
          <w:p w14:paraId="4A27DB02">
            <w:pPr>
              <w:autoSpaceDN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2"/>
                <w:szCs w:val="24"/>
                <w:highlight w:val="none"/>
                <w14:textFill>
                  <w14:solidFill>
                    <w14:schemeClr w14:val="tx1"/>
                  </w14:solidFill>
                </w14:textFill>
              </w:rPr>
              <w:t>第一部分</w:t>
            </w:r>
            <w:r>
              <w:rPr>
                <w:rFonts w:hint="eastAsia" w:ascii="宋体" w:hAnsi="宋体" w:eastAsia="宋体" w:cs="宋体"/>
                <w:b/>
                <w:color w:val="000000" w:themeColor="text1"/>
                <w:kern w:val="0"/>
                <w:sz w:val="22"/>
                <w:szCs w:val="24"/>
                <w:highlight w:val="none"/>
                <w14:textFill>
                  <w14:solidFill>
                    <w14:schemeClr w14:val="tx1"/>
                  </w14:solidFill>
                </w14:textFill>
              </w:rPr>
              <w:t>《资格文件》组成内容及要求【依序编制】</w:t>
            </w:r>
          </w:p>
        </w:tc>
        <w:tc>
          <w:tcPr>
            <w:tcW w:w="721" w:type="dxa"/>
            <w:shd w:val="clear" w:color="auto" w:fill="DAEEF3"/>
            <w:vAlign w:val="center"/>
          </w:tcPr>
          <w:p w14:paraId="3A2C15E0">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格式</w:t>
            </w:r>
          </w:p>
        </w:tc>
      </w:tr>
      <w:tr w14:paraId="41B038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27D73932">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w:t>
            </w:r>
          </w:p>
        </w:tc>
        <w:tc>
          <w:tcPr>
            <w:tcW w:w="9052" w:type="dxa"/>
            <w:gridSpan w:val="2"/>
            <w:shd w:val="clear" w:color="auto" w:fill="FFFF00"/>
            <w:vAlign w:val="center"/>
          </w:tcPr>
          <w:p w14:paraId="70B072EC">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符合“申请人的资格要求”第1条规定的证明文件</w:t>
            </w:r>
          </w:p>
        </w:tc>
      </w:tr>
      <w:tr w14:paraId="09D0F5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BD07082">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w:t>
            </w:r>
          </w:p>
        </w:tc>
        <w:tc>
          <w:tcPr>
            <w:tcW w:w="8331" w:type="dxa"/>
            <w:vAlign w:val="center"/>
          </w:tcPr>
          <w:p w14:paraId="5468DC11">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u w:val="single"/>
                <w14:textFill>
                  <w14:solidFill>
                    <w14:schemeClr w14:val="tx1"/>
                  </w14:solidFill>
                </w14:textFill>
              </w:rPr>
              <w:t>资格</w:t>
            </w:r>
            <w:r>
              <w:rPr>
                <w:rFonts w:hint="eastAsia" w:ascii="宋体" w:hAnsi="宋体" w:eastAsia="宋体" w:cs="宋体"/>
                <w:b/>
                <w:color w:val="000000" w:themeColor="text1"/>
                <w:kern w:val="0"/>
                <w:sz w:val="21"/>
                <w:szCs w:val="22"/>
                <w:highlight w:val="none"/>
                <w:u w:val="single"/>
                <w14:textFill>
                  <w14:solidFill>
                    <w14:schemeClr w14:val="tx1"/>
                  </w14:solidFill>
                </w14:textFill>
              </w:rPr>
              <w:t>承诺书</w:t>
            </w:r>
            <w:r>
              <w:rPr>
                <w:rFonts w:hint="eastAsia" w:ascii="宋体" w:hAnsi="宋体" w:eastAsia="宋体" w:cs="宋体"/>
                <w:color w:val="000000" w:themeColor="text1"/>
                <w:sz w:val="21"/>
                <w:szCs w:val="21"/>
                <w:highlight w:val="none"/>
                <w14:textFill>
                  <w14:solidFill>
                    <w14:schemeClr w14:val="tx1"/>
                  </w14:solidFill>
                </w14:textFill>
              </w:rPr>
              <w:t>（格式见第六章）</w:t>
            </w:r>
          </w:p>
        </w:tc>
        <w:tc>
          <w:tcPr>
            <w:tcW w:w="721" w:type="dxa"/>
            <w:vAlign w:val="center"/>
          </w:tcPr>
          <w:p w14:paraId="7483EBCE">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6E65D7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092B55B">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w:t>
            </w:r>
          </w:p>
        </w:tc>
        <w:tc>
          <w:tcPr>
            <w:tcW w:w="8331" w:type="dxa"/>
            <w:vAlign w:val="center"/>
          </w:tcPr>
          <w:p w14:paraId="0C265B26">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u w:val="single"/>
                <w14:textFill>
                  <w14:solidFill>
                    <w14:schemeClr w14:val="tx1"/>
                  </w14:solidFill>
                </w14:textFill>
              </w:rPr>
              <w:t>营业执照（或事业单位法人证书或执业许可证或自然人有效身份证明）</w:t>
            </w:r>
            <w:r>
              <w:rPr>
                <w:rFonts w:hint="eastAsia" w:ascii="宋体" w:hAnsi="宋体" w:eastAsia="宋体" w:cs="宋体"/>
                <w:color w:val="000000" w:themeColor="text1"/>
                <w:sz w:val="21"/>
                <w:szCs w:val="21"/>
                <w:highlight w:val="none"/>
                <w14:textFill>
                  <w14:solidFill>
                    <w14:schemeClr w14:val="tx1"/>
                  </w14:solidFill>
                </w14:textFill>
              </w:rPr>
              <w:t>（提供扫描件加盖</w:t>
            </w:r>
            <w:r>
              <w:rPr>
                <w:rFonts w:hint="eastAsia" w:ascii="宋体" w:hAnsi="宋体" w:cs="宋体"/>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 w:val="21"/>
                <w:szCs w:val="21"/>
                <w:highlight w:val="none"/>
                <w14:textFill>
                  <w14:solidFill>
                    <w14:schemeClr w14:val="tx1"/>
                  </w14:solidFill>
                </w14:textFill>
              </w:rPr>
              <w:t>供应商公章</w:t>
            </w:r>
            <w:r>
              <w:rPr>
                <w:rFonts w:hint="eastAsia" w:ascii="宋体" w:hAnsi="宋体" w:eastAsia="宋体" w:cs="宋体"/>
                <w:color w:val="000000" w:themeColor="text1"/>
                <w:sz w:val="21"/>
                <w:szCs w:val="21"/>
                <w:highlight w:val="none"/>
                <w14:textFill>
                  <w14:solidFill>
                    <w14:schemeClr w14:val="tx1"/>
                  </w14:solidFill>
                </w14:textFill>
              </w:rPr>
              <w:t>）</w:t>
            </w:r>
          </w:p>
        </w:tc>
        <w:tc>
          <w:tcPr>
            <w:tcW w:w="721" w:type="dxa"/>
            <w:vAlign w:val="center"/>
          </w:tcPr>
          <w:p w14:paraId="4428D373">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w:t>
            </w:r>
          </w:p>
        </w:tc>
      </w:tr>
      <w:tr w14:paraId="7398FF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790AFC9F">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w:t>
            </w:r>
          </w:p>
        </w:tc>
        <w:tc>
          <w:tcPr>
            <w:tcW w:w="9052" w:type="dxa"/>
            <w:gridSpan w:val="2"/>
            <w:shd w:val="clear" w:color="auto" w:fill="FFFF00"/>
            <w:vAlign w:val="center"/>
          </w:tcPr>
          <w:p w14:paraId="7B8131F7">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w w:val="90"/>
                <w:kern w:val="0"/>
                <w:sz w:val="21"/>
                <w:szCs w:val="21"/>
                <w:highlight w:val="none"/>
                <w14:textFill>
                  <w14:solidFill>
                    <w14:schemeClr w14:val="tx1"/>
                  </w14:solidFill>
                </w14:textFill>
              </w:rPr>
              <w:t>符合“申请人的资格要求”第2条“</w:t>
            </w:r>
            <w:r>
              <w:rPr>
                <w:rFonts w:hint="eastAsia" w:ascii="宋体" w:hAnsi="宋体" w:eastAsia="宋体" w:cs="宋体"/>
                <w:b/>
                <w:color w:val="000000" w:themeColor="text1"/>
                <w:w w:val="90"/>
                <w:sz w:val="21"/>
                <w:szCs w:val="21"/>
                <w:highlight w:val="none"/>
                <w14:textFill>
                  <w14:solidFill>
                    <w14:schemeClr w14:val="tx1"/>
                  </w14:solidFill>
                </w14:textFill>
              </w:rPr>
              <w:t>落实政府采购政策需满足的资格要求</w:t>
            </w:r>
            <w:r>
              <w:rPr>
                <w:rFonts w:hint="eastAsia" w:ascii="宋体" w:hAnsi="宋体" w:eastAsia="宋体" w:cs="宋体"/>
                <w:b/>
                <w:color w:val="000000" w:themeColor="text1"/>
                <w:w w:val="90"/>
                <w:kern w:val="0"/>
                <w:sz w:val="21"/>
                <w:szCs w:val="21"/>
                <w:highlight w:val="none"/>
                <w14:textFill>
                  <w14:solidFill>
                    <w14:schemeClr w14:val="tx1"/>
                  </w14:solidFill>
                </w14:textFill>
              </w:rPr>
              <w:t>”规定的证明文件</w:t>
            </w:r>
          </w:p>
        </w:tc>
      </w:tr>
      <w:tr w14:paraId="6DD797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28DF3907">
            <w:pPr>
              <w:autoSpaceDN w:val="0"/>
              <w:spacing w:line="276" w:lineRule="auto"/>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w:t>
            </w:r>
          </w:p>
        </w:tc>
        <w:tc>
          <w:tcPr>
            <w:tcW w:w="8331" w:type="dxa"/>
            <w:vAlign w:val="center"/>
          </w:tcPr>
          <w:p w14:paraId="3858B817">
            <w:pPr>
              <w:autoSpaceDN w:val="0"/>
              <w:spacing w:line="276" w:lineRule="auto"/>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u w:val="single"/>
              </w:rPr>
              <w:t>中小企业声明函</w:t>
            </w:r>
            <w:r>
              <w:rPr>
                <w:rFonts w:hint="eastAsia" w:ascii="宋体" w:hAnsi="宋体" w:eastAsia="宋体" w:cs="宋体"/>
                <w:b/>
                <w:color w:val="000000"/>
                <w:sz w:val="21"/>
                <w:szCs w:val="21"/>
                <w:highlight w:val="none"/>
              </w:rPr>
              <w:t>》</w:t>
            </w:r>
            <w:r>
              <w:rPr>
                <w:rFonts w:hint="eastAsia" w:ascii="宋体" w:hAnsi="宋体" w:eastAsia="宋体" w:cs="宋体"/>
                <w:color w:val="000000"/>
                <w:sz w:val="21"/>
                <w:szCs w:val="21"/>
                <w:highlight w:val="none"/>
              </w:rPr>
              <w:t>（格式见第六章）</w:t>
            </w:r>
          </w:p>
          <w:p w14:paraId="157C81BD">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sz w:val="21"/>
                <w:szCs w:val="21"/>
                <w:highlight w:val="none"/>
              </w:rPr>
              <w:t>提示和说明：</w:t>
            </w:r>
            <w:r>
              <w:rPr>
                <w:rFonts w:hint="eastAsia" w:ascii="宋体" w:hAnsi="宋体" w:eastAsia="宋体" w:cs="宋体"/>
                <w:sz w:val="21"/>
                <w:szCs w:val="21"/>
                <w:highlight w:val="none"/>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14:paraId="743550C2">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22786A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49260828">
            <w:pPr>
              <w:autoSpaceDN w:val="0"/>
              <w:spacing w:line="276" w:lineRule="auto"/>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1-3</w:t>
            </w:r>
          </w:p>
        </w:tc>
        <w:tc>
          <w:tcPr>
            <w:tcW w:w="9052" w:type="dxa"/>
            <w:gridSpan w:val="2"/>
            <w:shd w:val="clear" w:color="auto" w:fill="FFFF00"/>
            <w:vAlign w:val="center"/>
          </w:tcPr>
          <w:p w14:paraId="46C3F04A">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符合“申请人的资格要求”第3条“本项目的特定资格要求”的证明文件</w:t>
            </w:r>
          </w:p>
        </w:tc>
      </w:tr>
      <w:tr w14:paraId="570BCFA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31841323">
            <w:pPr>
              <w:autoSpaceDN w:val="0"/>
              <w:spacing w:line="276" w:lineRule="auto"/>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1-3-1</w:t>
            </w:r>
          </w:p>
        </w:tc>
        <w:tc>
          <w:tcPr>
            <w:tcW w:w="8331" w:type="dxa"/>
            <w:vAlign w:val="center"/>
          </w:tcPr>
          <w:p w14:paraId="2F1CCCEE">
            <w:pPr>
              <w:autoSpaceDN w:val="0"/>
              <w:spacing w:line="276" w:lineRule="auto"/>
              <w:jc w:val="left"/>
              <w:rPr>
                <w:rFonts w:hint="eastAsia" w:ascii="宋体" w:hAnsi="宋体" w:eastAsia="宋体" w:cs="宋体"/>
                <w:b/>
                <w:color w:val="000000" w:themeColor="text1"/>
                <w:w w:val="90"/>
                <w:sz w:val="21"/>
                <w:szCs w:val="21"/>
                <w:highlight w:val="none"/>
                <w14:textFill>
                  <w14:solidFill>
                    <w14:schemeClr w14:val="tx1"/>
                  </w14:solidFill>
                </w14:textFill>
              </w:rPr>
            </w:pPr>
            <w:r>
              <w:rPr>
                <w:rFonts w:hint="eastAsia" w:ascii="宋体" w:hAnsi="宋体" w:eastAsia="宋体" w:cs="宋体"/>
                <w:b/>
                <w:color w:val="000000" w:themeColor="text1"/>
                <w:w w:val="90"/>
                <w:sz w:val="21"/>
                <w:szCs w:val="21"/>
                <w:highlight w:val="none"/>
                <w14:textFill>
                  <w14:solidFill>
                    <w14:schemeClr w14:val="tx1"/>
                  </w14:solidFill>
                </w14:textFill>
              </w:rPr>
              <w:t>▲（1）</w:t>
            </w:r>
            <w:r>
              <w:rPr>
                <w:rFonts w:hint="eastAsia" w:ascii="宋体" w:hAnsi="宋体" w:cs="宋体"/>
                <w:b/>
                <w:color w:val="000000" w:themeColor="text1"/>
                <w:w w:val="90"/>
                <w:sz w:val="21"/>
                <w:szCs w:val="21"/>
                <w:highlight w:val="none"/>
                <w:lang w:val="en-US" w:eastAsia="zh-CN"/>
                <w14:textFill>
                  <w14:solidFill>
                    <w14:schemeClr w14:val="tx1"/>
                  </w14:solidFill>
                </w14:textFill>
              </w:rPr>
              <w:t>具有建筑机电安装工程专业承包三级及以上资质</w:t>
            </w:r>
            <w:r>
              <w:rPr>
                <w:rFonts w:hint="eastAsia" w:ascii="宋体" w:hAnsi="宋体" w:eastAsia="宋体" w:cs="宋体"/>
                <w:b/>
                <w:color w:val="000000" w:themeColor="text1"/>
                <w:w w:val="90"/>
                <w:sz w:val="21"/>
                <w:szCs w:val="21"/>
                <w:highlight w:val="none"/>
                <w14:textFill>
                  <w14:solidFill>
                    <w14:schemeClr w14:val="tx1"/>
                  </w14:solidFill>
                </w14:textFill>
              </w:rPr>
              <w:t>；</w:t>
            </w:r>
          </w:p>
          <w:p w14:paraId="59650EDC">
            <w:pPr>
              <w:autoSpaceDN w:val="0"/>
              <w:spacing w:line="276" w:lineRule="auto"/>
              <w:jc w:val="left"/>
              <w:rPr>
                <w:rFonts w:hint="eastAsia" w:ascii="宋体" w:hAnsi="宋体" w:cs="宋体"/>
                <w:b/>
                <w:color w:val="000000" w:themeColor="text1"/>
                <w:w w:val="90"/>
                <w:sz w:val="21"/>
                <w:szCs w:val="21"/>
                <w:highlight w:val="none"/>
                <w:lang w:eastAsia="zh-CN"/>
                <w14:textFill>
                  <w14:solidFill>
                    <w14:schemeClr w14:val="tx1"/>
                  </w14:solidFill>
                </w14:textFill>
              </w:rPr>
            </w:pPr>
            <w:r>
              <w:rPr>
                <w:rFonts w:hint="eastAsia" w:ascii="宋体" w:hAnsi="宋体" w:eastAsia="宋体" w:cs="宋体"/>
                <w:b/>
                <w:color w:val="000000" w:themeColor="text1"/>
                <w:w w:val="90"/>
                <w:sz w:val="21"/>
                <w:szCs w:val="21"/>
                <w:highlight w:val="none"/>
                <w14:textFill>
                  <w14:solidFill>
                    <w14:schemeClr w14:val="tx1"/>
                  </w14:solidFill>
                </w14:textFill>
              </w:rPr>
              <w:t>▲（2）具有企业《安全生产许可证》</w:t>
            </w:r>
            <w:r>
              <w:rPr>
                <w:rFonts w:hint="eastAsia" w:ascii="宋体" w:hAnsi="宋体" w:cs="宋体"/>
                <w:b/>
                <w:color w:val="000000" w:themeColor="text1"/>
                <w:w w:val="90"/>
                <w:sz w:val="21"/>
                <w:szCs w:val="21"/>
                <w:highlight w:val="none"/>
                <w:lang w:eastAsia="zh-CN"/>
                <w14:textFill>
                  <w14:solidFill>
                    <w14:schemeClr w14:val="tx1"/>
                  </w14:solidFill>
                </w14:textFill>
              </w:rPr>
              <w:t>。</w:t>
            </w:r>
          </w:p>
          <w:p w14:paraId="195EA525">
            <w:pPr>
              <w:autoSpaceDN w:val="0"/>
              <w:spacing w:line="276" w:lineRule="auto"/>
              <w:jc w:val="left"/>
              <w:rPr>
                <w:rFonts w:hint="eastAsia" w:ascii="宋体" w:hAnsi="宋体" w:eastAsia="宋体" w:cs="宋体"/>
                <w:color w:val="000000" w:themeColor="text1"/>
                <w:w w:val="90"/>
                <w:kern w:val="0"/>
                <w:sz w:val="21"/>
                <w:szCs w:val="21"/>
                <w:highlight w:val="none"/>
                <w:lang w:eastAsia="zh-CN"/>
                <w14:textFill>
                  <w14:solidFill>
                    <w14:schemeClr w14:val="tx1"/>
                  </w14:solidFill>
                </w14:textFill>
              </w:rPr>
            </w:pPr>
            <w:r>
              <w:rPr>
                <w:rFonts w:hint="eastAsia" w:ascii="宋体" w:hAnsi="宋体" w:cs="宋体"/>
                <w:b/>
                <w:color w:val="000000" w:themeColor="text1"/>
                <w:w w:val="90"/>
                <w:sz w:val="21"/>
                <w:szCs w:val="21"/>
                <w:highlight w:val="none"/>
                <w:lang w:eastAsia="zh-CN"/>
                <w14:textFill>
                  <w14:solidFill>
                    <w14:schemeClr w14:val="tx1"/>
                  </w14:solidFill>
                </w14:textFill>
              </w:rPr>
              <w:t>▲（</w:t>
            </w:r>
            <w:r>
              <w:rPr>
                <w:rFonts w:hint="eastAsia" w:ascii="宋体" w:hAnsi="宋体" w:cs="宋体"/>
                <w:b/>
                <w:color w:val="000000" w:themeColor="text1"/>
                <w:w w:val="90"/>
                <w:sz w:val="21"/>
                <w:szCs w:val="21"/>
                <w:highlight w:val="none"/>
                <w:lang w:val="en-US" w:eastAsia="zh-CN"/>
                <w14:textFill>
                  <w14:solidFill>
                    <w14:schemeClr w14:val="tx1"/>
                  </w14:solidFill>
                </w14:textFill>
              </w:rPr>
              <w:t>3</w:t>
            </w:r>
            <w:r>
              <w:rPr>
                <w:rFonts w:hint="eastAsia" w:ascii="宋体" w:hAnsi="宋体" w:cs="宋体"/>
                <w:b/>
                <w:color w:val="000000" w:themeColor="text1"/>
                <w:w w:val="90"/>
                <w:sz w:val="21"/>
                <w:szCs w:val="21"/>
                <w:highlight w:val="none"/>
                <w:lang w:eastAsia="zh-CN"/>
                <w14:textFill>
                  <w14:solidFill>
                    <w14:schemeClr w14:val="tx1"/>
                  </w14:solidFill>
                </w14:textFill>
              </w:rPr>
              <w:t>）以联合体形式参加本项目磋商的，须签订联合体协议；联合体各方均应满足资格条件。</w:t>
            </w:r>
          </w:p>
        </w:tc>
        <w:tc>
          <w:tcPr>
            <w:tcW w:w="721" w:type="dxa"/>
            <w:vAlign w:val="center"/>
          </w:tcPr>
          <w:p w14:paraId="6BBCD731">
            <w:pPr>
              <w:autoSpaceDN w:val="0"/>
              <w:spacing w:line="276" w:lineRule="auto"/>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无</w:t>
            </w:r>
          </w:p>
        </w:tc>
      </w:tr>
      <w:tr w14:paraId="6406EE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C634C24">
            <w:pPr>
              <w:autoSpaceDN w:val="0"/>
              <w:spacing w:line="276" w:lineRule="auto"/>
              <w:jc w:val="center"/>
              <w:rPr>
                <w:rFonts w:hint="eastAsia" w:ascii="宋体" w:hAnsi="宋体" w:eastAsia="宋体" w:cs="宋体"/>
                <w:b/>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1-3-</w:t>
            </w:r>
            <w:r>
              <w:rPr>
                <w:rFonts w:hint="eastAsia" w:ascii="宋体" w:hAnsi="宋体" w:cs="宋体"/>
                <w:b/>
                <w:color w:val="000000" w:themeColor="text1"/>
                <w:kern w:val="0"/>
                <w:sz w:val="21"/>
                <w:szCs w:val="21"/>
                <w:highlight w:val="none"/>
                <w:lang w:val="en-US" w:eastAsia="zh-CN"/>
                <w14:textFill>
                  <w14:solidFill>
                    <w14:schemeClr w14:val="tx1"/>
                  </w14:solidFill>
                </w14:textFill>
              </w:rPr>
              <w:t>2</w:t>
            </w:r>
          </w:p>
        </w:tc>
        <w:tc>
          <w:tcPr>
            <w:tcW w:w="8331" w:type="dxa"/>
            <w:vAlign w:val="center"/>
          </w:tcPr>
          <w:p w14:paraId="1F4154CE">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w w:val="90"/>
                <w:kern w:val="0"/>
                <w:sz w:val="21"/>
                <w:szCs w:val="21"/>
                <w:highlight w:val="none"/>
                <w14:textFill>
                  <w14:solidFill>
                    <w14:schemeClr w14:val="tx1"/>
                  </w14:solidFill>
                </w14:textFill>
              </w:rPr>
              <w:t>▲</w:t>
            </w:r>
            <w:r>
              <w:rPr>
                <w:rFonts w:hint="eastAsia" w:ascii="宋体" w:hAnsi="宋体" w:eastAsia="宋体" w:cs="宋体"/>
                <w:b/>
                <w:color w:val="000000" w:themeColor="text1"/>
                <w:w w:val="90"/>
                <w:sz w:val="21"/>
                <w:szCs w:val="21"/>
                <w:highlight w:val="none"/>
                <w14:textFill>
                  <w14:solidFill>
                    <w14:schemeClr w14:val="tx1"/>
                  </w14:solidFill>
                </w14:textFill>
              </w:rPr>
              <w:t>有效的《</w:t>
            </w:r>
            <w:r>
              <w:rPr>
                <w:rFonts w:hint="eastAsia" w:ascii="宋体" w:hAnsi="宋体" w:cs="宋体"/>
                <w:b/>
                <w:color w:val="000000" w:themeColor="text1"/>
                <w:w w:val="90"/>
                <w:sz w:val="21"/>
                <w:szCs w:val="21"/>
                <w:highlight w:val="none"/>
                <w:lang w:eastAsia="zh-CN"/>
                <w14:textFill>
                  <w14:solidFill>
                    <w14:schemeClr w14:val="tx1"/>
                  </w14:solidFill>
                </w14:textFill>
              </w:rPr>
              <w:t>联合体协议</w:t>
            </w:r>
            <w:r>
              <w:rPr>
                <w:rFonts w:hint="eastAsia" w:ascii="宋体" w:hAnsi="宋体" w:eastAsia="宋体" w:cs="宋体"/>
                <w:b/>
                <w:color w:val="000000" w:themeColor="text1"/>
                <w:w w:val="90"/>
                <w:sz w:val="21"/>
                <w:szCs w:val="21"/>
                <w:highlight w:val="none"/>
                <w14:textFill>
                  <w14:solidFill>
                    <w14:schemeClr w14:val="tx1"/>
                  </w14:solidFill>
                </w14:textFill>
              </w:rPr>
              <w:t>》（仅联合体须提供）</w:t>
            </w:r>
            <w:r>
              <w:rPr>
                <w:rFonts w:hint="eastAsia" w:ascii="宋体" w:hAnsi="宋体" w:eastAsia="宋体" w:cs="宋体"/>
                <w:color w:val="000000" w:themeColor="text1"/>
                <w:w w:val="90"/>
                <w:sz w:val="21"/>
                <w:szCs w:val="21"/>
                <w:highlight w:val="none"/>
                <w14:textFill>
                  <w14:solidFill>
                    <w14:schemeClr w14:val="tx1"/>
                  </w14:solidFill>
                </w14:textFill>
              </w:rPr>
              <w:t>（格式见第六章）</w:t>
            </w:r>
          </w:p>
        </w:tc>
        <w:tc>
          <w:tcPr>
            <w:tcW w:w="721" w:type="dxa"/>
            <w:vAlign w:val="center"/>
          </w:tcPr>
          <w:p w14:paraId="11CF4B12">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091C4E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5F59A69B">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c>
          <w:tcPr>
            <w:tcW w:w="9052" w:type="dxa"/>
            <w:gridSpan w:val="2"/>
            <w:shd w:val="clear" w:color="auto" w:fill="E5DFEC"/>
            <w:vAlign w:val="center"/>
          </w:tcPr>
          <w:p w14:paraId="5CC182A1">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以上</w:t>
            </w:r>
            <w:r>
              <w:rPr>
                <w:rFonts w:hint="eastAsia" w:ascii="宋体" w:hAnsi="宋体" w:eastAsia="宋体" w:cs="宋体"/>
                <w:b/>
                <w:color w:val="000000" w:themeColor="text1"/>
                <w:kern w:val="0"/>
                <w:sz w:val="21"/>
                <w:szCs w:val="21"/>
                <w:highlight w:val="none"/>
                <w14:textFill>
                  <w14:solidFill>
                    <w14:schemeClr w14:val="tx1"/>
                  </w14:solidFill>
                </w14:textFill>
              </w:rPr>
              <w:t>资格证明文件未提供的，作“资格审查不合格”处理，不得进入后续评标程序。</w:t>
            </w:r>
          </w:p>
        </w:tc>
      </w:tr>
    </w:tbl>
    <w:p w14:paraId="780364D7">
      <w:pPr>
        <w:widowControl/>
        <w:autoSpaceDN w:val="0"/>
        <w:jc w:val="left"/>
        <w:rPr>
          <w:rFonts w:hint="eastAsia" w:ascii="宋体" w:hAnsi="宋体" w:eastAsia="宋体" w:cs="宋体"/>
          <w:color w:val="000000" w:themeColor="text1"/>
          <w:sz w:val="21"/>
          <w:szCs w:val="16"/>
          <w:highlight w:val="none"/>
          <w14:textFill>
            <w14:solidFill>
              <w14:schemeClr w14:val="tx1"/>
            </w14:solidFill>
          </w14:textFill>
        </w:rPr>
      </w:pPr>
      <w:r>
        <w:rPr>
          <w:rFonts w:hint="eastAsia" w:ascii="宋体" w:hAnsi="宋体" w:eastAsia="宋体" w:cs="宋体"/>
          <w:color w:val="000000" w:themeColor="text1"/>
          <w:sz w:val="18"/>
          <w:szCs w:val="21"/>
          <w:highlight w:val="none"/>
          <w14:textFill>
            <w14:solidFill>
              <w14:schemeClr w14:val="tx1"/>
            </w14:solidFill>
          </w14:textFill>
        </w:rPr>
        <w:br w:type="page"/>
      </w:r>
    </w:p>
    <w:p w14:paraId="00B98E93">
      <w:pPr>
        <w:pStyle w:val="5"/>
        <w:autoSpaceDN w:val="0"/>
        <w:ind w:firstLine="561"/>
        <w:rPr>
          <w:rFonts w:hint="eastAsia" w:ascii="宋体" w:hAnsi="宋体" w:eastAsia="宋体" w:cs="宋体"/>
          <w:sz w:val="22"/>
          <w:szCs w:val="22"/>
          <w:highlight w:val="none"/>
        </w:rPr>
      </w:pPr>
      <w:r>
        <w:rPr>
          <w:rFonts w:hint="eastAsia" w:ascii="宋体" w:hAnsi="宋体" w:eastAsia="宋体" w:cs="宋体"/>
          <w:sz w:val="22"/>
          <w:szCs w:val="22"/>
          <w:highlight w:val="none"/>
        </w:rPr>
        <w:t>（2）《商务技术文件》</w:t>
      </w:r>
    </w:p>
    <w:tbl>
      <w:tblPr>
        <w:tblStyle w:val="51"/>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809"/>
        <w:gridCol w:w="6491"/>
        <w:gridCol w:w="775"/>
      </w:tblGrid>
      <w:tr w14:paraId="456C81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14:paraId="64D93B88">
            <w:pPr>
              <w:autoSpaceDN w:val="0"/>
              <w:spacing w:line="276" w:lineRule="auto"/>
              <w:jc w:val="center"/>
              <w:rPr>
                <w:rFonts w:hint="eastAsia" w:ascii="宋体" w:hAnsi="宋体" w:eastAsia="宋体" w:cs="宋体"/>
                <w:b/>
                <w:color w:val="000000" w:themeColor="text1"/>
                <w:kern w:val="0"/>
                <w:sz w:val="21"/>
                <w:szCs w:val="16"/>
                <w:highlight w:val="none"/>
                <w14:textFill>
                  <w14:solidFill>
                    <w14:schemeClr w14:val="tx1"/>
                  </w14:solidFill>
                </w14:textFill>
              </w:rPr>
            </w:pPr>
            <w:r>
              <w:rPr>
                <w:rFonts w:hint="eastAsia" w:ascii="宋体" w:hAnsi="宋体" w:eastAsia="宋体" w:cs="宋体"/>
                <w:b/>
                <w:color w:val="000000" w:themeColor="text1"/>
                <w:kern w:val="0"/>
                <w:sz w:val="21"/>
                <w:szCs w:val="16"/>
                <w:highlight w:val="none"/>
                <w14:textFill>
                  <w14:solidFill>
                    <w14:schemeClr w14:val="tx1"/>
                  </w14:solidFill>
                </w14:textFill>
              </w:rPr>
              <w:t>序号</w:t>
            </w:r>
          </w:p>
        </w:tc>
        <w:tc>
          <w:tcPr>
            <w:tcW w:w="8300" w:type="dxa"/>
            <w:gridSpan w:val="2"/>
            <w:shd w:val="clear" w:color="auto" w:fill="DAEEF3" w:themeFill="accent5" w:themeFillTint="33"/>
            <w:vAlign w:val="center"/>
          </w:tcPr>
          <w:p w14:paraId="2121780B">
            <w:pPr>
              <w:autoSpaceDN w:val="0"/>
              <w:jc w:val="center"/>
              <w:rPr>
                <w:rFonts w:hint="eastAsia" w:ascii="宋体" w:hAnsi="宋体" w:eastAsia="宋体" w:cs="宋体"/>
                <w:b/>
                <w:color w:val="000000" w:themeColor="text1"/>
                <w:sz w:val="22"/>
                <w:szCs w:val="24"/>
                <w:highlight w:val="none"/>
                <w14:textFill>
                  <w14:solidFill>
                    <w14:schemeClr w14:val="tx1"/>
                  </w14:solidFill>
                </w14:textFill>
              </w:rPr>
            </w:pPr>
            <w:r>
              <w:rPr>
                <w:rFonts w:hint="eastAsia" w:ascii="宋体" w:hAnsi="宋体" w:eastAsia="宋体" w:cs="宋体"/>
                <w:b/>
                <w:color w:val="000000" w:themeColor="text1"/>
                <w:sz w:val="22"/>
                <w:szCs w:val="24"/>
                <w:highlight w:val="none"/>
                <w14:textFill>
                  <w14:solidFill>
                    <w14:schemeClr w14:val="tx1"/>
                  </w14:solidFill>
                </w14:textFill>
              </w:rPr>
              <w:t>第二部分《商务技术文件》组成内容及要求【依序编制】</w:t>
            </w:r>
          </w:p>
        </w:tc>
        <w:tc>
          <w:tcPr>
            <w:tcW w:w="775" w:type="dxa"/>
            <w:shd w:val="clear" w:color="auto" w:fill="DAEEF3" w:themeFill="accent5" w:themeFillTint="33"/>
            <w:vAlign w:val="center"/>
          </w:tcPr>
          <w:p w14:paraId="7A795438">
            <w:pPr>
              <w:autoSpaceDN w:val="0"/>
              <w:spacing w:line="276" w:lineRule="auto"/>
              <w:jc w:val="center"/>
              <w:rPr>
                <w:rFonts w:hint="eastAsia" w:ascii="宋体" w:hAnsi="宋体" w:eastAsia="宋体" w:cs="宋体"/>
                <w:b/>
                <w:color w:val="000000" w:themeColor="text1"/>
                <w:kern w:val="0"/>
                <w:sz w:val="21"/>
                <w:szCs w:val="16"/>
                <w:highlight w:val="none"/>
                <w14:textFill>
                  <w14:solidFill>
                    <w14:schemeClr w14:val="tx1"/>
                  </w14:solidFill>
                </w14:textFill>
              </w:rPr>
            </w:pPr>
            <w:r>
              <w:rPr>
                <w:rFonts w:hint="eastAsia" w:ascii="宋体" w:hAnsi="宋体" w:eastAsia="宋体" w:cs="宋体"/>
                <w:b/>
                <w:color w:val="000000" w:themeColor="text1"/>
                <w:kern w:val="0"/>
                <w:sz w:val="21"/>
                <w:szCs w:val="16"/>
                <w:highlight w:val="none"/>
                <w14:textFill>
                  <w14:solidFill>
                    <w14:schemeClr w14:val="tx1"/>
                  </w14:solidFill>
                </w14:textFill>
              </w:rPr>
              <w:t>格式</w:t>
            </w:r>
          </w:p>
        </w:tc>
      </w:tr>
      <w:tr w14:paraId="087F3C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613A1D">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2-1</w:t>
            </w:r>
          </w:p>
        </w:tc>
        <w:tc>
          <w:tcPr>
            <w:tcW w:w="8300" w:type="dxa"/>
            <w:gridSpan w:val="2"/>
            <w:shd w:val="clear" w:color="auto" w:fill="FFFFFF" w:themeFill="background1"/>
            <w:vAlign w:val="center"/>
          </w:tcPr>
          <w:p w14:paraId="29AE1B7B">
            <w:pPr>
              <w:autoSpaceDN w:val="0"/>
              <w:spacing w:line="276"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《商务技术文件》封面</w:t>
            </w:r>
            <w:r>
              <w:rPr>
                <w:rFonts w:hint="eastAsia" w:ascii="宋体" w:hAnsi="宋体" w:eastAsia="宋体" w:cs="宋体"/>
                <w:color w:val="000000" w:themeColor="text1"/>
                <w:sz w:val="21"/>
                <w:szCs w:val="21"/>
                <w:highlight w:val="none"/>
                <w14:textFill>
                  <w14:solidFill>
                    <w14:schemeClr w14:val="tx1"/>
                  </w14:solidFill>
                </w14:textFill>
              </w:rPr>
              <w:t>（格式见第六章）</w:t>
            </w:r>
          </w:p>
        </w:tc>
        <w:tc>
          <w:tcPr>
            <w:tcW w:w="775" w:type="dxa"/>
            <w:shd w:val="clear" w:color="auto" w:fill="FFFFFF" w:themeFill="background1"/>
            <w:vAlign w:val="center"/>
          </w:tcPr>
          <w:p w14:paraId="648A7F70">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435D51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2CB37BD4">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2-2</w:t>
            </w:r>
          </w:p>
        </w:tc>
        <w:tc>
          <w:tcPr>
            <w:tcW w:w="8300" w:type="dxa"/>
            <w:gridSpan w:val="2"/>
            <w:shd w:val="clear" w:color="auto" w:fill="FFFFFF" w:themeFill="background1"/>
            <w:vAlign w:val="center"/>
          </w:tcPr>
          <w:p w14:paraId="14E3B713">
            <w:pPr>
              <w:autoSpaceDN w:val="0"/>
              <w:spacing w:line="276"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关于《</w:t>
            </w:r>
            <w:r>
              <w:rPr>
                <w:rFonts w:hint="eastAsia" w:ascii="宋体" w:hAnsi="宋体" w:cs="宋体"/>
                <w:b/>
                <w:color w:val="000000" w:themeColor="text1"/>
                <w:kern w:val="0"/>
                <w:sz w:val="21"/>
                <w:szCs w:val="21"/>
                <w:highlight w:val="none"/>
                <w:lang w:eastAsia="zh-CN"/>
                <w14:textFill>
                  <w14:solidFill>
                    <w14:schemeClr w14:val="tx1"/>
                  </w14:solidFill>
                </w14:textFill>
              </w:rPr>
              <w:t>磋商响应文件</w:t>
            </w:r>
            <w:r>
              <w:rPr>
                <w:rFonts w:hint="eastAsia" w:ascii="宋体" w:hAnsi="宋体" w:eastAsia="宋体" w:cs="宋体"/>
                <w:b/>
                <w:color w:val="000000" w:themeColor="text1"/>
                <w:kern w:val="0"/>
                <w:sz w:val="21"/>
                <w:szCs w:val="21"/>
                <w:highlight w:val="none"/>
                <w14:textFill>
                  <w14:solidFill>
                    <w14:schemeClr w14:val="tx1"/>
                  </w14:solidFill>
                </w14:textFill>
              </w:rPr>
              <w:t>》所有内容真实、有效的承诺函</w:t>
            </w:r>
            <w:r>
              <w:rPr>
                <w:rFonts w:hint="eastAsia" w:ascii="宋体" w:hAnsi="宋体" w:eastAsia="宋体" w:cs="宋体"/>
                <w:color w:val="000000" w:themeColor="text1"/>
                <w:sz w:val="21"/>
                <w:szCs w:val="21"/>
                <w:highlight w:val="none"/>
                <w14:textFill>
                  <w14:solidFill>
                    <w14:schemeClr w14:val="tx1"/>
                  </w14:solidFill>
                </w14:textFill>
              </w:rPr>
              <w:t>（格式见第六章）</w:t>
            </w:r>
          </w:p>
        </w:tc>
        <w:tc>
          <w:tcPr>
            <w:tcW w:w="775" w:type="dxa"/>
            <w:shd w:val="clear" w:color="auto" w:fill="FFFFFF" w:themeFill="background1"/>
            <w:vAlign w:val="center"/>
          </w:tcPr>
          <w:p w14:paraId="421B019F">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1952A2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00E39037">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2-3</w:t>
            </w:r>
          </w:p>
        </w:tc>
        <w:tc>
          <w:tcPr>
            <w:tcW w:w="8300" w:type="dxa"/>
            <w:gridSpan w:val="2"/>
            <w:shd w:val="clear" w:color="auto" w:fill="FFFFFF" w:themeFill="background1"/>
            <w:vAlign w:val="center"/>
          </w:tcPr>
          <w:p w14:paraId="68724595">
            <w:pPr>
              <w:autoSpaceDN w:val="0"/>
              <w:spacing w:line="276"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《法人（或单位）授权委托书》</w:t>
            </w:r>
            <w:r>
              <w:rPr>
                <w:rFonts w:hint="eastAsia" w:ascii="宋体" w:hAnsi="宋体" w:eastAsia="宋体" w:cs="宋体"/>
                <w:color w:val="000000" w:themeColor="text1"/>
                <w:kern w:val="0"/>
                <w:sz w:val="21"/>
                <w:szCs w:val="21"/>
                <w:highlight w:val="none"/>
                <w14:textFill>
                  <w14:solidFill>
                    <w14:schemeClr w14:val="tx1"/>
                  </w14:solidFill>
                </w14:textFill>
              </w:rPr>
              <w:t>（磋商响应供应商授权其单位正式职工全权代表其处理</w:t>
            </w:r>
            <w:r>
              <w:rPr>
                <w:rFonts w:hint="eastAsia" w:ascii="宋体" w:hAnsi="宋体" w:cs="宋体"/>
                <w:color w:val="000000" w:themeColor="text1"/>
                <w:kern w:val="0"/>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 w:val="21"/>
                <w:szCs w:val="21"/>
                <w:highlight w:val="none"/>
                <w14:textFill>
                  <w14:solidFill>
                    <w14:schemeClr w14:val="tx1"/>
                  </w14:solidFill>
                </w14:textFill>
              </w:rPr>
              <w:t>事项或签署相关文件时须提供</w:t>
            </w:r>
            <w:r>
              <w:rPr>
                <w:rFonts w:hint="eastAsia" w:ascii="宋体" w:hAnsi="宋体" w:eastAsia="宋体" w:cs="宋体"/>
                <w:color w:val="000000" w:themeColor="text1"/>
                <w:sz w:val="21"/>
                <w:szCs w:val="21"/>
                <w:highlight w:val="none"/>
                <w14:textFill>
                  <w14:solidFill>
                    <w14:schemeClr w14:val="tx1"/>
                  </w14:solidFill>
                </w14:textFill>
              </w:rPr>
              <w:t>，格式见第六章</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75" w:type="dxa"/>
            <w:shd w:val="clear" w:color="auto" w:fill="FFFFFF" w:themeFill="background1"/>
            <w:vAlign w:val="center"/>
          </w:tcPr>
          <w:p w14:paraId="7CA98B0A">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5BE906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44478610">
            <w:pPr>
              <w:autoSpaceDN w:val="0"/>
              <w:spacing w:line="276"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cs="宋体"/>
                <w:b/>
                <w:color w:val="000000" w:themeColor="text1"/>
                <w:sz w:val="21"/>
                <w:szCs w:val="21"/>
                <w:highlight w:val="none"/>
                <w:lang w:val="en-US" w:eastAsia="zh-CN"/>
                <w14:textFill>
                  <w14:solidFill>
                    <w14:schemeClr w14:val="tx1"/>
                  </w14:solidFill>
                </w14:textFill>
              </w:rPr>
              <w:t>4</w:t>
            </w:r>
          </w:p>
        </w:tc>
        <w:tc>
          <w:tcPr>
            <w:tcW w:w="8300" w:type="dxa"/>
            <w:gridSpan w:val="2"/>
            <w:shd w:val="clear" w:color="auto" w:fill="FFFFFF" w:themeFill="background1"/>
            <w:vAlign w:val="center"/>
          </w:tcPr>
          <w:p w14:paraId="18D17252">
            <w:pPr>
              <w:autoSpaceDN w:val="0"/>
              <w:spacing w:line="276"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磋商响应供应商类似项目业绩汇总表及证明材料（格式见第六章）</w:t>
            </w:r>
          </w:p>
        </w:tc>
        <w:tc>
          <w:tcPr>
            <w:tcW w:w="775" w:type="dxa"/>
            <w:shd w:val="clear" w:color="auto" w:fill="FFFFFF" w:themeFill="background1"/>
            <w:vAlign w:val="center"/>
          </w:tcPr>
          <w:p w14:paraId="5CFDE122">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52C9C9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51B19E83">
            <w:pPr>
              <w:autoSpaceDN w:val="0"/>
              <w:spacing w:line="276"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cs="宋体"/>
                <w:b/>
                <w:color w:val="000000" w:themeColor="text1"/>
                <w:sz w:val="21"/>
                <w:szCs w:val="21"/>
                <w:highlight w:val="none"/>
                <w:lang w:val="en-US" w:eastAsia="zh-CN"/>
                <w14:textFill>
                  <w14:solidFill>
                    <w14:schemeClr w14:val="tx1"/>
                  </w14:solidFill>
                </w14:textFill>
              </w:rPr>
              <w:t>5</w:t>
            </w:r>
          </w:p>
        </w:tc>
        <w:tc>
          <w:tcPr>
            <w:tcW w:w="8300" w:type="dxa"/>
            <w:gridSpan w:val="2"/>
            <w:shd w:val="clear" w:color="auto" w:fill="FFFFFF" w:themeFill="background1"/>
            <w:vAlign w:val="center"/>
          </w:tcPr>
          <w:p w14:paraId="5579A7DB">
            <w:pPr>
              <w:autoSpaceDN w:val="0"/>
              <w:spacing w:line="276"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商务技术偏离表</w:t>
            </w:r>
            <w:r>
              <w:rPr>
                <w:rFonts w:hint="eastAsia" w:ascii="宋体" w:hAnsi="宋体" w:eastAsia="宋体" w:cs="宋体"/>
                <w:b/>
                <w:bCs/>
                <w:color w:val="000000" w:themeColor="text1"/>
                <w:sz w:val="21"/>
                <w:szCs w:val="21"/>
                <w:highlight w:val="none"/>
                <w14:textFill>
                  <w14:solidFill>
                    <w14:schemeClr w14:val="tx1"/>
                  </w14:solidFill>
                </w14:textFill>
              </w:rPr>
              <w:t>（格式见第六章）</w:t>
            </w:r>
          </w:p>
        </w:tc>
        <w:tc>
          <w:tcPr>
            <w:tcW w:w="775" w:type="dxa"/>
            <w:shd w:val="clear" w:color="auto" w:fill="FFFFFF" w:themeFill="background1"/>
            <w:vAlign w:val="center"/>
          </w:tcPr>
          <w:p w14:paraId="4AEDB0F0">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06DEFE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37ECD457">
            <w:pPr>
              <w:autoSpaceDN w:val="0"/>
              <w:spacing w:line="276"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cs="宋体"/>
                <w:b/>
                <w:color w:val="000000" w:themeColor="text1"/>
                <w:sz w:val="21"/>
                <w:szCs w:val="21"/>
                <w:highlight w:val="none"/>
                <w:lang w:val="en-US" w:eastAsia="zh-CN"/>
                <w14:textFill>
                  <w14:solidFill>
                    <w14:schemeClr w14:val="tx1"/>
                  </w14:solidFill>
                </w14:textFill>
              </w:rPr>
              <w:t>6</w:t>
            </w:r>
          </w:p>
        </w:tc>
        <w:tc>
          <w:tcPr>
            <w:tcW w:w="8300" w:type="dxa"/>
            <w:gridSpan w:val="2"/>
            <w:shd w:val="clear" w:color="auto" w:fill="FFFFFF" w:themeFill="background1"/>
            <w:vAlign w:val="center"/>
          </w:tcPr>
          <w:p w14:paraId="4CB74379">
            <w:pPr>
              <w:autoSpaceDN w:val="0"/>
              <w:spacing w:line="276" w:lineRule="auto"/>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施工组织设计（</w:t>
            </w:r>
            <w:r>
              <w:rPr>
                <w:rFonts w:hint="eastAsia" w:ascii="宋体" w:hAnsi="宋体" w:eastAsia="宋体" w:cs="宋体"/>
                <w:b/>
                <w:bCs/>
                <w:color w:val="000000" w:themeColor="text1"/>
                <w:sz w:val="21"/>
                <w:szCs w:val="21"/>
                <w:highlight w:val="none"/>
                <w14:textFill>
                  <w14:solidFill>
                    <w14:schemeClr w14:val="tx1"/>
                  </w14:solidFill>
                </w14:textFill>
              </w:rPr>
              <w:t>格式见第六章</w:t>
            </w:r>
            <w:r>
              <w:rPr>
                <w:rFonts w:hint="eastAsia" w:ascii="宋体" w:hAnsi="宋体" w:eastAsia="宋体" w:cs="宋体"/>
                <w:b/>
                <w:bCs/>
                <w:color w:val="000000" w:themeColor="text1"/>
                <w:kern w:val="0"/>
                <w:sz w:val="21"/>
                <w:szCs w:val="21"/>
                <w:highlight w:val="none"/>
                <w14:textFill>
                  <w14:solidFill>
                    <w14:schemeClr w14:val="tx1"/>
                  </w14:solidFill>
                </w14:textFill>
              </w:rPr>
              <w:t>）</w:t>
            </w:r>
          </w:p>
        </w:tc>
        <w:tc>
          <w:tcPr>
            <w:tcW w:w="775" w:type="dxa"/>
            <w:shd w:val="clear" w:color="auto" w:fill="FFFFFF" w:themeFill="background1"/>
            <w:vAlign w:val="center"/>
          </w:tcPr>
          <w:p w14:paraId="4C6FB059">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5D255E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77D13984">
            <w:pPr>
              <w:autoSpaceDN w:val="0"/>
              <w:spacing w:line="27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8300" w:type="dxa"/>
            <w:gridSpan w:val="2"/>
            <w:shd w:val="clear" w:color="auto" w:fill="FFFFFF" w:themeFill="background1"/>
            <w:vAlign w:val="center"/>
          </w:tcPr>
          <w:p w14:paraId="214867E6">
            <w:pPr>
              <w:autoSpaceDN w:val="0"/>
              <w:spacing w:line="276" w:lineRule="auto"/>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技术（服务）方案（对照评分细则，但不仅限于）</w:t>
            </w:r>
          </w:p>
        </w:tc>
        <w:tc>
          <w:tcPr>
            <w:tcW w:w="775" w:type="dxa"/>
            <w:shd w:val="clear" w:color="auto" w:fill="FFFFFF" w:themeFill="background1"/>
            <w:vAlign w:val="center"/>
          </w:tcPr>
          <w:p w14:paraId="4A54D64F">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61BD6F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14:paraId="324EA51F">
            <w:pPr>
              <w:autoSpaceDN w:val="0"/>
              <w:spacing w:line="27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809" w:type="dxa"/>
            <w:vMerge w:val="restart"/>
            <w:shd w:val="clear" w:color="auto" w:fill="auto"/>
            <w:vAlign w:val="center"/>
          </w:tcPr>
          <w:p w14:paraId="19675678">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节能、环保产品证明材料</w:t>
            </w:r>
          </w:p>
        </w:tc>
        <w:tc>
          <w:tcPr>
            <w:tcW w:w="6491" w:type="dxa"/>
            <w:shd w:val="clear" w:color="auto" w:fill="auto"/>
            <w:vAlign w:val="center"/>
          </w:tcPr>
          <w:p w14:paraId="49232722">
            <w:pPr>
              <w:autoSpaceDN w:val="0"/>
              <w:spacing w:line="276"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（1）所投产品符合政策要求的《</w:t>
            </w:r>
            <w:r>
              <w:rPr>
                <w:rFonts w:hint="eastAsia" w:ascii="宋体" w:hAnsi="宋体" w:eastAsia="宋体" w:cs="宋体"/>
                <w:b/>
                <w:bCs/>
                <w:color w:val="000000" w:themeColor="text1"/>
                <w:kern w:val="0"/>
                <w:sz w:val="21"/>
                <w:szCs w:val="21"/>
                <w:highlight w:val="none"/>
                <w14:textFill>
                  <w14:solidFill>
                    <w14:schemeClr w14:val="tx1"/>
                  </w14:solidFill>
                </w14:textFill>
              </w:rPr>
              <w:t>节能产品认证证书</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（提供扫描件加盖</w:t>
            </w:r>
            <w:r>
              <w:rPr>
                <w:rFonts w:hint="eastAsia" w:ascii="宋体" w:hAnsi="宋体" w:eastAsia="宋体" w:cs="宋体"/>
                <w:color w:val="000000" w:themeColor="text1"/>
                <w:kern w:val="0"/>
                <w:sz w:val="21"/>
                <w:szCs w:val="21"/>
                <w:highlight w:val="none"/>
                <w14:textFill>
                  <w14:solidFill>
                    <w14:schemeClr w14:val="tx1"/>
                  </w14:solidFill>
                </w14:textFill>
              </w:rPr>
              <w:t>投标供应商公章</w:t>
            </w:r>
            <w:r>
              <w:rPr>
                <w:rFonts w:hint="eastAsia" w:ascii="宋体" w:hAnsi="宋体" w:eastAsia="宋体" w:cs="宋体"/>
                <w:color w:val="000000" w:themeColor="text1"/>
                <w:sz w:val="21"/>
                <w:szCs w:val="21"/>
                <w:highlight w:val="none"/>
                <w14:textFill>
                  <w14:solidFill>
                    <w14:schemeClr w14:val="tx1"/>
                  </w14:solidFill>
                </w14:textFill>
              </w:rPr>
              <w:t>）</w:t>
            </w:r>
          </w:p>
          <w:p w14:paraId="15B09932">
            <w:pPr>
              <w:autoSpaceDN w:val="0"/>
              <w:spacing w:line="276"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b/>
                <w:color w:val="000000" w:themeColor="text1"/>
                <w:sz w:val="21"/>
                <w:szCs w:val="21"/>
                <w:highlight w:val="none"/>
                <w:u w:val="single"/>
                <w14:textFill>
                  <w14:solidFill>
                    <w14:schemeClr w14:val="tx1"/>
                  </w14:solidFill>
                </w14:textFill>
              </w:rPr>
              <w:t>本次采购对属于节能产品政府采购品目清单规定的政府强制采购产品范围内的产品实施强制采购。供应商应当在</w:t>
            </w:r>
            <w:r>
              <w:rPr>
                <w:rFonts w:hint="eastAsia" w:ascii="宋体" w:hAnsi="宋体" w:cs="宋体"/>
                <w:b/>
                <w:color w:val="000000" w:themeColor="text1"/>
                <w:sz w:val="21"/>
                <w:szCs w:val="21"/>
                <w:highlight w:val="none"/>
                <w:u w:val="single"/>
                <w:lang w:eastAsia="zh-CN"/>
                <w14:textFill>
                  <w14:solidFill>
                    <w14:schemeClr w14:val="tx1"/>
                  </w14:solidFill>
                </w14:textFill>
              </w:rPr>
              <w:t>磋商响应文件</w:t>
            </w:r>
            <w:r>
              <w:rPr>
                <w:rFonts w:hint="eastAsia" w:ascii="宋体" w:hAnsi="宋体" w:eastAsia="宋体" w:cs="宋体"/>
                <w:b/>
                <w:color w:val="000000" w:themeColor="text1"/>
                <w:sz w:val="21"/>
                <w:szCs w:val="21"/>
                <w:highlight w:val="none"/>
                <w:u w:val="single"/>
                <w14:textFill>
                  <w14:solidFill>
                    <w14:schemeClr w14:val="tx1"/>
                  </w14:solidFill>
                </w14:textFill>
              </w:rPr>
              <w:t>中提供国家确定的认证机构出具的、处于有效期之内的节能产品认证证书（扫描件、加盖公章），否则</w:t>
            </w:r>
            <w:r>
              <w:rPr>
                <w:rFonts w:hint="eastAsia" w:ascii="宋体" w:hAnsi="宋体" w:cs="宋体"/>
                <w:b/>
                <w:color w:val="000000" w:themeColor="text1"/>
                <w:sz w:val="21"/>
                <w:szCs w:val="21"/>
                <w:highlight w:val="none"/>
                <w:u w:val="single"/>
                <w:lang w:eastAsia="zh-CN"/>
                <w14:textFill>
                  <w14:solidFill>
                    <w14:schemeClr w14:val="tx1"/>
                  </w14:solidFill>
                </w14:textFill>
              </w:rPr>
              <w:t>磋商响应文件</w:t>
            </w:r>
            <w:r>
              <w:rPr>
                <w:rFonts w:hint="eastAsia" w:ascii="宋体" w:hAnsi="宋体" w:eastAsia="宋体" w:cs="宋体"/>
                <w:b/>
                <w:color w:val="000000" w:themeColor="text1"/>
                <w:sz w:val="21"/>
                <w:szCs w:val="21"/>
                <w:highlight w:val="none"/>
                <w:u w:val="single"/>
                <w14:textFill>
                  <w14:solidFill>
                    <w14:schemeClr w14:val="tx1"/>
                  </w14:solidFill>
                </w14:textFill>
              </w:rPr>
              <w:t>无效。政府采购节能产品强制采购目录见本章第2.3.2款</w:t>
            </w:r>
            <w:r>
              <w:rPr>
                <w:rFonts w:hint="eastAsia" w:ascii="宋体" w:hAnsi="宋体" w:eastAsia="宋体" w:cs="宋体"/>
                <w:color w:val="000000" w:themeColor="text1"/>
                <w:sz w:val="21"/>
                <w:szCs w:val="21"/>
                <w:highlight w:val="none"/>
                <w14:textFill>
                  <w14:solidFill>
                    <w14:schemeClr w14:val="tx1"/>
                  </w14:solidFill>
                </w14:textFill>
              </w:rPr>
              <w:t>。</w:t>
            </w:r>
          </w:p>
        </w:tc>
        <w:tc>
          <w:tcPr>
            <w:tcW w:w="775" w:type="dxa"/>
            <w:shd w:val="clear" w:color="auto" w:fill="auto"/>
            <w:vAlign w:val="center"/>
          </w:tcPr>
          <w:p w14:paraId="2F2386B7">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w:t>
            </w:r>
          </w:p>
        </w:tc>
      </w:tr>
      <w:tr w14:paraId="569C8C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14:paraId="73799ACE">
            <w:pPr>
              <w:autoSpaceDN w:val="0"/>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09" w:type="dxa"/>
            <w:vMerge w:val="continue"/>
            <w:shd w:val="clear" w:color="auto" w:fill="auto"/>
            <w:vAlign w:val="center"/>
          </w:tcPr>
          <w:p w14:paraId="16E74B7A">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p>
        </w:tc>
        <w:tc>
          <w:tcPr>
            <w:tcW w:w="6491" w:type="dxa"/>
            <w:shd w:val="clear" w:color="auto" w:fill="auto"/>
            <w:vAlign w:val="center"/>
          </w:tcPr>
          <w:p w14:paraId="78234163">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（2）所投产品符合政策要求的《环境标志产品认证证书》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如有</w:t>
            </w:r>
            <w:r>
              <w:rPr>
                <w:rFonts w:hint="eastAsia" w:ascii="宋体" w:hAnsi="宋体" w:eastAsia="宋体" w:cs="宋体"/>
                <w:color w:val="000000" w:themeColor="text1"/>
                <w:sz w:val="21"/>
                <w:szCs w:val="21"/>
                <w:highlight w:val="none"/>
                <w14:textFill>
                  <w14:solidFill>
                    <w14:schemeClr w14:val="tx1"/>
                  </w14:solidFill>
                </w14:textFill>
              </w:rPr>
              <w:t>，提供扫描件加盖</w:t>
            </w:r>
            <w:r>
              <w:rPr>
                <w:rFonts w:hint="eastAsia" w:ascii="宋体" w:hAnsi="宋体" w:eastAsia="宋体" w:cs="宋体"/>
                <w:color w:val="000000" w:themeColor="text1"/>
                <w:kern w:val="0"/>
                <w:sz w:val="21"/>
                <w:szCs w:val="21"/>
                <w:highlight w:val="none"/>
                <w14:textFill>
                  <w14:solidFill>
                    <w14:schemeClr w14:val="tx1"/>
                  </w14:solidFill>
                </w14:textFill>
              </w:rPr>
              <w:t>磋商响应供应商公章</w:t>
            </w:r>
            <w:r>
              <w:rPr>
                <w:rFonts w:hint="eastAsia" w:ascii="宋体" w:hAnsi="宋体" w:eastAsia="宋体" w:cs="宋体"/>
                <w:color w:val="000000" w:themeColor="text1"/>
                <w:sz w:val="21"/>
                <w:szCs w:val="21"/>
                <w:highlight w:val="none"/>
                <w14:textFill>
                  <w14:solidFill>
                    <w14:schemeClr w14:val="tx1"/>
                  </w14:solidFill>
                </w14:textFill>
              </w:rPr>
              <w:t>）</w:t>
            </w:r>
          </w:p>
        </w:tc>
        <w:tc>
          <w:tcPr>
            <w:tcW w:w="775" w:type="dxa"/>
            <w:shd w:val="clear" w:color="auto" w:fill="auto"/>
            <w:vAlign w:val="center"/>
          </w:tcPr>
          <w:p w14:paraId="0554D321">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15195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6EC4FC53">
            <w:pPr>
              <w:autoSpaceDN w:val="0"/>
              <w:spacing w:line="276"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cs="宋体"/>
                <w:b/>
                <w:color w:val="000000" w:themeColor="text1"/>
                <w:sz w:val="21"/>
                <w:szCs w:val="21"/>
                <w:highlight w:val="none"/>
                <w:lang w:val="en-US" w:eastAsia="zh-CN"/>
                <w14:textFill>
                  <w14:solidFill>
                    <w14:schemeClr w14:val="tx1"/>
                  </w14:solidFill>
                </w14:textFill>
              </w:rPr>
              <w:t>9</w:t>
            </w:r>
          </w:p>
        </w:tc>
        <w:tc>
          <w:tcPr>
            <w:tcW w:w="8300" w:type="dxa"/>
            <w:gridSpan w:val="2"/>
            <w:shd w:val="clear" w:color="auto" w:fill="auto"/>
            <w:vAlign w:val="center"/>
          </w:tcPr>
          <w:p w14:paraId="7A9BF096">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主要材料品牌表</w:t>
            </w:r>
          </w:p>
        </w:tc>
        <w:tc>
          <w:tcPr>
            <w:tcW w:w="775" w:type="dxa"/>
            <w:shd w:val="clear" w:color="auto" w:fill="auto"/>
            <w:vAlign w:val="center"/>
          </w:tcPr>
          <w:p w14:paraId="7EC7F360">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w:t>
            </w:r>
          </w:p>
        </w:tc>
      </w:tr>
      <w:tr w14:paraId="2F243D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00EB67BA">
            <w:pPr>
              <w:autoSpaceDN w:val="0"/>
              <w:spacing w:line="276" w:lineRule="auto"/>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2-1</w:t>
            </w:r>
            <w:r>
              <w:rPr>
                <w:rFonts w:hint="eastAsia" w:ascii="宋体" w:hAnsi="宋体" w:cs="宋体"/>
                <w:b/>
                <w:color w:val="000000" w:themeColor="text1"/>
                <w:sz w:val="21"/>
                <w:szCs w:val="21"/>
                <w:highlight w:val="none"/>
                <w:lang w:val="en-US" w:eastAsia="zh-CN"/>
                <w14:textFill>
                  <w14:solidFill>
                    <w14:schemeClr w14:val="tx1"/>
                  </w14:solidFill>
                </w14:textFill>
              </w:rPr>
              <w:t>0</w:t>
            </w:r>
          </w:p>
        </w:tc>
        <w:tc>
          <w:tcPr>
            <w:tcW w:w="8300" w:type="dxa"/>
            <w:gridSpan w:val="2"/>
            <w:vAlign w:val="center"/>
          </w:tcPr>
          <w:p w14:paraId="75DD4EB4">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关于对采购文件中有关条款的拒绝声明（如有，格式见第六章）</w:t>
            </w:r>
          </w:p>
        </w:tc>
        <w:tc>
          <w:tcPr>
            <w:tcW w:w="775" w:type="dxa"/>
            <w:vAlign w:val="center"/>
          </w:tcPr>
          <w:p w14:paraId="30BCE7C7">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79476D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1E6D1DA0">
            <w:pPr>
              <w:autoSpaceDN w:val="0"/>
              <w:spacing w:line="276" w:lineRule="auto"/>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cs="宋体"/>
                <w:b/>
                <w:color w:val="000000" w:themeColor="text1"/>
                <w:sz w:val="21"/>
                <w:szCs w:val="21"/>
                <w:highlight w:val="none"/>
                <w:lang w:val="en-US" w:eastAsia="zh-CN"/>
                <w14:textFill>
                  <w14:solidFill>
                    <w14:schemeClr w14:val="tx1"/>
                  </w14:solidFill>
                </w14:textFill>
              </w:rPr>
              <w:t>11</w:t>
            </w:r>
          </w:p>
        </w:tc>
        <w:tc>
          <w:tcPr>
            <w:tcW w:w="8300" w:type="dxa"/>
            <w:gridSpan w:val="2"/>
            <w:vAlign w:val="center"/>
          </w:tcPr>
          <w:p w14:paraId="7939CE17">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其他与商务技术有关的资料或说明（如有，格式见第六章）</w:t>
            </w:r>
          </w:p>
        </w:tc>
        <w:tc>
          <w:tcPr>
            <w:tcW w:w="775" w:type="dxa"/>
            <w:vAlign w:val="center"/>
          </w:tcPr>
          <w:p w14:paraId="62C259AE">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41EA10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6564F1A6">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备注</w:t>
            </w:r>
          </w:p>
        </w:tc>
        <w:tc>
          <w:tcPr>
            <w:tcW w:w="9075" w:type="dxa"/>
            <w:gridSpan w:val="3"/>
            <w:shd w:val="clear" w:color="auto" w:fill="E5DFEC"/>
            <w:vAlign w:val="center"/>
          </w:tcPr>
          <w:p w14:paraId="5ACBBF61">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以上清单中标注“</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”的内容为必须提供的内容，未提供或提供不齐全的</w:t>
            </w:r>
            <w:r>
              <w:rPr>
                <w:rFonts w:hint="eastAsia" w:ascii="宋体" w:hAnsi="宋体" w:cs="宋体"/>
                <w:b/>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kern w:val="0"/>
                <w:sz w:val="21"/>
                <w:szCs w:val="21"/>
                <w:highlight w:val="none"/>
                <w14:textFill>
                  <w14:solidFill>
                    <w14:schemeClr w14:val="tx1"/>
                  </w14:solidFill>
                </w14:textFill>
              </w:rPr>
              <w:t>无效。</w:t>
            </w:r>
          </w:p>
        </w:tc>
      </w:tr>
    </w:tbl>
    <w:p w14:paraId="1C6D3D70">
      <w:pPr>
        <w:pStyle w:val="6"/>
        <w:autoSpaceDN w:val="0"/>
        <w:rPr>
          <w:rFonts w:hint="eastAsia" w:ascii="宋体" w:hAnsi="宋体" w:eastAsia="宋体" w:cs="宋体"/>
          <w:color w:val="000000" w:themeColor="text1"/>
          <w:sz w:val="18"/>
          <w:szCs w:val="16"/>
          <w:highlight w:val="none"/>
          <w14:textFill>
            <w14:solidFill>
              <w14:schemeClr w14:val="tx1"/>
            </w14:solidFill>
          </w14:textFill>
        </w:rPr>
      </w:pPr>
    </w:p>
    <w:p w14:paraId="48723940">
      <w:pPr>
        <w:pStyle w:val="5"/>
        <w:autoSpaceDN w:val="0"/>
        <w:ind w:firstLine="561"/>
        <w:rPr>
          <w:rFonts w:hint="eastAsia" w:ascii="宋体" w:hAnsi="宋体" w:eastAsia="宋体" w:cs="宋体"/>
          <w:sz w:val="22"/>
          <w:szCs w:val="22"/>
          <w:highlight w:val="none"/>
        </w:rPr>
      </w:pPr>
      <w:r>
        <w:rPr>
          <w:rFonts w:hint="eastAsia" w:ascii="宋体" w:hAnsi="宋体" w:eastAsia="宋体" w:cs="宋体"/>
          <w:sz w:val="22"/>
          <w:szCs w:val="22"/>
          <w:highlight w:val="none"/>
        </w:rPr>
        <w:t>（3）《报价文件》</w:t>
      </w:r>
    </w:p>
    <w:tbl>
      <w:tblPr>
        <w:tblStyle w:val="51"/>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14:paraId="30CE38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14:paraId="6717B30F">
            <w:pPr>
              <w:autoSpaceDN w:val="0"/>
              <w:spacing w:line="276" w:lineRule="auto"/>
              <w:jc w:val="center"/>
              <w:rPr>
                <w:rFonts w:hint="eastAsia" w:ascii="宋体" w:hAnsi="宋体" w:eastAsia="宋体" w:cs="宋体"/>
                <w:b/>
                <w:color w:val="000000" w:themeColor="text1"/>
                <w:kern w:val="0"/>
                <w:sz w:val="21"/>
                <w:szCs w:val="16"/>
                <w:highlight w:val="none"/>
                <w14:textFill>
                  <w14:solidFill>
                    <w14:schemeClr w14:val="tx1"/>
                  </w14:solidFill>
                </w14:textFill>
              </w:rPr>
            </w:pPr>
            <w:r>
              <w:rPr>
                <w:rFonts w:hint="eastAsia" w:ascii="宋体" w:hAnsi="宋体" w:eastAsia="宋体" w:cs="宋体"/>
                <w:b/>
                <w:color w:val="000000" w:themeColor="text1"/>
                <w:kern w:val="0"/>
                <w:sz w:val="21"/>
                <w:szCs w:val="16"/>
                <w:highlight w:val="none"/>
                <w14:textFill>
                  <w14:solidFill>
                    <w14:schemeClr w14:val="tx1"/>
                  </w14:solidFill>
                </w14:textFill>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14:paraId="2A8328D9">
            <w:pPr>
              <w:autoSpaceDN w:val="0"/>
              <w:jc w:val="center"/>
              <w:rPr>
                <w:rFonts w:hint="eastAsia" w:ascii="宋体" w:hAnsi="宋体" w:eastAsia="宋体" w:cs="宋体"/>
                <w:b/>
                <w:color w:val="000000" w:themeColor="text1"/>
                <w:sz w:val="22"/>
                <w:szCs w:val="24"/>
                <w:highlight w:val="none"/>
                <w14:textFill>
                  <w14:solidFill>
                    <w14:schemeClr w14:val="tx1"/>
                  </w14:solidFill>
                </w14:textFill>
              </w:rPr>
            </w:pPr>
            <w:r>
              <w:rPr>
                <w:rFonts w:hint="eastAsia" w:ascii="宋体" w:hAnsi="宋体" w:eastAsia="宋体" w:cs="宋体"/>
                <w:b/>
                <w:color w:val="000000" w:themeColor="text1"/>
                <w:sz w:val="22"/>
                <w:szCs w:val="24"/>
                <w:highlight w:val="none"/>
                <w14:textFill>
                  <w14:solidFill>
                    <w14:schemeClr w14:val="tx1"/>
                  </w14:solidFill>
                </w14:textFill>
              </w:rPr>
              <w:t>第三部分《报价文件》组成内容及要求【依序编制】</w:t>
            </w:r>
          </w:p>
        </w:tc>
        <w:tc>
          <w:tcPr>
            <w:tcW w:w="750" w:type="dxa"/>
            <w:tcBorders>
              <w:top w:val="thinThickSmallGap" w:color="0070C0" w:sz="12" w:space="0"/>
              <w:bottom w:val="single" w:color="0070C0" w:sz="6" w:space="0"/>
            </w:tcBorders>
            <w:shd w:val="clear" w:color="auto" w:fill="DAEEF3" w:themeFill="accent5" w:themeFillTint="33"/>
            <w:vAlign w:val="center"/>
          </w:tcPr>
          <w:p w14:paraId="0F691DEE">
            <w:pPr>
              <w:autoSpaceDN w:val="0"/>
              <w:spacing w:line="276" w:lineRule="auto"/>
              <w:jc w:val="center"/>
              <w:rPr>
                <w:rFonts w:hint="eastAsia" w:ascii="宋体" w:hAnsi="宋体" w:eastAsia="宋体" w:cs="宋体"/>
                <w:b/>
                <w:color w:val="000000" w:themeColor="text1"/>
                <w:kern w:val="0"/>
                <w:sz w:val="21"/>
                <w:szCs w:val="16"/>
                <w:highlight w:val="none"/>
                <w14:textFill>
                  <w14:solidFill>
                    <w14:schemeClr w14:val="tx1"/>
                  </w14:solidFill>
                </w14:textFill>
              </w:rPr>
            </w:pPr>
            <w:r>
              <w:rPr>
                <w:rFonts w:hint="eastAsia" w:ascii="宋体" w:hAnsi="宋体" w:eastAsia="宋体" w:cs="宋体"/>
                <w:b/>
                <w:color w:val="000000" w:themeColor="text1"/>
                <w:kern w:val="0"/>
                <w:sz w:val="21"/>
                <w:szCs w:val="16"/>
                <w:highlight w:val="none"/>
                <w14:textFill>
                  <w14:solidFill>
                    <w14:schemeClr w14:val="tx1"/>
                  </w14:solidFill>
                </w14:textFill>
              </w:rPr>
              <w:t>格式</w:t>
            </w:r>
          </w:p>
        </w:tc>
      </w:tr>
      <w:tr w14:paraId="2A6274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14:paraId="03982311">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3-1</w:t>
            </w:r>
          </w:p>
        </w:tc>
        <w:tc>
          <w:tcPr>
            <w:tcW w:w="8375" w:type="dxa"/>
            <w:tcBorders>
              <w:top w:val="single" w:color="0070C0" w:sz="6" w:space="0"/>
            </w:tcBorders>
            <w:shd w:val="clear" w:color="auto" w:fill="FFFFFF" w:themeFill="background1"/>
            <w:vAlign w:val="center"/>
          </w:tcPr>
          <w:p w14:paraId="4D014B8B">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《报价文件》封面</w:t>
            </w:r>
            <w:r>
              <w:rPr>
                <w:rFonts w:hint="eastAsia" w:ascii="宋体" w:hAnsi="宋体" w:eastAsia="宋体" w:cs="宋体"/>
                <w:color w:val="000000" w:themeColor="text1"/>
                <w:kern w:val="0"/>
                <w:sz w:val="21"/>
                <w:szCs w:val="21"/>
                <w:highlight w:val="none"/>
                <w14:textFill>
                  <w14:solidFill>
                    <w14:schemeClr w14:val="tx1"/>
                  </w14:solidFill>
                </w14:textFill>
              </w:rPr>
              <w:t>（格式见第六章）</w:t>
            </w:r>
          </w:p>
        </w:tc>
        <w:tc>
          <w:tcPr>
            <w:tcW w:w="750" w:type="dxa"/>
            <w:tcBorders>
              <w:top w:val="single" w:color="0070C0" w:sz="6" w:space="0"/>
            </w:tcBorders>
            <w:shd w:val="clear" w:color="auto" w:fill="FFFFFF" w:themeFill="background1"/>
            <w:vAlign w:val="center"/>
          </w:tcPr>
          <w:p w14:paraId="3F25A782">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06A597B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3A265106">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3-2</w:t>
            </w:r>
          </w:p>
        </w:tc>
        <w:tc>
          <w:tcPr>
            <w:tcW w:w="8375" w:type="dxa"/>
            <w:shd w:val="clear" w:color="auto" w:fill="FFFFFF" w:themeFill="background1"/>
            <w:vAlign w:val="center"/>
          </w:tcPr>
          <w:p w14:paraId="2D12AC11">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▲投标函</w:t>
            </w:r>
            <w:r>
              <w:rPr>
                <w:rFonts w:hint="eastAsia" w:ascii="宋体" w:hAnsi="宋体" w:eastAsia="宋体" w:cs="宋体"/>
                <w:color w:val="000000" w:themeColor="text1"/>
                <w:kern w:val="0"/>
                <w:sz w:val="21"/>
                <w:szCs w:val="21"/>
                <w:highlight w:val="none"/>
                <w14:textFill>
                  <w14:solidFill>
                    <w14:schemeClr w14:val="tx1"/>
                  </w14:solidFill>
                </w14:textFill>
              </w:rPr>
              <w:t>（格式见第六章）</w:t>
            </w:r>
          </w:p>
        </w:tc>
        <w:tc>
          <w:tcPr>
            <w:tcW w:w="750" w:type="dxa"/>
            <w:shd w:val="clear" w:color="auto" w:fill="FFFFFF" w:themeFill="background1"/>
            <w:vAlign w:val="center"/>
          </w:tcPr>
          <w:p w14:paraId="168A1BF4">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38FEA9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6C76480D">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3-3</w:t>
            </w:r>
          </w:p>
        </w:tc>
        <w:tc>
          <w:tcPr>
            <w:tcW w:w="8375" w:type="dxa"/>
            <w:shd w:val="clear" w:color="auto" w:fill="FFFFFF" w:themeFill="background1"/>
            <w:vAlign w:val="center"/>
          </w:tcPr>
          <w:p w14:paraId="15D1DD66">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kern w:val="0"/>
                <w:sz w:val="21"/>
                <w:szCs w:val="21"/>
                <w:highlight w:val="none"/>
              </w:rPr>
              <w:t>工程量清单及计价表</w:t>
            </w:r>
            <w:r>
              <w:rPr>
                <w:rFonts w:hint="eastAsia" w:ascii="宋体" w:hAnsi="宋体" w:eastAsia="宋体" w:cs="宋体"/>
                <w:color w:val="000000"/>
                <w:kern w:val="0"/>
                <w:sz w:val="21"/>
                <w:szCs w:val="21"/>
                <w:highlight w:val="none"/>
              </w:rPr>
              <w:t>（格式按浙江省要求格式）</w:t>
            </w:r>
          </w:p>
        </w:tc>
        <w:tc>
          <w:tcPr>
            <w:tcW w:w="750" w:type="dxa"/>
            <w:shd w:val="clear" w:color="auto" w:fill="FFFFFF" w:themeFill="background1"/>
            <w:vAlign w:val="center"/>
          </w:tcPr>
          <w:p w14:paraId="40CAD975">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3ACFFB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14:paraId="5C063B93">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3-4</w:t>
            </w:r>
          </w:p>
        </w:tc>
        <w:tc>
          <w:tcPr>
            <w:tcW w:w="8375" w:type="dxa"/>
            <w:vAlign w:val="center"/>
          </w:tcPr>
          <w:p w14:paraId="69413A3C">
            <w:pPr>
              <w:autoSpaceDN w:val="0"/>
              <w:spacing w:line="276"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kern w:val="0"/>
                <w:sz w:val="21"/>
                <w:szCs w:val="21"/>
                <w:highlight w:val="none"/>
              </w:rPr>
              <w:t>供应商认为有必要提供的其他与报价有关的资料或说明（如有，格式见第六章）</w:t>
            </w:r>
          </w:p>
        </w:tc>
        <w:tc>
          <w:tcPr>
            <w:tcW w:w="750" w:type="dxa"/>
            <w:vAlign w:val="center"/>
          </w:tcPr>
          <w:p w14:paraId="192CF3E2">
            <w:pPr>
              <w:autoSpaceDN w:val="0"/>
              <w:spacing w:line="276"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w:t>
            </w:r>
          </w:p>
        </w:tc>
      </w:tr>
      <w:tr w14:paraId="37BD53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14:paraId="376D001B">
            <w:pPr>
              <w:autoSpaceDN w:val="0"/>
              <w:spacing w:line="276"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备注</w:t>
            </w:r>
          </w:p>
        </w:tc>
        <w:tc>
          <w:tcPr>
            <w:tcW w:w="9125" w:type="dxa"/>
            <w:gridSpan w:val="2"/>
            <w:shd w:val="clear" w:color="auto" w:fill="E5DFEC"/>
            <w:vAlign w:val="center"/>
          </w:tcPr>
          <w:p w14:paraId="09DEEA39">
            <w:pPr>
              <w:autoSpaceDN w:val="0"/>
              <w:spacing w:line="276"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以上清单中标注“</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”的内容为必须提供的内容，未提供或提供不齐全的投标无效。</w:t>
            </w:r>
          </w:p>
        </w:tc>
      </w:tr>
    </w:tbl>
    <w:p w14:paraId="669832C5">
      <w:pPr>
        <w:autoSpaceDN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注：以上目录是编制响应文件的基本格式要求，各供应商可根据自身情况进一步细化。</w:t>
      </w:r>
    </w:p>
    <w:p w14:paraId="4B2F4DE8">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4.3 磋商响应文件的编制</w:t>
      </w:r>
    </w:p>
    <w:p w14:paraId="0C64BEBA">
      <w:pPr>
        <w:autoSpaceDN w:val="0"/>
        <w:spacing w:line="360" w:lineRule="auto"/>
        <w:ind w:firstLine="369" w:firstLineChars="175"/>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4.3.1</w:t>
      </w:r>
      <w:r>
        <w:rPr>
          <w:rFonts w:hint="eastAsia" w:ascii="宋体" w:hAnsi="宋体" w:eastAsia="宋体" w:cs="宋体"/>
          <w:b/>
          <w:color w:val="000000"/>
          <w:sz w:val="21"/>
          <w:szCs w:val="21"/>
          <w:highlight w:val="none"/>
        </w:rPr>
        <w:t>依据《浙江省政府采购项目电子交易管理暂行办法》，本项目通过“政府采购云平台”（网址：</w:t>
      </w:r>
      <w:r>
        <w:rPr>
          <w:rFonts w:hint="eastAsia" w:ascii="宋体" w:hAnsi="宋体" w:eastAsia="宋体" w:cs="宋体"/>
          <w:sz w:val="18"/>
          <w:szCs w:val="21"/>
          <w:highlight w:val="none"/>
        </w:rPr>
        <w:fldChar w:fldCharType="begin"/>
      </w:r>
      <w:r>
        <w:rPr>
          <w:rFonts w:hint="eastAsia" w:ascii="宋体" w:hAnsi="宋体" w:eastAsia="宋体" w:cs="宋体"/>
          <w:sz w:val="18"/>
          <w:szCs w:val="21"/>
          <w:highlight w:val="none"/>
        </w:rPr>
        <w:instrText xml:space="preserve"> HYPERLINK "http://www.zcygov.cn" </w:instrText>
      </w:r>
      <w:r>
        <w:rPr>
          <w:rFonts w:hint="eastAsia" w:ascii="宋体" w:hAnsi="宋体" w:eastAsia="宋体" w:cs="宋体"/>
          <w:sz w:val="18"/>
          <w:szCs w:val="21"/>
          <w:highlight w:val="none"/>
        </w:rPr>
        <w:fldChar w:fldCharType="separate"/>
      </w:r>
      <w:r>
        <w:rPr>
          <w:rFonts w:hint="eastAsia" w:ascii="宋体" w:hAnsi="宋体" w:eastAsia="宋体" w:cs="宋体"/>
          <w:b/>
          <w:color w:val="000000"/>
          <w:sz w:val="21"/>
          <w:szCs w:val="21"/>
          <w:highlight w:val="none"/>
        </w:rPr>
        <w:t>www.zcygov.cn</w:t>
      </w:r>
      <w:r>
        <w:rPr>
          <w:rFonts w:hint="eastAsia" w:ascii="宋体" w:hAnsi="宋体" w:eastAsia="宋体" w:cs="宋体"/>
          <w:b/>
          <w:color w:val="000000"/>
          <w:sz w:val="21"/>
          <w:szCs w:val="21"/>
          <w:highlight w:val="none"/>
        </w:rPr>
        <w:fldChar w:fldCharType="end"/>
      </w:r>
      <w:r>
        <w:rPr>
          <w:rFonts w:hint="eastAsia" w:ascii="宋体" w:hAnsi="宋体" w:eastAsia="宋体" w:cs="宋体"/>
          <w:b/>
          <w:color w:val="000000"/>
          <w:sz w:val="21"/>
          <w:szCs w:val="21"/>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宋体" w:hAnsi="宋体" w:eastAsia="宋体" w:cs="宋体"/>
          <w:b/>
          <w:color w:val="000000"/>
          <w:sz w:val="21"/>
          <w:szCs w:val="21"/>
          <w:highlight w:val="none"/>
          <w:u w:val="single"/>
        </w:rPr>
        <w:t>供应商未按规定加密的磋商响应文件，“政府采购云平台”将予以拒收</w:t>
      </w:r>
      <w:r>
        <w:rPr>
          <w:rFonts w:hint="eastAsia" w:ascii="宋体" w:hAnsi="宋体" w:eastAsia="宋体" w:cs="宋体"/>
          <w:b/>
          <w:color w:val="000000"/>
          <w:sz w:val="21"/>
          <w:szCs w:val="21"/>
          <w:highlight w:val="none"/>
        </w:rPr>
        <w:t>。</w:t>
      </w:r>
    </w:p>
    <w:p w14:paraId="3EEDCA16">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4.3.2供应商应当按照本章节第4.2.2款规定的内容在“政采云电子交易客户端”编制磋商响应文件。</w:t>
      </w:r>
    </w:p>
    <w:p w14:paraId="3D6D52E9">
      <w:pPr>
        <w:autoSpaceDN w:val="0"/>
        <w:spacing w:line="360" w:lineRule="auto"/>
        <w:ind w:firstLine="369" w:firstLineChars="175"/>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4.3.3</w:t>
      </w:r>
      <w:r>
        <w:rPr>
          <w:rFonts w:hint="eastAsia" w:ascii="宋体" w:hAnsi="宋体" w:eastAsia="宋体" w:cs="宋体"/>
          <w:b/>
          <w:color w:val="000000"/>
          <w:sz w:val="21"/>
          <w:szCs w:val="21"/>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33B9EDBB">
      <w:pPr>
        <w:autoSpaceDN w:val="0"/>
        <w:spacing w:line="360" w:lineRule="auto"/>
        <w:ind w:firstLine="369" w:firstLineChars="175"/>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4.3.4</w:t>
      </w:r>
      <w:r>
        <w:rPr>
          <w:rFonts w:hint="eastAsia" w:ascii="宋体" w:hAnsi="宋体" w:eastAsia="宋体" w:cs="宋体"/>
          <w:b/>
          <w:color w:val="000000"/>
          <w:kern w:val="0"/>
          <w:sz w:val="21"/>
          <w:szCs w:val="21"/>
          <w:highlight w:val="none"/>
        </w:rPr>
        <w:t>本章节第4.2.2款内容中约定</w:t>
      </w:r>
      <w:r>
        <w:rPr>
          <w:rFonts w:hint="eastAsia" w:ascii="宋体" w:hAnsi="宋体" w:eastAsia="宋体" w:cs="宋体"/>
          <w:b/>
          <w:color w:val="000000"/>
          <w:sz w:val="21"/>
          <w:szCs w:val="21"/>
          <w:highlight w:val="none"/>
        </w:rPr>
        <w:t>可以提供扫描件的相关证明材料必须加盖供应商公章，否则视为未提供</w:t>
      </w:r>
      <w:r>
        <w:rPr>
          <w:rFonts w:hint="eastAsia" w:ascii="宋体" w:hAnsi="宋体" w:eastAsia="宋体" w:cs="宋体"/>
          <w:color w:val="000000"/>
          <w:sz w:val="21"/>
          <w:szCs w:val="21"/>
          <w:highlight w:val="none"/>
        </w:rPr>
        <w:t>（例如：各类资格资质证书、业绩材料、许可材料、荣誉证书、产品注册登记材料、产品检测材料、验收材料等）。</w:t>
      </w:r>
    </w:p>
    <w:p w14:paraId="670A9630">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4.3.5</w:t>
      </w:r>
      <w:r>
        <w:rPr>
          <w:rFonts w:hint="eastAsia" w:ascii="宋体" w:hAnsi="宋体" w:eastAsia="宋体" w:cs="宋体"/>
          <w:b/>
          <w:color w:val="000000"/>
          <w:kern w:val="0"/>
          <w:sz w:val="21"/>
          <w:szCs w:val="21"/>
          <w:highlight w:val="none"/>
        </w:rPr>
        <w:t>本章节第4.2.2款内容中标注“▲”的内容为必须提供的内容，未提供的磋商响应文件无效。</w:t>
      </w:r>
    </w:p>
    <w:p w14:paraId="1F433440">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4.3.6《磋商响应文件》内容不完整、编排混乱导致《磋商响应文件》被误读、漏读或者查找不到相关内容的，是磋商响应供应商的责任。</w:t>
      </w:r>
    </w:p>
    <w:p w14:paraId="48E8C2D5">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4.3.7《磋商响应文件》因字迹潦草或表达不清所引起的后果由磋商响应供应商负责。</w:t>
      </w:r>
    </w:p>
    <w:p w14:paraId="5D311A12">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4.3.8</w:t>
      </w:r>
      <w:r>
        <w:rPr>
          <w:rFonts w:hint="eastAsia" w:ascii="宋体" w:hAnsi="宋体" w:eastAsia="宋体" w:cs="宋体"/>
          <w:color w:val="000000"/>
          <w:kern w:val="0"/>
          <w:sz w:val="21"/>
          <w:szCs w:val="20"/>
          <w:highlight w:val="none"/>
        </w:rPr>
        <w:t>磋商响应供应商没有按照</w:t>
      </w:r>
      <w:r>
        <w:rPr>
          <w:rFonts w:hint="eastAsia" w:ascii="宋体" w:hAnsi="宋体" w:eastAsia="宋体" w:cs="宋体"/>
          <w:color w:val="000000"/>
          <w:kern w:val="0"/>
          <w:sz w:val="21"/>
          <w:szCs w:val="21"/>
          <w:highlight w:val="none"/>
        </w:rPr>
        <w:t>本章节第4.2.2款“</w:t>
      </w:r>
      <w:r>
        <w:rPr>
          <w:rFonts w:hint="eastAsia" w:ascii="宋体" w:hAnsi="宋体" w:eastAsia="宋体" w:cs="宋体"/>
          <w:color w:val="000000"/>
          <w:kern w:val="0"/>
          <w:sz w:val="21"/>
          <w:szCs w:val="20"/>
          <w:highlight w:val="none"/>
        </w:rPr>
        <w:t>磋商响应文件内容组成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0"/>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5D0C10E0">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4.4 磋商响应文件的签章</w:t>
      </w:r>
    </w:p>
    <w:p w14:paraId="6CB9F92D">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4.4.1磋商响应文件的签章形式：</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227A0FC4">
      <w:pPr>
        <w:autoSpaceDN w:val="0"/>
        <w:spacing w:line="360" w:lineRule="auto"/>
        <w:ind w:firstLine="373" w:firstLineChars="177"/>
        <w:rPr>
          <w:rFonts w:hint="eastAsia" w:ascii="宋体" w:hAnsi="宋体" w:eastAsia="宋体" w:cs="宋体"/>
          <w:b/>
          <w:color w:val="FF0000"/>
          <w:kern w:val="0"/>
          <w:sz w:val="21"/>
          <w:szCs w:val="20"/>
          <w:highlight w:val="none"/>
        </w:rPr>
      </w:pPr>
      <w:r>
        <w:rPr>
          <w:rFonts w:hint="eastAsia" w:ascii="宋体" w:hAnsi="宋体" w:eastAsia="宋体" w:cs="宋体"/>
          <w:b/>
          <w:color w:val="000000"/>
          <w:kern w:val="0"/>
          <w:sz w:val="21"/>
          <w:szCs w:val="21"/>
          <w:highlight w:val="none"/>
        </w:rPr>
        <w:t>4.4.2《磋商响应文件》内容应按</w:t>
      </w:r>
      <w:r>
        <w:rPr>
          <w:rFonts w:hint="eastAsia" w:ascii="宋体" w:hAnsi="宋体" w:eastAsia="宋体" w:cs="宋体"/>
          <w:b/>
          <w:color w:val="000000"/>
          <w:sz w:val="21"/>
          <w:szCs w:val="21"/>
          <w:highlight w:val="none"/>
        </w:rPr>
        <w:t>《第三章 磋商须知》规定和</w:t>
      </w:r>
      <w:r>
        <w:rPr>
          <w:rFonts w:hint="eastAsia" w:ascii="宋体" w:hAnsi="宋体" w:eastAsia="宋体" w:cs="宋体"/>
          <w:b/>
          <w:color w:val="000000"/>
          <w:kern w:val="0"/>
          <w:sz w:val="21"/>
          <w:szCs w:val="21"/>
          <w:highlight w:val="none"/>
        </w:rPr>
        <w:t>《第六章 磋商响应文件格式》</w:t>
      </w:r>
      <w:r>
        <w:rPr>
          <w:rFonts w:hint="eastAsia" w:ascii="宋体" w:hAnsi="宋体" w:eastAsia="宋体" w:cs="宋体"/>
          <w:b/>
          <w:color w:val="000000"/>
          <w:sz w:val="21"/>
          <w:szCs w:val="21"/>
          <w:highlight w:val="none"/>
        </w:rPr>
        <w:t>标注的要求进行盖章、签署</w:t>
      </w:r>
      <w:r>
        <w:rPr>
          <w:rFonts w:hint="eastAsia" w:ascii="宋体" w:hAnsi="宋体" w:eastAsia="宋体" w:cs="宋体"/>
          <w:b/>
          <w:color w:val="000000"/>
          <w:kern w:val="0"/>
          <w:sz w:val="21"/>
          <w:szCs w:val="21"/>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187413D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4.5 磋商报价</w:t>
      </w:r>
    </w:p>
    <w:p w14:paraId="5F230A91">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4.5.1磋商报价应按《第六章 磋商响应文件格式》中提供的相关报价格式填写；</w:t>
      </w:r>
    </w:p>
    <w:p w14:paraId="0C7A173D">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4.5.2本项目最高限价：</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p>
    <w:p w14:paraId="57E4BA7B">
      <w:pPr>
        <w:autoSpaceDN w:val="0"/>
        <w:spacing w:line="360" w:lineRule="auto"/>
        <w:ind w:firstLine="371" w:firstLineChars="176"/>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u w:val="single"/>
        </w:rPr>
        <w:t>4.5.3《磋商响应文件》针对每个标项每一轮只允许有一个报价，不接受有选择报价的磋商响应（作无效标处理）</w:t>
      </w:r>
      <w:r>
        <w:rPr>
          <w:rFonts w:hint="eastAsia" w:ascii="宋体" w:hAnsi="宋体" w:eastAsia="宋体" w:cs="宋体"/>
          <w:b/>
          <w:color w:val="000000"/>
          <w:kern w:val="0"/>
          <w:sz w:val="21"/>
          <w:szCs w:val="21"/>
          <w:highlight w:val="none"/>
        </w:rPr>
        <w:t>；</w:t>
      </w:r>
    </w:p>
    <w:p w14:paraId="191C4E25">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4.5.5最低报价不是成交的保证，采购人及采购代理机构不作任何落标解释。</w:t>
      </w:r>
    </w:p>
    <w:p w14:paraId="60914D5F">
      <w:pPr>
        <w:pStyle w:val="134"/>
        <w:autoSpaceDN w:val="0"/>
        <w:spacing w:line="360" w:lineRule="auto"/>
        <w:ind w:firstLine="480"/>
        <w:rPr>
          <w:rFonts w:hint="eastAsia" w:ascii="宋体" w:hAnsi="宋体" w:eastAsia="宋体" w:cs="宋体"/>
          <w:sz w:val="21"/>
          <w:szCs w:val="21"/>
          <w:highlight w:val="none"/>
          <w:u w:val="thick"/>
        </w:rPr>
      </w:pPr>
      <w:r>
        <w:rPr>
          <w:rFonts w:hint="eastAsia" w:ascii="宋体" w:hAnsi="宋体" w:eastAsia="宋体" w:cs="宋体"/>
          <w:sz w:val="21"/>
          <w:szCs w:val="21"/>
          <w:highlight w:val="none"/>
        </w:rPr>
        <w:t>4.5.6 ▲</w:t>
      </w:r>
      <w:r>
        <w:rPr>
          <w:rFonts w:hint="eastAsia" w:ascii="宋体" w:hAnsi="宋体" w:eastAsia="宋体" w:cs="宋体"/>
          <w:b/>
          <w:color w:val="000000"/>
          <w:kern w:val="0"/>
          <w:sz w:val="21"/>
          <w:szCs w:val="21"/>
          <w:highlight w:val="none"/>
          <w:u w:val="single"/>
        </w:rPr>
        <w:t>本次磋商报价为含税人民币价</w:t>
      </w:r>
      <w:r>
        <w:rPr>
          <w:rFonts w:hint="eastAsia" w:ascii="宋体" w:hAnsi="宋体" w:eastAsia="宋体" w:cs="宋体"/>
          <w:b/>
          <w:color w:val="000000"/>
          <w:kern w:val="0"/>
          <w:sz w:val="21"/>
          <w:szCs w:val="21"/>
          <w:highlight w:val="none"/>
        </w:rPr>
        <w:t>。</w:t>
      </w:r>
    </w:p>
    <w:p w14:paraId="06E14911">
      <w:pPr>
        <w:pStyle w:val="79"/>
        <w:autoSpaceDN w:val="0"/>
        <w:adjustRightInd w:val="0"/>
        <w:snapToGrid w:val="0"/>
        <w:spacing w:before="0"/>
        <w:ind w:firstLine="480"/>
        <w:rPr>
          <w:rFonts w:hint="eastAsia" w:ascii="宋体" w:hAnsi="宋体" w:eastAsia="宋体" w:cs="宋体"/>
          <w:bCs/>
          <w:sz w:val="21"/>
          <w:szCs w:val="16"/>
          <w:highlight w:val="none"/>
        </w:rPr>
      </w:pPr>
      <w:r>
        <w:rPr>
          <w:rFonts w:hint="eastAsia" w:ascii="宋体" w:hAnsi="宋体" w:eastAsia="宋体" w:cs="宋体"/>
          <w:sz w:val="21"/>
          <w:szCs w:val="16"/>
          <w:highlight w:val="none"/>
        </w:rPr>
        <w:t>4.5.7磋商报价为磋商响应供应商的磋商响应文件中提出的各项支付金额的总和。</w:t>
      </w:r>
    </w:p>
    <w:p w14:paraId="06653B11">
      <w:pPr>
        <w:pStyle w:val="134"/>
        <w:autoSpaceDN w:val="0"/>
        <w:spacing w:line="360" w:lineRule="auto"/>
        <w:ind w:firstLine="480"/>
        <w:rPr>
          <w:rFonts w:hint="eastAsia" w:ascii="宋体" w:hAnsi="宋体" w:eastAsia="宋体" w:cs="宋体"/>
          <w:bCs/>
          <w:sz w:val="21"/>
          <w:szCs w:val="21"/>
          <w:highlight w:val="none"/>
        </w:rPr>
      </w:pPr>
      <w:r>
        <w:rPr>
          <w:rFonts w:hint="eastAsia" w:ascii="宋体" w:hAnsi="宋体" w:eastAsia="宋体" w:cs="宋体"/>
          <w:sz w:val="21"/>
          <w:szCs w:val="21"/>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宋体" w:hAnsi="宋体" w:eastAsia="宋体" w:cs="宋体"/>
          <w:bCs/>
          <w:sz w:val="21"/>
          <w:szCs w:val="21"/>
          <w:highlight w:val="none"/>
        </w:rPr>
        <w:t>。</w:t>
      </w:r>
    </w:p>
    <w:p w14:paraId="1404B410">
      <w:pPr>
        <w:pStyle w:val="6"/>
        <w:autoSpaceDN w:val="0"/>
        <w:spacing w:line="360" w:lineRule="auto"/>
        <w:ind w:firstLine="420"/>
        <w:rPr>
          <w:rFonts w:hint="eastAsia" w:ascii="宋体" w:hAnsi="宋体" w:eastAsia="宋体" w:cs="宋体"/>
          <w:bCs/>
          <w:sz w:val="21"/>
          <w:szCs w:val="21"/>
          <w:highlight w:val="none"/>
        </w:rPr>
      </w:pPr>
      <w:r>
        <w:rPr>
          <w:rFonts w:hint="eastAsia" w:ascii="宋体" w:hAnsi="宋体" w:eastAsia="宋体" w:cs="宋体"/>
          <w:sz w:val="21"/>
          <w:szCs w:val="16"/>
          <w:highlight w:val="none"/>
        </w:rPr>
        <w:t>4.5.</w:t>
      </w:r>
      <w:r>
        <w:rPr>
          <w:rFonts w:hint="eastAsia" w:ascii="宋体" w:hAnsi="宋体" w:eastAsia="宋体" w:cs="宋体"/>
          <w:sz w:val="21"/>
          <w:szCs w:val="21"/>
          <w:highlight w:val="none"/>
        </w:rPr>
        <w:t>9</w:t>
      </w:r>
      <w:r>
        <w:rPr>
          <w:rFonts w:hint="eastAsia" w:ascii="宋体" w:hAnsi="宋体" w:eastAsia="宋体" w:cs="宋体"/>
          <w:bCs/>
          <w:sz w:val="21"/>
          <w:szCs w:val="21"/>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9794659">
      <w:pPr>
        <w:autoSpaceDN w:val="0"/>
        <w:spacing w:line="360" w:lineRule="auto"/>
        <w:ind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4.5.10</w:t>
      </w:r>
      <w:r>
        <w:rPr>
          <w:rFonts w:hint="eastAsia" w:ascii="宋体" w:hAnsi="宋体" w:eastAsia="宋体" w:cs="宋体"/>
          <w:b/>
          <w:sz w:val="21"/>
          <w:szCs w:val="21"/>
          <w:highlight w:val="none"/>
          <w:u w:val="single"/>
        </w:rPr>
        <w:t>竞争性磋商报价以最后报价为准，单价同比例调整（暂列金（如有）不调整）</w:t>
      </w:r>
      <w:r>
        <w:rPr>
          <w:rFonts w:hint="eastAsia" w:ascii="宋体" w:hAnsi="宋体" w:eastAsia="宋体" w:cs="宋体"/>
          <w:b/>
          <w:sz w:val="21"/>
          <w:szCs w:val="21"/>
          <w:highlight w:val="none"/>
        </w:rPr>
        <w:t>。</w:t>
      </w:r>
    </w:p>
    <w:p w14:paraId="16ADF3AC">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4.5.11除非合同中另有规定，磋商响应供应商在磋商总价中的价格均包括完成该工程项目的直接费、间接费、利润、税金、风险费等所有费用；</w:t>
      </w:r>
    </w:p>
    <w:p w14:paraId="5ED2E7AC">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2DB47045">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4.5.13除非本磋商文件对工程量清单编制和报价另有说明的，否则，磋商响应供应商应按工程量清单中的项目和数量进行报价。</w:t>
      </w:r>
    </w:p>
    <w:p w14:paraId="172FA70D">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12DD162">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4.5.15供应商采购过程中对采购人提供的最终工程量清单未提出异议的，须在磋商单价及磋商总价中充分考虑固定总价合同可能存在的工程量与图纸（如有）不一致的风险。</w:t>
      </w:r>
    </w:p>
    <w:p w14:paraId="5146F9DB">
      <w:pPr>
        <w:pStyle w:val="79"/>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4.5.16供应商须在磋商总价中考虑人、材、机可能的价格变化。</w:t>
      </w:r>
    </w:p>
    <w:p w14:paraId="4F11E613">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4.6 磋商响应文件的有效期</w:t>
      </w:r>
    </w:p>
    <w:p w14:paraId="0551464E">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4.6.1《磋商响应文件》有效期：</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，《磋商响应文件》有效期少于这个规定期限的投标响应将作无效标处理；</w:t>
      </w:r>
    </w:p>
    <w:p w14:paraId="4F090E09">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4.6.2在特殊情况下，采购人可与磋商响应供应商协商延长《磋商响应文件》的有效期，协商过程以书面形式进行；</w:t>
      </w:r>
    </w:p>
    <w:p w14:paraId="05648FBB">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4.6.3磋商响应供应商可拒绝接受延期要求，同意延长有效期的磋商响应供应商不能修改《磋商响应文件》；</w:t>
      </w:r>
    </w:p>
    <w:p w14:paraId="4D87E8B9">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4.6.4成交供应商的《磋商响应文件》作为合同组成部分，其有效期自动延长至合同履行完毕止；</w:t>
      </w:r>
    </w:p>
    <w:p w14:paraId="5DA09A99">
      <w:pPr>
        <w:autoSpaceDN w:val="0"/>
        <w:spacing w:line="360" w:lineRule="auto"/>
        <w:ind w:firstLine="369" w:firstLineChars="175"/>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4.6.5磋商响应供应商在《磋商响应文件》有效期内强行撤回（撤销）其磋商响应文件的，</w:t>
      </w:r>
      <w:r>
        <w:rPr>
          <w:rFonts w:hint="eastAsia" w:ascii="宋体" w:hAnsi="宋体" w:eastAsia="宋体" w:cs="宋体"/>
          <w:b/>
          <w:color w:val="000000"/>
          <w:sz w:val="21"/>
          <w:szCs w:val="21"/>
          <w:highlight w:val="none"/>
        </w:rPr>
        <w:t>采购人将按采购预算金额的5%对其进行追偿（追偿金额不足伍万的按伍万计），以弥补采购人、采购代理机构损失，同时将对其失信行为上报至同级政府采购监督管理部门依法处理。</w:t>
      </w:r>
    </w:p>
    <w:p w14:paraId="62A6FB4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4.7 备份磋商响应文件</w:t>
      </w:r>
    </w:p>
    <w:p w14:paraId="6CA412DB">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4.7.1备份磋商响应文件的约定：</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p>
    <w:p w14:paraId="17DA78D8">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4.7.2备份磋商响应文件的编制：</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p>
    <w:p w14:paraId="61A5DBD4">
      <w:pPr>
        <w:autoSpaceDN w:val="0"/>
        <w:spacing w:line="360" w:lineRule="auto"/>
        <w:ind w:firstLine="371" w:firstLineChars="176"/>
        <w:rPr>
          <w:rFonts w:hint="eastAsia" w:ascii="宋体" w:hAnsi="宋体" w:eastAsia="宋体" w:cs="宋体"/>
          <w:b/>
          <w:color w:val="0000FF"/>
          <w:sz w:val="21"/>
          <w:szCs w:val="21"/>
          <w:highlight w:val="none"/>
        </w:rPr>
      </w:pPr>
      <w:r>
        <w:rPr>
          <w:rFonts w:hint="eastAsia" w:ascii="宋体" w:hAnsi="宋体" w:eastAsia="宋体" w:cs="宋体"/>
          <w:b/>
          <w:color w:val="000000"/>
          <w:sz w:val="21"/>
          <w:szCs w:val="21"/>
          <w:highlight w:val="none"/>
        </w:rPr>
        <w:t>4.7.3备份磋商响应文件的存储、份数、密封包装、标识、递交与接收</w:t>
      </w:r>
    </w:p>
    <w:p w14:paraId="70C2EE8A">
      <w:pPr>
        <w:autoSpaceDN w:val="0"/>
        <w:spacing w:line="360" w:lineRule="auto"/>
        <w:ind w:firstLine="371" w:firstLineChars="176"/>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（1）存储：</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color w:val="000000"/>
          <w:sz w:val="21"/>
          <w:szCs w:val="21"/>
          <w:highlight w:val="none"/>
        </w:rPr>
        <w:t>；</w:t>
      </w:r>
    </w:p>
    <w:p w14:paraId="725FF074">
      <w:pPr>
        <w:autoSpaceDN w:val="0"/>
        <w:spacing w:line="360" w:lineRule="auto"/>
        <w:ind w:firstLine="371" w:firstLineChars="176"/>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（2）份数：</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color w:val="000000"/>
          <w:sz w:val="21"/>
          <w:szCs w:val="21"/>
          <w:highlight w:val="none"/>
        </w:rPr>
        <w:t>；</w:t>
      </w:r>
    </w:p>
    <w:p w14:paraId="546B9154">
      <w:pPr>
        <w:autoSpaceDN w:val="0"/>
        <w:spacing w:line="360" w:lineRule="auto"/>
        <w:ind w:firstLine="371" w:firstLineChars="176"/>
        <w:rPr>
          <w:rFonts w:hint="eastAsia" w:ascii="宋体" w:hAnsi="宋体" w:eastAsia="宋体" w:cs="宋体"/>
          <w:b/>
          <w:color w:val="0000FF"/>
          <w:sz w:val="21"/>
          <w:szCs w:val="21"/>
          <w:highlight w:val="none"/>
        </w:rPr>
      </w:pPr>
      <w:r>
        <w:rPr>
          <w:rFonts w:hint="eastAsia" w:ascii="宋体" w:hAnsi="宋体" w:eastAsia="宋体" w:cs="宋体"/>
          <w:b/>
          <w:color w:val="000000"/>
          <w:sz w:val="21"/>
          <w:szCs w:val="21"/>
          <w:highlight w:val="none"/>
        </w:rPr>
        <w:t>（3）密封包装、标识：</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r>
        <w:rPr>
          <w:rFonts w:hint="eastAsia" w:ascii="宋体" w:hAnsi="宋体" w:eastAsia="宋体" w:cs="宋体"/>
          <w:b/>
          <w:color w:val="000000"/>
          <w:sz w:val="21"/>
          <w:szCs w:val="21"/>
          <w:highlight w:val="none"/>
        </w:rPr>
        <w:t>备份磋商响应文件没有密封包装或标识或盖章的视为未递交。</w:t>
      </w:r>
    </w:p>
    <w:p w14:paraId="11015B6E">
      <w:pPr>
        <w:autoSpaceDN w:val="0"/>
        <w:spacing w:line="360" w:lineRule="auto"/>
        <w:ind w:firstLine="371" w:firstLineChars="176"/>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（4）递交与接收：</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r>
        <w:rPr>
          <w:rFonts w:hint="eastAsia" w:ascii="宋体" w:hAnsi="宋体" w:eastAsia="宋体" w:cs="宋体"/>
          <w:b/>
          <w:color w:val="000000"/>
          <w:sz w:val="21"/>
          <w:szCs w:val="21"/>
          <w:highlight w:val="none"/>
        </w:rPr>
        <w:t>备份磋商响应文件逾期送达的视为未递交。</w:t>
      </w:r>
    </w:p>
    <w:p w14:paraId="6AB0DB0C">
      <w:pPr>
        <w:autoSpaceDN w:val="0"/>
        <w:spacing w:line="360" w:lineRule="auto"/>
        <w:ind w:firstLine="369" w:firstLineChars="175"/>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4.7.4备份磋商响应文件的使用与失效</w:t>
      </w:r>
    </w:p>
    <w:p w14:paraId="3B19B9D9">
      <w:pPr>
        <w:autoSpaceDN w:val="0"/>
        <w:spacing w:line="360" w:lineRule="auto"/>
        <w:ind w:firstLine="367" w:firstLineChars="1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合格的备份磋商响应文件在电子加密“磋商响应文件”解密异常时拆封、使用，电子加密“磋商响应文件”正常解密的备份磋商响应文件自动失效，不再拆封、使用。</w:t>
      </w:r>
      <w:r>
        <w:rPr>
          <w:rFonts w:hint="eastAsia" w:ascii="宋体" w:hAnsi="宋体" w:eastAsia="宋体" w:cs="宋体"/>
          <w:b/>
          <w:color w:val="000000"/>
          <w:sz w:val="21"/>
          <w:szCs w:val="21"/>
          <w:highlight w:val="none"/>
        </w:rPr>
        <w:t>“磋商响应文件解密异常情况处理”办法见《磋商须知前附表》。</w:t>
      </w:r>
    </w:p>
    <w:p w14:paraId="1B4B2BA5">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4.7.5“备份磋商响应文件”与电子加密的“磋商响应文件”同时生成，不属于磋商响应备选（替代）方案。</w:t>
      </w:r>
    </w:p>
    <w:p w14:paraId="4370FAEC">
      <w:pPr>
        <w:pStyle w:val="3"/>
        <w:autoSpaceDN w:val="0"/>
        <w:spacing w:before="360"/>
        <w:ind w:firstLine="221" w:firstLineChars="100"/>
        <w:rPr>
          <w:rFonts w:hint="eastAsia" w:ascii="宋体" w:hAnsi="宋体" w:eastAsia="宋体" w:cs="宋体"/>
          <w:sz w:val="22"/>
          <w:szCs w:val="22"/>
          <w:highlight w:val="none"/>
        </w:rPr>
      </w:pPr>
      <w:bookmarkStart w:id="25" w:name="_Toc82338242"/>
      <w:bookmarkStart w:id="26" w:name="_Toc82873325"/>
      <w:bookmarkStart w:id="27" w:name="_Toc4031"/>
      <w:bookmarkStart w:id="28" w:name="_Toc17132"/>
      <w:r>
        <w:rPr>
          <w:rFonts w:hint="eastAsia" w:ascii="宋体" w:hAnsi="宋体" w:eastAsia="宋体" w:cs="宋体"/>
          <w:sz w:val="22"/>
          <w:szCs w:val="22"/>
          <w:highlight w:val="none"/>
        </w:rPr>
        <w:t>五、</w:t>
      </w:r>
      <w:bookmarkEnd w:id="25"/>
      <w:bookmarkEnd w:id="26"/>
      <w:r>
        <w:rPr>
          <w:rFonts w:hint="eastAsia" w:ascii="宋体" w:hAnsi="宋体" w:eastAsia="宋体" w:cs="宋体"/>
          <w:sz w:val="22"/>
          <w:szCs w:val="22"/>
          <w:highlight w:val="none"/>
        </w:rPr>
        <w:t>磋商响应</w:t>
      </w:r>
      <w:bookmarkEnd w:id="27"/>
      <w:bookmarkEnd w:id="28"/>
    </w:p>
    <w:p w14:paraId="3C1D2EE6">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bookmarkStart w:id="29" w:name="_Toc82873326"/>
      <w:bookmarkStart w:id="30" w:name="_Toc82338243"/>
      <w:r>
        <w:rPr>
          <w:rFonts w:hint="eastAsia" w:ascii="宋体" w:hAnsi="宋体" w:eastAsia="宋体" w:cs="宋体"/>
          <w:b/>
          <w:bCs/>
          <w:sz w:val="21"/>
          <w:szCs w:val="24"/>
          <w:highlight w:val="none"/>
        </w:rPr>
        <w:t>5.1 磋商响应文件提交截止时间</w:t>
      </w:r>
    </w:p>
    <w:p w14:paraId="50F009C5">
      <w:pPr>
        <w:autoSpaceDN w:val="0"/>
        <w:spacing w:line="360" w:lineRule="auto"/>
        <w:ind w:firstLine="373" w:firstLineChars="177"/>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5.1.1磋商响应文件提交截止时间：</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3ED72DC5">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5.2 磋商地点</w:t>
      </w:r>
    </w:p>
    <w:p w14:paraId="4A3D7E28">
      <w:pPr>
        <w:autoSpaceDN w:val="0"/>
        <w:spacing w:line="360" w:lineRule="auto"/>
        <w:ind w:firstLine="373" w:firstLineChars="177"/>
        <w:rPr>
          <w:rFonts w:hint="eastAsia" w:ascii="宋体" w:hAnsi="宋体" w:eastAsia="宋体" w:cs="宋体"/>
          <w:color w:val="000000"/>
          <w:sz w:val="18"/>
          <w:szCs w:val="21"/>
          <w:highlight w:val="none"/>
        </w:rPr>
      </w:pPr>
      <w:r>
        <w:rPr>
          <w:rFonts w:hint="eastAsia" w:ascii="宋体" w:hAnsi="宋体" w:eastAsia="宋体" w:cs="宋体"/>
          <w:b/>
          <w:color w:val="000000"/>
          <w:sz w:val="21"/>
          <w:szCs w:val="21"/>
          <w:highlight w:val="none"/>
        </w:rPr>
        <w:t>5.2.1磋商响应文件提交地点：</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350D9453">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5.3 磋商响应文件的传输递交</w:t>
      </w:r>
    </w:p>
    <w:p w14:paraId="44E0F8CA">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5.3.1电子加密“磋商响应文件”的传输递交：</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2C52E04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5.4 磋商响应文件的补充、修改或撤回</w:t>
      </w:r>
    </w:p>
    <w:p w14:paraId="5625BB6D">
      <w:pPr>
        <w:autoSpaceDN w:val="0"/>
        <w:spacing w:line="360" w:lineRule="auto"/>
        <w:ind w:firstLine="373" w:firstLineChars="177"/>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70E44A65">
      <w:pPr>
        <w:autoSpaceDN w:val="0"/>
        <w:spacing w:line="360" w:lineRule="auto"/>
        <w:ind w:firstLine="373" w:firstLineChars="177"/>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5.4.2磋商响应文件提交截止时间后，供应商不得对磋商响应文件进行补充、修改或撤回。</w:t>
      </w:r>
    </w:p>
    <w:p w14:paraId="0734543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5.5 磋商响应文件的备选方案</w:t>
      </w:r>
    </w:p>
    <w:p w14:paraId="6A59F757">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5.5.1磋商响应供应商不得递交任何的</w:t>
      </w:r>
      <w:r>
        <w:rPr>
          <w:rFonts w:hint="eastAsia" w:ascii="宋体" w:hAnsi="宋体" w:eastAsia="宋体" w:cs="宋体"/>
          <w:b/>
          <w:color w:val="000000"/>
          <w:kern w:val="0"/>
          <w:sz w:val="21"/>
          <w:szCs w:val="21"/>
          <w:highlight w:val="none"/>
        </w:rPr>
        <w:t>磋商响应备选（替代）方案</w:t>
      </w:r>
      <w:r>
        <w:rPr>
          <w:rFonts w:hint="eastAsia" w:ascii="宋体" w:hAnsi="宋体" w:eastAsia="宋体" w:cs="宋体"/>
          <w:b/>
          <w:color w:val="000000"/>
          <w:sz w:val="21"/>
          <w:szCs w:val="21"/>
          <w:highlight w:val="none"/>
        </w:rPr>
        <w:t>，否则作无效标处理。</w:t>
      </w:r>
    </w:p>
    <w:p w14:paraId="01B2CCBC">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5.5.2与“电子加密磋商响应文件”同时生成的“备份磋商响应文件”不是磋商响应备选（替代）方案。</w:t>
      </w:r>
    </w:p>
    <w:p w14:paraId="4F3CEF15">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5.6 磋商响应供应商不足法定数量的处理</w:t>
      </w:r>
    </w:p>
    <w:p w14:paraId="54B4B95F">
      <w:pPr>
        <w:autoSpaceDN w:val="0"/>
        <w:spacing w:line="360" w:lineRule="auto"/>
        <w:ind w:firstLine="371" w:firstLineChars="176"/>
        <w:rPr>
          <w:rFonts w:hint="eastAsia" w:ascii="宋体" w:hAnsi="宋体" w:eastAsia="宋体" w:cs="宋体"/>
          <w:color w:val="000000"/>
          <w:sz w:val="18"/>
          <w:szCs w:val="21"/>
          <w:highlight w:val="none"/>
        </w:rPr>
      </w:pPr>
      <w:r>
        <w:rPr>
          <w:rFonts w:hint="eastAsia" w:ascii="宋体" w:hAnsi="宋体" w:eastAsia="宋体" w:cs="宋体"/>
          <w:b/>
          <w:color w:val="000000"/>
          <w:kern w:val="0"/>
          <w:sz w:val="21"/>
          <w:szCs w:val="20"/>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46584D3D">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（1）不再进行开标，将本标项作废标处理，重新组织采购；</w:t>
      </w:r>
    </w:p>
    <w:p w14:paraId="600F868D">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（2）按同级政府采购监督管理部门的审批意见采用其他采购方式组织采购。</w:t>
      </w:r>
    </w:p>
    <w:p w14:paraId="58FE7857">
      <w:pPr>
        <w:pStyle w:val="3"/>
        <w:autoSpaceDN w:val="0"/>
        <w:spacing w:before="360"/>
        <w:ind w:firstLine="221" w:firstLineChars="100"/>
        <w:rPr>
          <w:rFonts w:hint="eastAsia" w:ascii="宋体" w:hAnsi="宋体" w:eastAsia="宋体" w:cs="宋体"/>
          <w:sz w:val="22"/>
          <w:szCs w:val="22"/>
          <w:highlight w:val="none"/>
        </w:rPr>
      </w:pPr>
      <w:bookmarkStart w:id="31" w:name="_Toc14607"/>
      <w:bookmarkStart w:id="32" w:name="_Toc6995"/>
      <w:r>
        <w:rPr>
          <w:rFonts w:hint="eastAsia" w:ascii="宋体" w:hAnsi="宋体" w:eastAsia="宋体" w:cs="宋体"/>
          <w:sz w:val="22"/>
          <w:szCs w:val="22"/>
          <w:highlight w:val="none"/>
        </w:rPr>
        <w:t>六、</w:t>
      </w:r>
      <w:bookmarkEnd w:id="29"/>
      <w:bookmarkEnd w:id="30"/>
      <w:r>
        <w:rPr>
          <w:rFonts w:hint="eastAsia" w:ascii="宋体" w:hAnsi="宋体" w:eastAsia="宋体" w:cs="宋体"/>
          <w:sz w:val="22"/>
          <w:szCs w:val="22"/>
          <w:highlight w:val="none"/>
        </w:rPr>
        <w:t>开标</w:t>
      </w:r>
      <w:bookmarkEnd w:id="31"/>
      <w:bookmarkEnd w:id="32"/>
    </w:p>
    <w:p w14:paraId="781B0330">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6.1 磋商时间、地点</w:t>
      </w:r>
    </w:p>
    <w:p w14:paraId="28541E70">
      <w:pPr>
        <w:autoSpaceDN w:val="0"/>
        <w:spacing w:line="360" w:lineRule="auto"/>
        <w:ind w:firstLine="373" w:firstLineChars="177"/>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6.1.1磋商时间：</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206E0CA5">
      <w:pPr>
        <w:autoSpaceDN w:val="0"/>
        <w:spacing w:line="360" w:lineRule="auto"/>
        <w:ind w:firstLine="373" w:firstLineChars="177"/>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6.1.2磋商地点：</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65B4BF4E">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6.2 磋商组织与邀请</w:t>
      </w:r>
    </w:p>
    <w:p w14:paraId="7DFB67D3">
      <w:pPr>
        <w:autoSpaceDN w:val="0"/>
        <w:spacing w:line="360" w:lineRule="auto"/>
        <w:ind w:firstLine="371" w:firstLineChars="176"/>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6.2.1磋商准备：</w:t>
      </w:r>
      <w:r>
        <w:rPr>
          <w:rFonts w:hint="eastAsia" w:ascii="宋体" w:hAnsi="宋体" w:eastAsia="宋体" w:cs="宋体"/>
          <w:color w:val="000000"/>
          <w:kern w:val="0"/>
          <w:sz w:val="21"/>
          <w:szCs w:val="21"/>
          <w:highlight w:val="none"/>
        </w:rPr>
        <w:t>本项目磋商</w:t>
      </w:r>
      <w:r>
        <w:rPr>
          <w:rFonts w:hint="eastAsia" w:ascii="宋体" w:hAnsi="宋体" w:eastAsia="宋体" w:cs="宋体"/>
          <w:color w:val="000000"/>
          <w:kern w:val="0"/>
          <w:sz w:val="21"/>
          <w:szCs w:val="20"/>
          <w:highlight w:val="none"/>
        </w:rPr>
        <w:t>现场活动由采购人或采购代理机构（以下简称“采购组织机构”）组织实施，准备工作由采购组织机构负责落实，磋商过程由采购组织机构负责记录，磋商现场由采购组织机构人员主持。</w:t>
      </w:r>
    </w:p>
    <w:p w14:paraId="09A46627">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6.2.2磋商邀请：本项目采用电子交易，采购组织机构将按照竞争性磋商文件规定的时间通过“政府采购云平台，网址：</w:t>
      </w:r>
      <w:r>
        <w:rPr>
          <w:rFonts w:hint="eastAsia" w:ascii="宋体" w:hAnsi="宋体" w:eastAsia="宋体" w:cs="宋体"/>
          <w:sz w:val="18"/>
          <w:szCs w:val="21"/>
          <w:highlight w:val="none"/>
        </w:rPr>
        <w:fldChar w:fldCharType="begin"/>
      </w:r>
      <w:r>
        <w:rPr>
          <w:rFonts w:hint="eastAsia" w:ascii="宋体" w:hAnsi="宋体" w:eastAsia="宋体" w:cs="宋体"/>
          <w:sz w:val="18"/>
          <w:szCs w:val="21"/>
          <w:highlight w:val="none"/>
        </w:rPr>
        <w:instrText xml:space="preserve"> HYPERLINK "http://www.zcygov.cn" </w:instrText>
      </w:r>
      <w:r>
        <w:rPr>
          <w:rFonts w:hint="eastAsia" w:ascii="宋体" w:hAnsi="宋体" w:eastAsia="宋体" w:cs="宋体"/>
          <w:sz w:val="18"/>
          <w:szCs w:val="21"/>
          <w:highlight w:val="none"/>
        </w:rPr>
        <w:fldChar w:fldCharType="separate"/>
      </w:r>
      <w:r>
        <w:rPr>
          <w:rStyle w:val="58"/>
          <w:rFonts w:hint="eastAsia" w:ascii="宋体" w:hAnsi="宋体" w:eastAsia="宋体" w:cs="宋体"/>
          <w:b/>
          <w:color w:val="000000"/>
          <w:kern w:val="0"/>
          <w:sz w:val="18"/>
          <w:szCs w:val="18"/>
          <w:highlight w:val="none"/>
        </w:rPr>
        <w:t>www.zcygov.cn</w:t>
      </w:r>
      <w:r>
        <w:rPr>
          <w:rStyle w:val="58"/>
          <w:rFonts w:hint="eastAsia" w:ascii="宋体" w:hAnsi="宋体" w:eastAsia="宋体" w:cs="宋体"/>
          <w:b/>
          <w:color w:val="000000"/>
          <w:kern w:val="0"/>
          <w:sz w:val="18"/>
          <w:szCs w:val="18"/>
          <w:highlight w:val="none"/>
        </w:rPr>
        <w:fldChar w:fldCharType="end"/>
      </w:r>
      <w:r>
        <w:rPr>
          <w:rFonts w:hint="eastAsia" w:ascii="宋体" w:hAnsi="宋体" w:eastAsia="宋体" w:cs="宋体"/>
          <w:b/>
          <w:color w:val="000000"/>
          <w:kern w:val="0"/>
          <w:sz w:val="21"/>
          <w:szCs w:val="21"/>
          <w:highlight w:val="none"/>
        </w:rPr>
        <w:t>”组织开标、开启磋商响应文件，所有供应商均应当准时在线参加。</w:t>
      </w:r>
    </w:p>
    <w:p w14:paraId="1BA01CC9">
      <w:pPr>
        <w:autoSpaceDN w:val="0"/>
        <w:spacing w:line="360" w:lineRule="auto"/>
        <w:ind w:firstLine="371" w:firstLineChars="176"/>
        <w:rPr>
          <w:rFonts w:hint="eastAsia" w:ascii="宋体" w:hAnsi="宋体" w:eastAsia="宋体" w:cs="宋体"/>
          <w:sz w:val="18"/>
          <w:szCs w:val="21"/>
          <w:highlight w:val="none"/>
        </w:rPr>
      </w:pPr>
      <w:r>
        <w:rPr>
          <w:rFonts w:hint="eastAsia" w:ascii="宋体" w:hAnsi="宋体" w:eastAsia="宋体" w:cs="宋体"/>
          <w:b/>
          <w:color w:val="000000"/>
          <w:kern w:val="0"/>
          <w:sz w:val="21"/>
          <w:szCs w:val="20"/>
          <w:highlight w:val="none"/>
        </w:rPr>
        <w:t>6.2.3磋商响应文件开启顺序：</w:t>
      </w:r>
      <w:r>
        <w:rPr>
          <w:rFonts w:hint="eastAsia" w:ascii="宋体" w:hAnsi="宋体" w:eastAsia="宋体" w:cs="宋体"/>
          <w:b/>
          <w:color w:val="000000"/>
          <w:kern w:val="0"/>
          <w:sz w:val="21"/>
          <w:szCs w:val="21"/>
          <w:highlight w:val="none"/>
          <w:u w:val="single"/>
        </w:rPr>
        <w:t>资格文件、商务技术文件、报价文件</w:t>
      </w:r>
      <w:r>
        <w:rPr>
          <w:rFonts w:hint="eastAsia" w:ascii="宋体" w:hAnsi="宋体" w:eastAsia="宋体" w:cs="宋体"/>
          <w:color w:val="000000"/>
          <w:kern w:val="0"/>
          <w:sz w:val="21"/>
          <w:szCs w:val="20"/>
          <w:highlight w:val="none"/>
        </w:rPr>
        <w:t>。</w:t>
      </w:r>
    </w:p>
    <w:p w14:paraId="7D4C393C">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6.2.4供应商对磋商过程和磋商记录有疑义，以及认为采购人、采购代理机构相关工作人员有需要回避的情形的，应当场提出询问或回避申请。供应商未参加磋商的视同认可磋商结果。</w:t>
      </w:r>
    </w:p>
    <w:p w14:paraId="6DF38DC7">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6.3 开标流程（两阶段）</w:t>
      </w:r>
    </w:p>
    <w:p w14:paraId="7737D86B">
      <w:pPr>
        <w:autoSpaceDN w:val="0"/>
        <w:spacing w:line="360" w:lineRule="auto"/>
        <w:ind w:firstLine="373" w:firstLineChars="177"/>
        <w:jc w:val="left"/>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6.3.1开标流程：</w:t>
      </w:r>
    </w:p>
    <w:p w14:paraId="40845169">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磋商响应文件提交截止时间止，由采购代理机构向各磋商响应供应商发出电子加密响应文件的【开始解密】通知，由供应商按磋商文件规定的时间内自行进行磋商响应文件的解密（解密规定见《磋商须知前附表》）。</w:t>
      </w:r>
    </w:p>
    <w:p w14:paraId="0DF3F330">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（2）磋商响应供应商在规定的时间内无法完成已递交的“电子加密响应文件”解密的，按磋商响应文件解密异常情况处理（处理办法见《磋商须知前附表》）；</w:t>
      </w:r>
    </w:p>
    <w:p w14:paraId="21C9F483">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（3）公布磋商响应文件解密情况（磋商响应文件成功解密的供应商名单等信息），磋商响应供应商通过邮件形式签署《政府采购活动现场确认声明书》；</w:t>
      </w:r>
    </w:p>
    <w:p w14:paraId="709845D9">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开启标书信息（资格文件、商务技术文件）。标书信息开启后，首先由磋商小组依法对磋商响应供应商的资格文件进行审查，审查磋商响应供应商的资格符合情况。资格审查结束后进入商务技术评审。资格审查合格的磋商响应供应商数量不足三家的，项目不再进行评审。</w:t>
      </w:r>
    </w:p>
    <w:p w14:paraId="19992F6A">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（5）商务技术磋商、评审结束后，公布商务技术评审无效供应商名称及理由及经商务技术评审的有效磋商响应供应商名单。</w:t>
      </w:r>
    </w:p>
    <w:p w14:paraId="321F9363">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（6）磋商小组对供应商报价文件的合理性、准确性等进行审查核实。</w:t>
      </w:r>
    </w:p>
    <w:p w14:paraId="57F177FB">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（7）经磋商小组对报价文件的评审及磋商后，要求供应商在规定的时间内提交最后报价，采购代理机构向各磋商响应供应商发出最后报价通知，由供应商在规定的时间内自行填写最终报价加盖签章并上传。</w:t>
      </w:r>
    </w:p>
    <w:p w14:paraId="0076C98A">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（8）已提交磋商响应文件的供应商，在提交最后报价之前，若因磋商文件实质性变动导致供应商无法满足采购需求的，允许供应商退出磋商。</w:t>
      </w:r>
    </w:p>
    <w:p w14:paraId="756B2150">
      <w:pPr>
        <w:autoSpaceDN w:val="0"/>
        <w:spacing w:line="360" w:lineRule="auto"/>
        <w:ind w:firstLine="371" w:firstLineChars="177"/>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（9）采购代理机构公布各有效供应商的商务技术得分情况及最后报价情况，制作开标记录表，供应商予以确认，不予确认的应说明理由，否则视为无异议。</w:t>
      </w:r>
    </w:p>
    <w:p w14:paraId="5E886FB6">
      <w:pPr>
        <w:autoSpaceDN w:val="0"/>
        <w:spacing w:line="360" w:lineRule="auto"/>
        <w:ind w:firstLine="371" w:firstLineChars="177"/>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SA"/>
        </w:rPr>
        <w:t>（10）评审结束后，公布成交候选供应商名单及采购人最终确定成交供应商名单的时间和公告方式等</w:t>
      </w:r>
      <w:r>
        <w:rPr>
          <w:rFonts w:hint="eastAsia" w:ascii="宋体" w:hAnsi="宋体" w:eastAsia="宋体" w:cs="宋体"/>
          <w:color w:val="000000"/>
          <w:kern w:val="0"/>
          <w:sz w:val="21"/>
          <w:szCs w:val="21"/>
          <w:highlight w:val="none"/>
        </w:rPr>
        <w:t>。</w:t>
      </w:r>
    </w:p>
    <w:p w14:paraId="5A242E95">
      <w:pPr>
        <w:autoSpaceDN w:val="0"/>
        <w:spacing w:line="360" w:lineRule="auto"/>
        <w:ind w:firstLine="373" w:firstLineChars="177"/>
        <w:jc w:val="left"/>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6.3.2特殊情况说明</w:t>
      </w:r>
    </w:p>
    <w:p w14:paraId="2A11627B">
      <w:pPr>
        <w:autoSpaceDN w:val="0"/>
        <w:spacing w:line="360" w:lineRule="auto"/>
        <w:ind w:firstLine="373" w:firstLineChars="177"/>
        <w:jc w:val="left"/>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（1）本项目采用电子交易，如遇“政府采购云平台”电子化开标或评审程序调整的，按调整后程序执行。</w:t>
      </w:r>
    </w:p>
    <w:p w14:paraId="4E4ED221">
      <w:pPr>
        <w:autoSpaceDN w:val="0"/>
        <w:spacing w:line="360" w:lineRule="auto"/>
        <w:ind w:firstLine="373" w:firstLineChars="177"/>
        <w:jc w:val="left"/>
        <w:rPr>
          <w:rFonts w:hint="eastAsia" w:ascii="宋体" w:hAnsi="宋体" w:eastAsia="宋体" w:cs="宋体"/>
          <w:b/>
          <w:color w:val="000000"/>
          <w:kern w:val="0"/>
          <w:sz w:val="20"/>
          <w:szCs w:val="20"/>
          <w:highlight w:val="none"/>
        </w:rPr>
      </w:pPr>
      <w:r>
        <w:rPr>
          <w:rFonts w:hint="eastAsia" w:ascii="宋体" w:hAnsi="宋体" w:eastAsia="宋体" w:cs="宋体"/>
          <w:b/>
          <w:color w:val="000000"/>
          <w:kern w:val="0"/>
          <w:sz w:val="21"/>
          <w:szCs w:val="21"/>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0439FFC0">
      <w:pPr>
        <w:pStyle w:val="3"/>
        <w:autoSpaceDN w:val="0"/>
        <w:spacing w:before="360"/>
        <w:ind w:firstLine="221" w:firstLineChars="100"/>
        <w:rPr>
          <w:rFonts w:hint="eastAsia" w:ascii="宋体" w:hAnsi="宋体" w:eastAsia="宋体" w:cs="宋体"/>
          <w:sz w:val="22"/>
          <w:szCs w:val="22"/>
          <w:highlight w:val="none"/>
        </w:rPr>
      </w:pPr>
      <w:bookmarkStart w:id="33" w:name="_Toc1206"/>
      <w:bookmarkStart w:id="34" w:name="_Toc28197"/>
      <w:r>
        <w:rPr>
          <w:rFonts w:hint="eastAsia" w:ascii="宋体" w:hAnsi="宋体" w:eastAsia="宋体" w:cs="宋体"/>
          <w:sz w:val="22"/>
          <w:szCs w:val="22"/>
          <w:highlight w:val="none"/>
        </w:rPr>
        <w:t>七、评审</w:t>
      </w:r>
      <w:bookmarkEnd w:id="33"/>
      <w:bookmarkEnd w:id="34"/>
      <w:bookmarkStart w:id="35" w:name="_Toc298767927"/>
      <w:bookmarkStart w:id="36" w:name="_Toc294012141"/>
      <w:bookmarkStart w:id="37" w:name="_Toc82338245"/>
      <w:bookmarkStart w:id="38" w:name="_Toc211745569"/>
      <w:bookmarkStart w:id="39" w:name="_Toc82873328"/>
    </w:p>
    <w:p w14:paraId="41D89FCF">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7.1 评审工作的组织</w:t>
      </w:r>
    </w:p>
    <w:p w14:paraId="3393CE13">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采购人或采购代理机构负责组织本项目的评审工作，并依据相关规定履行职责。</w:t>
      </w:r>
    </w:p>
    <w:p w14:paraId="7B05E07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7.2 磋商小组的组建</w:t>
      </w:r>
    </w:p>
    <w:p w14:paraId="66B29C11">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7.2.1磋商小组由采购人或采购代理机构依法组建，成员由采购人代表和评审专家组成，成员人数为三人或以上单数，其中评审专家不少于成员总数的三分之二。</w:t>
      </w:r>
    </w:p>
    <w:p w14:paraId="33D01BD4">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7.2.2评审专家从省级或以上财政部门设立的政府采购评审专家库中通过随机方式抽取产生。磋商小组成员名单在采购结果公告前保密。</w:t>
      </w:r>
    </w:p>
    <w:p w14:paraId="59B1B658">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7.3 磋商小组的职责</w:t>
      </w:r>
    </w:p>
    <w:p w14:paraId="1D616D96">
      <w:pPr>
        <w:autoSpaceDN w:val="0"/>
        <w:spacing w:line="360" w:lineRule="auto"/>
        <w:ind w:firstLine="371" w:firstLineChars="176"/>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7.3.1磋商小组负责具体评审事务，并独立履行下列职责：</w:t>
      </w:r>
    </w:p>
    <w:p w14:paraId="5983D74B">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（1）审查、评价磋商响应文件是否符合竞争性磋商文件的资格、商务、技术等实质性要求；</w:t>
      </w:r>
    </w:p>
    <w:p w14:paraId="237CF2F7">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（2）要求磋商响应供应商对磋商响应文件有关事项作出澄清或者说明；</w:t>
      </w:r>
    </w:p>
    <w:p w14:paraId="5E7DC12F">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（3）对磋商响应文件进行比较和评价；</w:t>
      </w:r>
    </w:p>
    <w:p w14:paraId="063B3C32">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（4）确定成交候选供应商名单，以及根据采购人委托直接确定成交供应商；</w:t>
      </w:r>
    </w:p>
    <w:p w14:paraId="7D63E1BF">
      <w:pPr>
        <w:autoSpaceDN w:val="0"/>
        <w:spacing w:line="360" w:lineRule="auto"/>
        <w:ind w:firstLine="369" w:firstLineChars="176"/>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（5）向采购人、采购代理机构或者有关部门报告评审中发现的违法行为。</w:t>
      </w:r>
    </w:p>
    <w:p w14:paraId="709A4C6B">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7.4 评审原则</w:t>
      </w:r>
    </w:p>
    <w:p w14:paraId="3B9A4AE1">
      <w:pPr>
        <w:autoSpaceDN w:val="0"/>
        <w:spacing w:line="360" w:lineRule="auto"/>
        <w:ind w:firstLine="371" w:firstLineChars="17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7.4.1评审原则：</w:t>
      </w:r>
      <w:r>
        <w:rPr>
          <w:rFonts w:hint="eastAsia" w:ascii="宋体" w:hAnsi="宋体" w:eastAsia="宋体" w:cs="宋体"/>
          <w:color w:val="000000"/>
          <w:kern w:val="0"/>
          <w:sz w:val="21"/>
          <w:szCs w:val="20"/>
          <w:highlight w:val="none"/>
        </w:rPr>
        <w:t>磋商小组</w:t>
      </w:r>
      <w:r>
        <w:rPr>
          <w:rFonts w:hint="eastAsia" w:ascii="宋体" w:hAnsi="宋体" w:eastAsia="宋体" w:cs="宋体"/>
          <w:color w:val="000000"/>
          <w:sz w:val="21"/>
          <w:szCs w:val="21"/>
          <w:highlight w:val="none"/>
        </w:rPr>
        <w:t>按照客观、公正、审慎、择优的原则，根据竞争性磋商文件规定的评审程序、评审方法和评审标准进行独立评审。</w:t>
      </w:r>
    </w:p>
    <w:p w14:paraId="6794D20A">
      <w:pPr>
        <w:autoSpaceDN w:val="0"/>
        <w:spacing w:line="360" w:lineRule="auto"/>
        <w:ind w:firstLine="371" w:firstLineChars="17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7.4.2评审工作将依据</w:t>
      </w:r>
      <w:r>
        <w:rPr>
          <w:rFonts w:hint="eastAsia" w:ascii="宋体" w:hAnsi="宋体" w:eastAsia="宋体" w:cs="宋体"/>
          <w:color w:val="000000"/>
          <w:kern w:val="0"/>
          <w:sz w:val="21"/>
          <w:szCs w:val="20"/>
          <w:highlight w:val="none"/>
        </w:rPr>
        <w:t>竞争性磋商文件、磋商响应文件及竞争性磋商文件中事先已列明的内容进行（如现场方案讲解、演示、样品等）。</w:t>
      </w:r>
    </w:p>
    <w:p w14:paraId="0ED3CDB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7.5 评审意见的争议处理</w:t>
      </w:r>
    </w:p>
    <w:p w14:paraId="0CB1B7F3">
      <w:pPr>
        <w:autoSpaceDN w:val="0"/>
        <w:spacing w:line="360" w:lineRule="auto"/>
        <w:ind w:firstLine="373" w:firstLineChars="177"/>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磋商小组成员对需要共同认定的事项存在争议的，按照少数服从多数的原则作出结论。</w:t>
      </w:r>
      <w:r>
        <w:rPr>
          <w:rFonts w:hint="eastAsia" w:ascii="宋体" w:hAnsi="宋体" w:eastAsia="宋体" w:cs="宋体"/>
          <w:color w:val="000000"/>
          <w:sz w:val="21"/>
          <w:szCs w:val="21"/>
          <w:highlight w:val="none"/>
        </w:rPr>
        <w:t>持不同意见的磋商小组成员应当在评审报告上签署不同意见及理由，否则视为同意评审报告。</w:t>
      </w:r>
    </w:p>
    <w:p w14:paraId="46C7C97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7.6 评委纪律</w:t>
      </w:r>
    </w:p>
    <w:p w14:paraId="5354C438">
      <w:pPr>
        <w:autoSpaceDN w:val="0"/>
        <w:spacing w:line="360" w:lineRule="auto"/>
        <w:ind w:firstLine="371" w:firstLineChars="177"/>
        <w:rPr>
          <w:rFonts w:hint="eastAsia" w:ascii="宋体" w:hAnsi="宋体" w:eastAsia="宋体" w:cs="宋体"/>
          <w:color w:val="000000"/>
          <w:sz w:val="18"/>
          <w:szCs w:val="21"/>
          <w:highlight w:val="none"/>
        </w:rPr>
      </w:pPr>
      <w:r>
        <w:rPr>
          <w:rFonts w:hint="eastAsia" w:ascii="宋体" w:hAnsi="宋体" w:eastAsia="宋体" w:cs="宋体"/>
          <w:color w:val="000000"/>
          <w:sz w:val="21"/>
          <w:szCs w:val="21"/>
          <w:highlight w:val="none"/>
        </w:rPr>
        <w:t>磋商小组成员必须严格遵守保密规定，不得泄露评审的有关情况</w:t>
      </w:r>
      <w:r>
        <w:rPr>
          <w:rFonts w:hint="eastAsia" w:ascii="宋体" w:hAnsi="宋体" w:eastAsia="宋体" w:cs="宋体"/>
          <w:color w:val="000000"/>
          <w:kern w:val="0"/>
          <w:sz w:val="21"/>
          <w:szCs w:val="20"/>
          <w:highlight w:val="none"/>
        </w:rPr>
        <w:t>，任何单位和个人不得干扰、影响评标的正常进行，磋商小组成员不得私下与磋商响应供应商接触，不得出现浙江省政府采购活动现场组织管理办法中规定的其他禁止行为。</w:t>
      </w:r>
    </w:p>
    <w:p w14:paraId="0F9C8A26">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7.7 评审方法和标准</w:t>
      </w:r>
    </w:p>
    <w:p w14:paraId="0AAE5477">
      <w:pPr>
        <w:autoSpaceDN w:val="0"/>
        <w:spacing w:line="360" w:lineRule="auto"/>
        <w:ind w:firstLine="373" w:firstLineChars="177"/>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7.7.1评审方法和标准：</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p>
    <w:p w14:paraId="79E29279">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1"/>
          <w:highlight w:val="none"/>
        </w:rPr>
        <w:t>7.7.2</w:t>
      </w:r>
      <w:r>
        <w:rPr>
          <w:rFonts w:hint="eastAsia" w:ascii="宋体" w:hAnsi="宋体" w:eastAsia="宋体" w:cs="宋体"/>
          <w:b/>
          <w:color w:val="000000"/>
          <w:kern w:val="0"/>
          <w:sz w:val="21"/>
          <w:szCs w:val="20"/>
          <w:highlight w:val="none"/>
        </w:rPr>
        <w:t>标书信息开启后，磋商小组首先依法对磋商响应供应商的资格文件进行审查，审查各磋商响应供应商的资格符合情况。</w:t>
      </w:r>
      <w:r>
        <w:rPr>
          <w:rFonts w:hint="eastAsia" w:ascii="宋体" w:hAnsi="宋体" w:eastAsia="宋体" w:cs="宋体"/>
          <w:b/>
          <w:color w:val="000000"/>
          <w:kern w:val="0"/>
          <w:sz w:val="21"/>
          <w:szCs w:val="21"/>
          <w:highlight w:val="none"/>
        </w:rPr>
        <w:t>供应商</w:t>
      </w:r>
      <w:r>
        <w:rPr>
          <w:rFonts w:hint="eastAsia" w:ascii="宋体" w:hAnsi="宋体" w:eastAsia="宋体" w:cs="宋体"/>
          <w:b/>
          <w:color w:val="000000"/>
          <w:sz w:val="21"/>
          <w:szCs w:val="21"/>
          <w:highlight w:val="none"/>
        </w:rPr>
        <w:t>信用记录查询与使用：</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035463E4">
      <w:pPr>
        <w:autoSpaceDN w:val="0"/>
        <w:spacing w:line="360" w:lineRule="auto"/>
        <w:ind w:firstLine="373" w:firstLineChars="177"/>
        <w:rPr>
          <w:rFonts w:hint="eastAsia" w:ascii="宋体" w:hAnsi="宋体" w:eastAsia="宋体" w:cs="宋体"/>
          <w:color w:val="000000"/>
          <w:kern w:val="0"/>
          <w:sz w:val="18"/>
          <w:szCs w:val="21"/>
          <w:highlight w:val="none"/>
        </w:rPr>
      </w:pPr>
      <w:r>
        <w:rPr>
          <w:rFonts w:hint="eastAsia" w:ascii="宋体" w:hAnsi="宋体" w:eastAsia="宋体" w:cs="宋体"/>
          <w:b/>
          <w:color w:val="000000"/>
          <w:kern w:val="0"/>
          <w:sz w:val="21"/>
          <w:szCs w:val="21"/>
          <w:highlight w:val="none"/>
        </w:rPr>
        <w:t>7.7.3资格审查结束后，磋商小组将按照竞争性磋商文件中规定的评审方法和标准，对符合性审查合格的磋商响应文件进行商务和技术评估，综合比较与评价。</w:t>
      </w:r>
      <w:r>
        <w:rPr>
          <w:rFonts w:hint="eastAsia" w:ascii="宋体" w:hAnsi="宋体" w:eastAsia="宋体" w:cs="宋体"/>
          <w:color w:val="000000"/>
          <w:kern w:val="0"/>
          <w:sz w:val="21"/>
          <w:szCs w:val="21"/>
          <w:highlight w:val="none"/>
        </w:rPr>
        <w:t>详细评审方法和标准见本竞争性磋商文件第七章《评审办法》</w:t>
      </w:r>
      <w:r>
        <w:rPr>
          <w:rFonts w:hint="eastAsia" w:ascii="宋体" w:hAnsi="宋体" w:eastAsia="宋体" w:cs="宋体"/>
          <w:color w:val="000000"/>
          <w:kern w:val="0"/>
          <w:sz w:val="18"/>
          <w:szCs w:val="21"/>
          <w:highlight w:val="none"/>
        </w:rPr>
        <w:t>。</w:t>
      </w:r>
    </w:p>
    <w:p w14:paraId="2601CC14">
      <w:pPr>
        <w:pStyle w:val="3"/>
        <w:autoSpaceDN w:val="0"/>
        <w:spacing w:before="360"/>
        <w:ind w:firstLine="221" w:firstLineChars="100"/>
        <w:rPr>
          <w:rFonts w:hint="eastAsia" w:ascii="宋体" w:hAnsi="宋体" w:eastAsia="宋体" w:cs="宋体"/>
          <w:sz w:val="24"/>
          <w:szCs w:val="24"/>
          <w:highlight w:val="none"/>
        </w:rPr>
      </w:pPr>
      <w:bookmarkStart w:id="40" w:name="_Toc5711"/>
      <w:bookmarkStart w:id="41" w:name="_Toc3628"/>
      <w:r>
        <w:rPr>
          <w:rFonts w:hint="eastAsia" w:ascii="宋体" w:hAnsi="宋体" w:eastAsia="宋体" w:cs="宋体"/>
          <w:sz w:val="22"/>
          <w:szCs w:val="22"/>
          <w:highlight w:val="none"/>
        </w:rPr>
        <w:t>八、采购结果确认与公告</w:t>
      </w:r>
      <w:bookmarkEnd w:id="40"/>
      <w:bookmarkEnd w:id="41"/>
    </w:p>
    <w:p w14:paraId="6CD62C2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8.1 采购结果确认（确定成交供应商）</w:t>
      </w:r>
    </w:p>
    <w:p w14:paraId="2D4032D6">
      <w:pPr>
        <w:autoSpaceDN w:val="0"/>
        <w:spacing w:line="360" w:lineRule="auto"/>
        <w:ind w:firstLine="369" w:firstLineChars="175"/>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8.1.1采购结果确认（确定成交供应商）：本项目由采购人根据磋商小组递交的《评审报告》，通过“政府采购云平台”依法确认采购结果、确定成交供应商。具体流程如下：</w:t>
      </w:r>
    </w:p>
    <w:p w14:paraId="3E51689C">
      <w:pPr>
        <w:autoSpaceDN w:val="0"/>
        <w:spacing w:line="360" w:lineRule="auto"/>
        <w:ind w:firstLine="367" w:firstLineChars="175"/>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（1）采购代理机构将在评审结束后2个工作日内将评审报告送采购人。</w:t>
      </w:r>
    </w:p>
    <w:p w14:paraId="54151C22">
      <w:pPr>
        <w:autoSpaceDN w:val="0"/>
        <w:spacing w:line="360" w:lineRule="auto"/>
        <w:ind w:firstLine="367" w:firstLineChars="175"/>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（2）采购人将在收到评审报告之日起5个工作日内，在评审报告推荐的成交候选供应商名单中按顺序确定成交供应商，并将确认意见以书面形式回复采购代理机构。</w:t>
      </w:r>
    </w:p>
    <w:p w14:paraId="7AC4EBEB">
      <w:pPr>
        <w:autoSpaceDN w:val="0"/>
        <w:spacing w:line="360" w:lineRule="auto"/>
        <w:ind w:firstLine="369" w:firstLineChars="175"/>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8.1.2采购人及采购组织机构不对评审结果做任何解释。</w:t>
      </w:r>
    </w:p>
    <w:p w14:paraId="121948A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8.2 采购结果公告和成交通知书签发</w:t>
      </w:r>
    </w:p>
    <w:p w14:paraId="5C164D23">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0"/>
          <w:highlight w:val="none"/>
        </w:rPr>
        <w:t>8.2.1采购结果公告及《成交通知书》签发：</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1"/>
          <w:highlight w:val="none"/>
        </w:rPr>
        <w:t>；</w:t>
      </w:r>
    </w:p>
    <w:p w14:paraId="0851F0C8">
      <w:pPr>
        <w:autoSpaceDN w:val="0"/>
        <w:spacing w:line="360" w:lineRule="auto"/>
        <w:ind w:firstLine="369" w:firstLineChars="175"/>
        <w:rPr>
          <w:rFonts w:hint="eastAsia" w:ascii="宋体" w:hAnsi="宋体" w:eastAsia="宋体" w:cs="宋体"/>
          <w:color w:val="000000"/>
          <w:kern w:val="0"/>
          <w:sz w:val="21"/>
          <w:szCs w:val="20"/>
          <w:highlight w:val="none"/>
        </w:rPr>
      </w:pPr>
      <w:r>
        <w:rPr>
          <w:rFonts w:hint="eastAsia" w:ascii="宋体" w:hAnsi="宋体" w:eastAsia="宋体" w:cs="宋体"/>
          <w:b/>
          <w:color w:val="000000"/>
          <w:kern w:val="0"/>
          <w:sz w:val="21"/>
          <w:szCs w:val="21"/>
          <w:highlight w:val="none"/>
        </w:rPr>
        <w:t>8.2.2成交公告期限为1个工作日；</w:t>
      </w:r>
    </w:p>
    <w:p w14:paraId="0DF75D77">
      <w:pPr>
        <w:autoSpaceDN w:val="0"/>
        <w:spacing w:line="360" w:lineRule="auto"/>
        <w:ind w:firstLine="367" w:firstLineChars="175"/>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9.2.3成交通知书发出后，成交供应商无正当理由不得放弃成交。</w:t>
      </w:r>
    </w:p>
    <w:p w14:paraId="50398858">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bookmarkStart w:id="42" w:name="_Toc35391900"/>
      <w:r>
        <w:rPr>
          <w:rFonts w:hint="eastAsia" w:ascii="宋体" w:hAnsi="宋体" w:eastAsia="宋体" w:cs="宋体"/>
          <w:b/>
          <w:bCs/>
          <w:sz w:val="21"/>
          <w:szCs w:val="24"/>
          <w:highlight w:val="none"/>
        </w:rPr>
        <w:t>8.3 采购过程、采购结果的质疑</w:t>
      </w:r>
    </w:p>
    <w:p w14:paraId="630FAF89">
      <w:pPr>
        <w:autoSpaceDN w:val="0"/>
        <w:spacing w:line="360" w:lineRule="auto"/>
        <w:ind w:firstLine="373" w:firstLineChars="177"/>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磋商响应供应商认为采购过程、采购结果使自己的合法权益受到损害的，应当按照本章节第1.16.2款规定，以书面形式一次性向采购人、采购代理机构提出质疑。</w:t>
      </w:r>
      <w:r>
        <w:rPr>
          <w:rFonts w:hint="eastAsia" w:ascii="宋体" w:hAnsi="宋体" w:eastAsia="宋体" w:cs="宋体"/>
          <w:color w:val="000000"/>
          <w:sz w:val="21"/>
          <w:szCs w:val="21"/>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E4E08E7">
      <w:pPr>
        <w:pStyle w:val="3"/>
        <w:autoSpaceDN w:val="0"/>
        <w:spacing w:before="360"/>
        <w:ind w:firstLine="221" w:firstLineChars="100"/>
        <w:rPr>
          <w:rFonts w:hint="eastAsia" w:ascii="宋体" w:hAnsi="宋体" w:eastAsia="宋体" w:cs="宋体"/>
          <w:sz w:val="22"/>
          <w:szCs w:val="22"/>
          <w:highlight w:val="none"/>
        </w:rPr>
      </w:pPr>
      <w:bookmarkStart w:id="43" w:name="_Toc24033"/>
      <w:bookmarkStart w:id="44" w:name="_Toc8954"/>
      <w:r>
        <w:rPr>
          <w:rFonts w:hint="eastAsia" w:ascii="宋体" w:hAnsi="宋体" w:eastAsia="宋体" w:cs="宋体"/>
          <w:sz w:val="22"/>
          <w:szCs w:val="22"/>
          <w:highlight w:val="none"/>
        </w:rPr>
        <w:t>九、</w:t>
      </w:r>
      <w:bookmarkEnd w:id="42"/>
      <w:r>
        <w:rPr>
          <w:rFonts w:hint="eastAsia" w:ascii="宋体" w:hAnsi="宋体" w:eastAsia="宋体" w:cs="宋体"/>
          <w:sz w:val="22"/>
          <w:szCs w:val="22"/>
          <w:highlight w:val="none"/>
        </w:rPr>
        <w:t>采购代理服务费和造价咨询服务费</w:t>
      </w:r>
      <w:bookmarkEnd w:id="43"/>
      <w:bookmarkEnd w:id="44"/>
    </w:p>
    <w:p w14:paraId="62A0AFF3">
      <w:pPr>
        <w:autoSpaceDN w:val="0"/>
        <w:spacing w:line="360" w:lineRule="auto"/>
        <w:ind w:right="42" w:rightChars="20"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sz w:val="21"/>
          <w:szCs w:val="20"/>
          <w:highlight w:val="none"/>
        </w:rPr>
        <w:t>9.1.1采购代理服务费和造价咨询服务费的</w:t>
      </w:r>
      <w:r>
        <w:rPr>
          <w:rFonts w:hint="eastAsia" w:ascii="宋体" w:hAnsi="宋体" w:eastAsia="宋体" w:cs="宋体"/>
          <w:b/>
          <w:color w:val="000000"/>
          <w:kern w:val="0"/>
          <w:sz w:val="21"/>
          <w:szCs w:val="20"/>
          <w:highlight w:val="none"/>
        </w:rPr>
        <w:t>支付方：</w:t>
      </w:r>
      <w:r>
        <w:rPr>
          <w:rFonts w:hint="eastAsia" w:ascii="宋体" w:hAnsi="宋体" w:eastAsia="宋体" w:cs="宋体"/>
          <w:b/>
          <w:color w:val="000000"/>
          <w:kern w:val="0"/>
          <w:sz w:val="21"/>
          <w:szCs w:val="20"/>
          <w:highlight w:val="none"/>
          <w:u w:val="single"/>
        </w:rPr>
        <w:t>成交供应商</w:t>
      </w:r>
      <w:r>
        <w:rPr>
          <w:rFonts w:hint="eastAsia" w:ascii="宋体" w:hAnsi="宋体" w:eastAsia="宋体" w:cs="宋体"/>
          <w:b/>
          <w:color w:val="000000"/>
          <w:kern w:val="0"/>
          <w:sz w:val="21"/>
          <w:szCs w:val="20"/>
          <w:highlight w:val="none"/>
        </w:rPr>
        <w:t>；</w:t>
      </w:r>
    </w:p>
    <w:p w14:paraId="636A436E">
      <w:pPr>
        <w:autoSpaceDN w:val="0"/>
        <w:spacing w:line="360" w:lineRule="auto"/>
        <w:ind w:right="42" w:rightChars="20" w:firstLine="373" w:firstLineChars="177"/>
        <w:rPr>
          <w:rFonts w:hint="eastAsia" w:ascii="宋体" w:hAnsi="宋体" w:eastAsia="宋体" w:cs="宋体"/>
          <w:b/>
          <w:color w:val="000000"/>
          <w:sz w:val="21"/>
          <w:szCs w:val="20"/>
          <w:highlight w:val="none"/>
        </w:rPr>
      </w:pPr>
      <w:r>
        <w:rPr>
          <w:rFonts w:hint="eastAsia" w:ascii="宋体" w:hAnsi="宋体" w:eastAsia="宋体" w:cs="宋体"/>
          <w:b/>
          <w:color w:val="000000"/>
          <w:kern w:val="0"/>
          <w:sz w:val="21"/>
          <w:szCs w:val="20"/>
          <w:highlight w:val="none"/>
        </w:rPr>
        <w:t>9.1.2</w:t>
      </w:r>
      <w:r>
        <w:rPr>
          <w:rFonts w:hint="eastAsia" w:ascii="宋体" w:hAnsi="宋体" w:eastAsia="宋体" w:cs="宋体"/>
          <w:b/>
          <w:color w:val="000000"/>
          <w:sz w:val="21"/>
          <w:szCs w:val="20"/>
          <w:highlight w:val="none"/>
        </w:rPr>
        <w:t>收取标准或金额：</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0"/>
          <w:highlight w:val="none"/>
        </w:rPr>
        <w:t>；</w:t>
      </w:r>
    </w:p>
    <w:p w14:paraId="1A23CF66">
      <w:pPr>
        <w:autoSpaceDN w:val="0"/>
        <w:spacing w:line="360" w:lineRule="auto"/>
        <w:ind w:right="42" w:rightChars="20" w:firstLine="371" w:firstLineChars="177"/>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9.1.3缴纳时间：成交供应商确定后7日内，一次性缴纳；</w:t>
      </w:r>
    </w:p>
    <w:p w14:paraId="6B5E2FA2">
      <w:pPr>
        <w:autoSpaceDN w:val="0"/>
        <w:spacing w:line="360" w:lineRule="auto"/>
        <w:ind w:right="42" w:rightChars="20" w:firstLine="371" w:firstLineChars="177"/>
        <w:rPr>
          <w:rFonts w:hint="eastAsia" w:ascii="宋体" w:hAnsi="宋体" w:eastAsia="宋体" w:cs="宋体"/>
          <w:color w:val="000000"/>
          <w:kern w:val="0"/>
          <w:sz w:val="21"/>
          <w:szCs w:val="20"/>
          <w:highlight w:val="none"/>
        </w:rPr>
      </w:pPr>
      <w:r>
        <w:rPr>
          <w:rFonts w:hint="eastAsia" w:ascii="宋体" w:hAnsi="宋体" w:eastAsia="宋体" w:cs="宋体"/>
          <w:color w:val="000000"/>
          <w:kern w:val="0"/>
          <w:sz w:val="21"/>
          <w:szCs w:val="20"/>
          <w:highlight w:val="none"/>
        </w:rPr>
        <w:t>9.1.4缴纳形式：电汇、转账、支票、汇票（不接受现金），由成交供应商账户转出；</w:t>
      </w:r>
    </w:p>
    <w:p w14:paraId="345BEDB0">
      <w:pPr>
        <w:autoSpaceDN w:val="0"/>
        <w:spacing w:line="360" w:lineRule="auto"/>
        <w:ind w:right="42" w:rightChars="20"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9.1.5特别说明：</w:t>
      </w:r>
    </w:p>
    <w:p w14:paraId="1A518270">
      <w:pPr>
        <w:autoSpaceDN w:val="0"/>
        <w:spacing w:line="360" w:lineRule="auto"/>
        <w:ind w:right="42" w:rightChars="20"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（1）磋商响应供应商在磋商报价时应将采购代理服务费和造价咨询服务费计入磋商总价（单独列项或列入综合单价内，未计入的视为已包含）；</w:t>
      </w:r>
    </w:p>
    <w:p w14:paraId="1396FE6D">
      <w:pPr>
        <w:autoSpaceDN w:val="0"/>
        <w:spacing w:line="360" w:lineRule="auto"/>
        <w:ind w:right="42" w:rightChars="20"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（2）采购代理服务费和造价咨询服务费缴纳凭证将作为采购人合同付款和验收的前提条件，成交供应商未按上述规定和磋商承诺缴纳采购代理服务费的，合同款不予支付、合同验收不予通过；</w:t>
      </w:r>
    </w:p>
    <w:p w14:paraId="0F2AA6C6">
      <w:pPr>
        <w:autoSpaceDN w:val="0"/>
        <w:spacing w:line="360" w:lineRule="auto"/>
        <w:ind w:firstLine="373" w:firstLineChars="177"/>
        <w:rPr>
          <w:rFonts w:hint="eastAsia" w:ascii="宋体" w:hAnsi="宋体" w:eastAsia="宋体" w:cs="宋体"/>
          <w:color w:val="000000"/>
          <w:kern w:val="0"/>
          <w:sz w:val="20"/>
          <w:szCs w:val="20"/>
          <w:highlight w:val="none"/>
        </w:rPr>
      </w:pPr>
      <w:r>
        <w:rPr>
          <w:rFonts w:hint="eastAsia" w:ascii="宋体" w:hAnsi="宋体" w:eastAsia="宋体" w:cs="宋体"/>
          <w:b/>
          <w:color w:val="000000"/>
          <w:sz w:val="21"/>
          <w:szCs w:val="20"/>
          <w:highlight w:val="none"/>
        </w:rPr>
        <w:t>9.1.6</w:t>
      </w:r>
      <w:r>
        <w:rPr>
          <w:rFonts w:hint="eastAsia" w:ascii="宋体" w:hAnsi="宋体" w:eastAsia="宋体" w:cs="宋体"/>
          <w:b/>
          <w:color w:val="000000"/>
          <w:sz w:val="21"/>
          <w:szCs w:val="21"/>
          <w:highlight w:val="none"/>
        </w:rPr>
        <w:t>成交供应商确定后，成交供应商拒绝签订合同的，或因自身原因被取消成交资格或放弃成交的，已收取的采购代理服务费和造价咨询服务费不予退还，未支付的采购代理服务费和造价咨询服务费由采购人追偿后支付。</w:t>
      </w:r>
    </w:p>
    <w:p w14:paraId="3AD27DE6">
      <w:pPr>
        <w:pStyle w:val="3"/>
        <w:autoSpaceDN w:val="0"/>
        <w:spacing w:before="360"/>
        <w:ind w:firstLine="221" w:firstLineChars="100"/>
        <w:rPr>
          <w:rFonts w:hint="eastAsia" w:ascii="宋体" w:hAnsi="宋体" w:eastAsia="宋体" w:cs="宋体"/>
          <w:sz w:val="22"/>
          <w:szCs w:val="22"/>
          <w:highlight w:val="none"/>
        </w:rPr>
      </w:pPr>
      <w:bookmarkStart w:id="45" w:name="_Toc424164160"/>
      <w:bookmarkStart w:id="46" w:name="_Toc440162792"/>
      <w:bookmarkStart w:id="47" w:name="_Toc11698"/>
      <w:bookmarkStart w:id="48" w:name="_Toc35391901"/>
      <w:bookmarkStart w:id="49" w:name="_Toc8489"/>
      <w:r>
        <w:rPr>
          <w:rFonts w:hint="eastAsia" w:ascii="宋体" w:hAnsi="宋体" w:eastAsia="宋体" w:cs="宋体"/>
          <w:sz w:val="22"/>
          <w:szCs w:val="22"/>
          <w:highlight w:val="none"/>
        </w:rPr>
        <w:t>十、</w:t>
      </w:r>
      <w:bookmarkEnd w:id="45"/>
      <w:bookmarkEnd w:id="46"/>
      <w:r>
        <w:rPr>
          <w:rFonts w:hint="eastAsia" w:ascii="宋体" w:hAnsi="宋体" w:eastAsia="宋体" w:cs="宋体"/>
          <w:sz w:val="22"/>
          <w:szCs w:val="22"/>
          <w:highlight w:val="none"/>
        </w:rPr>
        <w:t>合同签订和履约担保</w:t>
      </w:r>
      <w:bookmarkEnd w:id="47"/>
      <w:bookmarkEnd w:id="48"/>
      <w:bookmarkEnd w:id="49"/>
    </w:p>
    <w:p w14:paraId="2499B42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10.1 签订合同</w:t>
      </w:r>
    </w:p>
    <w:p w14:paraId="18E2B84F">
      <w:pPr>
        <w:autoSpaceDN w:val="0"/>
        <w:spacing w:line="360" w:lineRule="auto"/>
        <w:ind w:firstLine="371" w:firstLineChars="176"/>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10.1.1合同签订时间期限：</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0"/>
          <w:highlight w:val="none"/>
        </w:rPr>
        <w:t>；</w:t>
      </w:r>
    </w:p>
    <w:p w14:paraId="7264705A">
      <w:pPr>
        <w:autoSpaceDN w:val="0"/>
        <w:spacing w:line="360" w:lineRule="auto"/>
        <w:ind w:firstLine="371" w:firstLineChars="176"/>
        <w:rPr>
          <w:rFonts w:hint="eastAsia" w:ascii="宋体" w:hAnsi="宋体" w:eastAsia="宋体" w:cs="宋体"/>
          <w:color w:val="000000"/>
          <w:kern w:val="0"/>
          <w:sz w:val="21"/>
          <w:szCs w:val="20"/>
          <w:highlight w:val="none"/>
        </w:rPr>
      </w:pPr>
      <w:r>
        <w:rPr>
          <w:rFonts w:hint="eastAsia" w:ascii="宋体" w:hAnsi="宋体" w:eastAsia="宋体" w:cs="宋体"/>
          <w:b/>
          <w:color w:val="000000"/>
          <w:kern w:val="0"/>
          <w:sz w:val="21"/>
          <w:szCs w:val="20"/>
          <w:highlight w:val="none"/>
        </w:rPr>
        <w:t>10.1.2成交供应商应在《磋商须知前附表》中规定的时间内，与采购人通过“政府采购云平台”签订政府采购合同。</w:t>
      </w:r>
      <w:r>
        <w:rPr>
          <w:rFonts w:hint="eastAsia" w:ascii="宋体" w:hAnsi="宋体" w:eastAsia="宋体" w:cs="宋体"/>
          <w:color w:val="000000"/>
          <w:kern w:val="0"/>
          <w:sz w:val="21"/>
          <w:szCs w:val="20"/>
          <w:highlight w:val="none"/>
        </w:rPr>
        <w:t>所签订的合同不得对竞争性磋商文件确定的事项和成交供应商磋商响应文件作实质性修改。</w:t>
      </w:r>
    </w:p>
    <w:p w14:paraId="3EF44B1F">
      <w:pPr>
        <w:autoSpaceDN w:val="0"/>
        <w:spacing w:line="360" w:lineRule="auto"/>
        <w:ind w:firstLine="371" w:firstLineChars="176"/>
        <w:rPr>
          <w:rFonts w:hint="eastAsia" w:ascii="宋体" w:hAnsi="宋体" w:eastAsia="宋体" w:cs="宋体"/>
          <w:color w:val="000000"/>
          <w:kern w:val="0"/>
          <w:sz w:val="21"/>
          <w:szCs w:val="20"/>
          <w:highlight w:val="none"/>
        </w:rPr>
      </w:pPr>
      <w:r>
        <w:rPr>
          <w:rFonts w:hint="eastAsia" w:ascii="宋体" w:hAnsi="宋体" w:eastAsia="宋体" w:cs="宋体"/>
          <w:b/>
          <w:color w:val="000000"/>
          <w:sz w:val="21"/>
          <w:szCs w:val="20"/>
          <w:highlight w:val="none"/>
        </w:rPr>
        <w:t>10.1.3</w:t>
      </w:r>
      <w:r>
        <w:rPr>
          <w:rFonts w:hint="eastAsia" w:ascii="宋体" w:hAnsi="宋体" w:eastAsia="宋体" w:cs="宋体"/>
          <w:b/>
          <w:color w:val="000000"/>
          <w:kern w:val="0"/>
          <w:sz w:val="21"/>
          <w:szCs w:val="20"/>
          <w:highlight w:val="none"/>
        </w:rPr>
        <w:t>成交供应商</w:t>
      </w:r>
      <w:r>
        <w:rPr>
          <w:rFonts w:hint="eastAsia" w:ascii="宋体" w:hAnsi="宋体" w:eastAsia="宋体" w:cs="宋体"/>
          <w:b/>
          <w:color w:val="000000"/>
          <w:sz w:val="21"/>
          <w:szCs w:val="20"/>
          <w:highlight w:val="none"/>
        </w:rPr>
        <w:t>拒绝与采购人签订合同的</w:t>
      </w:r>
      <w:r>
        <w:rPr>
          <w:rFonts w:hint="eastAsia" w:ascii="宋体" w:hAnsi="宋体" w:eastAsia="宋体" w:cs="宋体"/>
          <w:b/>
          <w:color w:val="000000"/>
          <w:kern w:val="0"/>
          <w:sz w:val="21"/>
          <w:szCs w:val="20"/>
          <w:highlight w:val="none"/>
        </w:rPr>
        <w:t>，</w:t>
      </w:r>
      <w:r>
        <w:rPr>
          <w:rFonts w:hint="eastAsia" w:ascii="宋体" w:hAnsi="宋体" w:eastAsia="宋体" w:cs="宋体"/>
          <w:b/>
          <w:color w:val="000000"/>
          <w:sz w:val="21"/>
          <w:szCs w:val="21"/>
          <w:highlight w:val="none"/>
        </w:rPr>
        <w:t>采购人、采购代理机构将对其失信行为上报至同级政府采购监督管理部门对其依法处理。</w:t>
      </w:r>
    </w:p>
    <w:p w14:paraId="55A6A8F2">
      <w:pPr>
        <w:autoSpaceDN w:val="0"/>
        <w:spacing w:line="360" w:lineRule="auto"/>
        <w:ind w:firstLine="371" w:firstLineChars="176"/>
        <w:rPr>
          <w:rFonts w:hint="eastAsia" w:ascii="宋体" w:hAnsi="宋体" w:eastAsia="宋体" w:cs="宋体"/>
          <w:b/>
          <w:color w:val="000000"/>
          <w:sz w:val="21"/>
          <w:szCs w:val="20"/>
          <w:highlight w:val="none"/>
        </w:rPr>
      </w:pPr>
      <w:r>
        <w:rPr>
          <w:rFonts w:hint="eastAsia" w:ascii="宋体" w:hAnsi="宋体" w:eastAsia="宋体" w:cs="宋体"/>
          <w:b/>
          <w:color w:val="000000"/>
          <w:kern w:val="0"/>
          <w:sz w:val="21"/>
          <w:szCs w:val="20"/>
          <w:highlight w:val="none"/>
        </w:rPr>
        <w:t>10.1.4原</w:t>
      </w:r>
      <w:r>
        <w:rPr>
          <w:rFonts w:hint="eastAsia" w:ascii="宋体" w:hAnsi="宋体" w:eastAsia="宋体" w:cs="宋体"/>
          <w:b/>
          <w:color w:val="000000"/>
          <w:sz w:val="21"/>
          <w:szCs w:val="20"/>
          <w:highlight w:val="none"/>
        </w:rPr>
        <w:t>成交供应商拒绝与采购人签订合同后，采购人可以按照评审报告推荐的成交候选人名单排序，确定下一候选人为成交供应商，也可以重新开展政府采购活动。</w:t>
      </w:r>
    </w:p>
    <w:p w14:paraId="6A044AA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10.2 履约担保（履约保证金）</w:t>
      </w:r>
    </w:p>
    <w:p w14:paraId="32EAD979">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10.2.1履约担保递交要求：</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kern w:val="0"/>
          <w:sz w:val="21"/>
          <w:szCs w:val="20"/>
          <w:highlight w:val="none"/>
        </w:rPr>
        <w:t>；成交供应商应递交而未递交履约担保的，合同款不予支付、合同验收不予通过。</w:t>
      </w:r>
    </w:p>
    <w:p w14:paraId="5DC21574">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521089ED">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（1）采购人已向</w:t>
      </w:r>
      <w:r>
        <w:rPr>
          <w:rFonts w:hint="eastAsia" w:ascii="宋体" w:hAnsi="宋体" w:eastAsia="宋体" w:cs="宋体"/>
          <w:color w:val="000000"/>
          <w:kern w:val="0"/>
          <w:sz w:val="21"/>
          <w:szCs w:val="20"/>
          <w:highlight w:val="none"/>
        </w:rPr>
        <w:t>成交供应商</w:t>
      </w:r>
      <w:r>
        <w:rPr>
          <w:rFonts w:hint="eastAsia" w:ascii="宋体" w:hAnsi="宋体" w:eastAsia="宋体" w:cs="宋体"/>
          <w:color w:val="000000"/>
          <w:kern w:val="0"/>
          <w:sz w:val="21"/>
          <w:szCs w:val="21"/>
          <w:highlight w:val="none"/>
        </w:rPr>
        <w:t>支付了合同款的，</w:t>
      </w:r>
      <w:r>
        <w:rPr>
          <w:rFonts w:hint="eastAsia" w:ascii="宋体" w:hAnsi="宋体" w:eastAsia="宋体" w:cs="宋体"/>
          <w:color w:val="000000"/>
          <w:kern w:val="0"/>
          <w:sz w:val="21"/>
          <w:szCs w:val="20"/>
          <w:highlight w:val="none"/>
        </w:rPr>
        <w:t>成交供应商</w:t>
      </w:r>
      <w:r>
        <w:rPr>
          <w:rFonts w:hint="eastAsia" w:ascii="宋体" w:hAnsi="宋体" w:eastAsia="宋体" w:cs="宋体"/>
          <w:color w:val="000000"/>
          <w:kern w:val="0"/>
          <w:sz w:val="21"/>
          <w:szCs w:val="21"/>
          <w:highlight w:val="none"/>
        </w:rPr>
        <w:t>须一次性退还采购人已支付的合同款，并向采购人支付等额违约金；</w:t>
      </w:r>
    </w:p>
    <w:p w14:paraId="7F69CDFB">
      <w:pPr>
        <w:autoSpaceDN w:val="0"/>
        <w:spacing w:line="360" w:lineRule="auto"/>
        <w:ind w:firstLine="371" w:firstLineChars="177"/>
        <w:rPr>
          <w:rFonts w:hint="eastAsia" w:ascii="宋体" w:hAnsi="宋体" w:eastAsia="宋体" w:cs="宋体"/>
          <w:b/>
          <w:color w:val="000000"/>
          <w:kern w:val="0"/>
          <w:sz w:val="21"/>
          <w:szCs w:val="20"/>
          <w:highlight w:val="none"/>
        </w:rPr>
      </w:pPr>
      <w:r>
        <w:rPr>
          <w:rFonts w:hint="eastAsia" w:ascii="宋体" w:hAnsi="宋体" w:eastAsia="宋体" w:cs="宋体"/>
          <w:color w:val="000000"/>
          <w:kern w:val="0"/>
          <w:sz w:val="21"/>
          <w:szCs w:val="21"/>
          <w:highlight w:val="none"/>
        </w:rPr>
        <w:t>（2）采购人还未向</w:t>
      </w:r>
      <w:r>
        <w:rPr>
          <w:rFonts w:hint="eastAsia" w:ascii="宋体" w:hAnsi="宋体" w:eastAsia="宋体" w:cs="宋体"/>
          <w:color w:val="000000"/>
          <w:kern w:val="0"/>
          <w:sz w:val="21"/>
          <w:szCs w:val="20"/>
          <w:highlight w:val="none"/>
        </w:rPr>
        <w:t>成交供应商</w:t>
      </w:r>
      <w:r>
        <w:rPr>
          <w:rFonts w:hint="eastAsia" w:ascii="宋体" w:hAnsi="宋体" w:eastAsia="宋体" w:cs="宋体"/>
          <w:color w:val="000000"/>
          <w:kern w:val="0"/>
          <w:sz w:val="21"/>
          <w:szCs w:val="21"/>
          <w:highlight w:val="none"/>
        </w:rPr>
        <w:t>支付合同款的，</w:t>
      </w:r>
      <w:r>
        <w:rPr>
          <w:rFonts w:hint="eastAsia" w:ascii="宋体" w:hAnsi="宋体" w:eastAsia="宋体" w:cs="宋体"/>
          <w:color w:val="000000"/>
          <w:kern w:val="0"/>
          <w:sz w:val="21"/>
          <w:szCs w:val="20"/>
          <w:highlight w:val="none"/>
        </w:rPr>
        <w:t>成交供应商</w:t>
      </w:r>
      <w:r>
        <w:rPr>
          <w:rFonts w:hint="eastAsia" w:ascii="宋体" w:hAnsi="宋体" w:eastAsia="宋体" w:cs="宋体"/>
          <w:color w:val="000000"/>
          <w:kern w:val="0"/>
          <w:sz w:val="21"/>
          <w:szCs w:val="21"/>
          <w:highlight w:val="none"/>
        </w:rPr>
        <w:t>须一次性向采购人支付合同总额30%的违约金。</w:t>
      </w:r>
    </w:p>
    <w:p w14:paraId="6EC03CD6">
      <w:pPr>
        <w:autoSpaceDN w:val="0"/>
        <w:spacing w:line="360" w:lineRule="auto"/>
        <w:ind w:firstLine="373" w:firstLineChars="177"/>
        <w:rPr>
          <w:rFonts w:hint="eastAsia" w:ascii="宋体" w:hAnsi="宋体" w:eastAsia="宋体" w:cs="宋体"/>
          <w:b/>
          <w:color w:val="000000"/>
          <w:kern w:val="0"/>
          <w:sz w:val="21"/>
          <w:szCs w:val="20"/>
          <w:highlight w:val="none"/>
        </w:rPr>
      </w:pPr>
      <w:r>
        <w:rPr>
          <w:rFonts w:hint="eastAsia" w:ascii="宋体" w:hAnsi="宋体" w:eastAsia="宋体" w:cs="宋体"/>
          <w:b/>
          <w:color w:val="000000"/>
          <w:kern w:val="0"/>
          <w:sz w:val="21"/>
          <w:szCs w:val="20"/>
          <w:highlight w:val="none"/>
        </w:rPr>
        <w:t>10.2.3履约保证金在成交供应商按约定履约完毕后退还（具体退还方式详见采购合同）。</w:t>
      </w:r>
    </w:p>
    <w:p w14:paraId="6500C97A">
      <w:pPr>
        <w:pStyle w:val="3"/>
        <w:autoSpaceDN w:val="0"/>
        <w:spacing w:before="360"/>
        <w:ind w:firstLine="221" w:firstLineChars="100"/>
        <w:rPr>
          <w:rFonts w:hint="eastAsia" w:ascii="宋体" w:hAnsi="宋体" w:eastAsia="宋体" w:cs="宋体"/>
          <w:sz w:val="22"/>
          <w:szCs w:val="22"/>
          <w:highlight w:val="none"/>
        </w:rPr>
      </w:pPr>
      <w:bookmarkStart w:id="50" w:name="_Toc35391902"/>
      <w:bookmarkStart w:id="51" w:name="_Toc23573"/>
      <w:bookmarkStart w:id="52" w:name="_Toc15048"/>
      <w:r>
        <w:rPr>
          <w:rFonts w:hint="eastAsia" w:ascii="宋体" w:hAnsi="宋体" w:eastAsia="宋体" w:cs="宋体"/>
          <w:sz w:val="22"/>
          <w:szCs w:val="22"/>
          <w:highlight w:val="none"/>
        </w:rPr>
        <w:t>十一、其他事项说明</w:t>
      </w:r>
      <w:bookmarkEnd w:id="50"/>
      <w:bookmarkEnd w:id="51"/>
      <w:bookmarkEnd w:id="52"/>
    </w:p>
    <w:p w14:paraId="28BCAB1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11.1 中小企业信用融资</w:t>
      </w:r>
    </w:p>
    <w:p w14:paraId="1004EC80">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sz w:val="21"/>
          <w:szCs w:val="16"/>
          <w:highlight w:val="none"/>
        </w:rPr>
        <w:t>11.1.1中小企业融资相关规定：</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4182BCBF">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11.2 重要提醒</w:t>
      </w:r>
    </w:p>
    <w:p w14:paraId="15CF9B1F">
      <w:pPr>
        <w:autoSpaceDN w:val="0"/>
        <w:spacing w:line="360" w:lineRule="auto"/>
        <w:ind w:firstLine="373" w:firstLineChars="177"/>
        <w:rPr>
          <w:rFonts w:hint="eastAsia" w:ascii="宋体" w:hAnsi="宋体" w:eastAsia="宋体" w:cs="宋体"/>
          <w:b/>
          <w:color w:val="000000"/>
          <w:kern w:val="0"/>
          <w:sz w:val="21"/>
          <w:szCs w:val="16"/>
          <w:highlight w:val="none"/>
        </w:rPr>
      </w:pPr>
      <w:r>
        <w:rPr>
          <w:rFonts w:hint="eastAsia" w:ascii="宋体" w:hAnsi="宋体" w:eastAsia="宋体" w:cs="宋体"/>
          <w:b/>
          <w:sz w:val="21"/>
          <w:szCs w:val="16"/>
          <w:highlight w:val="none"/>
        </w:rPr>
        <w:t>11.2.1磋商重要提醒：</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54290EA7">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4"/>
          <w:highlight w:val="none"/>
        </w:rPr>
      </w:pPr>
      <w:r>
        <w:rPr>
          <w:rFonts w:hint="eastAsia" w:ascii="宋体" w:hAnsi="宋体" w:eastAsia="宋体" w:cs="宋体"/>
          <w:b/>
          <w:bCs/>
          <w:sz w:val="21"/>
          <w:szCs w:val="24"/>
          <w:highlight w:val="none"/>
        </w:rPr>
        <w:t>11.3 竞争性磋商文件解释权</w:t>
      </w:r>
    </w:p>
    <w:p w14:paraId="30D94704">
      <w:pPr>
        <w:autoSpaceDN w:val="0"/>
        <w:spacing w:line="360" w:lineRule="auto"/>
        <w:ind w:firstLine="373" w:firstLineChars="177"/>
        <w:rPr>
          <w:rFonts w:hint="eastAsia" w:ascii="宋体" w:hAnsi="宋体" w:eastAsia="宋体" w:cs="宋体"/>
          <w:sz w:val="21"/>
          <w:szCs w:val="16"/>
          <w:highlight w:val="none"/>
        </w:rPr>
      </w:pPr>
      <w:r>
        <w:rPr>
          <w:rFonts w:hint="eastAsia" w:ascii="宋体" w:hAnsi="宋体" w:eastAsia="宋体" w:cs="宋体"/>
          <w:b/>
          <w:color w:val="000000"/>
          <w:kern w:val="0"/>
          <w:sz w:val="21"/>
          <w:szCs w:val="16"/>
          <w:highlight w:val="none"/>
        </w:rPr>
        <w:t>11.3.1竞争性磋商文件解释权：</w:t>
      </w:r>
      <w:r>
        <w:rPr>
          <w:rFonts w:hint="eastAsia" w:ascii="宋体" w:hAnsi="宋体" w:eastAsia="宋体" w:cs="宋体"/>
          <w:b/>
          <w:color w:val="000000"/>
          <w:kern w:val="0"/>
          <w:sz w:val="21"/>
          <w:szCs w:val="16"/>
          <w:highlight w:val="none"/>
          <w:u w:val="single"/>
        </w:rPr>
        <w:t>见《磋商须知前附表》</w:t>
      </w:r>
      <w:r>
        <w:rPr>
          <w:rFonts w:hint="eastAsia" w:ascii="宋体" w:hAnsi="宋体" w:eastAsia="宋体" w:cs="宋体"/>
          <w:b/>
          <w:color w:val="000000"/>
          <w:kern w:val="0"/>
          <w:sz w:val="21"/>
          <w:szCs w:val="16"/>
          <w:highlight w:val="none"/>
        </w:rPr>
        <w:t>。</w:t>
      </w:r>
    </w:p>
    <w:p w14:paraId="0443D79A">
      <w:pPr>
        <w:pStyle w:val="68"/>
        <w:rPr>
          <w:rFonts w:hint="eastAsia" w:ascii="宋体" w:hAnsi="宋体" w:eastAsia="宋体" w:cs="宋体"/>
          <w:highlight w:val="none"/>
        </w:rPr>
        <w:sectPr>
          <w:footerReference r:id="rId9" w:type="first"/>
          <w:footerReference r:id="rId8" w:type="default"/>
          <w:pgSz w:w="11905" w:h="16838"/>
          <w:pgMar w:top="856" w:right="1191" w:bottom="1417" w:left="1191" w:header="567" w:footer="680" w:gutter="0"/>
          <w:pgBorders>
            <w:top w:val="none" w:sz="0" w:space="0"/>
            <w:left w:val="none" w:sz="0" w:space="0"/>
            <w:bottom w:val="none" w:sz="0" w:space="0"/>
            <w:right w:val="none" w:sz="0" w:space="0"/>
          </w:pgBorders>
          <w:pgNumType w:fmt="decimal" w:start="0"/>
          <w:cols w:space="0" w:num="1"/>
          <w:titlePg/>
          <w:rtlGutter w:val="0"/>
          <w:docGrid w:linePitch="286" w:charSpace="0"/>
        </w:sectPr>
      </w:pPr>
    </w:p>
    <w:p w14:paraId="5B9E02D4">
      <w:pPr>
        <w:pStyle w:val="2"/>
        <w:autoSpaceDN w:val="0"/>
        <w:spacing w:before="240"/>
        <w:rPr>
          <w:rFonts w:hint="eastAsia" w:ascii="宋体" w:hAnsi="宋体" w:eastAsia="宋体" w:cs="宋体"/>
          <w:bCs/>
          <w:kern w:val="44"/>
          <w:sz w:val="44"/>
          <w:szCs w:val="44"/>
          <w:highlight w:val="none"/>
        </w:rPr>
      </w:pPr>
      <w:bookmarkStart w:id="53" w:name="_Toc28471"/>
      <w:r>
        <w:rPr>
          <w:rFonts w:hint="eastAsia" w:ascii="宋体" w:hAnsi="宋体" w:eastAsia="宋体" w:cs="宋体"/>
          <w:bCs/>
          <w:kern w:val="44"/>
          <w:sz w:val="44"/>
          <w:szCs w:val="44"/>
          <w:highlight w:val="none"/>
        </w:rPr>
        <w:t xml:space="preserve">第四章  </w:t>
      </w:r>
      <w:bookmarkEnd w:id="35"/>
      <w:bookmarkEnd w:id="36"/>
      <w:r>
        <w:rPr>
          <w:rFonts w:hint="eastAsia" w:ascii="宋体" w:hAnsi="宋体" w:eastAsia="宋体" w:cs="宋体"/>
          <w:bCs/>
          <w:kern w:val="44"/>
          <w:sz w:val="44"/>
          <w:szCs w:val="44"/>
          <w:highlight w:val="none"/>
        </w:rPr>
        <w:t>采购内容及技术要求</w:t>
      </w:r>
      <w:bookmarkEnd w:id="53"/>
    </w:p>
    <w:p w14:paraId="6E2EF466">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54" w:name="_Toc57713377"/>
      <w:bookmarkStart w:id="55" w:name="_Toc23814"/>
      <w:bookmarkStart w:id="56" w:name="_Toc5206"/>
      <w:bookmarkStart w:id="57" w:name="_Toc26474"/>
      <w:bookmarkStart w:id="58" w:name="_Toc420505109"/>
      <w:bookmarkStart w:id="59" w:name="_Toc442102512"/>
      <w:r>
        <w:rPr>
          <w:rFonts w:ascii="宋体" w:hAnsi="宋体" w:eastAsia="宋体" w:cs="Times New Roman"/>
          <w:b/>
          <w:bCs/>
          <w:kern w:val="0"/>
          <w:sz w:val="21"/>
          <w:szCs w:val="21"/>
          <w:highlight w:val="none"/>
          <w:lang w:val="en-US" w:eastAsia="zh-CN" w:bidi="ar-SA"/>
        </w:rPr>
        <w:t>一、</w:t>
      </w:r>
      <w:r>
        <w:rPr>
          <w:rFonts w:hint="eastAsia" w:ascii="宋体" w:hAnsi="宋体" w:eastAsia="宋体" w:cs="Times New Roman"/>
          <w:b/>
          <w:bCs/>
          <w:kern w:val="0"/>
          <w:sz w:val="21"/>
          <w:szCs w:val="21"/>
          <w:highlight w:val="none"/>
          <w:lang w:val="en-US" w:eastAsia="zh-CN" w:bidi="ar-SA"/>
        </w:rPr>
        <w:t>项目概况</w:t>
      </w:r>
      <w:bookmarkEnd w:id="54"/>
      <w:bookmarkEnd w:id="55"/>
      <w:bookmarkEnd w:id="56"/>
      <w:bookmarkEnd w:id="57"/>
    </w:p>
    <w:p w14:paraId="4CA5B404">
      <w:pPr>
        <w:spacing w:line="360" w:lineRule="auto"/>
        <w:ind w:firstLine="420"/>
        <w:rPr>
          <w:rFonts w:hint="eastAsia" w:ascii="宋体" w:hAnsi="宋体" w:cs="Times New Roman"/>
          <w:szCs w:val="21"/>
          <w:highlight w:val="none"/>
          <w:lang w:val="en-US" w:eastAsia="zh-CN"/>
        </w:rPr>
      </w:pPr>
      <w:r>
        <w:rPr>
          <w:rFonts w:hint="eastAsia" w:ascii="宋体" w:hAnsi="宋体" w:cs="Times New Roman"/>
          <w:szCs w:val="21"/>
          <w:highlight w:val="none"/>
          <w:lang w:eastAsia="zh-CN"/>
        </w:rPr>
        <w:t>浙江中医药大学Ivan Psakhye教授实验室改造项目</w:t>
      </w:r>
      <w:r>
        <w:rPr>
          <w:rFonts w:hint="eastAsia" w:ascii="宋体" w:hAnsi="宋体" w:cs="Times New Roman"/>
          <w:szCs w:val="21"/>
          <w:highlight w:val="none"/>
        </w:rPr>
        <w:t>主要内容</w:t>
      </w:r>
      <w:r>
        <w:rPr>
          <w:rFonts w:hint="eastAsia" w:ascii="宋体" w:hAnsi="宋体" w:cs="Times New Roman"/>
          <w:szCs w:val="21"/>
          <w:highlight w:val="none"/>
          <w:lang w:eastAsia="zh-CN"/>
        </w:rPr>
        <w:t>实验室暖通、净化、家具等改造施工，</w:t>
      </w:r>
      <w:r>
        <w:rPr>
          <w:rFonts w:hint="eastAsia" w:ascii="宋体" w:hAnsi="宋体" w:cs="Times New Roman"/>
          <w:szCs w:val="21"/>
          <w:highlight w:val="none"/>
          <w:lang w:val="en-US" w:eastAsia="zh-CN"/>
        </w:rPr>
        <w:t>具体</w:t>
      </w:r>
      <w:r>
        <w:rPr>
          <w:rFonts w:hint="eastAsia" w:ascii="宋体" w:hAnsi="宋体" w:cs="Times New Roman"/>
          <w:szCs w:val="21"/>
          <w:highlight w:val="none"/>
        </w:rPr>
        <w:t>详见图纸及工程量清单，本项目工期</w:t>
      </w:r>
      <w:r>
        <w:rPr>
          <w:rFonts w:hint="eastAsia" w:ascii="宋体" w:hAnsi="宋体" w:cs="Times New Roman"/>
          <w:szCs w:val="21"/>
          <w:highlight w:val="none"/>
          <w:lang w:val="en-US" w:eastAsia="zh-CN"/>
        </w:rPr>
        <w:t>60日历天</w:t>
      </w:r>
      <w:r>
        <w:rPr>
          <w:rFonts w:hint="eastAsia" w:ascii="宋体" w:hAnsi="宋体" w:cs="Times New Roman"/>
          <w:szCs w:val="21"/>
          <w:highlight w:val="none"/>
        </w:rPr>
        <w:t>。</w:t>
      </w:r>
      <w:r>
        <w:rPr>
          <w:rFonts w:hint="eastAsia" w:ascii="宋体" w:hAnsi="宋体" w:cs="Times New Roman"/>
          <w:szCs w:val="21"/>
          <w:highlight w:val="none"/>
          <w:lang w:val="en-US" w:eastAsia="zh-CN"/>
        </w:rPr>
        <w:t>招标图纸与工程量清单不一致时，以工程量清单为准。</w:t>
      </w:r>
    </w:p>
    <w:bookmarkEnd w:id="58"/>
    <w:bookmarkEnd w:id="59"/>
    <w:p w14:paraId="503220F7">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60" w:name="_Toc4338"/>
      <w:bookmarkStart w:id="61" w:name="_Toc8820"/>
      <w:bookmarkStart w:id="62" w:name="_Toc27411"/>
      <w:bookmarkStart w:id="63" w:name="_Toc57713381"/>
      <w:bookmarkStart w:id="64" w:name="_Toc78549727"/>
      <w:bookmarkStart w:id="65" w:name="_Toc8763"/>
      <w:bookmarkStart w:id="66" w:name="_Toc19432"/>
      <w:bookmarkStart w:id="67" w:name="_Toc13034"/>
      <w:r>
        <w:rPr>
          <w:rFonts w:hint="eastAsia" w:ascii="宋体" w:hAnsi="宋体" w:eastAsia="宋体" w:cs="Times New Roman"/>
          <w:b/>
          <w:bCs/>
          <w:kern w:val="0"/>
          <w:sz w:val="21"/>
          <w:szCs w:val="21"/>
          <w:highlight w:val="none"/>
          <w:lang w:val="en-US" w:eastAsia="zh-CN" w:bidi="ar-SA"/>
        </w:rPr>
        <w:t>二、相关技术及材质要求</w:t>
      </w:r>
      <w:bookmarkEnd w:id="60"/>
      <w:bookmarkEnd w:id="61"/>
      <w:bookmarkEnd w:id="62"/>
    </w:p>
    <w:p w14:paraId="1B121393">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国家及地方现行颁布的其它相关法律法规。</w:t>
      </w:r>
    </w:p>
    <w:p w14:paraId="49CBD89F">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标准和规范的冲突处理</w:t>
      </w:r>
    </w:p>
    <w:p w14:paraId="3FC34A4A">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（1）图纸、标准、规范之间发生冲突时，采用要求最为严格的标准、规范。</w:t>
      </w:r>
    </w:p>
    <w:p w14:paraId="3D95022B">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（2）图纸、标准、规范与本招标文件之间发生冲突时，采用其中最为严格的要求。</w:t>
      </w:r>
    </w:p>
    <w:p w14:paraId="1BBBF815">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（3）在总体技术标准及相应规范下，各子系统有更细更明晰的标准及规范和特殊要求时应在投标文件中相应列出。</w:t>
      </w:r>
    </w:p>
    <w:p w14:paraId="7425DFD8">
      <w:pPr>
        <w:widowControl w:val="0"/>
        <w:spacing w:line="360" w:lineRule="auto"/>
        <w:ind w:firstLine="420" w:firstLineChars="200"/>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w:t>
      </w:r>
      <w:r>
        <w:rPr>
          <w:rFonts w:hint="eastAsia" w:ascii="宋体" w:hAnsi="宋体" w:eastAsia="宋体" w:cs="Times New Roman"/>
          <w:kern w:val="2"/>
          <w:sz w:val="21"/>
          <w:szCs w:val="21"/>
          <w:highlight w:val="none"/>
          <w:lang w:val="en-US" w:eastAsia="zh-CN" w:bidi="ar-SA"/>
        </w:rPr>
        <w:t>所有设备家具安装后成交供应商进行环境检测，并提供第三方检测机构出具的合格检测报告证明。安装调试完成后，根据厂家或行业标准组织验收。</w:t>
      </w:r>
    </w:p>
    <w:p w14:paraId="52E9A029">
      <w:pPr>
        <w:widowControl w:val="0"/>
        <w:spacing w:line="360" w:lineRule="auto"/>
        <w:ind w:firstLine="420" w:firstLineChars="200"/>
        <w:jc w:val="both"/>
        <w:rPr>
          <w:rFonts w:hint="default"/>
          <w:highlight w:val="none"/>
          <w:lang w:val="en-US" w:eastAsia="zh-CN"/>
        </w:rPr>
      </w:pPr>
      <w:r>
        <w:rPr>
          <w:rFonts w:hint="eastAsia" w:ascii="宋体" w:hAnsi="宋体" w:cs="Times New Roman"/>
          <w:kern w:val="2"/>
          <w:sz w:val="21"/>
          <w:szCs w:val="21"/>
          <w:highlight w:val="none"/>
          <w:lang w:val="en-US" w:eastAsia="zh-CN" w:bidi="ar-SA"/>
        </w:rPr>
        <w:t>3、材质要求详见图纸及图纸附件。</w:t>
      </w:r>
    </w:p>
    <w:p w14:paraId="6E089CF6">
      <w:pPr>
        <w:keepNext/>
        <w:keepLines/>
        <w:widowControl w:val="0"/>
        <w:spacing w:line="360" w:lineRule="auto"/>
        <w:ind w:firstLine="422" w:firstLineChars="200"/>
        <w:jc w:val="both"/>
        <w:outlineLvl w:val="1"/>
        <w:rPr>
          <w:rFonts w:hint="eastAsia" w:ascii="宋体" w:hAnsi="宋体" w:eastAsia="宋体" w:cs="Times New Roman"/>
          <w:b/>
          <w:bCs/>
          <w:kern w:val="0"/>
          <w:sz w:val="21"/>
          <w:szCs w:val="21"/>
          <w:highlight w:val="none"/>
          <w:lang w:val="en-US" w:eastAsia="zh-CN" w:bidi="ar-SA"/>
        </w:rPr>
      </w:pPr>
      <w:bookmarkStart w:id="68" w:name="_Toc27007"/>
      <w:bookmarkStart w:id="69" w:name="_Hlk112060207"/>
      <w:r>
        <w:rPr>
          <w:rFonts w:hint="eastAsia" w:ascii="宋体" w:hAnsi="宋体" w:eastAsia="宋体" w:cs="Times New Roman"/>
          <w:b/>
          <w:bCs/>
          <w:kern w:val="0"/>
          <w:sz w:val="21"/>
          <w:szCs w:val="21"/>
          <w:highlight w:val="none"/>
          <w:lang w:val="en-US" w:eastAsia="zh-CN" w:bidi="ar-SA"/>
        </w:rPr>
        <w:t>三、主要材料（设备）品牌推荐表</w:t>
      </w:r>
      <w:bookmarkEnd w:id="68"/>
    </w:p>
    <w:tbl>
      <w:tblPr>
        <w:tblStyle w:val="51"/>
        <w:tblW w:w="505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2"/>
        <w:gridCol w:w="3333"/>
        <w:gridCol w:w="3976"/>
        <w:gridCol w:w="1741"/>
      </w:tblGrid>
      <w:tr w14:paraId="28A6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407" w:type="pct"/>
            <w:tcBorders>
              <w:tl2br w:val="nil"/>
              <w:tr2bl w:val="nil"/>
            </w:tcBorders>
            <w:noWrap w:val="0"/>
            <w:vAlign w:val="center"/>
          </w:tcPr>
          <w:p w14:paraId="558973E2">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691" w:type="pct"/>
            <w:tcBorders>
              <w:tl2br w:val="nil"/>
              <w:tr2bl w:val="nil"/>
            </w:tcBorders>
            <w:noWrap w:val="0"/>
            <w:vAlign w:val="center"/>
          </w:tcPr>
          <w:p w14:paraId="5146687F">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材料（设备）名称</w:t>
            </w:r>
          </w:p>
        </w:tc>
        <w:tc>
          <w:tcPr>
            <w:tcW w:w="2017" w:type="pct"/>
            <w:tcBorders>
              <w:tl2br w:val="nil"/>
              <w:tr2bl w:val="nil"/>
            </w:tcBorders>
            <w:noWrap w:val="0"/>
            <w:vAlign w:val="center"/>
          </w:tcPr>
          <w:p w14:paraId="44EE9BA0">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采购人推荐生产厂或品牌</w:t>
            </w:r>
          </w:p>
        </w:tc>
        <w:tc>
          <w:tcPr>
            <w:tcW w:w="883" w:type="pct"/>
            <w:tcBorders>
              <w:tl2br w:val="nil"/>
              <w:tr2bl w:val="nil"/>
            </w:tcBorders>
            <w:noWrap w:val="0"/>
            <w:vAlign w:val="center"/>
          </w:tcPr>
          <w:p w14:paraId="3A4267D9">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备注及技术要求</w:t>
            </w:r>
          </w:p>
        </w:tc>
      </w:tr>
      <w:tr w14:paraId="77C0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53A13A06">
            <w:pPr>
              <w:pStyle w:val="301"/>
              <w:spacing w:before="133" w:beforeLines="0" w:afterLines="0"/>
              <w:jc w:val="center"/>
              <w:rPr>
                <w:rFonts w:hint="eastAsia" w:ascii="宋体" w:hAnsi="宋体" w:eastAsia="宋体" w:cs="宋体"/>
                <w:color w:val="auto"/>
                <w:kern w:val="0"/>
                <w:szCs w:val="21"/>
                <w:highlight w:val="none"/>
              </w:rPr>
            </w:pPr>
            <w:r>
              <w:rPr>
                <w:rFonts w:hint="eastAsia" w:ascii="宋体" w:hAnsi="宋体" w:eastAsia="宋体" w:cs="宋体"/>
                <w:sz w:val="21"/>
                <w:szCs w:val="21"/>
                <w:highlight w:val="none"/>
                <w:lang w:eastAsia="zh-CN"/>
              </w:rPr>
              <w:t>1</w:t>
            </w:r>
          </w:p>
        </w:tc>
        <w:tc>
          <w:tcPr>
            <w:tcW w:w="1691" w:type="pct"/>
            <w:tcBorders>
              <w:tl2br w:val="nil"/>
              <w:tr2bl w:val="nil"/>
            </w:tcBorders>
            <w:noWrap w:val="0"/>
            <w:vAlign w:val="center"/>
          </w:tcPr>
          <w:p w14:paraId="31D8DC5C">
            <w:pPr>
              <w:spacing w:beforeLines="0" w:afterLines="0"/>
              <w:jc w:val="center"/>
              <w:rPr>
                <w:rFonts w:hint="eastAsia" w:ascii="宋体" w:hAnsi="宋体" w:eastAsia="宋体" w:cs="宋体"/>
                <w:color w:val="auto"/>
                <w:kern w:val="0"/>
                <w:sz w:val="21"/>
                <w:szCs w:val="21"/>
                <w:highlight w:val="none"/>
              </w:rPr>
            </w:pPr>
            <w:r>
              <w:rPr>
                <w:rFonts w:hint="eastAsia" w:ascii="宋体" w:hAnsi="宋体" w:eastAsia="宋体" w:cs="宋体"/>
                <w:sz w:val="22"/>
                <w:szCs w:val="24"/>
              </w:rPr>
              <w:t>环氧树脂粉末</w:t>
            </w:r>
          </w:p>
        </w:tc>
        <w:tc>
          <w:tcPr>
            <w:tcW w:w="2017" w:type="pct"/>
            <w:tcBorders>
              <w:tl2br w:val="nil"/>
              <w:tr2bl w:val="nil"/>
            </w:tcBorders>
            <w:noWrap w:val="0"/>
            <w:vAlign w:val="center"/>
          </w:tcPr>
          <w:p w14:paraId="052C8549">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阿克苏诺贝尔、杜邦、老虎</w:t>
            </w:r>
            <w:r>
              <w:rPr>
                <w:rFonts w:hint="eastAsia" w:ascii="宋体" w:hAnsi="宋体" w:eastAsia="宋体" w:cs="宋体"/>
                <w:sz w:val="22"/>
                <w:szCs w:val="24"/>
                <w:lang w:val="en-US" w:eastAsia="zh-CN"/>
              </w:rPr>
              <w:t>或相当于</w:t>
            </w:r>
          </w:p>
        </w:tc>
        <w:tc>
          <w:tcPr>
            <w:tcW w:w="883" w:type="pct"/>
            <w:tcBorders>
              <w:tl2br w:val="nil"/>
              <w:tr2bl w:val="nil"/>
            </w:tcBorders>
            <w:noWrap w:val="0"/>
            <w:vAlign w:val="center"/>
          </w:tcPr>
          <w:p w14:paraId="55CC817A">
            <w:pPr>
              <w:widowControl/>
              <w:jc w:val="center"/>
              <w:rPr>
                <w:rFonts w:hint="eastAsia" w:ascii="宋体" w:hAnsi="宋体" w:eastAsia="宋体" w:cs="宋体"/>
                <w:color w:val="FF0000"/>
                <w:kern w:val="0"/>
                <w:szCs w:val="21"/>
                <w:highlight w:val="none"/>
              </w:rPr>
            </w:pPr>
          </w:p>
        </w:tc>
      </w:tr>
      <w:tr w14:paraId="3E8D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4AEB65D4">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2</w:t>
            </w:r>
          </w:p>
        </w:tc>
        <w:tc>
          <w:tcPr>
            <w:tcW w:w="1691" w:type="pct"/>
            <w:tcBorders>
              <w:tl2br w:val="nil"/>
              <w:tr2bl w:val="nil"/>
            </w:tcBorders>
            <w:noWrap w:val="0"/>
            <w:vAlign w:val="center"/>
          </w:tcPr>
          <w:p w14:paraId="1147CDD9">
            <w:pPr>
              <w:spacing w:beforeLines="0" w:afterLines="0"/>
              <w:jc w:val="center"/>
              <w:rPr>
                <w:rFonts w:hint="eastAsia" w:ascii="宋体" w:hAnsi="宋体" w:eastAsia="宋体" w:cs="宋体"/>
                <w:color w:val="auto"/>
                <w:kern w:val="0"/>
                <w:sz w:val="21"/>
                <w:szCs w:val="21"/>
                <w:highlight w:val="none"/>
              </w:rPr>
            </w:pPr>
            <w:r>
              <w:rPr>
                <w:rFonts w:hint="eastAsia" w:ascii="宋体" w:hAnsi="宋体" w:eastAsia="宋体" w:cs="宋体"/>
                <w:sz w:val="22"/>
                <w:szCs w:val="24"/>
              </w:rPr>
              <w:t>实验台面（理化板）</w:t>
            </w:r>
          </w:p>
        </w:tc>
        <w:tc>
          <w:tcPr>
            <w:tcW w:w="2017" w:type="pct"/>
            <w:tcBorders>
              <w:tl2br w:val="nil"/>
              <w:tr2bl w:val="nil"/>
            </w:tcBorders>
            <w:noWrap w:val="0"/>
            <w:vAlign w:val="center"/>
          </w:tcPr>
          <w:p w14:paraId="15FBB56E">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富美家、威盛亚、千思板或相当于</w:t>
            </w:r>
          </w:p>
        </w:tc>
        <w:tc>
          <w:tcPr>
            <w:tcW w:w="883" w:type="pct"/>
            <w:tcBorders>
              <w:tl2br w:val="nil"/>
              <w:tr2bl w:val="nil"/>
            </w:tcBorders>
            <w:noWrap w:val="0"/>
            <w:vAlign w:val="center"/>
          </w:tcPr>
          <w:p w14:paraId="66547618">
            <w:pPr>
              <w:widowControl/>
              <w:jc w:val="center"/>
              <w:rPr>
                <w:rFonts w:hint="eastAsia" w:ascii="宋体" w:hAnsi="宋体" w:eastAsia="宋体" w:cs="宋体"/>
                <w:color w:val="FF0000"/>
                <w:kern w:val="0"/>
                <w:szCs w:val="21"/>
                <w:highlight w:val="none"/>
              </w:rPr>
            </w:pPr>
          </w:p>
        </w:tc>
      </w:tr>
      <w:tr w14:paraId="6DCC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22D5AEEB">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3</w:t>
            </w:r>
          </w:p>
        </w:tc>
        <w:tc>
          <w:tcPr>
            <w:tcW w:w="1691" w:type="pct"/>
            <w:tcBorders>
              <w:tl2br w:val="nil"/>
              <w:tr2bl w:val="nil"/>
            </w:tcBorders>
            <w:noWrap w:val="0"/>
            <w:vAlign w:val="center"/>
          </w:tcPr>
          <w:p w14:paraId="5A040122">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通风柜台面（陶瓷）</w:t>
            </w:r>
          </w:p>
        </w:tc>
        <w:tc>
          <w:tcPr>
            <w:tcW w:w="2017" w:type="pct"/>
            <w:tcBorders>
              <w:tl2br w:val="nil"/>
              <w:tr2bl w:val="nil"/>
            </w:tcBorders>
            <w:noWrap w:val="0"/>
            <w:vAlign w:val="center"/>
          </w:tcPr>
          <w:p w14:paraId="16F6A1B2">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德胜、陶克、科恩或相当于</w:t>
            </w:r>
          </w:p>
        </w:tc>
        <w:tc>
          <w:tcPr>
            <w:tcW w:w="883" w:type="pct"/>
            <w:tcBorders>
              <w:tl2br w:val="nil"/>
              <w:tr2bl w:val="nil"/>
            </w:tcBorders>
            <w:noWrap w:val="0"/>
            <w:vAlign w:val="center"/>
          </w:tcPr>
          <w:p w14:paraId="0618E52D">
            <w:pPr>
              <w:widowControl/>
              <w:jc w:val="center"/>
              <w:rPr>
                <w:rFonts w:hint="eastAsia" w:ascii="宋体" w:hAnsi="宋体" w:eastAsia="宋体" w:cs="宋体"/>
                <w:color w:val="FF0000"/>
                <w:kern w:val="0"/>
                <w:szCs w:val="21"/>
                <w:highlight w:val="none"/>
              </w:rPr>
            </w:pPr>
          </w:p>
        </w:tc>
      </w:tr>
      <w:tr w14:paraId="1135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65777A77">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4</w:t>
            </w:r>
          </w:p>
        </w:tc>
        <w:tc>
          <w:tcPr>
            <w:tcW w:w="1691" w:type="pct"/>
            <w:tcBorders>
              <w:tl2br w:val="nil"/>
              <w:tr2bl w:val="nil"/>
            </w:tcBorders>
            <w:noWrap w:val="0"/>
            <w:vAlign w:val="center"/>
          </w:tcPr>
          <w:p w14:paraId="06A7FEBE">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杯槽及水配件</w:t>
            </w:r>
          </w:p>
        </w:tc>
        <w:tc>
          <w:tcPr>
            <w:tcW w:w="2017" w:type="pct"/>
            <w:tcBorders>
              <w:tl2br w:val="nil"/>
              <w:tr2bl w:val="nil"/>
            </w:tcBorders>
            <w:noWrap w:val="0"/>
            <w:vAlign w:val="center"/>
          </w:tcPr>
          <w:p w14:paraId="77704C37">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台雄、科恩、博朗或相当于</w:t>
            </w:r>
          </w:p>
        </w:tc>
        <w:tc>
          <w:tcPr>
            <w:tcW w:w="883" w:type="pct"/>
            <w:tcBorders>
              <w:tl2br w:val="nil"/>
              <w:tr2bl w:val="nil"/>
            </w:tcBorders>
            <w:noWrap w:val="0"/>
            <w:vAlign w:val="center"/>
          </w:tcPr>
          <w:p w14:paraId="008E5135">
            <w:pPr>
              <w:widowControl/>
              <w:jc w:val="center"/>
              <w:rPr>
                <w:rFonts w:hint="eastAsia" w:ascii="宋体" w:hAnsi="宋体" w:eastAsia="宋体" w:cs="宋体"/>
                <w:color w:val="FF0000"/>
                <w:kern w:val="0"/>
                <w:szCs w:val="21"/>
                <w:highlight w:val="none"/>
              </w:rPr>
            </w:pPr>
          </w:p>
        </w:tc>
      </w:tr>
      <w:tr w14:paraId="2D0F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5C61EA44">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5</w:t>
            </w:r>
          </w:p>
        </w:tc>
        <w:tc>
          <w:tcPr>
            <w:tcW w:w="1691" w:type="pct"/>
            <w:tcBorders>
              <w:tl2br w:val="nil"/>
              <w:tr2bl w:val="nil"/>
            </w:tcBorders>
            <w:noWrap w:val="0"/>
            <w:vAlign w:val="center"/>
          </w:tcPr>
          <w:p w14:paraId="53F64CCC">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插座</w:t>
            </w:r>
          </w:p>
        </w:tc>
        <w:tc>
          <w:tcPr>
            <w:tcW w:w="2017" w:type="pct"/>
            <w:tcBorders>
              <w:tl2br w:val="nil"/>
              <w:tr2bl w:val="nil"/>
            </w:tcBorders>
            <w:noWrap w:val="0"/>
            <w:vAlign w:val="center"/>
          </w:tcPr>
          <w:p w14:paraId="732C7E5F">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施耐德、西门子、ABB或相当于</w:t>
            </w:r>
          </w:p>
        </w:tc>
        <w:tc>
          <w:tcPr>
            <w:tcW w:w="883" w:type="pct"/>
            <w:tcBorders>
              <w:tl2br w:val="nil"/>
              <w:tr2bl w:val="nil"/>
            </w:tcBorders>
            <w:noWrap w:val="0"/>
            <w:vAlign w:val="center"/>
          </w:tcPr>
          <w:p w14:paraId="6F00AB91">
            <w:pPr>
              <w:widowControl/>
              <w:jc w:val="center"/>
              <w:rPr>
                <w:rFonts w:hint="eastAsia" w:ascii="宋体" w:hAnsi="宋体" w:eastAsia="宋体" w:cs="宋体"/>
                <w:color w:val="FF0000"/>
                <w:kern w:val="0"/>
                <w:szCs w:val="21"/>
                <w:highlight w:val="none"/>
              </w:rPr>
            </w:pPr>
          </w:p>
        </w:tc>
      </w:tr>
      <w:tr w14:paraId="42951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7CEFC831">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6</w:t>
            </w:r>
          </w:p>
        </w:tc>
        <w:tc>
          <w:tcPr>
            <w:tcW w:w="1691" w:type="pct"/>
            <w:tcBorders>
              <w:tl2br w:val="nil"/>
              <w:tr2bl w:val="nil"/>
            </w:tcBorders>
            <w:noWrap w:val="0"/>
            <w:vAlign w:val="center"/>
          </w:tcPr>
          <w:p w14:paraId="6B93AD0C">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变风量控制系统（含显示面板、调节门位移传感器、流量反馈型变风量蝶阀）</w:t>
            </w:r>
          </w:p>
        </w:tc>
        <w:tc>
          <w:tcPr>
            <w:tcW w:w="2017" w:type="pct"/>
            <w:tcBorders>
              <w:tl2br w:val="nil"/>
              <w:tr2bl w:val="nil"/>
            </w:tcBorders>
            <w:noWrap w:val="0"/>
            <w:vAlign w:val="center"/>
          </w:tcPr>
          <w:p w14:paraId="781E65FD">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妥思、埃松、提赛或相当于</w:t>
            </w:r>
          </w:p>
        </w:tc>
        <w:tc>
          <w:tcPr>
            <w:tcW w:w="883" w:type="pct"/>
            <w:tcBorders>
              <w:tl2br w:val="nil"/>
              <w:tr2bl w:val="nil"/>
            </w:tcBorders>
            <w:noWrap w:val="0"/>
            <w:vAlign w:val="center"/>
          </w:tcPr>
          <w:p w14:paraId="45B19769">
            <w:pPr>
              <w:widowControl/>
              <w:jc w:val="center"/>
              <w:rPr>
                <w:rFonts w:hint="eastAsia" w:ascii="宋体" w:hAnsi="宋体" w:eastAsia="宋体" w:cs="宋体"/>
                <w:color w:val="FF0000"/>
                <w:kern w:val="0"/>
                <w:szCs w:val="21"/>
                <w:highlight w:val="none"/>
              </w:rPr>
            </w:pPr>
          </w:p>
        </w:tc>
      </w:tr>
      <w:tr w14:paraId="71700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0710A3BC">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7</w:t>
            </w:r>
          </w:p>
        </w:tc>
        <w:tc>
          <w:tcPr>
            <w:tcW w:w="1691" w:type="pct"/>
            <w:tcBorders>
              <w:tl2br w:val="nil"/>
              <w:tr2bl w:val="nil"/>
            </w:tcBorders>
            <w:noWrap w:val="0"/>
            <w:vAlign w:val="center"/>
          </w:tcPr>
          <w:p w14:paraId="1B64F9E3">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玻璃钢离心排风机</w:t>
            </w:r>
          </w:p>
        </w:tc>
        <w:tc>
          <w:tcPr>
            <w:tcW w:w="2017" w:type="pct"/>
            <w:tcBorders>
              <w:tl2br w:val="nil"/>
              <w:tr2bl w:val="nil"/>
            </w:tcBorders>
            <w:noWrap w:val="0"/>
            <w:vAlign w:val="center"/>
          </w:tcPr>
          <w:p w14:paraId="33C5D11A">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顶裕、磐力、可瑞斯或相当于</w:t>
            </w:r>
          </w:p>
        </w:tc>
        <w:tc>
          <w:tcPr>
            <w:tcW w:w="883" w:type="pct"/>
            <w:tcBorders>
              <w:tl2br w:val="nil"/>
              <w:tr2bl w:val="nil"/>
            </w:tcBorders>
            <w:noWrap w:val="0"/>
            <w:vAlign w:val="center"/>
          </w:tcPr>
          <w:p w14:paraId="6EB84D9B">
            <w:pPr>
              <w:widowControl/>
              <w:jc w:val="center"/>
              <w:rPr>
                <w:rFonts w:hint="eastAsia" w:ascii="宋体" w:hAnsi="宋体" w:eastAsia="宋体" w:cs="宋体"/>
                <w:color w:val="FF0000"/>
                <w:kern w:val="0"/>
                <w:szCs w:val="21"/>
                <w:highlight w:val="none"/>
              </w:rPr>
            </w:pPr>
          </w:p>
        </w:tc>
      </w:tr>
      <w:tr w14:paraId="2E49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409555AC">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8</w:t>
            </w:r>
          </w:p>
        </w:tc>
        <w:tc>
          <w:tcPr>
            <w:tcW w:w="1691" w:type="pct"/>
            <w:tcBorders>
              <w:tl2br w:val="nil"/>
              <w:tr2bl w:val="nil"/>
            </w:tcBorders>
            <w:noWrap w:val="0"/>
            <w:vAlign w:val="center"/>
          </w:tcPr>
          <w:p w14:paraId="6502CFCF">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废气处理装置</w:t>
            </w:r>
          </w:p>
        </w:tc>
        <w:tc>
          <w:tcPr>
            <w:tcW w:w="2017" w:type="pct"/>
            <w:tcBorders>
              <w:tl2br w:val="nil"/>
              <w:tr2bl w:val="nil"/>
            </w:tcBorders>
            <w:noWrap w:val="0"/>
            <w:vAlign w:val="center"/>
          </w:tcPr>
          <w:p w14:paraId="7EFFD06C">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瑞雨斯、聚英、埃松或相当于</w:t>
            </w:r>
          </w:p>
        </w:tc>
        <w:tc>
          <w:tcPr>
            <w:tcW w:w="883" w:type="pct"/>
            <w:tcBorders>
              <w:tl2br w:val="nil"/>
              <w:tr2bl w:val="nil"/>
            </w:tcBorders>
            <w:noWrap w:val="0"/>
            <w:vAlign w:val="center"/>
          </w:tcPr>
          <w:p w14:paraId="766CDF33">
            <w:pPr>
              <w:widowControl/>
              <w:jc w:val="center"/>
              <w:rPr>
                <w:rFonts w:hint="eastAsia" w:ascii="宋体" w:hAnsi="宋体" w:eastAsia="宋体" w:cs="宋体"/>
                <w:color w:val="FF0000"/>
                <w:kern w:val="0"/>
                <w:szCs w:val="21"/>
                <w:highlight w:val="none"/>
              </w:rPr>
            </w:pPr>
          </w:p>
        </w:tc>
      </w:tr>
      <w:tr w14:paraId="677E1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6FA65355">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9</w:t>
            </w:r>
          </w:p>
        </w:tc>
        <w:tc>
          <w:tcPr>
            <w:tcW w:w="1691" w:type="pct"/>
            <w:tcBorders>
              <w:tl2br w:val="nil"/>
              <w:tr2bl w:val="nil"/>
            </w:tcBorders>
            <w:noWrap w:val="0"/>
            <w:vAlign w:val="center"/>
          </w:tcPr>
          <w:p w14:paraId="38033FCC">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电缆/电线</w:t>
            </w:r>
          </w:p>
        </w:tc>
        <w:tc>
          <w:tcPr>
            <w:tcW w:w="2017" w:type="pct"/>
            <w:tcBorders>
              <w:tl2br w:val="nil"/>
              <w:tr2bl w:val="nil"/>
            </w:tcBorders>
            <w:noWrap w:val="0"/>
            <w:vAlign w:val="center"/>
          </w:tcPr>
          <w:p w14:paraId="36F08740">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起帆、远东、宝胜或相当于</w:t>
            </w:r>
          </w:p>
        </w:tc>
        <w:tc>
          <w:tcPr>
            <w:tcW w:w="883" w:type="pct"/>
            <w:tcBorders>
              <w:tl2br w:val="nil"/>
              <w:tr2bl w:val="nil"/>
            </w:tcBorders>
            <w:noWrap w:val="0"/>
            <w:vAlign w:val="center"/>
          </w:tcPr>
          <w:p w14:paraId="30FD3172">
            <w:pPr>
              <w:widowControl/>
              <w:jc w:val="center"/>
              <w:rPr>
                <w:rFonts w:hint="eastAsia" w:ascii="宋体" w:hAnsi="宋体" w:eastAsia="宋体" w:cs="宋体"/>
                <w:color w:val="FF0000"/>
                <w:kern w:val="0"/>
                <w:szCs w:val="21"/>
                <w:highlight w:val="none"/>
              </w:rPr>
            </w:pPr>
          </w:p>
        </w:tc>
      </w:tr>
      <w:tr w14:paraId="709E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7" w:type="pct"/>
            <w:tcBorders>
              <w:tl2br w:val="nil"/>
              <w:tr2bl w:val="nil"/>
            </w:tcBorders>
            <w:noWrap w:val="0"/>
            <w:vAlign w:val="center"/>
          </w:tcPr>
          <w:p w14:paraId="3020B17A">
            <w:pPr>
              <w:pStyle w:val="301"/>
              <w:spacing w:before="105" w:beforeLines="0" w:afterLine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sz w:val="21"/>
                <w:szCs w:val="21"/>
                <w:highlight w:val="none"/>
                <w:lang w:eastAsia="zh-CN"/>
              </w:rPr>
              <w:t>10</w:t>
            </w:r>
          </w:p>
        </w:tc>
        <w:tc>
          <w:tcPr>
            <w:tcW w:w="1691" w:type="pct"/>
            <w:tcBorders>
              <w:tl2br w:val="nil"/>
              <w:tr2bl w:val="nil"/>
            </w:tcBorders>
            <w:noWrap w:val="0"/>
            <w:vAlign w:val="center"/>
          </w:tcPr>
          <w:p w14:paraId="05ACED3C">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全新风空调机组</w:t>
            </w:r>
          </w:p>
        </w:tc>
        <w:tc>
          <w:tcPr>
            <w:tcW w:w="2017" w:type="pct"/>
            <w:tcBorders>
              <w:tl2br w:val="nil"/>
              <w:tr2bl w:val="nil"/>
            </w:tcBorders>
            <w:noWrap w:val="0"/>
            <w:vAlign w:val="center"/>
          </w:tcPr>
          <w:p w14:paraId="2CB3494B">
            <w:pPr>
              <w:spacing w:beforeLines="0"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2"/>
                <w:szCs w:val="24"/>
              </w:rPr>
              <w:t>天加、盾安、维克或相当于</w:t>
            </w:r>
          </w:p>
        </w:tc>
        <w:tc>
          <w:tcPr>
            <w:tcW w:w="883" w:type="pct"/>
            <w:tcBorders>
              <w:tl2br w:val="nil"/>
              <w:tr2bl w:val="nil"/>
            </w:tcBorders>
            <w:noWrap w:val="0"/>
            <w:vAlign w:val="center"/>
          </w:tcPr>
          <w:p w14:paraId="237E60DA">
            <w:pPr>
              <w:widowControl/>
              <w:jc w:val="center"/>
              <w:rPr>
                <w:rFonts w:hint="eastAsia" w:ascii="宋体" w:hAnsi="宋体" w:eastAsia="宋体" w:cs="宋体"/>
                <w:color w:val="FF0000"/>
                <w:kern w:val="0"/>
                <w:szCs w:val="21"/>
                <w:highlight w:val="none"/>
              </w:rPr>
            </w:pPr>
          </w:p>
        </w:tc>
      </w:tr>
      <w:bookmarkEnd w:id="69"/>
    </w:tbl>
    <w:p w14:paraId="7350D21D">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70" w:name="_Toc191"/>
      <w:bookmarkStart w:id="71" w:name="_Toc172"/>
      <w:bookmarkStart w:id="72" w:name="_Toc9773"/>
      <w:r>
        <w:rPr>
          <w:rFonts w:hint="eastAsia" w:ascii="宋体" w:hAnsi="宋体" w:eastAsia="宋体" w:cs="Times New Roman"/>
          <w:b/>
          <w:bCs/>
          <w:kern w:val="0"/>
          <w:sz w:val="21"/>
          <w:szCs w:val="21"/>
          <w:highlight w:val="none"/>
          <w:lang w:val="en-US" w:eastAsia="zh-CN" w:bidi="ar-SA"/>
        </w:rPr>
        <w:t>四、采购人对工程管理的要求</w:t>
      </w:r>
      <w:bookmarkEnd w:id="70"/>
      <w:bookmarkEnd w:id="71"/>
      <w:bookmarkEnd w:id="72"/>
    </w:p>
    <w:p w14:paraId="201EA22E">
      <w:pPr>
        <w:widowControl w:val="0"/>
        <w:spacing w:line="360" w:lineRule="auto"/>
        <w:ind w:firstLine="48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1、本工程发包范围内的工程项目，不得转包，未经采购人同意一律不得分包。一经发现立即取消承包资格，作违约处理，并承担由此引起的一切经济损失。</w:t>
      </w:r>
    </w:p>
    <w:p w14:paraId="7506D904">
      <w:pPr>
        <w:widowControl w:val="0"/>
        <w:spacing w:line="360" w:lineRule="auto"/>
        <w:ind w:firstLine="48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2、供应商应严格按磋商文件和已确认的施工技术方案组织施工，并无条件地接受采购人或其委托的监理单位（如有）对施工质量、进度、安全、投资的监督和管理。</w:t>
      </w:r>
    </w:p>
    <w:p w14:paraId="7A7D213C">
      <w:pPr>
        <w:widowControl w:val="0"/>
        <w:spacing w:line="360" w:lineRule="auto"/>
        <w:ind w:firstLine="48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3、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43B6B20D">
      <w:pPr>
        <w:widowControl w:val="0"/>
        <w:spacing w:line="360" w:lineRule="auto"/>
        <w:ind w:firstLine="480"/>
        <w:jc w:val="both"/>
        <w:rPr>
          <w:rFonts w:hint="eastAsia" w:ascii="宋体" w:hAnsi="宋体" w:eastAsia="宋体" w:cs="仿宋"/>
          <w:kern w:val="2"/>
          <w:sz w:val="21"/>
          <w:szCs w:val="21"/>
          <w:highlight w:val="none"/>
          <w:lang w:val="en-US" w:eastAsia="zh-CN" w:bidi="ar-SA"/>
        </w:rPr>
      </w:pPr>
      <w:r>
        <w:rPr>
          <w:rFonts w:hint="eastAsia" w:ascii="宋体" w:hAnsi="宋体" w:cs="仿宋"/>
          <w:kern w:val="2"/>
          <w:sz w:val="21"/>
          <w:szCs w:val="21"/>
          <w:highlight w:val="none"/>
          <w:lang w:val="en-US" w:eastAsia="zh-CN" w:bidi="ar-SA"/>
        </w:rPr>
        <w:t>4、</w:t>
      </w:r>
      <w:r>
        <w:rPr>
          <w:rFonts w:hint="eastAsia" w:ascii="宋体" w:hAnsi="宋体" w:eastAsia="宋体" w:cs="仿宋"/>
          <w:kern w:val="2"/>
          <w:sz w:val="21"/>
          <w:szCs w:val="21"/>
          <w:highlight w:val="none"/>
          <w:lang w:val="en-US" w:eastAsia="zh-CN" w:bidi="ar-SA"/>
        </w:rPr>
        <w:t>在施工期间，成交供应商必须注意院内人员安全，加强安全措施，并对施工人员进行安全教育。施工人员必须持证上岗。因采购人工作的特殊性，要求中标供应商在施工中做到封闭性施工。</w:t>
      </w:r>
    </w:p>
    <w:p w14:paraId="47CD7878">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73" w:name="_Toc29730"/>
      <w:bookmarkStart w:id="74" w:name="_Toc16795"/>
      <w:bookmarkStart w:id="75" w:name="_Toc15114"/>
      <w:r>
        <w:rPr>
          <w:rFonts w:hint="eastAsia" w:ascii="宋体" w:hAnsi="宋体" w:eastAsia="宋体" w:cs="Times New Roman"/>
          <w:b/>
          <w:bCs/>
          <w:kern w:val="0"/>
          <w:sz w:val="21"/>
          <w:szCs w:val="21"/>
          <w:highlight w:val="none"/>
          <w:lang w:val="en-US" w:eastAsia="zh-CN" w:bidi="ar-SA"/>
        </w:rPr>
        <w:t>五、质保要求</w:t>
      </w:r>
      <w:bookmarkEnd w:id="63"/>
      <w:bookmarkEnd w:id="73"/>
      <w:bookmarkEnd w:id="74"/>
      <w:bookmarkEnd w:id="75"/>
    </w:p>
    <w:p w14:paraId="595439CF">
      <w:pPr>
        <w:widowControl w:val="0"/>
        <w:spacing w:line="360" w:lineRule="auto"/>
        <w:ind w:firstLine="480"/>
        <w:jc w:val="both"/>
        <w:rPr>
          <w:rFonts w:hint="eastAsia" w:ascii="宋体" w:hAnsi="宋体" w:eastAsia="宋体" w:cs="仿宋"/>
          <w:kern w:val="2"/>
          <w:sz w:val="21"/>
          <w:szCs w:val="21"/>
          <w:highlight w:val="none"/>
          <w:lang w:val="en-US" w:eastAsia="zh-CN" w:bidi="ar-SA"/>
        </w:rPr>
      </w:pPr>
      <w:r>
        <w:rPr>
          <w:rFonts w:hint="eastAsia" w:ascii="宋体" w:hAnsi="宋体" w:eastAsia="宋体" w:cs="仿宋"/>
          <w:kern w:val="2"/>
          <w:sz w:val="21"/>
          <w:szCs w:val="21"/>
          <w:highlight w:val="none"/>
          <w:lang w:val="en-US" w:eastAsia="zh-CN" w:bidi="ar-SA"/>
        </w:rPr>
        <w:t>▲供应商在质量保修期内对质量缺陷进行保修，并承担保修费用，质量保修期从工程竣工验收合格之日起计算不少于2年。质保期后遇到设备故障，</w:t>
      </w:r>
      <w:r>
        <w:rPr>
          <w:rFonts w:hint="eastAsia" w:ascii="宋体" w:hAnsi="宋体" w:cs="仿宋"/>
          <w:kern w:val="2"/>
          <w:sz w:val="21"/>
          <w:szCs w:val="21"/>
          <w:highlight w:val="none"/>
          <w:lang w:val="en-US" w:eastAsia="zh-CN" w:bidi="ar-SA"/>
        </w:rPr>
        <w:t>供应商</w:t>
      </w:r>
      <w:r>
        <w:rPr>
          <w:rFonts w:hint="eastAsia" w:ascii="宋体" w:hAnsi="宋体" w:eastAsia="宋体" w:cs="仿宋"/>
          <w:kern w:val="2"/>
          <w:sz w:val="21"/>
          <w:szCs w:val="21"/>
          <w:highlight w:val="none"/>
          <w:lang w:val="en-US" w:eastAsia="zh-CN" w:bidi="ar-SA"/>
        </w:rPr>
        <w:t>接到用户通知后24小时现场相应，72小时排除故障。确因故障复杂无法在规定时间排的，需提供备品供用户免费试用，直至原有设备故障排除</w:t>
      </w:r>
    </w:p>
    <w:p w14:paraId="73FA655E">
      <w:pPr>
        <w:keepNext/>
        <w:keepLines/>
        <w:widowControl w:val="0"/>
        <w:spacing w:line="360" w:lineRule="auto"/>
        <w:ind w:firstLine="422" w:firstLineChars="200"/>
        <w:jc w:val="both"/>
        <w:outlineLvl w:val="1"/>
        <w:rPr>
          <w:rFonts w:hint="eastAsia" w:ascii="宋体" w:hAnsi="宋体" w:eastAsia="宋体" w:cs="Times New Roman"/>
          <w:b/>
          <w:bCs/>
          <w:kern w:val="0"/>
          <w:sz w:val="21"/>
          <w:szCs w:val="21"/>
          <w:highlight w:val="none"/>
          <w:lang w:val="en-US" w:eastAsia="zh-CN" w:bidi="ar-SA"/>
        </w:rPr>
      </w:pPr>
      <w:bookmarkStart w:id="76" w:name="_Toc23682"/>
      <w:r>
        <w:rPr>
          <w:rFonts w:hint="eastAsia" w:ascii="宋体" w:hAnsi="宋体" w:eastAsia="宋体" w:cs="Times New Roman"/>
          <w:b/>
          <w:bCs/>
          <w:kern w:val="0"/>
          <w:sz w:val="21"/>
          <w:szCs w:val="21"/>
          <w:highlight w:val="none"/>
          <w:lang w:val="en-US" w:eastAsia="zh-CN" w:bidi="ar-SA"/>
        </w:rPr>
        <w:t>六、履约保证金</w:t>
      </w:r>
      <w:bookmarkEnd w:id="76"/>
    </w:p>
    <w:p w14:paraId="0090D7A3">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成交金额的2%作为履约保证金，合同签订后七个工作日内由成交供应商支付给采购人，待工程竣工验收合格并交付采购人使用后退回成交供应商（遇寒暑假及国定假日顺延）。</w:t>
      </w:r>
    </w:p>
    <w:p w14:paraId="53B622F4">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77" w:name="_Toc20986"/>
      <w:r>
        <w:rPr>
          <w:rFonts w:hint="eastAsia" w:ascii="宋体" w:hAnsi="宋体" w:eastAsia="宋体" w:cs="Times New Roman"/>
          <w:b/>
          <w:bCs/>
          <w:kern w:val="0"/>
          <w:sz w:val="21"/>
          <w:szCs w:val="21"/>
          <w:highlight w:val="none"/>
          <w:lang w:val="en-US" w:eastAsia="zh-CN" w:bidi="ar-SA"/>
        </w:rPr>
        <w:t>七、付款方式</w:t>
      </w:r>
      <w:bookmarkEnd w:id="77"/>
    </w:p>
    <w:p w14:paraId="381A3E5B">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1.成交供应商提交履约保证金和正规发票后，采购人向成交供应商支付本合同暂定总价的40%作为预付款。</w:t>
      </w:r>
    </w:p>
    <w:p w14:paraId="55AE1397">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00B86944">
      <w:pPr>
        <w:keepNext/>
        <w:keepLines/>
        <w:widowControl w:val="0"/>
        <w:spacing w:line="360" w:lineRule="auto"/>
        <w:ind w:firstLine="422" w:firstLineChars="200"/>
        <w:jc w:val="both"/>
        <w:outlineLvl w:val="1"/>
        <w:rPr>
          <w:rFonts w:ascii="宋体" w:hAnsi="宋体" w:eastAsia="宋体" w:cs="Times New Roman"/>
          <w:b/>
          <w:bCs/>
          <w:kern w:val="0"/>
          <w:sz w:val="21"/>
          <w:szCs w:val="21"/>
          <w:highlight w:val="none"/>
          <w:lang w:val="en-US" w:eastAsia="zh-CN" w:bidi="ar-SA"/>
        </w:rPr>
      </w:pPr>
      <w:bookmarkStart w:id="78" w:name="_Toc9508"/>
      <w:bookmarkStart w:id="79" w:name="_Toc7318"/>
      <w:bookmarkStart w:id="80" w:name="_Toc17208"/>
      <w:r>
        <w:rPr>
          <w:rFonts w:hint="eastAsia" w:ascii="宋体" w:hAnsi="宋体" w:eastAsia="宋体" w:cs="Times New Roman"/>
          <w:b/>
          <w:bCs/>
          <w:kern w:val="0"/>
          <w:sz w:val="21"/>
          <w:szCs w:val="21"/>
          <w:highlight w:val="none"/>
          <w:lang w:val="en-US" w:eastAsia="zh-CN" w:bidi="ar-SA"/>
        </w:rPr>
        <w:t>八、民事责任</w:t>
      </w:r>
      <w:bookmarkEnd w:id="78"/>
      <w:bookmarkEnd w:id="79"/>
      <w:bookmarkEnd w:id="80"/>
    </w:p>
    <w:p w14:paraId="507F61A4">
      <w:pPr>
        <w:autoSpaceDE w:val="0"/>
        <w:autoSpaceDN w:val="0"/>
        <w:adjustRightInd w:val="0"/>
        <w:snapToGrid w:val="0"/>
        <w:spacing w:line="360" w:lineRule="auto"/>
        <w:ind w:firstLine="482"/>
        <w:jc w:val="left"/>
        <w:rPr>
          <w:rFonts w:ascii="宋体" w:hAnsi="宋体" w:eastAsia="宋体" w:cs="仿宋"/>
          <w:szCs w:val="21"/>
          <w:highlight w:val="none"/>
        </w:rPr>
      </w:pPr>
      <w:r>
        <w:rPr>
          <w:rFonts w:hint="eastAsia" w:ascii="宋体" w:hAnsi="宋体" w:eastAsia="宋体" w:cs="仿宋"/>
          <w:szCs w:val="21"/>
          <w:highlight w:val="none"/>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71A5FD5B">
      <w:pPr>
        <w:autoSpaceDE w:val="0"/>
        <w:autoSpaceDN w:val="0"/>
        <w:adjustRightInd w:val="0"/>
        <w:snapToGrid w:val="0"/>
        <w:spacing w:line="360" w:lineRule="auto"/>
        <w:ind w:firstLine="482"/>
        <w:jc w:val="left"/>
        <w:rPr>
          <w:rFonts w:ascii="宋体" w:hAnsi="宋体" w:eastAsia="宋体" w:cs="仿宋"/>
          <w:szCs w:val="21"/>
          <w:highlight w:val="none"/>
        </w:rPr>
      </w:pPr>
      <w:r>
        <w:rPr>
          <w:rFonts w:hint="eastAsia" w:ascii="宋体" w:hAnsi="宋体" w:eastAsia="宋体" w:cs="仿宋"/>
          <w:szCs w:val="21"/>
          <w:highlight w:val="none"/>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16295FA8">
      <w:pPr>
        <w:autoSpaceDE w:val="0"/>
        <w:autoSpaceDN w:val="0"/>
        <w:adjustRightInd w:val="0"/>
        <w:snapToGrid w:val="0"/>
        <w:spacing w:line="360" w:lineRule="auto"/>
        <w:ind w:firstLine="482"/>
        <w:jc w:val="left"/>
        <w:rPr>
          <w:rFonts w:hint="eastAsia" w:ascii="宋体" w:hAnsi="宋体" w:eastAsia="宋体" w:cs="仿宋"/>
          <w:szCs w:val="21"/>
          <w:highlight w:val="none"/>
        </w:rPr>
      </w:pPr>
      <w:r>
        <w:rPr>
          <w:rFonts w:hint="eastAsia" w:ascii="宋体" w:hAnsi="宋体" w:eastAsia="宋体" w:cs="仿宋"/>
          <w:szCs w:val="21"/>
          <w:highlight w:val="none"/>
        </w:rPr>
        <w:t>（</w:t>
      </w:r>
      <w:r>
        <w:rPr>
          <w:rFonts w:ascii="宋体" w:hAnsi="宋体" w:eastAsia="宋体" w:cs="仿宋"/>
          <w:szCs w:val="21"/>
          <w:highlight w:val="none"/>
        </w:rPr>
        <w:t>3</w:t>
      </w:r>
      <w:r>
        <w:rPr>
          <w:rFonts w:hint="eastAsia" w:ascii="宋体" w:hAnsi="宋体" w:eastAsia="宋体" w:cs="仿宋"/>
          <w:szCs w:val="21"/>
          <w:highlight w:val="none"/>
        </w:rPr>
        <w:t>）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FF5A120">
      <w:pPr>
        <w:keepNext/>
        <w:keepLines/>
        <w:widowControl w:val="0"/>
        <w:spacing w:line="360" w:lineRule="auto"/>
        <w:ind w:firstLine="422" w:firstLineChars="200"/>
        <w:jc w:val="both"/>
        <w:outlineLvl w:val="1"/>
        <w:rPr>
          <w:rFonts w:hint="eastAsia" w:ascii="宋体" w:hAnsi="宋体" w:eastAsia="宋体" w:cs="Times New Roman"/>
          <w:b/>
          <w:bCs/>
          <w:kern w:val="0"/>
          <w:sz w:val="21"/>
          <w:szCs w:val="21"/>
          <w:highlight w:val="none"/>
          <w:lang w:val="en-US" w:eastAsia="zh-CN" w:bidi="ar-SA"/>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r>
        <w:rPr>
          <w:rFonts w:hint="eastAsia" w:ascii="宋体" w:hAnsi="宋体" w:eastAsia="宋体" w:cs="Times New Roman"/>
          <w:b/>
          <w:bCs/>
          <w:kern w:val="0"/>
          <w:sz w:val="21"/>
          <w:szCs w:val="21"/>
          <w:highlight w:val="none"/>
          <w:lang w:val="en-US" w:eastAsia="zh-CN" w:bidi="ar-SA"/>
        </w:rPr>
        <w:t>九、工程量清单（后附）</w:t>
      </w:r>
      <w:bookmarkEnd w:id="64"/>
      <w:bookmarkEnd w:id="65"/>
      <w:bookmarkEnd w:id="66"/>
      <w:bookmarkEnd w:id="67"/>
    </w:p>
    <w:p w14:paraId="29101057">
      <w:pPr>
        <w:pStyle w:val="2"/>
        <w:autoSpaceDN w:val="0"/>
        <w:spacing w:before="240"/>
        <w:rPr>
          <w:rFonts w:hint="eastAsia" w:ascii="宋体" w:hAnsi="宋体" w:eastAsia="宋体" w:cs="宋体"/>
          <w:bCs/>
          <w:kern w:val="44"/>
          <w:sz w:val="44"/>
          <w:szCs w:val="44"/>
          <w:highlight w:val="none"/>
        </w:rPr>
      </w:pPr>
      <w:bookmarkStart w:id="81" w:name="_Toc2810"/>
      <w:r>
        <w:rPr>
          <w:rFonts w:hint="eastAsia" w:ascii="宋体" w:hAnsi="宋体" w:eastAsia="宋体" w:cs="宋体"/>
          <w:bCs/>
          <w:kern w:val="44"/>
          <w:sz w:val="44"/>
          <w:szCs w:val="44"/>
          <w:highlight w:val="none"/>
        </w:rPr>
        <w:t>第五章  合同</w:t>
      </w:r>
      <w:bookmarkEnd w:id="37"/>
      <w:bookmarkEnd w:id="38"/>
      <w:bookmarkEnd w:id="39"/>
      <w:bookmarkEnd w:id="81"/>
    </w:p>
    <w:p w14:paraId="3040F9FC">
      <w:pPr>
        <w:pStyle w:val="3"/>
        <w:autoSpaceDN w:val="0"/>
        <w:spacing w:before="360"/>
        <w:ind w:firstLine="281" w:firstLineChars="100"/>
        <w:jc w:val="center"/>
        <w:rPr>
          <w:rFonts w:hint="eastAsia" w:ascii="宋体" w:hAnsi="宋体" w:eastAsia="宋体" w:cs="宋体"/>
          <w:b/>
          <w:sz w:val="28"/>
          <w:szCs w:val="28"/>
          <w:highlight w:val="none"/>
        </w:rPr>
      </w:pPr>
      <w:bookmarkStart w:id="82" w:name="_Toc1459"/>
      <w:bookmarkStart w:id="83" w:name="_Toc5550"/>
      <w:bookmarkStart w:id="84" w:name="_Toc30675"/>
      <w:bookmarkStart w:id="85" w:name="_Toc3509"/>
      <w:r>
        <w:rPr>
          <w:rFonts w:hint="eastAsia" w:ascii="宋体" w:hAnsi="宋体" w:eastAsia="宋体" w:cs="宋体"/>
          <w:b/>
          <w:sz w:val="28"/>
          <w:szCs w:val="28"/>
          <w:highlight w:val="none"/>
        </w:rPr>
        <w:t>（以最终签订为准）</w:t>
      </w:r>
      <w:bookmarkEnd w:id="82"/>
      <w:bookmarkEnd w:id="83"/>
      <w:bookmarkEnd w:id="84"/>
      <w:bookmarkEnd w:id="85"/>
    </w:p>
    <w:p w14:paraId="5364652D">
      <w:pPr>
        <w:widowControl w:val="0"/>
        <w:spacing w:line="360" w:lineRule="auto"/>
        <w:ind w:firstLine="480" w:firstLineChars="200"/>
        <w:jc w:val="both"/>
        <w:rPr>
          <w:rFonts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使用住房城乡建设部、国家工商行政管理总局制定的《建设工程施工合同（示范文本）》（GF-2017-0201）。</w:t>
      </w:r>
    </w:p>
    <w:p w14:paraId="46654061">
      <w:pPr>
        <w:spacing w:line="360" w:lineRule="auto"/>
        <w:jc w:val="center"/>
        <w:outlineLvl w:val="1"/>
        <w:rPr>
          <w:rFonts w:hint="eastAsia" w:ascii="宋体" w:hAnsi="宋体" w:cs="Times New Roman"/>
          <w:b/>
          <w:sz w:val="28"/>
          <w:highlight w:val="none"/>
        </w:rPr>
      </w:pPr>
      <w:bookmarkStart w:id="86" w:name="_Toc19942"/>
      <w:bookmarkStart w:id="87" w:name="_Toc9906"/>
      <w:bookmarkStart w:id="88" w:name="_Toc14917"/>
      <w:bookmarkStart w:id="89" w:name="_Toc2472"/>
      <w:bookmarkStart w:id="90" w:name="_Toc16202"/>
      <w:bookmarkStart w:id="91" w:name="_Toc23993"/>
      <w:bookmarkStart w:id="92" w:name="_Toc13285"/>
      <w:bookmarkStart w:id="93" w:name="_Toc26844"/>
      <w:bookmarkStart w:id="94" w:name="_Toc29132"/>
      <w:r>
        <w:rPr>
          <w:rFonts w:hint="eastAsia" w:ascii="宋体" w:hAnsi="宋体" w:cs="Times New Roman"/>
          <w:b/>
          <w:sz w:val="28"/>
          <w:highlight w:val="none"/>
          <w:lang w:eastAsia="zh-CN"/>
        </w:rPr>
        <w:t>浙江中医药大学Ivan Psakhye教授实验室改造项目</w:t>
      </w:r>
      <w:r>
        <w:rPr>
          <w:rFonts w:hint="eastAsia" w:ascii="宋体" w:hAnsi="宋体" w:cs="Times New Roman"/>
          <w:b/>
          <w:sz w:val="28"/>
          <w:highlight w:val="none"/>
        </w:rPr>
        <w:t>合同</w:t>
      </w:r>
      <w:bookmarkEnd w:id="86"/>
      <w:bookmarkEnd w:id="87"/>
      <w:bookmarkEnd w:id="88"/>
    </w:p>
    <w:p w14:paraId="356AF585">
      <w:pPr>
        <w:spacing w:line="360" w:lineRule="auto"/>
        <w:jc w:val="center"/>
        <w:outlineLvl w:val="1"/>
        <w:rPr>
          <w:rFonts w:ascii="宋体" w:hAnsi="宋体" w:cs="Times New Roman"/>
          <w:b/>
          <w:sz w:val="28"/>
          <w:highlight w:val="none"/>
        </w:rPr>
      </w:pPr>
      <w:bookmarkStart w:id="95" w:name="_Toc7494"/>
      <w:r>
        <w:rPr>
          <w:rFonts w:ascii="宋体" w:hAnsi="宋体" w:cs="Times New Roman"/>
          <w:b/>
          <w:sz w:val="28"/>
          <w:highlight w:val="none"/>
        </w:rPr>
        <w:t xml:space="preserve">第一部分 </w:t>
      </w:r>
      <w:r>
        <w:rPr>
          <w:rFonts w:hint="eastAsia" w:ascii="宋体" w:hAnsi="宋体" w:cs="Times New Roman"/>
          <w:b/>
          <w:sz w:val="28"/>
          <w:highlight w:val="none"/>
        </w:rPr>
        <w:t>合同</w:t>
      </w:r>
      <w:r>
        <w:rPr>
          <w:rFonts w:ascii="宋体" w:hAnsi="宋体" w:cs="Times New Roman"/>
          <w:b/>
          <w:sz w:val="28"/>
          <w:highlight w:val="none"/>
        </w:rPr>
        <w:t>协议书</w:t>
      </w:r>
      <w:bookmarkEnd w:id="89"/>
      <w:bookmarkEnd w:id="90"/>
      <w:bookmarkEnd w:id="91"/>
      <w:bookmarkEnd w:id="92"/>
      <w:bookmarkEnd w:id="93"/>
      <w:bookmarkEnd w:id="94"/>
      <w:bookmarkEnd w:id="95"/>
    </w:p>
    <w:p w14:paraId="6763DCBC">
      <w:pPr>
        <w:spacing w:line="360" w:lineRule="auto"/>
        <w:rPr>
          <w:rFonts w:hint="eastAsia" w:ascii="宋体" w:hAnsi="宋体" w:eastAsia="宋体" w:cs="Times New Roman"/>
          <w:b/>
          <w:highlight w:val="none"/>
          <w:lang w:eastAsia="zh-CN"/>
        </w:rPr>
      </w:pPr>
      <w:bookmarkStart w:id="96" w:name="_Hlk70081597"/>
      <w:bookmarkStart w:id="97" w:name="_Hlk62322485"/>
      <w:r>
        <w:rPr>
          <w:rFonts w:hint="eastAsia" w:ascii="宋体" w:hAnsi="宋体" w:cs="Times New Roman"/>
          <w:b/>
          <w:highlight w:val="none"/>
        </w:rPr>
        <w:t>项目编号：</w:t>
      </w:r>
      <w:r>
        <w:rPr>
          <w:rFonts w:hint="eastAsia" w:ascii="宋体" w:hAnsi="宋体" w:cs="Times New Roman"/>
          <w:b/>
          <w:highlight w:val="none"/>
          <w:lang w:eastAsia="zh-CN"/>
        </w:rPr>
        <w:t>CTZB-2025070039</w:t>
      </w:r>
    </w:p>
    <w:p w14:paraId="13124E3F">
      <w:pPr>
        <w:spacing w:line="360" w:lineRule="auto"/>
        <w:rPr>
          <w:rFonts w:ascii="宋体" w:hAnsi="宋体" w:cs="Times New Roman"/>
          <w:b/>
          <w:highlight w:val="none"/>
        </w:rPr>
      </w:pPr>
      <w:r>
        <w:rPr>
          <w:rFonts w:hint="eastAsia" w:ascii="宋体" w:hAnsi="宋体" w:cs="Times New Roman"/>
          <w:b/>
          <w:highlight w:val="none"/>
        </w:rPr>
        <w:t xml:space="preserve">确认书编号：  </w:t>
      </w:r>
    </w:p>
    <w:p w14:paraId="05D98C58">
      <w:pPr>
        <w:spacing w:line="360" w:lineRule="auto"/>
        <w:rPr>
          <w:rFonts w:ascii="宋体" w:hAnsi="宋体" w:cs="Times New Roman"/>
          <w:b/>
          <w:highlight w:val="none"/>
          <w:u w:val="single"/>
        </w:rPr>
      </w:pPr>
      <w:r>
        <w:rPr>
          <w:rFonts w:hint="eastAsia" w:ascii="宋体" w:hAnsi="宋体" w:cs="Times New Roman"/>
          <w:b/>
          <w:highlight w:val="none"/>
        </w:rPr>
        <w:t>发包人（全称）：</w:t>
      </w:r>
      <w:r>
        <w:rPr>
          <w:rFonts w:hint="eastAsia" w:ascii="宋体" w:hAnsi="宋体" w:cs="Times New Roman"/>
          <w:b/>
          <w:highlight w:val="none"/>
          <w:u w:val="single"/>
        </w:rPr>
        <w:t>浙江中医药大学</w:t>
      </w:r>
    </w:p>
    <w:p w14:paraId="29947509">
      <w:pPr>
        <w:spacing w:line="360" w:lineRule="auto"/>
        <w:rPr>
          <w:rFonts w:ascii="宋体" w:hAnsi="宋体" w:cs="Times New Roman"/>
          <w:b/>
          <w:highlight w:val="none"/>
          <w:u w:val="single"/>
        </w:rPr>
      </w:pPr>
      <w:r>
        <w:rPr>
          <w:rFonts w:hint="eastAsia" w:ascii="宋体" w:hAnsi="宋体" w:cs="Times New Roman"/>
          <w:b/>
          <w:highlight w:val="none"/>
        </w:rPr>
        <w:t>承包人（全称）：</w:t>
      </w:r>
      <w:bookmarkStart w:id="98" w:name="_Hlk106098821"/>
      <w:r>
        <w:rPr>
          <w:rFonts w:hint="eastAsia" w:ascii="宋体" w:hAnsi="宋体" w:cs="宋体"/>
          <w:b/>
          <w:szCs w:val="21"/>
          <w:highlight w:val="none"/>
          <w:u w:val="single"/>
        </w:rPr>
        <w:t xml:space="preserve"> </w:t>
      </w:r>
      <w:r>
        <w:rPr>
          <w:rFonts w:ascii="宋体" w:hAnsi="宋体" w:cs="宋体"/>
          <w:b/>
          <w:szCs w:val="21"/>
          <w:highlight w:val="none"/>
          <w:u w:val="single"/>
        </w:rPr>
        <w:t xml:space="preserve">           </w:t>
      </w:r>
      <w:r>
        <w:rPr>
          <w:rFonts w:hint="eastAsia" w:ascii="宋体" w:hAnsi="宋体" w:cs="Times New Roman"/>
          <w:b/>
          <w:highlight w:val="none"/>
          <w:u w:val="single"/>
        </w:rPr>
        <w:t xml:space="preserve"> </w:t>
      </w:r>
      <w:bookmarkEnd w:id="98"/>
      <w:r>
        <w:rPr>
          <w:rFonts w:hint="eastAsia" w:ascii="宋体" w:hAnsi="宋体" w:cs="Times New Roman"/>
          <w:b/>
          <w:highlight w:val="none"/>
          <w:u w:val="single"/>
        </w:rPr>
        <w:t xml:space="preserve"> </w:t>
      </w:r>
    </w:p>
    <w:p w14:paraId="26894975">
      <w:pPr>
        <w:shd w:val="clear" w:color="auto" w:fill="FFFFFF"/>
        <w:snapToGrid w:val="0"/>
        <w:spacing w:line="360" w:lineRule="auto"/>
        <w:ind w:firstLine="420"/>
        <w:rPr>
          <w:rFonts w:ascii="宋体" w:hAnsi="宋体" w:cs="Times New Roman"/>
          <w:highlight w:val="none"/>
          <w:shd w:val="clear" w:color="auto" w:fill="FFFFFF"/>
        </w:rPr>
      </w:pPr>
    </w:p>
    <w:p w14:paraId="2B13B137">
      <w:pPr>
        <w:shd w:val="clear" w:color="auto" w:fill="FFFFFF"/>
        <w:snapToGrid w:val="0"/>
        <w:spacing w:line="360" w:lineRule="auto"/>
        <w:ind w:firstLine="420"/>
        <w:rPr>
          <w:rFonts w:ascii="宋体" w:hAnsi="宋体" w:cs="Times New Roman"/>
          <w:b/>
          <w:kern w:val="0"/>
          <w:highlight w:val="none"/>
          <w:shd w:val="clear" w:color="auto" w:fill="FFFFFF"/>
        </w:rPr>
      </w:pPr>
      <w:r>
        <w:rPr>
          <w:rFonts w:hint="eastAsia" w:ascii="宋体" w:hAnsi="宋体" w:cs="Times New Roman"/>
          <w:kern w:val="0"/>
          <w:highlight w:val="none"/>
          <w:shd w:val="clear" w:color="auto" w:fill="FFFFFF"/>
        </w:rPr>
        <w:t>根据《中华人民共和国民法典》等有关法律规定，遵循平等、自愿、公平和诚实信用的原则，</w:t>
      </w:r>
      <w:r>
        <w:rPr>
          <w:rFonts w:ascii="宋体" w:hAnsi="宋体" w:cs="Times New Roman"/>
          <w:kern w:val="0"/>
          <w:highlight w:val="none"/>
        </w:rPr>
        <w:t>经</w:t>
      </w:r>
      <w:r>
        <w:rPr>
          <w:rFonts w:hint="eastAsia" w:ascii="宋体" w:hAnsi="宋体" w:cs="Times New Roman"/>
          <w:kern w:val="0"/>
          <w:highlight w:val="none"/>
        </w:rPr>
        <w:t>招标</w:t>
      </w:r>
      <w:r>
        <w:rPr>
          <w:rFonts w:ascii="宋体" w:hAnsi="宋体" w:cs="Times New Roman"/>
          <w:kern w:val="0"/>
          <w:highlight w:val="none"/>
        </w:rPr>
        <w:t>代理机构</w:t>
      </w:r>
      <w:r>
        <w:rPr>
          <w:rFonts w:hint="eastAsia" w:ascii="宋体" w:hAnsi="宋体" w:cs="Times New Roman"/>
          <w:kern w:val="0"/>
          <w:highlight w:val="none"/>
        </w:rPr>
        <w:t>浙江省成套招标代理有限公司对</w:t>
      </w:r>
      <w:r>
        <w:rPr>
          <w:rFonts w:hint="eastAsia" w:ascii="宋体" w:hAnsi="宋体" w:cs="Times New Roman"/>
          <w:kern w:val="0"/>
          <w:highlight w:val="none"/>
          <w:u w:val="single"/>
        </w:rPr>
        <w:t xml:space="preserve"> </w:t>
      </w:r>
      <w:bookmarkStart w:id="99" w:name="_Hlk106098808"/>
      <w:r>
        <w:rPr>
          <w:rFonts w:hint="eastAsia" w:ascii="宋体" w:hAnsi="宋体" w:cs="Times New Roman"/>
          <w:kern w:val="0"/>
          <w:highlight w:val="none"/>
          <w:u w:val="single"/>
          <w:lang w:eastAsia="zh-CN"/>
        </w:rPr>
        <w:t>浙江中医药大学Ivan Psakhye教授实验室改造项目</w:t>
      </w:r>
      <w:r>
        <w:rPr>
          <w:rFonts w:hint="eastAsia" w:ascii="宋体" w:hAnsi="宋体" w:cs="Times New Roman"/>
          <w:kern w:val="0"/>
          <w:highlight w:val="none"/>
        </w:rPr>
        <w:t>工程</w:t>
      </w:r>
      <w:bookmarkEnd w:id="99"/>
      <w:r>
        <w:rPr>
          <w:rFonts w:ascii="宋体" w:hAnsi="宋体" w:cs="Times New Roman"/>
          <w:kern w:val="0"/>
          <w:highlight w:val="none"/>
        </w:rPr>
        <w:t>通过</w:t>
      </w:r>
      <w:r>
        <w:rPr>
          <w:rFonts w:hint="eastAsia" w:ascii="宋体" w:hAnsi="宋体" w:cs="Times New Roman"/>
          <w:kern w:val="0"/>
          <w:highlight w:val="none"/>
          <w:u w:val="single"/>
        </w:rPr>
        <w:t>竞争性</w:t>
      </w:r>
      <w:r>
        <w:rPr>
          <w:rFonts w:ascii="宋体" w:hAnsi="宋体" w:cs="Times New Roman"/>
          <w:kern w:val="0"/>
          <w:highlight w:val="none"/>
          <w:u w:val="single"/>
        </w:rPr>
        <w:t>磋商</w:t>
      </w:r>
      <w:r>
        <w:rPr>
          <w:rFonts w:ascii="宋体" w:hAnsi="宋体" w:cs="Times New Roman"/>
          <w:kern w:val="0"/>
          <w:highlight w:val="none"/>
        </w:rPr>
        <w:t>方式采购</w:t>
      </w:r>
      <w:r>
        <w:rPr>
          <w:rFonts w:hint="eastAsia" w:ascii="宋体" w:hAnsi="宋体" w:cs="Times New Roman"/>
          <w:kern w:val="0"/>
          <w:highlight w:val="none"/>
        </w:rPr>
        <w:t>，确定</w:t>
      </w:r>
      <w:r>
        <w:rPr>
          <w:rFonts w:hint="eastAsia" w:ascii="宋体" w:hAnsi="宋体" w:cs="Times New Roman"/>
          <w:kern w:val="0"/>
          <w:highlight w:val="none"/>
          <w:u w:val="single"/>
        </w:rPr>
        <w:t xml:space="preserve"> </w:t>
      </w:r>
      <w:r>
        <w:rPr>
          <w:rFonts w:hint="eastAsia" w:ascii="宋体" w:hAnsi="宋体" w:cs="宋体"/>
          <w:b/>
          <w:szCs w:val="21"/>
          <w:highlight w:val="none"/>
          <w:u w:val="single"/>
        </w:rPr>
        <w:t xml:space="preserve"> </w:t>
      </w:r>
      <w:r>
        <w:rPr>
          <w:rFonts w:ascii="宋体" w:hAnsi="宋体" w:cs="宋体"/>
          <w:b/>
          <w:szCs w:val="21"/>
          <w:highlight w:val="none"/>
          <w:u w:val="single"/>
        </w:rPr>
        <w:t xml:space="preserve">   </w:t>
      </w:r>
      <w:r>
        <w:rPr>
          <w:rFonts w:hint="eastAsia" w:ascii="宋体" w:hAnsi="宋体" w:cs="Arial"/>
          <w:bCs/>
          <w:snapToGrid w:val="0"/>
          <w:kern w:val="0"/>
          <w:szCs w:val="21"/>
          <w:highlight w:val="none"/>
          <w:u w:val="single"/>
        </w:rPr>
        <w:t xml:space="preserve"> </w:t>
      </w:r>
      <w:r>
        <w:rPr>
          <w:rFonts w:hint="eastAsia" w:ascii="宋体" w:hAnsi="宋体" w:cs="Times New Roman"/>
          <w:kern w:val="0"/>
          <w:highlight w:val="none"/>
          <w:u w:val="single"/>
        </w:rPr>
        <w:t xml:space="preserve"> </w:t>
      </w:r>
      <w:r>
        <w:rPr>
          <w:rFonts w:hint="eastAsia" w:ascii="宋体" w:hAnsi="宋体" w:cs="Times New Roman"/>
          <w:kern w:val="0"/>
          <w:highlight w:val="none"/>
        </w:rPr>
        <w:t>为本工程成交人，</w:t>
      </w:r>
      <w:r>
        <w:rPr>
          <w:rFonts w:hint="eastAsia" w:ascii="宋体" w:hAnsi="宋体" w:cs="Times New Roman"/>
          <w:kern w:val="0"/>
          <w:highlight w:val="none"/>
          <w:shd w:val="clear" w:color="auto" w:fill="FFFFFF"/>
        </w:rPr>
        <w:t>双方协商一致，共同达成如下协议：</w:t>
      </w:r>
    </w:p>
    <w:p w14:paraId="52B888AC">
      <w:pPr>
        <w:spacing w:line="360" w:lineRule="auto"/>
        <w:rPr>
          <w:rFonts w:ascii="宋体" w:hAnsi="宋体" w:cs="宋体"/>
          <w:b/>
          <w:szCs w:val="21"/>
          <w:highlight w:val="none"/>
        </w:rPr>
      </w:pPr>
      <w:r>
        <w:rPr>
          <w:rFonts w:hint="eastAsia" w:ascii="宋体" w:hAnsi="宋体" w:cs="宋体"/>
          <w:b/>
          <w:szCs w:val="21"/>
          <w:highlight w:val="none"/>
        </w:rPr>
        <w:t xml:space="preserve">    一、工程概况</w:t>
      </w:r>
    </w:p>
    <w:p w14:paraId="58B64B6F">
      <w:pPr>
        <w:shd w:val="clear" w:color="auto" w:fill="FFFFFF"/>
        <w:snapToGrid w:val="0"/>
        <w:spacing w:line="360" w:lineRule="auto"/>
        <w:ind w:firstLine="420"/>
        <w:rPr>
          <w:rFonts w:ascii="宋体" w:hAnsi="宋体" w:cs="Times New Roman"/>
          <w:b/>
          <w:kern w:val="0"/>
          <w:highlight w:val="none"/>
          <w:shd w:val="clear" w:color="auto" w:fill="FFFFFF"/>
        </w:rPr>
      </w:pPr>
      <w:r>
        <w:rPr>
          <w:rFonts w:hint="eastAsia" w:ascii="宋体" w:hAnsi="宋体" w:cs="Times New Roman"/>
          <w:highlight w:val="none"/>
          <w:shd w:val="clear" w:color="auto" w:fill="FFFFFF"/>
        </w:rPr>
        <w:t>1.工程名称：</w:t>
      </w:r>
      <w:r>
        <w:rPr>
          <w:rFonts w:hint="eastAsia" w:ascii="宋体" w:hAnsi="宋体" w:cs="Times New Roman"/>
          <w:highlight w:val="none"/>
          <w:u w:val="single"/>
          <w:shd w:val="clear" w:color="auto" w:fill="FFFFFF"/>
          <w:lang w:eastAsia="zh-CN"/>
        </w:rPr>
        <w:t>浙江中医药大学Ivan Psakhye教授实验室改造项目</w:t>
      </w:r>
    </w:p>
    <w:p w14:paraId="4FFC4696">
      <w:pPr>
        <w:spacing w:line="360" w:lineRule="auto"/>
        <w:ind w:firstLine="411" w:firstLineChars="196"/>
        <w:rPr>
          <w:rFonts w:ascii="宋体" w:hAnsi="宋体" w:cs="宋体"/>
          <w:bCs/>
          <w:szCs w:val="21"/>
          <w:highlight w:val="none"/>
        </w:rPr>
      </w:pPr>
      <w:r>
        <w:rPr>
          <w:rFonts w:hint="eastAsia" w:ascii="宋体" w:hAnsi="宋体" w:cs="宋体"/>
          <w:bCs/>
          <w:szCs w:val="21"/>
          <w:highlight w:val="none"/>
        </w:rPr>
        <w:t>2.工程地点：浙江中医药大学项目指定地点</w:t>
      </w:r>
    </w:p>
    <w:p w14:paraId="7686E777">
      <w:pPr>
        <w:spacing w:line="360" w:lineRule="auto"/>
        <w:ind w:firstLine="411" w:firstLineChars="196"/>
        <w:rPr>
          <w:rFonts w:ascii="宋体" w:hAnsi="宋体" w:cs="宋体"/>
          <w:bCs/>
          <w:szCs w:val="21"/>
          <w:highlight w:val="none"/>
        </w:rPr>
      </w:pPr>
      <w:r>
        <w:rPr>
          <w:rFonts w:hint="eastAsia" w:ascii="宋体" w:hAnsi="宋体" w:cs="宋体"/>
          <w:bCs/>
          <w:szCs w:val="21"/>
          <w:highlight w:val="none"/>
        </w:rPr>
        <w:t>3.工程立项批准文号：</w:t>
      </w:r>
      <w:r>
        <w:rPr>
          <w:rFonts w:hint="eastAsia" w:ascii="宋体" w:hAnsi="宋体" w:cs="Times New Roman"/>
          <w:highlight w:val="none"/>
          <w:u w:val="single"/>
        </w:rPr>
        <w:t xml:space="preserve"> </w:t>
      </w:r>
      <w:r>
        <w:rPr>
          <w:rFonts w:ascii="宋体" w:hAnsi="宋体" w:cs="Times New Roman"/>
          <w:highlight w:val="none"/>
          <w:u w:val="single"/>
        </w:rPr>
        <w:t xml:space="preserve"> /   </w:t>
      </w:r>
      <w:r>
        <w:rPr>
          <w:rFonts w:hint="eastAsia" w:ascii="宋体" w:hAnsi="宋体" w:cs="Times New Roman"/>
          <w:highlight w:val="none"/>
          <w:u w:val="single"/>
        </w:rPr>
        <w:t></w:t>
      </w:r>
    </w:p>
    <w:p w14:paraId="28A0CB2D">
      <w:pPr>
        <w:spacing w:line="360" w:lineRule="auto"/>
        <w:ind w:firstLine="411" w:firstLineChars="196"/>
        <w:rPr>
          <w:rFonts w:ascii="宋体" w:hAnsi="宋体" w:cs="宋体"/>
          <w:bCs/>
          <w:szCs w:val="21"/>
          <w:highlight w:val="none"/>
        </w:rPr>
      </w:pPr>
      <w:r>
        <w:rPr>
          <w:rFonts w:hint="eastAsia" w:ascii="宋体" w:hAnsi="宋体" w:cs="宋体"/>
          <w:bCs/>
          <w:szCs w:val="21"/>
          <w:highlight w:val="none"/>
        </w:rPr>
        <w:t>4.资金来源：</w:t>
      </w:r>
      <w:r>
        <w:rPr>
          <w:rFonts w:hint="eastAsia" w:ascii="宋体" w:hAnsi="宋体" w:cs="Times New Roman"/>
          <w:highlight w:val="none"/>
          <w:u w:val="single"/>
        </w:rPr>
        <w:t></w:t>
      </w:r>
      <w:r>
        <w:rPr>
          <w:rFonts w:hint="eastAsia" w:ascii="宋体" w:hAnsi="宋体" w:cs="Times New Roman"/>
          <w:kern w:val="0"/>
          <w:highlight w:val="none"/>
          <w:u w:val="single"/>
        </w:rPr>
        <w:t>财政资金</w:t>
      </w:r>
      <w:r>
        <w:rPr>
          <w:rFonts w:hint="eastAsia" w:ascii="宋体" w:hAnsi="宋体" w:cs="Times New Roman"/>
          <w:highlight w:val="none"/>
          <w:u w:val="single"/>
        </w:rPr>
        <w:t xml:space="preserve"> </w:t>
      </w:r>
      <w:r>
        <w:rPr>
          <w:rFonts w:hint="eastAsia" w:ascii="宋体" w:hAnsi="宋体" w:cs="宋体"/>
          <w:bCs/>
          <w:szCs w:val="21"/>
          <w:highlight w:val="none"/>
        </w:rPr>
        <w:t>。</w:t>
      </w:r>
    </w:p>
    <w:p w14:paraId="1FD1114F">
      <w:pPr>
        <w:spacing w:line="360" w:lineRule="auto"/>
        <w:ind w:firstLine="420" w:firstLineChars="200"/>
        <w:rPr>
          <w:rFonts w:ascii="宋体" w:hAnsi="宋体" w:cs="Times New Roman"/>
          <w:kern w:val="0"/>
          <w:highlight w:val="none"/>
          <w:u w:val="single"/>
          <w:shd w:val="clear" w:color="auto" w:fill="FFFFFF"/>
        </w:rPr>
      </w:pPr>
      <w:r>
        <w:rPr>
          <w:rFonts w:hint="eastAsia" w:ascii="宋体" w:hAnsi="宋体" w:cs="宋体"/>
          <w:bCs/>
          <w:szCs w:val="21"/>
          <w:highlight w:val="none"/>
        </w:rPr>
        <w:t>5.工程内容：</w:t>
      </w:r>
      <w:r>
        <w:rPr>
          <w:rFonts w:hint="eastAsia" w:ascii="宋体" w:hAnsi="宋体" w:cs="宋体"/>
          <w:bCs/>
          <w:szCs w:val="21"/>
          <w:highlight w:val="none"/>
          <w:u w:val="single"/>
        </w:rPr>
        <w:t>包括</w:t>
      </w:r>
      <w:r>
        <w:rPr>
          <w:rFonts w:hint="eastAsia" w:ascii="宋体" w:hAnsi="宋体" w:cs="Times New Roman"/>
          <w:kern w:val="0"/>
          <w:highlight w:val="none"/>
          <w:u w:val="single"/>
          <w:lang w:eastAsia="zh-CN"/>
        </w:rPr>
        <w:t>浙江中医药大学Ivan Psakhye教授实验室改造项目</w:t>
      </w:r>
      <w:r>
        <w:rPr>
          <w:rFonts w:hint="eastAsia" w:ascii="宋体" w:hAnsi="宋体" w:cs="Times New Roman"/>
          <w:kern w:val="0"/>
          <w:highlight w:val="none"/>
          <w:u w:val="single"/>
        </w:rPr>
        <w:t>施工内容</w:t>
      </w:r>
    </w:p>
    <w:p w14:paraId="1A4C34E2">
      <w:pPr>
        <w:spacing w:line="360" w:lineRule="auto"/>
        <w:ind w:firstLine="420" w:firstLineChars="200"/>
        <w:rPr>
          <w:rFonts w:hint="eastAsia" w:ascii="宋体" w:hAnsi="宋体" w:cs="Times New Roman"/>
          <w:highlight w:val="none"/>
          <w:u w:val="single"/>
        </w:rPr>
      </w:pPr>
      <w:r>
        <w:rPr>
          <w:rFonts w:hint="eastAsia" w:ascii="宋体" w:hAnsi="宋体" w:cs="宋体"/>
          <w:bCs/>
          <w:szCs w:val="21"/>
          <w:highlight w:val="none"/>
        </w:rPr>
        <w:t>6.工程承包范围：</w:t>
      </w:r>
      <w:r>
        <w:rPr>
          <w:rFonts w:hint="eastAsia" w:ascii="宋体" w:hAnsi="宋体" w:cs="Times New Roman"/>
          <w:highlight w:val="none"/>
          <w:u w:val="single"/>
        </w:rPr>
        <w:t>1）详见磋商文件和工程量清单。其中，未纳入本次招标范围内容及其施工界面划分详见施工图、工程量清单编制说明。</w:t>
      </w:r>
    </w:p>
    <w:p w14:paraId="5297330F">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2）可能出现的施工图修改引起的工程量增减以及根据发包人明确指令需在招标范围外增加的工程量及招标范围内减少的工程量。</w:t>
      </w:r>
    </w:p>
    <w:p w14:paraId="3CF403C0">
      <w:pPr>
        <w:spacing w:line="360" w:lineRule="auto"/>
        <w:rPr>
          <w:rFonts w:ascii="宋体" w:hAnsi="宋体" w:cs="宋体"/>
          <w:b/>
          <w:szCs w:val="21"/>
          <w:highlight w:val="none"/>
        </w:rPr>
      </w:pPr>
      <w:r>
        <w:rPr>
          <w:rFonts w:hint="eastAsia" w:ascii="宋体" w:hAnsi="宋体" w:cs="宋体"/>
          <w:b/>
          <w:szCs w:val="21"/>
          <w:highlight w:val="none"/>
        </w:rPr>
        <w:t xml:space="preserve">   二、合同工期</w:t>
      </w:r>
    </w:p>
    <w:p w14:paraId="348DFA69">
      <w:pPr>
        <w:spacing w:line="360" w:lineRule="auto"/>
        <w:ind w:firstLine="459"/>
        <w:rPr>
          <w:rFonts w:ascii="宋体" w:hAnsi="宋体" w:cs="宋体"/>
          <w:szCs w:val="21"/>
          <w:highlight w:val="none"/>
        </w:rPr>
      </w:pPr>
      <w:r>
        <w:rPr>
          <w:rFonts w:hint="eastAsia" w:ascii="宋体" w:hAnsi="宋体" w:cs="宋体"/>
          <w:szCs w:val="21"/>
          <w:highlight w:val="none"/>
        </w:rPr>
        <w:t>计划开工日期：</w:t>
      </w:r>
      <w:r>
        <w:rPr>
          <w:rFonts w:hint="eastAsia" w:ascii="宋体" w:hAnsi="宋体" w:cs="Times New Roman"/>
          <w:highlight w:val="none"/>
          <w:u w:val="single"/>
        </w:rPr>
        <w:t>20</w:t>
      </w:r>
      <w:r>
        <w:rPr>
          <w:rFonts w:ascii="宋体" w:hAnsi="宋体" w:cs="Times New Roman"/>
          <w:highlight w:val="none"/>
          <w:u w:val="single"/>
        </w:rPr>
        <w:t>2</w:t>
      </w:r>
      <w:r>
        <w:rPr>
          <w:rFonts w:hint="eastAsia" w:ascii="宋体" w:hAnsi="宋体" w:cs="Times New Roman"/>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w:t>
      </w:r>
      <w:r>
        <w:rPr>
          <w:rFonts w:hint="eastAsia" w:ascii="宋体" w:hAnsi="宋体" w:cs="宋体"/>
          <w:szCs w:val="21"/>
          <w:highlight w:val="none"/>
        </w:rPr>
        <w:t>日（以开工令为准）。</w:t>
      </w:r>
    </w:p>
    <w:p w14:paraId="6EFC441F">
      <w:pPr>
        <w:spacing w:line="360" w:lineRule="auto"/>
        <w:ind w:firstLine="459"/>
        <w:rPr>
          <w:rFonts w:ascii="宋体" w:hAnsi="宋体" w:cs="Times New Roman"/>
          <w:szCs w:val="21"/>
          <w:highlight w:val="none"/>
        </w:rPr>
      </w:pPr>
      <w:r>
        <w:rPr>
          <w:rFonts w:hint="eastAsia" w:ascii="宋体" w:hAnsi="宋体" w:cs="宋体"/>
          <w:szCs w:val="21"/>
          <w:highlight w:val="none"/>
        </w:rPr>
        <w:t>计划竣工日期：</w:t>
      </w:r>
      <w:r>
        <w:rPr>
          <w:rFonts w:hint="eastAsia" w:ascii="宋体" w:hAnsi="宋体" w:cs="Times New Roman"/>
          <w:highlight w:val="none"/>
          <w:u w:val="single"/>
        </w:rPr>
        <w:t>202</w:t>
      </w:r>
      <w:r>
        <w:rPr>
          <w:rFonts w:hint="eastAsia" w:ascii="宋体" w:hAnsi="宋体" w:cs="Times New Roman"/>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u w:val="single"/>
        </w:rPr>
        <w:t></w:t>
      </w:r>
      <w:r>
        <w:rPr>
          <w:rFonts w:hint="eastAsia" w:ascii="宋体" w:hAnsi="宋体" w:cs="宋体"/>
          <w:szCs w:val="21"/>
          <w:highlight w:val="none"/>
        </w:rPr>
        <w:t>日。</w:t>
      </w:r>
    </w:p>
    <w:p w14:paraId="23CA0466">
      <w:pPr>
        <w:spacing w:line="360" w:lineRule="auto"/>
        <w:ind w:firstLine="459"/>
        <w:rPr>
          <w:rFonts w:ascii="宋体" w:hAnsi="宋体" w:cs="宋体"/>
          <w:szCs w:val="21"/>
          <w:highlight w:val="none"/>
        </w:rPr>
      </w:pPr>
      <w:r>
        <w:rPr>
          <w:rFonts w:hint="eastAsia" w:ascii="宋体" w:hAnsi="宋体" w:cs="Times New Roman"/>
          <w:szCs w:val="21"/>
          <w:highlight w:val="none"/>
        </w:rPr>
        <w:t>计划总工期：</w:t>
      </w:r>
      <w:r>
        <w:rPr>
          <w:rFonts w:ascii="宋体" w:hAnsi="宋体" w:cs="Times New Roman"/>
          <w:highlight w:val="none"/>
          <w:u w:val="single"/>
        </w:rPr>
        <w:t xml:space="preserve"> </w:t>
      </w:r>
      <w:r>
        <w:rPr>
          <w:rFonts w:ascii="宋体" w:hAnsi="宋体" w:cs="Times New Roman"/>
          <w:szCs w:val="21"/>
          <w:highlight w:val="none"/>
          <w:u w:val="single"/>
        </w:rPr>
        <w:t xml:space="preserve">   </w:t>
      </w:r>
      <w:r>
        <w:rPr>
          <w:rFonts w:ascii="宋体" w:hAnsi="宋体" w:cs="Times New Roman"/>
          <w:highlight w:val="none"/>
          <w:u w:val="single"/>
        </w:rPr>
        <w:t xml:space="preserve"> </w:t>
      </w:r>
      <w:r>
        <w:rPr>
          <w:rFonts w:hint="eastAsia" w:ascii="宋体" w:hAnsi="宋体" w:cs="Times New Roman"/>
          <w:szCs w:val="21"/>
          <w:highlight w:val="none"/>
        </w:rPr>
        <w:t>天，自发包人通知开工之日起算。</w:t>
      </w:r>
      <w:r>
        <w:rPr>
          <w:rFonts w:ascii="宋体" w:hAnsi="宋体" w:cs="Times New Roman"/>
          <w:highlight w:val="none"/>
        </w:rPr>
        <w:t>工期总日历天数与根据前述计划开竣工日期计算的工期天数不一致的，以工期总日历天数为准</w:t>
      </w:r>
      <w:r>
        <w:rPr>
          <w:rFonts w:hint="eastAsia" w:ascii="宋体" w:hAnsi="宋体" w:cs="Times New Roman"/>
          <w:szCs w:val="21"/>
          <w:highlight w:val="none"/>
        </w:rPr>
        <w:t>。</w:t>
      </w:r>
    </w:p>
    <w:p w14:paraId="58C87D82">
      <w:pPr>
        <w:spacing w:line="360" w:lineRule="auto"/>
        <w:rPr>
          <w:rFonts w:ascii="宋体" w:hAnsi="宋体" w:cs="宋体"/>
          <w:b/>
          <w:szCs w:val="21"/>
          <w:highlight w:val="none"/>
        </w:rPr>
      </w:pPr>
      <w:r>
        <w:rPr>
          <w:rFonts w:hint="eastAsia" w:ascii="宋体" w:hAnsi="宋体" w:cs="宋体"/>
          <w:b/>
          <w:szCs w:val="21"/>
          <w:highlight w:val="none"/>
        </w:rPr>
        <w:t xml:space="preserve">    三、质量标准</w:t>
      </w:r>
    </w:p>
    <w:p w14:paraId="289CAB3E">
      <w:pPr>
        <w:spacing w:line="360" w:lineRule="auto"/>
        <w:ind w:firstLine="459"/>
        <w:rPr>
          <w:rFonts w:ascii="宋体" w:hAnsi="宋体" w:cs="宋体"/>
          <w:szCs w:val="21"/>
          <w:highlight w:val="none"/>
        </w:rPr>
      </w:pPr>
      <w:r>
        <w:rPr>
          <w:rFonts w:hint="eastAsia" w:ascii="宋体" w:hAnsi="宋体" w:cs="宋体"/>
          <w:szCs w:val="21"/>
          <w:highlight w:val="none"/>
        </w:rPr>
        <w:t>工程质量符合</w:t>
      </w:r>
      <w:r>
        <w:rPr>
          <w:rFonts w:hint="eastAsia" w:ascii="宋体" w:hAnsi="宋体" w:cs="Times New Roman"/>
          <w:b/>
          <w:highlight w:val="none"/>
          <w:u w:val="single"/>
        </w:rPr>
        <w:t>国家验收规范合格</w:t>
      </w:r>
      <w:r>
        <w:rPr>
          <w:rFonts w:hint="eastAsia" w:ascii="宋体" w:hAnsi="宋体" w:cs="宋体"/>
          <w:szCs w:val="21"/>
          <w:highlight w:val="none"/>
        </w:rPr>
        <w:t>标准，达到国家有关技术标准、规范、规程要求。</w:t>
      </w:r>
    </w:p>
    <w:p w14:paraId="4EA404CF">
      <w:pPr>
        <w:spacing w:line="360" w:lineRule="auto"/>
        <w:rPr>
          <w:rFonts w:ascii="宋体" w:hAnsi="宋体" w:cs="宋体"/>
          <w:b/>
          <w:szCs w:val="21"/>
          <w:highlight w:val="none"/>
        </w:rPr>
      </w:pPr>
      <w:r>
        <w:rPr>
          <w:rFonts w:hint="eastAsia" w:ascii="宋体" w:hAnsi="宋体" w:cs="宋体"/>
          <w:b/>
          <w:szCs w:val="21"/>
          <w:highlight w:val="none"/>
        </w:rPr>
        <w:t xml:space="preserve">    四、签约合同价与合同价格形式</w:t>
      </w:r>
      <w:r>
        <w:rPr>
          <w:rFonts w:hint="eastAsia" w:ascii="宋体" w:hAnsi="宋体" w:cs="宋体"/>
          <w:b/>
          <w:szCs w:val="21"/>
          <w:highlight w:val="none"/>
        </w:rPr>
        <w:tab/>
      </w:r>
    </w:p>
    <w:p w14:paraId="5C5EA240">
      <w:pPr>
        <w:tabs>
          <w:tab w:val="left" w:pos="2410"/>
        </w:tabs>
        <w:snapToGrid w:val="0"/>
        <w:spacing w:line="360" w:lineRule="auto"/>
        <w:ind w:firstLine="420" w:firstLineChars="200"/>
        <w:rPr>
          <w:rFonts w:ascii="宋体" w:hAnsi="宋体" w:cs="Times New Roman"/>
          <w:szCs w:val="21"/>
          <w:highlight w:val="none"/>
        </w:rPr>
      </w:pPr>
      <w:r>
        <w:rPr>
          <w:rFonts w:ascii="宋体" w:hAnsi="宋体" w:cs="Times New Roman"/>
          <w:highlight w:val="none"/>
        </w:rPr>
        <w:t>1.</w:t>
      </w:r>
      <w:r>
        <w:rPr>
          <w:rFonts w:hint="eastAsia" w:ascii="宋体" w:hAnsi="宋体" w:cs="Times New Roman"/>
          <w:highlight w:val="none"/>
        </w:rPr>
        <w:t>暂定</w:t>
      </w:r>
      <w:r>
        <w:rPr>
          <w:rFonts w:ascii="宋体" w:hAnsi="宋体" w:cs="Times New Roman"/>
          <w:highlight w:val="none"/>
        </w:rPr>
        <w:t>合同</w:t>
      </w:r>
      <w:r>
        <w:rPr>
          <w:rFonts w:hint="eastAsia" w:ascii="宋体" w:hAnsi="宋体" w:cs="Times New Roman"/>
          <w:highlight w:val="none"/>
        </w:rPr>
        <w:t>总</w:t>
      </w:r>
      <w:r>
        <w:rPr>
          <w:rFonts w:ascii="宋体" w:hAnsi="宋体" w:cs="Times New Roman"/>
          <w:highlight w:val="none"/>
        </w:rPr>
        <w:t>价为：</w:t>
      </w:r>
    </w:p>
    <w:p w14:paraId="46FF7FEF">
      <w:pPr>
        <w:snapToGrid w:val="0"/>
        <w:spacing w:line="360" w:lineRule="auto"/>
        <w:ind w:firstLine="525" w:firstLineChars="250"/>
        <w:rPr>
          <w:rFonts w:ascii="宋体" w:hAnsi="宋体" w:cs="Times New Roman"/>
          <w:highlight w:val="none"/>
        </w:rPr>
      </w:pPr>
      <w:r>
        <w:rPr>
          <w:rFonts w:ascii="宋体" w:hAnsi="宋体" w:cs="Times New Roman"/>
          <w:highlight w:val="none"/>
        </w:rPr>
        <w:t>人民币（大写）</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ascii="宋体" w:hAnsi="宋体" w:cs="Times New Roman"/>
          <w:b/>
          <w:bCs/>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szCs w:val="21"/>
          <w:highlight w:val="none"/>
        </w:rPr>
        <w:t>(¥</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highlight w:val="none"/>
        </w:rPr>
        <w:t>元)；</w:t>
      </w:r>
    </w:p>
    <w:p w14:paraId="44B92159">
      <w:pPr>
        <w:snapToGrid w:val="0"/>
        <w:spacing w:line="360" w:lineRule="auto"/>
        <w:ind w:firstLine="420" w:firstLineChars="200"/>
        <w:rPr>
          <w:rFonts w:ascii="宋体" w:hAnsi="宋体" w:cs="Times New Roman"/>
          <w:highlight w:val="none"/>
        </w:rPr>
      </w:pPr>
      <w:r>
        <w:rPr>
          <w:rFonts w:ascii="宋体" w:hAnsi="宋体" w:cs="Times New Roman"/>
          <w:highlight w:val="none"/>
        </w:rPr>
        <w:t>2.合同价格形式：</w:t>
      </w:r>
      <w:r>
        <w:rPr>
          <w:rFonts w:hint="eastAsia" w:ascii="宋体" w:hAnsi="宋体" w:cs="Times New Roman"/>
          <w:b/>
          <w:highlight w:val="none"/>
          <w:u w:val="single"/>
        </w:rPr>
        <w:t>工程量清单</w:t>
      </w:r>
      <w:r>
        <w:rPr>
          <w:rFonts w:ascii="宋体" w:hAnsi="宋体" w:cs="Times New Roman"/>
          <w:b/>
          <w:highlight w:val="none"/>
          <w:u w:val="single"/>
        </w:rPr>
        <w:t>固定</w:t>
      </w:r>
      <w:r>
        <w:rPr>
          <w:rFonts w:hint="eastAsia" w:ascii="宋体" w:hAnsi="宋体" w:cs="Times New Roman"/>
          <w:b/>
          <w:highlight w:val="none"/>
          <w:u w:val="single"/>
        </w:rPr>
        <w:t>综合单价合同</w:t>
      </w:r>
      <w:r>
        <w:rPr>
          <w:rFonts w:ascii="宋体" w:hAnsi="宋体" w:cs="Times New Roman"/>
          <w:highlight w:val="none"/>
        </w:rPr>
        <w:t>。</w:t>
      </w:r>
    </w:p>
    <w:p w14:paraId="33488472">
      <w:pPr>
        <w:spacing w:line="360" w:lineRule="auto"/>
        <w:rPr>
          <w:rFonts w:ascii="宋体" w:hAnsi="宋体" w:cs="宋体"/>
          <w:b/>
          <w:szCs w:val="21"/>
          <w:highlight w:val="none"/>
        </w:rPr>
      </w:pPr>
      <w:r>
        <w:rPr>
          <w:rFonts w:hint="eastAsia" w:ascii="宋体" w:hAnsi="宋体" w:cs="宋体"/>
          <w:b/>
          <w:szCs w:val="21"/>
          <w:highlight w:val="none"/>
        </w:rPr>
        <w:t xml:space="preserve">    五、项目经理</w:t>
      </w:r>
    </w:p>
    <w:p w14:paraId="6B181FE3">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r>
        <w:rPr>
          <w:rFonts w:hint="eastAsia" w:ascii="宋体" w:hAnsi="宋体" w:cs="宋体"/>
          <w:szCs w:val="21"/>
          <w:highlight w:val="none"/>
        </w:rPr>
        <w:t>。</w:t>
      </w:r>
    </w:p>
    <w:p w14:paraId="4A258306">
      <w:pPr>
        <w:spacing w:line="360" w:lineRule="auto"/>
        <w:rPr>
          <w:rFonts w:ascii="宋体" w:hAnsi="宋体" w:cs="宋体"/>
          <w:b/>
          <w:szCs w:val="21"/>
          <w:highlight w:val="none"/>
        </w:rPr>
      </w:pPr>
      <w:r>
        <w:rPr>
          <w:rFonts w:hint="eastAsia" w:ascii="宋体" w:hAnsi="宋体" w:cs="宋体"/>
          <w:b/>
          <w:szCs w:val="21"/>
          <w:highlight w:val="none"/>
        </w:rPr>
        <w:t xml:space="preserve">    六、合同文件构成</w:t>
      </w:r>
    </w:p>
    <w:p w14:paraId="43DBBE77">
      <w:pPr>
        <w:spacing w:line="360" w:lineRule="auto"/>
        <w:ind w:firstLine="420" w:firstLineChars="200"/>
        <w:rPr>
          <w:rFonts w:ascii="宋体" w:hAnsi="宋体" w:cs="Times New Roman"/>
          <w:bCs/>
          <w:szCs w:val="21"/>
          <w:highlight w:val="none"/>
        </w:rPr>
      </w:pPr>
      <w:r>
        <w:rPr>
          <w:rFonts w:hint="eastAsia" w:ascii="宋体" w:hAnsi="宋体" w:cs="宋体"/>
          <w:bCs/>
          <w:szCs w:val="21"/>
          <w:highlight w:val="none"/>
        </w:rPr>
        <w:t>本协议书与下列文件一起构成合同文件：</w:t>
      </w:r>
    </w:p>
    <w:p w14:paraId="7492F867">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w:t>
      </w:r>
      <w:r>
        <w:rPr>
          <w:rFonts w:ascii="宋体" w:hAnsi="宋体" w:cs="Times New Roman"/>
          <w:highlight w:val="none"/>
          <w:u w:val="single"/>
        </w:rPr>
        <w:t>1）成交通知书；</w:t>
      </w:r>
    </w:p>
    <w:p w14:paraId="5BDCB448">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w:t>
      </w:r>
      <w:r>
        <w:rPr>
          <w:rFonts w:ascii="宋体" w:hAnsi="宋体" w:cs="Times New Roman"/>
          <w:highlight w:val="none"/>
          <w:u w:val="single"/>
        </w:rPr>
        <w:t xml:space="preserve">2）投标函及附录； </w:t>
      </w:r>
    </w:p>
    <w:p w14:paraId="44E5A31F">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w:t>
      </w:r>
      <w:r>
        <w:rPr>
          <w:rFonts w:ascii="宋体" w:hAnsi="宋体" w:cs="Times New Roman"/>
          <w:highlight w:val="none"/>
          <w:u w:val="single"/>
        </w:rPr>
        <w:t>3）</w:t>
      </w:r>
      <w:r>
        <w:rPr>
          <w:rFonts w:hint="eastAsia" w:ascii="宋体" w:hAnsi="宋体" w:cs="Times New Roman"/>
          <w:highlight w:val="none"/>
          <w:u w:val="single"/>
        </w:rPr>
        <w:t>专用合同条款及其附件</w:t>
      </w:r>
      <w:r>
        <w:rPr>
          <w:rFonts w:ascii="宋体" w:hAnsi="宋体" w:cs="Times New Roman"/>
          <w:highlight w:val="none"/>
          <w:u w:val="single"/>
        </w:rPr>
        <w:t xml:space="preserve">； </w:t>
      </w:r>
    </w:p>
    <w:p w14:paraId="4F24702A">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w:t>
      </w:r>
      <w:r>
        <w:rPr>
          <w:rFonts w:ascii="宋体" w:hAnsi="宋体" w:cs="Times New Roman"/>
          <w:highlight w:val="none"/>
          <w:u w:val="single"/>
        </w:rPr>
        <w:t>4）</w:t>
      </w:r>
      <w:r>
        <w:rPr>
          <w:rFonts w:hint="eastAsia" w:ascii="宋体" w:hAnsi="宋体" w:cs="Times New Roman"/>
          <w:highlight w:val="none"/>
          <w:u w:val="single"/>
        </w:rPr>
        <w:t>通用合同条款</w:t>
      </w:r>
      <w:r>
        <w:rPr>
          <w:rFonts w:ascii="宋体" w:hAnsi="宋体" w:cs="Times New Roman"/>
          <w:highlight w:val="none"/>
          <w:u w:val="single"/>
        </w:rPr>
        <w:t>；</w:t>
      </w:r>
    </w:p>
    <w:p w14:paraId="20307FF7">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（5</w:t>
      </w:r>
      <w:r>
        <w:rPr>
          <w:rFonts w:ascii="宋体" w:hAnsi="宋体" w:cs="Times New Roman"/>
          <w:highlight w:val="none"/>
          <w:u w:val="single"/>
        </w:rPr>
        <w:t>）技术标准和要求；</w:t>
      </w:r>
    </w:p>
    <w:p w14:paraId="11D536ED">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（6</w:t>
      </w:r>
      <w:r>
        <w:rPr>
          <w:rFonts w:ascii="宋体" w:hAnsi="宋体" w:cs="Times New Roman"/>
          <w:highlight w:val="none"/>
          <w:u w:val="single"/>
        </w:rPr>
        <w:t>）图纸（如有）；</w:t>
      </w:r>
    </w:p>
    <w:p w14:paraId="4D6467BD">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（7</w:t>
      </w:r>
      <w:r>
        <w:rPr>
          <w:rFonts w:ascii="宋体" w:hAnsi="宋体" w:cs="Times New Roman"/>
          <w:highlight w:val="none"/>
          <w:u w:val="single"/>
        </w:rPr>
        <w:t>）已标价工程量清单或预算书；</w:t>
      </w:r>
    </w:p>
    <w:p w14:paraId="06CBB087">
      <w:pPr>
        <w:autoSpaceDE w:val="0"/>
        <w:autoSpaceDN w:val="0"/>
        <w:adjustRightInd w:val="0"/>
        <w:spacing w:line="360" w:lineRule="auto"/>
        <w:ind w:firstLine="420" w:firstLineChars="200"/>
        <w:jc w:val="left"/>
        <w:rPr>
          <w:rFonts w:hint="eastAsia" w:ascii="宋体" w:hAnsi="宋体" w:cs="Times New Roman"/>
          <w:highlight w:val="none"/>
          <w:u w:val="single"/>
        </w:rPr>
      </w:pPr>
      <w:r>
        <w:rPr>
          <w:rFonts w:hint="eastAsia" w:ascii="宋体" w:hAnsi="宋体" w:cs="Times New Roman"/>
          <w:highlight w:val="none"/>
          <w:u w:val="single"/>
        </w:rPr>
        <w:t>（8</w:t>
      </w:r>
      <w:r>
        <w:rPr>
          <w:rFonts w:ascii="宋体" w:hAnsi="宋体" w:cs="Times New Roman"/>
          <w:highlight w:val="none"/>
          <w:u w:val="single"/>
        </w:rPr>
        <w:t>）工程质量保修书</w:t>
      </w:r>
      <w:r>
        <w:rPr>
          <w:rFonts w:hint="eastAsia" w:ascii="宋体" w:hAnsi="宋体" w:cs="Times New Roman"/>
          <w:highlight w:val="none"/>
          <w:u w:val="single"/>
        </w:rPr>
        <w:t>；</w:t>
      </w:r>
    </w:p>
    <w:p w14:paraId="4BC424A4">
      <w:pPr>
        <w:autoSpaceDE w:val="0"/>
        <w:autoSpaceDN w:val="0"/>
        <w:adjustRightInd w:val="0"/>
        <w:spacing w:line="360" w:lineRule="auto"/>
        <w:ind w:firstLine="420" w:firstLineChars="200"/>
        <w:jc w:val="left"/>
        <w:rPr>
          <w:rFonts w:hint="eastAsia" w:ascii="宋体" w:hAnsi="宋体" w:cs="Times New Roman"/>
          <w:highlight w:val="none"/>
          <w:u w:val="single"/>
        </w:rPr>
      </w:pPr>
      <w:r>
        <w:rPr>
          <w:rFonts w:hint="eastAsia" w:ascii="宋体" w:hAnsi="宋体" w:cs="Times New Roman"/>
          <w:highlight w:val="none"/>
          <w:u w:val="single"/>
        </w:rPr>
        <w:t>（9）通用合同条款；</w:t>
      </w:r>
    </w:p>
    <w:p w14:paraId="39570474">
      <w:pPr>
        <w:autoSpaceDE w:val="0"/>
        <w:autoSpaceDN w:val="0"/>
        <w:adjustRightInd w:val="0"/>
        <w:spacing w:line="360" w:lineRule="auto"/>
        <w:ind w:firstLine="420" w:firstLineChars="200"/>
        <w:jc w:val="left"/>
        <w:rPr>
          <w:rFonts w:ascii="宋体" w:hAnsi="宋体" w:cs="Times New Roman"/>
          <w:highlight w:val="none"/>
          <w:u w:val="single"/>
        </w:rPr>
      </w:pPr>
      <w:r>
        <w:rPr>
          <w:rFonts w:hint="eastAsia" w:ascii="宋体" w:hAnsi="宋体" w:cs="Times New Roman"/>
          <w:highlight w:val="none"/>
          <w:u w:val="single"/>
        </w:rPr>
        <w:t>（</w:t>
      </w:r>
      <w:r>
        <w:rPr>
          <w:rFonts w:ascii="宋体" w:hAnsi="宋体" w:cs="Times New Roman"/>
          <w:highlight w:val="none"/>
          <w:u w:val="single"/>
        </w:rPr>
        <w:t>10）其他合同文件。</w:t>
      </w:r>
    </w:p>
    <w:p w14:paraId="7F694D31">
      <w:pPr>
        <w:autoSpaceDE w:val="0"/>
        <w:autoSpaceDN w:val="0"/>
        <w:adjustRightInd w:val="0"/>
        <w:spacing w:line="360" w:lineRule="auto"/>
        <w:ind w:firstLine="420" w:firstLineChars="200"/>
        <w:jc w:val="left"/>
        <w:rPr>
          <w:rFonts w:ascii="宋体" w:hAnsi="宋体" w:cs="Times New Roman"/>
          <w:highlight w:val="none"/>
        </w:rPr>
      </w:pPr>
      <w:r>
        <w:rPr>
          <w:rFonts w:hint="eastAsia" w:ascii="宋体" w:hAnsi="宋体" w:cs="Times New Roman"/>
          <w:szCs w:val="21"/>
          <w:highlight w:val="none"/>
        </w:rPr>
        <w:t>在合同订立及履行过程中形成的与合同有关的文件均构成合同文件组成部分。</w:t>
      </w:r>
    </w:p>
    <w:p w14:paraId="42EE0821">
      <w:pPr>
        <w:autoSpaceDE w:val="0"/>
        <w:autoSpaceDN w:val="0"/>
        <w:adjustRightInd w:val="0"/>
        <w:spacing w:line="360" w:lineRule="auto"/>
        <w:ind w:firstLine="420" w:firstLineChars="200"/>
        <w:jc w:val="left"/>
        <w:rPr>
          <w:rFonts w:ascii="宋体" w:hAnsi="宋体" w:cs="Times New Roman"/>
          <w:highlight w:val="none"/>
        </w:rPr>
      </w:pPr>
      <w:r>
        <w:rPr>
          <w:rFonts w:hint="eastAsia" w:ascii="宋体" w:hAnsi="宋体" w:cs="Times New Roman"/>
          <w:szCs w:val="21"/>
          <w:highlight w:val="none"/>
        </w:rPr>
        <w:t>上述各项合同文件包括合同当事人就该项合同文件所作出的补充和变更，属于同一类内容的文件，应以最新签署的为准。各项文件及其附件须经合同当事人签字和盖章。</w:t>
      </w:r>
    </w:p>
    <w:p w14:paraId="5C19825B">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七、承诺</w:t>
      </w:r>
    </w:p>
    <w:p w14:paraId="04FBC501">
      <w:pPr>
        <w:spacing w:line="360" w:lineRule="auto"/>
        <w:ind w:firstLine="420" w:firstLineChars="200"/>
        <w:rPr>
          <w:rFonts w:ascii="宋体" w:hAnsi="宋体" w:cs="Times New Roman"/>
          <w:highlight w:val="none"/>
        </w:rPr>
      </w:pPr>
      <w:r>
        <w:rPr>
          <w:rFonts w:ascii="宋体" w:hAnsi="宋体" w:cs="Times New Roman"/>
          <w:bCs/>
          <w:szCs w:val="21"/>
          <w:highlight w:val="none"/>
        </w:rPr>
        <w:t>1.</w:t>
      </w:r>
      <w:r>
        <w:rPr>
          <w:rFonts w:hint="eastAsia" w:ascii="宋体" w:hAnsi="宋体" w:cs="Times New Roman"/>
          <w:bCs/>
          <w:szCs w:val="21"/>
          <w:highlight w:val="none"/>
        </w:rPr>
        <w:t>发包人承诺按照法律规定履行项目审批手续、筹集工程建设资金并按照合同约定的期限和方式支付合同价款。</w:t>
      </w:r>
    </w:p>
    <w:p w14:paraId="555C5290">
      <w:pPr>
        <w:spacing w:line="360" w:lineRule="auto"/>
        <w:ind w:firstLine="420" w:firstLineChars="200"/>
        <w:rPr>
          <w:rFonts w:ascii="宋体" w:hAnsi="宋体" w:cs="Times New Roman"/>
          <w:highlight w:val="none"/>
        </w:rPr>
      </w:pPr>
      <w:r>
        <w:rPr>
          <w:rFonts w:ascii="宋体" w:hAnsi="宋体" w:cs="Times New Roman"/>
          <w:bCs/>
          <w:szCs w:val="21"/>
          <w:highlight w:val="none"/>
        </w:rPr>
        <w:t>2.</w:t>
      </w:r>
      <w:r>
        <w:rPr>
          <w:rFonts w:hint="eastAsia" w:ascii="宋体" w:hAnsi="宋体" w:cs="Times New Roman"/>
          <w:bCs/>
          <w:szCs w:val="21"/>
          <w:highlight w:val="none"/>
        </w:rPr>
        <w:t>承包人承诺按照法律规定及合同约定组织完成工程施工，确保工程质量和安全，不进行转包及违法分包，并在缺陷责任期及保修期内承担相应的工程维修责任。</w:t>
      </w:r>
    </w:p>
    <w:p w14:paraId="6F7C58AC">
      <w:pPr>
        <w:spacing w:line="360" w:lineRule="auto"/>
        <w:ind w:firstLine="420" w:firstLineChars="200"/>
        <w:rPr>
          <w:rFonts w:ascii="宋体" w:hAnsi="宋体" w:cs="Times New Roman"/>
          <w:highlight w:val="none"/>
        </w:rPr>
      </w:pPr>
      <w:r>
        <w:rPr>
          <w:rFonts w:ascii="宋体" w:hAnsi="宋体" w:cs="Times New Roman"/>
          <w:bCs/>
          <w:szCs w:val="21"/>
          <w:highlight w:val="none"/>
        </w:rPr>
        <w:t>3.</w:t>
      </w:r>
      <w:r>
        <w:rPr>
          <w:rFonts w:hint="eastAsia" w:ascii="宋体" w:hAnsi="宋体" w:cs="Times New Roman"/>
          <w:bCs/>
          <w:szCs w:val="21"/>
          <w:highlight w:val="none"/>
        </w:rPr>
        <w:t>发包人和承包人通过招投标形式签订合同的，双方理解并承诺不再就同一工程另行签订与合同实质性内容相背离的协议。</w:t>
      </w:r>
    </w:p>
    <w:p w14:paraId="086E2FED">
      <w:pPr>
        <w:spacing w:line="360" w:lineRule="auto"/>
        <w:ind w:firstLine="437"/>
        <w:rPr>
          <w:rFonts w:ascii="宋体" w:hAnsi="宋体" w:cs="Times New Roman"/>
          <w:highlight w:val="none"/>
        </w:rPr>
      </w:pPr>
      <w:r>
        <w:rPr>
          <w:rFonts w:hint="eastAsia" w:ascii="宋体" w:hAnsi="宋体" w:cs="宋体"/>
          <w:b/>
          <w:szCs w:val="21"/>
          <w:highlight w:val="none"/>
        </w:rPr>
        <w:t>八、词语含义</w:t>
      </w:r>
    </w:p>
    <w:p w14:paraId="0703CC0C">
      <w:pPr>
        <w:spacing w:line="360" w:lineRule="auto"/>
        <w:ind w:firstLine="437"/>
        <w:rPr>
          <w:rFonts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14:paraId="4E0B4383">
      <w:pPr>
        <w:spacing w:line="360" w:lineRule="auto"/>
        <w:ind w:firstLine="437"/>
        <w:rPr>
          <w:rFonts w:ascii="宋体" w:hAnsi="宋体" w:cs="宋体"/>
          <w:b/>
          <w:szCs w:val="21"/>
          <w:highlight w:val="none"/>
        </w:rPr>
      </w:pPr>
      <w:r>
        <w:rPr>
          <w:rFonts w:hint="eastAsia" w:ascii="宋体" w:hAnsi="宋体" w:cs="宋体"/>
          <w:b/>
          <w:szCs w:val="21"/>
          <w:highlight w:val="none"/>
        </w:rPr>
        <w:t>九、签订时间</w:t>
      </w:r>
    </w:p>
    <w:p w14:paraId="609703C4">
      <w:pPr>
        <w:spacing w:line="360" w:lineRule="auto"/>
        <w:ind w:firstLine="437"/>
        <w:rPr>
          <w:rFonts w:ascii="宋体" w:hAnsi="宋体" w:cs="Times New Roman"/>
          <w:b/>
          <w:highlight w:val="none"/>
        </w:rPr>
      </w:pPr>
      <w:r>
        <w:rPr>
          <w:rFonts w:hint="eastAsia" w:ascii="宋体" w:hAnsi="宋体" w:cs="宋体"/>
          <w:bCs/>
          <w:szCs w:val="21"/>
          <w:highlight w:val="none"/>
        </w:rPr>
        <w:t>本合同于</w:t>
      </w:r>
      <w:r>
        <w:rPr>
          <w:rFonts w:hint="eastAsia" w:ascii="宋体" w:hAnsi="宋体" w:cs="Times New Roman"/>
          <w:highlight w:val="none"/>
          <w:u w:val="single"/>
        </w:rPr>
        <w:t xml:space="preserve"> </w:t>
      </w:r>
      <w:r>
        <w:rPr>
          <w:rFonts w:hint="eastAsia" w:ascii="宋体" w:hAnsi="宋体" w:cs="宋体"/>
          <w:bCs/>
          <w:szCs w:val="21"/>
          <w:highlight w:val="none"/>
          <w:u w:val="single"/>
        </w:rPr>
        <w:t xml:space="preserve"> 20</w:t>
      </w:r>
      <w:r>
        <w:rPr>
          <w:rFonts w:ascii="宋体" w:hAnsi="宋体" w:cs="宋体"/>
          <w:bCs/>
          <w:szCs w:val="21"/>
          <w:highlight w:val="none"/>
          <w:u w:val="single"/>
        </w:rPr>
        <w:t>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日签订。</w:t>
      </w:r>
    </w:p>
    <w:p w14:paraId="4F7C9490">
      <w:pPr>
        <w:spacing w:line="360" w:lineRule="auto"/>
        <w:ind w:firstLine="437"/>
        <w:rPr>
          <w:rFonts w:ascii="宋体" w:hAnsi="宋体" w:cs="宋体"/>
          <w:b/>
          <w:szCs w:val="21"/>
          <w:highlight w:val="none"/>
        </w:rPr>
      </w:pPr>
      <w:r>
        <w:rPr>
          <w:rFonts w:hint="eastAsia" w:ascii="宋体" w:hAnsi="宋体" w:cs="宋体"/>
          <w:b/>
          <w:szCs w:val="21"/>
          <w:highlight w:val="none"/>
        </w:rPr>
        <w:t>十、签订地点</w:t>
      </w:r>
    </w:p>
    <w:p w14:paraId="7704577F">
      <w:pPr>
        <w:spacing w:line="360" w:lineRule="auto"/>
        <w:ind w:firstLine="437"/>
        <w:rPr>
          <w:rFonts w:ascii="宋体" w:hAnsi="宋体" w:cs="Times New Roman"/>
          <w:b/>
          <w:highlight w:val="none"/>
        </w:rPr>
      </w:pPr>
      <w:r>
        <w:rPr>
          <w:rFonts w:hint="eastAsia" w:ascii="宋体" w:hAnsi="宋体" w:cs="宋体"/>
          <w:bCs/>
          <w:szCs w:val="21"/>
          <w:highlight w:val="none"/>
        </w:rPr>
        <w:t>本合同在</w:t>
      </w:r>
      <w:r>
        <w:rPr>
          <w:rFonts w:hint="eastAsia" w:ascii="宋体" w:hAnsi="宋体" w:cs="Times New Roman"/>
          <w:highlight w:val="none"/>
          <w:u w:val="single"/>
        </w:rPr>
        <w:t xml:space="preserve">杭州市 </w:t>
      </w:r>
      <w:r>
        <w:rPr>
          <w:rFonts w:hint="eastAsia" w:ascii="宋体" w:hAnsi="宋体" w:cs="宋体"/>
          <w:bCs/>
          <w:szCs w:val="21"/>
          <w:highlight w:val="none"/>
        </w:rPr>
        <w:t>签订。</w:t>
      </w:r>
    </w:p>
    <w:p w14:paraId="139EE02D">
      <w:pPr>
        <w:spacing w:line="360" w:lineRule="auto"/>
        <w:ind w:firstLine="437"/>
        <w:rPr>
          <w:rFonts w:ascii="宋体" w:hAnsi="宋体" w:cs="宋体"/>
          <w:b/>
          <w:szCs w:val="21"/>
          <w:highlight w:val="none"/>
        </w:rPr>
      </w:pPr>
      <w:r>
        <w:rPr>
          <w:rFonts w:hint="eastAsia" w:ascii="宋体" w:hAnsi="宋体" w:cs="宋体"/>
          <w:b/>
          <w:szCs w:val="21"/>
          <w:highlight w:val="none"/>
        </w:rPr>
        <w:t>十一、补充协议</w:t>
      </w:r>
    </w:p>
    <w:p w14:paraId="44624915">
      <w:pPr>
        <w:spacing w:line="360" w:lineRule="auto"/>
        <w:ind w:firstLine="437"/>
        <w:rPr>
          <w:rFonts w:ascii="宋体" w:hAnsi="宋体" w:cs="Times New Roman"/>
          <w:b/>
          <w:highlight w:val="none"/>
        </w:rPr>
      </w:pPr>
      <w:r>
        <w:rPr>
          <w:rFonts w:hint="eastAsia" w:ascii="宋体" w:hAnsi="宋体" w:cs="宋体"/>
          <w:bCs/>
          <w:szCs w:val="21"/>
          <w:highlight w:val="none"/>
        </w:rPr>
        <w:t>合同未尽事宜，合同当事人另行签订补充协议，补充协议是合同的组成部分。</w:t>
      </w:r>
    </w:p>
    <w:p w14:paraId="5332C623">
      <w:pPr>
        <w:spacing w:line="360" w:lineRule="auto"/>
        <w:ind w:firstLine="437"/>
        <w:rPr>
          <w:rFonts w:ascii="宋体" w:hAnsi="宋体" w:cs="宋体"/>
          <w:b/>
          <w:szCs w:val="21"/>
          <w:highlight w:val="none"/>
        </w:rPr>
      </w:pPr>
      <w:r>
        <w:rPr>
          <w:rFonts w:hint="eastAsia" w:ascii="宋体" w:hAnsi="宋体" w:cs="宋体"/>
          <w:b/>
          <w:szCs w:val="21"/>
          <w:highlight w:val="none"/>
        </w:rPr>
        <w:t>十二、合同生效</w:t>
      </w:r>
    </w:p>
    <w:p w14:paraId="0453DBBE">
      <w:pPr>
        <w:spacing w:line="360" w:lineRule="auto"/>
        <w:ind w:firstLine="437"/>
        <w:rPr>
          <w:rFonts w:ascii="宋体" w:hAnsi="宋体" w:cs="Times New Roman"/>
          <w:b/>
          <w:highlight w:val="none"/>
        </w:rPr>
      </w:pPr>
      <w:r>
        <w:rPr>
          <w:rFonts w:hint="eastAsia" w:ascii="宋体" w:hAnsi="宋体" w:cs="宋体"/>
          <w:bCs/>
          <w:szCs w:val="21"/>
          <w:highlight w:val="none"/>
        </w:rPr>
        <w:t>本合同自</w:t>
      </w:r>
      <w:r>
        <w:rPr>
          <w:rFonts w:hint="eastAsia" w:ascii="宋体" w:hAnsi="宋体" w:cs="Times New Roman"/>
          <w:highlight w:val="none"/>
          <w:u w:val="single"/>
        </w:rPr>
        <w:t xml:space="preserve">  </w:t>
      </w:r>
      <w:r>
        <w:rPr>
          <w:rFonts w:hint="eastAsia" w:ascii="宋体" w:hAnsi="宋体" w:cs="Times New Roman"/>
          <w:b/>
          <w:highlight w:val="none"/>
          <w:u w:val="single"/>
        </w:rPr>
        <w:t>双方签字、盖章且承包人提交履约保证金后</w:t>
      </w:r>
      <w:r>
        <w:rPr>
          <w:rFonts w:hint="eastAsia" w:ascii="宋体" w:hAnsi="宋体" w:cs="宋体"/>
          <w:bCs/>
          <w:szCs w:val="21"/>
          <w:highlight w:val="none"/>
        </w:rPr>
        <w:t>生效。</w:t>
      </w:r>
    </w:p>
    <w:p w14:paraId="73125086">
      <w:pPr>
        <w:spacing w:line="360" w:lineRule="auto"/>
        <w:ind w:firstLine="437"/>
        <w:rPr>
          <w:rFonts w:ascii="宋体" w:hAnsi="宋体" w:cs="宋体"/>
          <w:b/>
          <w:szCs w:val="21"/>
          <w:highlight w:val="none"/>
        </w:rPr>
      </w:pPr>
      <w:r>
        <w:rPr>
          <w:rFonts w:hint="eastAsia" w:ascii="宋体" w:hAnsi="宋体" w:cs="宋体"/>
          <w:b/>
          <w:szCs w:val="21"/>
          <w:highlight w:val="none"/>
        </w:rPr>
        <w:t>十三、合同份数</w:t>
      </w:r>
    </w:p>
    <w:p w14:paraId="3215CB1D">
      <w:pPr>
        <w:spacing w:line="360" w:lineRule="auto"/>
        <w:ind w:firstLine="437"/>
        <w:rPr>
          <w:rFonts w:ascii="宋体" w:hAnsi="宋体" w:cs="Times New Roman"/>
          <w:b/>
          <w:highlight w:val="none"/>
        </w:rPr>
      </w:pPr>
      <w:r>
        <w:rPr>
          <w:rFonts w:hint="eastAsia" w:ascii="宋体" w:hAnsi="宋体" w:cs="宋体"/>
          <w:bCs/>
          <w:szCs w:val="21"/>
          <w:highlight w:val="none"/>
        </w:rPr>
        <w:t>本合同一式</w:t>
      </w:r>
      <w:r>
        <w:rPr>
          <w:rFonts w:hint="eastAsia" w:ascii="宋体" w:hAnsi="宋体" w:cs="Times New Roman"/>
          <w:highlight w:val="none"/>
          <w:u w:val="single"/>
        </w:rPr>
        <w:t>捌</w:t>
      </w:r>
      <w:r>
        <w:rPr>
          <w:rFonts w:hint="eastAsia" w:ascii="宋体" w:hAnsi="宋体" w:cs="宋体"/>
          <w:bCs/>
          <w:szCs w:val="21"/>
          <w:highlight w:val="none"/>
        </w:rPr>
        <w:t>份，均具有同等法律效力，发包人执</w:t>
      </w:r>
      <w:r>
        <w:rPr>
          <w:rFonts w:hint="eastAsia" w:ascii="宋体" w:hAnsi="宋体" w:cs="Times New Roman"/>
          <w:highlight w:val="none"/>
          <w:u w:val="single"/>
        </w:rPr>
        <w:t>肆</w:t>
      </w:r>
      <w:r>
        <w:rPr>
          <w:rFonts w:hint="eastAsia" w:ascii="宋体" w:hAnsi="宋体" w:cs="宋体"/>
          <w:bCs/>
          <w:szCs w:val="21"/>
          <w:highlight w:val="none"/>
        </w:rPr>
        <w:t>份，承包人执</w:t>
      </w:r>
      <w:r>
        <w:rPr>
          <w:rFonts w:hint="eastAsia" w:ascii="宋体" w:hAnsi="宋体" w:cs="Times New Roman"/>
          <w:highlight w:val="none"/>
          <w:u w:val="single"/>
        </w:rPr>
        <w:t>肆</w:t>
      </w:r>
      <w:r>
        <w:rPr>
          <w:rFonts w:hint="eastAsia" w:ascii="宋体" w:hAnsi="宋体" w:cs="宋体"/>
          <w:bCs/>
          <w:szCs w:val="21"/>
          <w:highlight w:val="none"/>
        </w:rPr>
        <w:t>份。</w:t>
      </w:r>
    </w:p>
    <w:p w14:paraId="19490B28">
      <w:pPr>
        <w:adjustRightInd w:val="0"/>
        <w:snapToGrid w:val="0"/>
        <w:spacing w:line="360" w:lineRule="auto"/>
        <w:ind w:right="-624" w:rightChars="-297"/>
        <w:rPr>
          <w:rFonts w:ascii="宋体" w:hAnsi="宋体" w:cs="Times New Roman"/>
          <w:highlight w:val="none"/>
        </w:rPr>
      </w:pPr>
    </w:p>
    <w:p w14:paraId="3DAEA44B">
      <w:pPr>
        <w:adjustRightInd w:val="0"/>
        <w:snapToGrid w:val="0"/>
        <w:spacing w:line="360" w:lineRule="auto"/>
        <w:ind w:right="-624" w:rightChars="-297"/>
        <w:rPr>
          <w:rFonts w:ascii="宋体" w:hAnsi="宋体" w:cs="宋体"/>
          <w:kern w:val="0"/>
          <w:szCs w:val="21"/>
          <w:highlight w:val="none"/>
        </w:rPr>
      </w:pPr>
      <w:bookmarkStart w:id="100" w:name="_Toc351203494"/>
      <w:r>
        <w:rPr>
          <w:rFonts w:hint="eastAsia" w:ascii="宋体" w:hAnsi="宋体" w:cs="宋体"/>
          <w:szCs w:val="21"/>
          <w:highlight w:val="none"/>
        </w:rPr>
        <w:t>发包人：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浙江中医药大学</w:t>
      </w:r>
      <w:r>
        <w:rPr>
          <w:rFonts w:ascii="宋体" w:hAnsi="宋体" w:cs="宋体"/>
          <w:kern w:val="0"/>
          <w:szCs w:val="21"/>
          <w:highlight w:val="none"/>
          <w:u w:val="single"/>
        </w:rPr>
        <w:t xml:space="preserve">           </w:t>
      </w:r>
      <w:r>
        <w:rPr>
          <w:rFonts w:ascii="宋体" w:hAnsi="宋体" w:cs="宋体"/>
          <w:kern w:val="0"/>
          <w:szCs w:val="21"/>
          <w:highlight w:val="none"/>
        </w:rPr>
        <w:t>（盖章）</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承包</w:t>
      </w:r>
      <w:r>
        <w:rPr>
          <w:rFonts w:ascii="宋体" w:hAnsi="宋体" w:cs="宋体"/>
          <w:kern w:val="0"/>
          <w:szCs w:val="21"/>
          <w:highlight w:val="none"/>
        </w:rPr>
        <w:t>人：</w:t>
      </w:r>
      <w:bookmarkStart w:id="101" w:name="_Hlk106096075"/>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ascii="宋体" w:hAnsi="宋体" w:cs="宋体"/>
          <w:kern w:val="0"/>
          <w:szCs w:val="21"/>
          <w:highlight w:val="none"/>
          <w:u w:val="single"/>
        </w:rPr>
        <w:t xml:space="preserve">              </w:t>
      </w:r>
      <w:bookmarkEnd w:id="101"/>
      <w:r>
        <w:rPr>
          <w:rFonts w:ascii="宋体" w:hAnsi="宋体" w:cs="宋体"/>
          <w:kern w:val="0"/>
          <w:szCs w:val="21"/>
          <w:highlight w:val="none"/>
          <w:u w:val="single"/>
        </w:rPr>
        <w:t xml:space="preserve">  </w:t>
      </w:r>
      <w:r>
        <w:rPr>
          <w:rFonts w:ascii="宋体" w:hAnsi="宋体" w:cs="宋体"/>
          <w:kern w:val="0"/>
          <w:szCs w:val="21"/>
          <w:highlight w:val="none"/>
        </w:rPr>
        <w:t>（盖章）</w:t>
      </w:r>
    </w:p>
    <w:p w14:paraId="64F592DD">
      <w:pPr>
        <w:spacing w:line="360" w:lineRule="auto"/>
        <w:rPr>
          <w:rFonts w:ascii="宋体" w:hAnsi="宋体" w:cs="宋体"/>
          <w:szCs w:val="21"/>
          <w:highlight w:val="none"/>
        </w:rPr>
      </w:pPr>
      <w:r>
        <w:rPr>
          <w:rFonts w:hint="eastAsia" w:ascii="宋体" w:hAnsi="宋体" w:cs="宋体"/>
          <w:szCs w:val="21"/>
          <w:highlight w:val="none"/>
        </w:rPr>
        <w:t>法定代表人或其委托代理人：（签字）              法定代表人或其委托代理人：（签字）</w:t>
      </w:r>
    </w:p>
    <w:p w14:paraId="4DD207F8">
      <w:pPr>
        <w:tabs>
          <w:tab w:val="left" w:pos="4410"/>
        </w:tabs>
        <w:spacing w:line="360" w:lineRule="auto"/>
        <w:ind w:right="-624" w:rightChars="-297"/>
        <w:rPr>
          <w:rFonts w:ascii="宋体" w:hAnsi="宋体" w:cs="宋体"/>
          <w:szCs w:val="21"/>
          <w:highlight w:val="none"/>
        </w:rPr>
      </w:pPr>
      <w:r>
        <w:rPr>
          <w:rFonts w:hint="eastAsia" w:ascii="宋体" w:hAnsi="宋体" w:cs="宋体"/>
          <w:szCs w:val="21"/>
          <w:highlight w:val="none"/>
        </w:rPr>
        <w:t>组织机构代码：</w:t>
      </w:r>
      <w:r>
        <w:rPr>
          <w:rFonts w:ascii="宋体" w:hAnsi="宋体" w:cs="宋体"/>
          <w:szCs w:val="21"/>
          <w:highlight w:val="none"/>
          <w:u w:val="single"/>
        </w:rPr>
        <w:t>12330000470004110Q</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组织机构代码：</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p>
    <w:p w14:paraId="2B756FBB">
      <w:pPr>
        <w:spacing w:line="360" w:lineRule="auto"/>
        <w:ind w:right="-624" w:rightChars="-297"/>
        <w:rPr>
          <w:rFonts w:ascii="宋体" w:hAnsi="宋体" w:cs="Times New Roman"/>
          <w:highlight w:val="none"/>
          <w:u w:val="single"/>
        </w:rPr>
      </w:pPr>
      <w:bookmarkStart w:id="102" w:name="_Hlk74481236"/>
      <w:r>
        <w:rPr>
          <w:rFonts w:hint="eastAsia" w:ascii="宋体" w:hAnsi="宋体" w:cs="宋体"/>
          <w:szCs w:val="21"/>
          <w:highlight w:val="none"/>
        </w:rPr>
        <w:t>地  址：</w:t>
      </w:r>
      <w:r>
        <w:rPr>
          <w:rFonts w:hint="eastAsia" w:ascii="宋体" w:hAnsi="宋体" w:cs="宋体"/>
          <w:szCs w:val="21"/>
          <w:highlight w:val="none"/>
          <w:u w:val="single"/>
        </w:rPr>
        <w:t xml:space="preserve"> 杭州市滨江区滨文路</w:t>
      </w:r>
      <w:r>
        <w:rPr>
          <w:rFonts w:ascii="宋体" w:hAnsi="宋体" w:cs="宋体"/>
          <w:szCs w:val="21"/>
          <w:highlight w:val="none"/>
          <w:u w:val="single"/>
        </w:rPr>
        <w:t>548</w:t>
      </w:r>
      <w:r>
        <w:rPr>
          <w:rFonts w:hint="eastAsia" w:ascii="宋体" w:hAnsi="宋体" w:cs="宋体"/>
          <w:szCs w:val="21"/>
          <w:highlight w:val="none"/>
          <w:u w:val="single"/>
        </w:rPr>
        <w:t>号</w:t>
      </w:r>
      <w:r>
        <w:rPr>
          <w:rFonts w:ascii="宋体" w:hAnsi="宋体" w:cs="宋体"/>
          <w:szCs w:val="21"/>
          <w:highlight w:val="none"/>
        </w:rPr>
        <w:t xml:space="preserve">              </w:t>
      </w:r>
      <w:r>
        <w:rPr>
          <w:rFonts w:hint="eastAsia" w:ascii="宋体" w:hAnsi="宋体" w:cs="宋体"/>
          <w:szCs w:val="21"/>
          <w:highlight w:val="none"/>
        </w:rPr>
        <w:t>地  址：</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bookmarkEnd w:id="102"/>
    <w:p w14:paraId="4765A33C">
      <w:pPr>
        <w:spacing w:line="360" w:lineRule="auto"/>
        <w:ind w:right="-624" w:rightChars="-297"/>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r>
        <w:rPr>
          <w:rFonts w:ascii="宋体" w:hAnsi="宋体" w:cs="宋体"/>
          <w:szCs w:val="21"/>
          <w:highlight w:val="none"/>
          <w:u w:val="single"/>
        </w:rPr>
        <w:t>310053</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邮政编码：</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p w14:paraId="166B59B7">
      <w:pPr>
        <w:spacing w:line="360" w:lineRule="auto"/>
        <w:ind w:right="-624" w:rightChars="-297"/>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1AF7F959">
      <w:pPr>
        <w:spacing w:line="360" w:lineRule="auto"/>
        <w:ind w:right="-624" w:rightChars="-297"/>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p>
    <w:p w14:paraId="54054134">
      <w:pPr>
        <w:spacing w:line="360" w:lineRule="auto"/>
        <w:ind w:right="-624" w:rightChars="-297"/>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w:t>
      </w:r>
      <w:bookmarkStart w:id="103" w:name="_Hlk74481252"/>
      <w:r>
        <w:rPr>
          <w:rFonts w:ascii="宋体" w:hAnsi="宋体" w:cs="宋体"/>
          <w:kern w:val="0"/>
          <w:szCs w:val="21"/>
          <w:highlight w:val="none"/>
          <w:u w:val="single"/>
        </w:rPr>
        <w:t xml:space="preserve">            </w:t>
      </w:r>
      <w:bookmarkEnd w:id="103"/>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电  话：</w:t>
      </w:r>
      <w:r>
        <w:rPr>
          <w:rFonts w:hint="eastAsia" w:ascii="宋体" w:hAnsi="宋体" w:cs="宋体"/>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Times New Roman"/>
          <w:kern w:val="0"/>
          <w:highlight w:val="none"/>
          <w:u w:val="single"/>
        </w:rPr>
        <w:t xml:space="preserve"> </w:t>
      </w:r>
      <w:r>
        <w:rPr>
          <w:rFonts w:hint="eastAsia" w:ascii="宋体" w:hAnsi="宋体" w:cs="宋体"/>
          <w:szCs w:val="21"/>
          <w:highlight w:val="none"/>
          <w:u w:val="single"/>
        </w:rPr>
        <w:t xml:space="preserve">  </w:t>
      </w:r>
    </w:p>
    <w:p w14:paraId="6C185376">
      <w:pPr>
        <w:spacing w:line="360" w:lineRule="auto"/>
        <w:ind w:right="-624" w:rightChars="-297"/>
        <w:rPr>
          <w:rFonts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Times New Roman"/>
          <w:kern w:val="0"/>
          <w:highlight w:val="none"/>
          <w:u w:val="single"/>
        </w:rPr>
        <w:t xml:space="preserve"> </w:t>
      </w:r>
      <w:r>
        <w:rPr>
          <w:rFonts w:hint="eastAsia" w:ascii="宋体" w:hAnsi="宋体" w:cs="宋体"/>
          <w:szCs w:val="21"/>
          <w:highlight w:val="none"/>
          <w:u w:val="single"/>
        </w:rPr>
        <w:t xml:space="preserve"> </w:t>
      </w:r>
    </w:p>
    <w:p w14:paraId="74FCA10F">
      <w:pPr>
        <w:spacing w:line="360" w:lineRule="auto"/>
        <w:ind w:right="-624" w:rightChars="-297"/>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p>
    <w:p w14:paraId="38E4A532">
      <w:pPr>
        <w:spacing w:line="360" w:lineRule="auto"/>
        <w:ind w:right="-624" w:rightChars="-297"/>
        <w:rPr>
          <w:rFonts w:ascii="宋体" w:hAnsi="宋体" w:cs="宋体"/>
          <w:szCs w:val="21"/>
          <w:highlight w:val="none"/>
        </w:rPr>
      </w:pPr>
      <w:bookmarkStart w:id="104" w:name="_Hlk74481263"/>
      <w:r>
        <w:rPr>
          <w:rFonts w:hint="eastAsia" w:ascii="宋体" w:hAnsi="宋体" w:cs="宋体"/>
          <w:szCs w:val="21"/>
          <w:highlight w:val="none"/>
        </w:rPr>
        <w:t>开户银行：</w:t>
      </w:r>
      <w:r>
        <w:rPr>
          <w:rFonts w:hint="eastAsia" w:ascii="宋体" w:hAnsi="宋体" w:cs="宋体"/>
          <w:szCs w:val="21"/>
          <w:highlight w:val="none"/>
          <w:u w:val="single"/>
        </w:rPr>
        <w:t>工商银行景江苑支行</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p w14:paraId="162DE995">
      <w:pPr>
        <w:spacing w:line="360" w:lineRule="auto"/>
        <w:ind w:right="-624" w:rightChars="-297"/>
        <w:rPr>
          <w:rFonts w:ascii="宋体" w:hAnsi="宋体" w:cs="宋体"/>
          <w:szCs w:val="21"/>
          <w:highlight w:val="none"/>
          <w:u w:val="single"/>
        </w:rPr>
      </w:pPr>
      <w:r>
        <w:rPr>
          <w:rFonts w:hint="eastAsia" w:ascii="宋体" w:hAnsi="宋体" w:cs="宋体"/>
          <w:szCs w:val="21"/>
          <w:highlight w:val="none"/>
        </w:rPr>
        <w:t>账  号：</w:t>
      </w:r>
      <w:r>
        <w:rPr>
          <w:rFonts w:ascii="宋体" w:hAnsi="宋体" w:cs="宋体"/>
          <w:szCs w:val="21"/>
          <w:highlight w:val="none"/>
          <w:u w:val="single"/>
        </w:rPr>
        <w:t xml:space="preserve">1202023419100001174  </w:t>
      </w:r>
      <w:r>
        <w:rPr>
          <w:rFonts w:hint="eastAsia" w:ascii="宋体" w:hAnsi="宋体" w:cs="宋体"/>
          <w:szCs w:val="21"/>
          <w:highlight w:val="none"/>
        </w:rPr>
        <w:t xml:space="preserve">                  账  号：</w:t>
      </w:r>
      <w:r>
        <w:rPr>
          <w:rFonts w:hint="eastAsia" w:ascii="宋体" w:hAnsi="宋体" w:cs="宋体"/>
          <w:szCs w:val="21"/>
          <w:highlight w:val="none"/>
          <w:u w:val="single"/>
        </w:rPr>
        <w:t></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p w14:paraId="00F06CA9">
      <w:pPr>
        <w:autoSpaceDE w:val="0"/>
        <w:autoSpaceDN w:val="0"/>
        <w:adjustRightInd w:val="0"/>
        <w:jc w:val="left"/>
        <w:rPr>
          <w:rFonts w:ascii="宋体" w:hAnsi="宋体" w:cs="Times New Roman"/>
          <w:kern w:val="0"/>
          <w:sz w:val="24"/>
          <w:highlight w:val="none"/>
        </w:rPr>
      </w:pPr>
    </w:p>
    <w:p w14:paraId="72AFBB7A">
      <w:pPr>
        <w:spacing w:line="360" w:lineRule="auto"/>
        <w:rPr>
          <w:rFonts w:ascii="宋体" w:hAnsi="宋体" w:cs="Times New Roman"/>
          <w:highlight w:val="none"/>
        </w:rPr>
      </w:pPr>
      <w:r>
        <w:rPr>
          <w:rFonts w:hint="eastAsia" w:ascii="宋体" w:hAnsi="宋体" w:cs="Times New Roman"/>
          <w:highlight w:val="none"/>
        </w:rPr>
        <w:t>鉴证单位：</w:t>
      </w:r>
      <w:r>
        <w:rPr>
          <w:rFonts w:hint="eastAsia" w:ascii="宋体" w:hAnsi="宋体" w:cs="Times New Roman"/>
          <w:highlight w:val="none"/>
          <w:u w:val="single"/>
        </w:rPr>
        <w:t>浙江省成套招标代理有限公司（盖章）</w:t>
      </w:r>
    </w:p>
    <w:p w14:paraId="548ADB94">
      <w:pPr>
        <w:spacing w:line="360" w:lineRule="auto"/>
        <w:rPr>
          <w:rFonts w:ascii="宋体" w:hAnsi="宋体" w:cs="Times New Roman"/>
          <w:highlight w:val="none"/>
        </w:rPr>
      </w:pPr>
      <w:r>
        <w:rPr>
          <w:rFonts w:hint="eastAsia" w:ascii="宋体" w:hAnsi="宋体" w:cs="Times New Roman"/>
          <w:highlight w:val="none"/>
        </w:rPr>
        <w:t>委托代理人：</w:t>
      </w:r>
      <w:r>
        <w:rPr>
          <w:rFonts w:hint="eastAsia" w:ascii="宋体" w:hAnsi="宋体" w:cs="Times New Roman"/>
          <w:highlight w:val="none"/>
          <w:u w:val="single"/>
        </w:rPr>
        <w:t>毛松翁</w:t>
      </w:r>
      <w:r>
        <w:rPr>
          <w:rFonts w:ascii="宋体" w:hAnsi="宋体" w:cs="Times New Roman"/>
          <w:highlight w:val="none"/>
        </w:rPr>
        <w:t xml:space="preserve">                            </w:t>
      </w:r>
      <w:r>
        <w:rPr>
          <w:rFonts w:hint="eastAsia" w:ascii="宋体" w:hAnsi="宋体" w:cs="Times New Roman"/>
          <w:highlight w:val="none"/>
        </w:rPr>
        <w:t xml:space="preserve">日 </w:t>
      </w:r>
      <w:r>
        <w:rPr>
          <w:rFonts w:ascii="宋体" w:hAnsi="宋体" w:cs="Times New Roman"/>
          <w:highlight w:val="none"/>
        </w:rPr>
        <w:t xml:space="preserve">  </w:t>
      </w:r>
      <w:r>
        <w:rPr>
          <w:rFonts w:hint="eastAsia" w:ascii="宋体" w:hAnsi="宋体" w:cs="Times New Roman"/>
          <w:highlight w:val="none"/>
        </w:rPr>
        <w:t>期：</w:t>
      </w:r>
      <w:r>
        <w:rPr>
          <w:rFonts w:ascii="宋体" w:hAnsi="宋体" w:cs="Times New Roman"/>
          <w:highlight w:val="none"/>
        </w:rPr>
        <w:t xml:space="preserve"> </w:t>
      </w:r>
    </w:p>
    <w:p w14:paraId="1BA0275B">
      <w:pPr>
        <w:spacing w:line="360" w:lineRule="auto"/>
        <w:rPr>
          <w:rFonts w:ascii="宋体" w:hAnsi="宋体" w:cs="Times New Roman"/>
          <w:highlight w:val="none"/>
        </w:rPr>
      </w:pPr>
    </w:p>
    <w:bookmarkEnd w:id="104"/>
    <w:p w14:paraId="7009BCBE">
      <w:pPr>
        <w:spacing w:line="360" w:lineRule="auto"/>
        <w:jc w:val="center"/>
        <w:outlineLvl w:val="1"/>
        <w:rPr>
          <w:rFonts w:ascii="宋体" w:hAnsi="宋体" w:cs="Times New Roman"/>
          <w:b/>
          <w:sz w:val="28"/>
          <w:highlight w:val="none"/>
        </w:rPr>
      </w:pPr>
      <w:r>
        <w:rPr>
          <w:rFonts w:ascii="宋体" w:hAnsi="宋体" w:cs="Times New Roman"/>
          <w:b/>
          <w:highlight w:val="none"/>
        </w:rPr>
        <w:br w:type="page"/>
      </w:r>
      <w:bookmarkStart w:id="105" w:name="_Toc31859"/>
      <w:bookmarkStart w:id="106" w:name="_Toc31148"/>
      <w:bookmarkStart w:id="107" w:name="_Toc65855222"/>
      <w:bookmarkStart w:id="108" w:name="_Toc9670"/>
      <w:bookmarkStart w:id="109" w:name="_Toc23858"/>
      <w:bookmarkStart w:id="110" w:name="_Toc22728"/>
      <w:bookmarkStart w:id="111" w:name="_Toc25343"/>
      <w:bookmarkStart w:id="112" w:name="_Toc7177"/>
      <w:bookmarkStart w:id="113" w:name="_Toc31843"/>
      <w:bookmarkStart w:id="114" w:name="_Toc22109"/>
      <w:bookmarkStart w:id="115" w:name="_Toc30683"/>
      <w:bookmarkStart w:id="116" w:name="_Toc21340"/>
      <w:bookmarkStart w:id="117" w:name="_Hlk62485489"/>
      <w:r>
        <w:rPr>
          <w:rFonts w:ascii="宋体" w:hAnsi="宋体" w:cs="Times New Roman"/>
          <w:b/>
          <w:sz w:val="28"/>
          <w:highlight w:val="none"/>
        </w:rPr>
        <w:t>第二部分 通用合同条款</w:t>
      </w:r>
      <w:bookmarkEnd w:id="100"/>
      <w:r>
        <w:rPr>
          <w:rFonts w:hint="eastAsia" w:ascii="宋体" w:hAnsi="宋体" w:cs="Times New Roman"/>
          <w:b/>
          <w:sz w:val="28"/>
          <w:szCs w:val="28"/>
          <w:highlight w:val="none"/>
        </w:rPr>
        <w:t>（略</w:t>
      </w:r>
      <w:r>
        <w:rPr>
          <w:rFonts w:ascii="宋体" w:hAnsi="宋体" w:cs="Times New Roman"/>
          <w:b/>
          <w:sz w:val="28"/>
          <w:szCs w:val="28"/>
          <w:highlight w:val="none"/>
        </w:rPr>
        <w:t>)</w:t>
      </w:r>
      <w:bookmarkEnd w:id="105"/>
      <w:bookmarkEnd w:id="106"/>
      <w:bookmarkEnd w:id="107"/>
      <w:bookmarkEnd w:id="108"/>
      <w:bookmarkEnd w:id="109"/>
      <w:bookmarkEnd w:id="110"/>
      <w:bookmarkEnd w:id="111"/>
      <w:bookmarkEnd w:id="112"/>
      <w:bookmarkEnd w:id="113"/>
      <w:bookmarkEnd w:id="114"/>
      <w:bookmarkEnd w:id="115"/>
      <w:bookmarkEnd w:id="116"/>
    </w:p>
    <w:p w14:paraId="36A5329B">
      <w:pPr>
        <w:spacing w:line="360" w:lineRule="auto"/>
        <w:ind w:firstLine="420" w:firstLineChars="200"/>
        <w:jc w:val="center"/>
        <w:rPr>
          <w:rFonts w:ascii="宋体" w:hAnsi="宋体" w:cs="Times New Roman"/>
          <w:szCs w:val="21"/>
          <w:highlight w:val="none"/>
        </w:rPr>
      </w:pPr>
      <w:r>
        <w:rPr>
          <w:rFonts w:hint="eastAsia" w:ascii="宋体" w:hAnsi="宋体" w:cs="Times New Roman"/>
          <w:szCs w:val="21"/>
          <w:highlight w:val="none"/>
        </w:rPr>
        <w:t>同《建设工程施工合同》</w:t>
      </w:r>
      <w:r>
        <w:rPr>
          <w:rFonts w:ascii="宋体" w:hAnsi="宋体" w:cs="Times New Roman"/>
          <w:szCs w:val="21"/>
          <w:highlight w:val="none"/>
        </w:rPr>
        <w:t>(</w:t>
      </w:r>
      <w:r>
        <w:rPr>
          <w:rFonts w:hint="eastAsia" w:ascii="宋体" w:hAnsi="宋体" w:cs="Times New Roman"/>
          <w:szCs w:val="21"/>
          <w:highlight w:val="none"/>
        </w:rPr>
        <w:t>示范文本</w:t>
      </w:r>
      <w:r>
        <w:rPr>
          <w:rFonts w:ascii="宋体" w:hAnsi="宋体" w:cs="Times New Roman"/>
          <w:szCs w:val="21"/>
          <w:highlight w:val="none"/>
        </w:rPr>
        <w:t>)GF-2017-0201</w:t>
      </w:r>
    </w:p>
    <w:p w14:paraId="2F91DCB9">
      <w:pPr>
        <w:spacing w:line="360" w:lineRule="auto"/>
        <w:jc w:val="center"/>
        <w:outlineLvl w:val="1"/>
        <w:rPr>
          <w:rFonts w:ascii="宋体" w:hAnsi="宋体" w:cs="Times New Roman"/>
          <w:b/>
          <w:highlight w:val="none"/>
        </w:rPr>
      </w:pPr>
      <w:bookmarkStart w:id="118" w:name="_Toc65855223"/>
      <w:bookmarkStart w:id="119" w:name="_Toc6686"/>
      <w:bookmarkStart w:id="120" w:name="_Toc8688"/>
      <w:bookmarkStart w:id="121" w:name="_Toc2535"/>
      <w:bookmarkStart w:id="122" w:name="_Toc26970"/>
      <w:bookmarkStart w:id="123" w:name="_Toc22755"/>
      <w:bookmarkStart w:id="124" w:name="_Toc22444"/>
      <w:bookmarkStart w:id="125" w:name="_Toc10024"/>
      <w:bookmarkStart w:id="126" w:name="_Toc31887"/>
      <w:bookmarkStart w:id="127" w:name="_Toc12431"/>
      <w:bookmarkStart w:id="128" w:name="_Toc351203632"/>
      <w:bookmarkStart w:id="129" w:name="_Toc5929"/>
      <w:bookmarkStart w:id="130" w:name="_Toc28378"/>
      <w:r>
        <w:rPr>
          <w:rFonts w:hint="eastAsia" w:ascii="宋体" w:hAnsi="宋体" w:cs="Times New Roman"/>
          <w:b/>
          <w:sz w:val="28"/>
          <w:highlight w:val="none"/>
        </w:rPr>
        <w:t>第三部分</w:t>
      </w:r>
      <w:r>
        <w:rPr>
          <w:rFonts w:ascii="宋体" w:hAnsi="宋体" w:cs="Times New Roman"/>
          <w:b/>
          <w:sz w:val="28"/>
          <w:highlight w:val="none"/>
        </w:rPr>
        <w:t xml:space="preserve"> </w:t>
      </w:r>
      <w:r>
        <w:rPr>
          <w:rFonts w:hint="eastAsia" w:ascii="宋体" w:hAnsi="宋体" w:cs="Times New Roman"/>
          <w:b/>
          <w:sz w:val="28"/>
          <w:highlight w:val="none"/>
        </w:rPr>
        <w:t>专用合同条款</w:t>
      </w:r>
      <w:bookmarkEnd w:id="118"/>
      <w:bookmarkEnd w:id="119"/>
      <w:bookmarkEnd w:id="120"/>
      <w:bookmarkEnd w:id="121"/>
      <w:bookmarkEnd w:id="122"/>
      <w:bookmarkEnd w:id="123"/>
      <w:bookmarkEnd w:id="124"/>
      <w:bookmarkEnd w:id="125"/>
      <w:bookmarkEnd w:id="126"/>
      <w:bookmarkEnd w:id="127"/>
      <w:bookmarkEnd w:id="128"/>
      <w:bookmarkEnd w:id="129"/>
      <w:bookmarkEnd w:id="130"/>
    </w:p>
    <w:bookmarkEnd w:id="96"/>
    <w:bookmarkEnd w:id="117"/>
    <w:p w14:paraId="58ACA3BC">
      <w:pPr>
        <w:topLinePunct/>
        <w:spacing w:line="360" w:lineRule="auto"/>
        <w:ind w:firstLine="420"/>
        <w:rPr>
          <w:rFonts w:ascii="宋体" w:hAnsi="宋体" w:cs="Times New Roman"/>
          <w:b/>
          <w:highlight w:val="none"/>
        </w:rPr>
      </w:pPr>
      <w:r>
        <w:rPr>
          <w:rFonts w:ascii="宋体" w:hAnsi="宋体" w:cs="Times New Roman"/>
          <w:b/>
          <w:highlight w:val="none"/>
        </w:rPr>
        <w:t>1. 一般约定</w:t>
      </w:r>
    </w:p>
    <w:p w14:paraId="2E47C72E">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 词语定义</w:t>
      </w:r>
    </w:p>
    <w:p w14:paraId="3F76F27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1.1.1合同</w:t>
      </w:r>
    </w:p>
    <w:p w14:paraId="2FC0522A">
      <w:pPr>
        <w:spacing w:line="360" w:lineRule="auto"/>
        <w:ind w:left="-315" w:leftChars="-150" w:firstLine="735" w:firstLineChars="350"/>
        <w:rPr>
          <w:rFonts w:ascii="宋体" w:hAnsi="宋体" w:cs="Times New Roman"/>
          <w:szCs w:val="21"/>
          <w:highlight w:val="none"/>
        </w:rPr>
      </w:pPr>
      <w:r>
        <w:rPr>
          <w:rFonts w:ascii="宋体" w:hAnsi="宋体" w:cs="Times New Roman"/>
          <w:szCs w:val="21"/>
          <w:highlight w:val="none"/>
        </w:rPr>
        <w:t>1.1.1.10其他合同文件包括：</w:t>
      </w:r>
    </w:p>
    <w:p w14:paraId="6FA9F8BD">
      <w:pPr>
        <w:spacing w:line="360" w:lineRule="auto"/>
        <w:ind w:left="-315" w:leftChars="-150" w:firstLine="735" w:firstLineChars="350"/>
        <w:rPr>
          <w:rFonts w:ascii="宋体" w:hAnsi="宋体" w:cs="Times New Roman"/>
          <w:highlight w:val="none"/>
          <w:u w:val="single"/>
        </w:rPr>
      </w:pPr>
      <w:r>
        <w:rPr>
          <w:rFonts w:hint="eastAsia" w:ascii="宋体" w:hAnsi="宋体" w:cs="Times New Roman"/>
          <w:highlight w:val="none"/>
          <w:u w:val="single"/>
        </w:rPr>
        <w:t>施工组织设计：施工组织设计是用来指导施工项目全过程各项活动的技术、经济和组织的综合性文件。</w:t>
      </w:r>
    </w:p>
    <w:p w14:paraId="0BF9B933">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1.1.2 合同当事人及其他相关方</w:t>
      </w:r>
    </w:p>
    <w:p w14:paraId="5C46493B">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1.1.2.4监理人：</w:t>
      </w:r>
    </w:p>
    <w:p w14:paraId="778B8572">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名    称：</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szCs w:val="21"/>
          <w:highlight w:val="none"/>
          <w:u w:val="single"/>
        </w:rPr>
        <w:t xml:space="preserve"> ；</w:t>
      </w:r>
    </w:p>
    <w:p w14:paraId="48BC5C31">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资质类别和等级：</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szCs w:val="21"/>
          <w:highlight w:val="none"/>
          <w:u w:val="single"/>
        </w:rPr>
        <w:t xml:space="preserve">   ；</w:t>
      </w:r>
    </w:p>
    <w:p w14:paraId="662C5EC8">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联系电话：</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szCs w:val="21"/>
          <w:highlight w:val="none"/>
          <w:u w:val="single"/>
        </w:rPr>
        <w:t xml:space="preserve">  ；</w:t>
      </w:r>
    </w:p>
    <w:p w14:paraId="4D751BC7">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电子信箱：</w:t>
      </w:r>
      <w:r>
        <w:rPr>
          <w:rFonts w:hint="eastAsia" w:ascii="宋体" w:hAnsi="宋体" w:cs="Times New Roman"/>
          <w:highlight w:val="none"/>
          <w:u w:val="single"/>
        </w:rPr>
        <w:t xml:space="preserve">  </w:t>
      </w:r>
      <w:r>
        <w:rPr>
          <w:rFonts w:hint="eastAsia" w:ascii="宋体" w:hAnsi="宋体" w:cs="Times New Roman"/>
          <w:highlight w:val="none"/>
          <w:u w:val="single"/>
          <w:lang w:val="en-US" w:eastAsia="zh-CN"/>
        </w:rPr>
        <w:t>/</w:t>
      </w:r>
      <w:r>
        <w:rPr>
          <w:rFonts w:hint="eastAsia" w:ascii="宋体" w:hAnsi="宋体" w:cs="Times New Roman"/>
          <w:highlight w:val="none"/>
          <w:u w:val="single"/>
        </w:rPr>
        <w:t xml:space="preserve"> </w:t>
      </w:r>
      <w:r>
        <w:rPr>
          <w:rFonts w:hint="eastAsia" w:ascii="宋体" w:hAnsi="宋体" w:cs="Times New Roman"/>
          <w:szCs w:val="21"/>
          <w:highlight w:val="none"/>
          <w:u w:val="single"/>
        </w:rPr>
        <w:t xml:space="preserve"> ；</w:t>
      </w:r>
    </w:p>
    <w:p w14:paraId="4825CB6E">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通信地址：</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szCs w:val="21"/>
          <w:highlight w:val="none"/>
          <w:u w:val="single"/>
        </w:rPr>
        <w:t xml:space="preserve">  ；</w:t>
      </w:r>
    </w:p>
    <w:p w14:paraId="31E72A6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1.1.2.5 设计人：</w:t>
      </w:r>
    </w:p>
    <w:p w14:paraId="47018A3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名    称：</w:t>
      </w:r>
      <w:r>
        <w:rPr>
          <w:rFonts w:hint="eastAsia" w:ascii="宋体" w:hAnsi="宋体" w:cs="Times New Roman"/>
          <w:highlight w:val="none"/>
          <w:u w:val="single"/>
        </w:rPr>
        <w:t>/；</w:t>
      </w:r>
    </w:p>
    <w:p w14:paraId="244B079D">
      <w:pPr>
        <w:spacing w:line="360" w:lineRule="auto"/>
        <w:ind w:firstLine="420" w:firstLineChars="200"/>
        <w:rPr>
          <w:rFonts w:ascii="宋体" w:hAnsi="宋体" w:cs="Times New Roman"/>
          <w:szCs w:val="21"/>
          <w:highlight w:val="none"/>
        </w:rPr>
      </w:pPr>
      <w:r>
        <w:rPr>
          <w:rFonts w:ascii="宋体" w:hAnsi="宋体" w:cs="Times New Roman"/>
          <w:szCs w:val="21"/>
          <w:highlight w:val="none"/>
        </w:rPr>
        <w:t>资质类别和等级：</w:t>
      </w:r>
      <w:r>
        <w:rPr>
          <w:rFonts w:hint="eastAsia" w:ascii="宋体" w:hAnsi="宋体" w:cs="Times New Roman"/>
          <w:highlight w:val="none"/>
          <w:u w:val="single"/>
        </w:rPr>
        <w:t>/；</w:t>
      </w:r>
    </w:p>
    <w:p w14:paraId="2585CDA0">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联系电话：</w:t>
      </w:r>
      <w:r>
        <w:rPr>
          <w:rFonts w:hint="eastAsia" w:ascii="宋体" w:hAnsi="宋体" w:cs="Times New Roman"/>
          <w:highlight w:val="none"/>
          <w:u w:val="single"/>
        </w:rPr>
        <w:t>/；</w:t>
      </w:r>
    </w:p>
    <w:p w14:paraId="6B1FE0A8">
      <w:pPr>
        <w:spacing w:line="360" w:lineRule="auto"/>
        <w:ind w:firstLine="420" w:firstLineChars="200"/>
        <w:rPr>
          <w:rFonts w:ascii="宋体" w:hAnsi="宋体" w:cs="Times New Roman"/>
          <w:szCs w:val="21"/>
          <w:highlight w:val="none"/>
        </w:rPr>
      </w:pPr>
      <w:r>
        <w:rPr>
          <w:rFonts w:ascii="宋体" w:hAnsi="宋体" w:cs="Times New Roman"/>
          <w:szCs w:val="21"/>
          <w:highlight w:val="none"/>
        </w:rPr>
        <w:t>电子信箱：</w:t>
      </w:r>
      <w:r>
        <w:rPr>
          <w:rFonts w:hint="eastAsia" w:ascii="宋体" w:hAnsi="宋体" w:cs="Times New Roman"/>
          <w:highlight w:val="none"/>
          <w:u w:val="single"/>
        </w:rPr>
        <w:t>/；</w:t>
      </w:r>
    </w:p>
    <w:p w14:paraId="5D26D3A7">
      <w:pPr>
        <w:spacing w:line="360" w:lineRule="auto"/>
        <w:ind w:firstLine="420" w:firstLineChars="200"/>
        <w:rPr>
          <w:rFonts w:ascii="宋体" w:hAnsi="宋体" w:cs="Times New Roman"/>
          <w:szCs w:val="21"/>
          <w:highlight w:val="none"/>
        </w:rPr>
      </w:pPr>
      <w:r>
        <w:rPr>
          <w:rFonts w:ascii="宋体" w:hAnsi="宋体" w:cs="Times New Roman"/>
          <w:szCs w:val="21"/>
          <w:highlight w:val="none"/>
        </w:rPr>
        <w:t>通信地址：</w:t>
      </w:r>
      <w:r>
        <w:rPr>
          <w:rFonts w:hint="eastAsia" w:ascii="宋体" w:hAnsi="宋体" w:cs="Times New Roman"/>
          <w:highlight w:val="none"/>
          <w:u w:val="single"/>
        </w:rPr>
        <w:t>/；</w:t>
      </w:r>
    </w:p>
    <w:p w14:paraId="4FAFAD6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1.1.3 工程和设备</w:t>
      </w:r>
    </w:p>
    <w:p w14:paraId="6F53CFC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1.1.3.7 作为施工现场组成部分的其他场所包括：</w:t>
      </w:r>
      <w:r>
        <w:rPr>
          <w:rFonts w:ascii="宋体" w:hAnsi="宋体" w:cs="Times New Roman"/>
          <w:highlight w:val="none"/>
          <w:u w:val="single"/>
        </w:rPr>
        <w:t>/。</w:t>
      </w:r>
    </w:p>
    <w:p w14:paraId="17DE677A">
      <w:pPr>
        <w:spacing w:line="360" w:lineRule="auto"/>
        <w:ind w:firstLine="420" w:firstLineChars="200"/>
        <w:rPr>
          <w:rFonts w:ascii="宋体" w:hAnsi="宋体" w:cs="Times New Roman"/>
          <w:kern w:val="0"/>
          <w:highlight w:val="none"/>
        </w:rPr>
      </w:pPr>
      <w:r>
        <w:rPr>
          <w:rFonts w:ascii="宋体" w:hAnsi="宋体" w:cs="Times New Roman"/>
          <w:szCs w:val="21"/>
          <w:highlight w:val="none"/>
        </w:rPr>
        <w:t>1.1.3.9 永久占地包括：</w:t>
      </w:r>
      <w:r>
        <w:rPr>
          <w:rFonts w:hint="eastAsia" w:ascii="宋体" w:hAnsi="宋体" w:cs="Times New Roman"/>
          <w:highlight w:val="none"/>
          <w:u w:val="single"/>
        </w:rPr>
        <w:t>/</w:t>
      </w:r>
      <w:r>
        <w:rPr>
          <w:rFonts w:ascii="宋体" w:hAnsi="宋体" w:cs="Times New Roman"/>
          <w:highlight w:val="none"/>
          <w:u w:val="single"/>
        </w:rPr>
        <w:t>。</w:t>
      </w:r>
    </w:p>
    <w:p w14:paraId="75F43AA9">
      <w:pPr>
        <w:spacing w:line="360" w:lineRule="auto"/>
        <w:ind w:firstLine="420" w:firstLineChars="200"/>
        <w:rPr>
          <w:rFonts w:ascii="宋体" w:hAnsi="宋体" w:cs="Times New Roman"/>
          <w:highlight w:val="none"/>
          <w:u w:val="single"/>
        </w:rPr>
      </w:pPr>
      <w:r>
        <w:rPr>
          <w:rFonts w:ascii="宋体" w:hAnsi="宋体" w:cs="Times New Roman"/>
          <w:szCs w:val="21"/>
          <w:highlight w:val="none"/>
        </w:rPr>
        <w:t>1.1.3.10 临时占地包括：</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w:t>
      </w:r>
    </w:p>
    <w:p w14:paraId="5C4D67AD">
      <w:pPr>
        <w:spacing w:line="360" w:lineRule="auto"/>
        <w:ind w:firstLine="420" w:firstLineChars="200"/>
        <w:rPr>
          <w:rFonts w:ascii="宋体" w:hAnsi="宋体" w:cs="Times New Roman"/>
          <w:szCs w:val="21"/>
          <w:highlight w:val="none"/>
        </w:rPr>
      </w:pPr>
      <w:r>
        <w:rPr>
          <w:rFonts w:ascii="宋体" w:hAnsi="宋体" w:cs="Times New Roman"/>
          <w:szCs w:val="21"/>
          <w:highlight w:val="none"/>
        </w:rPr>
        <w:t xml:space="preserve">1.3法律 </w:t>
      </w:r>
    </w:p>
    <w:p w14:paraId="5D8E7413">
      <w:pPr>
        <w:autoSpaceDE w:val="0"/>
        <w:autoSpaceDN w:val="0"/>
        <w:adjustRightIn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适用于合同的其他规范性文件：</w:t>
      </w:r>
    </w:p>
    <w:p w14:paraId="21E2B498">
      <w:pPr>
        <w:autoSpaceDE w:val="0"/>
        <w:autoSpaceDN w:val="0"/>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u w:val="single"/>
        </w:rPr>
        <w:t>（1）《杭州市建设工程工程量清单计价实施细则》</w:t>
      </w:r>
    </w:p>
    <w:p w14:paraId="6C54D793">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highlight w:val="none"/>
          <w:u w:val="single"/>
        </w:rPr>
        <w:t>（2）《关于进一步加强建筑施工领域企业安全生产工作的实施意见》的通知（杭建工发〔2011〕130号）</w:t>
      </w:r>
    </w:p>
    <w:p w14:paraId="13378D9B">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highlight w:val="none"/>
          <w:u w:val="single"/>
        </w:rPr>
        <w:t>（3）《关于进一步加强建设工程安全质量物联网管理应用平台建设的通知》（</w:t>
      </w:r>
      <w:r>
        <w:rPr>
          <w:rFonts w:hint="eastAsia" w:ascii="宋体" w:hAnsi="宋体" w:cs="Times New Roman"/>
          <w:kern w:val="0"/>
          <w:highlight w:val="none"/>
          <w:u w:val="single"/>
        </w:rPr>
        <w:t>杭建工发【2012】426号）</w:t>
      </w:r>
    </w:p>
    <w:p w14:paraId="441F252A">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（4）《杭州市人民政府办公厅关于印发杭州市建设工程推广应用预拌砂浆管理办法的通知》（杭政办函（2011）32号）</w:t>
      </w:r>
    </w:p>
    <w:p w14:paraId="3AE43704">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highlight w:val="none"/>
          <w:u w:val="single"/>
        </w:rPr>
        <w:t>（5）</w:t>
      </w:r>
      <w:r>
        <w:rPr>
          <w:rFonts w:hint="eastAsia" w:ascii="宋体" w:hAnsi="宋体" w:cs="Times New Roman"/>
          <w:kern w:val="0"/>
          <w:highlight w:val="none"/>
          <w:u w:val="single"/>
        </w:rPr>
        <w:t>《</w:t>
      </w:r>
      <w:r>
        <w:rPr>
          <w:rFonts w:ascii="宋体" w:hAnsi="宋体" w:cs="Times New Roman"/>
          <w:kern w:val="0"/>
          <w:highlight w:val="none"/>
          <w:u w:val="single"/>
        </w:rPr>
        <w:t>关于</w:t>
      </w:r>
      <w:r>
        <w:rPr>
          <w:rFonts w:hint="eastAsia" w:ascii="宋体" w:hAnsi="宋体" w:cs="Times New Roman"/>
          <w:kern w:val="0"/>
          <w:highlight w:val="none"/>
          <w:u w:val="single"/>
        </w:rPr>
        <w:t>落实建筑工棚</w:t>
      </w:r>
      <w:r>
        <w:rPr>
          <w:rFonts w:ascii="宋体" w:hAnsi="宋体" w:cs="Times New Roman"/>
          <w:kern w:val="0"/>
          <w:highlight w:val="none"/>
          <w:u w:val="single"/>
        </w:rPr>
        <w:t>安装空调事宜的通知</w:t>
      </w:r>
      <w:r>
        <w:rPr>
          <w:rFonts w:hint="eastAsia" w:ascii="宋体" w:hAnsi="宋体" w:cs="Times New Roman"/>
          <w:kern w:val="0"/>
          <w:highlight w:val="none"/>
          <w:u w:val="single"/>
        </w:rPr>
        <w:t>》（</w:t>
      </w:r>
      <w:r>
        <w:rPr>
          <w:rFonts w:hint="eastAsia" w:ascii="宋体" w:hAnsi="宋体" w:cs="Times New Roman"/>
          <w:highlight w:val="none"/>
          <w:u w:val="single"/>
        </w:rPr>
        <w:t>杭建工发【2011】237号）</w:t>
      </w:r>
    </w:p>
    <w:p w14:paraId="3EDDC427">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highlight w:val="none"/>
          <w:u w:val="single"/>
        </w:rPr>
        <w:t>（6</w:t>
      </w:r>
      <w:r>
        <w:rPr>
          <w:rFonts w:hint="eastAsia" w:ascii="宋体" w:hAnsi="宋体" w:cs="Times New Roman"/>
          <w:kern w:val="0"/>
          <w:highlight w:val="none"/>
          <w:u w:val="single"/>
        </w:rPr>
        <w:t>）《关于进一步加强杭州市建设工程市场要素价格动态管理的指导意见》（杭建市【2018】579号）</w:t>
      </w:r>
    </w:p>
    <w:p w14:paraId="43D9FF70">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（7）《关于贯彻执行浙江省建设工程计价依据（2018版）的通知》（杭建市【2018】164号）</w:t>
      </w:r>
    </w:p>
    <w:p w14:paraId="22985F67">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（8）其他：省、市、区行政主管部门颁发的其他规范性文件。</w:t>
      </w:r>
    </w:p>
    <w:p w14:paraId="522E4BE3">
      <w:pPr>
        <w:spacing w:line="360" w:lineRule="auto"/>
        <w:ind w:firstLine="420" w:firstLineChars="200"/>
        <w:rPr>
          <w:rFonts w:ascii="宋体" w:hAnsi="宋体" w:cs="Times New Roman"/>
          <w:szCs w:val="21"/>
          <w:highlight w:val="none"/>
        </w:rPr>
      </w:pPr>
      <w:r>
        <w:rPr>
          <w:rFonts w:ascii="宋体" w:hAnsi="宋体" w:cs="Times New Roman"/>
          <w:szCs w:val="21"/>
          <w:highlight w:val="none"/>
        </w:rPr>
        <w:t>1.4 标准和规范</w:t>
      </w:r>
    </w:p>
    <w:p w14:paraId="3AF26261">
      <w:pPr>
        <w:spacing w:line="360" w:lineRule="auto"/>
        <w:ind w:firstLine="420" w:firstLineChars="200"/>
        <w:rPr>
          <w:rFonts w:ascii="宋体" w:hAnsi="宋体" w:cs="Times New Roman"/>
          <w:szCs w:val="21"/>
          <w:highlight w:val="none"/>
        </w:rPr>
      </w:pPr>
      <w:r>
        <w:rPr>
          <w:rFonts w:ascii="宋体" w:hAnsi="宋体" w:cs="Times New Roman"/>
          <w:szCs w:val="21"/>
          <w:highlight w:val="none"/>
        </w:rPr>
        <w:t>1.4.1适用于工程的标准规范包括：</w:t>
      </w:r>
      <w:r>
        <w:rPr>
          <w:rFonts w:hint="eastAsia" w:ascii="宋体" w:hAnsi="宋体" w:cs="Times New Roman"/>
          <w:highlight w:val="none"/>
          <w:u w:val="single"/>
        </w:rPr>
        <w:t>按通用条款约定；</w:t>
      </w:r>
    </w:p>
    <w:p w14:paraId="1F1C50F6">
      <w:pPr>
        <w:spacing w:line="360" w:lineRule="auto"/>
        <w:ind w:firstLine="420" w:firstLineChars="200"/>
        <w:rPr>
          <w:rFonts w:ascii="宋体" w:hAnsi="宋体" w:cs="Times New Roman"/>
          <w:highlight w:val="none"/>
          <w:u w:val="single"/>
        </w:rPr>
      </w:pPr>
      <w:r>
        <w:rPr>
          <w:rFonts w:ascii="宋体" w:hAnsi="宋体" w:cs="Times New Roman"/>
          <w:szCs w:val="21"/>
          <w:highlight w:val="none"/>
        </w:rPr>
        <w:t xml:space="preserve">1.4.2 发包人提供国外标准、规范的名称： </w:t>
      </w:r>
      <w:r>
        <w:rPr>
          <w:rFonts w:hint="eastAsia" w:ascii="宋体" w:hAnsi="宋体" w:cs="Times New Roman"/>
          <w:highlight w:val="none"/>
          <w:u w:val="single"/>
        </w:rPr>
        <w:t xml:space="preserve"> /；</w:t>
      </w:r>
    </w:p>
    <w:p w14:paraId="6CB6A2E1">
      <w:pPr>
        <w:spacing w:line="360" w:lineRule="auto"/>
        <w:ind w:firstLine="420" w:firstLineChars="200"/>
        <w:rPr>
          <w:rFonts w:ascii="宋体" w:hAnsi="宋体" w:cs="Times New Roman"/>
          <w:kern w:val="0"/>
          <w:highlight w:val="none"/>
        </w:rPr>
      </w:pPr>
      <w:r>
        <w:rPr>
          <w:rFonts w:ascii="宋体" w:hAnsi="宋体" w:cs="Times New Roman"/>
          <w:szCs w:val="21"/>
          <w:highlight w:val="none"/>
        </w:rPr>
        <w:t>发包人提供国外标准、规范的份数：</w:t>
      </w:r>
      <w:r>
        <w:rPr>
          <w:rFonts w:hint="eastAsia" w:ascii="宋体" w:hAnsi="宋体" w:cs="Times New Roman"/>
          <w:highlight w:val="none"/>
          <w:u w:val="single"/>
        </w:rPr>
        <w:t>/；</w:t>
      </w:r>
    </w:p>
    <w:p w14:paraId="1AA63513">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发包人提供国外标准、规范的名称：</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w:t>
      </w:r>
    </w:p>
    <w:p w14:paraId="556F97D3">
      <w:pPr>
        <w:spacing w:line="360" w:lineRule="auto"/>
        <w:ind w:firstLine="420" w:firstLineChars="200"/>
        <w:rPr>
          <w:rFonts w:ascii="宋体" w:hAnsi="宋体" w:cs="Times New Roman"/>
          <w:szCs w:val="21"/>
          <w:highlight w:val="none"/>
        </w:rPr>
      </w:pPr>
      <w:r>
        <w:rPr>
          <w:rFonts w:ascii="宋体" w:hAnsi="宋体" w:cs="Times New Roman"/>
          <w:szCs w:val="21"/>
          <w:highlight w:val="none"/>
        </w:rPr>
        <w:t>1.4.3发包人对工程的技术标准和功能要求的特殊要求：</w:t>
      </w:r>
      <w:r>
        <w:rPr>
          <w:rFonts w:hint="eastAsia" w:ascii="宋体" w:hAnsi="宋体" w:cs="Times New Roman"/>
          <w:highlight w:val="none"/>
          <w:u w:val="single"/>
        </w:rPr>
        <w:t>详见设计文件和招标技术要求</w:t>
      </w:r>
      <w:r>
        <w:rPr>
          <w:rFonts w:ascii="宋体" w:hAnsi="宋体" w:cs="Times New Roman"/>
          <w:highlight w:val="none"/>
          <w:u w:val="single"/>
        </w:rPr>
        <w:t>。</w:t>
      </w:r>
    </w:p>
    <w:p w14:paraId="7E4CB405">
      <w:pPr>
        <w:spacing w:line="360" w:lineRule="auto"/>
        <w:ind w:firstLine="420" w:firstLineChars="200"/>
        <w:rPr>
          <w:rFonts w:ascii="宋体" w:hAnsi="宋体" w:cs="Times New Roman"/>
          <w:szCs w:val="21"/>
          <w:highlight w:val="none"/>
        </w:rPr>
      </w:pPr>
      <w:r>
        <w:rPr>
          <w:rFonts w:ascii="宋体" w:hAnsi="宋体" w:cs="Times New Roman"/>
          <w:szCs w:val="21"/>
          <w:highlight w:val="none"/>
        </w:rPr>
        <w:t>1.5 合同文件的优先顺序</w:t>
      </w:r>
    </w:p>
    <w:p w14:paraId="6295869D">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合同文件组成及优先顺序为：</w:t>
      </w:r>
      <w:r>
        <w:rPr>
          <w:rFonts w:hint="eastAsia" w:ascii="宋体" w:hAnsi="宋体" w:cs="Times New Roman"/>
          <w:highlight w:val="none"/>
          <w:u w:val="single"/>
        </w:rPr>
        <w:t>（1）合同协议书；（2）专用合同条款及附件；（3）成交通知书；（4）投标函及附录；（5）询标纪要；（6）磋商文件及其补充文件（含工程量清单及招标控制价）；（7）除投标函及附录外的其他响应文件；（8）技术标准及要求；（9）图纸（如有）；（1</w:t>
      </w:r>
      <w:r>
        <w:rPr>
          <w:rFonts w:hint="eastAsia" w:ascii="宋体" w:hAnsi="宋体" w:cs="Times New Roman"/>
          <w:highlight w:val="none"/>
          <w:u w:val="single"/>
          <w:lang w:val="en-US" w:eastAsia="zh-CN"/>
        </w:rPr>
        <w:t>0</w:t>
      </w:r>
      <w:r>
        <w:rPr>
          <w:rFonts w:hint="eastAsia" w:ascii="宋体" w:hAnsi="宋体" w:cs="Times New Roman"/>
          <w:highlight w:val="none"/>
          <w:u w:val="single"/>
        </w:rPr>
        <w:t>）合同通用条款；（1</w:t>
      </w:r>
      <w:r>
        <w:rPr>
          <w:rFonts w:hint="eastAsia" w:ascii="宋体" w:hAnsi="宋体" w:cs="Times New Roman"/>
          <w:highlight w:val="none"/>
          <w:u w:val="single"/>
          <w:lang w:val="en-US" w:eastAsia="zh-CN"/>
        </w:rPr>
        <w:t>1</w:t>
      </w:r>
      <w:r>
        <w:rPr>
          <w:rFonts w:hint="eastAsia" w:ascii="宋体" w:hAnsi="宋体" w:cs="Times New Roman"/>
          <w:highlight w:val="none"/>
          <w:u w:val="single"/>
        </w:rPr>
        <w:t>）已标价的工程量清单；（12）其他合同文件。</w:t>
      </w:r>
    </w:p>
    <w:p w14:paraId="0DB63EE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1.6 图纸和承包人文件</w:t>
      </w:r>
    </w:p>
    <w:p w14:paraId="202855EE">
      <w:pPr>
        <w:spacing w:line="360" w:lineRule="auto"/>
        <w:ind w:firstLine="420" w:firstLineChars="200"/>
        <w:rPr>
          <w:rFonts w:ascii="宋体" w:hAnsi="宋体" w:cs="Times New Roman"/>
          <w:szCs w:val="21"/>
          <w:highlight w:val="none"/>
        </w:rPr>
      </w:pPr>
      <w:r>
        <w:rPr>
          <w:rFonts w:ascii="宋体" w:hAnsi="宋体" w:cs="Times New Roman"/>
          <w:szCs w:val="21"/>
          <w:highlight w:val="none"/>
        </w:rPr>
        <w:t>1.6.1 图纸的提供</w:t>
      </w:r>
    </w:p>
    <w:p w14:paraId="007A0527">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发包人向承包人提供图纸的期限：</w:t>
      </w:r>
      <w:r>
        <w:rPr>
          <w:rFonts w:hint="eastAsia" w:ascii="宋体" w:hAnsi="宋体" w:cs="Times New Roman"/>
          <w:szCs w:val="21"/>
          <w:highlight w:val="none"/>
          <w:u w:val="single"/>
        </w:rPr>
        <w:t>本合同签订后7天内</w:t>
      </w:r>
      <w:r>
        <w:rPr>
          <w:rFonts w:ascii="宋体" w:hAnsi="宋体" w:cs="Times New Roman"/>
          <w:highlight w:val="none"/>
          <w:u w:val="single"/>
        </w:rPr>
        <w:t>；</w:t>
      </w:r>
    </w:p>
    <w:p w14:paraId="19926D8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发包人向承包人提供图纸的数量：</w:t>
      </w:r>
      <w:r>
        <w:rPr>
          <w:rFonts w:hint="eastAsia" w:ascii="宋体" w:hAnsi="宋体" w:cs="Times New Roman"/>
          <w:szCs w:val="21"/>
          <w:highlight w:val="none"/>
          <w:u w:val="single"/>
        </w:rPr>
        <w:t>陆套（包括制作竣工图的原始施工图），如承包人额外需要提供施工图纸的，则额外增加的施工图纸的制作费由承包人承担</w:t>
      </w:r>
      <w:r>
        <w:rPr>
          <w:rFonts w:hint="eastAsia" w:ascii="宋体" w:hAnsi="宋体" w:cs="宋体"/>
          <w:szCs w:val="21"/>
          <w:highlight w:val="none"/>
          <w:u w:val="single"/>
        </w:rPr>
        <w:t>；</w:t>
      </w:r>
    </w:p>
    <w:p w14:paraId="6E462492">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发包人向承包人提供图纸的内容：</w:t>
      </w:r>
      <w:r>
        <w:rPr>
          <w:rFonts w:hint="eastAsia" w:ascii="宋体" w:hAnsi="宋体" w:cs="Times New Roman"/>
          <w:szCs w:val="21"/>
          <w:highlight w:val="none"/>
          <w:u w:val="single"/>
        </w:rPr>
        <w:t>施工图（详见签收表）。</w:t>
      </w:r>
    </w:p>
    <w:p w14:paraId="0CDA6814">
      <w:pPr>
        <w:spacing w:line="360" w:lineRule="auto"/>
        <w:ind w:firstLine="420" w:firstLineChars="200"/>
        <w:rPr>
          <w:rFonts w:ascii="宋体" w:hAnsi="宋体" w:cs="Times New Roman"/>
          <w:szCs w:val="21"/>
          <w:highlight w:val="none"/>
        </w:rPr>
      </w:pPr>
      <w:r>
        <w:rPr>
          <w:rFonts w:ascii="宋体" w:hAnsi="宋体" w:cs="Times New Roman"/>
          <w:szCs w:val="21"/>
          <w:highlight w:val="none"/>
        </w:rPr>
        <w:t>1.6.4 承包人文件</w:t>
      </w:r>
    </w:p>
    <w:p w14:paraId="3BB536D9">
      <w:pPr>
        <w:tabs>
          <w:tab w:val="left" w:pos="4680"/>
        </w:tabs>
        <w:spacing w:line="360" w:lineRule="auto"/>
        <w:ind w:firstLine="420" w:firstLineChars="200"/>
        <w:rPr>
          <w:rFonts w:ascii="宋体" w:hAnsi="宋体" w:cs="Times New Roman"/>
          <w:highlight w:val="none"/>
          <w:u w:val="single"/>
        </w:rPr>
      </w:pPr>
      <w:r>
        <w:rPr>
          <w:rFonts w:ascii="宋体" w:hAnsi="宋体" w:cs="Times New Roman"/>
          <w:szCs w:val="21"/>
          <w:highlight w:val="none"/>
        </w:rPr>
        <w:t>需要由承包人提供的文件，包括：</w:t>
      </w:r>
      <w:r>
        <w:rPr>
          <w:rFonts w:hint="eastAsia" w:ascii="宋体" w:hAnsi="宋体" w:cs="Times New Roman"/>
          <w:highlight w:val="none"/>
          <w:u w:val="single"/>
        </w:rPr>
        <w:t>施工组织设计、进度计划、发包人和政府规定要求必须提供的其他文件。</w:t>
      </w:r>
    </w:p>
    <w:p w14:paraId="0E8635D4">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承包人提供的文件的期限为：</w:t>
      </w:r>
      <w:r>
        <w:rPr>
          <w:rFonts w:hint="eastAsia" w:ascii="宋体" w:hAnsi="宋体" w:cs="Times New Roman"/>
          <w:highlight w:val="none"/>
          <w:u w:val="single"/>
        </w:rPr>
        <w:t>发包人提出要求后3天内。</w:t>
      </w:r>
    </w:p>
    <w:p w14:paraId="3C18C7F4">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承包人提供的文件的数量为：</w:t>
      </w:r>
      <w:r>
        <w:rPr>
          <w:rFonts w:hint="eastAsia" w:ascii="宋体" w:hAnsi="宋体" w:cs="Times New Roman"/>
          <w:highlight w:val="none"/>
          <w:u w:val="single"/>
        </w:rPr>
        <w:t>双方协商确定</w:t>
      </w:r>
      <w:r>
        <w:rPr>
          <w:rFonts w:ascii="宋体" w:hAnsi="宋体" w:cs="Times New Roman"/>
          <w:highlight w:val="none"/>
          <w:u w:val="single"/>
        </w:rPr>
        <w:t>；</w:t>
      </w:r>
    </w:p>
    <w:p w14:paraId="6DECDF24">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承包人提供的文件的形式为：</w:t>
      </w:r>
      <w:r>
        <w:rPr>
          <w:rFonts w:hint="eastAsia" w:ascii="宋体" w:hAnsi="宋体" w:cs="Times New Roman"/>
          <w:highlight w:val="none"/>
          <w:u w:val="single"/>
        </w:rPr>
        <w:t>按发包人要求</w:t>
      </w:r>
      <w:r>
        <w:rPr>
          <w:rFonts w:ascii="宋体" w:hAnsi="宋体" w:cs="Times New Roman"/>
          <w:highlight w:val="none"/>
          <w:u w:val="single"/>
        </w:rPr>
        <w:t>；</w:t>
      </w:r>
    </w:p>
    <w:p w14:paraId="12B68945">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w:t>
      </w:r>
      <w:r>
        <w:rPr>
          <w:rFonts w:hint="eastAsia" w:ascii="宋体" w:hAnsi="宋体" w:cs="Times New Roman"/>
          <w:szCs w:val="21"/>
          <w:highlight w:val="none"/>
        </w:rPr>
        <w:t>审批</w:t>
      </w:r>
      <w:r>
        <w:rPr>
          <w:rFonts w:ascii="宋体" w:hAnsi="宋体" w:cs="Times New Roman"/>
          <w:szCs w:val="21"/>
          <w:highlight w:val="none"/>
        </w:rPr>
        <w:t>承包人文件的期限：</w:t>
      </w:r>
      <w:r>
        <w:rPr>
          <w:rFonts w:hint="eastAsia" w:ascii="宋体" w:hAnsi="宋体" w:cs="Times New Roman"/>
          <w:highlight w:val="none"/>
          <w:u w:val="single"/>
        </w:rPr>
        <w:t xml:space="preserve"> 收到后7天内</w:t>
      </w:r>
      <w:r>
        <w:rPr>
          <w:rFonts w:ascii="宋体" w:hAnsi="宋体" w:cs="Times New Roman"/>
          <w:highlight w:val="none"/>
          <w:u w:val="single"/>
        </w:rPr>
        <w:t>。</w:t>
      </w:r>
    </w:p>
    <w:p w14:paraId="75BA1381">
      <w:pPr>
        <w:spacing w:line="360" w:lineRule="auto"/>
        <w:ind w:firstLine="420" w:firstLineChars="200"/>
        <w:rPr>
          <w:rFonts w:ascii="宋体" w:hAnsi="宋体" w:cs="Times New Roman"/>
          <w:szCs w:val="21"/>
          <w:highlight w:val="none"/>
        </w:rPr>
      </w:pPr>
      <w:r>
        <w:rPr>
          <w:rFonts w:ascii="宋体" w:hAnsi="宋体" w:cs="Times New Roman"/>
          <w:szCs w:val="21"/>
          <w:highlight w:val="none"/>
        </w:rPr>
        <w:t>1.6.5 现场图纸准备</w:t>
      </w:r>
    </w:p>
    <w:p w14:paraId="60B62FC8">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关于现场图纸准备的约定：</w:t>
      </w:r>
      <w:r>
        <w:rPr>
          <w:rFonts w:hint="eastAsia" w:ascii="宋体" w:hAnsi="宋体" w:cs="Times New Roman"/>
          <w:highlight w:val="none"/>
          <w:u w:val="single"/>
        </w:rPr>
        <w:t>发包人、监理人及有关人员进行工程检查时使用的图纸由承包人提供。</w:t>
      </w:r>
    </w:p>
    <w:p w14:paraId="30B65CA9">
      <w:pPr>
        <w:spacing w:line="360" w:lineRule="auto"/>
        <w:ind w:firstLine="420" w:firstLineChars="200"/>
        <w:rPr>
          <w:rFonts w:ascii="宋体" w:hAnsi="宋体" w:cs="Times New Roman"/>
          <w:szCs w:val="21"/>
          <w:highlight w:val="none"/>
        </w:rPr>
      </w:pPr>
      <w:r>
        <w:rPr>
          <w:rFonts w:ascii="宋体" w:hAnsi="宋体" w:cs="Times New Roman"/>
          <w:szCs w:val="21"/>
          <w:highlight w:val="none"/>
        </w:rPr>
        <w:t>1.7 联络</w:t>
      </w:r>
    </w:p>
    <w:p w14:paraId="609ED30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1.7.1发包人和承包人应当在</w:t>
      </w:r>
      <w:r>
        <w:rPr>
          <w:rFonts w:hint="eastAsia" w:ascii="宋体" w:hAnsi="宋体" w:cs="Times New Roman"/>
          <w:highlight w:val="none"/>
          <w:u w:val="single"/>
        </w:rPr>
        <w:t xml:space="preserve"> </w:t>
      </w:r>
      <w:r>
        <w:rPr>
          <w:rFonts w:ascii="宋体" w:hAnsi="宋体" w:cs="Times New Roman"/>
          <w:highlight w:val="none"/>
          <w:u w:val="single"/>
        </w:rPr>
        <w:t>3</w:t>
      </w:r>
      <w:r>
        <w:rPr>
          <w:rFonts w:hint="eastAsia" w:ascii="宋体" w:hAnsi="宋体" w:cs="Times New Roman"/>
          <w:highlight w:val="none"/>
          <w:u w:val="single"/>
        </w:rPr>
        <w:t xml:space="preserve"> </w:t>
      </w:r>
      <w:r>
        <w:rPr>
          <w:rFonts w:ascii="宋体" w:hAnsi="宋体" w:cs="Times New Roman"/>
          <w:szCs w:val="21"/>
          <w:highlight w:val="none"/>
        </w:rPr>
        <w:t>天内将与合同有关的通知、批准、证明、证书、指示、指令、要求、请求、同意、意见、确定和决定等书面函件送达对方当事人</w:t>
      </w:r>
      <w:r>
        <w:rPr>
          <w:rFonts w:hint="eastAsia" w:ascii="宋体" w:hAnsi="宋体" w:cs="Times New Roman"/>
          <w:szCs w:val="21"/>
          <w:highlight w:val="none"/>
        </w:rPr>
        <w:t>。</w:t>
      </w:r>
    </w:p>
    <w:p w14:paraId="25B228BF">
      <w:pPr>
        <w:spacing w:line="360" w:lineRule="auto"/>
        <w:ind w:firstLine="420" w:firstLineChars="200"/>
        <w:rPr>
          <w:rFonts w:ascii="宋体" w:hAnsi="宋体" w:cs="Times New Roman"/>
          <w:kern w:val="0"/>
          <w:highlight w:val="none"/>
        </w:rPr>
      </w:pPr>
      <w:r>
        <w:rPr>
          <w:rFonts w:ascii="宋体" w:hAnsi="宋体" w:cs="Times New Roman"/>
          <w:szCs w:val="21"/>
          <w:highlight w:val="none"/>
        </w:rPr>
        <w:t>1.7.2 发包人接收文件的地点：</w:t>
      </w:r>
      <w:r>
        <w:rPr>
          <w:rFonts w:hint="eastAsia" w:ascii="宋体" w:hAnsi="宋体" w:cs="宋体"/>
          <w:szCs w:val="21"/>
          <w:highlight w:val="none"/>
          <w:u w:val="single"/>
        </w:rPr>
        <w:t></w:t>
      </w:r>
      <w:r>
        <w:rPr>
          <w:rFonts w:hint="eastAsia" w:ascii="宋体" w:hAnsi="宋体" w:cs="Times New Roman"/>
          <w:szCs w:val="21"/>
          <w:highlight w:val="none"/>
          <w:u w:val="single"/>
        </w:rPr>
        <w:t xml:space="preserve">  发包人办公室  </w:t>
      </w:r>
      <w:r>
        <w:rPr>
          <w:rFonts w:hint="eastAsia" w:ascii="宋体" w:hAnsi="宋体" w:cs="宋体"/>
          <w:szCs w:val="21"/>
          <w:highlight w:val="none"/>
          <w:u w:val="single"/>
        </w:rPr>
        <w:t></w:t>
      </w:r>
      <w:r>
        <w:rPr>
          <w:rFonts w:ascii="宋体" w:hAnsi="宋体" w:cs="Times New Roman"/>
          <w:szCs w:val="21"/>
          <w:highlight w:val="none"/>
        </w:rPr>
        <w:t>；</w:t>
      </w:r>
    </w:p>
    <w:p w14:paraId="1BEB5951">
      <w:pPr>
        <w:spacing w:line="360" w:lineRule="auto"/>
        <w:ind w:firstLine="420" w:firstLineChars="200"/>
        <w:rPr>
          <w:rFonts w:ascii="宋体" w:hAnsi="宋体" w:cs="Times New Roman"/>
          <w:kern w:val="0"/>
          <w:highlight w:val="none"/>
        </w:rPr>
      </w:pPr>
      <w:r>
        <w:rPr>
          <w:rFonts w:ascii="宋体" w:hAnsi="宋体" w:cs="Times New Roman"/>
          <w:szCs w:val="21"/>
          <w:highlight w:val="none"/>
        </w:rPr>
        <w:t>发包人指定的接收人为：</w:t>
      </w:r>
      <w:r>
        <w:rPr>
          <w:rFonts w:hint="eastAsia" w:ascii="宋体" w:hAnsi="宋体" w:cs="宋体"/>
          <w:szCs w:val="21"/>
          <w:highlight w:val="none"/>
          <w:u w:val="single"/>
        </w:rPr>
        <w:t></w:t>
      </w:r>
      <w:r>
        <w:rPr>
          <w:rFonts w:hint="eastAsia" w:ascii="宋体" w:hAnsi="宋体" w:cs="Times New Roman"/>
          <w:szCs w:val="21"/>
          <w:highlight w:val="none"/>
          <w:u w:val="single"/>
        </w:rPr>
        <w:t xml:space="preserve">待定         </w:t>
      </w:r>
      <w:r>
        <w:rPr>
          <w:rFonts w:hint="eastAsia" w:ascii="宋体" w:hAnsi="宋体" w:cs="Times New Roman"/>
          <w:highlight w:val="none"/>
          <w:u w:val="single"/>
        </w:rPr>
        <w:t>；</w:t>
      </w:r>
    </w:p>
    <w:p w14:paraId="22460E7F">
      <w:pPr>
        <w:spacing w:line="360" w:lineRule="auto"/>
        <w:ind w:firstLine="420" w:firstLineChars="200"/>
        <w:rPr>
          <w:rFonts w:ascii="宋体" w:hAnsi="宋体" w:cs="Times New Roman"/>
          <w:kern w:val="0"/>
          <w:highlight w:val="none"/>
        </w:rPr>
      </w:pPr>
      <w:r>
        <w:rPr>
          <w:rFonts w:ascii="宋体" w:hAnsi="宋体" w:cs="Times New Roman"/>
          <w:szCs w:val="21"/>
          <w:highlight w:val="none"/>
        </w:rPr>
        <w:t>承包人接收文件的地点：</w:t>
      </w:r>
      <w:r>
        <w:rPr>
          <w:rFonts w:hint="eastAsia" w:ascii="宋体" w:hAnsi="宋体" w:cs="Times New Roman"/>
          <w:highlight w:val="none"/>
          <w:u w:val="single"/>
        </w:rPr>
        <w:t></w:t>
      </w:r>
      <w:r>
        <w:rPr>
          <w:rFonts w:hint="eastAsia" w:ascii="宋体" w:hAnsi="宋体" w:cs="Times New Roman"/>
          <w:szCs w:val="21"/>
          <w:highlight w:val="none"/>
          <w:u w:val="single"/>
        </w:rPr>
        <w:t xml:space="preserve">  承包人办公室  </w:t>
      </w:r>
      <w:r>
        <w:rPr>
          <w:rFonts w:hint="eastAsia" w:ascii="宋体" w:hAnsi="宋体" w:cs="Times New Roman"/>
          <w:highlight w:val="none"/>
          <w:u w:val="single"/>
        </w:rPr>
        <w:t></w:t>
      </w:r>
      <w:r>
        <w:rPr>
          <w:rFonts w:ascii="宋体" w:hAnsi="宋体" w:cs="Times New Roman"/>
          <w:highlight w:val="none"/>
          <w:u w:val="single"/>
        </w:rPr>
        <w:t>；</w:t>
      </w:r>
    </w:p>
    <w:p w14:paraId="6FD048E9">
      <w:pPr>
        <w:spacing w:line="360" w:lineRule="auto"/>
        <w:ind w:firstLine="420" w:firstLineChars="200"/>
        <w:rPr>
          <w:rFonts w:ascii="宋体" w:hAnsi="宋体" w:cs="Times New Roman"/>
          <w:kern w:val="0"/>
          <w:highlight w:val="none"/>
        </w:rPr>
      </w:pPr>
      <w:r>
        <w:rPr>
          <w:rFonts w:ascii="宋体" w:hAnsi="宋体" w:cs="Times New Roman"/>
          <w:szCs w:val="21"/>
          <w:highlight w:val="none"/>
        </w:rPr>
        <w:t>承包人指定的接收人为：</w:t>
      </w:r>
      <w:r>
        <w:rPr>
          <w:rFonts w:hint="eastAsia" w:ascii="宋体" w:hAnsi="宋体" w:cs="宋体"/>
          <w:szCs w:val="21"/>
          <w:highlight w:val="none"/>
          <w:u w:val="single"/>
        </w:rPr>
        <w:t xml:space="preserve"> </w:t>
      </w:r>
      <w:r>
        <w:rPr>
          <w:rFonts w:hint="eastAsia" w:ascii="宋体" w:hAnsi="宋体" w:cs="Times New Roman"/>
          <w:szCs w:val="21"/>
          <w:highlight w:val="none"/>
          <w:u w:val="single"/>
        </w:rPr>
        <w:t xml:space="preserve">待定      </w:t>
      </w:r>
      <w:r>
        <w:rPr>
          <w:rFonts w:hint="eastAsia" w:ascii="宋体" w:hAnsi="宋体" w:cs="宋体"/>
          <w:szCs w:val="21"/>
          <w:highlight w:val="none"/>
          <w:u w:val="single"/>
        </w:rPr>
        <w:t></w:t>
      </w:r>
      <w:r>
        <w:rPr>
          <w:rFonts w:ascii="宋体" w:hAnsi="宋体" w:cs="Times New Roman"/>
          <w:highlight w:val="none"/>
          <w:u w:val="single"/>
        </w:rPr>
        <w:t>。</w:t>
      </w:r>
    </w:p>
    <w:p w14:paraId="5C24856E">
      <w:pPr>
        <w:spacing w:line="360" w:lineRule="auto"/>
        <w:ind w:firstLine="420" w:firstLineChars="200"/>
        <w:rPr>
          <w:rFonts w:ascii="宋体" w:hAnsi="宋体" w:cs="Times New Roman"/>
          <w:kern w:val="0"/>
          <w:highlight w:val="none"/>
        </w:rPr>
      </w:pPr>
      <w:r>
        <w:rPr>
          <w:rFonts w:ascii="宋体" w:hAnsi="宋体" w:cs="Times New Roman"/>
          <w:szCs w:val="21"/>
          <w:highlight w:val="none"/>
        </w:rPr>
        <w:t>监理人接收文件的地点：</w:t>
      </w:r>
      <w:r>
        <w:rPr>
          <w:rFonts w:hint="eastAsia" w:ascii="宋体" w:hAnsi="宋体" w:cs="宋体"/>
          <w:szCs w:val="21"/>
          <w:highlight w:val="none"/>
          <w:u w:val="single"/>
        </w:rPr>
        <w:t></w:t>
      </w:r>
      <w:r>
        <w:rPr>
          <w:rFonts w:hint="eastAsia" w:ascii="宋体" w:hAnsi="宋体" w:cs="Times New Roman"/>
          <w:szCs w:val="21"/>
          <w:highlight w:val="none"/>
          <w:u w:val="single"/>
        </w:rPr>
        <w:t xml:space="preserve">  /  </w:t>
      </w:r>
      <w:r>
        <w:rPr>
          <w:rFonts w:hint="eastAsia" w:ascii="宋体" w:hAnsi="宋体" w:cs="宋体"/>
          <w:szCs w:val="21"/>
          <w:highlight w:val="none"/>
          <w:u w:val="single"/>
        </w:rPr>
        <w:t></w:t>
      </w:r>
      <w:r>
        <w:rPr>
          <w:rFonts w:ascii="宋体" w:hAnsi="宋体" w:cs="Times New Roman"/>
          <w:highlight w:val="none"/>
          <w:u w:val="single"/>
        </w:rPr>
        <w:t>；</w:t>
      </w:r>
    </w:p>
    <w:p w14:paraId="60270AA4">
      <w:pPr>
        <w:spacing w:line="360" w:lineRule="auto"/>
        <w:ind w:firstLine="420" w:firstLineChars="200"/>
        <w:rPr>
          <w:rFonts w:ascii="宋体" w:hAnsi="宋体" w:cs="Times New Roman"/>
          <w:kern w:val="0"/>
          <w:highlight w:val="none"/>
        </w:rPr>
      </w:pPr>
      <w:r>
        <w:rPr>
          <w:rFonts w:ascii="宋体" w:hAnsi="宋体" w:cs="Times New Roman"/>
          <w:szCs w:val="21"/>
          <w:highlight w:val="none"/>
        </w:rPr>
        <w:t>监理人指定的接收人为：</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hint="eastAsia" w:ascii="宋体" w:hAnsi="宋体" w:cs="宋体"/>
          <w:szCs w:val="21"/>
          <w:highlight w:val="none"/>
          <w:u w:val="single"/>
        </w:rPr>
        <w:t></w:t>
      </w:r>
      <w:r>
        <w:rPr>
          <w:rFonts w:ascii="宋体" w:hAnsi="宋体" w:cs="Times New Roman"/>
          <w:highlight w:val="none"/>
          <w:u w:val="single"/>
        </w:rPr>
        <w:t>。</w:t>
      </w:r>
    </w:p>
    <w:p w14:paraId="06E32CF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1.10 交通运输</w:t>
      </w:r>
    </w:p>
    <w:p w14:paraId="0BF676E4">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1.10.1 出入现场的权利</w:t>
      </w:r>
    </w:p>
    <w:p w14:paraId="19B05E1A">
      <w:pPr>
        <w:spacing w:line="360" w:lineRule="auto"/>
        <w:ind w:firstLine="420" w:firstLineChars="200"/>
        <w:rPr>
          <w:rFonts w:ascii="宋体" w:hAnsi="宋体" w:cs="宋体"/>
          <w:szCs w:val="21"/>
          <w:highlight w:val="none"/>
        </w:rPr>
      </w:pPr>
      <w:r>
        <w:rPr>
          <w:rFonts w:ascii="宋体" w:hAnsi="宋体" w:cs="Times New Roman"/>
          <w:szCs w:val="21"/>
          <w:highlight w:val="none"/>
        </w:rPr>
        <w:t>关于出入现场的权利的约定：</w:t>
      </w:r>
      <w:r>
        <w:rPr>
          <w:rFonts w:hint="eastAsia" w:ascii="宋体" w:hAnsi="宋体" w:cs="宋体"/>
          <w:szCs w:val="21"/>
          <w:highlight w:val="none"/>
          <w:u w:val="single"/>
        </w:rPr>
        <w:t></w:t>
      </w:r>
      <w:r>
        <w:rPr>
          <w:rFonts w:hint="eastAsia" w:ascii="宋体" w:hAnsi="宋体" w:cs="Times New Roman"/>
          <w:szCs w:val="21"/>
          <w:highlight w:val="none"/>
          <w:u w:val="single"/>
        </w:rPr>
        <w:t>按通用条款执行</w:t>
      </w:r>
      <w:r>
        <w:rPr>
          <w:rFonts w:hint="eastAsia" w:ascii="宋体" w:hAnsi="宋体" w:cs="Times New Roman"/>
          <w:highlight w:val="none"/>
          <w:u w:val="single"/>
        </w:rPr>
        <w:t>。</w:t>
      </w:r>
    </w:p>
    <w:p w14:paraId="443D4893">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1.10.3 场内交通</w:t>
      </w:r>
    </w:p>
    <w:p w14:paraId="7B4BCAE7">
      <w:pPr>
        <w:spacing w:line="360" w:lineRule="auto"/>
        <w:ind w:firstLine="420" w:firstLineChars="200"/>
        <w:rPr>
          <w:rFonts w:ascii="宋体" w:hAnsi="宋体" w:cs="Times New Roman"/>
          <w:kern w:val="0"/>
          <w:highlight w:val="none"/>
        </w:rPr>
      </w:pPr>
      <w:r>
        <w:rPr>
          <w:rFonts w:ascii="宋体" w:hAnsi="宋体" w:cs="Times New Roman"/>
          <w:szCs w:val="21"/>
          <w:highlight w:val="none"/>
        </w:rPr>
        <w:t>关于场外交通和场内交通的边界的约定：</w:t>
      </w:r>
      <w:r>
        <w:rPr>
          <w:rFonts w:hint="eastAsia" w:ascii="宋体" w:hAnsi="宋体" w:cs="Times New Roman"/>
          <w:highlight w:val="none"/>
          <w:u w:val="single"/>
        </w:rPr>
        <w:t xml:space="preserve">     /      </w:t>
      </w:r>
      <w:r>
        <w:rPr>
          <w:rFonts w:ascii="宋体" w:hAnsi="宋体" w:cs="Times New Roman"/>
          <w:highlight w:val="none"/>
          <w:u w:val="single"/>
        </w:rPr>
        <w:t>。</w:t>
      </w:r>
    </w:p>
    <w:p w14:paraId="1E84288F">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关于发包人向承包人免费提供满足工程施工需要的场内道路和交通设施的约定：</w:t>
      </w:r>
      <w:r>
        <w:rPr>
          <w:rFonts w:hint="eastAsia" w:ascii="宋体" w:hAnsi="宋体" w:cs="Times New Roman"/>
          <w:highlight w:val="none"/>
          <w:u w:val="single"/>
        </w:rPr>
        <w:t>利用现有的</w:t>
      </w:r>
      <w:r>
        <w:rPr>
          <w:rFonts w:ascii="宋体" w:hAnsi="宋体" w:cs="Times New Roman"/>
          <w:highlight w:val="none"/>
          <w:u w:val="single"/>
        </w:rPr>
        <w:t>场内道路和交通设施</w:t>
      </w:r>
      <w:r>
        <w:rPr>
          <w:rFonts w:hint="eastAsia" w:ascii="宋体" w:hAnsi="宋体" w:cs="Times New Roman"/>
          <w:highlight w:val="none"/>
          <w:u w:val="single"/>
        </w:rPr>
        <w:t>。</w:t>
      </w:r>
    </w:p>
    <w:p w14:paraId="605223E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1.10.4超大件和超重件的运输</w:t>
      </w:r>
    </w:p>
    <w:p w14:paraId="64347706">
      <w:pPr>
        <w:spacing w:line="360" w:lineRule="auto"/>
        <w:ind w:firstLine="420" w:firstLineChars="200"/>
        <w:rPr>
          <w:rFonts w:ascii="宋体" w:hAnsi="宋体" w:cs="Times New Roman"/>
          <w:szCs w:val="21"/>
          <w:highlight w:val="none"/>
        </w:rPr>
      </w:pPr>
      <w:r>
        <w:rPr>
          <w:rFonts w:ascii="宋体" w:hAnsi="宋体" w:cs="Times New Roman"/>
          <w:szCs w:val="21"/>
          <w:highlight w:val="none"/>
        </w:rPr>
        <w:t>运输超大件或超重件所需的道路和桥梁临时加固改造费用和其他有关费用由</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hint="eastAsia" w:ascii="宋体" w:hAnsi="宋体" w:cs="Times New Roman"/>
          <w:szCs w:val="21"/>
          <w:highlight w:val="none"/>
        </w:rPr>
        <w:t>承担。</w:t>
      </w:r>
    </w:p>
    <w:p w14:paraId="42282CBC">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rPr>
        <w:t>本工程的超大件：</w:t>
      </w:r>
      <w:r>
        <w:rPr>
          <w:rFonts w:hint="eastAsia" w:ascii="宋体" w:hAnsi="宋体" w:cs="Times New Roman"/>
          <w:highlight w:val="none"/>
          <w:u w:val="single"/>
        </w:rPr>
        <w:t xml:space="preserve">   /    </w:t>
      </w:r>
    </w:p>
    <w:p w14:paraId="7E406077">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rPr>
        <w:t>本工程的超重件：</w:t>
      </w:r>
      <w:r>
        <w:rPr>
          <w:rFonts w:hint="eastAsia" w:ascii="宋体" w:hAnsi="宋体" w:cs="Times New Roman"/>
          <w:highlight w:val="none"/>
          <w:u w:val="single"/>
        </w:rPr>
        <w:t xml:space="preserve">   /  </w:t>
      </w:r>
      <w:r>
        <w:rPr>
          <w:rFonts w:ascii="宋体" w:hAnsi="宋体" w:cs="Times New Roman"/>
          <w:highlight w:val="none"/>
          <w:u w:val="single"/>
        </w:rPr>
        <w:t xml:space="preserve">  </w:t>
      </w:r>
    </w:p>
    <w:p w14:paraId="4855CEB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1.11 知识产权</w:t>
      </w:r>
    </w:p>
    <w:p w14:paraId="36FD1835">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w:t>
      </w:r>
      <w:r>
        <w:rPr>
          <w:rFonts w:hint="eastAsia" w:ascii="宋体" w:hAnsi="宋体" w:cs="Times New Roman"/>
          <w:szCs w:val="21"/>
          <w:highlight w:val="none"/>
          <w:u w:val="single"/>
        </w:rPr>
        <w:t>按通用条款执行</w:t>
      </w:r>
      <w:r>
        <w:rPr>
          <w:rFonts w:hint="eastAsia" w:ascii="宋体" w:hAnsi="宋体" w:cs="Times New Roman"/>
          <w:highlight w:val="none"/>
          <w:u w:val="single"/>
        </w:rPr>
        <w:t xml:space="preserve">。 </w:t>
      </w:r>
    </w:p>
    <w:p w14:paraId="1933088A">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关于发包人提供的上述文件的使用限制的要求：</w:t>
      </w:r>
      <w:r>
        <w:rPr>
          <w:rFonts w:ascii="宋体" w:hAnsi="宋体" w:cs="Times New Roman"/>
          <w:szCs w:val="21"/>
          <w:highlight w:val="none"/>
          <w:u w:val="single"/>
        </w:rPr>
        <w:t xml:space="preserve">  </w:t>
      </w:r>
      <w:r>
        <w:rPr>
          <w:rFonts w:hint="eastAsia" w:ascii="宋体" w:hAnsi="宋体" w:cs="Times New Roman"/>
          <w:szCs w:val="21"/>
          <w:highlight w:val="none"/>
          <w:u w:val="single"/>
        </w:rPr>
        <w:t>按通用条款执行</w:t>
      </w:r>
      <w:r>
        <w:rPr>
          <w:rFonts w:ascii="宋体" w:hAnsi="宋体" w:cs="Times New Roman"/>
          <w:highlight w:val="none"/>
          <w:u w:val="single"/>
        </w:rPr>
        <w:t>。</w:t>
      </w:r>
    </w:p>
    <w:p w14:paraId="7741117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1.11.2 关于承包人为实施工程所编制文件的著作权的归属：</w:t>
      </w:r>
      <w:r>
        <w:rPr>
          <w:rFonts w:ascii="宋体" w:hAnsi="宋体" w:cs="Times New Roman"/>
          <w:highlight w:val="none"/>
          <w:u w:val="single"/>
        </w:rPr>
        <w:t xml:space="preserve"> </w:t>
      </w:r>
      <w:r>
        <w:rPr>
          <w:rFonts w:hint="eastAsia" w:ascii="宋体" w:hAnsi="宋体" w:cs="Times New Roman"/>
          <w:highlight w:val="none"/>
          <w:u w:val="single"/>
        </w:rPr>
        <w:t>按通用条款执行</w:t>
      </w:r>
      <w:r>
        <w:rPr>
          <w:rFonts w:ascii="宋体" w:hAnsi="宋体" w:cs="Times New Roman"/>
          <w:highlight w:val="none"/>
          <w:u w:val="single"/>
        </w:rPr>
        <w:t>。</w:t>
      </w:r>
    </w:p>
    <w:p w14:paraId="5FF30CB3">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关于承包人提供的上述文件的使用限制的要求：</w:t>
      </w:r>
      <w:r>
        <w:rPr>
          <w:rFonts w:hint="eastAsia" w:ascii="宋体" w:hAnsi="宋体" w:cs="Times New Roman"/>
          <w:highlight w:val="none"/>
          <w:u w:val="single"/>
        </w:rPr>
        <w:t>按通用条款执行</w:t>
      </w:r>
      <w:r>
        <w:rPr>
          <w:rFonts w:ascii="宋体" w:hAnsi="宋体" w:cs="Times New Roman"/>
          <w:highlight w:val="none"/>
          <w:u w:val="single"/>
        </w:rPr>
        <w:t>。</w:t>
      </w:r>
    </w:p>
    <w:p w14:paraId="097890CD">
      <w:pPr>
        <w:spacing w:line="360" w:lineRule="auto"/>
        <w:ind w:firstLine="420" w:firstLineChars="200"/>
        <w:rPr>
          <w:rFonts w:ascii="宋体" w:hAnsi="宋体" w:cs="Times New Roman"/>
          <w:kern w:val="0"/>
          <w:highlight w:val="none"/>
        </w:rPr>
      </w:pPr>
      <w:r>
        <w:rPr>
          <w:rFonts w:ascii="宋体" w:hAnsi="宋体" w:cs="Times New Roman"/>
          <w:szCs w:val="21"/>
          <w:highlight w:val="none"/>
        </w:rPr>
        <w:t>1.11.4 承包人在施工过程中所采用的专利、专有技术、技术秘密的使用费的承担方式：</w:t>
      </w:r>
      <w:r>
        <w:rPr>
          <w:rFonts w:hint="eastAsia" w:ascii="宋体" w:hAnsi="宋体" w:cs="Times New Roman"/>
          <w:highlight w:val="none"/>
          <w:u w:val="single"/>
        </w:rPr>
        <w:t xml:space="preserve">  / </w:t>
      </w:r>
      <w:r>
        <w:rPr>
          <w:rFonts w:hint="eastAsia" w:ascii="宋体" w:hAnsi="宋体" w:cs="Times New Roman"/>
          <w:kern w:val="0"/>
          <w:highlight w:val="none"/>
          <w:u w:val="single"/>
        </w:rPr>
        <w:t>。</w:t>
      </w:r>
    </w:p>
    <w:p w14:paraId="2CD49A4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1.13工程量清单错误的修正</w:t>
      </w:r>
    </w:p>
    <w:p w14:paraId="45FBF5CD">
      <w:pPr>
        <w:spacing w:line="360" w:lineRule="auto"/>
        <w:ind w:firstLine="420" w:firstLineChars="200"/>
        <w:rPr>
          <w:rFonts w:ascii="宋体" w:hAnsi="宋体" w:cs="Times New Roman"/>
          <w:highlight w:val="none"/>
          <w:u w:val="single"/>
        </w:rPr>
      </w:pPr>
      <w:r>
        <w:rPr>
          <w:rFonts w:hint="eastAsia" w:ascii="宋体" w:hAnsi="宋体" w:cs="Times New Roman"/>
          <w:szCs w:val="21"/>
          <w:highlight w:val="none"/>
        </w:rPr>
        <w:t>出现工程量清单错误时，是否调整合同价格：</w:t>
      </w:r>
      <w:r>
        <w:rPr>
          <w:rFonts w:hint="eastAsia" w:ascii="宋体" w:hAnsi="宋体" w:cs="Times New Roman"/>
          <w:kern w:val="0"/>
          <w:highlight w:val="none"/>
          <w:u w:val="single"/>
        </w:rPr>
        <w:t>是</w:t>
      </w:r>
      <w:r>
        <w:rPr>
          <w:rFonts w:hint="eastAsia" w:ascii="宋体" w:hAnsi="宋体" w:cs="Times New Roman"/>
          <w:highlight w:val="none"/>
          <w:u w:val="single"/>
        </w:rPr>
        <w:t>。</w:t>
      </w:r>
    </w:p>
    <w:p w14:paraId="4A756F92">
      <w:pPr>
        <w:spacing w:line="360" w:lineRule="auto"/>
        <w:ind w:firstLine="420" w:firstLineChars="200"/>
        <w:rPr>
          <w:rFonts w:ascii="宋体" w:hAnsi="宋体" w:cs="Times New Roman"/>
          <w:kern w:val="0"/>
          <w:highlight w:val="none"/>
          <w:u w:val="single"/>
        </w:rPr>
      </w:pPr>
      <w:r>
        <w:rPr>
          <w:rFonts w:ascii="宋体" w:hAnsi="宋体" w:cs="Times New Roman"/>
          <w:szCs w:val="21"/>
          <w:highlight w:val="none"/>
        </w:rPr>
        <w:t>允许调整合同价格的工程量偏差范围</w:t>
      </w:r>
      <w:r>
        <w:rPr>
          <w:rFonts w:hint="eastAsia" w:ascii="宋体" w:hAnsi="宋体" w:cs="Times New Roman"/>
          <w:szCs w:val="21"/>
          <w:highlight w:val="none"/>
        </w:rPr>
        <w:t>：</w:t>
      </w:r>
      <w:r>
        <w:rPr>
          <w:rFonts w:hint="eastAsia" w:ascii="宋体" w:hAnsi="宋体" w:cs="Times New Roman"/>
          <w:kern w:val="0"/>
          <w:highlight w:val="none"/>
          <w:u w:val="single"/>
        </w:rPr>
        <w:t>经合同双方书面确认后按实调整。</w:t>
      </w:r>
      <w:r>
        <w:rPr>
          <w:rFonts w:hint="eastAsia" w:ascii="宋体" w:hAnsi="宋体" w:cs="Times New Roman"/>
          <w:highlight w:val="none"/>
          <w:u w:val="single"/>
        </w:rPr>
        <w:t>在工程量清单内已列入的材料设备单价不予调整，其他</w:t>
      </w:r>
      <w:r>
        <w:rPr>
          <w:rFonts w:hint="eastAsia" w:ascii="宋体" w:hAnsi="宋体" w:cs="Times New Roman"/>
          <w:kern w:val="0"/>
          <w:highlight w:val="none"/>
          <w:u w:val="single"/>
        </w:rPr>
        <w:t>调整按专用条款1</w:t>
      </w:r>
      <w:r>
        <w:rPr>
          <w:rFonts w:ascii="宋体" w:hAnsi="宋体" w:cs="Times New Roman"/>
          <w:kern w:val="0"/>
          <w:highlight w:val="none"/>
          <w:u w:val="single"/>
        </w:rPr>
        <w:t>0.4.1</w:t>
      </w:r>
      <w:r>
        <w:rPr>
          <w:rFonts w:hint="eastAsia" w:ascii="宋体" w:hAnsi="宋体" w:cs="Times New Roman"/>
          <w:kern w:val="0"/>
          <w:highlight w:val="none"/>
          <w:u w:val="single"/>
        </w:rPr>
        <w:t>执行</w:t>
      </w:r>
      <w:r>
        <w:rPr>
          <w:rFonts w:ascii="宋体" w:hAnsi="宋体" w:cs="Times New Roman"/>
          <w:kern w:val="0"/>
          <w:highlight w:val="none"/>
          <w:u w:val="single"/>
        </w:rPr>
        <w:t>。</w:t>
      </w:r>
    </w:p>
    <w:p w14:paraId="025D73AB">
      <w:pPr>
        <w:spacing w:line="360" w:lineRule="auto"/>
        <w:ind w:firstLine="420" w:firstLineChars="200"/>
        <w:rPr>
          <w:rFonts w:ascii="宋体" w:hAnsi="宋体" w:cs="Times New Roman"/>
          <w:szCs w:val="21"/>
          <w:highlight w:val="none"/>
        </w:rPr>
      </w:pPr>
      <w:r>
        <w:rPr>
          <w:rFonts w:hint="eastAsia" w:ascii="宋体" w:hAnsi="宋体" w:cs="Times New Roman"/>
          <w:highlight w:val="none"/>
        </w:rPr>
        <w:t>调整合同价格的</w:t>
      </w:r>
      <w:r>
        <w:rPr>
          <w:rFonts w:hint="eastAsia" w:ascii="宋体" w:hAnsi="宋体" w:cs="Times New Roman"/>
          <w:kern w:val="0"/>
          <w:highlight w:val="none"/>
        </w:rPr>
        <w:t>修正时间：</w:t>
      </w:r>
      <w:r>
        <w:rPr>
          <w:rFonts w:hint="eastAsia" w:ascii="宋体" w:hAnsi="宋体" w:cs="Times New Roman"/>
          <w:highlight w:val="none"/>
          <w:u w:val="single"/>
        </w:rPr>
        <w:t>在工程结算审核时调整。</w:t>
      </w:r>
    </w:p>
    <w:p w14:paraId="0D2329C2">
      <w:pPr>
        <w:topLinePunct/>
        <w:spacing w:line="360" w:lineRule="auto"/>
        <w:ind w:firstLine="420"/>
        <w:rPr>
          <w:rFonts w:ascii="宋体" w:hAnsi="宋体" w:cs="Times New Roman"/>
          <w:b/>
          <w:highlight w:val="none"/>
        </w:rPr>
      </w:pPr>
      <w:r>
        <w:rPr>
          <w:rFonts w:ascii="宋体" w:hAnsi="宋体" w:cs="Times New Roman"/>
          <w:b/>
          <w:highlight w:val="none"/>
        </w:rPr>
        <w:t>2. 发包人</w:t>
      </w:r>
    </w:p>
    <w:p w14:paraId="4BCFA438">
      <w:pPr>
        <w:spacing w:line="360" w:lineRule="auto"/>
        <w:ind w:firstLine="420" w:firstLineChars="200"/>
        <w:rPr>
          <w:rFonts w:ascii="宋体" w:hAnsi="宋体" w:cs="Times New Roman"/>
          <w:szCs w:val="21"/>
          <w:highlight w:val="none"/>
        </w:rPr>
      </w:pPr>
      <w:r>
        <w:rPr>
          <w:rFonts w:hint="eastAsia" w:ascii="宋体" w:hAnsi="宋体" w:cs="Times New Roman"/>
          <w:highlight w:val="none"/>
        </w:rPr>
        <w:t>发包人应根据工程所需配备发包人代表，同时配备</w:t>
      </w:r>
      <w:r>
        <w:rPr>
          <w:rFonts w:ascii="宋体" w:hAnsi="宋体" w:cs="Times New Roman"/>
          <w:highlight w:val="none"/>
        </w:rPr>
        <w:t>1</w:t>
      </w:r>
      <w:r>
        <w:rPr>
          <w:rFonts w:hint="eastAsia" w:ascii="宋体" w:hAnsi="宋体" w:cs="Times New Roman"/>
          <w:highlight w:val="none"/>
        </w:rPr>
        <w:t>名相关人员到岗履职。</w:t>
      </w:r>
    </w:p>
    <w:p w14:paraId="7C31C53E">
      <w:pPr>
        <w:spacing w:line="360" w:lineRule="auto"/>
        <w:ind w:firstLine="420" w:firstLineChars="200"/>
        <w:rPr>
          <w:rFonts w:ascii="宋体" w:hAnsi="宋体" w:cs="Times New Roman"/>
          <w:szCs w:val="21"/>
          <w:highlight w:val="none"/>
        </w:rPr>
      </w:pPr>
      <w:r>
        <w:rPr>
          <w:rFonts w:ascii="宋体" w:hAnsi="宋体" w:cs="Times New Roman"/>
          <w:szCs w:val="21"/>
          <w:highlight w:val="none"/>
        </w:rPr>
        <w:t>2.2 发包人代表</w:t>
      </w:r>
    </w:p>
    <w:p w14:paraId="2A6A0F15">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发包人代表：</w:t>
      </w:r>
    </w:p>
    <w:p w14:paraId="6E8DAAE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姓    名：</w:t>
      </w:r>
      <w:r>
        <w:rPr>
          <w:rFonts w:hint="eastAsia" w:ascii="宋体" w:hAnsi="宋体" w:cs="Times New Roman"/>
          <w:kern w:val="0"/>
          <w:highlight w:val="none"/>
          <w:u w:val="single"/>
        </w:rPr>
        <w:t xml:space="preserve"> </w:t>
      </w:r>
      <w:r>
        <w:rPr>
          <w:rFonts w:ascii="宋体" w:hAnsi="宋体" w:cs="Times New Roman"/>
          <w:kern w:val="0"/>
          <w:highlight w:val="none"/>
          <w:u w:val="single"/>
        </w:rPr>
        <w:t xml:space="preserve"> </w:t>
      </w:r>
      <w:r>
        <w:rPr>
          <w:rFonts w:hint="eastAsia" w:ascii="宋体" w:hAnsi="宋体" w:cs="Times New Roman"/>
          <w:kern w:val="0"/>
          <w:highlight w:val="none"/>
          <w:u w:val="single"/>
        </w:rPr>
        <w:t xml:space="preserve">            </w:t>
      </w:r>
      <w:r>
        <w:rPr>
          <w:rFonts w:hint="eastAsia" w:ascii="宋体" w:hAnsi="宋体" w:cs="Times New Roman"/>
          <w:b/>
          <w:bCs/>
          <w:szCs w:val="21"/>
          <w:highlight w:val="none"/>
          <w:u w:val="single"/>
        </w:rPr>
        <w:t xml:space="preserve"> </w:t>
      </w:r>
      <w:r>
        <w:rPr>
          <w:rFonts w:ascii="宋体" w:hAnsi="宋体" w:cs="Times New Roman"/>
          <w:kern w:val="0"/>
          <w:highlight w:val="none"/>
          <w:u w:val="single"/>
        </w:rPr>
        <w:t xml:space="preserve">   </w:t>
      </w:r>
      <w:r>
        <w:rPr>
          <w:rFonts w:hint="eastAsia" w:ascii="宋体" w:hAnsi="宋体" w:cs="Times New Roman"/>
          <w:kern w:val="0"/>
          <w:highlight w:val="none"/>
          <w:u w:val="single"/>
        </w:rPr>
        <w:t>；</w:t>
      </w:r>
    </w:p>
    <w:p w14:paraId="6DA941AD">
      <w:pPr>
        <w:spacing w:line="360" w:lineRule="auto"/>
        <w:ind w:firstLine="420" w:firstLineChars="200"/>
        <w:rPr>
          <w:rFonts w:ascii="宋体" w:hAnsi="宋体" w:cs="Times New Roman"/>
          <w:szCs w:val="21"/>
          <w:highlight w:val="none"/>
        </w:rPr>
      </w:pPr>
      <w:r>
        <w:rPr>
          <w:rFonts w:ascii="宋体" w:hAnsi="宋体" w:cs="Times New Roman"/>
          <w:szCs w:val="21"/>
          <w:highlight w:val="none"/>
        </w:rPr>
        <w:t>身份证号：</w:t>
      </w:r>
      <w:r>
        <w:rPr>
          <w:rFonts w:hint="eastAsia" w:ascii="宋体" w:hAnsi="宋体" w:cs="Times New Roman"/>
          <w:kern w:val="0"/>
          <w:highlight w:val="none"/>
          <w:u w:val="single"/>
        </w:rPr>
        <w:t xml:space="preserve">/     </w:t>
      </w:r>
      <w:r>
        <w:rPr>
          <w:rFonts w:ascii="宋体" w:hAnsi="宋体" w:cs="Times New Roman"/>
          <w:kern w:val="0"/>
          <w:highlight w:val="none"/>
          <w:u w:val="single"/>
        </w:rPr>
        <w:t xml:space="preserve"> </w:t>
      </w:r>
      <w:r>
        <w:rPr>
          <w:rFonts w:hint="eastAsia" w:ascii="宋体" w:hAnsi="宋体" w:cs="Times New Roman"/>
          <w:kern w:val="0"/>
          <w:highlight w:val="none"/>
          <w:u w:val="single"/>
        </w:rPr>
        <w:t></w:t>
      </w:r>
      <w:r>
        <w:rPr>
          <w:rFonts w:ascii="宋体" w:hAnsi="宋体" w:cs="Times New Roman"/>
          <w:kern w:val="0"/>
          <w:highlight w:val="none"/>
          <w:u w:val="single"/>
        </w:rPr>
        <w:t>；</w:t>
      </w:r>
    </w:p>
    <w:p w14:paraId="192B526C">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职    务：</w:t>
      </w:r>
      <w:r>
        <w:rPr>
          <w:rFonts w:hint="eastAsia" w:ascii="宋体" w:hAnsi="宋体" w:cs="宋体"/>
          <w:kern w:val="0"/>
          <w:szCs w:val="21"/>
          <w:highlight w:val="none"/>
          <w:u w:val="single"/>
        </w:rPr>
        <w:t></w:t>
      </w:r>
      <w:r>
        <w:rPr>
          <w:rFonts w:hint="eastAsia" w:ascii="宋体" w:hAnsi="宋体" w:cs="Times New Roman"/>
          <w:kern w:val="0"/>
          <w:szCs w:val="21"/>
          <w:highlight w:val="none"/>
          <w:u w:val="single"/>
        </w:rPr>
        <w:t xml:space="preserve">          /              </w:t>
      </w:r>
      <w:r>
        <w:rPr>
          <w:rFonts w:hint="eastAsia" w:ascii="宋体" w:hAnsi="宋体" w:cs="Times New Roman"/>
          <w:kern w:val="0"/>
          <w:highlight w:val="none"/>
          <w:u w:val="single"/>
        </w:rPr>
        <w:t xml:space="preserve">  </w:t>
      </w:r>
      <w:r>
        <w:rPr>
          <w:rFonts w:ascii="宋体" w:hAnsi="宋体" w:cs="Times New Roman"/>
          <w:kern w:val="0"/>
          <w:highlight w:val="none"/>
          <w:u w:val="single"/>
        </w:rPr>
        <w:t>；</w:t>
      </w:r>
    </w:p>
    <w:p w14:paraId="31B0BCB5">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联系电话：</w:t>
      </w:r>
      <w:r>
        <w:rPr>
          <w:rFonts w:hint="eastAsia" w:ascii="宋体" w:hAnsi="宋体" w:cs="宋体"/>
          <w:kern w:val="0"/>
          <w:szCs w:val="21"/>
          <w:highlight w:val="none"/>
          <w:u w:val="single"/>
        </w:rPr>
        <w:t> </w:t>
      </w:r>
      <w:r>
        <w:rPr>
          <w:rFonts w:hint="eastAsia" w:ascii="宋体" w:hAnsi="宋体" w:cs="Times New Roman"/>
          <w:kern w:val="0"/>
          <w:highlight w:val="none"/>
          <w:u w:val="single"/>
        </w:rPr>
        <w:t xml:space="preserve"> </w:t>
      </w:r>
      <w:r>
        <w:rPr>
          <w:rFonts w:ascii="宋体" w:hAnsi="宋体" w:cs="Times New Roman"/>
          <w:kern w:val="0"/>
          <w:highlight w:val="none"/>
          <w:u w:val="single"/>
        </w:rPr>
        <w:t xml:space="preserve"> </w:t>
      </w:r>
      <w:r>
        <w:rPr>
          <w:rFonts w:hint="eastAsia" w:ascii="宋体" w:hAnsi="宋体" w:cs="Times New Roman"/>
          <w:kern w:val="0"/>
          <w:highlight w:val="none"/>
          <w:u w:val="single"/>
        </w:rPr>
        <w:t></w:t>
      </w:r>
      <w:r>
        <w:rPr>
          <w:rFonts w:ascii="宋体" w:hAnsi="宋体" w:cs="Times New Roman"/>
          <w:kern w:val="0"/>
          <w:highlight w:val="none"/>
          <w:u w:val="single"/>
        </w:rPr>
        <w:t>；</w:t>
      </w:r>
    </w:p>
    <w:p w14:paraId="59CF0BC6">
      <w:pPr>
        <w:spacing w:line="360" w:lineRule="auto"/>
        <w:ind w:firstLine="420" w:firstLineChars="200"/>
        <w:rPr>
          <w:rFonts w:ascii="宋体" w:hAnsi="宋体" w:cs="Times New Roman"/>
          <w:szCs w:val="21"/>
          <w:highlight w:val="none"/>
        </w:rPr>
      </w:pPr>
      <w:r>
        <w:rPr>
          <w:rFonts w:ascii="宋体" w:hAnsi="宋体" w:cs="Times New Roman"/>
          <w:szCs w:val="21"/>
          <w:highlight w:val="none"/>
        </w:rPr>
        <w:t>电子信箱：</w:t>
      </w:r>
      <w:r>
        <w:rPr>
          <w:rFonts w:hint="eastAsia" w:ascii="宋体" w:hAnsi="宋体" w:cs="宋体"/>
          <w:kern w:val="0"/>
          <w:szCs w:val="21"/>
          <w:highlight w:val="none"/>
          <w:u w:val="single"/>
        </w:rPr>
        <w:t>      /  </w:t>
      </w:r>
      <w:r>
        <w:rPr>
          <w:rFonts w:hint="eastAsia" w:ascii="宋体" w:hAnsi="宋体" w:cs="Times New Roman"/>
          <w:kern w:val="0"/>
          <w:szCs w:val="21"/>
          <w:highlight w:val="none"/>
          <w:u w:val="single"/>
        </w:rPr>
        <w:t xml:space="preserve"> </w:t>
      </w:r>
      <w:r>
        <w:rPr>
          <w:rFonts w:hint="eastAsia" w:ascii="宋体" w:hAnsi="宋体" w:cs="宋体"/>
          <w:kern w:val="0"/>
          <w:szCs w:val="21"/>
          <w:highlight w:val="none"/>
          <w:u w:val="single"/>
        </w:rPr>
        <w:t></w:t>
      </w:r>
      <w:r>
        <w:rPr>
          <w:rFonts w:hint="eastAsia" w:ascii="宋体" w:hAnsi="宋体" w:cs="Times New Roman"/>
          <w:kern w:val="0"/>
          <w:highlight w:val="none"/>
          <w:u w:val="single"/>
        </w:rPr>
        <w:t xml:space="preserve"> </w:t>
      </w:r>
      <w:r>
        <w:rPr>
          <w:rFonts w:ascii="宋体" w:hAnsi="宋体" w:cs="Times New Roman"/>
          <w:kern w:val="0"/>
          <w:highlight w:val="none"/>
          <w:u w:val="single"/>
        </w:rPr>
        <w:t>；</w:t>
      </w:r>
    </w:p>
    <w:p w14:paraId="7F6CCF81">
      <w:pPr>
        <w:spacing w:line="360" w:lineRule="auto"/>
        <w:ind w:firstLine="420" w:firstLineChars="200"/>
        <w:rPr>
          <w:rFonts w:ascii="宋体" w:hAnsi="宋体" w:cs="Times New Roman"/>
          <w:szCs w:val="21"/>
          <w:highlight w:val="none"/>
        </w:rPr>
      </w:pPr>
      <w:r>
        <w:rPr>
          <w:rFonts w:ascii="宋体" w:hAnsi="宋体" w:cs="Times New Roman"/>
          <w:szCs w:val="21"/>
          <w:highlight w:val="none"/>
        </w:rPr>
        <w:t>通信地址：</w:t>
      </w:r>
      <w:r>
        <w:rPr>
          <w:rFonts w:hint="eastAsia" w:ascii="宋体" w:hAnsi="宋体" w:cs="Times New Roman"/>
          <w:szCs w:val="21"/>
          <w:highlight w:val="none"/>
          <w:u w:val="single"/>
        </w:rPr>
        <w:t>杭州市滨文路548号浙江中医药大学</w:t>
      </w:r>
      <w:r>
        <w:rPr>
          <w:rFonts w:ascii="宋体" w:hAnsi="宋体" w:cs="Times New Roman"/>
          <w:kern w:val="0"/>
          <w:highlight w:val="none"/>
          <w:u w:val="single"/>
        </w:rPr>
        <w:t>。</w:t>
      </w:r>
    </w:p>
    <w:p w14:paraId="730C76DE">
      <w:pPr>
        <w:spacing w:line="360" w:lineRule="auto"/>
        <w:ind w:firstLine="420" w:firstLineChars="200"/>
        <w:rPr>
          <w:rFonts w:ascii="宋体" w:hAnsi="宋体" w:cs="Times New Roman"/>
          <w:b/>
          <w:highlight w:val="none"/>
        </w:rPr>
      </w:pPr>
      <w:r>
        <w:rPr>
          <w:rFonts w:ascii="宋体" w:hAnsi="宋体" w:cs="Times New Roman"/>
          <w:szCs w:val="21"/>
          <w:highlight w:val="none"/>
        </w:rPr>
        <w:t>发包人对发包人代表的授权范围如下：</w:t>
      </w:r>
      <w:r>
        <w:rPr>
          <w:rFonts w:hint="eastAsia" w:ascii="宋体" w:hAnsi="宋体" w:cs="Times New Roman"/>
          <w:highlight w:val="none"/>
          <w:u w:val="single"/>
        </w:rPr>
        <w:t>对质量、成本、安全、进度进行全面管理，涉及合同价格变更、安全事故、质量事故等重大事项的处理须经发包人领导班子签字同意并加盖发包人公章后方能生效</w:t>
      </w:r>
      <w:r>
        <w:rPr>
          <w:rFonts w:ascii="宋体" w:hAnsi="宋体" w:cs="Times New Roman"/>
          <w:szCs w:val="21"/>
          <w:highlight w:val="none"/>
        </w:rPr>
        <w:t>。</w:t>
      </w:r>
    </w:p>
    <w:p w14:paraId="535B46D3">
      <w:pPr>
        <w:spacing w:line="360" w:lineRule="auto"/>
        <w:ind w:firstLine="420" w:firstLineChars="200"/>
        <w:rPr>
          <w:rFonts w:ascii="宋体" w:hAnsi="宋体" w:cs="Times New Roman"/>
          <w:szCs w:val="21"/>
          <w:highlight w:val="none"/>
        </w:rPr>
      </w:pPr>
      <w:r>
        <w:rPr>
          <w:rFonts w:ascii="宋体" w:hAnsi="宋体" w:cs="Times New Roman"/>
          <w:szCs w:val="21"/>
          <w:highlight w:val="none"/>
        </w:rPr>
        <w:t>2.4 施工现场、施工条件和基础资料的提供</w:t>
      </w:r>
    </w:p>
    <w:p w14:paraId="77963E29">
      <w:pPr>
        <w:spacing w:line="360" w:lineRule="auto"/>
        <w:ind w:firstLine="420" w:firstLineChars="200"/>
        <w:rPr>
          <w:rFonts w:ascii="宋体" w:hAnsi="宋体" w:cs="Times New Roman"/>
          <w:szCs w:val="21"/>
          <w:highlight w:val="none"/>
        </w:rPr>
      </w:pPr>
      <w:r>
        <w:rPr>
          <w:rFonts w:ascii="宋体" w:hAnsi="宋体" w:cs="Times New Roman"/>
          <w:szCs w:val="21"/>
          <w:highlight w:val="none"/>
        </w:rPr>
        <w:t>2.4.1 提供施工现场</w:t>
      </w:r>
    </w:p>
    <w:p w14:paraId="7B51C2B3">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关于发包人移交施工现场的期限要求：</w:t>
      </w:r>
      <w:r>
        <w:rPr>
          <w:rFonts w:hint="eastAsia" w:ascii="宋体" w:hAnsi="宋体" w:cs="Times New Roman"/>
          <w:highlight w:val="none"/>
          <w:u w:val="single"/>
        </w:rPr>
        <w:t xml:space="preserve"> </w:t>
      </w:r>
      <w:r>
        <w:rPr>
          <w:rFonts w:hint="eastAsia" w:ascii="宋体" w:hAnsi="宋体" w:cs="Times New Roman"/>
          <w:szCs w:val="21"/>
          <w:highlight w:val="none"/>
          <w:u w:val="single"/>
        </w:rPr>
        <w:t xml:space="preserve">   /     </w:t>
      </w:r>
      <w:r>
        <w:rPr>
          <w:rFonts w:hint="eastAsia" w:ascii="宋体" w:hAnsi="宋体" w:cs="Times New Roman"/>
          <w:highlight w:val="none"/>
          <w:u w:val="single"/>
        </w:rPr>
        <w:t xml:space="preserve"> </w:t>
      </w:r>
      <w:r>
        <w:rPr>
          <w:rFonts w:ascii="宋体" w:hAnsi="宋体" w:cs="Times New Roman"/>
          <w:szCs w:val="21"/>
          <w:highlight w:val="none"/>
        </w:rPr>
        <w:t>。</w:t>
      </w:r>
    </w:p>
    <w:p w14:paraId="08BD0BAF">
      <w:pPr>
        <w:spacing w:line="360" w:lineRule="auto"/>
        <w:ind w:firstLine="420" w:firstLineChars="200"/>
        <w:rPr>
          <w:rFonts w:ascii="宋体" w:hAnsi="宋体" w:cs="Times New Roman"/>
          <w:szCs w:val="21"/>
          <w:highlight w:val="none"/>
        </w:rPr>
      </w:pPr>
      <w:r>
        <w:rPr>
          <w:rFonts w:ascii="宋体" w:hAnsi="宋体" w:cs="Times New Roman"/>
          <w:szCs w:val="21"/>
          <w:highlight w:val="none"/>
        </w:rPr>
        <w:t>2.4.2 提供施工条件</w:t>
      </w:r>
    </w:p>
    <w:p w14:paraId="00ABA6AE">
      <w:pPr>
        <w:spacing w:line="360" w:lineRule="auto"/>
        <w:ind w:firstLine="420" w:firstLineChars="200"/>
        <w:rPr>
          <w:rFonts w:ascii="宋体" w:hAnsi="宋体" w:cs="Times New Roman"/>
          <w:highlight w:val="none"/>
        </w:rPr>
      </w:pPr>
      <w:r>
        <w:rPr>
          <w:rFonts w:ascii="宋体" w:hAnsi="宋体" w:cs="Times New Roman"/>
          <w:highlight w:val="none"/>
        </w:rPr>
        <w:t>关于发包人应负责提供施工</w:t>
      </w:r>
      <w:r>
        <w:rPr>
          <w:rFonts w:hint="eastAsia" w:ascii="宋体" w:hAnsi="宋体" w:cs="Times New Roman"/>
          <w:highlight w:val="none"/>
        </w:rPr>
        <w:t>所需要的条件，</w:t>
      </w:r>
      <w:r>
        <w:rPr>
          <w:rFonts w:ascii="宋体" w:hAnsi="宋体" w:cs="Times New Roman"/>
          <w:highlight w:val="none"/>
        </w:rPr>
        <w:t>包括：</w:t>
      </w:r>
      <w:bookmarkStart w:id="131" w:name="_Hlk74471726"/>
      <w:r>
        <w:rPr>
          <w:rFonts w:ascii="宋体" w:hAnsi="宋体" w:cs="Times New Roman"/>
          <w:highlight w:val="none"/>
        </w:rPr>
        <w:t xml:space="preserve"> </w:t>
      </w:r>
      <w:r>
        <w:rPr>
          <w:rFonts w:hint="eastAsia" w:ascii="宋体" w:hAnsi="宋体" w:cs="Times New Roman"/>
          <w:highlight w:val="none"/>
          <w:u w:val="single"/>
        </w:rPr>
        <w:t>（</w:t>
      </w:r>
      <w:r>
        <w:rPr>
          <w:rFonts w:ascii="宋体" w:hAnsi="宋体" w:cs="Times New Roman"/>
          <w:highlight w:val="none"/>
          <w:u w:val="single"/>
        </w:rPr>
        <w:t>1</w:t>
      </w:r>
      <w:r>
        <w:rPr>
          <w:rFonts w:hint="eastAsia" w:ascii="宋体" w:hAnsi="宋体" w:cs="Times New Roman"/>
          <w:highlight w:val="none"/>
          <w:u w:val="single"/>
        </w:rPr>
        <w:t>）</w:t>
      </w:r>
      <w:r>
        <w:rPr>
          <w:rFonts w:ascii="宋体" w:hAnsi="宋体" w:cs="Times New Roman"/>
          <w:highlight w:val="none"/>
          <w:u w:val="single"/>
        </w:rPr>
        <w:t>施工场地具备施工条件的要求及完成的时间：场地</w:t>
      </w:r>
      <w:r>
        <w:rPr>
          <w:rFonts w:hint="eastAsia" w:ascii="宋体" w:hAnsi="宋体" w:cs="Times New Roman"/>
          <w:highlight w:val="none"/>
          <w:u w:val="single"/>
        </w:rPr>
        <w:t>已</w:t>
      </w:r>
      <w:r>
        <w:rPr>
          <w:rFonts w:ascii="宋体" w:hAnsi="宋体" w:cs="Times New Roman"/>
          <w:highlight w:val="none"/>
          <w:u w:val="single"/>
        </w:rPr>
        <w:t>具备施工条件</w:t>
      </w:r>
      <w:r>
        <w:rPr>
          <w:rFonts w:hint="eastAsia" w:ascii="宋体" w:hAnsi="宋体" w:cs="Times New Roman"/>
          <w:highlight w:val="none"/>
          <w:u w:val="single"/>
        </w:rPr>
        <w:t>。</w:t>
      </w:r>
    </w:p>
    <w:p w14:paraId="4E02640D">
      <w:pPr>
        <w:topLinePunct/>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r>
        <w:rPr>
          <w:rFonts w:hint="eastAsia" w:ascii="Times New Roman" w:hAnsi="Times New Roman" w:cs="Times New Roman"/>
          <w:highlight w:val="none"/>
          <w:u w:val="single"/>
        </w:rPr>
        <w:t>。</w:t>
      </w:r>
    </w:p>
    <w:bookmarkEnd w:id="131"/>
    <w:p w14:paraId="31A1475D">
      <w:pPr>
        <w:spacing w:line="360" w:lineRule="auto"/>
        <w:ind w:firstLine="420" w:firstLineChars="200"/>
        <w:rPr>
          <w:rFonts w:ascii="宋体" w:hAnsi="宋体" w:cs="Times New Roman"/>
          <w:szCs w:val="21"/>
          <w:highlight w:val="none"/>
        </w:rPr>
      </w:pPr>
      <w:r>
        <w:rPr>
          <w:rFonts w:ascii="宋体" w:hAnsi="宋体" w:cs="Times New Roman"/>
          <w:szCs w:val="21"/>
          <w:highlight w:val="none"/>
        </w:rPr>
        <w:t>2.5 资金来源证明及支付担保</w:t>
      </w:r>
    </w:p>
    <w:p w14:paraId="4B147194">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发包人提供资金来源证明的期限要求：</w:t>
      </w:r>
      <w:r>
        <w:rPr>
          <w:rFonts w:hint="eastAsia" w:ascii="宋体" w:hAnsi="宋体" w:cs="Times New Roman"/>
          <w:highlight w:val="none"/>
          <w:u w:val="single"/>
        </w:rPr>
        <w:t>/。</w:t>
      </w:r>
    </w:p>
    <w:p w14:paraId="132BF919">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发包人是否提供支付担保：</w:t>
      </w:r>
      <w:r>
        <w:rPr>
          <w:rFonts w:hint="eastAsia" w:ascii="宋体" w:hAnsi="宋体" w:cs="Times New Roman"/>
          <w:highlight w:val="none"/>
          <w:u w:val="single"/>
        </w:rPr>
        <w:t>/。</w:t>
      </w:r>
    </w:p>
    <w:p w14:paraId="6A6139C5">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发包人提供支付担保的形式：</w:t>
      </w:r>
      <w:r>
        <w:rPr>
          <w:rFonts w:hint="eastAsia" w:ascii="宋体" w:hAnsi="宋体" w:cs="Times New Roman"/>
          <w:highlight w:val="none"/>
          <w:u w:val="single"/>
        </w:rPr>
        <w:t>/。</w:t>
      </w:r>
    </w:p>
    <w:p w14:paraId="56D6D365">
      <w:pPr>
        <w:topLinePunct/>
        <w:spacing w:line="360" w:lineRule="auto"/>
        <w:ind w:firstLine="420"/>
        <w:rPr>
          <w:rFonts w:ascii="宋体" w:hAnsi="宋体" w:cs="Times New Roman"/>
          <w:b/>
          <w:highlight w:val="none"/>
        </w:rPr>
      </w:pPr>
      <w:r>
        <w:rPr>
          <w:rFonts w:ascii="宋体" w:hAnsi="宋体" w:cs="Times New Roman"/>
          <w:b/>
          <w:highlight w:val="none"/>
        </w:rPr>
        <w:t>3. 承包人</w:t>
      </w:r>
    </w:p>
    <w:p w14:paraId="28A4F459">
      <w:pPr>
        <w:spacing w:line="360" w:lineRule="auto"/>
        <w:ind w:firstLine="420" w:firstLineChars="200"/>
        <w:rPr>
          <w:rFonts w:ascii="宋体" w:hAnsi="宋体" w:cs="Times New Roman"/>
          <w:szCs w:val="21"/>
          <w:highlight w:val="none"/>
        </w:rPr>
      </w:pPr>
      <w:r>
        <w:rPr>
          <w:rFonts w:ascii="宋体" w:hAnsi="宋体" w:cs="Times New Roman"/>
          <w:szCs w:val="21"/>
          <w:highlight w:val="none"/>
        </w:rPr>
        <w:t>3.1 承包人的一般义务</w:t>
      </w:r>
    </w:p>
    <w:p w14:paraId="583F9D98">
      <w:pPr>
        <w:spacing w:line="360" w:lineRule="auto"/>
        <w:ind w:firstLine="420" w:firstLineChars="200"/>
        <w:rPr>
          <w:rFonts w:ascii="宋体" w:hAnsi="宋体" w:cs="Times New Roman"/>
          <w:szCs w:val="21"/>
          <w:highlight w:val="none"/>
        </w:rPr>
      </w:pPr>
      <w:r>
        <w:rPr>
          <w:rFonts w:ascii="宋体" w:hAnsi="宋体" w:cs="Times New Roman"/>
          <w:szCs w:val="21"/>
          <w:highlight w:val="none"/>
        </w:rPr>
        <w:t>（</w:t>
      </w:r>
      <w:r>
        <w:rPr>
          <w:rFonts w:hint="eastAsia" w:ascii="宋体" w:hAnsi="宋体" w:cs="Times New Roman"/>
          <w:szCs w:val="21"/>
          <w:highlight w:val="none"/>
        </w:rPr>
        <w:t>9</w:t>
      </w:r>
      <w:r>
        <w:rPr>
          <w:rFonts w:ascii="宋体" w:hAnsi="宋体" w:cs="Times New Roman"/>
          <w:szCs w:val="21"/>
          <w:highlight w:val="none"/>
        </w:rPr>
        <w:t>）承包人提交的竣工资料的内容：</w:t>
      </w:r>
      <w:r>
        <w:rPr>
          <w:rFonts w:hint="eastAsia" w:ascii="宋体" w:hAnsi="宋体" w:cs="Times New Roman"/>
          <w:kern w:val="0"/>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Times New Roman"/>
          <w:highlight w:val="none"/>
          <w:u w:val="single"/>
        </w:rPr>
        <w:t>。</w:t>
      </w:r>
    </w:p>
    <w:p w14:paraId="15DED772">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承包人需要提交的竣工资料套数：</w:t>
      </w:r>
      <w:r>
        <w:rPr>
          <w:rFonts w:hint="eastAsia" w:ascii="宋体" w:hAnsi="宋体" w:cs="Times New Roman"/>
          <w:highlight w:val="none"/>
        </w:rPr>
        <w:t xml:space="preserve"> </w:t>
      </w:r>
      <w:r>
        <w:rPr>
          <w:rFonts w:hint="eastAsia" w:ascii="宋体" w:hAnsi="宋体" w:cs="Times New Roman"/>
          <w:szCs w:val="21"/>
          <w:highlight w:val="none"/>
          <w:u w:val="single"/>
        </w:rPr>
        <w:t xml:space="preserve"> </w:t>
      </w:r>
      <w:r>
        <w:rPr>
          <w:rFonts w:hint="eastAsia" w:ascii="宋体" w:hAnsi="宋体" w:cs="Times New Roman"/>
          <w:kern w:val="0"/>
          <w:highlight w:val="none"/>
          <w:u w:val="single"/>
        </w:rPr>
        <w:t>一式陆份，同时提供电子文档</w:t>
      </w:r>
      <w:r>
        <w:rPr>
          <w:rFonts w:ascii="宋体" w:hAnsi="宋体" w:cs="Times New Roman"/>
          <w:highlight w:val="none"/>
          <w:u w:val="single"/>
        </w:rPr>
        <w:t>。</w:t>
      </w:r>
    </w:p>
    <w:p w14:paraId="237A296D">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承包人提交的竣工资料的费用承担：</w:t>
      </w:r>
      <w:r>
        <w:rPr>
          <w:rFonts w:hint="eastAsia" w:ascii="宋体" w:hAnsi="宋体" w:cs="Times New Roman"/>
          <w:szCs w:val="21"/>
          <w:highlight w:val="none"/>
          <w:u w:val="single"/>
        </w:rPr>
        <w:t xml:space="preserve">  承包人承担 </w:t>
      </w:r>
      <w:r>
        <w:rPr>
          <w:rFonts w:ascii="宋体" w:hAnsi="宋体" w:cs="Times New Roman"/>
          <w:szCs w:val="21"/>
          <w:highlight w:val="none"/>
          <w:u w:val="single"/>
        </w:rPr>
        <w:t xml:space="preserve"> </w:t>
      </w:r>
      <w:r>
        <w:rPr>
          <w:rFonts w:ascii="宋体" w:hAnsi="宋体" w:cs="Times New Roman"/>
          <w:highlight w:val="none"/>
          <w:u w:val="single"/>
        </w:rPr>
        <w:t>。</w:t>
      </w:r>
    </w:p>
    <w:p w14:paraId="6EE4A1F6">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承包人提交的竣工资料移交时间：</w:t>
      </w:r>
      <w:r>
        <w:rPr>
          <w:rFonts w:ascii="宋体" w:hAnsi="宋体" w:cs="Times New Roman"/>
          <w:highlight w:val="none"/>
          <w:u w:val="single"/>
        </w:rPr>
        <w:t xml:space="preserve">  </w:t>
      </w:r>
      <w:r>
        <w:rPr>
          <w:rFonts w:hint="eastAsia" w:ascii="宋体" w:hAnsi="宋体" w:cs="Times New Roman"/>
          <w:highlight w:val="none"/>
          <w:u w:val="single"/>
        </w:rPr>
        <w:t>工程竣工验收合格后，承包人必须在竣工验收合格之日起30天内将审查合格的工程竣工档案移交给发包人</w:t>
      </w:r>
      <w:r>
        <w:rPr>
          <w:rFonts w:ascii="宋体" w:hAnsi="宋体" w:cs="Times New Roman"/>
          <w:highlight w:val="none"/>
          <w:u w:val="single"/>
        </w:rPr>
        <w:t>。</w:t>
      </w:r>
      <w:r>
        <w:rPr>
          <w:rFonts w:hint="eastAsia" w:ascii="宋体" w:hAnsi="宋体" w:cs="Times New Roman"/>
          <w:highlight w:val="none"/>
          <w:u w:val="single"/>
        </w:rPr>
        <w:t>如承包人未能按期提交竣工资料并因此导致发包人无法按期竣工验收并交付使用的，则承包人须对由此产生的损失费用承担赔偿责任包括但不限于投产运营的实际收入费用及预期收入。</w:t>
      </w:r>
    </w:p>
    <w:p w14:paraId="71716260">
      <w:pPr>
        <w:spacing w:line="360" w:lineRule="auto"/>
        <w:ind w:firstLine="420" w:firstLineChars="200"/>
        <w:rPr>
          <w:rFonts w:ascii="宋体" w:hAnsi="宋体" w:cs="Times New Roman"/>
          <w:highlight w:val="none"/>
          <w:u w:val="single"/>
        </w:rPr>
      </w:pPr>
      <w:r>
        <w:rPr>
          <w:rFonts w:ascii="宋体" w:hAnsi="宋体" w:cs="Times New Roman"/>
          <w:szCs w:val="21"/>
          <w:highlight w:val="none"/>
        </w:rPr>
        <w:t>承包人提交的竣工资料形式要求：</w:t>
      </w:r>
      <w:r>
        <w:rPr>
          <w:rFonts w:ascii="宋体" w:hAnsi="宋体" w:cs="Times New Roman"/>
          <w:highlight w:val="none"/>
          <w:u w:val="single"/>
        </w:rPr>
        <w:t xml:space="preserve">  </w:t>
      </w:r>
      <w:r>
        <w:rPr>
          <w:rFonts w:hint="eastAsia" w:ascii="宋体" w:hAnsi="宋体" w:cs="Times New Roman"/>
          <w:highlight w:val="none"/>
          <w:u w:val="single"/>
        </w:rPr>
        <w:t>向发包方提供竣工资料及竣工验收报告，并附光盘（含影像资料、图片等）</w:t>
      </w:r>
      <w:r>
        <w:rPr>
          <w:rFonts w:ascii="宋体" w:hAnsi="宋体" w:cs="Times New Roman"/>
          <w:highlight w:val="none"/>
          <w:u w:val="single"/>
        </w:rPr>
        <w:t>。</w:t>
      </w:r>
    </w:p>
    <w:p w14:paraId="0FABCD12">
      <w:pPr>
        <w:autoSpaceDE w:val="0"/>
        <w:autoSpaceDN w:val="0"/>
        <w:adjustRightInd w:val="0"/>
        <w:snapToGrid w:val="0"/>
        <w:spacing w:line="360" w:lineRule="auto"/>
        <w:ind w:left="422"/>
        <w:rPr>
          <w:rFonts w:ascii="宋体" w:hAnsi="宋体" w:cs="Times New Roman"/>
          <w:szCs w:val="21"/>
          <w:highlight w:val="none"/>
        </w:rPr>
      </w:pPr>
      <w:r>
        <w:rPr>
          <w:rFonts w:ascii="宋体" w:hAnsi="宋体" w:cs="Times New Roman"/>
          <w:szCs w:val="21"/>
          <w:highlight w:val="none"/>
        </w:rPr>
        <w:t>（</w:t>
      </w:r>
      <w:r>
        <w:rPr>
          <w:rFonts w:hint="eastAsia" w:ascii="宋体" w:hAnsi="宋体" w:cs="Times New Roman"/>
          <w:szCs w:val="21"/>
          <w:highlight w:val="none"/>
        </w:rPr>
        <w:t>10</w:t>
      </w:r>
      <w:r>
        <w:rPr>
          <w:rFonts w:ascii="宋体" w:hAnsi="宋体" w:cs="Times New Roman"/>
          <w:szCs w:val="21"/>
          <w:highlight w:val="none"/>
        </w:rPr>
        <w:t xml:space="preserve">）承包人应履行的其他义务： </w:t>
      </w:r>
    </w:p>
    <w:p w14:paraId="75A59862">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根据工程需要，提供和维修非夜间施工使用的照明、围栏设施，并负责安全保卫。</w:t>
      </w:r>
    </w:p>
    <w:p w14:paraId="461AE74A">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C731F7B">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45A7003C">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110A796">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参加发包人召开的与本工程相关的会议，并作好会前有关资料的准备。在保修期内要及时做好回访工作，属保修责任范围的事项应及时按质检标准修好。</w:t>
      </w:r>
    </w:p>
    <w:p w14:paraId="3F3FDF11">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079A02C">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0D43640B">
      <w:pPr>
        <w:autoSpaceDE w:val="0"/>
        <w:autoSpaceDN w:val="0"/>
        <w:adjustRightInd w:val="0"/>
        <w:snapToGrid w:val="0"/>
        <w:spacing w:line="360" w:lineRule="auto"/>
        <w:ind w:firstLine="420" w:firstLineChars="200"/>
        <w:rPr>
          <w:rFonts w:hint="eastAsia" w:ascii="宋体" w:hAnsi="宋体" w:eastAsia="宋体" w:cs="Times New Roman"/>
          <w:highlight w:val="none"/>
          <w:u w:val="single"/>
          <w:lang w:eastAsia="zh-CN"/>
        </w:rPr>
      </w:pPr>
      <w:r>
        <w:rPr>
          <w:rFonts w:hint="eastAsia" w:ascii="宋体" w:hAnsi="宋体" w:cs="Times New Roman"/>
          <w:highlight w:val="none"/>
          <w:u w:val="single"/>
        </w:rPr>
        <w:t>施工过程中，如遇临界其他工程施工有冲突的，配合发包人的管理，积极与其他工程的承包人协商配合施工，避免因此导致的工期延误。</w:t>
      </w:r>
      <w:r>
        <w:rPr>
          <w:rFonts w:hint="eastAsia" w:ascii="宋体" w:hAnsi="宋体" w:cs="Times New Roman"/>
          <w:highlight w:val="none"/>
          <w:u w:val="single"/>
          <w:lang w:eastAsia="zh-CN"/>
        </w:rPr>
        <w:t>（</w:t>
      </w:r>
      <w:r>
        <w:rPr>
          <w:rFonts w:hint="eastAsia" w:ascii="宋体" w:hAnsi="宋体" w:cs="Times New Roman"/>
          <w:highlight w:val="none"/>
          <w:u w:val="single"/>
          <w:lang w:val="en-US" w:eastAsia="zh-CN"/>
        </w:rPr>
        <w:t>此条款适用于有临界工程的项目</w:t>
      </w:r>
      <w:r>
        <w:rPr>
          <w:rFonts w:hint="eastAsia" w:ascii="宋体" w:hAnsi="宋体" w:cs="Times New Roman"/>
          <w:highlight w:val="none"/>
          <w:u w:val="single"/>
          <w:lang w:eastAsia="zh-CN"/>
        </w:rPr>
        <w:t>）</w:t>
      </w:r>
    </w:p>
    <w:p w14:paraId="496548E3">
      <w:pPr>
        <w:autoSpaceDE w:val="0"/>
        <w:autoSpaceDN w:val="0"/>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在工程实施过程中，严格执行省、市颁发的相关规定，切实加强外来务工人员管理，保障农民工的合法权益。若在施工期间，由于承包人的责任发生违法、违规事件，后果由承包人自负。</w:t>
      </w:r>
    </w:p>
    <w:p w14:paraId="3C5F180E">
      <w:pPr>
        <w:tabs>
          <w:tab w:val="right" w:pos="9202"/>
        </w:tabs>
        <w:spacing w:line="360" w:lineRule="auto"/>
        <w:ind w:firstLine="420"/>
        <w:rPr>
          <w:rFonts w:ascii="宋体" w:hAnsi="宋体" w:cs="Times New Roman"/>
          <w:szCs w:val="21"/>
          <w:highlight w:val="none"/>
        </w:rPr>
      </w:pPr>
      <w:r>
        <w:rPr>
          <w:rFonts w:ascii="宋体" w:hAnsi="宋体" w:cs="Times New Roman"/>
          <w:szCs w:val="21"/>
          <w:highlight w:val="none"/>
        </w:rPr>
        <w:t>3.2 项目经理</w:t>
      </w:r>
    </w:p>
    <w:p w14:paraId="45A22AE5">
      <w:pPr>
        <w:spacing w:line="360" w:lineRule="auto"/>
        <w:ind w:firstLine="420" w:firstLineChars="200"/>
        <w:rPr>
          <w:rFonts w:ascii="宋体" w:hAnsi="宋体" w:cs="Times New Roman"/>
          <w:szCs w:val="21"/>
          <w:highlight w:val="none"/>
        </w:rPr>
      </w:pPr>
      <w:r>
        <w:rPr>
          <w:rFonts w:ascii="宋体" w:hAnsi="宋体" w:cs="Times New Roman"/>
          <w:szCs w:val="21"/>
          <w:highlight w:val="none"/>
        </w:rPr>
        <w:t>3.2.1 项目经理：</w:t>
      </w:r>
    </w:p>
    <w:p w14:paraId="1DAB95C0">
      <w:pPr>
        <w:spacing w:line="360" w:lineRule="auto"/>
        <w:ind w:firstLine="420" w:firstLineChars="200"/>
        <w:rPr>
          <w:rFonts w:ascii="宋体" w:hAnsi="宋体" w:cs="Times New Roman"/>
          <w:szCs w:val="21"/>
          <w:highlight w:val="none"/>
        </w:rPr>
      </w:pPr>
      <w:r>
        <w:rPr>
          <w:rFonts w:ascii="宋体" w:hAnsi="宋体" w:cs="Times New Roman"/>
          <w:szCs w:val="21"/>
          <w:highlight w:val="none"/>
        </w:rPr>
        <w:t>姓    名：</w:t>
      </w:r>
      <w:r>
        <w:rPr>
          <w:rFonts w:hint="eastAsia" w:ascii="宋体" w:hAnsi="宋体" w:cs="宋体"/>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w:t>
      </w:r>
      <w:r>
        <w:rPr>
          <w:rFonts w:ascii="宋体" w:hAnsi="宋体" w:cs="Times New Roman"/>
          <w:highlight w:val="none"/>
          <w:u w:val="single"/>
        </w:rPr>
        <w:t>；</w:t>
      </w:r>
    </w:p>
    <w:p w14:paraId="199E2DE9">
      <w:pPr>
        <w:spacing w:line="360" w:lineRule="auto"/>
        <w:ind w:firstLine="420" w:firstLineChars="200"/>
        <w:rPr>
          <w:rFonts w:ascii="宋体" w:hAnsi="宋体" w:cs="Times New Roman"/>
          <w:szCs w:val="21"/>
          <w:highlight w:val="none"/>
        </w:rPr>
      </w:pPr>
      <w:r>
        <w:rPr>
          <w:rFonts w:ascii="宋体" w:hAnsi="宋体" w:cs="Times New Roman"/>
          <w:szCs w:val="21"/>
          <w:highlight w:val="none"/>
        </w:rPr>
        <w:t>身份证号：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w:t>
      </w:r>
      <w:r>
        <w:rPr>
          <w:rFonts w:ascii="宋体" w:hAnsi="宋体" w:cs="Times New Roman"/>
          <w:highlight w:val="none"/>
          <w:u w:val="single"/>
        </w:rPr>
        <w:t>；</w:t>
      </w:r>
    </w:p>
    <w:p w14:paraId="157EEC9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建造师执业资格等级：</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w:t>
      </w:r>
    </w:p>
    <w:p w14:paraId="14A350CE">
      <w:pPr>
        <w:spacing w:line="360" w:lineRule="auto"/>
        <w:ind w:firstLine="420" w:firstLineChars="200"/>
        <w:rPr>
          <w:rFonts w:ascii="宋体" w:hAnsi="宋体" w:cs="Times New Roman"/>
          <w:szCs w:val="21"/>
          <w:highlight w:val="none"/>
        </w:rPr>
      </w:pPr>
      <w:r>
        <w:rPr>
          <w:rFonts w:ascii="宋体" w:hAnsi="宋体" w:cs="Times New Roman"/>
          <w:szCs w:val="21"/>
          <w:highlight w:val="none"/>
        </w:rPr>
        <w:t>建造师注册证书号：</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w:t>
      </w:r>
    </w:p>
    <w:p w14:paraId="2F4B8B0B">
      <w:pPr>
        <w:spacing w:line="360" w:lineRule="auto"/>
        <w:ind w:firstLine="420" w:firstLineChars="200"/>
        <w:rPr>
          <w:rFonts w:ascii="宋体" w:hAnsi="宋体" w:cs="Times New Roman"/>
          <w:szCs w:val="21"/>
          <w:highlight w:val="none"/>
        </w:rPr>
      </w:pPr>
      <w:r>
        <w:rPr>
          <w:rFonts w:ascii="宋体" w:hAnsi="宋体" w:cs="Times New Roman"/>
          <w:szCs w:val="21"/>
          <w:highlight w:val="none"/>
        </w:rPr>
        <w:t>建造师执业印章号：</w:t>
      </w:r>
      <w:r>
        <w:rPr>
          <w:rFonts w:hint="eastAsia" w:ascii="宋体" w:hAnsi="宋体" w:cs="宋体"/>
          <w:szCs w:val="21"/>
          <w:highlight w:val="none"/>
          <w:u w:val="single"/>
        </w:rPr>
        <w:t> </w:t>
      </w:r>
      <w:r>
        <w:rPr>
          <w:rFonts w:ascii="宋体" w:hAnsi="宋体" w:cs="Times New Roman"/>
          <w:highlight w:val="none"/>
          <w:u w:val="single"/>
        </w:rPr>
        <w:t>；</w:t>
      </w:r>
    </w:p>
    <w:p w14:paraId="4C2CFAD7">
      <w:pPr>
        <w:spacing w:line="360" w:lineRule="auto"/>
        <w:ind w:firstLine="420" w:firstLineChars="200"/>
        <w:rPr>
          <w:rFonts w:ascii="宋体" w:hAnsi="宋体" w:cs="Times New Roman"/>
          <w:szCs w:val="21"/>
          <w:highlight w:val="none"/>
        </w:rPr>
      </w:pPr>
      <w:r>
        <w:rPr>
          <w:rFonts w:ascii="宋体" w:hAnsi="宋体" w:cs="Times New Roman"/>
          <w:szCs w:val="21"/>
          <w:highlight w:val="none"/>
        </w:rPr>
        <w:t>安全生产考核合格证书号：</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ascii="宋体" w:hAnsi="宋体" w:cs="Times New Roman"/>
          <w:highlight w:val="none"/>
          <w:u w:val="single"/>
        </w:rPr>
        <w:t>；</w:t>
      </w:r>
    </w:p>
    <w:p w14:paraId="4ECA14C1">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联系电话：</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w:t>
      </w:r>
      <w:r>
        <w:rPr>
          <w:rFonts w:ascii="宋体" w:hAnsi="宋体" w:cs="Times New Roman"/>
          <w:highlight w:val="none"/>
          <w:u w:val="single"/>
        </w:rPr>
        <w:t>；</w:t>
      </w:r>
    </w:p>
    <w:p w14:paraId="4A4E43EF">
      <w:pPr>
        <w:spacing w:line="360" w:lineRule="auto"/>
        <w:ind w:firstLine="420" w:firstLineChars="200"/>
        <w:rPr>
          <w:rFonts w:ascii="宋体" w:hAnsi="宋体" w:cs="Times New Roman"/>
          <w:szCs w:val="21"/>
          <w:highlight w:val="none"/>
        </w:rPr>
      </w:pPr>
      <w:r>
        <w:rPr>
          <w:rFonts w:ascii="宋体" w:hAnsi="宋体" w:cs="Times New Roman"/>
          <w:szCs w:val="21"/>
          <w:highlight w:val="none"/>
        </w:rPr>
        <w:t>电子信箱：</w:t>
      </w:r>
      <w:r>
        <w:rPr>
          <w:rFonts w:hint="eastAsia" w:ascii="宋体" w:hAnsi="宋体" w:cs="宋体"/>
          <w:szCs w:val="21"/>
          <w:highlight w:val="none"/>
          <w:u w:val="single"/>
        </w:rPr>
        <w:t></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宋体"/>
          <w:szCs w:val="21"/>
          <w:highlight w:val="none"/>
          <w:u w:val="single"/>
        </w:rPr>
        <w:t></w:t>
      </w:r>
      <w:r>
        <w:rPr>
          <w:rFonts w:ascii="宋体" w:hAnsi="宋体" w:cs="Times New Roman"/>
          <w:highlight w:val="none"/>
          <w:u w:val="single"/>
        </w:rPr>
        <w:t>；</w:t>
      </w:r>
    </w:p>
    <w:p w14:paraId="2B27EC61">
      <w:pPr>
        <w:spacing w:line="360" w:lineRule="auto"/>
        <w:ind w:firstLine="420" w:firstLineChars="200"/>
        <w:rPr>
          <w:rFonts w:ascii="宋体" w:hAnsi="宋体" w:cs="Times New Roman"/>
          <w:highlight w:val="none"/>
          <w:u w:val="single"/>
        </w:rPr>
      </w:pPr>
      <w:r>
        <w:rPr>
          <w:rFonts w:ascii="宋体" w:hAnsi="宋体" w:cs="Times New Roman"/>
          <w:szCs w:val="21"/>
          <w:highlight w:val="none"/>
        </w:rPr>
        <w:t>通信地址：</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ascii="宋体" w:hAnsi="宋体" w:cs="Times New Roman"/>
          <w:b/>
          <w:bCs/>
          <w:szCs w:val="21"/>
          <w:highlight w:val="none"/>
          <w:u w:val="single"/>
        </w:rPr>
        <w:t xml:space="preserve">    </w:t>
      </w:r>
      <w:r>
        <w:rPr>
          <w:rFonts w:hint="eastAsia" w:ascii="宋体" w:hAnsi="宋体" w:cs="宋体"/>
          <w:sz w:val="24"/>
          <w:highlight w:val="none"/>
          <w:u w:val="single"/>
        </w:rPr>
        <w:t></w:t>
      </w:r>
      <w:r>
        <w:rPr>
          <w:rFonts w:ascii="宋体" w:hAnsi="宋体" w:cs="Times New Roman"/>
          <w:highlight w:val="none"/>
          <w:u w:val="single"/>
        </w:rPr>
        <w:t>；</w:t>
      </w:r>
    </w:p>
    <w:p w14:paraId="49386CE0">
      <w:pPr>
        <w:spacing w:line="360" w:lineRule="auto"/>
        <w:ind w:firstLine="420" w:firstLineChars="200"/>
        <w:rPr>
          <w:rFonts w:ascii="宋体" w:hAnsi="宋体" w:cs="Times New Roman"/>
          <w:highlight w:val="none"/>
          <w:u w:val="single"/>
        </w:rPr>
      </w:pPr>
      <w:r>
        <w:rPr>
          <w:rFonts w:ascii="宋体" w:hAnsi="宋体" w:cs="Times New Roman"/>
          <w:szCs w:val="21"/>
          <w:highlight w:val="none"/>
        </w:rPr>
        <w:t>承包人对项目经理的授权范围如下：</w:t>
      </w:r>
      <w:r>
        <w:rPr>
          <w:rFonts w:hint="eastAsia" w:ascii="宋体" w:hAnsi="宋体" w:cs="Times New Roman"/>
          <w:highlight w:val="none"/>
          <w:u w:val="single"/>
        </w:rPr>
        <w:t>项目经理需对本工程质量</w:t>
      </w:r>
      <w:r>
        <w:rPr>
          <w:rFonts w:ascii="宋体" w:hAnsi="宋体" w:cs="Times New Roman"/>
          <w:highlight w:val="none"/>
          <w:u w:val="singl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HYPERLINK "http://baike.baidu.com/subview/4547/8036693.htm" \t "_blank"</w:instrText>
      </w:r>
      <w:r>
        <w:rPr>
          <w:rFonts w:ascii="Times New Roman" w:hAnsi="Times New Roman" w:cs="Times New Roman"/>
          <w:highlight w:val="none"/>
        </w:rPr>
        <w:fldChar w:fldCharType="separate"/>
      </w:r>
      <w:r>
        <w:rPr>
          <w:rFonts w:ascii="宋体" w:hAnsi="宋体" w:cs="Times New Roman"/>
          <w:highlight w:val="none"/>
          <w:u w:val="single"/>
        </w:rPr>
        <w:t>安全</w:t>
      </w:r>
      <w:r>
        <w:rPr>
          <w:rFonts w:ascii="Times New Roman" w:hAnsi="Times New Roman" w:cs="Times New Roman"/>
          <w:highlight w:val="none"/>
        </w:rPr>
        <w:fldChar w:fldCharType="end"/>
      </w:r>
      <w:r>
        <w:rPr>
          <w:rFonts w:ascii="宋体" w:hAnsi="宋体" w:cs="Times New Roman"/>
          <w:highlight w:val="none"/>
          <w:u w:val="singl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HYPERLINK "http://baike.baidu.com/view/716226.htm" \t "_blank"</w:instrText>
      </w:r>
      <w:r>
        <w:rPr>
          <w:rFonts w:ascii="Times New Roman" w:hAnsi="Times New Roman" w:cs="Times New Roman"/>
          <w:highlight w:val="none"/>
        </w:rPr>
        <w:fldChar w:fldCharType="separate"/>
      </w:r>
      <w:r>
        <w:rPr>
          <w:rFonts w:ascii="宋体" w:hAnsi="宋体" w:cs="Times New Roman"/>
          <w:highlight w:val="none"/>
          <w:u w:val="single"/>
        </w:rPr>
        <w:t>进度</w:t>
      </w:r>
      <w:r>
        <w:rPr>
          <w:rFonts w:ascii="Times New Roman" w:hAnsi="Times New Roman" w:cs="Times New Roman"/>
          <w:highlight w:val="none"/>
        </w:rPr>
        <w:fldChar w:fldCharType="end"/>
      </w:r>
      <w:r>
        <w:rPr>
          <w:rFonts w:ascii="宋体" w:hAnsi="宋体" w:cs="Times New Roman"/>
          <w:highlight w:val="none"/>
          <w:u w:val="singl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HYPERLINK "http://baike.baidu.com/view/45395.htm" \t "_blank"</w:instrText>
      </w:r>
      <w:r>
        <w:rPr>
          <w:rFonts w:ascii="Times New Roman" w:hAnsi="Times New Roman" w:cs="Times New Roman"/>
          <w:highlight w:val="none"/>
        </w:rPr>
        <w:fldChar w:fldCharType="separate"/>
      </w:r>
      <w:r>
        <w:rPr>
          <w:rFonts w:ascii="宋体" w:hAnsi="宋体" w:cs="Times New Roman"/>
          <w:highlight w:val="none"/>
          <w:u w:val="single"/>
        </w:rPr>
        <w:t>成本</w:t>
      </w:r>
      <w:r>
        <w:rPr>
          <w:rFonts w:ascii="Times New Roman" w:hAnsi="Times New Roman" w:cs="Times New Roman"/>
          <w:highlight w:val="none"/>
        </w:rPr>
        <w:fldChar w:fldCharType="end"/>
      </w:r>
      <w:r>
        <w:rPr>
          <w:rFonts w:hint="eastAsia" w:ascii="宋体" w:hAnsi="宋体" w:cs="Times New Roman"/>
          <w:highlight w:val="none"/>
          <w:u w:val="single"/>
        </w:rPr>
        <w:t>、文明施工等全权负责，在开工日期3天前，承包人应将其委托的项目经理的授权范围明细以书面形式送交发包人</w:t>
      </w:r>
      <w:r>
        <w:rPr>
          <w:rFonts w:ascii="宋体" w:hAnsi="宋体" w:cs="Times New Roman"/>
          <w:highlight w:val="none"/>
          <w:u w:val="single"/>
        </w:rPr>
        <w:t>。</w:t>
      </w:r>
    </w:p>
    <w:p w14:paraId="00AB8240">
      <w:pPr>
        <w:spacing w:line="360" w:lineRule="auto"/>
        <w:ind w:firstLine="420" w:firstLineChars="200"/>
        <w:rPr>
          <w:rFonts w:ascii="宋体" w:hAnsi="宋体" w:cs="Times New Roman"/>
          <w:kern w:val="0"/>
          <w:highlight w:val="none"/>
        </w:rPr>
      </w:pPr>
      <w:r>
        <w:rPr>
          <w:rFonts w:ascii="宋体" w:hAnsi="宋体" w:cs="Times New Roman"/>
          <w:szCs w:val="21"/>
          <w:highlight w:val="none"/>
        </w:rPr>
        <w:t>关于项目经理每月在施工现场的时间要求：</w:t>
      </w:r>
      <w:r>
        <w:rPr>
          <w:rFonts w:hint="eastAsia" w:ascii="宋体" w:hAnsi="宋体" w:cs="Times New Roman"/>
          <w:highlight w:val="none"/>
          <w:u w:val="single"/>
        </w:rPr>
        <w:t>到位率</w:t>
      </w:r>
      <w:r>
        <w:rPr>
          <w:rFonts w:ascii="宋体" w:hAnsi="宋体" w:cs="Times New Roman"/>
          <w:highlight w:val="none"/>
          <w:u w:val="single"/>
        </w:rPr>
        <w:t>85</w:t>
      </w:r>
      <w:r>
        <w:rPr>
          <w:rFonts w:hint="eastAsia" w:ascii="宋体" w:hAnsi="宋体" w:cs="Times New Roman"/>
          <w:highlight w:val="none"/>
          <w:u w:val="single"/>
        </w:rPr>
        <w:t>%，重要施工工序或环节时项目经理、技术负责人等必须到场</w:t>
      </w:r>
      <w:r>
        <w:rPr>
          <w:rFonts w:hint="eastAsia" w:ascii="宋体" w:hAnsi="宋体" w:cs="宋体"/>
          <w:szCs w:val="21"/>
          <w:highlight w:val="none"/>
        </w:rPr>
        <w:t>。</w:t>
      </w:r>
    </w:p>
    <w:p w14:paraId="21BF08E8">
      <w:pPr>
        <w:spacing w:line="360" w:lineRule="auto"/>
        <w:ind w:firstLine="420" w:firstLineChars="200"/>
        <w:rPr>
          <w:rFonts w:ascii="宋体" w:hAnsi="宋体" w:cs="Times New Roman"/>
          <w:highlight w:val="none"/>
          <w:u w:val="single"/>
        </w:rPr>
      </w:pPr>
      <w:r>
        <w:rPr>
          <w:rFonts w:ascii="宋体" w:hAnsi="宋体" w:cs="Times New Roman"/>
          <w:szCs w:val="21"/>
          <w:highlight w:val="none"/>
        </w:rPr>
        <w:t>承包人未提交劳动合同，以及没有为项目经理缴纳社会保险证明的违约责任：</w:t>
      </w:r>
      <w:r>
        <w:rPr>
          <w:rFonts w:hint="eastAsia" w:ascii="宋体" w:hAnsi="宋体" w:cs="Times New Roman"/>
          <w:highlight w:val="none"/>
          <w:u w:val="single"/>
        </w:rPr>
        <w:t>发包人有权要求终止合同并由承包人赔偿由此造成的一切损失。</w:t>
      </w:r>
    </w:p>
    <w:p w14:paraId="139A012F">
      <w:pPr>
        <w:tabs>
          <w:tab w:val="left" w:pos="720"/>
        </w:tabs>
        <w:spacing w:line="360" w:lineRule="auto"/>
        <w:ind w:firstLine="420" w:firstLineChars="200"/>
        <w:rPr>
          <w:rFonts w:ascii="宋体" w:hAnsi="宋体" w:cs="Times New Roman"/>
          <w:highlight w:val="none"/>
          <w:u w:val="single"/>
        </w:rPr>
      </w:pPr>
      <w:r>
        <w:rPr>
          <w:rFonts w:ascii="宋体" w:hAnsi="宋体" w:cs="Times New Roman"/>
          <w:szCs w:val="21"/>
          <w:highlight w:val="none"/>
        </w:rPr>
        <w:t>项目经理未经批准，擅自离开施工现场的违约责任：</w:t>
      </w:r>
      <w:r>
        <w:rPr>
          <w:rFonts w:hint="eastAsia" w:ascii="宋体" w:hAnsi="宋体" w:cs="Times New Roman"/>
          <w:highlight w:val="none"/>
          <w:u w:val="single"/>
        </w:rPr>
        <w:t>按违约金人民币</w:t>
      </w:r>
      <w:r>
        <w:rPr>
          <w:rFonts w:ascii="宋体" w:hAnsi="宋体" w:cs="Times New Roman"/>
          <w:highlight w:val="none"/>
          <w:u w:val="single"/>
        </w:rPr>
        <w:t>1000元/天</w:t>
      </w:r>
      <w:r>
        <w:rPr>
          <w:rFonts w:hint="eastAsia" w:ascii="宋体" w:hAnsi="宋体" w:cs="Times New Roman"/>
          <w:highlight w:val="none"/>
          <w:u w:val="single"/>
        </w:rPr>
        <w:t>或1</w:t>
      </w:r>
      <w:r>
        <w:rPr>
          <w:rFonts w:ascii="宋体" w:hAnsi="宋体" w:cs="Times New Roman"/>
          <w:highlight w:val="none"/>
          <w:u w:val="single"/>
        </w:rPr>
        <w:t>000</w:t>
      </w:r>
      <w:r>
        <w:rPr>
          <w:rFonts w:hint="eastAsia" w:ascii="宋体" w:hAnsi="宋体" w:cs="Times New Roman"/>
          <w:highlight w:val="none"/>
          <w:u w:val="single"/>
        </w:rPr>
        <w:t>元/次</w:t>
      </w:r>
      <w:r>
        <w:rPr>
          <w:rFonts w:ascii="宋体" w:hAnsi="宋体" w:cs="Times New Roman"/>
          <w:highlight w:val="none"/>
          <w:u w:val="single"/>
        </w:rPr>
        <w:t>从结算款中扣除</w:t>
      </w:r>
      <w:r>
        <w:rPr>
          <w:rFonts w:ascii="宋体" w:hAnsi="宋体" w:cs="Times New Roman"/>
          <w:szCs w:val="21"/>
          <w:highlight w:val="none"/>
        </w:rPr>
        <w:t>。</w:t>
      </w:r>
    </w:p>
    <w:p w14:paraId="48B375A6">
      <w:pPr>
        <w:spacing w:line="360" w:lineRule="auto"/>
        <w:ind w:firstLine="315" w:firstLineChars="150"/>
        <w:rPr>
          <w:rFonts w:ascii="宋体" w:hAnsi="宋体" w:cs="Times New Roman"/>
          <w:highlight w:val="none"/>
          <w:u w:val="single"/>
        </w:rPr>
      </w:pPr>
      <w:r>
        <w:rPr>
          <w:rFonts w:ascii="宋体" w:hAnsi="宋体" w:cs="Times New Roman"/>
          <w:szCs w:val="21"/>
          <w:highlight w:val="none"/>
        </w:rPr>
        <w:t>3.2.3 承包人擅自更换项目经理的违约责任：</w:t>
      </w:r>
    </w:p>
    <w:p w14:paraId="12D4A650">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rPr>
        <w:t>（1）</w:t>
      </w:r>
      <w:r>
        <w:rPr>
          <w:rFonts w:hint="eastAsia" w:ascii="宋体" w:hAnsi="宋体" w:cs="Times New Roman"/>
          <w:kern w:val="0"/>
          <w:highlight w:val="none"/>
        </w:rPr>
        <w:t>承包人确需更换项目经理的，继任项目经理注册执业资格、管理经验的约定：</w:t>
      </w:r>
      <w:r>
        <w:rPr>
          <w:rFonts w:hint="eastAsia" w:ascii="宋体" w:hAnsi="宋体" w:cs="Times New Roman"/>
          <w:kern w:val="0"/>
          <w:highlight w:val="none"/>
          <w:u w:val="single"/>
        </w:rPr>
        <w:t xml:space="preserve"> </w:t>
      </w:r>
      <w:r>
        <w:rPr>
          <w:rFonts w:hint="eastAsia" w:ascii="宋体" w:hAnsi="宋体" w:cs="Times New Roman"/>
          <w:highlight w:val="none"/>
          <w:u w:val="single"/>
        </w:rPr>
        <w:t>不得低于原项目经理的注册执业资格、管理经验</w:t>
      </w:r>
      <w:r>
        <w:rPr>
          <w:rFonts w:hint="eastAsia" w:ascii="宋体" w:hAnsi="宋体" w:cs="Times New Roman"/>
          <w:kern w:val="0"/>
          <w:highlight w:val="none"/>
          <w:u w:val="single"/>
        </w:rPr>
        <w:t xml:space="preserve"> </w:t>
      </w:r>
      <w:r>
        <w:rPr>
          <w:rFonts w:hint="eastAsia" w:ascii="宋体" w:hAnsi="宋体" w:cs="Times New Roman"/>
          <w:kern w:val="0"/>
          <w:highlight w:val="none"/>
        </w:rPr>
        <w:t>。</w:t>
      </w:r>
    </w:p>
    <w:p w14:paraId="20A77A84">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kern w:val="0"/>
          <w:highlight w:val="none"/>
        </w:rPr>
        <w:t>（2）</w:t>
      </w:r>
      <w:r>
        <w:rPr>
          <w:rFonts w:ascii="宋体" w:hAnsi="宋体" w:cs="Times New Roman"/>
          <w:highlight w:val="none"/>
        </w:rPr>
        <w:t>承包人擅自更换项目经理的违约责任：</w:t>
      </w:r>
      <w:r>
        <w:rPr>
          <w:rFonts w:hint="eastAsia" w:ascii="宋体" w:hAnsi="宋体" w:cs="Times New Roman"/>
          <w:highlight w:val="none"/>
          <w:u w:val="single"/>
        </w:rPr>
        <w:t>在施工期间不准更换，特殊情况要求更换的项目经理的，须经发包人同意。承包人更换项目经理的将被视为承包人违约，并按照</w:t>
      </w:r>
      <w:r>
        <w:rPr>
          <w:rFonts w:ascii="宋体" w:hAnsi="宋体" w:cs="Times New Roman"/>
          <w:highlight w:val="none"/>
          <w:u w:val="single"/>
        </w:rPr>
        <w:t>0.5</w:t>
      </w:r>
      <w:r>
        <w:rPr>
          <w:rFonts w:hint="eastAsia" w:ascii="宋体" w:hAnsi="宋体" w:cs="Times New Roman"/>
          <w:highlight w:val="none"/>
          <w:u w:val="single"/>
        </w:rPr>
        <w:t>万元/人/次付给发包人违约。</w:t>
      </w:r>
    </w:p>
    <w:p w14:paraId="2527FE3A">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szCs w:val="21"/>
          <w:highlight w:val="none"/>
        </w:rPr>
        <w:t>3.2.4 承包人无正当理由拒绝更换项目经理的违约责任：</w:t>
      </w:r>
      <w:r>
        <w:rPr>
          <w:rFonts w:hint="eastAsia" w:ascii="宋体" w:hAnsi="宋体" w:cs="Times New Roman"/>
          <w:highlight w:val="none"/>
          <w:u w:val="single"/>
        </w:rPr>
        <w:t>从结算款中扣除</w:t>
      </w:r>
      <w:r>
        <w:rPr>
          <w:rFonts w:ascii="宋体" w:hAnsi="宋体" w:cs="Times New Roman"/>
          <w:highlight w:val="none"/>
          <w:u w:val="single"/>
        </w:rPr>
        <w:t>0.5</w:t>
      </w:r>
      <w:r>
        <w:rPr>
          <w:rFonts w:hint="eastAsia" w:ascii="宋体" w:hAnsi="宋体" w:cs="Times New Roman"/>
          <w:highlight w:val="none"/>
          <w:u w:val="single"/>
        </w:rPr>
        <w:t>万元/人/次的违约金。</w:t>
      </w:r>
    </w:p>
    <w:p w14:paraId="08587C66">
      <w:pPr>
        <w:adjustRightInd w:val="0"/>
        <w:snapToGrid w:val="0"/>
        <w:spacing w:line="360" w:lineRule="auto"/>
        <w:ind w:firstLine="420" w:firstLineChars="200"/>
        <w:rPr>
          <w:rFonts w:ascii="宋体" w:hAnsi="宋体" w:cs="Times New Roman"/>
          <w:highlight w:val="none"/>
        </w:rPr>
      </w:pPr>
      <w:r>
        <w:rPr>
          <w:rFonts w:ascii="宋体" w:hAnsi="宋体" w:cs="Times New Roman"/>
          <w:szCs w:val="21"/>
          <w:highlight w:val="none"/>
        </w:rPr>
        <w:t>3.3 承包人人员</w:t>
      </w:r>
    </w:p>
    <w:p w14:paraId="73C945FA">
      <w:pPr>
        <w:spacing w:line="360" w:lineRule="auto"/>
        <w:ind w:firstLine="420" w:firstLineChars="200"/>
        <w:rPr>
          <w:rFonts w:ascii="宋体" w:hAnsi="宋体" w:cs="Times New Roman"/>
          <w:highlight w:val="none"/>
          <w:u w:val="single"/>
        </w:rPr>
      </w:pPr>
      <w:r>
        <w:rPr>
          <w:rFonts w:ascii="宋体" w:hAnsi="宋体" w:cs="Times New Roman"/>
          <w:szCs w:val="21"/>
          <w:highlight w:val="none"/>
        </w:rPr>
        <w:t>3.3.1 承包人提交项目管理机构及施工现场管理人员安排报告的期限：</w:t>
      </w:r>
      <w:r>
        <w:rPr>
          <w:rFonts w:hint="eastAsia" w:ascii="宋体" w:hAnsi="宋体" w:cs="Times New Roman"/>
          <w:highlight w:val="none"/>
          <w:u w:val="single"/>
        </w:rPr>
        <w:t>合同签订后</w:t>
      </w:r>
      <w:r>
        <w:rPr>
          <w:rFonts w:ascii="宋体" w:hAnsi="宋体" w:cs="Times New Roman"/>
          <w:highlight w:val="none"/>
          <w:u w:val="single"/>
        </w:rPr>
        <w:t>7</w:t>
      </w:r>
      <w:r>
        <w:rPr>
          <w:rFonts w:hint="eastAsia" w:ascii="宋体" w:hAnsi="宋体" w:cs="Times New Roman"/>
          <w:highlight w:val="none"/>
          <w:u w:val="single"/>
        </w:rPr>
        <w:t>天内。</w:t>
      </w:r>
    </w:p>
    <w:p w14:paraId="65078467">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rPr>
        <w:t>3.3.2 承包人需更换主要施工管理人员的，继任人员的数量、注册执业资格、管理经验的约定：</w:t>
      </w:r>
      <w:r>
        <w:rPr>
          <w:rFonts w:hint="eastAsia" w:ascii="宋体" w:hAnsi="宋体" w:cs="Times New Roman"/>
          <w:highlight w:val="none"/>
          <w:u w:val="single"/>
        </w:rPr>
        <w:t xml:space="preserve">  </w:t>
      </w:r>
      <w:r>
        <w:rPr>
          <w:rFonts w:hint="eastAsia" w:ascii="宋体" w:hAnsi="宋体" w:cs="Times New Roman"/>
          <w:kern w:val="0"/>
          <w:highlight w:val="none"/>
          <w:u w:val="single"/>
        </w:rPr>
        <w:t xml:space="preserve"> </w:t>
      </w:r>
      <w:r>
        <w:rPr>
          <w:rFonts w:hint="eastAsia" w:ascii="宋体" w:hAnsi="宋体" w:cs="Times New Roman"/>
          <w:highlight w:val="none"/>
          <w:u w:val="single"/>
        </w:rPr>
        <w:t xml:space="preserve"> 不得低于原主要施工管理人员的数量、注册执业资格、管理经验</w:t>
      </w:r>
      <w:r>
        <w:rPr>
          <w:rFonts w:hint="eastAsia" w:ascii="宋体" w:hAnsi="宋体" w:cs="Times New Roman"/>
          <w:kern w:val="0"/>
          <w:highlight w:val="none"/>
          <w:u w:val="single"/>
        </w:rPr>
        <w:t xml:space="preserve"> </w:t>
      </w:r>
      <w:r>
        <w:rPr>
          <w:rFonts w:hint="eastAsia" w:ascii="宋体" w:hAnsi="宋体" w:cs="Times New Roman"/>
          <w:highlight w:val="none"/>
        </w:rPr>
        <w:t>。</w:t>
      </w:r>
    </w:p>
    <w:p w14:paraId="35522DAA">
      <w:pPr>
        <w:spacing w:line="360" w:lineRule="auto"/>
        <w:ind w:firstLine="420" w:firstLineChars="200"/>
        <w:rPr>
          <w:rFonts w:ascii="宋体" w:hAnsi="宋体" w:cs="Times New Roman"/>
          <w:szCs w:val="21"/>
          <w:highlight w:val="none"/>
        </w:rPr>
      </w:pPr>
      <w:r>
        <w:rPr>
          <w:rFonts w:ascii="宋体" w:hAnsi="宋体" w:cs="Times New Roman"/>
          <w:szCs w:val="21"/>
          <w:highlight w:val="none"/>
        </w:rPr>
        <w:t>3.3.3 承包人无正当理由拒绝撤换主要施工管理人员的违约责任：</w:t>
      </w:r>
      <w:r>
        <w:rPr>
          <w:rFonts w:hint="eastAsia" w:ascii="宋体" w:hAnsi="宋体" w:cs="Times New Roman"/>
          <w:highlight w:val="none"/>
          <w:u w:val="single"/>
        </w:rPr>
        <w:t>从结算款中扣除2</w:t>
      </w:r>
      <w:r>
        <w:rPr>
          <w:rFonts w:ascii="宋体" w:hAnsi="宋体" w:cs="Times New Roman"/>
          <w:highlight w:val="none"/>
          <w:u w:val="single"/>
        </w:rPr>
        <w:t>000</w:t>
      </w:r>
      <w:r>
        <w:rPr>
          <w:rFonts w:hint="eastAsia" w:ascii="宋体" w:hAnsi="宋体" w:cs="Times New Roman"/>
          <w:highlight w:val="none"/>
          <w:u w:val="single"/>
        </w:rPr>
        <w:t>元/人/次的违约金。</w:t>
      </w:r>
    </w:p>
    <w:p w14:paraId="0D6278B3">
      <w:pPr>
        <w:spacing w:line="360" w:lineRule="auto"/>
        <w:ind w:firstLine="420" w:firstLineChars="200"/>
        <w:rPr>
          <w:rFonts w:ascii="宋体" w:hAnsi="宋体" w:cs="Times New Roman"/>
          <w:szCs w:val="21"/>
          <w:highlight w:val="none"/>
        </w:rPr>
      </w:pPr>
      <w:r>
        <w:rPr>
          <w:rFonts w:ascii="宋体" w:hAnsi="宋体" w:cs="Times New Roman"/>
          <w:szCs w:val="21"/>
          <w:highlight w:val="none"/>
        </w:rPr>
        <w:t>3.3.4 承包人主要施工管理人员离开施工现场的批准要求：</w:t>
      </w:r>
      <w:r>
        <w:rPr>
          <w:rFonts w:hint="eastAsia" w:ascii="宋体" w:hAnsi="宋体" w:cs="Times New Roman"/>
          <w:highlight w:val="none"/>
          <w:u w:val="single"/>
        </w:rPr>
        <w:t>按500元/人/次向发包人支付违约金。</w:t>
      </w:r>
    </w:p>
    <w:p w14:paraId="155CCB6F">
      <w:pPr>
        <w:spacing w:line="360" w:lineRule="auto"/>
        <w:ind w:firstLine="420" w:firstLineChars="200"/>
        <w:rPr>
          <w:rFonts w:ascii="宋体" w:hAnsi="宋体" w:cs="Times New Roman"/>
          <w:szCs w:val="21"/>
          <w:highlight w:val="none"/>
        </w:rPr>
      </w:pPr>
      <w:r>
        <w:rPr>
          <w:rFonts w:ascii="宋体" w:hAnsi="宋体" w:cs="Times New Roman"/>
          <w:szCs w:val="21"/>
          <w:highlight w:val="none"/>
        </w:rPr>
        <w:t>3.3.5承包人擅自更换主要施工管理人员的违约责任：</w:t>
      </w:r>
      <w:r>
        <w:rPr>
          <w:rFonts w:hint="eastAsia" w:ascii="宋体" w:hAnsi="宋体" w:cs="Times New Roman"/>
          <w:highlight w:val="none"/>
          <w:u w:val="single"/>
        </w:rPr>
        <w:t>在施工期间不准更换，特殊情况要求更换的，须经发包人同意。</w:t>
      </w:r>
      <w:r>
        <w:rPr>
          <w:rFonts w:ascii="宋体" w:hAnsi="宋体" w:cs="Times New Roman"/>
          <w:highlight w:val="none"/>
          <w:u w:val="single"/>
        </w:rPr>
        <w:t>承包人更换</w:t>
      </w:r>
      <w:r>
        <w:rPr>
          <w:rFonts w:hint="eastAsia" w:ascii="宋体" w:hAnsi="宋体" w:cs="Times New Roman"/>
          <w:highlight w:val="none"/>
          <w:u w:val="single"/>
        </w:rPr>
        <w:t>技术负责人、施工员</w:t>
      </w:r>
      <w:r>
        <w:rPr>
          <w:rFonts w:ascii="宋体" w:hAnsi="宋体" w:cs="Times New Roman"/>
          <w:highlight w:val="none"/>
          <w:u w:val="single"/>
        </w:rPr>
        <w:t>的将被视为</w:t>
      </w:r>
      <w:r>
        <w:rPr>
          <w:rFonts w:hint="eastAsia" w:ascii="宋体" w:hAnsi="宋体" w:cs="Times New Roman"/>
          <w:highlight w:val="none"/>
          <w:u w:val="single"/>
        </w:rPr>
        <w:t>承包</w:t>
      </w:r>
      <w:r>
        <w:rPr>
          <w:rFonts w:ascii="宋体" w:hAnsi="宋体" w:cs="Times New Roman"/>
          <w:highlight w:val="none"/>
          <w:u w:val="single"/>
        </w:rPr>
        <w:t>人违约</w:t>
      </w:r>
      <w:r>
        <w:rPr>
          <w:rFonts w:hint="eastAsia" w:ascii="宋体" w:hAnsi="宋体" w:cs="Times New Roman"/>
          <w:highlight w:val="none"/>
          <w:u w:val="single"/>
        </w:rPr>
        <w:t>，</w:t>
      </w:r>
      <w:r>
        <w:rPr>
          <w:rFonts w:ascii="宋体" w:hAnsi="宋体" w:cs="Times New Roman"/>
          <w:highlight w:val="none"/>
          <w:u w:val="single"/>
        </w:rPr>
        <w:t>并按照1</w:t>
      </w:r>
      <w:r>
        <w:rPr>
          <w:rFonts w:hint="eastAsia" w:ascii="宋体" w:hAnsi="宋体" w:cs="Times New Roman"/>
          <w:highlight w:val="none"/>
          <w:u w:val="single"/>
        </w:rPr>
        <w:t>000</w:t>
      </w:r>
      <w:r>
        <w:rPr>
          <w:rFonts w:ascii="宋体" w:hAnsi="宋体" w:cs="Times New Roman"/>
          <w:highlight w:val="none"/>
          <w:u w:val="single"/>
        </w:rPr>
        <w:t>元/人/</w:t>
      </w:r>
      <w:r>
        <w:rPr>
          <w:rFonts w:hint="eastAsia" w:ascii="宋体" w:hAnsi="宋体" w:cs="Times New Roman"/>
          <w:highlight w:val="none"/>
          <w:u w:val="single"/>
        </w:rPr>
        <w:t>次付给发包人违约金。</w:t>
      </w:r>
    </w:p>
    <w:p w14:paraId="19B695D9">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承包人主要施工管理人员擅自离开施工现场的违约责任：</w:t>
      </w:r>
      <w:r>
        <w:rPr>
          <w:rFonts w:ascii="宋体" w:hAnsi="宋体" w:cs="Times New Roman"/>
          <w:highlight w:val="none"/>
          <w:u w:val="single"/>
        </w:rPr>
        <w:t>若技术负责人、施工员出勤率不足投标承诺，</w:t>
      </w:r>
      <w:r>
        <w:rPr>
          <w:rFonts w:hint="eastAsia" w:ascii="宋体" w:hAnsi="宋体" w:cs="Times New Roman"/>
          <w:highlight w:val="none"/>
          <w:u w:val="single"/>
        </w:rPr>
        <w:t>支付违约金800</w:t>
      </w:r>
      <w:r>
        <w:rPr>
          <w:rFonts w:ascii="宋体" w:hAnsi="宋体" w:cs="Times New Roman"/>
          <w:highlight w:val="none"/>
          <w:u w:val="single"/>
        </w:rPr>
        <w:t>元人民币/天/人；安全员、质检员、材料员出勤率不足投标承诺，</w:t>
      </w:r>
      <w:r>
        <w:rPr>
          <w:rFonts w:hint="eastAsia" w:ascii="宋体" w:hAnsi="宋体" w:cs="Times New Roman"/>
          <w:highlight w:val="none"/>
          <w:u w:val="single"/>
        </w:rPr>
        <w:t>支付违约金300</w:t>
      </w:r>
      <w:r>
        <w:rPr>
          <w:rFonts w:ascii="宋体" w:hAnsi="宋体" w:cs="Times New Roman"/>
          <w:highlight w:val="none"/>
          <w:u w:val="single"/>
        </w:rPr>
        <w:t>元人民币/天/人</w:t>
      </w:r>
      <w:r>
        <w:rPr>
          <w:rFonts w:hint="eastAsia" w:ascii="宋体" w:hAnsi="宋体" w:cs="Times New Roman"/>
          <w:highlight w:val="none"/>
          <w:u w:val="single"/>
        </w:rPr>
        <w:t>。</w:t>
      </w:r>
    </w:p>
    <w:p w14:paraId="16B27DB7">
      <w:pPr>
        <w:spacing w:line="360" w:lineRule="auto"/>
        <w:ind w:firstLine="420" w:firstLineChars="200"/>
        <w:rPr>
          <w:rFonts w:ascii="宋体" w:hAnsi="宋体" w:cs="Times New Roman"/>
          <w:szCs w:val="21"/>
          <w:highlight w:val="none"/>
        </w:rPr>
      </w:pPr>
      <w:r>
        <w:rPr>
          <w:rFonts w:ascii="宋体" w:hAnsi="宋体" w:cs="Times New Roman"/>
          <w:szCs w:val="21"/>
          <w:highlight w:val="none"/>
        </w:rPr>
        <w:t>3.5 分包</w:t>
      </w:r>
    </w:p>
    <w:p w14:paraId="6746F411">
      <w:pPr>
        <w:spacing w:line="360" w:lineRule="auto"/>
        <w:ind w:firstLine="420" w:firstLineChars="200"/>
        <w:rPr>
          <w:rFonts w:ascii="宋体" w:hAnsi="宋体" w:cs="Times New Roman"/>
          <w:szCs w:val="21"/>
          <w:highlight w:val="none"/>
        </w:rPr>
      </w:pPr>
      <w:r>
        <w:rPr>
          <w:rFonts w:ascii="宋体" w:hAnsi="宋体" w:cs="Times New Roman"/>
          <w:szCs w:val="21"/>
          <w:highlight w:val="none"/>
        </w:rPr>
        <w:t>3.5.1 分包的一般约定</w:t>
      </w:r>
    </w:p>
    <w:p w14:paraId="75A0E7E2">
      <w:pPr>
        <w:spacing w:line="360" w:lineRule="auto"/>
        <w:ind w:firstLine="420" w:firstLineChars="200"/>
        <w:rPr>
          <w:rFonts w:ascii="宋体" w:hAnsi="宋体" w:cs="Times New Roman"/>
          <w:highlight w:val="none"/>
          <w:u w:val="single"/>
        </w:rPr>
      </w:pPr>
      <w:r>
        <w:rPr>
          <w:rFonts w:ascii="宋体" w:hAnsi="宋体" w:cs="Times New Roman"/>
          <w:szCs w:val="21"/>
          <w:highlight w:val="none"/>
        </w:rPr>
        <w:t>禁止分包的工程包括：</w:t>
      </w:r>
      <w:r>
        <w:rPr>
          <w:rFonts w:hint="eastAsia" w:ascii="宋体" w:hAnsi="宋体" w:cs="Times New Roman"/>
          <w:highlight w:val="none"/>
          <w:u w:val="single"/>
        </w:rPr>
        <w:t>本合同所有施工内容</w:t>
      </w:r>
    </w:p>
    <w:p w14:paraId="2DAB518C">
      <w:pPr>
        <w:spacing w:line="360" w:lineRule="auto"/>
        <w:ind w:firstLine="420" w:firstLineChars="200"/>
        <w:rPr>
          <w:rFonts w:ascii="宋体" w:hAnsi="宋体" w:cs="Times New Roman"/>
          <w:highlight w:val="none"/>
          <w:u w:val="single"/>
        </w:rPr>
      </w:pPr>
      <w:r>
        <w:rPr>
          <w:rFonts w:ascii="宋体" w:hAnsi="宋体" w:cs="Times New Roman"/>
          <w:szCs w:val="21"/>
          <w:highlight w:val="none"/>
        </w:rPr>
        <w:t>主体结构、关键性工作的范围：</w:t>
      </w:r>
      <w:r>
        <w:rPr>
          <w:rFonts w:hint="eastAsia" w:ascii="宋体" w:hAnsi="宋体" w:cs="Times New Roman"/>
          <w:highlight w:val="none"/>
          <w:u w:val="single"/>
        </w:rPr>
        <w:t xml:space="preserve">/ </w:t>
      </w:r>
    </w:p>
    <w:p w14:paraId="6D646B5F">
      <w:pPr>
        <w:spacing w:line="360" w:lineRule="auto"/>
        <w:rPr>
          <w:rFonts w:ascii="宋体" w:hAnsi="宋体" w:cs="Times New Roman"/>
          <w:szCs w:val="21"/>
          <w:highlight w:val="none"/>
        </w:rPr>
      </w:pPr>
      <w:r>
        <w:rPr>
          <w:rFonts w:ascii="宋体" w:hAnsi="宋体" w:cs="Times New Roman"/>
          <w:szCs w:val="21"/>
          <w:highlight w:val="none"/>
        </w:rPr>
        <w:t xml:space="preserve">    3.5.2分包的确定</w:t>
      </w:r>
    </w:p>
    <w:p w14:paraId="495AD22E">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允许分包的专业工程包括：</w:t>
      </w:r>
      <w:r>
        <w:rPr>
          <w:rFonts w:hint="eastAsia" w:ascii="宋体" w:hAnsi="宋体" w:cs="Times New Roman"/>
          <w:highlight w:val="none"/>
          <w:u w:val="single"/>
        </w:rPr>
        <w:t>无</w:t>
      </w:r>
      <w:r>
        <w:rPr>
          <w:rFonts w:ascii="宋体" w:hAnsi="宋体" w:cs="Times New Roman"/>
          <w:highlight w:val="none"/>
          <w:u w:val="single"/>
        </w:rPr>
        <w:t>。</w:t>
      </w:r>
    </w:p>
    <w:p w14:paraId="074A7D43">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none"/>
        </w:rPr>
        <w:t>其他关于分包的约定：</w:t>
      </w:r>
      <w:r>
        <w:rPr>
          <w:rFonts w:hint="eastAsia" w:ascii="宋体" w:hAnsi="宋体" w:cs="Times New Roman"/>
          <w:highlight w:val="none"/>
          <w:u w:val="single"/>
        </w:rPr>
        <w:t>承包人不得以任何形式进行转包或分包本合同所有施工内容，否则，发包人有权解除本合同、拒付（或要求承包人退还已收）工程款，承包人还应按合同总价款的20%向发包人支付违约金。</w:t>
      </w:r>
    </w:p>
    <w:p w14:paraId="305C4CD1">
      <w:pPr>
        <w:spacing w:line="360" w:lineRule="auto"/>
        <w:ind w:firstLine="420" w:firstLineChars="200"/>
        <w:rPr>
          <w:rFonts w:ascii="宋体" w:hAnsi="宋体" w:cs="Times New Roman"/>
          <w:szCs w:val="21"/>
          <w:highlight w:val="none"/>
        </w:rPr>
      </w:pPr>
      <w:r>
        <w:rPr>
          <w:rFonts w:ascii="宋体" w:hAnsi="宋体" w:cs="Times New Roman"/>
          <w:szCs w:val="21"/>
          <w:highlight w:val="none"/>
        </w:rPr>
        <w:t>3.5.4 分包合同价款</w:t>
      </w:r>
    </w:p>
    <w:p w14:paraId="6781DDE2">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关于分包合同价款支付的约定：</w:t>
      </w:r>
      <w:r>
        <w:rPr>
          <w:rFonts w:hint="eastAsia" w:ascii="宋体" w:hAnsi="宋体" w:cs="Times New Roman"/>
          <w:highlight w:val="none"/>
          <w:u w:val="single"/>
        </w:rPr>
        <w:t xml:space="preserve">  /  </w:t>
      </w:r>
    </w:p>
    <w:p w14:paraId="50353726">
      <w:pPr>
        <w:spacing w:line="360" w:lineRule="auto"/>
        <w:ind w:firstLine="420" w:firstLineChars="200"/>
        <w:rPr>
          <w:rFonts w:ascii="宋体" w:hAnsi="宋体" w:cs="Times New Roman"/>
          <w:szCs w:val="21"/>
          <w:highlight w:val="none"/>
        </w:rPr>
      </w:pPr>
      <w:r>
        <w:rPr>
          <w:rFonts w:ascii="宋体" w:hAnsi="宋体" w:cs="Times New Roman"/>
          <w:szCs w:val="21"/>
          <w:highlight w:val="none"/>
        </w:rPr>
        <w:t>3.6 工程照管与成品、半成品保护</w:t>
      </w:r>
      <w:r>
        <w:rPr>
          <w:rFonts w:hint="eastAsia" w:ascii="宋体" w:hAnsi="宋体" w:cs="Times New Roman"/>
          <w:szCs w:val="21"/>
          <w:highlight w:val="none"/>
        </w:rPr>
        <w:t>：</w:t>
      </w:r>
      <w:r>
        <w:rPr>
          <w:rFonts w:ascii="宋体" w:hAnsi="宋体" w:cs="Times New Roman"/>
          <w:highlight w:val="none"/>
          <w:u w:val="single"/>
        </w:rPr>
        <w:t>承包人负责照管工程及工程相关的材料、工程设备的起始时间：</w:t>
      </w:r>
      <w:r>
        <w:rPr>
          <w:rFonts w:hint="eastAsia" w:ascii="宋体" w:hAnsi="宋体" w:cs="Times New Roman"/>
          <w:highlight w:val="none"/>
          <w:u w:val="single"/>
        </w:rPr>
        <w:t>已完工程和设备未交付发包人之前，承包人负责与承包内容相关的所有成品和设备的保护工作，保护期间发生损坏，承包人承担修复费用。由发包人造成的损坏，发包人承担费用，修复工作由承包人负责，因此造成</w:t>
      </w:r>
      <w:r>
        <w:rPr>
          <w:rFonts w:hint="eastAsia" w:ascii="宋体" w:hAnsi="宋体" w:cs="Times New Roman"/>
          <w:szCs w:val="21"/>
          <w:highlight w:val="none"/>
          <w:u w:val="single"/>
        </w:rPr>
        <w:t>关键</w:t>
      </w:r>
      <w:r>
        <w:rPr>
          <w:rFonts w:hint="eastAsia" w:ascii="宋体" w:hAnsi="宋体" w:cs="Times New Roman"/>
          <w:highlight w:val="none"/>
          <w:u w:val="single"/>
        </w:rPr>
        <w:t>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0F3BD8D">
      <w:pPr>
        <w:spacing w:line="360" w:lineRule="auto"/>
        <w:ind w:firstLine="420" w:firstLineChars="200"/>
        <w:rPr>
          <w:rFonts w:ascii="宋体" w:hAnsi="宋体" w:cs="Times New Roman"/>
          <w:szCs w:val="21"/>
          <w:highlight w:val="none"/>
        </w:rPr>
      </w:pPr>
      <w:r>
        <w:rPr>
          <w:rFonts w:ascii="宋体" w:hAnsi="宋体" w:cs="Times New Roman"/>
          <w:szCs w:val="21"/>
          <w:highlight w:val="none"/>
        </w:rPr>
        <w:t>3.7 履约担保</w:t>
      </w:r>
    </w:p>
    <w:p w14:paraId="1DF77F1E">
      <w:pPr>
        <w:spacing w:line="360" w:lineRule="auto"/>
        <w:ind w:firstLine="420" w:firstLineChars="200"/>
        <w:rPr>
          <w:rFonts w:ascii="宋体" w:hAnsi="宋体" w:cs="Times New Roman"/>
          <w:highlight w:val="none"/>
          <w:u w:val="single"/>
        </w:rPr>
      </w:pPr>
      <w:r>
        <w:rPr>
          <w:rFonts w:hint="eastAsia" w:ascii="宋体" w:hAnsi="宋体" w:cs="Times New Roman"/>
          <w:szCs w:val="21"/>
          <w:highlight w:val="none"/>
        </w:rPr>
        <w:t>承包人是否提供履约担保：</w:t>
      </w:r>
      <w:r>
        <w:rPr>
          <w:rFonts w:ascii="宋体" w:hAnsi="宋体" w:cs="Times New Roman"/>
          <w:highlight w:val="none"/>
          <w:u w:val="single"/>
        </w:rPr>
        <w:t xml:space="preserve"> </w:t>
      </w:r>
      <w:r>
        <w:rPr>
          <w:rFonts w:hint="eastAsia" w:ascii="宋体" w:hAnsi="宋体" w:cs="Times New Roman"/>
          <w:highlight w:val="none"/>
          <w:u w:val="single"/>
        </w:rPr>
        <w:t xml:space="preserve">是 </w:t>
      </w:r>
      <w:r>
        <w:rPr>
          <w:rFonts w:ascii="宋体" w:hAnsi="宋体" w:cs="Times New Roman"/>
          <w:highlight w:val="none"/>
          <w:u w:val="single"/>
        </w:rPr>
        <w:t>。</w:t>
      </w:r>
    </w:p>
    <w:p w14:paraId="6C85A71E">
      <w:pPr>
        <w:spacing w:line="360" w:lineRule="auto"/>
        <w:ind w:firstLine="420" w:firstLineChars="200"/>
        <w:rPr>
          <w:rFonts w:ascii="宋体" w:hAnsi="宋体" w:cs="Times New Roman"/>
          <w:highlight w:val="none"/>
          <w:u w:val="single"/>
        </w:rPr>
      </w:pPr>
      <w:r>
        <w:rPr>
          <w:rFonts w:hint="eastAsia" w:ascii="宋体" w:hAnsi="宋体" w:cs="Times New Roman"/>
          <w:highlight w:val="none"/>
        </w:rPr>
        <w:t>履约担保的形式：</w:t>
      </w:r>
      <w:r>
        <w:rPr>
          <w:rFonts w:ascii="宋体" w:hAnsi="宋体" w:cs="Times New Roman"/>
          <w:highlight w:val="none"/>
          <w:u w:val="single"/>
        </w:rPr>
        <w:t xml:space="preserve"> </w:t>
      </w:r>
      <w:r>
        <w:rPr>
          <w:rFonts w:hint="eastAsia" w:ascii="宋体" w:hAnsi="宋体" w:cs="Times New Roman"/>
          <w:highlight w:val="none"/>
          <w:u w:val="single"/>
        </w:rPr>
        <w:t>履约保证金。</w:t>
      </w:r>
    </w:p>
    <w:p w14:paraId="4B077BC1">
      <w:pPr>
        <w:spacing w:line="360" w:lineRule="auto"/>
        <w:ind w:firstLine="420" w:firstLineChars="200"/>
        <w:rPr>
          <w:rFonts w:ascii="宋体" w:hAnsi="宋体" w:cs="Times New Roman"/>
          <w:highlight w:val="none"/>
          <w:u w:val="single"/>
        </w:rPr>
      </w:pPr>
      <w:r>
        <w:rPr>
          <w:rFonts w:hint="eastAsia" w:ascii="宋体" w:hAnsi="宋体" w:cs="Times New Roman"/>
          <w:highlight w:val="none"/>
        </w:rPr>
        <w:t>履约担保的金额：</w:t>
      </w:r>
      <w:r>
        <w:rPr>
          <w:rFonts w:hint="eastAsia" w:ascii="宋体" w:hAnsi="宋体" w:cs="Times New Roman"/>
          <w:highlight w:val="none"/>
          <w:u w:val="single"/>
        </w:rPr>
        <w:t>本合同总价的</w:t>
      </w:r>
      <w:r>
        <w:rPr>
          <w:rFonts w:ascii="宋体" w:hAnsi="宋体" w:cs="Times New Roman"/>
          <w:highlight w:val="none"/>
          <w:u w:val="single"/>
        </w:rPr>
        <w:t>2</w:t>
      </w:r>
      <w:r>
        <w:rPr>
          <w:rFonts w:hint="eastAsia" w:ascii="宋体" w:hAnsi="宋体" w:cs="Times New Roman"/>
          <w:highlight w:val="none"/>
          <w:u w:val="single"/>
        </w:rPr>
        <w:t>%作为履约保证金，由承包人于本合同签订后7日内以支票、汇票或银行转账向发包人支付。</w:t>
      </w:r>
    </w:p>
    <w:p w14:paraId="0F2B1800">
      <w:pPr>
        <w:spacing w:line="360" w:lineRule="auto"/>
        <w:ind w:firstLine="420" w:firstLineChars="200"/>
        <w:rPr>
          <w:rFonts w:ascii="宋体" w:hAnsi="宋体" w:cs="Times New Roman"/>
          <w:highlight w:val="none"/>
        </w:rPr>
      </w:pPr>
      <w:r>
        <w:rPr>
          <w:rFonts w:hint="eastAsia" w:ascii="宋体" w:hAnsi="宋体" w:cs="Times New Roman"/>
          <w:highlight w:val="none"/>
        </w:rPr>
        <w:t>履约担保的期限：</w:t>
      </w:r>
      <w:r>
        <w:rPr>
          <w:rFonts w:hint="eastAsia" w:ascii="宋体" w:hAnsi="宋体" w:cs="Times New Roman"/>
          <w:highlight w:val="none"/>
          <w:u w:val="single"/>
        </w:rPr>
        <w:t>工程竣工验收合格并交付发包人使用前保持有效</w:t>
      </w:r>
      <w:r>
        <w:rPr>
          <w:rFonts w:hint="eastAsia" w:ascii="宋体" w:hAnsi="宋体" w:cs="Times New Roman"/>
          <w:szCs w:val="21"/>
          <w:highlight w:val="none"/>
        </w:rPr>
        <w:t>。</w:t>
      </w:r>
    </w:p>
    <w:p w14:paraId="519A48B8">
      <w:pPr>
        <w:topLinePunct/>
        <w:spacing w:line="360" w:lineRule="auto"/>
        <w:ind w:firstLine="420"/>
        <w:rPr>
          <w:rFonts w:ascii="宋体" w:hAnsi="宋体" w:cs="Times New Roman"/>
          <w:b/>
          <w:highlight w:val="none"/>
        </w:rPr>
      </w:pPr>
      <w:r>
        <w:rPr>
          <w:rFonts w:ascii="宋体" w:hAnsi="宋体" w:cs="Times New Roman"/>
          <w:b/>
          <w:highlight w:val="none"/>
        </w:rPr>
        <w:t>4. 监理人</w:t>
      </w:r>
    </w:p>
    <w:p w14:paraId="126C9E69">
      <w:pPr>
        <w:spacing w:line="360" w:lineRule="auto"/>
        <w:ind w:firstLine="420" w:firstLineChars="200"/>
        <w:rPr>
          <w:rFonts w:ascii="宋体" w:hAnsi="宋体" w:cs="Times New Roman"/>
          <w:szCs w:val="21"/>
          <w:highlight w:val="none"/>
        </w:rPr>
      </w:pPr>
      <w:r>
        <w:rPr>
          <w:rFonts w:ascii="宋体" w:hAnsi="宋体" w:cs="Times New Roman"/>
          <w:szCs w:val="21"/>
          <w:highlight w:val="none"/>
        </w:rPr>
        <w:t>4.1监理人的一般规定</w:t>
      </w:r>
    </w:p>
    <w:p w14:paraId="3DED5B0E">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关于监理人的监理内容：</w:t>
      </w:r>
      <w:r>
        <w:rPr>
          <w:rFonts w:hint="eastAsia" w:ascii="宋体" w:hAnsi="宋体" w:cs="Times New Roman"/>
          <w:highlight w:val="none"/>
          <w:u w:val="single"/>
        </w:rPr>
        <w:t>/</w:t>
      </w:r>
      <w:r>
        <w:rPr>
          <w:rFonts w:hint="eastAsia" w:ascii="宋体" w:hAnsi="宋体" w:cs="宋体"/>
          <w:szCs w:val="21"/>
          <w:highlight w:val="none"/>
        </w:rPr>
        <w:t>。</w:t>
      </w:r>
    </w:p>
    <w:p w14:paraId="6A39A7D2">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关于监理人的监理权限：</w:t>
      </w:r>
      <w:r>
        <w:rPr>
          <w:rFonts w:hint="eastAsia" w:ascii="宋体" w:hAnsi="宋体" w:cs="Times New Roman"/>
          <w:highlight w:val="none"/>
          <w:u w:val="single"/>
        </w:rPr>
        <w:t>/。</w:t>
      </w:r>
    </w:p>
    <w:p w14:paraId="77A02905">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关于监理人在施工现场的办公场所、生活场所的提供和费用承担的约定：</w:t>
      </w:r>
      <w:r>
        <w:rPr>
          <w:rFonts w:hint="eastAsia" w:ascii="宋体" w:hAnsi="宋体" w:cs="Times New Roman"/>
          <w:highlight w:val="none"/>
          <w:u w:val="single"/>
        </w:rPr>
        <w:t>/</w:t>
      </w:r>
    </w:p>
    <w:p w14:paraId="2AFBA6C3">
      <w:pPr>
        <w:spacing w:line="360" w:lineRule="auto"/>
        <w:ind w:firstLine="420" w:firstLineChars="200"/>
        <w:rPr>
          <w:rFonts w:ascii="宋体" w:hAnsi="宋体" w:cs="Times New Roman"/>
          <w:szCs w:val="21"/>
          <w:highlight w:val="none"/>
        </w:rPr>
      </w:pPr>
      <w:r>
        <w:rPr>
          <w:rFonts w:ascii="宋体" w:hAnsi="宋体" w:cs="Times New Roman"/>
          <w:szCs w:val="21"/>
          <w:highlight w:val="none"/>
        </w:rPr>
        <w:t>4.2 监理人员</w:t>
      </w:r>
    </w:p>
    <w:p w14:paraId="059AD2CF">
      <w:pPr>
        <w:spacing w:line="360" w:lineRule="auto"/>
        <w:ind w:firstLine="420" w:firstLineChars="200"/>
        <w:rPr>
          <w:rFonts w:ascii="宋体" w:hAnsi="宋体" w:cs="Times New Roman"/>
          <w:szCs w:val="21"/>
          <w:highlight w:val="none"/>
        </w:rPr>
      </w:pPr>
      <w:r>
        <w:rPr>
          <w:rFonts w:ascii="宋体" w:hAnsi="宋体" w:cs="Times New Roman"/>
          <w:szCs w:val="21"/>
          <w:highlight w:val="none"/>
        </w:rPr>
        <w:t>总监理工程师：</w:t>
      </w:r>
    </w:p>
    <w:p w14:paraId="575CA407">
      <w:pPr>
        <w:spacing w:line="360" w:lineRule="auto"/>
        <w:ind w:firstLine="420" w:firstLineChars="200"/>
        <w:rPr>
          <w:rFonts w:ascii="宋体" w:hAnsi="宋体" w:cs="Times New Roman"/>
          <w:szCs w:val="21"/>
          <w:highlight w:val="none"/>
        </w:rPr>
      </w:pPr>
      <w:r>
        <w:rPr>
          <w:rFonts w:ascii="宋体" w:hAnsi="宋体" w:cs="Times New Roman"/>
          <w:szCs w:val="21"/>
          <w:highlight w:val="none"/>
        </w:rPr>
        <w:t>姓    名：</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highlight w:val="none"/>
          <w:u w:val="single"/>
        </w:rPr>
        <w:t>；</w:t>
      </w:r>
    </w:p>
    <w:p w14:paraId="7300248E">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职    务：</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hint="eastAsia" w:ascii="宋体" w:hAnsi="宋体" w:cs="Times New Roman"/>
          <w:highlight w:val="none"/>
          <w:u w:val="single"/>
        </w:rPr>
        <w:t>；</w:t>
      </w:r>
    </w:p>
    <w:p w14:paraId="49B91284">
      <w:pPr>
        <w:spacing w:line="360" w:lineRule="auto"/>
        <w:ind w:firstLine="420" w:firstLineChars="200"/>
        <w:rPr>
          <w:rFonts w:ascii="宋体" w:hAnsi="宋体" w:cs="Times New Roman"/>
          <w:szCs w:val="21"/>
          <w:highlight w:val="none"/>
        </w:rPr>
      </w:pPr>
      <w:r>
        <w:rPr>
          <w:rFonts w:ascii="宋体" w:hAnsi="宋体" w:cs="Times New Roman"/>
          <w:szCs w:val="21"/>
          <w:highlight w:val="none"/>
        </w:rPr>
        <w:t>监理工程师执业资格证书号：</w:t>
      </w:r>
      <w:r>
        <w:rPr>
          <w:rFonts w:hint="eastAsia" w:ascii="宋体" w:hAnsi="宋体" w:cs="Times New Roman"/>
          <w:highlight w:val="none"/>
          <w:u w:val="single"/>
        </w:rPr>
        <w:t xml:space="preserve">  </w:t>
      </w:r>
      <w:r>
        <w:rPr>
          <w:rFonts w:hint="eastAsia" w:ascii="宋体" w:hAnsi="宋体" w:cs="Times New Roman"/>
          <w:highlight w:val="none"/>
          <w:u w:val="single"/>
          <w:lang w:val="en-US" w:eastAsia="zh-CN"/>
        </w:rPr>
        <w:t>/</w:t>
      </w:r>
      <w:r>
        <w:rPr>
          <w:rFonts w:hint="eastAsia" w:ascii="宋体" w:hAnsi="宋体" w:cs="Times New Roman"/>
          <w:highlight w:val="none"/>
          <w:u w:val="single"/>
        </w:rPr>
        <w:t>；</w:t>
      </w:r>
    </w:p>
    <w:p w14:paraId="53E17F7E">
      <w:pPr>
        <w:spacing w:line="360" w:lineRule="auto"/>
        <w:ind w:firstLine="420" w:firstLineChars="200"/>
        <w:rPr>
          <w:rFonts w:ascii="宋体" w:hAnsi="宋体" w:cs="Times New Roman"/>
          <w:szCs w:val="21"/>
          <w:highlight w:val="none"/>
        </w:rPr>
      </w:pPr>
      <w:r>
        <w:rPr>
          <w:rFonts w:ascii="宋体" w:hAnsi="宋体" w:cs="Times New Roman"/>
          <w:szCs w:val="21"/>
          <w:highlight w:val="none"/>
        </w:rPr>
        <w:t>联系电话：</w:t>
      </w:r>
      <w:r>
        <w:rPr>
          <w:rFonts w:hint="eastAsia" w:ascii="宋体" w:hAnsi="宋体" w:cs="Times New Roman"/>
          <w:highlight w:val="none"/>
          <w:u w:val="single"/>
        </w:rPr>
        <w:t xml:space="preserve">  </w:t>
      </w:r>
      <w:r>
        <w:rPr>
          <w:rFonts w:hint="eastAsia" w:ascii="宋体" w:hAnsi="宋体" w:cs="Times New Roman"/>
          <w:highlight w:val="none"/>
          <w:u w:val="single"/>
          <w:lang w:val="en-US" w:eastAsia="zh-CN"/>
        </w:rPr>
        <w:t>/</w:t>
      </w:r>
      <w:r>
        <w:rPr>
          <w:rFonts w:hint="eastAsia" w:ascii="宋体" w:hAnsi="宋体" w:cs="Times New Roman"/>
          <w:highlight w:val="none"/>
          <w:u w:val="single"/>
        </w:rPr>
        <w:t>；</w:t>
      </w:r>
    </w:p>
    <w:p w14:paraId="576F1BEE">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电子信箱：</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ascii="宋体" w:hAnsi="宋体" w:cs="Times New Roman"/>
          <w:szCs w:val="21"/>
          <w:highlight w:val="none"/>
          <w:u w:val="single"/>
        </w:rPr>
        <w:t>；</w:t>
      </w:r>
    </w:p>
    <w:p w14:paraId="79C8416F">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通信地址：</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w:t>
      </w:r>
      <w:r>
        <w:rPr>
          <w:rFonts w:ascii="宋体" w:hAnsi="宋体" w:cs="Times New Roman"/>
          <w:szCs w:val="21"/>
          <w:highlight w:val="none"/>
          <w:u w:val="single"/>
        </w:rPr>
        <w:t>；</w:t>
      </w:r>
    </w:p>
    <w:p w14:paraId="3139B2B4">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关于监理人的其他约定</w:t>
      </w:r>
      <w:r>
        <w:rPr>
          <w:rFonts w:hint="eastAsia" w:ascii="宋体" w:hAnsi="宋体" w:cs="Times New Roman"/>
          <w:szCs w:val="21"/>
          <w:highlight w:val="none"/>
        </w:rPr>
        <w:t>：</w:t>
      </w:r>
      <w:r>
        <w:rPr>
          <w:rFonts w:hint="eastAsia" w:ascii="宋体" w:hAnsi="宋体" w:cs="Times New Roman"/>
          <w:highlight w:val="none"/>
          <w:u w:val="single"/>
        </w:rPr>
        <w:t>/。</w:t>
      </w:r>
    </w:p>
    <w:p w14:paraId="698DB9AF">
      <w:pPr>
        <w:spacing w:line="360" w:lineRule="auto"/>
        <w:ind w:firstLine="420" w:firstLineChars="200"/>
        <w:rPr>
          <w:rFonts w:ascii="宋体" w:hAnsi="宋体" w:cs="Times New Roman"/>
          <w:szCs w:val="21"/>
          <w:highlight w:val="none"/>
        </w:rPr>
      </w:pPr>
      <w:r>
        <w:rPr>
          <w:rFonts w:ascii="宋体" w:hAnsi="宋体" w:cs="Times New Roman"/>
          <w:szCs w:val="21"/>
          <w:highlight w:val="none"/>
        </w:rPr>
        <w:t>4.4 商定或确定</w:t>
      </w:r>
    </w:p>
    <w:p w14:paraId="0C7BDBD0">
      <w:pPr>
        <w:spacing w:line="360" w:lineRule="auto"/>
        <w:ind w:firstLine="420" w:firstLineChars="200"/>
        <w:rPr>
          <w:rFonts w:ascii="宋体" w:hAnsi="宋体" w:cs="Times New Roman"/>
          <w:kern w:val="0"/>
          <w:highlight w:val="none"/>
        </w:rPr>
      </w:pPr>
      <w:r>
        <w:rPr>
          <w:rFonts w:ascii="宋体" w:hAnsi="宋体" w:cs="Times New Roman"/>
          <w:szCs w:val="21"/>
          <w:highlight w:val="none"/>
        </w:rPr>
        <w:t>在发包人和承包人不能通过协商达成一致意见时，发包人授权监理人对以下事项进行确定：</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 xml:space="preserve"> ；</w:t>
      </w:r>
    </w:p>
    <w:p w14:paraId="5DB52570">
      <w:pPr>
        <w:topLinePunct/>
        <w:spacing w:line="360" w:lineRule="auto"/>
        <w:ind w:firstLine="420"/>
        <w:rPr>
          <w:rFonts w:ascii="宋体" w:hAnsi="宋体" w:cs="Times New Roman"/>
          <w:b/>
          <w:highlight w:val="none"/>
        </w:rPr>
      </w:pPr>
      <w:r>
        <w:rPr>
          <w:rFonts w:ascii="宋体" w:hAnsi="宋体" w:cs="Times New Roman"/>
          <w:b/>
          <w:highlight w:val="none"/>
        </w:rPr>
        <w:t>5. 工程质量</w:t>
      </w:r>
    </w:p>
    <w:p w14:paraId="3B30AFDA">
      <w:pPr>
        <w:spacing w:line="360" w:lineRule="auto"/>
        <w:ind w:firstLine="420" w:firstLineChars="200"/>
        <w:rPr>
          <w:rFonts w:ascii="宋体" w:hAnsi="宋体" w:cs="Times New Roman"/>
          <w:szCs w:val="21"/>
          <w:highlight w:val="none"/>
        </w:rPr>
      </w:pPr>
      <w:r>
        <w:rPr>
          <w:rFonts w:ascii="宋体" w:hAnsi="宋体" w:cs="Times New Roman"/>
          <w:szCs w:val="21"/>
          <w:highlight w:val="none"/>
        </w:rPr>
        <w:t>5.1 质量要求</w:t>
      </w:r>
    </w:p>
    <w:p w14:paraId="2C97E47C">
      <w:pPr>
        <w:spacing w:line="360" w:lineRule="auto"/>
        <w:ind w:firstLine="420" w:firstLineChars="200"/>
        <w:rPr>
          <w:rFonts w:ascii="宋体" w:hAnsi="宋体" w:cs="Times New Roman"/>
          <w:highlight w:val="none"/>
          <w:u w:val="single"/>
        </w:rPr>
      </w:pPr>
      <w:r>
        <w:rPr>
          <w:rFonts w:ascii="宋体" w:hAnsi="宋体" w:cs="Times New Roman"/>
          <w:szCs w:val="21"/>
          <w:highlight w:val="none"/>
        </w:rPr>
        <w:t>5.1.1 特殊质量标准和要求：</w:t>
      </w:r>
      <w:r>
        <w:rPr>
          <w:rFonts w:hint="eastAsia" w:ascii="宋体" w:hAnsi="宋体" w:cs="Times New Roman"/>
          <w:highlight w:val="none"/>
          <w:u w:val="single"/>
        </w:rPr>
        <w:t>除通用条款约定外，要达到设计及国家、地方和建筑行业现行的有关规范和标准的质量要求。</w:t>
      </w:r>
    </w:p>
    <w:p w14:paraId="09F18D39">
      <w:pPr>
        <w:widowControl/>
        <w:spacing w:line="360" w:lineRule="auto"/>
        <w:ind w:firstLine="420" w:firstLineChars="200"/>
        <w:jc w:val="left"/>
        <w:rPr>
          <w:rFonts w:ascii="宋体" w:hAnsi="宋体" w:cs="Times New Roman"/>
          <w:kern w:val="0"/>
          <w:highlight w:val="none"/>
          <w:u w:val="single"/>
        </w:rPr>
      </w:pPr>
      <w:r>
        <w:rPr>
          <w:rFonts w:hint="eastAsia" w:ascii="宋体" w:hAnsi="宋体" w:cs="Times New Roman"/>
          <w:kern w:val="0"/>
          <w:highlight w:val="none"/>
          <w:u w:val="single"/>
        </w:rPr>
        <w:t>（1）承包人在工程施工中涉及的重要部位、关键节点、工艺、材料应用等，承包人应在专业工程施工前1</w:t>
      </w:r>
      <w:r>
        <w:rPr>
          <w:rFonts w:ascii="宋体" w:hAnsi="宋体" w:cs="Times New Roman"/>
          <w:kern w:val="0"/>
          <w:highlight w:val="none"/>
          <w:u w:val="single"/>
        </w:rPr>
        <w:t>0</w:t>
      </w:r>
      <w:r>
        <w:rPr>
          <w:rFonts w:hint="eastAsia" w:ascii="宋体" w:hAnsi="宋体" w:cs="Times New Roman"/>
          <w:kern w:val="0"/>
          <w:highlight w:val="none"/>
          <w:u w:val="single"/>
        </w:rPr>
        <w:t>天提供主要材料样品、施工详细实施方案给发包人及监理人（如有）审核，经审核同意后方可实施。</w:t>
      </w:r>
    </w:p>
    <w:p w14:paraId="0FAA669B">
      <w:pPr>
        <w:widowControl/>
        <w:spacing w:line="360" w:lineRule="auto"/>
        <w:ind w:firstLine="420" w:firstLineChars="200"/>
        <w:jc w:val="left"/>
        <w:rPr>
          <w:rFonts w:hint="eastAsia" w:ascii="宋体" w:hAnsi="宋体" w:cs="Times New Roman"/>
          <w:kern w:val="0"/>
          <w:highlight w:val="none"/>
          <w:u w:val="single"/>
        </w:rPr>
      </w:pPr>
      <w:r>
        <w:rPr>
          <w:rFonts w:hint="eastAsia" w:ascii="宋体" w:hAnsi="宋体" w:cs="Times New Roman"/>
          <w:kern w:val="0"/>
          <w:highlight w:val="none"/>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2E4B9D26">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关于工程奖项的约定：</w:t>
      </w:r>
      <w:r>
        <w:rPr>
          <w:rFonts w:ascii="宋体" w:hAnsi="宋体" w:cs="Times New Roman"/>
          <w:highlight w:val="none"/>
          <w:u w:val="single"/>
        </w:rPr>
        <w:t xml:space="preserve">  /</w:t>
      </w:r>
      <w:r>
        <w:rPr>
          <w:rFonts w:hint="eastAsia" w:ascii="宋体" w:hAnsi="宋体" w:cs="Times New Roman"/>
          <w:highlight w:val="none"/>
          <w:u w:val="single"/>
        </w:rPr>
        <w:t xml:space="preserve"> 。</w:t>
      </w:r>
    </w:p>
    <w:p w14:paraId="493719E8">
      <w:pPr>
        <w:spacing w:line="360" w:lineRule="auto"/>
        <w:ind w:firstLine="420" w:firstLineChars="200"/>
        <w:rPr>
          <w:rFonts w:ascii="宋体" w:hAnsi="宋体" w:cs="Times New Roman"/>
          <w:szCs w:val="21"/>
          <w:highlight w:val="none"/>
        </w:rPr>
      </w:pPr>
      <w:r>
        <w:rPr>
          <w:rFonts w:ascii="宋体" w:hAnsi="宋体" w:cs="Times New Roman"/>
          <w:szCs w:val="21"/>
          <w:highlight w:val="none"/>
        </w:rPr>
        <w:t>5.3 隐蔽工程检查</w:t>
      </w:r>
    </w:p>
    <w:p w14:paraId="3E27F20B">
      <w:pPr>
        <w:spacing w:line="360" w:lineRule="auto"/>
        <w:ind w:firstLine="420" w:firstLineChars="200"/>
        <w:rPr>
          <w:rFonts w:ascii="宋体" w:hAnsi="宋体" w:cs="Times New Roman"/>
          <w:highlight w:val="none"/>
          <w:u w:val="single"/>
        </w:rPr>
      </w:pPr>
      <w:r>
        <w:rPr>
          <w:rFonts w:ascii="宋体" w:hAnsi="宋体" w:cs="Times New Roman"/>
          <w:szCs w:val="21"/>
          <w:highlight w:val="none"/>
        </w:rPr>
        <w:t>5.3.2承包人提前通知监理人隐蔽工程检查的期限的约定：</w:t>
      </w:r>
      <w:r>
        <w:rPr>
          <w:rFonts w:hint="eastAsia" w:ascii="宋体" w:hAnsi="宋体" w:cs="Times New Roman"/>
          <w:highlight w:val="none"/>
          <w:u w:val="single"/>
        </w:rPr>
        <w:t>承包人应当在共同检查前48小时书面通知监理人（如有）和发包人进行检查，即隐蔽工程通知对象增加发包人。</w:t>
      </w:r>
    </w:p>
    <w:p w14:paraId="3F16934B">
      <w:pPr>
        <w:spacing w:line="360" w:lineRule="auto"/>
        <w:ind w:firstLine="420" w:firstLineChars="200"/>
        <w:rPr>
          <w:rFonts w:ascii="宋体" w:hAnsi="宋体" w:cs="Times New Roman"/>
          <w:szCs w:val="21"/>
          <w:highlight w:val="none"/>
        </w:rPr>
      </w:pPr>
      <w:r>
        <w:rPr>
          <w:rFonts w:ascii="宋体" w:hAnsi="宋体" w:cs="Times New Roman"/>
          <w:szCs w:val="21"/>
          <w:highlight w:val="none"/>
        </w:rPr>
        <w:t>监理人不能按时进行检查时，应提前</w:t>
      </w:r>
      <w:r>
        <w:rPr>
          <w:rFonts w:ascii="宋体" w:hAnsi="宋体" w:cs="Times New Roman"/>
          <w:highlight w:val="none"/>
          <w:u w:val="single"/>
        </w:rPr>
        <w:t xml:space="preserve"> </w:t>
      </w:r>
      <w:r>
        <w:rPr>
          <w:rFonts w:hint="eastAsia" w:ascii="宋体" w:hAnsi="宋体" w:cs="Times New Roman"/>
          <w:highlight w:val="none"/>
          <w:u w:val="single"/>
        </w:rPr>
        <w:t>24</w:t>
      </w:r>
      <w:r>
        <w:rPr>
          <w:rFonts w:ascii="宋体" w:hAnsi="宋体" w:cs="Times New Roman"/>
          <w:highlight w:val="none"/>
          <w:u w:val="single"/>
        </w:rPr>
        <w:t xml:space="preserve">  </w:t>
      </w:r>
      <w:r>
        <w:rPr>
          <w:rFonts w:ascii="宋体" w:hAnsi="宋体" w:cs="Times New Roman"/>
          <w:szCs w:val="21"/>
          <w:highlight w:val="none"/>
        </w:rPr>
        <w:t>小时提交书面延期要求。</w:t>
      </w:r>
    </w:p>
    <w:p w14:paraId="01A69594">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关于延期最长不得超过：</w:t>
      </w:r>
      <w:r>
        <w:rPr>
          <w:rFonts w:ascii="宋体" w:hAnsi="宋体" w:cs="Times New Roman"/>
          <w:highlight w:val="none"/>
          <w:u w:val="single"/>
        </w:rPr>
        <w:t xml:space="preserve">  </w:t>
      </w:r>
      <w:r>
        <w:rPr>
          <w:rFonts w:hint="eastAsia" w:ascii="宋体" w:hAnsi="宋体" w:cs="Times New Roman"/>
          <w:highlight w:val="none"/>
          <w:u w:val="single"/>
        </w:rPr>
        <w:t>48</w:t>
      </w:r>
      <w:r>
        <w:rPr>
          <w:rFonts w:ascii="宋体" w:hAnsi="宋体" w:cs="Times New Roman"/>
          <w:highlight w:val="none"/>
          <w:u w:val="single"/>
        </w:rPr>
        <w:t xml:space="preserve">   </w:t>
      </w:r>
      <w:r>
        <w:rPr>
          <w:rFonts w:ascii="宋体" w:hAnsi="宋体" w:cs="Times New Roman"/>
          <w:szCs w:val="21"/>
          <w:highlight w:val="none"/>
        </w:rPr>
        <w:t>小时。</w:t>
      </w:r>
    </w:p>
    <w:p w14:paraId="6321CEA8">
      <w:pPr>
        <w:topLinePunct/>
        <w:spacing w:line="360" w:lineRule="auto"/>
        <w:ind w:firstLine="420"/>
        <w:rPr>
          <w:rFonts w:ascii="宋体" w:hAnsi="宋体" w:cs="Times New Roman"/>
          <w:b/>
          <w:highlight w:val="none"/>
        </w:rPr>
      </w:pPr>
      <w:r>
        <w:rPr>
          <w:rFonts w:ascii="宋体" w:hAnsi="宋体" w:cs="Times New Roman"/>
          <w:b/>
          <w:highlight w:val="none"/>
        </w:rPr>
        <w:t>6. 安全文明施工与环境保护</w:t>
      </w:r>
    </w:p>
    <w:p w14:paraId="1FB00467">
      <w:pPr>
        <w:spacing w:line="360" w:lineRule="auto"/>
        <w:ind w:firstLine="420" w:firstLineChars="200"/>
        <w:rPr>
          <w:rFonts w:ascii="宋体" w:hAnsi="宋体" w:cs="Times New Roman"/>
          <w:szCs w:val="21"/>
          <w:highlight w:val="none"/>
        </w:rPr>
      </w:pPr>
      <w:r>
        <w:rPr>
          <w:rFonts w:ascii="宋体" w:hAnsi="宋体" w:cs="Times New Roman"/>
          <w:szCs w:val="21"/>
          <w:highlight w:val="none"/>
        </w:rPr>
        <w:t>6.1安全文明施工</w:t>
      </w:r>
    </w:p>
    <w:p w14:paraId="280137DD">
      <w:pPr>
        <w:spacing w:line="360" w:lineRule="auto"/>
        <w:ind w:firstLine="420" w:firstLineChars="200"/>
        <w:rPr>
          <w:rFonts w:ascii="宋体" w:hAnsi="宋体" w:cs="Times New Roman"/>
          <w:highlight w:val="none"/>
          <w:u w:val="single"/>
        </w:rPr>
      </w:pPr>
      <w:r>
        <w:rPr>
          <w:rFonts w:ascii="宋体" w:hAnsi="宋体" w:cs="Times New Roman"/>
          <w:szCs w:val="21"/>
          <w:highlight w:val="none"/>
        </w:rPr>
        <w:t>6.1.1 项目安全生产的达标目标及相应事项的约定：</w:t>
      </w:r>
      <w:r>
        <w:rPr>
          <w:rFonts w:hint="eastAsia" w:ascii="宋体" w:hAnsi="宋体" w:cs="Times New Roman"/>
          <w:highlight w:val="none"/>
          <w:u w:val="single"/>
        </w:rPr>
        <w:t>施工现场按照《建筑施工安全检查标准》（JGJ59-2011）评定达到“合格”标准</w:t>
      </w:r>
      <w:r>
        <w:rPr>
          <w:rFonts w:ascii="宋体" w:hAnsi="宋体" w:cs="Times New Roman"/>
          <w:highlight w:val="none"/>
          <w:u w:val="single"/>
        </w:rPr>
        <w:t>。</w:t>
      </w:r>
    </w:p>
    <w:p w14:paraId="69C7C1C5">
      <w:pPr>
        <w:spacing w:line="360" w:lineRule="auto"/>
        <w:ind w:firstLine="420" w:firstLineChars="200"/>
        <w:rPr>
          <w:rFonts w:ascii="宋体" w:hAnsi="宋体" w:cs="Times New Roman"/>
          <w:szCs w:val="21"/>
          <w:highlight w:val="none"/>
        </w:rPr>
      </w:pPr>
      <w:r>
        <w:rPr>
          <w:rFonts w:ascii="宋体" w:hAnsi="宋体" w:cs="Times New Roman"/>
          <w:szCs w:val="21"/>
          <w:highlight w:val="none"/>
        </w:rPr>
        <w:t>6.1.4 关于治安保卫的特别约定：</w:t>
      </w:r>
      <w:r>
        <w:rPr>
          <w:rFonts w:hint="eastAsia" w:ascii="宋体" w:hAnsi="宋体" w:cs="Times New Roman"/>
          <w:highlight w:val="none"/>
          <w:u w:val="single"/>
        </w:rPr>
        <w:t>按通用条款执行。</w:t>
      </w:r>
    </w:p>
    <w:p w14:paraId="32B9674F">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关于编制施工场地治安管理计划的约定：</w:t>
      </w:r>
      <w:r>
        <w:rPr>
          <w:rFonts w:hint="eastAsia" w:ascii="宋体" w:hAnsi="宋体" w:cs="Times New Roman"/>
          <w:highlight w:val="none"/>
          <w:u w:val="single"/>
        </w:rPr>
        <w:t>按通用条款执行。</w:t>
      </w:r>
    </w:p>
    <w:p w14:paraId="172386EA">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6.1.5 文明施工</w:t>
      </w:r>
    </w:p>
    <w:p w14:paraId="595E4449">
      <w:pPr>
        <w:spacing w:line="360" w:lineRule="auto"/>
        <w:ind w:firstLine="415" w:firstLineChars="198"/>
        <w:rPr>
          <w:rFonts w:ascii="宋体" w:hAnsi="宋体" w:cs="Times New Roman"/>
          <w:szCs w:val="21"/>
          <w:highlight w:val="none"/>
        </w:rPr>
      </w:pPr>
      <w:r>
        <w:rPr>
          <w:rFonts w:hint="eastAsia" w:ascii="宋体" w:hAnsi="宋体" w:cs="Times New Roman"/>
          <w:szCs w:val="21"/>
          <w:highlight w:val="none"/>
        </w:rPr>
        <w:t>合同当事人对文明施工的要求：</w:t>
      </w:r>
    </w:p>
    <w:p w14:paraId="53AA02D3">
      <w:pPr>
        <w:spacing w:line="360" w:lineRule="auto"/>
        <w:ind w:firstLine="415" w:firstLineChars="198"/>
        <w:rPr>
          <w:rFonts w:ascii="宋体" w:hAnsi="宋体" w:cs="Times New Roman"/>
          <w:highlight w:val="none"/>
          <w:u w:val="single"/>
        </w:rPr>
      </w:pPr>
      <w:r>
        <w:rPr>
          <w:rFonts w:hint="eastAsia" w:ascii="宋体" w:hAnsi="宋体" w:cs="Times New Roman"/>
          <w:highlight w:val="none"/>
          <w:u w:val="single"/>
        </w:rPr>
        <w:t>（1）遵守地方政府和有关部门对施工场地交通、环卫、安全和施工噪音等管理规定，并办理相关审批手续。</w:t>
      </w:r>
    </w:p>
    <w:p w14:paraId="331CA2AB">
      <w:pPr>
        <w:spacing w:line="360" w:lineRule="auto"/>
        <w:ind w:firstLine="415" w:firstLineChars="198"/>
        <w:rPr>
          <w:rFonts w:ascii="宋体" w:hAnsi="宋体" w:cs="Times New Roman"/>
          <w:highlight w:val="none"/>
          <w:u w:val="single"/>
        </w:rPr>
      </w:pPr>
      <w:r>
        <w:rPr>
          <w:rFonts w:hint="eastAsia" w:ascii="宋体" w:hAnsi="宋体" w:cs="Times New Roman"/>
          <w:highlight w:val="none"/>
          <w:u w:val="single"/>
        </w:rPr>
        <w:t>（2）承包人应采取有效措施尽量减小尘土和噪音污染，需要进行夜间作业时应经有关部门批准。</w:t>
      </w:r>
    </w:p>
    <w:p w14:paraId="2D65F112">
      <w:pPr>
        <w:spacing w:line="360" w:lineRule="auto"/>
        <w:ind w:firstLine="415" w:firstLineChars="198"/>
        <w:rPr>
          <w:rFonts w:ascii="宋体" w:hAnsi="宋体" w:cs="Times New Roman"/>
          <w:highlight w:val="none"/>
          <w:u w:val="single"/>
        </w:rPr>
      </w:pPr>
      <w:r>
        <w:rPr>
          <w:rFonts w:hint="eastAsia" w:ascii="宋体" w:hAnsi="宋体" w:cs="Times New Roman"/>
          <w:highlight w:val="none"/>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244917B5">
      <w:pPr>
        <w:spacing w:line="360" w:lineRule="auto"/>
        <w:ind w:firstLine="415" w:firstLineChars="198"/>
        <w:rPr>
          <w:rFonts w:ascii="宋体" w:hAnsi="宋体" w:cs="Times New Roman"/>
          <w:highlight w:val="none"/>
          <w:u w:val="single"/>
        </w:rPr>
      </w:pPr>
      <w:r>
        <w:rPr>
          <w:rFonts w:hint="eastAsia" w:ascii="宋体" w:hAnsi="宋体" w:cs="Times New Roman"/>
          <w:highlight w:val="none"/>
          <w:u w:val="single"/>
        </w:rPr>
        <w:t>（4）上述手续办理费用约定如下：由承包人支付。</w:t>
      </w:r>
    </w:p>
    <w:p w14:paraId="5F113FC3">
      <w:pPr>
        <w:spacing w:line="360" w:lineRule="auto"/>
        <w:ind w:firstLine="420" w:firstLineChars="200"/>
        <w:rPr>
          <w:rFonts w:ascii="宋体" w:hAnsi="宋体" w:cs="Times New Roman"/>
          <w:szCs w:val="21"/>
          <w:highlight w:val="none"/>
        </w:rPr>
      </w:pPr>
      <w:r>
        <w:rPr>
          <w:rFonts w:ascii="宋体" w:hAnsi="宋体" w:cs="Times New Roman"/>
          <w:szCs w:val="21"/>
          <w:highlight w:val="none"/>
        </w:rPr>
        <w:t>6.1.6 关于安全文明施工费支付比例和支付期限的约定：</w:t>
      </w:r>
      <w:r>
        <w:rPr>
          <w:rFonts w:hint="eastAsia" w:ascii="宋体" w:hAnsi="宋体" w:cs="Times New Roman"/>
          <w:szCs w:val="21"/>
          <w:highlight w:val="none"/>
        </w:rPr>
        <w:t>按一下第</w:t>
      </w:r>
      <w:r>
        <w:rPr>
          <w:rFonts w:hint="eastAsia" w:ascii="宋体" w:hAnsi="宋体" w:cs="Times New Roman"/>
          <w:highlight w:val="none"/>
          <w:u w:val="single"/>
        </w:rPr>
        <w:t>（1）</w:t>
      </w:r>
      <w:r>
        <w:rPr>
          <w:rFonts w:hint="eastAsia" w:ascii="宋体" w:hAnsi="宋体" w:cs="Times New Roman"/>
          <w:szCs w:val="21"/>
          <w:highlight w:val="none"/>
        </w:rPr>
        <w:t>种方式约定：</w:t>
      </w:r>
    </w:p>
    <w:p w14:paraId="651F9FEC">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（1）安全文明施工费按以下第（①）种方式约定：</w:t>
      </w:r>
    </w:p>
    <w:p w14:paraId="4F261E49">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①  与进度款同比例同期支付。</w:t>
      </w:r>
    </w:p>
    <w:p w14:paraId="65CE439A">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②  其他：  /    。</w:t>
      </w:r>
    </w:p>
    <w:p w14:paraId="79B5E27C">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6.1.</w:t>
      </w:r>
      <w:r>
        <w:rPr>
          <w:rFonts w:ascii="宋体" w:hAnsi="宋体" w:cs="Times New Roman"/>
          <w:highlight w:val="none"/>
          <w:u w:val="single"/>
        </w:rPr>
        <w:t>10</w:t>
      </w:r>
      <w:r>
        <w:rPr>
          <w:rFonts w:hint="eastAsia" w:ascii="宋体" w:hAnsi="宋体" w:cs="Times New Roman"/>
          <w:highlight w:val="none"/>
          <w:u w:val="single"/>
        </w:rPr>
        <w:t>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10B920E9">
      <w:pPr>
        <w:topLinePunct/>
        <w:spacing w:line="360" w:lineRule="auto"/>
        <w:ind w:firstLine="200"/>
        <w:rPr>
          <w:rFonts w:ascii="宋体" w:hAnsi="宋体" w:cs="Times New Roman"/>
          <w:b/>
          <w:highlight w:val="none"/>
        </w:rPr>
      </w:pPr>
      <w:r>
        <w:rPr>
          <w:rFonts w:ascii="宋体" w:hAnsi="宋体" w:cs="Times New Roman"/>
          <w:b/>
          <w:highlight w:val="none"/>
        </w:rPr>
        <w:t>7. 工期和进度</w:t>
      </w:r>
    </w:p>
    <w:p w14:paraId="3045DD7A">
      <w:pPr>
        <w:spacing w:line="360" w:lineRule="auto"/>
        <w:ind w:firstLine="420" w:firstLineChars="200"/>
        <w:rPr>
          <w:rFonts w:ascii="宋体" w:hAnsi="宋体" w:cs="Times New Roman"/>
          <w:szCs w:val="21"/>
          <w:highlight w:val="none"/>
        </w:rPr>
      </w:pPr>
      <w:r>
        <w:rPr>
          <w:rFonts w:ascii="宋体" w:hAnsi="宋体" w:cs="Times New Roman"/>
          <w:szCs w:val="21"/>
          <w:highlight w:val="none"/>
        </w:rPr>
        <w:t>7.1 施工组织设计</w:t>
      </w:r>
    </w:p>
    <w:p w14:paraId="533CA9AA">
      <w:pPr>
        <w:spacing w:line="360" w:lineRule="auto"/>
        <w:ind w:firstLine="420" w:firstLineChars="200"/>
        <w:rPr>
          <w:rFonts w:ascii="宋体" w:hAnsi="宋体" w:cs="Times New Roman"/>
          <w:highlight w:val="none"/>
          <w:u w:val="single"/>
        </w:rPr>
      </w:pPr>
      <w:r>
        <w:rPr>
          <w:rFonts w:ascii="宋体" w:hAnsi="宋体" w:cs="Times New Roman"/>
          <w:szCs w:val="21"/>
          <w:highlight w:val="none"/>
        </w:rPr>
        <w:t>7.1.</w:t>
      </w:r>
      <w:r>
        <w:rPr>
          <w:rFonts w:hint="eastAsia" w:ascii="宋体" w:hAnsi="宋体" w:cs="Times New Roman"/>
          <w:szCs w:val="21"/>
          <w:highlight w:val="none"/>
        </w:rPr>
        <w:t>1 合同当事人约定的</w:t>
      </w:r>
      <w:r>
        <w:rPr>
          <w:rFonts w:ascii="宋体" w:hAnsi="宋体" w:cs="Times New Roman"/>
          <w:szCs w:val="21"/>
          <w:highlight w:val="none"/>
        </w:rPr>
        <w:t>施工组织设计</w:t>
      </w:r>
      <w:r>
        <w:rPr>
          <w:rFonts w:hint="eastAsia" w:ascii="宋体" w:hAnsi="宋体" w:cs="Times New Roman"/>
          <w:szCs w:val="21"/>
          <w:highlight w:val="none"/>
        </w:rPr>
        <w:t>应包括的其他内容</w:t>
      </w:r>
      <w:r>
        <w:rPr>
          <w:rFonts w:ascii="宋体" w:hAnsi="宋体" w:cs="Times New Roman"/>
          <w:szCs w:val="21"/>
          <w:highlight w:val="none"/>
        </w:rPr>
        <w:t>：</w:t>
      </w:r>
      <w:r>
        <w:rPr>
          <w:rFonts w:hint="eastAsia" w:ascii="宋体" w:hAnsi="宋体" w:cs="Times New Roman"/>
          <w:highlight w:val="none"/>
          <w:u w:val="single"/>
        </w:rPr>
        <w:t>按通用条款执行。</w:t>
      </w:r>
    </w:p>
    <w:p w14:paraId="6D7FAEAA">
      <w:pPr>
        <w:autoSpaceDE w:val="0"/>
        <w:autoSpaceDN w:val="0"/>
        <w:adjustRightIn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7.1.2 施工组织设计的提交和修改</w:t>
      </w:r>
    </w:p>
    <w:p w14:paraId="7948F92A">
      <w:pPr>
        <w:autoSpaceDE w:val="0"/>
        <w:autoSpaceDN w:val="0"/>
        <w:adjustRightIn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承包人提交详细施工组织设计的期限的约定：</w:t>
      </w:r>
      <w:r>
        <w:rPr>
          <w:rFonts w:hint="eastAsia" w:ascii="宋体" w:hAnsi="宋体" w:cs="Times New Roman"/>
          <w:highlight w:val="none"/>
          <w:u w:val="single"/>
        </w:rPr>
        <w:t xml:space="preserve"> 本合同签订后（3）天内提供详细施工组织设计（施工方案）和进度计划 </w:t>
      </w:r>
      <w:r>
        <w:rPr>
          <w:rFonts w:hint="eastAsia" w:ascii="宋体" w:hAnsi="宋体" w:cs="宋体"/>
          <w:szCs w:val="21"/>
          <w:highlight w:val="none"/>
        </w:rPr>
        <w:t>。</w:t>
      </w:r>
    </w:p>
    <w:p w14:paraId="2F4CC7E5">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发包人和监理人在收到</w:t>
      </w:r>
      <w:r>
        <w:rPr>
          <w:rFonts w:hint="eastAsia" w:ascii="宋体" w:hAnsi="宋体" w:cs="Times New Roman"/>
          <w:szCs w:val="21"/>
          <w:highlight w:val="none"/>
        </w:rPr>
        <w:t>详细的施工组织设计</w:t>
      </w:r>
      <w:r>
        <w:rPr>
          <w:rFonts w:ascii="宋体" w:hAnsi="宋体" w:cs="Times New Roman"/>
          <w:szCs w:val="21"/>
          <w:highlight w:val="none"/>
        </w:rPr>
        <w:t>后确认或提出修改意见的期限：</w:t>
      </w:r>
      <w:r>
        <w:rPr>
          <w:rFonts w:hint="eastAsia" w:ascii="宋体" w:hAnsi="宋体" w:cs="Times New Roman"/>
          <w:highlight w:val="none"/>
          <w:u w:val="single"/>
        </w:rPr>
        <w:t>收到施工组织设计后 7天内</w:t>
      </w:r>
      <w:r>
        <w:rPr>
          <w:rFonts w:ascii="宋体" w:hAnsi="宋体" w:cs="Times New Roman"/>
          <w:highlight w:val="none"/>
          <w:u w:val="single"/>
        </w:rPr>
        <w:t>。</w:t>
      </w:r>
    </w:p>
    <w:p w14:paraId="758EA3BB">
      <w:pPr>
        <w:spacing w:line="360" w:lineRule="auto"/>
        <w:ind w:firstLine="420" w:firstLineChars="200"/>
        <w:rPr>
          <w:rFonts w:ascii="宋体" w:hAnsi="宋体" w:cs="Times New Roman"/>
          <w:szCs w:val="21"/>
          <w:highlight w:val="none"/>
        </w:rPr>
      </w:pPr>
      <w:r>
        <w:rPr>
          <w:rFonts w:ascii="宋体" w:hAnsi="宋体" w:cs="Times New Roman"/>
          <w:szCs w:val="21"/>
          <w:highlight w:val="none"/>
        </w:rPr>
        <w:t>7.2 施工进度计划</w:t>
      </w:r>
    </w:p>
    <w:p w14:paraId="211D9CCA">
      <w:pPr>
        <w:spacing w:line="360" w:lineRule="auto"/>
        <w:ind w:firstLine="420" w:firstLineChars="200"/>
        <w:rPr>
          <w:rFonts w:ascii="宋体" w:hAnsi="宋体" w:cs="Times New Roman"/>
          <w:szCs w:val="21"/>
          <w:highlight w:val="none"/>
        </w:rPr>
      </w:pPr>
      <w:r>
        <w:rPr>
          <w:rFonts w:ascii="宋体" w:hAnsi="宋体" w:cs="Times New Roman"/>
          <w:szCs w:val="21"/>
          <w:highlight w:val="none"/>
        </w:rPr>
        <w:t>7.2.2 施工进度计划的修订</w:t>
      </w:r>
    </w:p>
    <w:p w14:paraId="2EAF1B0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发包人和监理人在收到修订的施工进度计划后确认或提出修改意见的期限：</w:t>
      </w:r>
      <w:r>
        <w:rPr>
          <w:rFonts w:hint="eastAsia" w:ascii="宋体" w:hAnsi="宋体" w:cs="Times New Roman"/>
          <w:highlight w:val="none"/>
          <w:u w:val="single"/>
        </w:rPr>
        <w:t>收到修订的施工进度计划后7天内</w:t>
      </w:r>
      <w:r>
        <w:rPr>
          <w:rFonts w:ascii="宋体" w:hAnsi="宋体" w:cs="Times New Roman"/>
          <w:highlight w:val="none"/>
          <w:u w:val="single"/>
        </w:rPr>
        <w:t>。</w:t>
      </w:r>
    </w:p>
    <w:p w14:paraId="21D0FD8E">
      <w:pPr>
        <w:spacing w:line="360" w:lineRule="auto"/>
        <w:ind w:firstLine="420" w:firstLineChars="200"/>
        <w:rPr>
          <w:rFonts w:ascii="宋体" w:hAnsi="宋体" w:cs="Times New Roman"/>
          <w:szCs w:val="21"/>
          <w:highlight w:val="none"/>
        </w:rPr>
      </w:pPr>
      <w:r>
        <w:rPr>
          <w:rFonts w:ascii="宋体" w:hAnsi="宋体" w:cs="Times New Roman"/>
          <w:szCs w:val="21"/>
          <w:highlight w:val="none"/>
        </w:rPr>
        <w:t>7.3 开工</w:t>
      </w:r>
    </w:p>
    <w:p w14:paraId="20A5B4E0">
      <w:pPr>
        <w:spacing w:line="360" w:lineRule="auto"/>
        <w:ind w:firstLine="420" w:firstLineChars="200"/>
        <w:rPr>
          <w:rFonts w:ascii="宋体" w:hAnsi="宋体" w:cs="Times New Roman"/>
          <w:szCs w:val="21"/>
          <w:highlight w:val="none"/>
        </w:rPr>
      </w:pPr>
      <w:r>
        <w:rPr>
          <w:rFonts w:ascii="宋体" w:hAnsi="宋体" w:cs="Times New Roman"/>
          <w:szCs w:val="21"/>
          <w:highlight w:val="none"/>
        </w:rPr>
        <w:t>7.3.1 开工准备</w:t>
      </w:r>
    </w:p>
    <w:p w14:paraId="46A0A037">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关于承包人提交工程开工报审表的期限：</w:t>
      </w:r>
      <w:r>
        <w:rPr>
          <w:rFonts w:hint="eastAsia" w:ascii="宋体" w:hAnsi="宋体" w:cs="Times New Roman"/>
          <w:highlight w:val="none"/>
          <w:u w:val="single"/>
        </w:rPr>
        <w:t>开工</w:t>
      </w:r>
      <w:r>
        <w:rPr>
          <w:rFonts w:hint="eastAsia" w:ascii="宋体" w:hAnsi="宋体" w:cs="Times New Roman"/>
          <w:szCs w:val="21"/>
          <w:highlight w:val="none"/>
          <w:u w:val="single"/>
        </w:rPr>
        <w:t>前3天</w:t>
      </w:r>
      <w:r>
        <w:rPr>
          <w:rFonts w:ascii="宋体" w:hAnsi="宋体" w:cs="Times New Roman"/>
          <w:highlight w:val="none"/>
          <w:u w:val="single"/>
        </w:rPr>
        <w:t>。</w:t>
      </w:r>
    </w:p>
    <w:p w14:paraId="5D095DFF">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关于发包人应完成的其他开工准备工作及期限：</w:t>
      </w:r>
      <w:r>
        <w:rPr>
          <w:rFonts w:hint="eastAsia" w:ascii="宋体" w:hAnsi="宋体" w:cs="Times New Roman"/>
          <w:highlight w:val="none"/>
          <w:u w:val="single"/>
        </w:rPr>
        <w:t>开工</w:t>
      </w:r>
      <w:r>
        <w:rPr>
          <w:rFonts w:hint="eastAsia" w:ascii="宋体" w:hAnsi="宋体" w:cs="Times New Roman"/>
          <w:szCs w:val="21"/>
          <w:highlight w:val="none"/>
          <w:u w:val="single"/>
        </w:rPr>
        <w:t>前3天</w:t>
      </w:r>
      <w:r>
        <w:rPr>
          <w:rFonts w:hint="eastAsia" w:ascii="宋体" w:hAnsi="宋体" w:cs="Times New Roman"/>
          <w:highlight w:val="none"/>
          <w:u w:val="single"/>
        </w:rPr>
        <w:t>。</w:t>
      </w:r>
    </w:p>
    <w:p w14:paraId="6330B7AC">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关于承包人应完成的其他开工准备工作及期限：</w:t>
      </w:r>
      <w:r>
        <w:rPr>
          <w:rFonts w:hint="eastAsia" w:ascii="宋体" w:hAnsi="宋体" w:cs="Times New Roman"/>
          <w:highlight w:val="none"/>
          <w:u w:val="single"/>
        </w:rPr>
        <w:t>开工</w:t>
      </w:r>
      <w:r>
        <w:rPr>
          <w:rFonts w:hint="eastAsia" w:ascii="宋体" w:hAnsi="宋体" w:cs="Times New Roman"/>
          <w:szCs w:val="21"/>
          <w:highlight w:val="none"/>
          <w:u w:val="single"/>
        </w:rPr>
        <w:t>前3天</w:t>
      </w:r>
      <w:r>
        <w:rPr>
          <w:rFonts w:hint="eastAsia" w:ascii="宋体" w:hAnsi="宋体" w:cs="Times New Roman"/>
          <w:szCs w:val="21"/>
          <w:highlight w:val="none"/>
        </w:rPr>
        <w:t xml:space="preserve">。     </w:t>
      </w:r>
    </w:p>
    <w:p w14:paraId="0A1B03CC">
      <w:pPr>
        <w:spacing w:line="360" w:lineRule="auto"/>
        <w:ind w:firstLine="420" w:firstLineChars="200"/>
        <w:rPr>
          <w:rFonts w:ascii="宋体" w:hAnsi="宋体" w:cs="Times New Roman"/>
          <w:szCs w:val="21"/>
          <w:highlight w:val="none"/>
        </w:rPr>
      </w:pPr>
      <w:r>
        <w:rPr>
          <w:rFonts w:ascii="宋体" w:hAnsi="宋体" w:cs="Times New Roman"/>
          <w:szCs w:val="21"/>
          <w:highlight w:val="none"/>
        </w:rPr>
        <w:t>7.3.2开工通知</w:t>
      </w:r>
    </w:p>
    <w:p w14:paraId="32956A01">
      <w:pPr>
        <w:spacing w:line="360" w:lineRule="auto"/>
        <w:ind w:firstLine="420" w:firstLineChars="200"/>
        <w:rPr>
          <w:rFonts w:ascii="宋体" w:hAnsi="宋体" w:cs="Times New Roman"/>
          <w:szCs w:val="21"/>
          <w:highlight w:val="none"/>
        </w:rPr>
      </w:pPr>
      <w:r>
        <w:rPr>
          <w:rFonts w:ascii="宋体" w:hAnsi="宋体" w:cs="Times New Roman"/>
          <w:szCs w:val="21"/>
          <w:highlight w:val="none"/>
        </w:rPr>
        <w:t>因发包人原因造成未能在计划开工日期之日起</w:t>
      </w:r>
      <w:r>
        <w:rPr>
          <w:rFonts w:hint="eastAsia" w:ascii="宋体" w:hAnsi="宋体" w:cs="Times New Roman"/>
          <w:highlight w:val="none"/>
          <w:u w:val="single"/>
        </w:rPr>
        <w:t xml:space="preserve"> </w:t>
      </w:r>
      <w:r>
        <w:rPr>
          <w:rFonts w:ascii="宋体" w:hAnsi="宋体" w:cs="Times New Roman"/>
          <w:highlight w:val="none"/>
          <w:u w:val="single"/>
        </w:rPr>
        <w:t>9</w:t>
      </w:r>
      <w:r>
        <w:rPr>
          <w:rFonts w:hint="eastAsia" w:ascii="宋体" w:hAnsi="宋体" w:cs="Times New Roman"/>
          <w:highlight w:val="none"/>
          <w:u w:val="single"/>
        </w:rPr>
        <w:t xml:space="preserve">0 </w:t>
      </w:r>
      <w:r>
        <w:rPr>
          <w:rFonts w:ascii="宋体" w:hAnsi="宋体" w:cs="Times New Roman"/>
          <w:szCs w:val="21"/>
          <w:highlight w:val="none"/>
        </w:rPr>
        <w:t>天内发出开工通知的，承包人有权提出价格调整要求，或者解除合同。</w:t>
      </w:r>
    </w:p>
    <w:p w14:paraId="688A8A11">
      <w:pPr>
        <w:spacing w:line="360" w:lineRule="auto"/>
        <w:ind w:firstLine="420" w:firstLineChars="200"/>
        <w:rPr>
          <w:rFonts w:ascii="宋体" w:hAnsi="宋体" w:cs="Times New Roman"/>
          <w:szCs w:val="21"/>
          <w:highlight w:val="none"/>
        </w:rPr>
      </w:pPr>
      <w:r>
        <w:rPr>
          <w:rFonts w:ascii="宋体" w:hAnsi="宋体" w:cs="Times New Roman"/>
          <w:szCs w:val="21"/>
          <w:highlight w:val="none"/>
        </w:rPr>
        <w:t>7.4 测量放线</w:t>
      </w:r>
    </w:p>
    <w:p w14:paraId="315527EF">
      <w:pPr>
        <w:spacing w:line="360" w:lineRule="auto"/>
        <w:ind w:firstLine="420" w:firstLineChars="200"/>
        <w:rPr>
          <w:rFonts w:ascii="宋体" w:hAnsi="宋体" w:cs="Times New Roman"/>
          <w:highlight w:val="none"/>
          <w:u w:val="single"/>
        </w:rPr>
      </w:pPr>
      <w:r>
        <w:rPr>
          <w:rFonts w:ascii="宋体" w:hAnsi="宋体" w:cs="Times New Roman"/>
          <w:szCs w:val="21"/>
          <w:highlight w:val="none"/>
        </w:rPr>
        <w:t>7.4.1发包人向承包人提供测量基准点、基准线和水准点及其书面资料的期限：</w:t>
      </w:r>
      <w:r>
        <w:rPr>
          <w:rFonts w:hint="eastAsia" w:ascii="宋体" w:hAnsi="宋体" w:cs="Times New Roman"/>
          <w:highlight w:val="none"/>
          <w:u w:val="single"/>
        </w:rPr>
        <w:t xml:space="preserve"> / </w:t>
      </w:r>
    </w:p>
    <w:p w14:paraId="20136AF6">
      <w:pPr>
        <w:spacing w:line="360" w:lineRule="auto"/>
        <w:ind w:firstLine="420" w:firstLineChars="200"/>
        <w:rPr>
          <w:rFonts w:ascii="宋体" w:hAnsi="宋体" w:cs="Times New Roman"/>
          <w:szCs w:val="21"/>
          <w:highlight w:val="none"/>
        </w:rPr>
      </w:pPr>
      <w:r>
        <w:rPr>
          <w:rFonts w:ascii="宋体" w:hAnsi="宋体" w:cs="Times New Roman"/>
          <w:szCs w:val="21"/>
          <w:highlight w:val="none"/>
        </w:rPr>
        <w:t>7.5 工期延误</w:t>
      </w:r>
    </w:p>
    <w:p w14:paraId="25610619">
      <w:pPr>
        <w:spacing w:line="360" w:lineRule="auto"/>
        <w:ind w:firstLine="420" w:firstLineChars="200"/>
        <w:rPr>
          <w:rFonts w:ascii="宋体" w:hAnsi="宋体" w:cs="Times New Roman"/>
          <w:szCs w:val="21"/>
          <w:highlight w:val="none"/>
        </w:rPr>
      </w:pPr>
      <w:r>
        <w:rPr>
          <w:rFonts w:ascii="宋体" w:hAnsi="宋体" w:cs="Times New Roman"/>
          <w:szCs w:val="21"/>
          <w:highlight w:val="none"/>
        </w:rPr>
        <w:t>7.5.1 因发包人原因导致工期延误</w:t>
      </w:r>
    </w:p>
    <w:p w14:paraId="399B12A5">
      <w:pPr>
        <w:spacing w:line="360" w:lineRule="auto"/>
        <w:ind w:firstLine="480"/>
        <w:rPr>
          <w:rFonts w:ascii="宋体" w:hAnsi="宋体" w:cs="Times New Roman"/>
          <w:highlight w:val="none"/>
          <w:u w:val="single"/>
        </w:rPr>
      </w:pPr>
      <w:r>
        <w:rPr>
          <w:rFonts w:hint="eastAsia" w:ascii="宋体" w:hAnsi="宋体" w:cs="Times New Roman"/>
          <w:szCs w:val="21"/>
          <w:highlight w:val="none"/>
        </w:rPr>
        <w:t>（7）因发包人原因导致工期延误的其他情形：</w:t>
      </w:r>
    </w:p>
    <w:p w14:paraId="13B4B071">
      <w:pPr>
        <w:tabs>
          <w:tab w:val="left" w:pos="540"/>
        </w:tabs>
        <w:spacing w:line="360" w:lineRule="auto"/>
        <w:ind w:firstLine="472" w:firstLineChars="225"/>
        <w:rPr>
          <w:rFonts w:ascii="宋体" w:hAnsi="宋体" w:cs="Times New Roman"/>
          <w:highlight w:val="none"/>
          <w:u w:val="single"/>
        </w:rPr>
      </w:pPr>
      <w:r>
        <w:rPr>
          <w:rFonts w:hint="eastAsia" w:ascii="宋体" w:hAnsi="宋体" w:cs="Times New Roman"/>
          <w:highlight w:val="none"/>
          <w:u w:val="single"/>
        </w:rPr>
        <w:t>1）</w:t>
      </w:r>
      <w:r>
        <w:rPr>
          <w:rFonts w:ascii="宋体" w:hAnsi="宋体" w:cs="Times New Roman"/>
          <w:highlight w:val="none"/>
          <w:u w:val="single"/>
        </w:rPr>
        <w:t>重大设计变更</w:t>
      </w:r>
      <w:r>
        <w:rPr>
          <w:rFonts w:hint="eastAsia" w:ascii="宋体" w:hAnsi="宋体" w:cs="Times New Roman"/>
          <w:highlight w:val="none"/>
          <w:u w:val="single"/>
        </w:rPr>
        <w:t>引起</w:t>
      </w:r>
      <w:r>
        <w:rPr>
          <w:rFonts w:ascii="宋体" w:hAnsi="宋体" w:cs="Times New Roman"/>
          <w:highlight w:val="none"/>
          <w:u w:val="single"/>
        </w:rPr>
        <w:t>的</w:t>
      </w:r>
      <w:r>
        <w:rPr>
          <w:rFonts w:hint="eastAsia" w:ascii="宋体" w:hAnsi="宋体" w:cs="Times New Roman"/>
          <w:highlight w:val="none"/>
          <w:u w:val="single"/>
        </w:rPr>
        <w:t>工期延误</w:t>
      </w:r>
      <w:r>
        <w:rPr>
          <w:rFonts w:ascii="宋体" w:hAnsi="宋体" w:cs="Times New Roman"/>
          <w:highlight w:val="none"/>
          <w:u w:val="single"/>
        </w:rPr>
        <w:t>；</w:t>
      </w:r>
    </w:p>
    <w:p w14:paraId="30298CED">
      <w:pPr>
        <w:tabs>
          <w:tab w:val="left" w:pos="540"/>
        </w:tabs>
        <w:spacing w:line="360" w:lineRule="auto"/>
        <w:ind w:firstLine="472" w:firstLineChars="225"/>
        <w:rPr>
          <w:rFonts w:ascii="宋体" w:hAnsi="宋体" w:cs="Times New Roman"/>
          <w:highlight w:val="none"/>
          <w:u w:val="single"/>
        </w:rPr>
      </w:pPr>
      <w:r>
        <w:rPr>
          <w:rFonts w:hint="eastAsia" w:ascii="宋体" w:hAnsi="宋体" w:cs="Times New Roman"/>
          <w:highlight w:val="none"/>
          <w:u w:val="single"/>
        </w:rPr>
        <w:t>2）其他：因发包人原因直接造成的工期延误</w:t>
      </w:r>
      <w:r>
        <w:rPr>
          <w:rFonts w:ascii="宋体" w:hAnsi="宋体" w:cs="Times New Roman"/>
          <w:highlight w:val="none"/>
          <w:u w:val="single"/>
        </w:rPr>
        <w:t>；</w:t>
      </w:r>
    </w:p>
    <w:p w14:paraId="47E681C4">
      <w:pPr>
        <w:spacing w:line="360" w:lineRule="auto"/>
        <w:ind w:firstLine="420" w:firstLineChars="200"/>
        <w:rPr>
          <w:rFonts w:ascii="宋体" w:hAnsi="宋体" w:cs="Times New Roman"/>
          <w:highlight w:val="none"/>
          <w:u w:val="single"/>
        </w:rPr>
      </w:pPr>
      <w:r>
        <w:rPr>
          <w:rFonts w:ascii="宋体" w:hAnsi="宋体" w:cs="Times New Roman"/>
          <w:highlight w:val="none"/>
          <w:u w:val="single"/>
        </w:rPr>
        <w:t>非承包人原因引起的，发包人、承包人和监理单位</w:t>
      </w:r>
      <w:r>
        <w:rPr>
          <w:rFonts w:hint="eastAsia" w:ascii="宋体" w:hAnsi="宋体" w:cs="Times New Roman"/>
          <w:highlight w:val="none"/>
          <w:u w:val="single"/>
        </w:rPr>
        <w:t>（如有）</w:t>
      </w:r>
      <w:r>
        <w:rPr>
          <w:rFonts w:ascii="宋体" w:hAnsi="宋体" w:cs="Times New Roman"/>
          <w:highlight w:val="none"/>
          <w:u w:val="single"/>
        </w:rPr>
        <w:t>共同确认需要延长工期的，可按</w:t>
      </w:r>
      <w:r>
        <w:rPr>
          <w:rFonts w:hint="eastAsia" w:ascii="宋体" w:hAnsi="宋体" w:cs="Times New Roman"/>
          <w:highlight w:val="none"/>
          <w:u w:val="single"/>
        </w:rPr>
        <w:t>双</w:t>
      </w:r>
      <w:r>
        <w:rPr>
          <w:rFonts w:ascii="宋体" w:hAnsi="宋体" w:cs="Times New Roman"/>
          <w:highlight w:val="none"/>
          <w:u w:val="single"/>
        </w:rPr>
        <w:t>方协商一致后的书面签证予以顺延。</w:t>
      </w:r>
    </w:p>
    <w:p w14:paraId="62EC66C5">
      <w:pPr>
        <w:spacing w:line="360" w:lineRule="auto"/>
        <w:ind w:firstLine="420" w:firstLineChars="200"/>
        <w:rPr>
          <w:rFonts w:ascii="宋体" w:hAnsi="宋体" w:cs="Times New Roman"/>
          <w:szCs w:val="21"/>
          <w:highlight w:val="none"/>
        </w:rPr>
      </w:pPr>
      <w:r>
        <w:rPr>
          <w:rFonts w:ascii="宋体" w:hAnsi="宋体" w:cs="Times New Roman"/>
          <w:szCs w:val="21"/>
          <w:highlight w:val="none"/>
        </w:rPr>
        <w:t>7.5.2 因承包人原因导致工期延误</w:t>
      </w:r>
    </w:p>
    <w:p w14:paraId="0BB5E00F">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因承包人原因造成工期延误，逾期竣工违约金的计算方法为：</w:t>
      </w:r>
      <w:r>
        <w:rPr>
          <w:rFonts w:hint="eastAsia" w:ascii="宋体" w:hAnsi="宋体" w:cs="Times New Roman"/>
          <w:highlight w:val="none"/>
          <w:u w:val="single"/>
        </w:rPr>
        <w:t>①、因承包人原因工程不能按合同约定工期竣工，每延误一天，承包人应按人民币0</w:t>
      </w:r>
      <w:r>
        <w:rPr>
          <w:rFonts w:ascii="宋体" w:hAnsi="宋体" w:cs="Times New Roman"/>
          <w:highlight w:val="none"/>
          <w:u w:val="single"/>
        </w:rPr>
        <w:t>.3</w:t>
      </w:r>
      <w:r>
        <w:rPr>
          <w:rFonts w:hint="eastAsia" w:ascii="宋体" w:hAnsi="宋体" w:cs="Times New Roman"/>
          <w:highlight w:val="none"/>
          <w:u w:val="single"/>
        </w:rPr>
        <w:t>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w:t>
      </w:r>
      <w:r>
        <w:rPr>
          <w:rFonts w:ascii="宋体" w:hAnsi="宋体" w:cs="Times New Roman"/>
          <w:highlight w:val="none"/>
          <w:u w:val="single"/>
        </w:rPr>
        <w:t>0</w:t>
      </w:r>
      <w:r>
        <w:rPr>
          <w:rFonts w:hint="eastAsia" w:ascii="宋体" w:hAnsi="宋体" w:cs="Times New Roman"/>
          <w:highlight w:val="none"/>
          <w:u w:val="single"/>
        </w:rPr>
        <w:t>天（含2</w:t>
      </w:r>
      <w:r>
        <w:rPr>
          <w:rFonts w:ascii="宋体" w:hAnsi="宋体" w:cs="Times New Roman"/>
          <w:highlight w:val="none"/>
          <w:u w:val="single"/>
        </w:rPr>
        <w:t>0</w:t>
      </w:r>
      <w:r>
        <w:rPr>
          <w:rFonts w:hint="eastAsia" w:ascii="宋体" w:hAnsi="宋体" w:cs="Times New Roman"/>
          <w:highlight w:val="none"/>
          <w:u w:val="single"/>
        </w:rPr>
        <w:t>天）的，发包人有权解除合同，也有权仍选择由承包人继续履行合同，如发包人选择由承包人继续履行合同的，竣工工期超过2</w:t>
      </w:r>
      <w:r>
        <w:rPr>
          <w:rFonts w:ascii="宋体" w:hAnsi="宋体" w:cs="Times New Roman"/>
          <w:highlight w:val="none"/>
          <w:u w:val="single"/>
        </w:rPr>
        <w:t>0</w:t>
      </w:r>
      <w:r>
        <w:rPr>
          <w:rFonts w:hint="eastAsia" w:ascii="宋体" w:hAnsi="宋体" w:cs="Times New Roman"/>
          <w:highlight w:val="none"/>
          <w:u w:val="single"/>
        </w:rPr>
        <w:t>天后每延误一天，承包人应按人民币</w:t>
      </w:r>
      <w:r>
        <w:rPr>
          <w:rFonts w:ascii="宋体" w:hAnsi="宋体" w:cs="Times New Roman"/>
          <w:highlight w:val="none"/>
          <w:u w:val="single"/>
        </w:rPr>
        <w:t>0.6</w:t>
      </w:r>
      <w:r>
        <w:rPr>
          <w:rFonts w:hint="eastAsia" w:ascii="宋体" w:hAnsi="宋体" w:cs="Times New Roman"/>
          <w:highlight w:val="none"/>
          <w:u w:val="single"/>
        </w:rPr>
        <w:t>万元向发包人支付违约金。</w:t>
      </w:r>
    </w:p>
    <w:p w14:paraId="7A29E5BE">
      <w:pPr>
        <w:spacing w:line="360" w:lineRule="auto"/>
        <w:ind w:firstLine="420" w:firstLineChars="200"/>
        <w:rPr>
          <w:rFonts w:ascii="宋体" w:hAnsi="宋体" w:cs="Times New Roman"/>
          <w:szCs w:val="21"/>
          <w:highlight w:val="none"/>
        </w:rPr>
      </w:pPr>
      <w:r>
        <w:rPr>
          <w:rFonts w:ascii="宋体" w:hAnsi="宋体" w:cs="Times New Roman"/>
          <w:szCs w:val="21"/>
          <w:highlight w:val="none"/>
        </w:rPr>
        <w:t>因承包人原因造成工期延误，逾期竣工违约金的上限：</w:t>
      </w:r>
      <w:r>
        <w:rPr>
          <w:rFonts w:ascii="宋体" w:hAnsi="宋体" w:cs="Times New Roman"/>
          <w:highlight w:val="none"/>
          <w:u w:val="single"/>
        </w:rPr>
        <w:t xml:space="preserve"> </w:t>
      </w:r>
      <w:r>
        <w:rPr>
          <w:rFonts w:hint="eastAsia" w:ascii="宋体" w:hAnsi="宋体" w:cs="Times New Roman"/>
          <w:highlight w:val="none"/>
          <w:u w:val="single"/>
        </w:rPr>
        <w:t xml:space="preserve">不设上限，工期延误违约金发包人有权直接从履约担保中扣除，不足部分从工程款中扣除 </w:t>
      </w:r>
      <w:r>
        <w:rPr>
          <w:rFonts w:ascii="宋体" w:hAnsi="宋体" w:cs="Times New Roman"/>
          <w:szCs w:val="21"/>
          <w:highlight w:val="none"/>
        </w:rPr>
        <w:t>。</w:t>
      </w:r>
    </w:p>
    <w:p w14:paraId="629DEA65">
      <w:pPr>
        <w:spacing w:line="360" w:lineRule="auto"/>
        <w:ind w:firstLine="420" w:firstLineChars="200"/>
        <w:rPr>
          <w:rFonts w:ascii="宋体" w:hAnsi="宋体" w:cs="Times New Roman"/>
          <w:szCs w:val="21"/>
          <w:highlight w:val="none"/>
        </w:rPr>
      </w:pPr>
      <w:r>
        <w:rPr>
          <w:rFonts w:ascii="宋体" w:hAnsi="宋体" w:cs="Times New Roman"/>
          <w:szCs w:val="21"/>
          <w:highlight w:val="none"/>
        </w:rPr>
        <w:t>7.6 不利物质条件</w:t>
      </w:r>
    </w:p>
    <w:p w14:paraId="45814B01">
      <w:pPr>
        <w:spacing w:line="360" w:lineRule="auto"/>
        <w:ind w:firstLine="415" w:firstLineChars="198"/>
        <w:rPr>
          <w:rFonts w:ascii="宋体" w:hAnsi="宋体" w:cs="Times New Roman"/>
          <w:szCs w:val="21"/>
          <w:highlight w:val="none"/>
        </w:rPr>
      </w:pPr>
      <w:r>
        <w:rPr>
          <w:rFonts w:ascii="宋体" w:hAnsi="宋体" w:cs="Times New Roman"/>
          <w:szCs w:val="21"/>
          <w:highlight w:val="none"/>
        </w:rPr>
        <w:t>不利物质条件的其他情形和有关约定：</w:t>
      </w:r>
      <w:r>
        <w:rPr>
          <w:rFonts w:hint="eastAsia" w:ascii="宋体" w:hAnsi="宋体" w:cs="Times New Roman"/>
          <w:highlight w:val="none"/>
          <w:u w:val="single"/>
        </w:rPr>
        <w:t xml:space="preserve"> / ；</w:t>
      </w:r>
    </w:p>
    <w:p w14:paraId="4BB3BD18">
      <w:pPr>
        <w:spacing w:line="360" w:lineRule="auto"/>
        <w:ind w:firstLine="420" w:firstLineChars="200"/>
        <w:rPr>
          <w:rFonts w:ascii="宋体" w:hAnsi="宋体" w:cs="Times New Roman"/>
          <w:szCs w:val="21"/>
          <w:highlight w:val="none"/>
        </w:rPr>
      </w:pPr>
      <w:r>
        <w:rPr>
          <w:rFonts w:ascii="宋体" w:hAnsi="宋体" w:cs="Times New Roman"/>
          <w:szCs w:val="21"/>
          <w:highlight w:val="none"/>
        </w:rPr>
        <w:t>7.7异常恶劣的气候条件</w:t>
      </w:r>
    </w:p>
    <w:p w14:paraId="00E6A406">
      <w:pPr>
        <w:tabs>
          <w:tab w:val="left" w:pos="482"/>
          <w:tab w:val="left" w:pos="2183"/>
          <w:tab w:val="left" w:pos="3884"/>
          <w:tab w:val="left" w:pos="5585"/>
        </w:tabs>
        <w:spacing w:line="360" w:lineRule="auto"/>
        <w:ind w:firstLine="420" w:firstLineChars="200"/>
        <w:rPr>
          <w:rFonts w:ascii="宋体" w:hAnsi="宋体" w:cs="Times New Roman"/>
          <w:szCs w:val="21"/>
          <w:highlight w:val="none"/>
        </w:rPr>
      </w:pPr>
      <w:r>
        <w:rPr>
          <w:rFonts w:ascii="宋体" w:hAnsi="宋体" w:cs="Times New Roman"/>
          <w:szCs w:val="21"/>
          <w:highlight w:val="none"/>
        </w:rPr>
        <w:t>发包人和承包人同意以下情形视为异常恶劣的气候条件：</w:t>
      </w:r>
      <w:r>
        <w:rPr>
          <w:rFonts w:hint="eastAsia" w:ascii="宋体" w:hAnsi="宋体" w:cs="Times New Roman"/>
          <w:highlight w:val="none"/>
          <w:u w:val="single"/>
        </w:rPr>
        <w:t>日最高气温达到40度及以上的天气；启动台风橙色及以上的预警的天气；启动防汛预案一级响应的天气；启动防冻预案一级响应的天气。</w:t>
      </w:r>
    </w:p>
    <w:p w14:paraId="5FF6721A">
      <w:pPr>
        <w:spacing w:line="360" w:lineRule="auto"/>
        <w:ind w:firstLine="420" w:firstLineChars="200"/>
        <w:rPr>
          <w:rFonts w:ascii="宋体" w:hAnsi="宋体" w:cs="Times New Roman"/>
          <w:szCs w:val="21"/>
          <w:highlight w:val="none"/>
        </w:rPr>
      </w:pPr>
      <w:r>
        <w:rPr>
          <w:rFonts w:ascii="宋体" w:hAnsi="宋体" w:cs="Times New Roman"/>
          <w:szCs w:val="21"/>
          <w:highlight w:val="none"/>
        </w:rPr>
        <w:t>7.9 提前竣工的奖励</w:t>
      </w:r>
    </w:p>
    <w:p w14:paraId="221AC13A">
      <w:pPr>
        <w:spacing w:line="360" w:lineRule="auto"/>
        <w:ind w:firstLine="420" w:firstLineChars="200"/>
        <w:rPr>
          <w:rFonts w:ascii="宋体" w:hAnsi="宋体" w:cs="Times New Roman"/>
          <w:szCs w:val="21"/>
          <w:highlight w:val="none"/>
        </w:rPr>
      </w:pPr>
      <w:r>
        <w:rPr>
          <w:rFonts w:ascii="宋体" w:hAnsi="宋体" w:cs="Times New Roman"/>
          <w:szCs w:val="21"/>
          <w:highlight w:val="none"/>
        </w:rPr>
        <w:t>7.9.2提前竣工的奖励：</w:t>
      </w:r>
      <w:r>
        <w:rPr>
          <w:rFonts w:ascii="宋体" w:hAnsi="宋体" w:cs="Times New Roman"/>
          <w:szCs w:val="21"/>
          <w:highlight w:val="none"/>
          <w:u w:val="single"/>
        </w:rPr>
        <w:t xml:space="preserve">     </w:t>
      </w:r>
      <w:r>
        <w:rPr>
          <w:rFonts w:hint="eastAsia" w:ascii="宋体" w:hAnsi="宋体" w:cs="Times New Roman"/>
          <w:szCs w:val="21"/>
          <w:highlight w:val="none"/>
          <w:u w:val="single"/>
        </w:rPr>
        <w:t>无</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szCs w:val="21"/>
          <w:highlight w:val="none"/>
        </w:rPr>
        <w:t>。</w:t>
      </w:r>
    </w:p>
    <w:p w14:paraId="656F6808">
      <w:pPr>
        <w:topLinePunct/>
        <w:spacing w:line="360" w:lineRule="auto"/>
        <w:ind w:firstLine="420"/>
        <w:rPr>
          <w:rFonts w:ascii="宋体" w:hAnsi="宋体" w:cs="Times New Roman"/>
          <w:b/>
          <w:highlight w:val="none"/>
        </w:rPr>
      </w:pPr>
      <w:r>
        <w:rPr>
          <w:rFonts w:ascii="宋体" w:hAnsi="宋体" w:cs="Times New Roman"/>
          <w:b/>
          <w:highlight w:val="none"/>
        </w:rPr>
        <w:t>8. 材料与设备</w:t>
      </w:r>
    </w:p>
    <w:p w14:paraId="7A2706AD">
      <w:pPr>
        <w:spacing w:line="360" w:lineRule="auto"/>
        <w:ind w:firstLine="420" w:firstLineChars="200"/>
        <w:rPr>
          <w:rFonts w:ascii="宋体" w:hAnsi="宋体" w:cs="Times New Roman"/>
          <w:szCs w:val="21"/>
          <w:highlight w:val="none"/>
        </w:rPr>
      </w:pPr>
      <w:r>
        <w:rPr>
          <w:rFonts w:ascii="宋体" w:hAnsi="宋体" w:cs="Times New Roman"/>
          <w:szCs w:val="21"/>
          <w:highlight w:val="none"/>
        </w:rPr>
        <w:t>8.4材料与工程设备的保管与使用</w:t>
      </w:r>
    </w:p>
    <w:p w14:paraId="3897D918">
      <w:pPr>
        <w:spacing w:line="360" w:lineRule="auto"/>
        <w:ind w:firstLine="420" w:firstLineChars="200"/>
        <w:rPr>
          <w:rFonts w:ascii="宋体" w:hAnsi="宋体" w:cs="Times New Roman"/>
          <w:highlight w:val="none"/>
        </w:rPr>
      </w:pPr>
      <w:r>
        <w:rPr>
          <w:rFonts w:ascii="宋体" w:hAnsi="宋体" w:cs="Times New Roman"/>
          <w:highlight w:val="none"/>
        </w:rPr>
        <w:t>8.4.1发包人供应的材料设备的保管费用的承担：</w:t>
      </w:r>
      <w:r>
        <w:rPr>
          <w:rFonts w:hint="eastAsia" w:ascii="宋体" w:hAnsi="宋体" w:cs="Times New Roman"/>
          <w:highlight w:val="none"/>
          <w:u w:val="single"/>
        </w:rPr>
        <w:t xml:space="preserve"> </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 xml:space="preserve">  </w:t>
      </w:r>
    </w:p>
    <w:p w14:paraId="37D1F89C">
      <w:pPr>
        <w:spacing w:line="360" w:lineRule="auto"/>
        <w:ind w:firstLine="420" w:firstLineChars="200"/>
        <w:rPr>
          <w:rFonts w:ascii="宋体" w:hAnsi="宋体" w:cs="Times New Roman"/>
          <w:szCs w:val="21"/>
          <w:highlight w:val="none"/>
        </w:rPr>
      </w:pPr>
      <w:r>
        <w:rPr>
          <w:rFonts w:ascii="宋体" w:hAnsi="宋体" w:cs="Times New Roman"/>
          <w:szCs w:val="21"/>
          <w:highlight w:val="none"/>
        </w:rPr>
        <w:t>8.6 样品</w:t>
      </w:r>
    </w:p>
    <w:p w14:paraId="27334527">
      <w:pPr>
        <w:spacing w:line="360" w:lineRule="auto"/>
        <w:ind w:firstLine="420" w:firstLineChars="200"/>
        <w:rPr>
          <w:rFonts w:ascii="宋体" w:hAnsi="宋体" w:cs="Times New Roman"/>
          <w:szCs w:val="21"/>
          <w:highlight w:val="none"/>
        </w:rPr>
      </w:pPr>
      <w:r>
        <w:rPr>
          <w:rFonts w:ascii="宋体" w:hAnsi="宋体" w:cs="Times New Roman"/>
          <w:szCs w:val="21"/>
          <w:highlight w:val="none"/>
        </w:rPr>
        <w:t>8.6.1</w:t>
      </w:r>
      <w:r>
        <w:rPr>
          <w:rFonts w:hint="eastAsia" w:ascii="宋体" w:hAnsi="宋体" w:cs="Times New Roman"/>
          <w:szCs w:val="21"/>
          <w:highlight w:val="none"/>
        </w:rPr>
        <w:t xml:space="preserve"> </w:t>
      </w:r>
      <w:r>
        <w:rPr>
          <w:rFonts w:ascii="宋体" w:hAnsi="宋体" w:cs="Times New Roman"/>
          <w:szCs w:val="21"/>
          <w:highlight w:val="none"/>
        </w:rPr>
        <w:t>样品的报送</w:t>
      </w:r>
      <w:r>
        <w:rPr>
          <w:rFonts w:hint="eastAsia" w:ascii="宋体" w:hAnsi="宋体" w:cs="Times New Roman"/>
          <w:szCs w:val="21"/>
          <w:highlight w:val="none"/>
        </w:rPr>
        <w:t>与封存</w:t>
      </w:r>
    </w:p>
    <w:p w14:paraId="109D58EB">
      <w:pPr>
        <w:tabs>
          <w:tab w:val="left" w:pos="482"/>
          <w:tab w:val="left" w:pos="2183"/>
          <w:tab w:val="left" w:pos="3884"/>
          <w:tab w:val="left" w:pos="5585"/>
        </w:tabs>
        <w:autoSpaceDE w:val="0"/>
        <w:autoSpaceDN w:val="0"/>
        <w:spacing w:line="360" w:lineRule="auto"/>
        <w:ind w:firstLine="420" w:firstLineChars="200"/>
        <w:rPr>
          <w:rFonts w:ascii="宋体" w:hAnsi="宋体" w:cs="Times New Roman"/>
          <w:highlight w:val="none"/>
          <w:u w:val="single"/>
        </w:rPr>
      </w:pPr>
      <w:r>
        <w:rPr>
          <w:rFonts w:ascii="宋体" w:hAnsi="宋体" w:cs="Times New Roman"/>
          <w:szCs w:val="21"/>
          <w:highlight w:val="none"/>
        </w:rPr>
        <w:t>需要承包人报送样品的材料或工程设备，样品的种类、名称、规格、数量要求：</w:t>
      </w:r>
      <w:r>
        <w:rPr>
          <w:rFonts w:hint="eastAsia" w:ascii="宋体" w:hAnsi="宋体" w:cs="Times New Roman"/>
          <w:highlight w:val="none"/>
          <w:u w:val="single"/>
        </w:rPr>
        <w:t>按有关规定和监理人（如有）要求执行。</w:t>
      </w:r>
    </w:p>
    <w:p w14:paraId="38F6278A">
      <w:pPr>
        <w:spacing w:line="360" w:lineRule="auto"/>
        <w:ind w:firstLine="420" w:firstLineChars="200"/>
        <w:rPr>
          <w:rFonts w:ascii="宋体" w:hAnsi="宋体" w:cs="Times New Roman"/>
          <w:szCs w:val="21"/>
          <w:highlight w:val="none"/>
        </w:rPr>
      </w:pPr>
      <w:r>
        <w:rPr>
          <w:rFonts w:ascii="宋体" w:hAnsi="宋体" w:cs="Times New Roman"/>
          <w:szCs w:val="21"/>
          <w:highlight w:val="none"/>
        </w:rPr>
        <w:t>8.8 施工设备和临时设施</w:t>
      </w:r>
    </w:p>
    <w:p w14:paraId="3742C6A2">
      <w:pPr>
        <w:spacing w:line="360" w:lineRule="auto"/>
        <w:ind w:firstLine="420" w:firstLineChars="200"/>
        <w:rPr>
          <w:rFonts w:ascii="宋体" w:hAnsi="宋体" w:cs="Times New Roman"/>
          <w:szCs w:val="21"/>
          <w:highlight w:val="none"/>
        </w:rPr>
      </w:pPr>
      <w:r>
        <w:rPr>
          <w:rFonts w:ascii="宋体" w:hAnsi="宋体" w:cs="Times New Roman"/>
          <w:szCs w:val="21"/>
          <w:highlight w:val="none"/>
        </w:rPr>
        <w:t>8.8.1 承包人提供的施工设备和临时设施</w:t>
      </w:r>
    </w:p>
    <w:p w14:paraId="77CC7AEF">
      <w:pPr>
        <w:autoSpaceDE w:val="0"/>
        <w:autoSpaceDN w:val="0"/>
        <w:adjustRightIn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关于修建临时设施费用承担的约定：</w:t>
      </w:r>
      <w:r>
        <w:rPr>
          <w:rFonts w:ascii="宋体" w:hAnsi="宋体" w:cs="Times New Roman"/>
          <w:highlight w:val="none"/>
          <w:u w:val="single"/>
        </w:rPr>
        <w:t xml:space="preserve"> </w:t>
      </w:r>
      <w:r>
        <w:rPr>
          <w:rFonts w:hint="eastAsia" w:ascii="宋体" w:hAnsi="宋体" w:cs="Times New Roman"/>
          <w:highlight w:val="none"/>
          <w:u w:val="single"/>
        </w:rPr>
        <w:t xml:space="preserve">  /   </w:t>
      </w:r>
    </w:p>
    <w:p w14:paraId="588B24E2">
      <w:pPr>
        <w:topLinePunct/>
        <w:spacing w:line="360" w:lineRule="auto"/>
        <w:ind w:firstLine="420"/>
        <w:rPr>
          <w:rFonts w:ascii="宋体" w:hAnsi="宋体" w:cs="Times New Roman"/>
          <w:b/>
          <w:highlight w:val="none"/>
        </w:rPr>
      </w:pPr>
      <w:r>
        <w:rPr>
          <w:rFonts w:ascii="宋体" w:hAnsi="宋体" w:cs="Times New Roman"/>
          <w:b/>
          <w:highlight w:val="none"/>
        </w:rPr>
        <w:t>9. 试验与检验</w:t>
      </w:r>
    </w:p>
    <w:p w14:paraId="020A8A57">
      <w:pPr>
        <w:spacing w:line="360" w:lineRule="auto"/>
        <w:ind w:firstLine="420" w:firstLineChars="200"/>
        <w:rPr>
          <w:rFonts w:ascii="宋体" w:hAnsi="宋体" w:cs="Times New Roman"/>
          <w:szCs w:val="21"/>
          <w:highlight w:val="none"/>
        </w:rPr>
      </w:pPr>
      <w:r>
        <w:rPr>
          <w:rFonts w:ascii="宋体" w:hAnsi="宋体" w:cs="Times New Roman"/>
          <w:szCs w:val="21"/>
          <w:highlight w:val="none"/>
        </w:rPr>
        <w:t>9.1试验设备与试验人员</w:t>
      </w:r>
    </w:p>
    <w:p w14:paraId="1F20B19E">
      <w:pPr>
        <w:spacing w:line="360" w:lineRule="auto"/>
        <w:ind w:firstLine="420" w:firstLineChars="200"/>
        <w:rPr>
          <w:rFonts w:ascii="宋体" w:hAnsi="宋体" w:cs="Times New Roman"/>
          <w:szCs w:val="21"/>
          <w:highlight w:val="none"/>
        </w:rPr>
      </w:pPr>
      <w:r>
        <w:rPr>
          <w:rFonts w:ascii="宋体" w:hAnsi="宋体" w:cs="Times New Roman"/>
          <w:szCs w:val="21"/>
          <w:highlight w:val="none"/>
        </w:rPr>
        <w:t>9.1.2 试验设备</w:t>
      </w:r>
    </w:p>
    <w:p w14:paraId="5FA1E578">
      <w:pPr>
        <w:spacing w:line="360" w:lineRule="auto"/>
        <w:ind w:firstLine="420" w:firstLineChars="200"/>
        <w:rPr>
          <w:rFonts w:ascii="宋体" w:hAnsi="宋体" w:cs="Times New Roman"/>
          <w:szCs w:val="21"/>
          <w:highlight w:val="none"/>
        </w:rPr>
      </w:pPr>
      <w:r>
        <w:rPr>
          <w:rFonts w:ascii="宋体" w:hAnsi="宋体" w:cs="Times New Roman"/>
          <w:szCs w:val="21"/>
          <w:highlight w:val="none"/>
        </w:rPr>
        <w:t>施工现场需要配置的试验场所：</w:t>
      </w:r>
      <w:r>
        <w:rPr>
          <w:rFonts w:hint="eastAsia" w:ascii="宋体" w:hAnsi="宋体" w:cs="Times New Roman"/>
          <w:highlight w:val="none"/>
          <w:u w:val="single"/>
        </w:rPr>
        <w:t xml:space="preserve"> 按有关规定和监理人要求执行</w:t>
      </w:r>
      <w:r>
        <w:rPr>
          <w:rFonts w:ascii="宋体" w:hAnsi="宋体" w:cs="Times New Roman"/>
          <w:szCs w:val="21"/>
          <w:highlight w:val="none"/>
        </w:rPr>
        <w:t>。</w:t>
      </w:r>
      <w:r>
        <w:rPr>
          <w:rFonts w:hint="eastAsia" w:ascii="宋体" w:hAnsi="宋体" w:cs="Times New Roman"/>
          <w:szCs w:val="21"/>
          <w:highlight w:val="none"/>
        </w:rPr>
        <w:t xml:space="preserve"> </w:t>
      </w:r>
    </w:p>
    <w:p w14:paraId="33222CD3">
      <w:pPr>
        <w:spacing w:line="360" w:lineRule="auto"/>
        <w:ind w:firstLine="420" w:firstLineChars="200"/>
        <w:rPr>
          <w:rFonts w:ascii="宋体" w:hAnsi="宋体" w:cs="Times New Roman"/>
          <w:szCs w:val="21"/>
          <w:highlight w:val="none"/>
        </w:rPr>
      </w:pPr>
      <w:r>
        <w:rPr>
          <w:rFonts w:ascii="宋体" w:hAnsi="宋体" w:cs="Times New Roman"/>
          <w:szCs w:val="21"/>
          <w:highlight w:val="none"/>
        </w:rPr>
        <w:t>施工现场需要配备的试验设备：</w:t>
      </w:r>
      <w:r>
        <w:rPr>
          <w:rFonts w:hint="eastAsia" w:ascii="宋体" w:hAnsi="宋体" w:cs="Times New Roman"/>
          <w:highlight w:val="none"/>
          <w:u w:val="single"/>
        </w:rPr>
        <w:t>按有关规定和监理人要求执行</w:t>
      </w:r>
      <w:r>
        <w:rPr>
          <w:rFonts w:ascii="宋体" w:hAnsi="宋体" w:cs="Times New Roman"/>
          <w:szCs w:val="21"/>
          <w:highlight w:val="none"/>
        </w:rPr>
        <w:t>。</w:t>
      </w:r>
    </w:p>
    <w:p w14:paraId="41AF465E">
      <w:pPr>
        <w:spacing w:line="360" w:lineRule="auto"/>
        <w:ind w:firstLine="420" w:firstLineChars="200"/>
        <w:rPr>
          <w:rFonts w:ascii="宋体" w:hAnsi="宋体" w:cs="Times New Roman"/>
          <w:szCs w:val="21"/>
          <w:highlight w:val="none"/>
        </w:rPr>
      </w:pPr>
      <w:r>
        <w:rPr>
          <w:rFonts w:ascii="宋体" w:hAnsi="宋体" w:cs="Times New Roman"/>
          <w:szCs w:val="21"/>
          <w:highlight w:val="none"/>
        </w:rPr>
        <w:t>施工现场需要具备的其他试验条件：</w:t>
      </w:r>
      <w:r>
        <w:rPr>
          <w:rFonts w:hint="eastAsia" w:ascii="宋体" w:hAnsi="宋体" w:cs="Times New Roman"/>
          <w:highlight w:val="none"/>
          <w:u w:val="single"/>
        </w:rPr>
        <w:t>按有关规定和监理人要求执行</w:t>
      </w:r>
      <w:r>
        <w:rPr>
          <w:rFonts w:ascii="宋体" w:hAnsi="宋体" w:cs="Times New Roman"/>
          <w:szCs w:val="21"/>
          <w:highlight w:val="none"/>
        </w:rPr>
        <w:t>。</w:t>
      </w:r>
    </w:p>
    <w:p w14:paraId="1B1F8AAC">
      <w:pPr>
        <w:adjustRightInd w:val="0"/>
        <w:snapToGrid w:val="0"/>
        <w:spacing w:line="360" w:lineRule="auto"/>
        <w:ind w:firstLine="420" w:firstLineChars="200"/>
        <w:rPr>
          <w:rFonts w:ascii="宋体" w:hAnsi="宋体" w:cs="Times New Roman"/>
          <w:kern w:val="0"/>
          <w:highlight w:val="none"/>
        </w:rPr>
      </w:pPr>
      <w:r>
        <w:rPr>
          <w:rFonts w:ascii="宋体" w:hAnsi="宋体" w:cs="Times New Roman"/>
          <w:highlight w:val="none"/>
        </w:rPr>
        <w:t>9.</w:t>
      </w:r>
      <w:r>
        <w:rPr>
          <w:rFonts w:hint="eastAsia" w:ascii="宋体" w:hAnsi="宋体" w:cs="Times New Roman"/>
          <w:highlight w:val="none"/>
        </w:rPr>
        <w:t>3</w:t>
      </w:r>
      <w:r>
        <w:rPr>
          <w:rFonts w:hint="eastAsia" w:ascii="宋体" w:hAnsi="宋体" w:cs="Times New Roman"/>
          <w:kern w:val="0"/>
          <w:highlight w:val="none"/>
        </w:rPr>
        <w:t>材料、工程设备和工程的试验和检验</w:t>
      </w:r>
    </w:p>
    <w:p w14:paraId="6EB00C49">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kern w:val="0"/>
          <w:highlight w:val="none"/>
        </w:rPr>
        <w:t>试验、检测单位资质条件约定：</w:t>
      </w:r>
      <w:r>
        <w:rPr>
          <w:rFonts w:hint="eastAsia" w:ascii="宋体" w:hAnsi="宋体" w:cs="Times New Roman"/>
          <w:highlight w:val="none"/>
          <w:u w:val="single"/>
        </w:rPr>
        <w:t>按有关规定和监理人要求执行</w:t>
      </w:r>
      <w:r>
        <w:rPr>
          <w:rFonts w:ascii="宋体" w:hAnsi="宋体" w:cs="Times New Roman"/>
          <w:szCs w:val="21"/>
          <w:highlight w:val="none"/>
        </w:rPr>
        <w:t>。</w:t>
      </w:r>
    </w:p>
    <w:p w14:paraId="4E9B0A6E">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kern w:val="0"/>
          <w:highlight w:val="none"/>
        </w:rPr>
        <w:t>试验、检测单位选择约定：</w:t>
      </w:r>
      <w:r>
        <w:rPr>
          <w:rFonts w:hint="eastAsia" w:ascii="宋体" w:hAnsi="宋体" w:cs="Times New Roman"/>
          <w:highlight w:val="none"/>
          <w:u w:val="single"/>
        </w:rPr>
        <w:t>按有关规定和监理人要求执行</w:t>
      </w:r>
      <w:r>
        <w:rPr>
          <w:rFonts w:ascii="宋体" w:hAnsi="宋体" w:cs="Times New Roman"/>
          <w:szCs w:val="21"/>
          <w:highlight w:val="none"/>
        </w:rPr>
        <w:t>。</w:t>
      </w:r>
    </w:p>
    <w:p w14:paraId="32B2A26A">
      <w:pPr>
        <w:spacing w:line="360" w:lineRule="auto"/>
        <w:ind w:firstLine="420"/>
        <w:rPr>
          <w:rFonts w:ascii="宋体" w:hAnsi="宋体" w:cs="Times New Roman"/>
          <w:caps/>
          <w:kern w:val="0"/>
          <w:highlight w:val="none"/>
        </w:rPr>
      </w:pPr>
      <w:r>
        <w:rPr>
          <w:rFonts w:hint="eastAsia" w:ascii="宋体" w:hAnsi="宋体" w:cs="Times New Roman"/>
          <w:caps/>
          <w:kern w:val="0"/>
          <w:highlight w:val="none"/>
        </w:rPr>
        <w:t>试验、检测费用约定：</w:t>
      </w:r>
      <w:r>
        <w:rPr>
          <w:rFonts w:hint="eastAsia" w:ascii="宋体" w:hAnsi="宋体" w:cs="Times New Roman"/>
          <w:caps/>
          <w:kern w:val="0"/>
          <w:highlight w:val="none"/>
          <w:u w:val="single"/>
        </w:rPr>
        <w:t xml:space="preserve"> 所有工程测验、检测费用由承包人承担，并已包含在合同价款中，不再另行计算。</w:t>
      </w:r>
    </w:p>
    <w:p w14:paraId="6F66540C">
      <w:pPr>
        <w:spacing w:line="360" w:lineRule="auto"/>
        <w:ind w:firstLine="420" w:firstLineChars="200"/>
        <w:rPr>
          <w:rFonts w:ascii="宋体" w:hAnsi="宋体" w:cs="Times New Roman"/>
          <w:szCs w:val="21"/>
          <w:highlight w:val="none"/>
        </w:rPr>
      </w:pPr>
      <w:r>
        <w:rPr>
          <w:rFonts w:ascii="宋体" w:hAnsi="宋体" w:cs="Times New Roman"/>
          <w:szCs w:val="21"/>
          <w:highlight w:val="none"/>
        </w:rPr>
        <w:t>9.4 现场工艺试验</w:t>
      </w:r>
      <w:r>
        <w:rPr>
          <w:rFonts w:hint="eastAsia" w:ascii="宋体" w:hAnsi="宋体" w:cs="Times New Roman"/>
          <w:szCs w:val="21"/>
          <w:highlight w:val="none"/>
        </w:rPr>
        <w:t xml:space="preserve"> </w:t>
      </w:r>
    </w:p>
    <w:p w14:paraId="57D2B025">
      <w:pPr>
        <w:spacing w:line="360" w:lineRule="auto"/>
        <w:ind w:firstLine="420" w:firstLineChars="200"/>
        <w:rPr>
          <w:rFonts w:ascii="宋体" w:hAnsi="宋体" w:cs="Times New Roman"/>
          <w:szCs w:val="21"/>
          <w:highlight w:val="none"/>
        </w:rPr>
      </w:pPr>
      <w:r>
        <w:rPr>
          <w:rFonts w:ascii="宋体" w:hAnsi="宋体" w:cs="Times New Roman"/>
          <w:szCs w:val="21"/>
          <w:highlight w:val="none"/>
        </w:rPr>
        <w:t>现场工艺试验的有关约定：</w:t>
      </w:r>
      <w:r>
        <w:rPr>
          <w:rFonts w:hint="eastAsia" w:ascii="宋体" w:hAnsi="宋体" w:cs="Times New Roman"/>
          <w:highlight w:val="none"/>
          <w:u w:val="single"/>
        </w:rPr>
        <w:t>按有关规定和监理人要求执行</w:t>
      </w:r>
    </w:p>
    <w:p w14:paraId="185F1628">
      <w:pPr>
        <w:topLinePunct/>
        <w:spacing w:line="360" w:lineRule="auto"/>
        <w:ind w:firstLine="420"/>
        <w:rPr>
          <w:rFonts w:ascii="宋体" w:hAnsi="宋体" w:cs="Times New Roman"/>
          <w:b/>
          <w:highlight w:val="none"/>
        </w:rPr>
      </w:pPr>
      <w:r>
        <w:rPr>
          <w:rFonts w:ascii="宋体" w:hAnsi="宋体" w:cs="Times New Roman"/>
          <w:b/>
          <w:highlight w:val="none"/>
        </w:rPr>
        <w:t>10. 变更</w:t>
      </w:r>
    </w:p>
    <w:p w14:paraId="2733830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10.1变更的范围</w:t>
      </w:r>
    </w:p>
    <w:p w14:paraId="3A25ECA3">
      <w:pPr>
        <w:adjustRightInd w:val="0"/>
        <w:snapToGri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关于变更的范围的约定：</w:t>
      </w:r>
      <w:r>
        <w:rPr>
          <w:rFonts w:hint="eastAsia" w:ascii="宋体" w:hAnsi="宋体" w:cs="Times New Roman"/>
          <w:highlight w:val="none"/>
          <w:u w:val="single"/>
        </w:rPr>
        <w:t xml:space="preserve"> 按通用合同条款约定。</w:t>
      </w:r>
    </w:p>
    <w:p w14:paraId="242A1C4B">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rPr>
        <w:t>10.1.2因承包人擅自变更设计发生的费用和由此导致发包人的直接损失，由承包人承担，延误的工期不予顺延。</w:t>
      </w:r>
    </w:p>
    <w:p w14:paraId="18BF947D">
      <w:pPr>
        <w:adjustRightInd w:val="0"/>
        <w:snapToGrid w:val="0"/>
        <w:spacing w:line="360" w:lineRule="auto"/>
        <w:ind w:firstLine="420" w:firstLineChars="200"/>
        <w:rPr>
          <w:rFonts w:ascii="宋体" w:hAnsi="宋体" w:cs="Times New Roman"/>
          <w:szCs w:val="21"/>
          <w:highlight w:val="none"/>
        </w:rPr>
      </w:pPr>
      <w:r>
        <w:rPr>
          <w:rFonts w:hint="eastAsia" w:ascii="宋体" w:hAnsi="宋体" w:cs="Times New Roman"/>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21C096A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10.4 变更估价</w:t>
      </w:r>
    </w:p>
    <w:p w14:paraId="44FF663D">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rPr>
        <w:t>10.4.1 变更估价原则</w:t>
      </w:r>
    </w:p>
    <w:p w14:paraId="328EB23F">
      <w:pPr>
        <w:autoSpaceDE w:val="0"/>
        <w:autoSpaceDN w:val="0"/>
        <w:adjustRightInd w:val="0"/>
        <w:snapToGrid w:val="0"/>
        <w:spacing w:line="360" w:lineRule="auto"/>
        <w:ind w:firstLine="420" w:firstLineChars="200"/>
        <w:rPr>
          <w:rFonts w:ascii="宋体" w:hAnsi="宋体" w:cs="Times New Roman"/>
          <w:highlight w:val="none"/>
        </w:rPr>
      </w:pPr>
      <w:r>
        <w:rPr>
          <w:rFonts w:ascii="宋体" w:hAnsi="宋体" w:cs="Times New Roman"/>
          <w:highlight w:val="none"/>
        </w:rPr>
        <w:t xml:space="preserve">关于变更估价的约定: </w:t>
      </w:r>
    </w:p>
    <w:p w14:paraId="4A255523">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（1）已标价工程量清单或预算书有相同项目的，按照相同项目单价确定。</w:t>
      </w:r>
    </w:p>
    <w:p w14:paraId="55762337">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（2）无标价工程量清单或预算书中无相同项目，但有类似项目的，参照类似项目的单价确定。</w:t>
      </w:r>
    </w:p>
    <w:p w14:paraId="12045864">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（3）无标价工程量清单或预算书中无相同项目及类似项目单价的，其单价的确定，按以下约定：</w:t>
      </w:r>
    </w:p>
    <w:p w14:paraId="06109904">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①工程量根据联系单，按照《建设工程工程量清单计价规范》（GB50500-2013）计算，结算工程量应首先报监理及发包人初审。</w:t>
      </w:r>
    </w:p>
    <w:p w14:paraId="6068CC5A">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②清单项目中项目特征或工程内容发生部分变更的，</w:t>
      </w:r>
      <w:bookmarkStart w:id="132" w:name="_Hlk74986282"/>
      <w:r>
        <w:rPr>
          <w:rFonts w:hint="eastAsia" w:ascii="宋体" w:hAnsi="宋体" w:cs="Times New Roman"/>
          <w:kern w:val="0"/>
          <w:highlight w:val="none"/>
          <w:u w:val="single"/>
        </w:rPr>
        <w:t>材料价格有投标价的执行投标价，无投标价的执行施工期间的信息价平均值，对工程所在地信息价正刊没有公布的材料，发包人应在充分市场询价基础上，参照同期同类材料市场价格水平。</w:t>
      </w:r>
      <w:bookmarkEnd w:id="132"/>
    </w:p>
    <w:p w14:paraId="6C3F9753">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③合同中没有适用或类似工程项目单价的：变更后综合单价=按工程招标时招标控制价组价口径计算的综合单价*优惠率（优惠率为=成交价÷招标控制价)。</w:t>
      </w:r>
    </w:p>
    <w:p w14:paraId="1260AB69">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④本工程清单内</w:t>
      </w:r>
      <w:r>
        <w:rPr>
          <w:rFonts w:hint="eastAsia" w:ascii="宋体" w:hAnsi="宋体" w:cs="Times New Roman"/>
          <w:kern w:val="0"/>
          <w:highlight w:val="none"/>
          <w:u w:val="single"/>
          <w:lang w:val="en-US" w:eastAsia="zh-CN"/>
        </w:rPr>
        <w:t>按项计入的</w:t>
      </w:r>
      <w:r>
        <w:rPr>
          <w:rFonts w:hint="eastAsia" w:ascii="宋体" w:hAnsi="宋体" w:cs="Times New Roman"/>
          <w:kern w:val="0"/>
          <w:highlight w:val="none"/>
          <w:u w:val="single"/>
        </w:rPr>
        <w:t>措施费用均为一次性包干使用，成交后不再作调整；</w:t>
      </w:r>
      <w:r>
        <w:rPr>
          <w:rFonts w:hint="eastAsia" w:ascii="宋体" w:hAnsi="宋体" w:cs="Times New Roman"/>
          <w:highlight w:val="none"/>
          <w:u w:val="single"/>
        </w:rPr>
        <w:t>磋商响应文件中对措施费用的漏报或者少报，视作对本项目的优惠</w:t>
      </w:r>
      <w:r>
        <w:rPr>
          <w:rFonts w:hint="eastAsia" w:ascii="宋体" w:hAnsi="宋体" w:cs="Times New Roman"/>
          <w:kern w:val="0"/>
          <w:highlight w:val="none"/>
          <w:u w:val="single"/>
        </w:rPr>
        <w:t>。</w:t>
      </w:r>
    </w:p>
    <w:p w14:paraId="2D3DB332">
      <w:pPr>
        <w:autoSpaceDE w:val="0"/>
        <w:autoSpaceDN w:val="0"/>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5EFB1FE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10.5承包人的合理化建议</w:t>
      </w:r>
    </w:p>
    <w:p w14:paraId="416EA761">
      <w:pPr>
        <w:spacing w:line="360" w:lineRule="auto"/>
        <w:ind w:firstLine="420" w:firstLineChars="200"/>
        <w:rPr>
          <w:rFonts w:ascii="宋体" w:hAnsi="宋体" w:cs="Times New Roman"/>
          <w:highlight w:val="none"/>
          <w:u w:val="single"/>
        </w:rPr>
      </w:pPr>
      <w:r>
        <w:rPr>
          <w:rFonts w:ascii="宋体" w:hAnsi="宋体" w:cs="Times New Roman"/>
          <w:szCs w:val="21"/>
          <w:highlight w:val="none"/>
        </w:rPr>
        <w:t>监理人审查承包人合理化建议的期限：</w:t>
      </w:r>
      <w:r>
        <w:rPr>
          <w:rFonts w:hint="eastAsia" w:ascii="宋体" w:hAnsi="宋体" w:cs="Times New Roman"/>
          <w:highlight w:val="none"/>
          <w:u w:val="single"/>
        </w:rPr>
        <w:t>按通用条款执行</w:t>
      </w:r>
      <w:r>
        <w:rPr>
          <w:rFonts w:ascii="宋体" w:hAnsi="宋体" w:cs="Times New Roman"/>
          <w:highlight w:val="none"/>
          <w:u w:val="single"/>
        </w:rPr>
        <w:t>。</w:t>
      </w:r>
    </w:p>
    <w:p w14:paraId="6CCC6DD6">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发包人审批承包人合理化建议的期限：</w:t>
      </w:r>
      <w:r>
        <w:rPr>
          <w:rFonts w:hint="eastAsia" w:ascii="宋体" w:hAnsi="宋体" w:cs="Times New Roman"/>
          <w:highlight w:val="none"/>
          <w:u w:val="single"/>
        </w:rPr>
        <w:t>按通用条款执行</w:t>
      </w:r>
      <w:r>
        <w:rPr>
          <w:rFonts w:ascii="宋体" w:hAnsi="宋体" w:cs="Times New Roman"/>
          <w:highlight w:val="none"/>
          <w:u w:val="single"/>
        </w:rPr>
        <w:t>。</w:t>
      </w:r>
    </w:p>
    <w:p w14:paraId="3DCCB8E9">
      <w:pPr>
        <w:spacing w:line="360" w:lineRule="auto"/>
        <w:ind w:firstLine="420" w:firstLineChars="200"/>
        <w:rPr>
          <w:rFonts w:ascii="宋体" w:hAnsi="宋体" w:cs="Times New Roman"/>
          <w:highlight w:val="none"/>
          <w:u w:val="single"/>
        </w:rPr>
      </w:pPr>
      <w:r>
        <w:rPr>
          <w:rFonts w:ascii="宋体" w:hAnsi="宋体" w:cs="Times New Roman"/>
          <w:szCs w:val="21"/>
          <w:highlight w:val="none"/>
        </w:rPr>
        <w:t>承包人提出的合理化建议降低了合同价格或者提高了工程经济效益的奖励的方法和金额为：</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 xml:space="preserve"> 。</w:t>
      </w:r>
    </w:p>
    <w:p w14:paraId="3F13C595">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6092C22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10.7 暂估价</w:t>
      </w:r>
    </w:p>
    <w:p w14:paraId="77604538">
      <w:pPr>
        <w:spacing w:line="360" w:lineRule="auto"/>
        <w:ind w:firstLine="420" w:firstLineChars="200"/>
        <w:rPr>
          <w:rFonts w:ascii="宋体" w:hAnsi="宋体" w:cs="Times New Roman"/>
          <w:szCs w:val="21"/>
          <w:highlight w:val="none"/>
        </w:rPr>
      </w:pPr>
      <w:r>
        <w:rPr>
          <w:rFonts w:ascii="宋体" w:hAnsi="宋体" w:cs="Times New Roman"/>
          <w:szCs w:val="21"/>
          <w:highlight w:val="none"/>
        </w:rPr>
        <w:t>暂估价材料和工程设备</w:t>
      </w:r>
      <w:r>
        <w:rPr>
          <w:rFonts w:hint="eastAsia" w:ascii="宋体" w:hAnsi="宋体" w:cs="Times New Roman"/>
          <w:szCs w:val="21"/>
          <w:highlight w:val="none"/>
        </w:rPr>
        <w:t>：</w:t>
      </w:r>
      <w:r>
        <w:rPr>
          <w:rFonts w:hint="eastAsia" w:ascii="宋体" w:hAnsi="宋体" w:cs="Times New Roman"/>
          <w:highlight w:val="none"/>
          <w:u w:val="single"/>
        </w:rPr>
        <w:t>/。</w:t>
      </w:r>
    </w:p>
    <w:p w14:paraId="711ED6C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10.7.1 依法必须招标的暂估价项目</w:t>
      </w:r>
    </w:p>
    <w:p w14:paraId="7AD22B5D">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对于依法必须招标的暂估价项目的确认和批准采取第</w:t>
      </w:r>
      <w:r>
        <w:rPr>
          <w:rFonts w:hint="eastAsia" w:ascii="宋体" w:hAnsi="宋体" w:cs="Times New Roman"/>
          <w:highlight w:val="none"/>
          <w:u w:val="single"/>
        </w:rPr>
        <w:t xml:space="preserve"> </w:t>
      </w:r>
      <w:r>
        <w:rPr>
          <w:rFonts w:ascii="宋体" w:hAnsi="宋体" w:cs="Times New Roman"/>
          <w:highlight w:val="none"/>
          <w:u w:val="single"/>
        </w:rPr>
        <w:t>/</w:t>
      </w:r>
      <w:r>
        <w:rPr>
          <w:rFonts w:hint="eastAsia" w:ascii="宋体" w:hAnsi="宋体" w:cs="Times New Roman"/>
          <w:highlight w:val="none"/>
          <w:u w:val="single"/>
        </w:rPr>
        <w:t xml:space="preserve"> </w:t>
      </w:r>
      <w:r>
        <w:rPr>
          <w:rFonts w:hint="eastAsia" w:ascii="宋体" w:hAnsi="宋体" w:cs="Times New Roman"/>
          <w:szCs w:val="21"/>
          <w:highlight w:val="none"/>
        </w:rPr>
        <w:t>种方式确定。</w:t>
      </w:r>
    </w:p>
    <w:p w14:paraId="4FAE8A6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10.7.2 不属于依法必须招标的暂估价项目</w:t>
      </w:r>
    </w:p>
    <w:p w14:paraId="14DA945B">
      <w:pPr>
        <w:spacing w:line="360" w:lineRule="auto"/>
        <w:ind w:firstLine="420" w:firstLineChars="200"/>
        <w:rPr>
          <w:rFonts w:ascii="宋体" w:hAnsi="宋体" w:cs="Times New Roman"/>
          <w:szCs w:val="21"/>
          <w:highlight w:val="none"/>
        </w:rPr>
      </w:pPr>
      <w:r>
        <w:rPr>
          <w:rFonts w:ascii="宋体" w:hAnsi="宋体" w:cs="Times New Roman"/>
          <w:szCs w:val="21"/>
          <w:highlight w:val="none"/>
        </w:rPr>
        <w:t>对于不属于依法必须招标的暂估价项目的确认和批准采取第</w:t>
      </w:r>
      <w:r>
        <w:rPr>
          <w:rFonts w:ascii="宋体" w:hAnsi="宋体" w:cs="Times New Roman"/>
          <w:highlight w:val="none"/>
          <w:u w:val="single"/>
        </w:rPr>
        <w:t xml:space="preserve">/ </w:t>
      </w:r>
      <w:r>
        <w:rPr>
          <w:rFonts w:ascii="宋体" w:hAnsi="宋体" w:cs="Times New Roman"/>
          <w:szCs w:val="21"/>
          <w:highlight w:val="none"/>
        </w:rPr>
        <w:t>种方式确定。</w:t>
      </w:r>
    </w:p>
    <w:p w14:paraId="4982D9FE">
      <w:pPr>
        <w:spacing w:line="360" w:lineRule="auto"/>
        <w:ind w:firstLine="420" w:firstLineChars="200"/>
        <w:rPr>
          <w:rFonts w:ascii="宋体" w:hAnsi="宋体" w:cs="Times New Roman"/>
          <w:szCs w:val="21"/>
          <w:highlight w:val="none"/>
        </w:rPr>
      </w:pPr>
      <w:r>
        <w:rPr>
          <w:rFonts w:ascii="宋体" w:hAnsi="宋体" w:cs="Times New Roman"/>
          <w:szCs w:val="21"/>
          <w:highlight w:val="none"/>
        </w:rPr>
        <w:t>10.8 暂列金额</w:t>
      </w:r>
    </w:p>
    <w:p w14:paraId="57C728AD">
      <w:pPr>
        <w:autoSpaceDE w:val="0"/>
        <w:autoSpaceDN w:val="0"/>
        <w:adjustRightInd w:val="0"/>
        <w:spacing w:line="360" w:lineRule="auto"/>
        <w:ind w:firstLine="420" w:firstLineChars="200"/>
        <w:rPr>
          <w:rFonts w:ascii="宋体" w:hAnsi="宋体" w:cs="Times New Roman"/>
          <w:kern w:val="0"/>
          <w:highlight w:val="none"/>
        </w:rPr>
      </w:pPr>
      <w:r>
        <w:rPr>
          <w:rFonts w:hint="eastAsia" w:ascii="宋体" w:hAnsi="宋体" w:cs="Times New Roman"/>
          <w:szCs w:val="21"/>
          <w:highlight w:val="none"/>
        </w:rPr>
        <w:t>合同当事人关于暂列金额使用的约定：</w:t>
      </w:r>
      <w:r>
        <w:rPr>
          <w:rFonts w:hint="eastAsia" w:ascii="宋体" w:hAnsi="宋体" w:cs="Times New Roman"/>
          <w:highlight w:val="none"/>
          <w:u w:val="single"/>
        </w:rPr>
        <w:t>/。</w:t>
      </w:r>
    </w:p>
    <w:p w14:paraId="235A3F03">
      <w:pPr>
        <w:topLinePunct/>
        <w:spacing w:line="360" w:lineRule="auto"/>
        <w:ind w:firstLine="420"/>
        <w:rPr>
          <w:rFonts w:ascii="宋体" w:hAnsi="宋体" w:cs="Times New Roman"/>
          <w:b/>
          <w:highlight w:val="none"/>
        </w:rPr>
      </w:pPr>
      <w:r>
        <w:rPr>
          <w:rFonts w:ascii="宋体" w:hAnsi="宋体" w:cs="Times New Roman"/>
          <w:b/>
          <w:highlight w:val="none"/>
        </w:rPr>
        <w:t>11. 价格调整</w:t>
      </w:r>
    </w:p>
    <w:p w14:paraId="25E77697">
      <w:pPr>
        <w:spacing w:line="360" w:lineRule="auto"/>
        <w:ind w:firstLine="420" w:firstLineChars="200"/>
        <w:rPr>
          <w:rFonts w:ascii="宋体" w:hAnsi="宋体" w:cs="Times New Roman"/>
          <w:szCs w:val="21"/>
          <w:highlight w:val="none"/>
        </w:rPr>
      </w:pPr>
      <w:r>
        <w:rPr>
          <w:rFonts w:ascii="宋体" w:hAnsi="宋体" w:cs="Times New Roman"/>
          <w:szCs w:val="21"/>
          <w:highlight w:val="none"/>
        </w:rPr>
        <w:t>11.1 市场价格波动引起的调整</w:t>
      </w:r>
    </w:p>
    <w:p w14:paraId="69D6F254">
      <w:pPr>
        <w:spacing w:line="360" w:lineRule="auto"/>
        <w:ind w:firstLine="420" w:firstLineChars="200"/>
        <w:rPr>
          <w:rFonts w:ascii="宋体" w:hAnsi="宋体" w:cs="Times New Roman"/>
          <w:szCs w:val="21"/>
          <w:highlight w:val="none"/>
        </w:rPr>
      </w:pPr>
      <w:r>
        <w:rPr>
          <w:rFonts w:ascii="宋体" w:hAnsi="宋体" w:cs="Times New Roman"/>
          <w:szCs w:val="21"/>
          <w:highlight w:val="none"/>
        </w:rPr>
        <w:t>市场价格波动是否调整合同价格的约定：</w:t>
      </w:r>
      <w:r>
        <w:rPr>
          <w:rFonts w:hint="eastAsia" w:ascii="宋体" w:hAnsi="宋体" w:cs="Times New Roman"/>
          <w:highlight w:val="none"/>
          <w:u w:val="single"/>
        </w:rPr>
        <w:t>否。</w:t>
      </w:r>
    </w:p>
    <w:p w14:paraId="0A27C68B">
      <w:pPr>
        <w:topLinePunct/>
        <w:spacing w:line="360" w:lineRule="auto"/>
        <w:ind w:firstLine="420"/>
        <w:rPr>
          <w:rFonts w:ascii="宋体" w:hAnsi="宋体" w:cs="Times New Roman"/>
          <w:b/>
          <w:highlight w:val="none"/>
        </w:rPr>
      </w:pPr>
      <w:r>
        <w:rPr>
          <w:rFonts w:ascii="宋体" w:hAnsi="宋体" w:cs="Times New Roman"/>
          <w:b/>
          <w:highlight w:val="none"/>
        </w:rPr>
        <w:t>12. 合同价格、计量与支付</w:t>
      </w:r>
    </w:p>
    <w:p w14:paraId="6634E7F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12.1 合同价格形式</w:t>
      </w:r>
    </w:p>
    <w:p w14:paraId="14DE3D42">
      <w:pPr>
        <w:spacing w:line="360" w:lineRule="auto"/>
        <w:ind w:firstLine="420" w:firstLineChars="200"/>
        <w:rPr>
          <w:rFonts w:ascii="宋体" w:hAnsi="宋体" w:cs="Times New Roman"/>
          <w:szCs w:val="21"/>
          <w:highlight w:val="none"/>
        </w:rPr>
      </w:pPr>
      <w:r>
        <w:rPr>
          <w:rFonts w:ascii="宋体" w:hAnsi="宋体" w:cs="Times New Roman"/>
          <w:szCs w:val="21"/>
          <w:highlight w:val="none"/>
        </w:rPr>
        <w:t>1、</w:t>
      </w:r>
      <w:r>
        <w:rPr>
          <w:rFonts w:hint="eastAsia" w:ascii="宋体" w:hAnsi="宋体" w:cs="Times New Roman"/>
          <w:szCs w:val="21"/>
          <w:highlight w:val="none"/>
        </w:rPr>
        <w:t>固定综合</w:t>
      </w:r>
      <w:r>
        <w:rPr>
          <w:rFonts w:ascii="宋体" w:hAnsi="宋体" w:cs="Times New Roman"/>
          <w:szCs w:val="21"/>
          <w:highlight w:val="none"/>
        </w:rPr>
        <w:t>单价合同。</w:t>
      </w:r>
    </w:p>
    <w:p w14:paraId="0AE6AF3E">
      <w:pPr>
        <w:snapToGrid w:val="0"/>
        <w:spacing w:line="360" w:lineRule="auto"/>
        <w:ind w:firstLine="392" w:firstLineChars="187"/>
        <w:rPr>
          <w:rFonts w:ascii="宋体" w:hAnsi="宋体" w:cs="Times New Roman"/>
          <w:szCs w:val="21"/>
          <w:highlight w:val="none"/>
        </w:rPr>
      </w:pPr>
      <w:r>
        <w:rPr>
          <w:rFonts w:ascii="宋体" w:hAnsi="宋体" w:cs="Times New Roman"/>
          <w:szCs w:val="21"/>
          <w:highlight w:val="none"/>
        </w:rPr>
        <w:t>综合单价包含的风险范围：</w:t>
      </w:r>
    </w:p>
    <w:p w14:paraId="475A19E4">
      <w:pPr>
        <w:snapToGrid w:val="0"/>
        <w:spacing w:line="360" w:lineRule="auto"/>
        <w:ind w:firstLine="392" w:firstLineChars="187"/>
        <w:rPr>
          <w:rFonts w:ascii="宋体" w:hAnsi="宋体" w:cs="Times New Roman"/>
          <w:highlight w:val="none"/>
          <w:u w:val="single"/>
        </w:rPr>
      </w:pPr>
      <w:bookmarkStart w:id="133" w:name="_Hlk74661457"/>
      <w:r>
        <w:rPr>
          <w:rFonts w:hint="eastAsia" w:ascii="宋体" w:hAnsi="宋体" w:cs="Times New Roman"/>
          <w:highlight w:val="none"/>
          <w:u w:val="single"/>
        </w:rPr>
        <w:t>√本合同中包括的风险范围为合同执行期内，国家有关工程建设的政策变化；</w:t>
      </w:r>
    </w:p>
    <w:p w14:paraId="50033336">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√合同执行期内，工程造价管理部门公布的价格变化；</w:t>
      </w:r>
    </w:p>
    <w:p w14:paraId="7F54E21F">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√合同执行期内，材料价格、人工及机械价格的市场变化；</w:t>
      </w:r>
    </w:p>
    <w:p w14:paraId="1EE389D8">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√现行预算定额未描述到,但又是完成分项工程必须有的工作内容,均应包含在报价内；</w:t>
      </w:r>
    </w:p>
    <w:p w14:paraId="0EF8B05A">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√周边环境影响风险；</w:t>
      </w:r>
    </w:p>
    <w:p w14:paraId="3F8B87C3">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√合同执行期内，施工临时停电、停水造成的停工；</w:t>
      </w:r>
    </w:p>
    <w:p w14:paraId="1677F70C">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√合同执行期内，因客观原因造成承包人停工、窝工；</w:t>
      </w:r>
    </w:p>
    <w:p w14:paraId="53F62845">
      <w:pPr>
        <w:snapToGrid w:val="0"/>
        <w:spacing w:line="360" w:lineRule="auto"/>
        <w:ind w:firstLine="392" w:firstLineChars="187"/>
        <w:rPr>
          <w:rFonts w:ascii="宋体" w:hAnsi="宋体" w:cs="Times New Roman"/>
          <w:highlight w:val="none"/>
          <w:u w:val="single"/>
        </w:rPr>
      </w:pPr>
      <w:r>
        <w:rPr>
          <w:rFonts w:hint="eastAsia" w:ascii="宋体" w:hAnsi="宋体" w:cs="Times New Roman"/>
          <w:highlight w:val="none"/>
          <w:u w:val="single"/>
        </w:rPr>
        <w:t>√合同执行期内可能发生的其他费用，包括市政、市容、环保、交通、治安等；有经验的承包商应能预计的其他费用。</w:t>
      </w:r>
    </w:p>
    <w:p w14:paraId="613B92AC">
      <w:pPr>
        <w:spacing w:line="360" w:lineRule="auto"/>
        <w:ind w:firstLine="420" w:firstLineChars="200"/>
        <w:rPr>
          <w:rFonts w:ascii="宋体" w:hAnsi="宋体" w:cs="Times New Roman"/>
          <w:highlight w:val="none"/>
          <w:u w:val="single"/>
        </w:rPr>
      </w:pPr>
      <w:r>
        <w:rPr>
          <w:rFonts w:hint="eastAsia" w:ascii="宋体" w:hAnsi="宋体" w:cs="Times New Roman"/>
          <w:highlight w:val="none"/>
        </w:rPr>
        <w:t>风险费用的计算方法：</w:t>
      </w:r>
      <w:bookmarkEnd w:id="133"/>
      <w:r>
        <w:rPr>
          <w:rFonts w:hint="eastAsia" w:ascii="宋体" w:hAnsi="宋体" w:cs="Times New Roman"/>
          <w:highlight w:val="none"/>
          <w:u w:val="single"/>
        </w:rPr>
        <w:t>本合同应由承包人承担的工、料、机在投标编制期或预算书编制期与合同实施期间所发生的市场价格波动造成风险费用已包含在签约合同价款中，费用由承包人自行承担，不得再另行计取。</w:t>
      </w:r>
    </w:p>
    <w:p w14:paraId="3A23B243">
      <w:pPr>
        <w:spacing w:line="360" w:lineRule="auto"/>
        <w:ind w:firstLine="438" w:firstLineChars="209"/>
        <w:rPr>
          <w:rFonts w:ascii="宋体" w:hAnsi="宋体" w:cs="Times New Roman"/>
          <w:highlight w:val="none"/>
          <w:u w:val="single"/>
        </w:rPr>
      </w:pPr>
      <w:r>
        <w:rPr>
          <w:rFonts w:ascii="宋体" w:hAnsi="宋体" w:cs="Times New Roman"/>
          <w:szCs w:val="21"/>
          <w:highlight w:val="none"/>
        </w:rPr>
        <w:t>风险范围以外合同价格的调整方法：</w:t>
      </w:r>
      <w:r>
        <w:rPr>
          <w:rFonts w:hint="eastAsia" w:ascii="宋体" w:hAnsi="宋体" w:cs="Times New Roman"/>
          <w:highlight w:val="none"/>
          <w:u w:val="single"/>
        </w:rPr>
        <w:t>1）实物工程量数量按实调整。2）重大设计变更引起的技术措施变更，如发包人批准其相应费用调整，竣工结算按照本合同专用条款10.4.1条款约定执行。3）变更估价按本合同10.4.1 的约定计算。</w:t>
      </w:r>
    </w:p>
    <w:p w14:paraId="079A69F9">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2、总价合同。</w:t>
      </w:r>
    </w:p>
    <w:p w14:paraId="31816D09">
      <w:pPr>
        <w:spacing w:line="360" w:lineRule="auto"/>
        <w:ind w:firstLine="420" w:firstLineChars="200"/>
        <w:rPr>
          <w:rFonts w:ascii="宋体" w:hAnsi="宋体" w:cs="Times New Roman"/>
          <w:highlight w:val="none"/>
          <w:u w:val="single"/>
        </w:rPr>
      </w:pPr>
      <w:r>
        <w:rPr>
          <w:rFonts w:hint="eastAsia" w:ascii="宋体" w:hAnsi="宋体" w:cs="Times New Roman"/>
          <w:szCs w:val="21"/>
          <w:highlight w:val="none"/>
        </w:rPr>
        <w:t>总价包含的风险范围：</w:t>
      </w:r>
      <w:r>
        <w:rPr>
          <w:rFonts w:hint="eastAsia" w:ascii="宋体" w:hAnsi="宋体" w:cs="Times New Roman"/>
          <w:highlight w:val="none"/>
          <w:u w:val="single"/>
        </w:rPr>
        <w:t>/</w:t>
      </w:r>
      <w:r>
        <w:rPr>
          <w:rFonts w:hint="eastAsia" w:ascii="宋体" w:hAnsi="宋体" w:cs="Times New Roman"/>
          <w:szCs w:val="21"/>
          <w:highlight w:val="none"/>
        </w:rPr>
        <w:t>。</w:t>
      </w:r>
    </w:p>
    <w:p w14:paraId="3FE48BE2">
      <w:pPr>
        <w:spacing w:line="360" w:lineRule="auto"/>
        <w:ind w:firstLine="420" w:firstLineChars="200"/>
        <w:rPr>
          <w:rFonts w:ascii="宋体" w:hAnsi="宋体" w:cs="Times New Roman"/>
          <w:highlight w:val="none"/>
          <w:u w:val="single"/>
        </w:rPr>
      </w:pPr>
      <w:r>
        <w:rPr>
          <w:rFonts w:hint="eastAsia" w:ascii="宋体" w:hAnsi="宋体" w:cs="Times New Roman"/>
          <w:szCs w:val="21"/>
          <w:highlight w:val="none"/>
        </w:rPr>
        <w:t>风险费用的计算方法：</w:t>
      </w:r>
      <w:r>
        <w:rPr>
          <w:rFonts w:hint="eastAsia" w:ascii="宋体" w:hAnsi="宋体" w:cs="Times New Roman"/>
          <w:highlight w:val="none"/>
          <w:u w:val="single"/>
        </w:rPr>
        <w:t>/</w:t>
      </w:r>
      <w:r>
        <w:rPr>
          <w:rFonts w:hint="eastAsia" w:ascii="宋体" w:hAnsi="宋体" w:cs="Times New Roman"/>
          <w:szCs w:val="21"/>
          <w:highlight w:val="none"/>
        </w:rPr>
        <w:t>。</w:t>
      </w:r>
    </w:p>
    <w:p w14:paraId="646DB05B">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风险范围以外合同价格的调整方法：</w:t>
      </w:r>
      <w:r>
        <w:rPr>
          <w:rFonts w:hint="eastAsia" w:ascii="宋体" w:hAnsi="宋体" w:cs="Times New Roman"/>
          <w:highlight w:val="none"/>
          <w:u w:val="single"/>
        </w:rPr>
        <w:t>/</w:t>
      </w:r>
      <w:r>
        <w:rPr>
          <w:rFonts w:hint="eastAsia" w:ascii="宋体" w:hAnsi="宋体" w:cs="Times New Roman"/>
          <w:szCs w:val="21"/>
          <w:highlight w:val="none"/>
        </w:rPr>
        <w:t>。</w:t>
      </w:r>
    </w:p>
    <w:p w14:paraId="2519B451">
      <w:pPr>
        <w:spacing w:line="360" w:lineRule="auto"/>
        <w:ind w:firstLine="420" w:firstLineChars="200"/>
        <w:rPr>
          <w:rFonts w:ascii="宋体" w:hAnsi="宋体" w:cs="Times New Roman"/>
          <w:highlight w:val="none"/>
          <w:u w:val="single"/>
        </w:rPr>
      </w:pPr>
      <w:r>
        <w:rPr>
          <w:rFonts w:hint="eastAsia" w:ascii="宋体" w:hAnsi="宋体" w:cs="Times New Roman"/>
          <w:szCs w:val="21"/>
          <w:highlight w:val="none"/>
        </w:rPr>
        <w:t>3、其他价格方式：</w:t>
      </w:r>
      <w:r>
        <w:rPr>
          <w:rFonts w:hint="eastAsia" w:ascii="宋体" w:hAnsi="宋体" w:cs="Times New Roman"/>
          <w:highlight w:val="none"/>
          <w:u w:val="single"/>
        </w:rPr>
        <w:t>/</w:t>
      </w:r>
      <w:r>
        <w:rPr>
          <w:rFonts w:hint="eastAsia" w:ascii="宋体" w:hAnsi="宋体" w:cs="Times New Roman"/>
          <w:szCs w:val="21"/>
          <w:highlight w:val="none"/>
        </w:rPr>
        <w:t>。</w:t>
      </w:r>
    </w:p>
    <w:p w14:paraId="2000CAA9">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12.2 预付款</w:t>
      </w:r>
    </w:p>
    <w:p w14:paraId="69894619">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12.2.1</w:t>
      </w:r>
      <w:r>
        <w:rPr>
          <w:rFonts w:hint="eastAsia" w:ascii="宋体" w:hAnsi="宋体" w:cs="Times New Roman"/>
          <w:highlight w:val="none"/>
        </w:rPr>
        <w:t>预付款的支付</w:t>
      </w:r>
    </w:p>
    <w:p w14:paraId="1281F087">
      <w:pPr>
        <w:spacing w:line="360" w:lineRule="auto"/>
        <w:ind w:firstLine="420" w:firstLineChars="200"/>
        <w:rPr>
          <w:rFonts w:ascii="宋体" w:hAnsi="宋体" w:cs="Times New Roman"/>
          <w:szCs w:val="21"/>
          <w:highlight w:val="none"/>
        </w:rPr>
      </w:pPr>
      <w:r>
        <w:rPr>
          <w:rFonts w:ascii="宋体" w:hAnsi="宋体" w:cs="Times New Roman"/>
          <w:szCs w:val="21"/>
          <w:highlight w:val="none"/>
        </w:rPr>
        <w:t>预付款支付比例或金额：</w:t>
      </w:r>
      <w:r>
        <w:rPr>
          <w:rFonts w:hint="eastAsia" w:ascii="宋体" w:hAnsi="宋体" w:cs="Times New Roman"/>
          <w:szCs w:val="21"/>
          <w:highlight w:val="none"/>
          <w:u w:val="single"/>
        </w:rPr>
        <w:t>本</w:t>
      </w:r>
      <w:r>
        <w:rPr>
          <w:rFonts w:hint="eastAsia" w:ascii="宋体" w:hAnsi="宋体" w:cs="Times New Roman"/>
          <w:highlight w:val="none"/>
          <w:u w:val="single"/>
        </w:rPr>
        <w:t>合同总价</w:t>
      </w:r>
      <w:r>
        <w:rPr>
          <w:rFonts w:hint="eastAsia" w:ascii="宋体" w:hAnsi="宋体" w:cs="Times New Roman"/>
          <w:szCs w:val="21"/>
          <w:highlight w:val="none"/>
          <w:u w:val="single"/>
        </w:rPr>
        <w:t>40%</w:t>
      </w:r>
      <w:r>
        <w:rPr>
          <w:rFonts w:hint="eastAsia" w:ascii="宋体" w:hAnsi="宋体" w:cs="Times New Roman"/>
          <w:highlight w:val="none"/>
          <w:u w:val="single"/>
        </w:rPr>
        <w:t>的工程预付款。</w:t>
      </w:r>
    </w:p>
    <w:p w14:paraId="097DF08B">
      <w:pPr>
        <w:spacing w:line="360" w:lineRule="auto"/>
        <w:ind w:firstLine="420" w:firstLineChars="200"/>
        <w:rPr>
          <w:rFonts w:ascii="宋体" w:hAnsi="宋体" w:cs="Times New Roman"/>
          <w:highlight w:val="none"/>
          <w:u w:val="single"/>
        </w:rPr>
      </w:pPr>
      <w:r>
        <w:rPr>
          <w:rFonts w:ascii="宋体" w:hAnsi="宋体" w:cs="Times New Roman"/>
          <w:szCs w:val="21"/>
          <w:highlight w:val="none"/>
        </w:rPr>
        <w:t>预付款支付期限：</w:t>
      </w:r>
      <w:r>
        <w:rPr>
          <w:rFonts w:hint="eastAsia" w:ascii="宋体" w:hAnsi="宋体" w:cs="Times New Roman"/>
          <w:highlight w:val="none"/>
          <w:u w:val="single"/>
        </w:rPr>
        <w:t>在合同生效以及具备实施条件后7个工作日内支付</w:t>
      </w:r>
      <w:r>
        <w:rPr>
          <w:rFonts w:hint="eastAsia" w:ascii="宋体" w:hAnsi="宋体" w:cs="宋体"/>
          <w:szCs w:val="21"/>
          <w:highlight w:val="none"/>
        </w:rPr>
        <w:t>。</w:t>
      </w:r>
    </w:p>
    <w:p w14:paraId="5DBA14F8">
      <w:pPr>
        <w:spacing w:line="360" w:lineRule="auto"/>
        <w:ind w:firstLine="420" w:firstLineChars="200"/>
        <w:rPr>
          <w:rFonts w:ascii="宋体" w:hAnsi="宋体" w:cs="Times New Roman"/>
          <w:highlight w:val="none"/>
          <w:u w:val="single"/>
        </w:rPr>
      </w:pPr>
      <w:r>
        <w:rPr>
          <w:rFonts w:ascii="宋体" w:hAnsi="宋体" w:cs="Times New Roman"/>
          <w:szCs w:val="21"/>
          <w:highlight w:val="none"/>
        </w:rPr>
        <w:t>预付款扣回的方式：</w:t>
      </w:r>
      <w:r>
        <w:rPr>
          <w:rFonts w:hint="eastAsia" w:ascii="宋体" w:hAnsi="宋体" w:cs="Times New Roman"/>
          <w:highlight w:val="none"/>
          <w:u w:val="single"/>
        </w:rPr>
        <w:t>/。</w:t>
      </w:r>
    </w:p>
    <w:p w14:paraId="7EB88CE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12.2.2 预付款担保</w:t>
      </w:r>
    </w:p>
    <w:p w14:paraId="671C6704">
      <w:pPr>
        <w:spacing w:line="360" w:lineRule="auto"/>
        <w:ind w:firstLine="420" w:firstLineChars="200"/>
        <w:rPr>
          <w:rFonts w:ascii="宋体" w:hAnsi="宋体" w:cs="Times New Roman"/>
          <w:szCs w:val="21"/>
          <w:highlight w:val="none"/>
        </w:rPr>
      </w:pPr>
      <w:r>
        <w:rPr>
          <w:rFonts w:ascii="宋体" w:hAnsi="宋体" w:cs="Times New Roman"/>
          <w:szCs w:val="21"/>
          <w:highlight w:val="none"/>
        </w:rPr>
        <w:t>承包人提交预付款担保的期限：</w:t>
      </w:r>
      <w:r>
        <w:rPr>
          <w:rFonts w:hint="eastAsia" w:ascii="宋体" w:hAnsi="宋体" w:cs="Times New Roman"/>
          <w:highlight w:val="none"/>
          <w:u w:val="single"/>
        </w:rPr>
        <w:t>无</w:t>
      </w:r>
      <w:r>
        <w:rPr>
          <w:rFonts w:ascii="宋体" w:hAnsi="宋体" w:cs="Times New Roman"/>
          <w:highlight w:val="none"/>
          <w:u w:val="single"/>
        </w:rPr>
        <w:t>。</w:t>
      </w:r>
    </w:p>
    <w:p w14:paraId="3C1359A2">
      <w:pPr>
        <w:spacing w:line="360" w:lineRule="auto"/>
        <w:ind w:firstLine="420" w:firstLineChars="200"/>
        <w:rPr>
          <w:rFonts w:ascii="宋体" w:hAnsi="宋体" w:cs="Times New Roman"/>
          <w:szCs w:val="21"/>
          <w:highlight w:val="none"/>
        </w:rPr>
      </w:pPr>
      <w:r>
        <w:rPr>
          <w:rFonts w:ascii="宋体" w:hAnsi="宋体" w:cs="Times New Roman"/>
          <w:szCs w:val="21"/>
          <w:highlight w:val="none"/>
        </w:rPr>
        <w:t>预付款担保的形式为：</w:t>
      </w:r>
      <w:r>
        <w:rPr>
          <w:rFonts w:hint="eastAsia" w:ascii="宋体" w:hAnsi="宋体" w:cs="Times New Roman"/>
          <w:highlight w:val="none"/>
          <w:u w:val="single"/>
        </w:rPr>
        <w:t>无</w:t>
      </w:r>
      <w:r>
        <w:rPr>
          <w:rFonts w:ascii="宋体" w:hAnsi="宋体" w:cs="Times New Roman"/>
          <w:highlight w:val="none"/>
          <w:u w:val="single"/>
        </w:rPr>
        <w:t>。</w:t>
      </w:r>
    </w:p>
    <w:p w14:paraId="3B288116">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 计量</w:t>
      </w:r>
    </w:p>
    <w:p w14:paraId="7D00F061">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12.3.1 计量原则</w:t>
      </w:r>
    </w:p>
    <w:p w14:paraId="7391C4A1">
      <w:pPr>
        <w:spacing w:line="360" w:lineRule="auto"/>
        <w:ind w:firstLine="420" w:firstLineChars="200"/>
        <w:rPr>
          <w:rFonts w:ascii="宋体" w:hAnsi="宋体" w:cs="Times New Roman"/>
          <w:szCs w:val="21"/>
          <w:highlight w:val="none"/>
        </w:rPr>
      </w:pPr>
      <w:r>
        <w:rPr>
          <w:rFonts w:ascii="宋体" w:hAnsi="宋体" w:cs="Times New Roman"/>
          <w:szCs w:val="21"/>
          <w:highlight w:val="none"/>
        </w:rPr>
        <w:t>工程量计算规则：</w:t>
      </w:r>
    </w:p>
    <w:p w14:paraId="312F8226">
      <w:pPr>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（1）实行工程量清单计价的工程项目，其工程量的计算规则应按国家标准工程量计算规范及省级行业主管部门颁布的补充规定执行。</w:t>
      </w:r>
    </w:p>
    <w:p w14:paraId="68E165DB">
      <w:pPr>
        <w:spacing w:line="360" w:lineRule="auto"/>
        <w:ind w:firstLine="420" w:firstLineChars="200"/>
        <w:rPr>
          <w:rFonts w:ascii="宋体" w:hAnsi="宋体" w:cs="Times New Roman"/>
          <w:sz w:val="18"/>
          <w:highlight w:val="none"/>
          <w:u w:val="single"/>
        </w:rPr>
      </w:pPr>
      <w:r>
        <w:rPr>
          <w:rFonts w:hint="eastAsia" w:ascii="宋体" w:hAnsi="宋体" w:cs="Times New Roman"/>
          <w:highlight w:val="none"/>
          <w:u w:val="single"/>
        </w:rPr>
        <w:t>（2）不实行工程量清单计价的工程项目，工程量的计算规则应按省、市行业主管部门颁布的各专业工程定额的工程量计算规则执行。</w:t>
      </w:r>
    </w:p>
    <w:p w14:paraId="7F4A0A11">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12.3.2 计量周期</w:t>
      </w:r>
    </w:p>
    <w:p w14:paraId="572EB0A7">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关于计量周期的约定：</w:t>
      </w:r>
      <w:r>
        <w:rPr>
          <w:rFonts w:ascii="宋体" w:hAnsi="宋体" w:cs="Times New Roman"/>
          <w:highlight w:val="none"/>
          <w:u w:val="single"/>
        </w:rPr>
        <w:t xml:space="preserve"> </w:t>
      </w:r>
      <w:r>
        <w:rPr>
          <w:rFonts w:hint="eastAsia" w:ascii="宋体" w:hAnsi="宋体" w:cs="Times New Roman"/>
          <w:kern w:val="0"/>
          <w:highlight w:val="none"/>
          <w:u w:val="single"/>
        </w:rPr>
        <w:t>按通用条款执行</w:t>
      </w:r>
      <w:r>
        <w:rPr>
          <w:rFonts w:ascii="宋体" w:hAnsi="宋体" w:cs="Times New Roman"/>
          <w:szCs w:val="21"/>
          <w:highlight w:val="none"/>
        </w:rPr>
        <w:t>。</w:t>
      </w:r>
    </w:p>
    <w:p w14:paraId="2DB573A5">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12.3.3 单价合同的计量</w:t>
      </w:r>
    </w:p>
    <w:p w14:paraId="5F6CD9DD">
      <w:pPr>
        <w:tabs>
          <w:tab w:val="left" w:pos="482"/>
          <w:tab w:val="left" w:pos="2183"/>
          <w:tab w:val="left" w:pos="3884"/>
          <w:tab w:val="left" w:pos="5585"/>
        </w:tabs>
        <w:spacing w:line="360" w:lineRule="auto"/>
        <w:ind w:firstLine="420" w:firstLineChars="200"/>
        <w:rPr>
          <w:rFonts w:ascii="宋体" w:hAnsi="宋体" w:cs="Times New Roman"/>
          <w:szCs w:val="21"/>
          <w:highlight w:val="none"/>
        </w:rPr>
      </w:pPr>
      <w:r>
        <w:rPr>
          <w:rFonts w:ascii="宋体" w:hAnsi="宋体" w:cs="Times New Roman"/>
          <w:szCs w:val="21"/>
          <w:highlight w:val="none"/>
        </w:rPr>
        <w:t>关于单价合同计量的约定：</w:t>
      </w:r>
      <w:r>
        <w:rPr>
          <w:rFonts w:hint="eastAsia" w:ascii="宋体" w:hAnsi="宋体" w:cs="Times New Roman"/>
          <w:kern w:val="0"/>
          <w:highlight w:val="none"/>
          <w:u w:val="single"/>
        </w:rPr>
        <w:t>按通用条款执行</w:t>
      </w:r>
      <w:r>
        <w:rPr>
          <w:rFonts w:hint="eastAsia" w:ascii="宋体" w:hAnsi="宋体" w:cs="Times New Roman"/>
          <w:highlight w:val="none"/>
          <w:u w:val="single"/>
        </w:rPr>
        <w:t>。</w:t>
      </w:r>
    </w:p>
    <w:p w14:paraId="7CBD4752">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12.3.4 总价合同的计量</w:t>
      </w:r>
    </w:p>
    <w:p w14:paraId="5E05EB48">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关于总价合同计量的约定：</w:t>
      </w:r>
      <w:r>
        <w:rPr>
          <w:rFonts w:hint="eastAsia" w:ascii="宋体" w:hAnsi="宋体" w:cs="Times New Roman"/>
          <w:highlight w:val="none"/>
          <w:u w:val="single"/>
        </w:rPr>
        <w:t>/</w:t>
      </w:r>
      <w:r>
        <w:rPr>
          <w:rFonts w:hint="eastAsia" w:ascii="宋体" w:hAnsi="宋体" w:cs="Times New Roman"/>
          <w:szCs w:val="21"/>
          <w:highlight w:val="none"/>
        </w:rPr>
        <w:t>。</w:t>
      </w:r>
    </w:p>
    <w:p w14:paraId="5C1A844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12.3.5总价合同采用支付分解表计量支付的，是否适用第12.3.4 项</w:t>
      </w:r>
      <w:r>
        <w:rPr>
          <w:rFonts w:hint="eastAsia" w:ascii="宋体" w:hAnsi="宋体" w:cs="Times New Roman"/>
          <w:szCs w:val="21"/>
          <w:highlight w:val="none"/>
        </w:rPr>
        <w:t>〔</w:t>
      </w:r>
      <w:r>
        <w:rPr>
          <w:rFonts w:ascii="宋体" w:hAnsi="宋体" w:cs="Times New Roman"/>
          <w:szCs w:val="21"/>
          <w:highlight w:val="none"/>
        </w:rPr>
        <w:t>总价合同的计量</w:t>
      </w:r>
      <w:r>
        <w:rPr>
          <w:rFonts w:hint="eastAsia" w:ascii="宋体" w:hAnsi="宋体" w:cs="Times New Roman"/>
          <w:szCs w:val="21"/>
          <w:highlight w:val="none"/>
        </w:rPr>
        <w:t>〕</w:t>
      </w:r>
      <w:r>
        <w:rPr>
          <w:rFonts w:ascii="宋体" w:hAnsi="宋体" w:cs="Times New Roman"/>
          <w:szCs w:val="21"/>
          <w:highlight w:val="none"/>
        </w:rPr>
        <w:t>约定</w:t>
      </w:r>
      <w:r>
        <w:rPr>
          <w:rFonts w:hint="eastAsia" w:ascii="宋体" w:hAnsi="宋体" w:cs="Times New Roman"/>
          <w:szCs w:val="21"/>
          <w:highlight w:val="none"/>
        </w:rPr>
        <w:t>进行计量：</w:t>
      </w:r>
      <w:r>
        <w:rPr>
          <w:rFonts w:hint="eastAsia" w:ascii="宋体" w:hAnsi="宋体" w:cs="Times New Roman"/>
          <w:highlight w:val="none"/>
          <w:u w:val="single"/>
        </w:rPr>
        <w:t>/</w:t>
      </w:r>
      <w:r>
        <w:rPr>
          <w:rFonts w:hint="eastAsia" w:ascii="宋体" w:hAnsi="宋体" w:cs="Times New Roman"/>
          <w:szCs w:val="21"/>
          <w:highlight w:val="none"/>
        </w:rPr>
        <w:t>。</w:t>
      </w:r>
    </w:p>
    <w:p w14:paraId="575D5B76">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12.3.6 其他价格形式合同的计量</w:t>
      </w:r>
    </w:p>
    <w:p w14:paraId="4CC3217F">
      <w:pPr>
        <w:spacing w:line="360" w:lineRule="auto"/>
        <w:ind w:firstLine="420" w:firstLineChars="200"/>
        <w:rPr>
          <w:rFonts w:hint="eastAsia" w:ascii="宋体" w:hAnsi="宋体" w:eastAsia="宋体" w:cs="Times New Roman"/>
          <w:szCs w:val="21"/>
          <w:highlight w:val="none"/>
          <w:lang w:eastAsia="zh-CN"/>
        </w:rPr>
      </w:pPr>
      <w:r>
        <w:rPr>
          <w:rFonts w:ascii="宋体" w:hAnsi="宋体" w:cs="Times New Roman"/>
          <w:szCs w:val="21"/>
          <w:highlight w:val="none"/>
        </w:rPr>
        <w:t>其他价格形式的计量方式和程序</w:t>
      </w:r>
      <w:r>
        <w:rPr>
          <w:rFonts w:hint="eastAsia" w:ascii="宋体" w:hAnsi="宋体" w:cs="Times New Roman"/>
          <w:szCs w:val="21"/>
          <w:highlight w:val="none"/>
        </w:rPr>
        <w:t>:</w:t>
      </w:r>
      <w:r>
        <w:rPr>
          <w:rFonts w:hint="eastAsia" w:ascii="宋体" w:hAnsi="宋体" w:cs="Times New Roman"/>
          <w:highlight w:val="none"/>
          <w:u w:val="single"/>
        </w:rPr>
        <w:t xml:space="preserve"> /</w:t>
      </w:r>
      <w:r>
        <w:rPr>
          <w:rFonts w:hint="eastAsia" w:ascii="宋体" w:hAnsi="宋体" w:cs="Times New Roman"/>
          <w:highlight w:val="none"/>
          <w:u w:val="single"/>
          <w:lang w:eastAsia="zh-CN"/>
        </w:rPr>
        <w:t>。</w:t>
      </w:r>
    </w:p>
    <w:p w14:paraId="07EF1D3F">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 工程进度款支付</w:t>
      </w:r>
    </w:p>
    <w:p w14:paraId="723CD457">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12.4.1 付款周期</w:t>
      </w:r>
    </w:p>
    <w:p w14:paraId="286BE47B">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eastAsia="宋体" w:cs="Times New Roman"/>
          <w:w w:val="100"/>
          <w:sz w:val="21"/>
          <w:szCs w:val="21"/>
          <w:highlight w:val="none"/>
        </w:rPr>
        <w:t>暂定合同总价人民币</w:t>
      </w:r>
      <w:r>
        <w:rPr>
          <w:rFonts w:hint="eastAsia" w:ascii="宋体" w:hAnsi="宋体" w:eastAsia="宋体" w:cs="Times New Roman"/>
          <w:w w:val="100"/>
          <w:sz w:val="21"/>
          <w:szCs w:val="21"/>
          <w:highlight w:val="none"/>
          <w:u w:val="single"/>
          <w:lang w:val="en-US" w:eastAsia="zh-CN"/>
        </w:rPr>
        <w:t xml:space="preserve">      </w:t>
      </w:r>
      <w:r>
        <w:rPr>
          <w:rFonts w:hint="eastAsia" w:ascii="宋体" w:hAnsi="宋体" w:eastAsia="宋体" w:cs="Times New Roman"/>
          <w:w w:val="100"/>
          <w:sz w:val="21"/>
          <w:szCs w:val="21"/>
          <w:highlight w:val="none"/>
        </w:rPr>
        <w:t>元，本合同暂定总价的</w:t>
      </w:r>
      <w:r>
        <w:rPr>
          <w:rFonts w:ascii="宋体" w:hAnsi="宋体" w:eastAsia="宋体" w:cs="Times New Roman"/>
          <w:w w:val="100"/>
          <w:sz w:val="21"/>
          <w:szCs w:val="24"/>
          <w:highlight w:val="none"/>
        </w:rPr>
        <w:t>2</w:t>
      </w:r>
      <w:r>
        <w:rPr>
          <w:rFonts w:hint="eastAsia" w:ascii="宋体" w:hAnsi="宋体" w:eastAsia="宋体" w:cs="Times New Roman"/>
          <w:w w:val="100"/>
          <w:sz w:val="21"/>
          <w:szCs w:val="24"/>
          <w:highlight w:val="none"/>
        </w:rPr>
        <w:t>%</w:t>
      </w:r>
      <w:r>
        <w:rPr>
          <w:rFonts w:hint="eastAsia" w:ascii="宋体" w:hAnsi="宋体" w:eastAsia="宋体" w:cs="Times New Roman"/>
          <w:w w:val="100"/>
          <w:sz w:val="21"/>
          <w:szCs w:val="21"/>
          <w:highlight w:val="none"/>
        </w:rPr>
        <w:t>作为履约保证金，本合同签订后七个工作日内由承包人支付给发包人，</w:t>
      </w:r>
      <w:r>
        <w:rPr>
          <w:rFonts w:hint="eastAsia" w:ascii="宋体" w:hAnsi="宋体" w:eastAsia="宋体" w:cs="Times New Roman"/>
          <w:w w:val="100"/>
          <w:sz w:val="21"/>
          <w:szCs w:val="21"/>
          <w:highlight w:val="none"/>
          <w:lang w:val="en-US" w:eastAsia="zh-CN"/>
        </w:rPr>
        <w:t>待</w:t>
      </w:r>
      <w:r>
        <w:rPr>
          <w:rFonts w:hint="eastAsia" w:ascii="宋体" w:hAnsi="宋体" w:eastAsia="宋体" w:cs="Times New Roman"/>
          <w:w w:val="100"/>
          <w:sz w:val="21"/>
          <w:szCs w:val="21"/>
          <w:highlight w:val="none"/>
        </w:rPr>
        <w:t>工程竣工验收合格并交付发包人使用后</w:t>
      </w:r>
      <w:r>
        <w:rPr>
          <w:rFonts w:hint="eastAsia" w:ascii="宋体" w:hAnsi="宋体" w:eastAsia="宋体" w:cs="Times New Roman"/>
          <w:w w:val="100"/>
          <w:sz w:val="21"/>
          <w:szCs w:val="21"/>
          <w:highlight w:val="none"/>
          <w:lang w:eastAsia="zh-CN"/>
        </w:rPr>
        <w:t>，由发包人无息退回承包人（遇寒暑假及国定假日顺延）。</w:t>
      </w:r>
      <w:r>
        <w:rPr>
          <w:rFonts w:hint="eastAsia" w:ascii="宋体" w:hAnsi="宋体" w:eastAsia="宋体" w:cs="Times New Roman"/>
          <w:w w:val="100"/>
          <w:sz w:val="21"/>
          <w:szCs w:val="21"/>
          <w:highlight w:val="none"/>
        </w:rPr>
        <w:t>待</w:t>
      </w:r>
      <w:bookmarkStart w:id="134" w:name="_Hlk74647084"/>
      <w:r>
        <w:rPr>
          <w:rFonts w:hint="eastAsia" w:ascii="宋体" w:hAnsi="宋体" w:eastAsia="宋体" w:cs="Times New Roman"/>
          <w:w w:val="100"/>
          <w:sz w:val="21"/>
          <w:szCs w:val="21"/>
          <w:highlight w:val="none"/>
        </w:rPr>
        <w:t>缺陷责任期</w:t>
      </w:r>
      <w:bookmarkEnd w:id="134"/>
      <w:r>
        <w:rPr>
          <w:rFonts w:hint="eastAsia" w:ascii="宋体" w:hAnsi="宋体" w:eastAsia="宋体" w:cs="Times New Roman"/>
          <w:w w:val="100"/>
          <w:sz w:val="21"/>
          <w:szCs w:val="21"/>
          <w:highlight w:val="none"/>
        </w:rPr>
        <w:t>终止后经发包人书面确认工程无质量问题、无售后服务问题和承包人无违约行为后，由发包人无息退回承包人（遇寒暑假及国定假日顺延）</w:t>
      </w:r>
      <w:r>
        <w:rPr>
          <w:rFonts w:hint="eastAsia" w:ascii="宋体" w:hAnsi="宋体" w:cs="Times New Roman"/>
          <w:szCs w:val="21"/>
          <w:highlight w:val="none"/>
        </w:rPr>
        <w:t>。</w:t>
      </w:r>
    </w:p>
    <w:p w14:paraId="48422525">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（2）承包人提交履约保证金和正规发票后，发包人向承包人支付本合同暂定总价的40</w:t>
      </w:r>
      <w:r>
        <w:rPr>
          <w:rFonts w:ascii="宋体" w:hAnsi="宋体" w:cs="Times New Roman"/>
          <w:szCs w:val="21"/>
          <w:highlight w:val="none"/>
        </w:rPr>
        <w:t>%</w:t>
      </w:r>
      <w:r>
        <w:rPr>
          <w:rFonts w:hint="eastAsia" w:ascii="宋体" w:hAnsi="宋体" w:cs="Times New Roman"/>
          <w:szCs w:val="21"/>
          <w:highlight w:val="none"/>
        </w:rPr>
        <w:t>作为</w:t>
      </w:r>
      <w:r>
        <w:rPr>
          <w:rFonts w:ascii="宋体" w:hAnsi="宋体" w:cs="Times New Roman"/>
          <w:szCs w:val="21"/>
          <w:highlight w:val="none"/>
        </w:rPr>
        <w:t>预付款</w:t>
      </w:r>
      <w:r>
        <w:rPr>
          <w:rFonts w:hint="eastAsia" w:ascii="宋体" w:hAnsi="宋体" w:cs="Times New Roman"/>
          <w:szCs w:val="21"/>
          <w:highlight w:val="none"/>
        </w:rPr>
        <w:t>。</w:t>
      </w:r>
    </w:p>
    <w:p w14:paraId="08FD5E83">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w:t>
      </w:r>
      <w:r>
        <w:rPr>
          <w:rFonts w:ascii="宋体" w:hAnsi="宋体" w:cs="Times New Roman"/>
          <w:szCs w:val="21"/>
          <w:highlight w:val="none"/>
        </w:rPr>
        <w:t>3</w:t>
      </w:r>
      <w:r>
        <w:rPr>
          <w:rFonts w:hint="eastAsia" w:ascii="宋体" w:hAnsi="宋体" w:cs="Times New Roman"/>
          <w:szCs w:val="21"/>
          <w:highlight w:val="none"/>
        </w:rPr>
        <w:t>）</w:t>
      </w:r>
      <w:r>
        <w:rPr>
          <w:rFonts w:ascii="宋体" w:hAnsi="宋体" w:eastAsia="宋体" w:cs="Times New Roman"/>
          <w:w w:val="100"/>
          <w:sz w:val="21"/>
          <w:szCs w:val="21"/>
          <w:highlight w:val="none"/>
        </w:rPr>
        <w:t>全部工程竣工验收合格并交付发包人正常使用后7日内，</w:t>
      </w:r>
      <w:r>
        <w:rPr>
          <w:rFonts w:hint="eastAsia" w:ascii="宋体" w:hAnsi="宋体" w:eastAsia="宋体" w:cs="Times New Roman"/>
          <w:w w:val="100"/>
          <w:sz w:val="21"/>
          <w:szCs w:val="21"/>
          <w:highlight w:val="none"/>
        </w:rPr>
        <w:t>且</w:t>
      </w:r>
      <w:r>
        <w:rPr>
          <w:rFonts w:ascii="宋体" w:hAnsi="宋体" w:eastAsia="宋体" w:cs="Times New Roman"/>
          <w:w w:val="100"/>
          <w:sz w:val="21"/>
          <w:szCs w:val="21"/>
          <w:highlight w:val="none"/>
        </w:rPr>
        <w:t>发包人收到承包人开具的正规发票后</w:t>
      </w:r>
      <w:r>
        <w:rPr>
          <w:rFonts w:hint="eastAsia" w:ascii="宋体" w:hAnsi="宋体" w:eastAsia="宋体" w:cs="Times New Roman"/>
          <w:w w:val="100"/>
          <w:sz w:val="21"/>
          <w:szCs w:val="21"/>
          <w:highlight w:val="none"/>
        </w:rPr>
        <w:t>7日内</w:t>
      </w:r>
      <w:r>
        <w:rPr>
          <w:rFonts w:ascii="宋体" w:hAnsi="宋体" w:eastAsia="宋体" w:cs="Times New Roman"/>
          <w:w w:val="100"/>
          <w:sz w:val="21"/>
          <w:szCs w:val="21"/>
          <w:highlight w:val="none"/>
        </w:rPr>
        <w:t>向承包人支付</w:t>
      </w:r>
      <w:r>
        <w:rPr>
          <w:rFonts w:hint="eastAsia" w:ascii="宋体" w:hAnsi="宋体" w:eastAsia="宋体" w:cs="Times New Roman"/>
          <w:w w:val="100"/>
          <w:sz w:val="21"/>
          <w:szCs w:val="21"/>
          <w:highlight w:val="none"/>
        </w:rPr>
        <w:t>本合同已完成工作量</w:t>
      </w:r>
      <w:r>
        <w:rPr>
          <w:rFonts w:ascii="宋体" w:hAnsi="宋体" w:eastAsia="宋体" w:cs="Times New Roman"/>
          <w:w w:val="100"/>
          <w:sz w:val="21"/>
          <w:szCs w:val="21"/>
          <w:highlight w:val="none"/>
        </w:rPr>
        <w:t>的85%</w:t>
      </w:r>
      <w:r>
        <w:rPr>
          <w:rFonts w:hint="eastAsia" w:ascii="宋体" w:hAnsi="宋体" w:eastAsia="宋体" w:cs="Times New Roman"/>
          <w:w w:val="100"/>
          <w:sz w:val="21"/>
          <w:szCs w:val="21"/>
          <w:highlight w:val="none"/>
        </w:rPr>
        <w:t>。发包人委托第三方对工程造价结算审价完毕后，发包人收到承包人开具的正规发票</w:t>
      </w:r>
      <w:r>
        <w:rPr>
          <w:rFonts w:hint="eastAsia" w:ascii="宋体" w:hAnsi="宋体" w:eastAsia="宋体" w:cs="Times New Roman"/>
          <w:w w:val="100"/>
          <w:sz w:val="21"/>
          <w:szCs w:val="21"/>
          <w:highlight w:val="none"/>
          <w:lang w:val="en-US" w:eastAsia="zh-CN"/>
        </w:rPr>
        <w:t>和审定总价1.5%的质量保证金（以支票、汇票、银行转账或保函形式）</w:t>
      </w:r>
      <w:r>
        <w:rPr>
          <w:rFonts w:hint="eastAsia" w:ascii="宋体" w:hAnsi="宋体" w:eastAsia="宋体" w:cs="Times New Roman"/>
          <w:w w:val="100"/>
          <w:sz w:val="21"/>
          <w:szCs w:val="21"/>
          <w:highlight w:val="none"/>
        </w:rPr>
        <w:t>后7日内，发包人向承包人支付至审定总价的100%（多退少补）；工程造价结算审价时间以发包人委托的第三方实际审价时间为准，不依通用条款规定时间执行。造价审核核增部分的审计费及核减超过</w:t>
      </w:r>
      <w:r>
        <w:rPr>
          <w:rFonts w:hint="eastAsia" w:ascii="宋体" w:hAnsi="宋体" w:eastAsia="宋体" w:cs="Times New Roman"/>
          <w:w w:val="100"/>
          <w:sz w:val="21"/>
          <w:szCs w:val="24"/>
          <w:highlight w:val="none"/>
        </w:rPr>
        <w:t>5%</w:t>
      </w:r>
      <w:r>
        <w:rPr>
          <w:rFonts w:hint="eastAsia" w:ascii="宋体" w:hAnsi="宋体" w:eastAsia="宋体" w:cs="Times New Roman"/>
          <w:w w:val="100"/>
          <w:sz w:val="21"/>
          <w:szCs w:val="21"/>
          <w:highlight w:val="none"/>
        </w:rPr>
        <w:t>（含）的审计费由承包人承担</w:t>
      </w:r>
      <w:r>
        <w:rPr>
          <w:rFonts w:hint="eastAsia" w:ascii="宋体" w:hAnsi="宋体" w:cs="Times New Roman"/>
          <w:szCs w:val="21"/>
          <w:highlight w:val="none"/>
        </w:rPr>
        <w:t>。</w:t>
      </w:r>
    </w:p>
    <w:p w14:paraId="7EEE3ABD">
      <w:pPr>
        <w:spacing w:line="360" w:lineRule="auto"/>
        <w:ind w:firstLine="420" w:firstLineChars="200"/>
        <w:rPr>
          <w:rFonts w:ascii="宋体" w:hAnsi="宋体" w:cs="Times New Roman"/>
          <w:szCs w:val="21"/>
          <w:highlight w:val="none"/>
        </w:rPr>
      </w:pPr>
      <w:r>
        <w:rPr>
          <w:rFonts w:ascii="宋体" w:hAnsi="宋体" w:cs="Times New Roman"/>
          <w:szCs w:val="21"/>
          <w:highlight w:val="none"/>
        </w:rPr>
        <w:t>（4）</w:t>
      </w:r>
      <w:r>
        <w:rPr>
          <w:rFonts w:hint="eastAsia" w:ascii="宋体" w:hAnsi="宋体" w:cs="Times New Roman"/>
          <w:szCs w:val="21"/>
          <w:highlight w:val="none"/>
        </w:rPr>
        <w:t>发包人每次付款前，承包人必须开具并交付相应金额的</w:t>
      </w:r>
      <w:r>
        <w:rPr>
          <w:rFonts w:hint="eastAsia" w:ascii="宋体" w:hAnsi="宋体" w:cs="Times New Roman"/>
          <w:highlight w:val="none"/>
        </w:rPr>
        <w:t>增值税专用发票</w:t>
      </w:r>
      <w:r>
        <w:rPr>
          <w:rFonts w:hint="eastAsia" w:ascii="宋体" w:hAnsi="宋体" w:cs="Times New Roman"/>
          <w:szCs w:val="21"/>
          <w:highlight w:val="none"/>
        </w:rPr>
        <w:t>，作为发包人付款的前提条件之一。</w:t>
      </w:r>
    </w:p>
    <w:p w14:paraId="62416806">
      <w:pPr>
        <w:spacing w:line="360" w:lineRule="auto"/>
        <w:ind w:firstLine="420" w:firstLineChars="200"/>
        <w:rPr>
          <w:rFonts w:ascii="宋体" w:hAnsi="宋体" w:cs="Times New Roman"/>
          <w:highlight w:val="none"/>
        </w:rPr>
      </w:pPr>
      <w:r>
        <w:rPr>
          <w:rFonts w:hint="eastAsia" w:ascii="宋体" w:hAnsi="宋体" w:cs="Times New Roman"/>
          <w:highlight w:val="none"/>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6CDF2340">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12.4.2 进度付款申请单的编制</w:t>
      </w:r>
    </w:p>
    <w:p w14:paraId="1FE78613">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关于进度付款申请单编制的约定：</w:t>
      </w:r>
      <w:r>
        <w:rPr>
          <w:rFonts w:hint="eastAsia" w:ascii="宋体" w:hAnsi="宋体" w:cs="Times New Roman"/>
          <w:highlight w:val="none"/>
          <w:u w:val="single"/>
        </w:rPr>
        <w:t>按通用条款执行。</w:t>
      </w:r>
    </w:p>
    <w:p w14:paraId="552220A5">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12.4.3 进度付款申请单的提交</w:t>
      </w:r>
    </w:p>
    <w:p w14:paraId="43CE56DD">
      <w:pPr>
        <w:spacing w:line="360" w:lineRule="auto"/>
        <w:ind w:firstLine="420" w:firstLineChars="200"/>
        <w:rPr>
          <w:rFonts w:ascii="宋体" w:hAnsi="宋体" w:cs="Times New Roman"/>
          <w:szCs w:val="21"/>
          <w:highlight w:val="none"/>
        </w:rPr>
      </w:pPr>
      <w:r>
        <w:rPr>
          <w:rFonts w:ascii="宋体" w:hAnsi="宋体" w:cs="Times New Roman"/>
          <w:szCs w:val="21"/>
          <w:highlight w:val="none"/>
        </w:rPr>
        <w:t>（1）单价合同进度付款申请单提交的约定</w:t>
      </w:r>
      <w:r>
        <w:rPr>
          <w:rFonts w:hint="eastAsia" w:ascii="宋体" w:hAnsi="宋体" w:cs="Times New Roman"/>
          <w:szCs w:val="21"/>
          <w:highlight w:val="none"/>
        </w:rPr>
        <w:t>：</w:t>
      </w:r>
      <w:r>
        <w:rPr>
          <w:rFonts w:hint="eastAsia" w:ascii="宋体" w:hAnsi="宋体" w:cs="Times New Roman"/>
          <w:highlight w:val="none"/>
          <w:u w:val="single"/>
        </w:rPr>
        <w:t>按通用条款执行</w:t>
      </w:r>
      <w:r>
        <w:rPr>
          <w:rFonts w:ascii="宋体" w:hAnsi="宋体" w:cs="Times New Roman"/>
          <w:highlight w:val="none"/>
          <w:u w:val="single"/>
        </w:rPr>
        <w:t>。</w:t>
      </w:r>
    </w:p>
    <w:p w14:paraId="111C9E17">
      <w:pPr>
        <w:spacing w:line="360" w:lineRule="auto"/>
        <w:ind w:firstLine="420" w:firstLineChars="200"/>
        <w:rPr>
          <w:rFonts w:ascii="宋体" w:hAnsi="宋体" w:cs="Times New Roman"/>
          <w:szCs w:val="21"/>
          <w:highlight w:val="none"/>
        </w:rPr>
      </w:pPr>
      <w:r>
        <w:rPr>
          <w:rFonts w:ascii="宋体" w:hAnsi="宋体" w:cs="Times New Roman"/>
          <w:szCs w:val="21"/>
          <w:highlight w:val="none"/>
        </w:rPr>
        <w:t>（2）总价合同进度付款申请单提交的约定</w:t>
      </w:r>
      <w:r>
        <w:rPr>
          <w:rFonts w:hint="eastAsia" w:ascii="宋体" w:hAnsi="宋体" w:cs="Times New Roman"/>
          <w:szCs w:val="21"/>
          <w:highlight w:val="none"/>
        </w:rPr>
        <w:t>：</w:t>
      </w:r>
      <w:r>
        <w:rPr>
          <w:rFonts w:hint="eastAsia" w:ascii="宋体" w:hAnsi="宋体" w:cs="Times New Roman"/>
          <w:highlight w:val="none"/>
          <w:u w:val="single"/>
        </w:rPr>
        <w:t>/</w:t>
      </w:r>
      <w:r>
        <w:rPr>
          <w:rFonts w:hint="eastAsia" w:ascii="宋体" w:hAnsi="宋体" w:cs="Times New Roman"/>
          <w:szCs w:val="21"/>
          <w:highlight w:val="none"/>
        </w:rPr>
        <w:t>。</w:t>
      </w:r>
    </w:p>
    <w:p w14:paraId="2DF31396">
      <w:pPr>
        <w:spacing w:line="360" w:lineRule="auto"/>
        <w:ind w:firstLine="420" w:firstLineChars="200"/>
        <w:rPr>
          <w:rFonts w:ascii="宋体" w:hAnsi="宋体" w:cs="Times New Roman"/>
          <w:szCs w:val="21"/>
          <w:highlight w:val="none"/>
        </w:rPr>
      </w:pPr>
      <w:r>
        <w:rPr>
          <w:rFonts w:ascii="宋体" w:hAnsi="宋体" w:cs="Times New Roman"/>
          <w:szCs w:val="21"/>
          <w:highlight w:val="none"/>
        </w:rPr>
        <w:t>（3）其他价格形式合同进度付款申请单提交的约定：</w:t>
      </w:r>
      <w:r>
        <w:rPr>
          <w:rFonts w:hint="eastAsia" w:ascii="宋体" w:hAnsi="宋体" w:cs="Times New Roman"/>
          <w:highlight w:val="none"/>
          <w:u w:val="single"/>
        </w:rPr>
        <w:t>/</w:t>
      </w:r>
      <w:r>
        <w:rPr>
          <w:rFonts w:hint="eastAsia" w:ascii="宋体" w:hAnsi="宋体" w:cs="Times New Roman"/>
          <w:szCs w:val="21"/>
          <w:highlight w:val="none"/>
        </w:rPr>
        <w:t>。</w:t>
      </w:r>
    </w:p>
    <w:p w14:paraId="28E36758">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12.4.4 进度款审核和支付</w:t>
      </w:r>
    </w:p>
    <w:p w14:paraId="6F978C91">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szCs w:val="21"/>
          <w:highlight w:val="none"/>
        </w:rPr>
        <w:t>（1）监理人审查并报送发包人的期限</w:t>
      </w:r>
      <w:r>
        <w:rPr>
          <w:rFonts w:ascii="宋体" w:hAnsi="宋体" w:cs="Times New Roman"/>
          <w:highlight w:val="none"/>
        </w:rPr>
        <w:t>：</w:t>
      </w:r>
      <w:r>
        <w:rPr>
          <w:rFonts w:hint="eastAsia" w:ascii="宋体" w:hAnsi="宋体" w:cs="Times New Roman"/>
          <w:highlight w:val="none"/>
          <w:u w:val="single"/>
        </w:rPr>
        <w:t>/</w:t>
      </w:r>
      <w:r>
        <w:rPr>
          <w:rFonts w:ascii="宋体" w:hAnsi="宋体" w:cs="Times New Roman"/>
          <w:highlight w:val="none"/>
        </w:rPr>
        <w:t>。</w:t>
      </w:r>
    </w:p>
    <w:p w14:paraId="6118D74B">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rPr>
        <w:t>发包人完成审批并签发进度款支付证书的期限：</w:t>
      </w:r>
      <w:r>
        <w:rPr>
          <w:rFonts w:ascii="宋体" w:hAnsi="宋体" w:cs="Times New Roman"/>
          <w:highlight w:val="none"/>
          <w:u w:val="single"/>
        </w:rPr>
        <w:t xml:space="preserve">  </w:t>
      </w:r>
      <w:r>
        <w:rPr>
          <w:rFonts w:hint="eastAsia" w:ascii="宋体" w:hAnsi="宋体" w:cs="Times New Roman"/>
          <w:highlight w:val="none"/>
          <w:u w:val="single"/>
        </w:rPr>
        <w:t xml:space="preserve">按通用条款执行 </w:t>
      </w:r>
      <w:r>
        <w:rPr>
          <w:rFonts w:ascii="宋体" w:hAnsi="宋体" w:cs="Times New Roman"/>
          <w:highlight w:val="none"/>
        </w:rPr>
        <w:t>。</w:t>
      </w:r>
    </w:p>
    <w:p w14:paraId="2C406C18">
      <w:pPr>
        <w:spacing w:line="360" w:lineRule="auto"/>
        <w:ind w:firstLine="420" w:firstLineChars="200"/>
        <w:rPr>
          <w:rFonts w:ascii="宋体" w:hAnsi="宋体" w:cs="Times New Roman"/>
          <w:szCs w:val="21"/>
          <w:highlight w:val="none"/>
        </w:rPr>
      </w:pPr>
      <w:r>
        <w:rPr>
          <w:rFonts w:ascii="宋体" w:hAnsi="宋体" w:cs="Times New Roman"/>
          <w:highlight w:val="none"/>
        </w:rPr>
        <w:t>（2）发包人支付进度款的期限：</w:t>
      </w:r>
      <w:r>
        <w:rPr>
          <w:rFonts w:ascii="宋体" w:hAnsi="宋体" w:cs="Times New Roman"/>
          <w:highlight w:val="none"/>
          <w:u w:val="single"/>
        </w:rPr>
        <w:t xml:space="preserve">  </w:t>
      </w:r>
      <w:r>
        <w:rPr>
          <w:rFonts w:hint="eastAsia" w:ascii="宋体" w:hAnsi="宋体" w:cs="Times New Roman"/>
          <w:highlight w:val="none"/>
          <w:u w:val="single"/>
        </w:rPr>
        <w:t>不执行通用条款，以发包人书面通知承包人开具收款发票后支付</w:t>
      </w:r>
      <w:r>
        <w:rPr>
          <w:rFonts w:ascii="宋体" w:hAnsi="宋体" w:cs="Times New Roman"/>
          <w:highlight w:val="none"/>
        </w:rPr>
        <w:t>。</w:t>
      </w:r>
    </w:p>
    <w:p w14:paraId="30937D68">
      <w:pPr>
        <w:spacing w:line="360" w:lineRule="auto"/>
        <w:ind w:firstLine="420" w:firstLineChars="200"/>
        <w:rPr>
          <w:rFonts w:ascii="宋体" w:hAnsi="宋体" w:cs="Times New Roman"/>
          <w:highlight w:val="none"/>
          <w:u w:val="single"/>
        </w:rPr>
      </w:pPr>
      <w:r>
        <w:rPr>
          <w:rFonts w:ascii="宋体" w:hAnsi="宋体" w:cs="Times New Roman"/>
          <w:szCs w:val="21"/>
          <w:highlight w:val="none"/>
        </w:rPr>
        <w:t>发包人逾期支付进度款的违约金的计算方式：</w:t>
      </w:r>
      <w:r>
        <w:rPr>
          <w:rFonts w:hint="eastAsia" w:ascii="宋体" w:hAnsi="宋体" w:cs="Times New Roman"/>
          <w:highlight w:val="none"/>
          <w:u w:val="single"/>
        </w:rPr>
        <w:t>/</w:t>
      </w:r>
      <w:r>
        <w:rPr>
          <w:rFonts w:hint="eastAsia" w:ascii="宋体" w:hAnsi="宋体" w:cs="Times New Roman"/>
          <w:szCs w:val="21"/>
          <w:highlight w:val="none"/>
        </w:rPr>
        <w:t>。</w:t>
      </w:r>
    </w:p>
    <w:p w14:paraId="054935D1">
      <w:pPr>
        <w:spacing w:line="360" w:lineRule="auto"/>
        <w:ind w:firstLine="420" w:firstLineChars="200"/>
        <w:rPr>
          <w:rFonts w:ascii="宋体" w:hAnsi="宋体" w:cs="Times New Roman"/>
          <w:szCs w:val="21"/>
          <w:highlight w:val="none"/>
        </w:rPr>
      </w:pPr>
      <w:r>
        <w:rPr>
          <w:rFonts w:ascii="宋体" w:hAnsi="宋体" w:cs="Times New Roman"/>
          <w:szCs w:val="21"/>
          <w:highlight w:val="none"/>
        </w:rPr>
        <w:t>12.4.6 支付分解表的编制</w:t>
      </w:r>
    </w:p>
    <w:p w14:paraId="0F9CF1A7">
      <w:pPr>
        <w:spacing w:line="360" w:lineRule="auto"/>
        <w:ind w:left="4200" w:leftChars="200" w:hanging="3780" w:hangingChars="1800"/>
        <w:rPr>
          <w:rFonts w:ascii="宋体" w:hAnsi="宋体" w:cs="Times New Roman"/>
          <w:szCs w:val="21"/>
          <w:highlight w:val="none"/>
        </w:rPr>
      </w:pPr>
      <w:r>
        <w:rPr>
          <w:rFonts w:ascii="宋体" w:hAnsi="宋体" w:cs="Times New Roman"/>
          <w:szCs w:val="21"/>
          <w:highlight w:val="none"/>
        </w:rPr>
        <w:t>2、总价合同支付分解表的编制与审批：</w:t>
      </w:r>
      <w:r>
        <w:rPr>
          <w:rFonts w:hint="eastAsia" w:ascii="宋体" w:hAnsi="宋体" w:cs="Times New Roman"/>
          <w:highlight w:val="none"/>
          <w:u w:val="single"/>
        </w:rPr>
        <w:t>/</w:t>
      </w:r>
      <w:r>
        <w:rPr>
          <w:rFonts w:hint="eastAsia" w:ascii="宋体" w:hAnsi="宋体" w:cs="Times New Roman"/>
          <w:szCs w:val="21"/>
          <w:highlight w:val="none"/>
        </w:rPr>
        <w:t>。</w:t>
      </w:r>
    </w:p>
    <w:p w14:paraId="480165E0">
      <w:pPr>
        <w:spacing w:line="360" w:lineRule="auto"/>
        <w:ind w:firstLine="420" w:firstLineChars="200"/>
        <w:rPr>
          <w:rFonts w:ascii="宋体" w:hAnsi="宋体" w:cs="Times New Roman"/>
          <w:szCs w:val="21"/>
          <w:highlight w:val="none"/>
        </w:rPr>
      </w:pPr>
      <w:r>
        <w:rPr>
          <w:rFonts w:ascii="宋体" w:hAnsi="宋体" w:cs="Times New Roman"/>
          <w:szCs w:val="21"/>
          <w:highlight w:val="none"/>
        </w:rPr>
        <w:t>3、单价合同的总价项目支付分解表的编制与审批：</w:t>
      </w:r>
      <w:r>
        <w:rPr>
          <w:rFonts w:hint="eastAsia" w:ascii="宋体" w:hAnsi="宋体" w:cs="Times New Roman"/>
          <w:highlight w:val="none"/>
          <w:u w:val="single"/>
        </w:rPr>
        <w:t>按通用条款执行</w:t>
      </w:r>
      <w:r>
        <w:rPr>
          <w:rFonts w:ascii="宋体" w:hAnsi="宋体" w:cs="Times New Roman"/>
          <w:szCs w:val="21"/>
          <w:highlight w:val="none"/>
        </w:rPr>
        <w:t>。</w:t>
      </w:r>
    </w:p>
    <w:p w14:paraId="19CCD27E">
      <w:pPr>
        <w:topLinePunct/>
        <w:spacing w:line="360" w:lineRule="auto"/>
        <w:ind w:firstLine="420"/>
        <w:rPr>
          <w:rFonts w:ascii="宋体" w:hAnsi="宋体" w:cs="Times New Roman"/>
          <w:b/>
          <w:highlight w:val="none"/>
        </w:rPr>
      </w:pPr>
      <w:r>
        <w:rPr>
          <w:rFonts w:ascii="宋体" w:hAnsi="宋体" w:cs="Times New Roman"/>
          <w:b/>
          <w:highlight w:val="none"/>
        </w:rPr>
        <w:t>13.</w:t>
      </w:r>
      <w:r>
        <w:rPr>
          <w:rFonts w:hint="eastAsia" w:ascii="宋体" w:hAnsi="宋体" w:cs="Times New Roman"/>
          <w:b/>
          <w:highlight w:val="none"/>
        </w:rPr>
        <w:t xml:space="preserve"> </w:t>
      </w:r>
      <w:r>
        <w:rPr>
          <w:rFonts w:ascii="宋体" w:hAnsi="宋体" w:cs="Times New Roman"/>
          <w:b/>
          <w:highlight w:val="none"/>
        </w:rPr>
        <w:t>验收和工程试车</w:t>
      </w:r>
    </w:p>
    <w:p w14:paraId="2788A33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13.1 分部分项工程验收</w:t>
      </w:r>
    </w:p>
    <w:p w14:paraId="1A4F923B">
      <w:pPr>
        <w:spacing w:line="360" w:lineRule="auto"/>
        <w:ind w:left="4200" w:leftChars="200" w:hanging="3780" w:hangingChars="1800"/>
        <w:rPr>
          <w:rFonts w:ascii="宋体" w:hAnsi="宋体" w:cs="Times New Roman"/>
          <w:highlight w:val="none"/>
        </w:rPr>
      </w:pPr>
      <w:r>
        <w:rPr>
          <w:rFonts w:ascii="宋体" w:hAnsi="宋体" w:cs="Times New Roman"/>
          <w:highlight w:val="none"/>
        </w:rPr>
        <w:t>13.1.2监理人不能按时进行验收时，应提前</w:t>
      </w:r>
      <w:r>
        <w:rPr>
          <w:rFonts w:ascii="宋体" w:hAnsi="宋体" w:cs="Times New Roman"/>
          <w:highlight w:val="none"/>
          <w:u w:val="single"/>
        </w:rPr>
        <w:t>24</w:t>
      </w:r>
      <w:r>
        <w:rPr>
          <w:rFonts w:ascii="宋体" w:hAnsi="宋体" w:cs="Times New Roman"/>
          <w:highlight w:val="none"/>
        </w:rPr>
        <w:t>小时提交书面延期要求。</w:t>
      </w:r>
    </w:p>
    <w:p w14:paraId="2AF494B0">
      <w:pPr>
        <w:spacing w:line="360" w:lineRule="auto"/>
        <w:ind w:left="4200" w:leftChars="200" w:hanging="3780" w:hangingChars="1800"/>
        <w:rPr>
          <w:rFonts w:ascii="宋体" w:hAnsi="宋体" w:cs="Times New Roman"/>
          <w:highlight w:val="none"/>
        </w:rPr>
      </w:pPr>
      <w:r>
        <w:rPr>
          <w:rFonts w:ascii="宋体" w:hAnsi="宋体" w:cs="Times New Roman"/>
          <w:highlight w:val="none"/>
        </w:rPr>
        <w:t>关于延期最长不得超过：</w:t>
      </w:r>
      <w:r>
        <w:rPr>
          <w:rFonts w:ascii="宋体" w:hAnsi="宋体" w:cs="Times New Roman"/>
          <w:highlight w:val="none"/>
          <w:u w:val="single"/>
        </w:rPr>
        <w:t>48</w:t>
      </w:r>
      <w:r>
        <w:rPr>
          <w:rFonts w:ascii="宋体" w:hAnsi="宋体" w:cs="Times New Roman"/>
          <w:highlight w:val="none"/>
        </w:rPr>
        <w:t>小时。</w:t>
      </w:r>
    </w:p>
    <w:p w14:paraId="487EF46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13.2 竣工验收</w:t>
      </w:r>
    </w:p>
    <w:p w14:paraId="2E55E003">
      <w:pPr>
        <w:spacing w:line="360" w:lineRule="auto"/>
        <w:ind w:left="4200" w:leftChars="200" w:hanging="3780" w:hangingChars="1800"/>
        <w:rPr>
          <w:rFonts w:ascii="宋体" w:hAnsi="宋体" w:cs="Times New Roman"/>
          <w:highlight w:val="none"/>
        </w:rPr>
      </w:pPr>
      <w:r>
        <w:rPr>
          <w:rFonts w:ascii="宋体" w:hAnsi="宋体" w:cs="Times New Roman"/>
          <w:highlight w:val="none"/>
        </w:rPr>
        <w:t>13.2.2竣工验收程序</w:t>
      </w:r>
    </w:p>
    <w:p w14:paraId="45306E9D">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ascii="宋体" w:hAnsi="宋体" w:cs="Times New Roman"/>
          <w:highlight w:val="none"/>
        </w:rPr>
        <w:t>关于竣工验收程序的约定：</w:t>
      </w:r>
      <w:r>
        <w:rPr>
          <w:rFonts w:hint="eastAsia" w:ascii="宋体" w:hAnsi="宋体" w:cs="Times New Roman"/>
          <w:highlight w:val="none"/>
          <w:u w:val="single"/>
        </w:rPr>
        <w:t>按通用条款执行。</w:t>
      </w:r>
    </w:p>
    <w:p w14:paraId="43675EB9">
      <w:pPr>
        <w:tabs>
          <w:tab w:val="left" w:pos="482"/>
          <w:tab w:val="left" w:pos="2183"/>
          <w:tab w:val="left" w:pos="3884"/>
          <w:tab w:val="left" w:pos="5585"/>
        </w:tabs>
        <w:spacing w:line="360" w:lineRule="auto"/>
        <w:ind w:firstLine="420" w:firstLineChars="200"/>
        <w:rPr>
          <w:rFonts w:ascii="宋体" w:hAnsi="宋体" w:cs="Times New Roman"/>
          <w:highlight w:val="none"/>
        </w:rPr>
      </w:pPr>
      <w:r>
        <w:rPr>
          <w:rFonts w:ascii="宋体" w:hAnsi="宋体" w:cs="Times New Roman"/>
          <w:kern w:val="0"/>
          <w:highlight w:val="none"/>
        </w:rPr>
        <w:t>发包人不按照本项约定组织竣工验收、颁发工程接收证书的违约金的计算方法：</w:t>
      </w:r>
      <w:r>
        <w:rPr>
          <w:rFonts w:hint="eastAsia" w:ascii="宋体" w:hAnsi="宋体" w:cs="Times New Roman"/>
          <w:highlight w:val="none"/>
          <w:u w:val="single"/>
        </w:rPr>
        <w:t>按通用条款执行</w:t>
      </w:r>
      <w:r>
        <w:rPr>
          <w:rFonts w:ascii="宋体" w:hAnsi="宋体" w:cs="Times New Roman"/>
          <w:highlight w:val="none"/>
        </w:rPr>
        <w:t>。</w:t>
      </w:r>
    </w:p>
    <w:p w14:paraId="3E621E91">
      <w:pPr>
        <w:spacing w:line="360" w:lineRule="auto"/>
        <w:ind w:firstLine="420" w:firstLineChars="200"/>
        <w:rPr>
          <w:rFonts w:ascii="宋体" w:hAnsi="宋体" w:cs="Times New Roman"/>
          <w:highlight w:val="none"/>
        </w:rPr>
      </w:pPr>
      <w:r>
        <w:rPr>
          <w:rFonts w:ascii="宋体" w:hAnsi="宋体" w:cs="Times New Roman"/>
          <w:highlight w:val="none"/>
        </w:rPr>
        <w:t>13.2.5移交、接收全部与部分工程</w:t>
      </w:r>
    </w:p>
    <w:p w14:paraId="0B2CA3CE">
      <w:pPr>
        <w:spacing w:line="360" w:lineRule="auto"/>
        <w:ind w:firstLine="420" w:firstLineChars="200"/>
        <w:rPr>
          <w:rFonts w:ascii="宋体" w:hAnsi="宋体" w:cs="Times New Roman"/>
          <w:kern w:val="0"/>
          <w:sz w:val="24"/>
          <w:highlight w:val="none"/>
        </w:rPr>
      </w:pPr>
      <w:r>
        <w:rPr>
          <w:rFonts w:hint="eastAsia" w:ascii="宋体" w:hAnsi="宋体" w:cs="Times New Roman"/>
          <w:highlight w:val="none"/>
        </w:rPr>
        <w:t>承包人向发包人移交工程的期限：</w:t>
      </w:r>
      <w:r>
        <w:rPr>
          <w:rFonts w:hint="eastAsia" w:ascii="宋体" w:hAnsi="宋体" w:cs="Times New Roman"/>
          <w:highlight w:val="none"/>
          <w:u w:val="single"/>
        </w:rPr>
        <w:t>按通用条款执行。</w:t>
      </w:r>
    </w:p>
    <w:p w14:paraId="1E50A198">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kern w:val="0"/>
          <w:highlight w:val="none"/>
        </w:rPr>
        <w:t>发包人未按本合同约定接收全部或部分工程的，违约金的计算方法为：</w:t>
      </w:r>
      <w:r>
        <w:rPr>
          <w:rFonts w:ascii="宋体" w:hAnsi="宋体" w:cs="Times New Roman"/>
          <w:highlight w:val="none"/>
          <w:u w:val="single"/>
        </w:rPr>
        <w:t xml:space="preserve"> </w:t>
      </w:r>
      <w:r>
        <w:rPr>
          <w:rFonts w:hint="eastAsia" w:ascii="宋体" w:hAnsi="宋体" w:cs="Times New Roman"/>
          <w:highlight w:val="none"/>
          <w:u w:val="single"/>
        </w:rPr>
        <w:t>/</w:t>
      </w:r>
      <w:r>
        <w:rPr>
          <w:rFonts w:ascii="宋体" w:hAnsi="宋体" w:cs="Times New Roman"/>
          <w:highlight w:val="none"/>
          <w:u w:val="single"/>
        </w:rPr>
        <w:t xml:space="preserve"> </w:t>
      </w:r>
      <w:r>
        <w:rPr>
          <w:rFonts w:ascii="宋体" w:hAnsi="宋体" w:cs="Times New Roman"/>
          <w:highlight w:val="none"/>
        </w:rPr>
        <w:t>。</w:t>
      </w:r>
    </w:p>
    <w:p w14:paraId="12652824">
      <w:pPr>
        <w:spacing w:line="360" w:lineRule="auto"/>
        <w:ind w:firstLine="420" w:firstLineChars="200"/>
        <w:rPr>
          <w:rFonts w:ascii="宋体" w:hAnsi="宋体" w:cs="Times New Roman"/>
          <w:highlight w:val="none"/>
          <w:u w:val="single"/>
        </w:rPr>
      </w:pPr>
      <w:r>
        <w:rPr>
          <w:rFonts w:ascii="宋体" w:hAnsi="宋体" w:cs="Times New Roman"/>
          <w:highlight w:val="none"/>
        </w:rPr>
        <w:t>承包人未按时移交工程的，违约金的计算方法为：</w:t>
      </w:r>
      <w:r>
        <w:rPr>
          <w:rFonts w:hint="eastAsia" w:ascii="宋体" w:hAnsi="宋体" w:cs="Times New Roman"/>
          <w:highlight w:val="none"/>
          <w:u w:val="single"/>
        </w:rPr>
        <w:t>所有</w:t>
      </w:r>
      <w:r>
        <w:rPr>
          <w:rFonts w:ascii="宋体" w:hAnsi="宋体" w:cs="Times New Roman"/>
          <w:kern w:val="0"/>
          <w:highlight w:val="none"/>
          <w:u w:val="single"/>
        </w:rPr>
        <w:t>工程</w:t>
      </w:r>
      <w:r>
        <w:rPr>
          <w:rFonts w:hint="eastAsia" w:ascii="宋体" w:hAnsi="宋体" w:cs="Times New Roman"/>
          <w:kern w:val="0"/>
          <w:highlight w:val="none"/>
          <w:u w:val="single"/>
        </w:rPr>
        <w:t>经发包人、监理（如有）等部门的检验验收合格</w:t>
      </w:r>
      <w:r>
        <w:rPr>
          <w:rFonts w:ascii="宋体" w:hAnsi="宋体" w:cs="Times New Roman"/>
          <w:kern w:val="0"/>
          <w:highlight w:val="none"/>
          <w:u w:val="single"/>
        </w:rPr>
        <w:t>后 3日内，承包人须向发包人移交全部工程，逾期移交的，每逾期一日，按人民币3</w:t>
      </w:r>
      <w:r>
        <w:rPr>
          <w:rFonts w:hint="eastAsia" w:ascii="宋体" w:hAnsi="宋体" w:cs="Times New Roman"/>
          <w:kern w:val="0"/>
          <w:highlight w:val="none"/>
          <w:u w:val="single"/>
        </w:rPr>
        <w:t>000</w:t>
      </w:r>
      <w:r>
        <w:rPr>
          <w:rFonts w:ascii="宋体" w:hAnsi="宋体" w:cs="Times New Roman"/>
          <w:kern w:val="0"/>
          <w:highlight w:val="none"/>
          <w:u w:val="single"/>
        </w:rPr>
        <w:t>元</w:t>
      </w:r>
      <w:r>
        <w:rPr>
          <w:rFonts w:hint="eastAsia" w:ascii="宋体" w:hAnsi="宋体" w:cs="Times New Roman"/>
          <w:kern w:val="0"/>
          <w:highlight w:val="none"/>
          <w:u w:val="single"/>
        </w:rPr>
        <w:t>/天</w:t>
      </w:r>
      <w:r>
        <w:rPr>
          <w:rFonts w:ascii="宋体" w:hAnsi="宋体" w:cs="Times New Roman"/>
          <w:kern w:val="0"/>
          <w:highlight w:val="none"/>
          <w:u w:val="single"/>
        </w:rPr>
        <w:t>向发包人支付违约金，因逾期交付工程给发包人造成经济损失的，赔偿损失。同时，承包人移交所有工程之前，发包人有权拒绝结算、支付工程款</w:t>
      </w:r>
      <w:r>
        <w:rPr>
          <w:rFonts w:hint="eastAsia" w:ascii="宋体" w:hAnsi="宋体" w:cs="宋体"/>
          <w:szCs w:val="21"/>
          <w:highlight w:val="none"/>
        </w:rPr>
        <w:t>。</w:t>
      </w:r>
    </w:p>
    <w:p w14:paraId="3449272D">
      <w:pPr>
        <w:spacing w:line="360" w:lineRule="auto"/>
        <w:ind w:firstLine="480" w:firstLineChars="200"/>
        <w:rPr>
          <w:rFonts w:ascii="宋体" w:hAnsi="宋体" w:cs="Times New Roman"/>
          <w:sz w:val="24"/>
          <w:highlight w:val="none"/>
        </w:rPr>
      </w:pPr>
      <w:r>
        <w:rPr>
          <w:rFonts w:ascii="宋体" w:hAnsi="宋体" w:cs="Times New Roman"/>
          <w:sz w:val="24"/>
          <w:highlight w:val="none"/>
        </w:rPr>
        <w:t>13.3 工程试车</w:t>
      </w:r>
    </w:p>
    <w:p w14:paraId="68F2187B">
      <w:pPr>
        <w:spacing w:line="360" w:lineRule="auto"/>
        <w:ind w:firstLine="420" w:firstLineChars="200"/>
        <w:rPr>
          <w:rFonts w:ascii="宋体" w:hAnsi="宋体" w:cs="Times New Roman"/>
          <w:highlight w:val="none"/>
        </w:rPr>
      </w:pPr>
      <w:r>
        <w:rPr>
          <w:rFonts w:ascii="宋体" w:hAnsi="宋体" w:cs="Times New Roman"/>
          <w:highlight w:val="none"/>
        </w:rPr>
        <w:t>13.3.1 试车程序</w:t>
      </w:r>
    </w:p>
    <w:p w14:paraId="7E636F21">
      <w:pPr>
        <w:spacing w:line="360" w:lineRule="auto"/>
        <w:ind w:firstLine="525" w:firstLineChars="250"/>
        <w:rPr>
          <w:rFonts w:ascii="宋体" w:hAnsi="宋体" w:cs="Times New Roman"/>
          <w:highlight w:val="none"/>
          <w:u w:val="single"/>
        </w:rPr>
      </w:pPr>
      <w:r>
        <w:rPr>
          <w:rFonts w:ascii="宋体" w:hAnsi="宋体" w:cs="Times New Roman"/>
          <w:highlight w:val="none"/>
        </w:rPr>
        <w:t>工程试车内容：</w:t>
      </w:r>
      <w:bookmarkStart w:id="135" w:name="_Hlk78552738"/>
      <w:r>
        <w:rPr>
          <w:rFonts w:hint="eastAsia" w:ascii="宋体" w:hAnsi="宋体" w:cs="Times New Roman"/>
          <w:highlight w:val="none"/>
          <w:u w:val="single"/>
        </w:rPr>
        <w:t>试车内容应于承包人承包范围相一致，试车费用由承包人承担。</w:t>
      </w:r>
      <w:bookmarkEnd w:id="135"/>
    </w:p>
    <w:p w14:paraId="517F0A77">
      <w:pPr>
        <w:spacing w:line="360" w:lineRule="auto"/>
        <w:ind w:firstLine="420" w:firstLineChars="200"/>
        <w:rPr>
          <w:rFonts w:ascii="宋体" w:hAnsi="宋体" w:cs="Times New Roman"/>
          <w:highlight w:val="none"/>
        </w:rPr>
      </w:pPr>
      <w:r>
        <w:rPr>
          <w:rFonts w:ascii="宋体" w:hAnsi="宋体" w:cs="Times New Roman"/>
          <w:highlight w:val="none"/>
        </w:rPr>
        <w:t>（1）单机无负荷试车费用由</w:t>
      </w:r>
      <w:r>
        <w:rPr>
          <w:rFonts w:hint="eastAsia" w:ascii="宋体" w:hAnsi="宋体" w:cs="Times New Roman"/>
          <w:highlight w:val="none"/>
          <w:u w:val="single"/>
        </w:rPr>
        <w:t xml:space="preserve">承包人 </w:t>
      </w:r>
      <w:r>
        <w:rPr>
          <w:rFonts w:ascii="宋体" w:hAnsi="宋体" w:cs="Times New Roman"/>
          <w:highlight w:val="none"/>
        </w:rPr>
        <w:t>承担；</w:t>
      </w:r>
    </w:p>
    <w:p w14:paraId="19D15353">
      <w:pPr>
        <w:spacing w:line="360" w:lineRule="auto"/>
        <w:ind w:firstLine="420" w:firstLineChars="200"/>
        <w:rPr>
          <w:rFonts w:ascii="宋体" w:hAnsi="宋体" w:cs="Times New Roman"/>
          <w:highlight w:val="none"/>
        </w:rPr>
      </w:pPr>
      <w:r>
        <w:rPr>
          <w:rFonts w:ascii="宋体" w:hAnsi="宋体" w:cs="Times New Roman"/>
          <w:highlight w:val="none"/>
        </w:rPr>
        <w:t>（2）无负荷联动试车费用由</w:t>
      </w:r>
      <w:r>
        <w:rPr>
          <w:rFonts w:hint="eastAsia" w:ascii="宋体" w:hAnsi="宋体" w:cs="Times New Roman"/>
          <w:highlight w:val="none"/>
          <w:u w:val="single"/>
        </w:rPr>
        <w:t>承包人</w:t>
      </w:r>
      <w:r>
        <w:rPr>
          <w:rFonts w:ascii="宋体" w:hAnsi="宋体" w:cs="Times New Roman"/>
          <w:highlight w:val="none"/>
          <w:u w:val="single"/>
        </w:rPr>
        <w:t xml:space="preserve"> </w:t>
      </w:r>
      <w:r>
        <w:rPr>
          <w:rFonts w:ascii="宋体" w:hAnsi="宋体" w:cs="Times New Roman"/>
          <w:highlight w:val="none"/>
        </w:rPr>
        <w:t>承担。</w:t>
      </w:r>
    </w:p>
    <w:p w14:paraId="5A0461EA">
      <w:pPr>
        <w:spacing w:line="360" w:lineRule="auto"/>
        <w:ind w:firstLine="525" w:firstLineChars="250"/>
        <w:rPr>
          <w:rFonts w:ascii="宋体" w:hAnsi="宋体" w:cs="Times New Roman"/>
          <w:highlight w:val="none"/>
        </w:rPr>
      </w:pPr>
      <w:r>
        <w:rPr>
          <w:rFonts w:ascii="宋体" w:hAnsi="宋体" w:cs="Times New Roman"/>
          <w:highlight w:val="none"/>
        </w:rPr>
        <w:t>13.3.3 投料试车</w:t>
      </w:r>
    </w:p>
    <w:p w14:paraId="545D8AE1">
      <w:pPr>
        <w:spacing w:line="360" w:lineRule="auto"/>
        <w:ind w:firstLine="420" w:firstLineChars="200"/>
        <w:rPr>
          <w:rFonts w:ascii="宋体" w:hAnsi="宋体" w:cs="Times New Roman"/>
          <w:kern w:val="0"/>
          <w:sz w:val="24"/>
          <w:highlight w:val="none"/>
        </w:rPr>
      </w:pPr>
      <w:r>
        <w:rPr>
          <w:rFonts w:hint="eastAsia" w:ascii="宋体" w:hAnsi="宋体" w:cs="Times New Roman"/>
          <w:highlight w:val="none"/>
        </w:rPr>
        <w:t>关于投料试车相关事项的约定：</w:t>
      </w:r>
      <w:r>
        <w:rPr>
          <w:rFonts w:hint="eastAsia" w:ascii="宋体" w:hAnsi="宋体" w:cs="Times New Roman"/>
          <w:highlight w:val="none"/>
          <w:u w:val="single"/>
        </w:rPr>
        <w:t>按通用条款执行。</w:t>
      </w:r>
    </w:p>
    <w:p w14:paraId="38C6236A">
      <w:pPr>
        <w:spacing w:line="360" w:lineRule="auto"/>
        <w:ind w:firstLine="480" w:firstLineChars="200"/>
        <w:rPr>
          <w:rFonts w:ascii="宋体" w:hAnsi="宋体" w:cs="Times New Roman"/>
          <w:sz w:val="24"/>
          <w:highlight w:val="none"/>
        </w:rPr>
      </w:pPr>
      <w:r>
        <w:rPr>
          <w:rFonts w:ascii="宋体" w:hAnsi="宋体" w:cs="Times New Roman"/>
          <w:sz w:val="24"/>
          <w:highlight w:val="none"/>
        </w:rPr>
        <w:t>13.6 竣工退场</w:t>
      </w:r>
    </w:p>
    <w:p w14:paraId="3638EC45">
      <w:pPr>
        <w:spacing w:line="360" w:lineRule="auto"/>
        <w:ind w:firstLine="420" w:firstLineChars="200"/>
        <w:rPr>
          <w:rFonts w:ascii="宋体" w:hAnsi="宋体" w:cs="Times New Roman"/>
          <w:highlight w:val="none"/>
        </w:rPr>
      </w:pPr>
      <w:r>
        <w:rPr>
          <w:rFonts w:ascii="宋体" w:hAnsi="宋体" w:cs="Times New Roman"/>
          <w:highlight w:val="none"/>
        </w:rPr>
        <w:t>13.6.1 竣工退场</w:t>
      </w:r>
    </w:p>
    <w:p w14:paraId="5BAB3ACD">
      <w:pPr>
        <w:spacing w:line="360" w:lineRule="auto"/>
        <w:ind w:firstLine="420" w:firstLineChars="200"/>
        <w:rPr>
          <w:rFonts w:ascii="宋体" w:hAnsi="宋体" w:cs="Times New Roman"/>
          <w:kern w:val="0"/>
          <w:sz w:val="24"/>
          <w:highlight w:val="none"/>
        </w:rPr>
      </w:pPr>
      <w:r>
        <w:rPr>
          <w:rFonts w:ascii="宋体" w:hAnsi="宋体" w:cs="Times New Roman"/>
          <w:highlight w:val="none"/>
        </w:rPr>
        <w:t>承包人完成竣工退场的期限：</w:t>
      </w:r>
      <w:r>
        <w:rPr>
          <w:rFonts w:ascii="宋体" w:hAnsi="宋体" w:cs="Times New Roman"/>
          <w:highlight w:val="none"/>
          <w:u w:val="single"/>
        </w:rPr>
        <w:t>颁发工程接收证书后</w:t>
      </w:r>
      <w:r>
        <w:rPr>
          <w:rFonts w:hint="eastAsia" w:ascii="宋体" w:hAnsi="宋体" w:cs="Times New Roman"/>
          <w:highlight w:val="none"/>
          <w:u w:val="single"/>
        </w:rPr>
        <w:t>7天</w:t>
      </w:r>
      <w:r>
        <w:rPr>
          <w:rFonts w:ascii="宋体" w:hAnsi="宋体" w:cs="Times New Roman"/>
          <w:kern w:val="0"/>
          <w:sz w:val="24"/>
          <w:highlight w:val="none"/>
        </w:rPr>
        <w:t>。</w:t>
      </w:r>
    </w:p>
    <w:p w14:paraId="04883E07">
      <w:pPr>
        <w:topLinePunct/>
        <w:spacing w:line="360" w:lineRule="auto"/>
        <w:ind w:firstLine="420"/>
        <w:rPr>
          <w:rFonts w:ascii="宋体" w:hAnsi="宋体" w:cs="Times New Roman"/>
          <w:b/>
          <w:sz w:val="24"/>
          <w:highlight w:val="none"/>
        </w:rPr>
      </w:pPr>
      <w:r>
        <w:rPr>
          <w:rFonts w:ascii="宋体" w:hAnsi="宋体" w:cs="Times New Roman"/>
          <w:b/>
          <w:sz w:val="24"/>
          <w:highlight w:val="none"/>
        </w:rPr>
        <w:t>14. 竣工结算</w:t>
      </w:r>
    </w:p>
    <w:p w14:paraId="1DFF3CC2">
      <w:pPr>
        <w:spacing w:line="360" w:lineRule="auto"/>
        <w:ind w:firstLine="420" w:firstLineChars="200"/>
        <w:rPr>
          <w:rFonts w:ascii="宋体" w:hAnsi="宋体" w:cs="Times New Roman"/>
          <w:szCs w:val="21"/>
          <w:highlight w:val="none"/>
        </w:rPr>
      </w:pPr>
      <w:r>
        <w:rPr>
          <w:rFonts w:ascii="宋体" w:hAnsi="宋体" w:cs="Times New Roman"/>
          <w:szCs w:val="21"/>
          <w:highlight w:val="none"/>
        </w:rPr>
        <w:t>14.1 竣工付款申请</w:t>
      </w:r>
    </w:p>
    <w:p w14:paraId="30D1530C">
      <w:pPr>
        <w:autoSpaceDE w:val="0"/>
        <w:autoSpaceDN w:val="0"/>
        <w:adjustRightInd w:val="0"/>
        <w:spacing w:line="360" w:lineRule="auto"/>
        <w:ind w:firstLine="420" w:firstLineChars="200"/>
        <w:rPr>
          <w:rFonts w:ascii="宋体" w:hAnsi="宋体" w:cs="Times New Roman"/>
          <w:highlight w:val="none"/>
          <w:u w:val="single"/>
        </w:rPr>
      </w:pPr>
      <w:r>
        <w:rPr>
          <w:rFonts w:ascii="宋体" w:hAnsi="宋体" w:cs="Times New Roman"/>
          <w:highlight w:val="none"/>
        </w:rPr>
        <w:t>承包人提交竣工付款申请单的期限：</w:t>
      </w:r>
      <w:r>
        <w:rPr>
          <w:rFonts w:hint="eastAsia" w:ascii="宋体" w:hAnsi="宋体" w:cs="Times New Roman"/>
          <w:highlight w:val="none"/>
          <w:u w:val="single"/>
        </w:rPr>
        <w:t>按通用条款执行。</w:t>
      </w:r>
    </w:p>
    <w:p w14:paraId="16ADD0B4">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rPr>
        <w:t>竣工付款申请单应包括的内容：</w:t>
      </w:r>
      <w:r>
        <w:rPr>
          <w:rFonts w:hint="eastAsia" w:ascii="宋体" w:hAnsi="宋体" w:eastAsia="宋体" w:cs="Times New Roman"/>
          <w:w w:val="100"/>
          <w:sz w:val="21"/>
          <w:szCs w:val="24"/>
          <w:highlight w:val="none"/>
          <w:u w:val="single"/>
        </w:rPr>
        <w:t>（1）竣工结算合同价格；（2）发包人已支付承包人的款项；（3）已缴纳质量保证金的或提供其他工程质量担保方式的除外；（4）发包人应支付承包人的合同价款</w:t>
      </w:r>
      <w:r>
        <w:rPr>
          <w:rFonts w:ascii="宋体" w:hAnsi="宋体" w:cs="Times New Roman"/>
          <w:highlight w:val="none"/>
        </w:rPr>
        <w:t>。</w:t>
      </w:r>
    </w:p>
    <w:p w14:paraId="175A38FC">
      <w:pPr>
        <w:spacing w:line="360" w:lineRule="auto"/>
        <w:ind w:firstLine="420" w:firstLineChars="200"/>
        <w:rPr>
          <w:rFonts w:ascii="宋体" w:hAnsi="宋体" w:cs="Times New Roman"/>
          <w:szCs w:val="21"/>
          <w:highlight w:val="none"/>
        </w:rPr>
      </w:pPr>
      <w:r>
        <w:rPr>
          <w:rFonts w:ascii="宋体" w:hAnsi="宋体" w:cs="Times New Roman"/>
          <w:szCs w:val="21"/>
          <w:highlight w:val="none"/>
        </w:rPr>
        <w:t>14.2 竣工结算审核</w:t>
      </w:r>
    </w:p>
    <w:p w14:paraId="64BC4288">
      <w:pPr>
        <w:autoSpaceDE w:val="0"/>
        <w:autoSpaceDN w:val="0"/>
        <w:adjustRightInd w:val="0"/>
        <w:spacing w:line="360" w:lineRule="auto"/>
        <w:ind w:firstLine="420" w:firstLineChars="200"/>
        <w:rPr>
          <w:rFonts w:ascii="宋体" w:hAnsi="宋体" w:cs="Times New Roman"/>
          <w:kern w:val="0"/>
          <w:highlight w:val="none"/>
        </w:rPr>
      </w:pPr>
      <w:r>
        <w:rPr>
          <w:rFonts w:hint="eastAsia" w:ascii="宋体" w:hAnsi="宋体" w:cs="Times New Roman"/>
          <w:szCs w:val="21"/>
          <w:highlight w:val="none"/>
        </w:rPr>
        <w:t>发包人对竣工结算审核（审计）期限</w:t>
      </w:r>
      <w:r>
        <w:rPr>
          <w:rFonts w:ascii="宋体" w:hAnsi="宋体" w:cs="Times New Roman"/>
          <w:szCs w:val="21"/>
          <w:highlight w:val="none"/>
        </w:rPr>
        <w:t>：</w:t>
      </w:r>
      <w:r>
        <w:rPr>
          <w:rFonts w:hint="eastAsia" w:ascii="宋体" w:hAnsi="宋体" w:cs="Times New Roman"/>
          <w:highlight w:val="none"/>
          <w:u w:val="single"/>
        </w:rPr>
        <w:t>以发包人委托的第三方实际完成的审核（审计）时间为准，不执行通用条款的约定。承包人应积极配合、协助发包人委托的第三方的审核（审计）工作，否则由承包人承担相应责任。</w:t>
      </w:r>
    </w:p>
    <w:p w14:paraId="11381A22">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szCs w:val="21"/>
          <w:highlight w:val="none"/>
        </w:rPr>
        <w:t>发包人完成竣工付款的期限：</w:t>
      </w:r>
      <w:r>
        <w:rPr>
          <w:rFonts w:hint="eastAsia" w:ascii="宋体" w:hAnsi="宋体" w:cs="Times New Roman"/>
          <w:highlight w:val="none"/>
          <w:u w:val="single"/>
        </w:rPr>
        <w:t>不执行通用条款，以发包人书面通知承包人开具收款发票后支付。</w:t>
      </w:r>
    </w:p>
    <w:p w14:paraId="191160A6">
      <w:pPr>
        <w:adjustRightInd w:val="0"/>
        <w:snapToGrid w:val="0"/>
        <w:spacing w:line="360" w:lineRule="auto"/>
        <w:ind w:firstLine="420" w:firstLineChars="200"/>
        <w:rPr>
          <w:rFonts w:ascii="宋体" w:hAnsi="宋体" w:cs="Times New Roman"/>
          <w:highlight w:val="none"/>
        </w:rPr>
      </w:pPr>
      <w:r>
        <w:rPr>
          <w:rFonts w:hint="eastAsia" w:ascii="宋体" w:hAnsi="宋体" w:cs="Times New Roman"/>
          <w:highlight w:val="none"/>
          <w:u w:val="single"/>
        </w:rPr>
        <w:t>其中工程价款审计后核减额超过送审造价</w:t>
      </w:r>
      <w:r>
        <w:rPr>
          <w:rFonts w:ascii="宋体" w:hAnsi="宋体" w:cs="Times New Roman"/>
          <w:highlight w:val="none"/>
          <w:u w:val="single"/>
        </w:rPr>
        <w:t>5%</w:t>
      </w:r>
      <w:r>
        <w:rPr>
          <w:rFonts w:hint="eastAsia" w:ascii="宋体" w:hAnsi="宋体" w:cs="Times New Roman"/>
          <w:highlight w:val="none"/>
          <w:u w:val="single"/>
        </w:rPr>
        <w:t>幅度以外的审查费用及核增部分审查费用由</w:t>
      </w:r>
      <w:bookmarkStart w:id="136" w:name="_Hlk62560116"/>
      <w:r>
        <w:rPr>
          <w:rFonts w:hint="eastAsia" w:ascii="宋体" w:hAnsi="宋体" w:cs="Times New Roman"/>
          <w:highlight w:val="none"/>
          <w:u w:val="single"/>
        </w:rPr>
        <w:t>承包人承担，承包人直接支付费用给项目结算审核单位，工程尾款支付时承包人必须同时提供结算审核费已付凭据</w:t>
      </w:r>
      <w:bookmarkEnd w:id="136"/>
      <w:r>
        <w:rPr>
          <w:rFonts w:hint="eastAsia" w:ascii="宋体" w:hAnsi="宋体" w:cs="Times New Roman"/>
          <w:highlight w:val="none"/>
          <w:u w:val="single"/>
        </w:rPr>
        <w:t>。</w:t>
      </w:r>
    </w:p>
    <w:p w14:paraId="0CDF25D1">
      <w:pPr>
        <w:spacing w:line="360" w:lineRule="auto"/>
        <w:ind w:firstLine="420" w:firstLineChars="200"/>
        <w:rPr>
          <w:rFonts w:ascii="宋体" w:hAnsi="宋体" w:cs="Times New Roman"/>
          <w:sz w:val="24"/>
          <w:highlight w:val="none"/>
        </w:rPr>
      </w:pPr>
      <w:r>
        <w:rPr>
          <w:rFonts w:hint="eastAsia" w:ascii="宋体" w:hAnsi="宋体" w:cs="Times New Roman"/>
          <w:highlight w:val="none"/>
        </w:rPr>
        <w:t>关于竣工付款证书异议部分复核的方式和程序：</w:t>
      </w:r>
      <w:r>
        <w:rPr>
          <w:rFonts w:ascii="宋体" w:hAnsi="宋体" w:cs="Times New Roman"/>
          <w:highlight w:val="none"/>
          <w:u w:val="single"/>
        </w:rPr>
        <w:t>按通用条款执行</w:t>
      </w:r>
      <w:r>
        <w:rPr>
          <w:rFonts w:hint="eastAsia" w:ascii="宋体" w:hAnsi="宋体" w:cs="Times New Roman"/>
          <w:highlight w:val="none"/>
          <w:u w:val="single"/>
        </w:rPr>
        <w:t>。</w:t>
      </w:r>
    </w:p>
    <w:p w14:paraId="5A39A769">
      <w:pPr>
        <w:spacing w:line="360" w:lineRule="auto"/>
        <w:ind w:firstLine="480" w:firstLineChars="200"/>
        <w:rPr>
          <w:rFonts w:ascii="宋体" w:hAnsi="宋体" w:cs="Times New Roman"/>
          <w:sz w:val="24"/>
          <w:highlight w:val="none"/>
        </w:rPr>
      </w:pPr>
      <w:r>
        <w:rPr>
          <w:rFonts w:ascii="宋体" w:hAnsi="宋体" w:cs="Times New Roman"/>
          <w:sz w:val="24"/>
          <w:highlight w:val="none"/>
        </w:rPr>
        <w:t>14.4 最终结清</w:t>
      </w:r>
    </w:p>
    <w:p w14:paraId="1E54CA58">
      <w:pPr>
        <w:spacing w:line="360" w:lineRule="auto"/>
        <w:ind w:firstLine="420" w:firstLineChars="200"/>
        <w:rPr>
          <w:rFonts w:ascii="宋体" w:hAnsi="宋体" w:cs="Times New Roman"/>
          <w:highlight w:val="none"/>
        </w:rPr>
      </w:pPr>
      <w:r>
        <w:rPr>
          <w:rFonts w:ascii="宋体" w:hAnsi="宋体" w:cs="Times New Roman"/>
          <w:highlight w:val="none"/>
        </w:rPr>
        <w:t>14.4.1 最终结清申请单</w:t>
      </w:r>
    </w:p>
    <w:p w14:paraId="3977D1B1">
      <w:pPr>
        <w:spacing w:line="360" w:lineRule="auto"/>
        <w:ind w:firstLine="420" w:firstLineChars="200"/>
        <w:rPr>
          <w:rFonts w:ascii="宋体" w:hAnsi="宋体" w:cs="Times New Roman"/>
          <w:kern w:val="0"/>
          <w:sz w:val="24"/>
          <w:highlight w:val="none"/>
        </w:rPr>
      </w:pPr>
      <w:r>
        <w:rPr>
          <w:rFonts w:ascii="宋体" w:hAnsi="宋体" w:cs="Times New Roman"/>
          <w:highlight w:val="none"/>
        </w:rPr>
        <w:t>承包人提交最终结清申请单的份数：</w:t>
      </w:r>
      <w:r>
        <w:rPr>
          <w:rFonts w:hint="eastAsia" w:ascii="宋体" w:hAnsi="宋体" w:cs="Times New Roman"/>
          <w:szCs w:val="21"/>
          <w:highlight w:val="none"/>
          <w:u w:val="single"/>
        </w:rPr>
        <w:t xml:space="preserve"> </w:t>
      </w:r>
      <w:r>
        <w:rPr>
          <w:rFonts w:ascii="宋体" w:hAnsi="宋体" w:cs="Times New Roman"/>
          <w:szCs w:val="21"/>
          <w:highlight w:val="none"/>
          <w:u w:val="single"/>
        </w:rPr>
        <w:t>6</w:t>
      </w:r>
      <w:r>
        <w:rPr>
          <w:rFonts w:hint="eastAsia" w:ascii="宋体" w:hAnsi="宋体" w:cs="Times New Roman"/>
          <w:szCs w:val="21"/>
          <w:highlight w:val="none"/>
          <w:u w:val="single"/>
        </w:rPr>
        <w:t>份</w:t>
      </w:r>
      <w:r>
        <w:rPr>
          <w:rFonts w:ascii="宋体" w:hAnsi="宋体" w:cs="Times New Roman"/>
          <w:highlight w:val="none"/>
          <w:u w:val="single"/>
        </w:rPr>
        <w:t>。</w:t>
      </w:r>
    </w:p>
    <w:p w14:paraId="35BB73DD">
      <w:pPr>
        <w:spacing w:line="360" w:lineRule="auto"/>
        <w:ind w:firstLine="420" w:firstLineChars="200"/>
        <w:rPr>
          <w:rFonts w:ascii="宋体" w:hAnsi="宋体" w:cs="Times New Roman"/>
          <w:sz w:val="24"/>
          <w:highlight w:val="none"/>
        </w:rPr>
      </w:pPr>
      <w:r>
        <w:rPr>
          <w:rFonts w:ascii="宋体" w:hAnsi="宋体" w:cs="Times New Roman"/>
          <w:highlight w:val="none"/>
        </w:rPr>
        <w:t>承包人提交最终结算申请单的期限：</w:t>
      </w:r>
      <w:r>
        <w:rPr>
          <w:rFonts w:ascii="宋体" w:hAnsi="宋体" w:cs="Times New Roman"/>
          <w:highlight w:val="none"/>
          <w:u w:val="single"/>
        </w:rPr>
        <w:t>按通用条款执行</w:t>
      </w:r>
      <w:r>
        <w:rPr>
          <w:rFonts w:ascii="宋体" w:hAnsi="宋体" w:cs="Times New Roman"/>
          <w:sz w:val="24"/>
          <w:highlight w:val="none"/>
        </w:rPr>
        <w:t xml:space="preserve">。 </w:t>
      </w:r>
    </w:p>
    <w:p w14:paraId="7569D642">
      <w:pPr>
        <w:spacing w:line="360" w:lineRule="auto"/>
        <w:ind w:firstLine="420" w:firstLineChars="200"/>
        <w:rPr>
          <w:rFonts w:ascii="宋体" w:hAnsi="宋体" w:cs="Times New Roman"/>
          <w:highlight w:val="none"/>
        </w:rPr>
      </w:pPr>
      <w:r>
        <w:rPr>
          <w:rFonts w:ascii="宋体" w:hAnsi="宋体" w:cs="Times New Roman"/>
          <w:highlight w:val="none"/>
        </w:rPr>
        <w:t>14.4.2 最终结清证书和支付</w:t>
      </w:r>
    </w:p>
    <w:p w14:paraId="55D9DF43">
      <w:pPr>
        <w:spacing w:line="360" w:lineRule="auto"/>
        <w:ind w:firstLine="420" w:firstLineChars="200"/>
        <w:rPr>
          <w:rFonts w:ascii="宋体" w:hAnsi="宋体" w:cs="Times New Roman"/>
          <w:highlight w:val="none"/>
          <w:u w:val="single"/>
        </w:rPr>
      </w:pPr>
      <w:r>
        <w:rPr>
          <w:rFonts w:ascii="宋体" w:hAnsi="宋体" w:cs="Times New Roman"/>
          <w:highlight w:val="none"/>
        </w:rPr>
        <w:t>（1）发包人完成最终结清申请单的</w:t>
      </w:r>
      <w:r>
        <w:rPr>
          <w:rFonts w:hint="eastAsia" w:ascii="宋体" w:hAnsi="宋体" w:cs="Times New Roman"/>
          <w:highlight w:val="none"/>
        </w:rPr>
        <w:t>审批</w:t>
      </w:r>
      <w:r>
        <w:rPr>
          <w:rFonts w:ascii="宋体" w:hAnsi="宋体" w:cs="Times New Roman"/>
          <w:highlight w:val="none"/>
        </w:rPr>
        <w:t>并颁发最终结清证书的期限：</w:t>
      </w:r>
      <w:r>
        <w:rPr>
          <w:rFonts w:hint="eastAsia" w:ascii="宋体" w:hAnsi="宋体" w:cs="Times New Roman"/>
          <w:highlight w:val="none"/>
          <w:u w:val="single"/>
        </w:rPr>
        <w:t>不执行通用条款，以收到承包人完整的最终结算申请资料后，发包人完成内部审计及委托的第三方审计后</w:t>
      </w:r>
      <w:r>
        <w:rPr>
          <w:rFonts w:ascii="宋体" w:hAnsi="宋体" w:cs="Times New Roman"/>
          <w:highlight w:val="none"/>
          <w:u w:val="single"/>
        </w:rPr>
        <w:t>。</w:t>
      </w:r>
    </w:p>
    <w:p w14:paraId="6393BBF4">
      <w:pPr>
        <w:spacing w:line="360" w:lineRule="auto"/>
        <w:ind w:firstLine="420" w:firstLineChars="200"/>
        <w:rPr>
          <w:rFonts w:ascii="宋体" w:hAnsi="宋体" w:cs="Times New Roman"/>
          <w:highlight w:val="none"/>
          <w:u w:val="single"/>
        </w:rPr>
      </w:pPr>
      <w:r>
        <w:rPr>
          <w:rFonts w:ascii="宋体" w:hAnsi="宋体" w:cs="Times New Roman"/>
          <w:highlight w:val="none"/>
        </w:rPr>
        <w:t>（2）发包人完成支付的期限：</w:t>
      </w:r>
      <w:r>
        <w:rPr>
          <w:rFonts w:ascii="宋体" w:hAnsi="宋体" w:cs="Times New Roman"/>
          <w:sz w:val="24"/>
          <w:highlight w:val="none"/>
          <w:u w:val="single"/>
        </w:rPr>
        <w:t xml:space="preserve"> </w:t>
      </w:r>
      <w:r>
        <w:rPr>
          <w:rFonts w:hint="eastAsia" w:ascii="宋体" w:hAnsi="宋体" w:cs="Times New Roman"/>
          <w:highlight w:val="none"/>
          <w:u w:val="single"/>
        </w:rPr>
        <w:t>不执行通用条款，以发包人书面通知承包人开具并交付正规收款发票后25个工作日内支付</w:t>
      </w:r>
      <w:r>
        <w:rPr>
          <w:rFonts w:ascii="宋体" w:hAnsi="宋体" w:cs="Times New Roman"/>
          <w:highlight w:val="none"/>
          <w:u w:val="single"/>
        </w:rPr>
        <w:t>。</w:t>
      </w:r>
    </w:p>
    <w:p w14:paraId="0A8CFCC6">
      <w:pPr>
        <w:topLinePunct/>
        <w:spacing w:line="360" w:lineRule="auto"/>
        <w:ind w:firstLine="420"/>
        <w:rPr>
          <w:rFonts w:ascii="宋体" w:hAnsi="宋体" w:cs="Times New Roman"/>
          <w:b/>
          <w:highlight w:val="none"/>
        </w:rPr>
      </w:pPr>
      <w:r>
        <w:rPr>
          <w:rFonts w:ascii="宋体" w:hAnsi="宋体" w:cs="Times New Roman"/>
          <w:b/>
          <w:highlight w:val="none"/>
        </w:rPr>
        <w:t>15. 缺陷责任期与保修</w:t>
      </w:r>
    </w:p>
    <w:p w14:paraId="1EAEC81C">
      <w:pPr>
        <w:spacing w:line="360" w:lineRule="auto"/>
        <w:ind w:firstLine="480" w:firstLineChars="200"/>
        <w:rPr>
          <w:rFonts w:ascii="宋体" w:hAnsi="宋体" w:cs="Times New Roman"/>
          <w:sz w:val="24"/>
          <w:highlight w:val="none"/>
        </w:rPr>
      </w:pPr>
      <w:r>
        <w:rPr>
          <w:rFonts w:ascii="宋体" w:hAnsi="宋体" w:cs="Times New Roman"/>
          <w:sz w:val="24"/>
          <w:highlight w:val="none"/>
        </w:rPr>
        <w:t>15.2缺陷责任期</w:t>
      </w:r>
    </w:p>
    <w:p w14:paraId="6AB4DF63">
      <w:pPr>
        <w:spacing w:line="360" w:lineRule="auto"/>
        <w:ind w:firstLine="420" w:firstLineChars="200"/>
        <w:rPr>
          <w:rFonts w:ascii="宋体" w:hAnsi="宋体" w:cs="Times New Roman"/>
          <w:sz w:val="24"/>
          <w:highlight w:val="none"/>
        </w:rPr>
      </w:pPr>
      <w:r>
        <w:rPr>
          <w:rFonts w:ascii="宋体" w:hAnsi="宋体" w:cs="Times New Roman"/>
          <w:highlight w:val="none"/>
        </w:rPr>
        <w:t>缺陷责任期的具体期限：</w:t>
      </w:r>
      <w:r>
        <w:rPr>
          <w:rFonts w:hint="eastAsia" w:ascii="宋体" w:hAnsi="宋体" w:cs="Times New Roman"/>
          <w:highlight w:val="none"/>
          <w:u w:val="single"/>
        </w:rPr>
        <w:t>从工程通过发包人、监理（如有）等部门的验收并交付给发包人后的次日起计算，但该期限不低于</w:t>
      </w:r>
      <w:r>
        <w:rPr>
          <w:rFonts w:hint="eastAsia" w:ascii="宋体" w:hAnsi="宋体" w:cs="Times New Roman"/>
          <w:szCs w:val="21"/>
          <w:highlight w:val="none"/>
          <w:u w:val="single"/>
        </w:rPr>
        <w:t xml:space="preserve">   </w:t>
      </w:r>
      <w:r>
        <w:rPr>
          <w:rFonts w:hint="eastAsia" w:ascii="宋体" w:hAnsi="宋体" w:cs="Times New Roman"/>
          <w:highlight w:val="none"/>
          <w:u w:val="single"/>
        </w:rPr>
        <w:t>个月</w:t>
      </w:r>
      <w:r>
        <w:rPr>
          <w:rFonts w:ascii="宋体" w:hAnsi="宋体" w:cs="Times New Roman"/>
          <w:sz w:val="24"/>
          <w:highlight w:val="none"/>
        </w:rPr>
        <w:t>。</w:t>
      </w:r>
    </w:p>
    <w:p w14:paraId="5685F650">
      <w:pPr>
        <w:adjustRightInd w:val="0"/>
        <w:snapToGrid w:val="0"/>
        <w:spacing w:line="360" w:lineRule="auto"/>
        <w:ind w:firstLine="420" w:firstLineChars="200"/>
        <w:rPr>
          <w:rFonts w:ascii="宋体" w:hAnsi="宋体" w:eastAsia="宋体" w:cs="Times New Roman"/>
          <w:w w:val="100"/>
          <w:sz w:val="21"/>
          <w:szCs w:val="24"/>
          <w:highlight w:val="none"/>
          <w:u w:val="single"/>
        </w:rPr>
      </w:pPr>
      <w:r>
        <w:rPr>
          <w:rFonts w:hint="eastAsia" w:ascii="宋体" w:hAnsi="宋体" w:eastAsia="宋体" w:cs="Times New Roman"/>
          <w:w w:val="100"/>
          <w:sz w:val="21"/>
          <w:szCs w:val="21"/>
          <w:highlight w:val="none"/>
        </w:rPr>
        <w:t>缺陷责任期内</w:t>
      </w:r>
      <w:r>
        <w:rPr>
          <w:rFonts w:ascii="宋体" w:hAnsi="宋体" w:eastAsia="宋体" w:cs="Times New Roman"/>
          <w:w w:val="100"/>
          <w:sz w:val="21"/>
          <w:szCs w:val="21"/>
          <w:highlight w:val="none"/>
        </w:rPr>
        <w:t>关于</w:t>
      </w:r>
      <w:r>
        <w:rPr>
          <w:rFonts w:hint="eastAsia" w:ascii="宋体" w:hAnsi="宋体" w:eastAsia="宋体" w:cs="Times New Roman"/>
          <w:w w:val="100"/>
          <w:sz w:val="21"/>
          <w:szCs w:val="21"/>
          <w:highlight w:val="none"/>
          <w:lang w:val="en-US" w:eastAsia="zh-CN"/>
        </w:rPr>
        <w:t>质量</w:t>
      </w:r>
      <w:r>
        <w:rPr>
          <w:rFonts w:hint="eastAsia" w:ascii="宋体" w:hAnsi="宋体" w:eastAsia="宋体" w:cs="Times New Roman"/>
          <w:w w:val="100"/>
          <w:sz w:val="21"/>
          <w:szCs w:val="21"/>
          <w:highlight w:val="none"/>
        </w:rPr>
        <w:t>保证金</w:t>
      </w:r>
      <w:r>
        <w:rPr>
          <w:rFonts w:ascii="宋体" w:hAnsi="宋体" w:eastAsia="宋体" w:cs="Times New Roman"/>
          <w:w w:val="100"/>
          <w:sz w:val="21"/>
          <w:szCs w:val="21"/>
          <w:highlight w:val="none"/>
        </w:rPr>
        <w:t>的补充约定：</w:t>
      </w:r>
    </w:p>
    <w:p w14:paraId="511026D6">
      <w:pPr>
        <w:adjustRightInd w:val="0"/>
        <w:snapToGrid w:val="0"/>
        <w:spacing w:line="360" w:lineRule="auto"/>
        <w:ind w:firstLine="420" w:firstLineChars="200"/>
        <w:rPr>
          <w:rFonts w:ascii="宋体" w:hAnsi="宋体" w:eastAsia="宋体" w:cs="Times New Roman"/>
          <w:w w:val="100"/>
          <w:kern w:val="0"/>
          <w:sz w:val="21"/>
          <w:szCs w:val="24"/>
          <w:highlight w:val="none"/>
          <w:u w:val="single"/>
        </w:rPr>
      </w:pPr>
      <w:r>
        <w:rPr>
          <w:rFonts w:ascii="宋体" w:hAnsi="宋体" w:eastAsia="宋体" w:cs="Times New Roman"/>
          <w:w w:val="100"/>
          <w:kern w:val="0"/>
          <w:sz w:val="21"/>
          <w:szCs w:val="24"/>
          <w:highlight w:val="none"/>
          <w:u w:val="single"/>
        </w:rPr>
        <w:t>（1）</w:t>
      </w:r>
      <w:r>
        <w:rPr>
          <w:rFonts w:hint="eastAsia" w:ascii="宋体" w:hAnsi="宋体" w:eastAsia="宋体" w:cs="Times New Roman"/>
          <w:w w:val="100"/>
          <w:kern w:val="0"/>
          <w:sz w:val="21"/>
          <w:szCs w:val="24"/>
          <w:highlight w:val="none"/>
          <w:u w:val="single"/>
        </w:rPr>
        <w:t>如在工程保修期内未发生按约定的须从质量保证金中代扣维修费及维修管理费情况的，则质量保证金在</w:t>
      </w:r>
      <w:r>
        <w:rPr>
          <w:rFonts w:hint="eastAsia" w:ascii="宋体" w:hAnsi="宋体" w:eastAsia="宋体" w:cs="Times New Roman"/>
          <w:w w:val="100"/>
          <w:sz w:val="21"/>
          <w:szCs w:val="24"/>
          <w:highlight w:val="none"/>
          <w:u w:val="single"/>
        </w:rPr>
        <w:t>缺陷责任期满</w:t>
      </w:r>
      <w:r>
        <w:rPr>
          <w:rFonts w:hint="eastAsia" w:ascii="宋体" w:hAnsi="宋体" w:eastAsia="宋体" w:cs="Times New Roman"/>
          <w:w w:val="100"/>
          <w:kern w:val="0"/>
          <w:sz w:val="21"/>
          <w:szCs w:val="24"/>
          <w:highlight w:val="none"/>
          <w:u w:val="single"/>
        </w:rPr>
        <w:t>且无质量问题后，30个工作日内退还质量保证金（无息）给承包人。</w:t>
      </w:r>
    </w:p>
    <w:p w14:paraId="3ECE897A">
      <w:pPr>
        <w:adjustRightInd w:val="0"/>
        <w:snapToGrid w:val="0"/>
        <w:spacing w:line="360" w:lineRule="auto"/>
        <w:ind w:firstLine="420" w:firstLineChars="200"/>
        <w:rPr>
          <w:rFonts w:ascii="宋体" w:hAnsi="宋体" w:eastAsia="宋体" w:cs="Times New Roman"/>
          <w:w w:val="100"/>
          <w:kern w:val="0"/>
          <w:sz w:val="21"/>
          <w:szCs w:val="24"/>
          <w:highlight w:val="none"/>
          <w:u w:val="single"/>
        </w:rPr>
      </w:pPr>
      <w:r>
        <w:rPr>
          <w:rFonts w:ascii="宋体" w:hAnsi="宋体" w:eastAsia="宋体" w:cs="Times New Roman"/>
          <w:w w:val="100"/>
          <w:kern w:val="0"/>
          <w:sz w:val="21"/>
          <w:szCs w:val="24"/>
          <w:highlight w:val="none"/>
          <w:u w:val="single"/>
        </w:rPr>
        <w:t>（2）工程移交后，如发包人发现存在质量问题的，有权要求承包人及时维修，并赔偿给发包人带来的各种直接、间接经济损失。</w:t>
      </w:r>
      <w:r>
        <w:rPr>
          <w:rFonts w:hint="eastAsia" w:ascii="宋体" w:hAnsi="宋体" w:eastAsia="宋体" w:cs="Times New Roman"/>
          <w:w w:val="100"/>
          <w:kern w:val="0"/>
          <w:sz w:val="21"/>
          <w:szCs w:val="24"/>
          <w:highlight w:val="none"/>
          <w:u w:val="single"/>
        </w:rPr>
        <w:t>承包人7天内未维修的，发包人有权委托第三方维修。所有费用及损失由承包人承担，且发包人有权没收质量保证金。</w:t>
      </w:r>
    </w:p>
    <w:p w14:paraId="39934F32">
      <w:pPr>
        <w:adjustRightInd w:val="0"/>
        <w:snapToGrid w:val="0"/>
        <w:spacing w:line="360" w:lineRule="auto"/>
        <w:ind w:firstLine="420" w:firstLineChars="200"/>
        <w:rPr>
          <w:rFonts w:ascii="宋体" w:hAnsi="宋体" w:eastAsia="宋体" w:cs="Times New Roman"/>
          <w:w w:val="100"/>
          <w:kern w:val="0"/>
          <w:sz w:val="21"/>
          <w:szCs w:val="24"/>
          <w:highlight w:val="none"/>
          <w:u w:val="single"/>
        </w:rPr>
      </w:pPr>
      <w:r>
        <w:rPr>
          <w:rFonts w:ascii="宋体" w:hAnsi="宋体" w:eastAsia="宋体" w:cs="Times New Roman"/>
          <w:w w:val="100"/>
          <w:kern w:val="0"/>
          <w:sz w:val="21"/>
          <w:szCs w:val="24"/>
          <w:highlight w:val="none"/>
          <w:u w:val="single"/>
        </w:rPr>
        <w:t>（3）工程移交后，如发包人发现存在重大质量问题的，有权扣除承包人的全部</w:t>
      </w:r>
      <w:r>
        <w:rPr>
          <w:rFonts w:hint="eastAsia" w:ascii="宋体" w:hAnsi="宋体" w:eastAsia="宋体" w:cs="Times New Roman"/>
          <w:w w:val="100"/>
          <w:kern w:val="0"/>
          <w:sz w:val="21"/>
          <w:szCs w:val="24"/>
          <w:highlight w:val="none"/>
          <w:u w:val="single"/>
        </w:rPr>
        <w:t>质量保证金</w:t>
      </w:r>
      <w:r>
        <w:rPr>
          <w:rFonts w:ascii="宋体" w:hAnsi="宋体" w:eastAsia="宋体" w:cs="Times New Roman"/>
          <w:w w:val="100"/>
          <w:kern w:val="0"/>
          <w:sz w:val="21"/>
          <w:szCs w:val="24"/>
          <w:highlight w:val="none"/>
          <w:u w:val="single"/>
        </w:rPr>
        <w:t>，要求承包人及时维修，并赔偿给发包人带来的各种直接、间接经济损失。</w:t>
      </w:r>
    </w:p>
    <w:p w14:paraId="6427C2EC">
      <w:pPr>
        <w:adjustRightInd w:val="0"/>
        <w:snapToGrid w:val="0"/>
        <w:spacing w:line="360" w:lineRule="auto"/>
        <w:ind w:firstLine="420" w:firstLineChars="200"/>
        <w:rPr>
          <w:rFonts w:ascii="宋体" w:hAnsi="宋体" w:cs="Times New Roman"/>
          <w:szCs w:val="21"/>
          <w:highlight w:val="none"/>
        </w:rPr>
      </w:pPr>
      <w:r>
        <w:rPr>
          <w:rFonts w:ascii="宋体" w:hAnsi="宋体" w:eastAsia="宋体" w:cs="Times New Roman"/>
          <w:w w:val="100"/>
          <w:sz w:val="21"/>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ascii="宋体" w:hAnsi="宋体" w:cs="Times New Roman"/>
          <w:kern w:val="0"/>
          <w:highlight w:val="none"/>
        </w:rPr>
        <w:t>。</w:t>
      </w:r>
    </w:p>
    <w:p w14:paraId="3C9FE8A7">
      <w:pPr>
        <w:spacing w:line="360" w:lineRule="auto"/>
        <w:ind w:firstLine="480" w:firstLineChars="200"/>
        <w:rPr>
          <w:rFonts w:ascii="宋体" w:hAnsi="宋体" w:cs="Times New Roman"/>
          <w:sz w:val="24"/>
          <w:highlight w:val="none"/>
        </w:rPr>
      </w:pPr>
      <w:r>
        <w:rPr>
          <w:rFonts w:ascii="宋体" w:hAnsi="宋体" w:cs="Times New Roman"/>
          <w:sz w:val="24"/>
          <w:highlight w:val="none"/>
        </w:rPr>
        <w:t>15.4保修</w:t>
      </w:r>
    </w:p>
    <w:p w14:paraId="790C7FDB">
      <w:pPr>
        <w:spacing w:line="360" w:lineRule="auto"/>
        <w:ind w:firstLine="420" w:firstLineChars="200"/>
        <w:rPr>
          <w:rFonts w:ascii="宋体" w:hAnsi="宋体" w:cs="Times New Roman"/>
          <w:highlight w:val="none"/>
        </w:rPr>
      </w:pPr>
      <w:r>
        <w:rPr>
          <w:rFonts w:ascii="宋体" w:hAnsi="宋体" w:cs="Times New Roman"/>
          <w:highlight w:val="none"/>
        </w:rPr>
        <w:t>15.4.1 保修责任</w:t>
      </w:r>
    </w:p>
    <w:p w14:paraId="63DA0E66">
      <w:pPr>
        <w:spacing w:line="360" w:lineRule="auto"/>
        <w:ind w:firstLine="420" w:firstLineChars="200"/>
        <w:rPr>
          <w:rFonts w:ascii="宋体" w:hAnsi="宋体" w:cs="Times New Roman"/>
          <w:sz w:val="30"/>
          <w:highlight w:val="none"/>
        </w:rPr>
      </w:pPr>
      <w:r>
        <w:rPr>
          <w:rFonts w:ascii="宋体" w:hAnsi="宋体" w:cs="Times New Roman"/>
          <w:szCs w:val="21"/>
          <w:highlight w:val="none"/>
        </w:rPr>
        <w:t>工程保修期为：</w:t>
      </w:r>
      <w:r>
        <w:rPr>
          <w:rFonts w:hint="eastAsia" w:ascii="宋体" w:hAnsi="宋体" w:cs="Times New Roman"/>
          <w:highlight w:val="none"/>
          <w:u w:val="single"/>
        </w:rPr>
        <w:t>详</w:t>
      </w:r>
      <w:r>
        <w:rPr>
          <w:rFonts w:ascii="宋体" w:hAnsi="宋体" w:cs="Times New Roman"/>
          <w:highlight w:val="none"/>
          <w:u w:val="single"/>
        </w:rPr>
        <w:t>工程质量保修书</w:t>
      </w:r>
      <w:r>
        <w:rPr>
          <w:rFonts w:hint="eastAsia" w:ascii="宋体" w:hAnsi="宋体" w:cs="Times New Roman"/>
          <w:highlight w:val="none"/>
          <w:u w:val="single"/>
        </w:rPr>
        <w:t>约定</w:t>
      </w:r>
      <w:r>
        <w:rPr>
          <w:rFonts w:ascii="宋体" w:hAnsi="宋体" w:cs="Times New Roman"/>
          <w:highlight w:val="none"/>
          <w:u w:val="single"/>
        </w:rPr>
        <w:t>。</w:t>
      </w:r>
    </w:p>
    <w:p w14:paraId="455E85D0">
      <w:pPr>
        <w:spacing w:line="360" w:lineRule="auto"/>
        <w:ind w:firstLine="420" w:firstLineChars="200"/>
        <w:rPr>
          <w:rFonts w:ascii="宋体" w:hAnsi="宋体" w:cs="Times New Roman"/>
          <w:highlight w:val="none"/>
        </w:rPr>
      </w:pPr>
      <w:r>
        <w:rPr>
          <w:rFonts w:ascii="宋体" w:hAnsi="宋体" w:cs="Times New Roman"/>
          <w:highlight w:val="none"/>
        </w:rPr>
        <w:t>15.4.3 修复通知</w:t>
      </w:r>
    </w:p>
    <w:p w14:paraId="74E6E386">
      <w:pPr>
        <w:spacing w:line="360" w:lineRule="auto"/>
        <w:ind w:firstLine="420" w:firstLineChars="200"/>
        <w:rPr>
          <w:rFonts w:ascii="宋体" w:hAnsi="宋体" w:cs="Times New Roman"/>
          <w:kern w:val="0"/>
          <w:sz w:val="24"/>
          <w:highlight w:val="none"/>
        </w:rPr>
      </w:pPr>
      <w:r>
        <w:rPr>
          <w:rFonts w:ascii="宋体" w:hAnsi="宋体" w:cs="Times New Roman"/>
          <w:highlight w:val="none"/>
        </w:rPr>
        <w:t>承包人收到保修通知并到达工程现场的合理时间：</w:t>
      </w:r>
      <w:r>
        <w:rPr>
          <w:rFonts w:ascii="宋体" w:hAnsi="宋体" w:cs="Times New Roman"/>
          <w:highlight w:val="none"/>
          <w:u w:val="single"/>
        </w:rPr>
        <w:t xml:space="preserve"> </w:t>
      </w:r>
      <w:r>
        <w:rPr>
          <w:rFonts w:hint="eastAsia" w:ascii="宋体" w:hAnsi="宋体" w:cs="Times New Roman"/>
          <w:highlight w:val="none"/>
          <w:u w:val="single"/>
        </w:rPr>
        <w:t>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ascii="宋体" w:hAnsi="宋体" w:cs="Times New Roman"/>
          <w:kern w:val="0"/>
          <w:sz w:val="24"/>
          <w:highlight w:val="none"/>
        </w:rPr>
        <w:t>。</w:t>
      </w:r>
    </w:p>
    <w:p w14:paraId="59F2F2CD">
      <w:pPr>
        <w:topLinePunct/>
        <w:spacing w:line="360" w:lineRule="auto"/>
        <w:ind w:firstLine="420"/>
        <w:rPr>
          <w:rFonts w:ascii="宋体" w:hAnsi="宋体" w:cs="Times New Roman"/>
          <w:b/>
          <w:highlight w:val="none"/>
        </w:rPr>
      </w:pPr>
      <w:r>
        <w:rPr>
          <w:rFonts w:ascii="宋体" w:hAnsi="宋体" w:cs="Times New Roman"/>
          <w:b/>
          <w:highlight w:val="none"/>
        </w:rPr>
        <w:t>16. 违约</w:t>
      </w:r>
    </w:p>
    <w:p w14:paraId="32CE1D80">
      <w:pPr>
        <w:spacing w:line="360" w:lineRule="auto"/>
        <w:ind w:firstLine="480" w:firstLineChars="200"/>
        <w:rPr>
          <w:rFonts w:ascii="宋体" w:hAnsi="宋体" w:cs="Times New Roman"/>
          <w:sz w:val="24"/>
          <w:highlight w:val="none"/>
        </w:rPr>
      </w:pPr>
      <w:r>
        <w:rPr>
          <w:rFonts w:ascii="宋体" w:hAnsi="宋体" w:cs="Times New Roman"/>
          <w:sz w:val="24"/>
          <w:highlight w:val="none"/>
        </w:rPr>
        <w:t>16.1 发包人违约</w:t>
      </w:r>
    </w:p>
    <w:p w14:paraId="0E8EA905">
      <w:pPr>
        <w:spacing w:line="360" w:lineRule="auto"/>
        <w:ind w:firstLine="420" w:firstLineChars="200"/>
        <w:rPr>
          <w:rFonts w:ascii="宋体" w:hAnsi="宋体" w:cs="Times New Roman"/>
          <w:highlight w:val="none"/>
        </w:rPr>
      </w:pPr>
      <w:r>
        <w:rPr>
          <w:rFonts w:ascii="宋体" w:hAnsi="宋体" w:cs="Times New Roman"/>
          <w:highlight w:val="none"/>
        </w:rPr>
        <w:t>16.1.1发包人违约的情形</w:t>
      </w:r>
    </w:p>
    <w:p w14:paraId="4E9A33AB">
      <w:pPr>
        <w:autoSpaceDE w:val="0"/>
        <w:autoSpaceDN w:val="0"/>
        <w:adjustRightInd w:val="0"/>
        <w:spacing w:line="360" w:lineRule="auto"/>
        <w:ind w:firstLine="420" w:firstLineChars="200"/>
        <w:rPr>
          <w:rFonts w:ascii="宋体" w:hAnsi="宋体" w:cs="Times New Roman"/>
          <w:highlight w:val="none"/>
        </w:rPr>
      </w:pPr>
      <w:r>
        <w:rPr>
          <w:rFonts w:ascii="宋体" w:hAnsi="宋体" w:cs="Times New Roman"/>
          <w:highlight w:val="none"/>
        </w:rPr>
        <w:t>发包人违约的其他情形：</w:t>
      </w:r>
      <w:r>
        <w:rPr>
          <w:rFonts w:hint="eastAsia" w:ascii="宋体" w:hAnsi="宋体" w:cs="Times New Roman"/>
          <w:highlight w:val="none"/>
          <w:u w:val="single"/>
        </w:rPr>
        <w:t>按通用条款执行。</w:t>
      </w:r>
    </w:p>
    <w:p w14:paraId="46F3537F">
      <w:pPr>
        <w:spacing w:line="360" w:lineRule="auto"/>
        <w:ind w:left="1050" w:leftChars="200" w:hanging="630" w:hangingChars="300"/>
        <w:rPr>
          <w:rFonts w:ascii="宋体" w:hAnsi="宋体" w:cs="Times New Roman"/>
          <w:kern w:val="0"/>
          <w:sz w:val="24"/>
          <w:highlight w:val="none"/>
        </w:rPr>
      </w:pPr>
      <w:r>
        <w:rPr>
          <w:rFonts w:ascii="宋体" w:hAnsi="宋体" w:cs="Times New Roman"/>
          <w:highlight w:val="none"/>
        </w:rPr>
        <w:t>16.1.2 发包人违约的责任</w:t>
      </w:r>
    </w:p>
    <w:p w14:paraId="12520089">
      <w:pPr>
        <w:spacing w:line="360" w:lineRule="auto"/>
        <w:ind w:left="1050" w:leftChars="200" w:hanging="630" w:hangingChars="300"/>
        <w:rPr>
          <w:rFonts w:ascii="宋体" w:hAnsi="宋体" w:cs="Times New Roman"/>
          <w:highlight w:val="none"/>
        </w:rPr>
      </w:pPr>
      <w:r>
        <w:rPr>
          <w:rFonts w:ascii="宋体" w:hAnsi="宋体" w:cs="Times New Roman"/>
          <w:highlight w:val="none"/>
        </w:rPr>
        <w:t>发包人违约责任的承担方式和计算方法：</w:t>
      </w:r>
    </w:p>
    <w:p w14:paraId="69F2AF64">
      <w:pPr>
        <w:spacing w:line="360" w:lineRule="auto"/>
        <w:ind w:firstLine="420" w:firstLineChars="200"/>
        <w:rPr>
          <w:rFonts w:ascii="宋体" w:hAnsi="宋体" w:cs="Times New Roman"/>
          <w:highlight w:val="none"/>
          <w:u w:val="single"/>
        </w:rPr>
      </w:pPr>
      <w:r>
        <w:rPr>
          <w:rFonts w:ascii="宋体" w:hAnsi="宋体" w:cs="Times New Roman"/>
          <w:highlight w:val="none"/>
        </w:rPr>
        <w:t xml:space="preserve">（1）因发包人原因未能在计划开工日期前7天内下达开工通知的违约责任： </w:t>
      </w:r>
      <w:r>
        <w:rPr>
          <w:rFonts w:hint="eastAsia" w:ascii="宋体" w:hAnsi="宋体" w:cs="Times New Roman"/>
          <w:highlight w:val="none"/>
          <w:u w:val="single"/>
        </w:rPr>
        <w:t>/</w:t>
      </w:r>
      <w:r>
        <w:rPr>
          <w:rFonts w:ascii="宋体" w:hAnsi="宋体" w:cs="Times New Roman"/>
          <w:highlight w:val="none"/>
          <w:u w:val="single"/>
        </w:rPr>
        <w:t>。</w:t>
      </w:r>
    </w:p>
    <w:p w14:paraId="3F196377">
      <w:pPr>
        <w:spacing w:line="360" w:lineRule="auto"/>
        <w:ind w:firstLine="420" w:firstLineChars="200"/>
        <w:rPr>
          <w:rFonts w:ascii="宋体" w:hAnsi="宋体" w:cs="Times New Roman"/>
          <w:highlight w:val="none"/>
        </w:rPr>
      </w:pPr>
      <w:r>
        <w:rPr>
          <w:rFonts w:ascii="宋体" w:hAnsi="宋体" w:cs="Times New Roman"/>
          <w:highlight w:val="none"/>
        </w:rPr>
        <w:t>（2）因发包人原因未能按合同约定支付合同价款的</w:t>
      </w:r>
      <w:r>
        <w:rPr>
          <w:rFonts w:hint="eastAsia" w:ascii="宋体" w:hAnsi="宋体" w:cs="Times New Roman"/>
          <w:highlight w:val="none"/>
        </w:rPr>
        <w:t>的违约责任：</w:t>
      </w:r>
      <w:r>
        <w:rPr>
          <w:rFonts w:ascii="宋体" w:hAnsi="宋体" w:cs="Times New Roman"/>
          <w:kern w:val="0"/>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宋体" w:hAnsi="宋体" w:cs="Times New Roman"/>
          <w:kern w:val="0"/>
          <w:highlight w:val="none"/>
          <w:u w:val="single"/>
        </w:rPr>
        <w:t>，并</w:t>
      </w:r>
      <w:r>
        <w:rPr>
          <w:rFonts w:ascii="宋体" w:hAnsi="宋体" w:cs="Times New Roman"/>
          <w:kern w:val="0"/>
          <w:highlight w:val="none"/>
          <w:u w:val="single"/>
        </w:rPr>
        <w:t>支付应付金额同期银行贷款利率计算的利息 。</w:t>
      </w:r>
      <w:r>
        <w:rPr>
          <w:rFonts w:hint="eastAsia" w:ascii="宋体" w:hAnsi="宋体" w:cs="Times New Roman"/>
          <w:kern w:val="0"/>
          <w:highlight w:val="none"/>
          <w:u w:val="single"/>
        </w:rPr>
        <w:t>协议期间承包人不得以此为理由影响施工进度</w:t>
      </w:r>
      <w:r>
        <w:rPr>
          <w:rFonts w:hint="eastAsia" w:ascii="宋体" w:hAnsi="宋体" w:cs="Times New Roman"/>
          <w:highlight w:val="none"/>
        </w:rPr>
        <w:t>。</w:t>
      </w:r>
    </w:p>
    <w:p w14:paraId="77375383">
      <w:pPr>
        <w:spacing w:line="360" w:lineRule="auto"/>
        <w:ind w:firstLine="420" w:firstLineChars="200"/>
        <w:rPr>
          <w:rFonts w:ascii="宋体" w:hAnsi="宋体" w:cs="Times New Roman"/>
          <w:highlight w:val="none"/>
          <w:u w:val="single"/>
        </w:rPr>
      </w:pPr>
      <w:r>
        <w:rPr>
          <w:rFonts w:ascii="宋体" w:hAnsi="宋体" w:cs="Times New Roman"/>
          <w:highlight w:val="none"/>
        </w:rPr>
        <w:t>（3）发包人违反第10.1款</w:t>
      </w:r>
      <w:r>
        <w:rPr>
          <w:rFonts w:hint="eastAsia" w:ascii="宋体" w:hAnsi="宋体" w:cs="Times New Roman"/>
          <w:highlight w:val="none"/>
        </w:rPr>
        <w:t>〔</w:t>
      </w:r>
      <w:r>
        <w:rPr>
          <w:rFonts w:ascii="宋体" w:hAnsi="宋体" w:cs="Times New Roman"/>
          <w:highlight w:val="none"/>
        </w:rPr>
        <w:t>变更的范围</w:t>
      </w:r>
      <w:r>
        <w:rPr>
          <w:rFonts w:hint="eastAsia" w:ascii="宋体" w:hAnsi="宋体" w:cs="Times New Roman"/>
          <w:highlight w:val="none"/>
        </w:rPr>
        <w:t>〕</w:t>
      </w:r>
      <w:r>
        <w:rPr>
          <w:rFonts w:ascii="宋体" w:hAnsi="宋体" w:cs="Times New Roman"/>
          <w:highlight w:val="none"/>
        </w:rPr>
        <w:t>第（2）项约定，自行实施被取消的工作或转由他人实施的违约责任：</w:t>
      </w:r>
      <w:r>
        <w:rPr>
          <w:rFonts w:hint="eastAsia" w:ascii="宋体" w:hAnsi="宋体" w:cs="Times New Roman"/>
          <w:highlight w:val="none"/>
          <w:u w:val="single"/>
        </w:rPr>
        <w:t>/。</w:t>
      </w:r>
    </w:p>
    <w:p w14:paraId="67E1E2AA">
      <w:pPr>
        <w:spacing w:line="360" w:lineRule="auto"/>
        <w:ind w:firstLine="420" w:firstLineChars="200"/>
        <w:rPr>
          <w:rFonts w:ascii="宋体" w:hAnsi="宋体" w:cs="Times New Roman"/>
          <w:kern w:val="0"/>
          <w:sz w:val="24"/>
          <w:highlight w:val="none"/>
        </w:rPr>
      </w:pPr>
      <w:r>
        <w:rPr>
          <w:rFonts w:ascii="宋体" w:hAnsi="宋体" w:cs="Times New Roman"/>
          <w:highlight w:val="none"/>
        </w:rPr>
        <w:t>（4）发包人提供的材料、工程设备的规格、数量或质量不符合合同约定，或因发包人原因导致交货日期延误或交货地点变更等情况的违约责任：</w:t>
      </w:r>
      <w:r>
        <w:rPr>
          <w:rFonts w:hint="eastAsia" w:ascii="宋体" w:hAnsi="宋体" w:cs="Times New Roman"/>
          <w:highlight w:val="none"/>
          <w:u w:val="single"/>
        </w:rPr>
        <w:t>/</w:t>
      </w:r>
      <w:r>
        <w:rPr>
          <w:rFonts w:ascii="宋体" w:hAnsi="宋体" w:cs="Times New Roman"/>
          <w:highlight w:val="none"/>
          <w:u w:val="single"/>
        </w:rPr>
        <w:t>。</w:t>
      </w:r>
    </w:p>
    <w:p w14:paraId="547ADD37">
      <w:pPr>
        <w:spacing w:line="360" w:lineRule="auto"/>
        <w:ind w:firstLine="420" w:firstLineChars="200"/>
        <w:rPr>
          <w:rFonts w:ascii="宋体" w:hAnsi="宋体" w:cs="Times New Roman"/>
          <w:kern w:val="0"/>
          <w:highlight w:val="none"/>
        </w:rPr>
      </w:pPr>
      <w:r>
        <w:rPr>
          <w:rFonts w:ascii="宋体" w:hAnsi="宋体" w:cs="Times New Roman"/>
          <w:szCs w:val="21"/>
          <w:highlight w:val="none"/>
        </w:rPr>
        <w:t>（5）因发包人违反合同约定造成暂停施工的违约责任：</w:t>
      </w:r>
      <w:r>
        <w:rPr>
          <w:rFonts w:hint="eastAsia" w:ascii="宋体" w:hAnsi="宋体" w:cs="Times New Roman"/>
          <w:highlight w:val="none"/>
          <w:u w:val="single"/>
        </w:rPr>
        <w:t>/</w:t>
      </w:r>
      <w:r>
        <w:rPr>
          <w:rFonts w:ascii="宋体" w:hAnsi="宋体" w:cs="Times New Roman"/>
          <w:highlight w:val="none"/>
          <w:u w:val="single"/>
        </w:rPr>
        <w:t>。</w:t>
      </w:r>
    </w:p>
    <w:p w14:paraId="30FD64FE">
      <w:pPr>
        <w:spacing w:line="360" w:lineRule="auto"/>
        <w:ind w:firstLine="420" w:firstLineChars="200"/>
        <w:rPr>
          <w:rFonts w:ascii="宋体" w:hAnsi="宋体" w:cs="Times New Roman"/>
          <w:highlight w:val="none"/>
          <w:u w:val="single"/>
        </w:rPr>
      </w:pPr>
      <w:r>
        <w:rPr>
          <w:rFonts w:ascii="宋体" w:hAnsi="宋体" w:cs="Times New Roman"/>
          <w:szCs w:val="21"/>
          <w:highlight w:val="none"/>
        </w:rPr>
        <w:t>（6）发包人无正当理由没有在约定期限内发出复工指示，导致承包人无法复工的违约责任：</w:t>
      </w:r>
      <w:r>
        <w:rPr>
          <w:rFonts w:hint="eastAsia" w:ascii="宋体" w:hAnsi="宋体" w:cs="Times New Roman"/>
          <w:highlight w:val="none"/>
          <w:u w:val="single"/>
        </w:rPr>
        <w:t>/</w:t>
      </w:r>
      <w:r>
        <w:rPr>
          <w:rFonts w:ascii="宋体" w:hAnsi="宋体" w:cs="Times New Roman"/>
          <w:highlight w:val="none"/>
          <w:u w:val="single"/>
        </w:rPr>
        <w:t>。</w:t>
      </w:r>
    </w:p>
    <w:p w14:paraId="02F40434">
      <w:pPr>
        <w:spacing w:line="360" w:lineRule="auto"/>
        <w:ind w:firstLine="420" w:firstLineChars="200"/>
        <w:rPr>
          <w:rFonts w:ascii="宋体" w:hAnsi="宋体" w:cs="Times New Roman"/>
          <w:highlight w:val="none"/>
          <w:u w:val="single"/>
        </w:rPr>
      </w:pPr>
      <w:r>
        <w:rPr>
          <w:rFonts w:ascii="宋体" w:hAnsi="宋体" w:cs="Times New Roman"/>
          <w:szCs w:val="21"/>
          <w:highlight w:val="none"/>
        </w:rPr>
        <w:t>（7）</w:t>
      </w:r>
      <w:r>
        <w:rPr>
          <w:rFonts w:hint="eastAsia" w:ascii="宋体" w:hAnsi="宋体" w:cs="Times New Roman"/>
          <w:szCs w:val="21"/>
          <w:highlight w:val="none"/>
        </w:rPr>
        <w:t>其他：</w:t>
      </w:r>
      <w:r>
        <w:rPr>
          <w:rFonts w:hint="eastAsia" w:ascii="宋体" w:hAnsi="宋体" w:cs="Times New Roman"/>
          <w:highlight w:val="none"/>
          <w:u w:val="single"/>
        </w:rPr>
        <w:t xml:space="preserve"> / </w:t>
      </w:r>
    </w:p>
    <w:p w14:paraId="35F52C5A">
      <w:pPr>
        <w:adjustRightInd w:val="0"/>
        <w:snapToGrid w:val="0"/>
        <w:spacing w:line="360" w:lineRule="auto"/>
        <w:ind w:firstLine="420" w:firstLineChars="200"/>
        <w:rPr>
          <w:rFonts w:ascii="宋体" w:hAnsi="宋体" w:cs="Times New Roman"/>
          <w:highlight w:val="none"/>
        </w:rPr>
      </w:pPr>
      <w:r>
        <w:rPr>
          <w:rFonts w:ascii="宋体" w:hAnsi="宋体" w:cs="Times New Roman"/>
          <w:highlight w:val="none"/>
        </w:rPr>
        <w:t>16.1.3 因发包人违约解除合同</w:t>
      </w:r>
    </w:p>
    <w:p w14:paraId="34D9DFC0">
      <w:pPr>
        <w:autoSpaceDE w:val="0"/>
        <w:autoSpaceDN w:val="0"/>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承包人按16.1.1项</w:t>
      </w:r>
      <w:r>
        <w:rPr>
          <w:rFonts w:hint="eastAsia" w:ascii="宋体" w:hAnsi="宋体" w:cs="Times New Roman"/>
          <w:kern w:val="0"/>
          <w:highlight w:val="none"/>
        </w:rPr>
        <w:t>〔</w:t>
      </w:r>
      <w:r>
        <w:rPr>
          <w:rFonts w:ascii="宋体" w:hAnsi="宋体" w:cs="Times New Roman"/>
          <w:kern w:val="0"/>
          <w:highlight w:val="none"/>
        </w:rPr>
        <w:t>发包人违约的情形</w:t>
      </w:r>
      <w:r>
        <w:rPr>
          <w:rFonts w:hint="eastAsia" w:ascii="宋体" w:hAnsi="宋体" w:cs="Times New Roman"/>
          <w:kern w:val="0"/>
          <w:highlight w:val="none"/>
        </w:rPr>
        <w:t>〕</w:t>
      </w:r>
      <w:r>
        <w:rPr>
          <w:rFonts w:ascii="宋体" w:hAnsi="宋体" w:cs="Times New Roman"/>
          <w:kern w:val="0"/>
          <w:highlight w:val="none"/>
        </w:rPr>
        <w:t>约定暂停施工满</w:t>
      </w:r>
      <w:r>
        <w:rPr>
          <w:rFonts w:ascii="宋体" w:hAnsi="宋体" w:cs="Times New Roman"/>
          <w:kern w:val="0"/>
          <w:highlight w:val="none"/>
          <w:u w:val="single"/>
        </w:rPr>
        <w:t xml:space="preserve"> 3</w:t>
      </w:r>
      <w:r>
        <w:rPr>
          <w:rFonts w:hint="eastAsia" w:ascii="宋体" w:hAnsi="宋体" w:cs="Times New Roman"/>
          <w:kern w:val="0"/>
          <w:highlight w:val="none"/>
          <w:u w:val="single"/>
        </w:rPr>
        <w:t xml:space="preserve">0 </w:t>
      </w:r>
      <w:r>
        <w:rPr>
          <w:rFonts w:ascii="宋体" w:hAnsi="宋体" w:cs="Times New Roman"/>
          <w:kern w:val="0"/>
          <w:highlight w:val="none"/>
        </w:rPr>
        <w:t>天后发包人仍不纠正其违约行为并致使合同目的不能实现的，承包人有权解除合同。</w:t>
      </w:r>
    </w:p>
    <w:p w14:paraId="2759DA42">
      <w:pPr>
        <w:spacing w:line="360" w:lineRule="auto"/>
        <w:ind w:firstLine="480" w:firstLineChars="200"/>
        <w:rPr>
          <w:rFonts w:ascii="宋体" w:hAnsi="宋体" w:cs="Times New Roman"/>
          <w:sz w:val="24"/>
          <w:highlight w:val="none"/>
        </w:rPr>
      </w:pPr>
      <w:r>
        <w:rPr>
          <w:rFonts w:ascii="宋体" w:hAnsi="宋体" w:cs="Times New Roman"/>
          <w:sz w:val="24"/>
          <w:highlight w:val="none"/>
        </w:rPr>
        <w:t>16.2 承包人违约</w:t>
      </w:r>
    </w:p>
    <w:p w14:paraId="5299CD42">
      <w:pPr>
        <w:autoSpaceDE w:val="0"/>
        <w:autoSpaceDN w:val="0"/>
        <w:adjustRightInd w:val="0"/>
        <w:spacing w:line="360" w:lineRule="auto"/>
        <w:ind w:firstLine="420" w:firstLineChars="200"/>
        <w:rPr>
          <w:rFonts w:ascii="宋体" w:hAnsi="宋体" w:cs="Times New Roman"/>
          <w:highlight w:val="none"/>
        </w:rPr>
      </w:pPr>
      <w:r>
        <w:rPr>
          <w:rFonts w:ascii="宋体" w:hAnsi="宋体" w:cs="Times New Roman"/>
          <w:highlight w:val="none"/>
        </w:rPr>
        <w:t>16.2.1 承包人违约的情形</w:t>
      </w:r>
    </w:p>
    <w:p w14:paraId="5DA7ECDA">
      <w:pPr>
        <w:tabs>
          <w:tab w:val="left" w:pos="482"/>
          <w:tab w:val="left" w:pos="2183"/>
          <w:tab w:val="left" w:pos="3884"/>
          <w:tab w:val="left" w:pos="5585"/>
        </w:tabs>
        <w:spacing w:line="360" w:lineRule="auto"/>
        <w:ind w:firstLine="420" w:firstLineChars="200"/>
        <w:rPr>
          <w:rFonts w:ascii="宋体" w:hAnsi="宋体" w:cs="Times New Roman"/>
          <w:kern w:val="0"/>
          <w:sz w:val="24"/>
          <w:highlight w:val="none"/>
        </w:rPr>
      </w:pPr>
      <w:r>
        <w:rPr>
          <w:rFonts w:ascii="宋体" w:hAnsi="宋体" w:cs="Times New Roman"/>
          <w:highlight w:val="none"/>
        </w:rPr>
        <w:t>承包人违约的其他情形</w:t>
      </w:r>
      <w:r>
        <w:rPr>
          <w:rFonts w:ascii="宋体" w:hAnsi="宋体" w:cs="Times New Roman"/>
          <w:kern w:val="0"/>
          <w:sz w:val="24"/>
          <w:highlight w:val="none"/>
        </w:rPr>
        <w:t>：</w:t>
      </w:r>
    </w:p>
    <w:p w14:paraId="6070A0C2">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65691336">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（2）承包人不按合同履行应承担的工作，对工程进展造成影响时，发包人有权自行或委托他人完成合同约定承包人该项工作，所产生的费用从承包人应得的款项中扣取，不足部分由承包人偿付。</w:t>
      </w:r>
    </w:p>
    <w:p w14:paraId="06D44664">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（3）承包人在竣工后7天内必须做到工完场清、料清、障清，如未在合同约定时间内做到工完场清，发包人有权指定其他单位清理，其费用在工程款中扣除，承包人还应承担由此给发包人带来的损失。</w:t>
      </w:r>
    </w:p>
    <w:p w14:paraId="6B02ED24">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（4）因承包人违反施工规范进行施工或建筑材料设备、施工工艺不合格等产生的工程质量问题而引起的返工、补救，其全部责任和费用以及赔偿均由承包人自行承担。</w:t>
      </w:r>
    </w:p>
    <w:p w14:paraId="3D2330CE">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（5）承包人应及时支付民工工资，如因拖欠民工工资引起纠纷，发包人有权从工程款中扣除直接支付给该工程的民工工资。</w:t>
      </w:r>
    </w:p>
    <w:p w14:paraId="42DC2AB1">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2A55301E">
      <w:pPr>
        <w:autoSpaceDE w:val="0"/>
        <w:autoSpaceDN w:val="0"/>
        <w:adjustRightInd w:val="0"/>
        <w:spacing w:line="360" w:lineRule="auto"/>
        <w:ind w:firstLine="420" w:firstLineChars="200"/>
        <w:rPr>
          <w:rFonts w:ascii="宋体" w:hAnsi="宋体" w:cs="Times New Roman"/>
          <w:highlight w:val="none"/>
        </w:rPr>
      </w:pPr>
      <w:r>
        <w:rPr>
          <w:rFonts w:ascii="宋体" w:hAnsi="宋体" w:cs="Times New Roman"/>
          <w:highlight w:val="none"/>
        </w:rPr>
        <w:t>16.2.2承包人违约的责任</w:t>
      </w:r>
    </w:p>
    <w:p w14:paraId="5AFE251D">
      <w:pPr>
        <w:tabs>
          <w:tab w:val="left" w:pos="482"/>
          <w:tab w:val="left" w:pos="2183"/>
          <w:tab w:val="left" w:pos="3884"/>
          <w:tab w:val="left" w:pos="5585"/>
        </w:tabs>
        <w:spacing w:line="360" w:lineRule="auto"/>
        <w:ind w:firstLine="420" w:firstLineChars="200"/>
        <w:rPr>
          <w:rFonts w:ascii="宋体" w:hAnsi="宋体" w:cs="Times New Roman"/>
          <w:highlight w:val="none"/>
          <w:u w:val="single"/>
        </w:rPr>
      </w:pPr>
      <w:r>
        <w:rPr>
          <w:rFonts w:ascii="宋体" w:hAnsi="宋体" w:cs="Times New Roman"/>
          <w:highlight w:val="none"/>
        </w:rPr>
        <w:t>承包人违约责任的承担方式和计算方法</w:t>
      </w:r>
      <w:r>
        <w:rPr>
          <w:rFonts w:ascii="宋体" w:hAnsi="宋体" w:cs="Times New Roman"/>
          <w:kern w:val="0"/>
          <w:sz w:val="24"/>
          <w:highlight w:val="none"/>
        </w:rPr>
        <w:t>：</w:t>
      </w:r>
    </w:p>
    <w:p w14:paraId="08C95EED">
      <w:pPr>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（1）承包人违反合同约定进行转包或违法分包的违约责任：</w:t>
      </w:r>
      <w:r>
        <w:rPr>
          <w:rFonts w:hint="eastAsia" w:ascii="宋体" w:hAnsi="宋体" w:cs="Times New Roman"/>
          <w:highlight w:val="none"/>
          <w:u w:val="single"/>
        </w:rPr>
        <w:t>发包人有权解除合同、拒付（或要求承包人退还已收）合同价款、没收履约担保，并要求承包人按合同总价款的</w:t>
      </w:r>
      <w:r>
        <w:rPr>
          <w:rFonts w:ascii="宋体" w:hAnsi="宋体" w:cs="Times New Roman"/>
          <w:highlight w:val="none"/>
          <w:u w:val="single"/>
        </w:rPr>
        <w:t>20</w:t>
      </w:r>
      <w:r>
        <w:rPr>
          <w:rFonts w:hint="eastAsia" w:ascii="宋体" w:hAnsi="宋体" w:cs="Times New Roman"/>
          <w:highlight w:val="none"/>
          <w:u w:val="single"/>
        </w:rPr>
        <w:t>%支付违约金，如给发包人造成的损失超过保证金数额的还应当对超过部份予以赔偿</w:t>
      </w:r>
      <w:r>
        <w:rPr>
          <w:rFonts w:ascii="宋体" w:hAnsi="宋体" w:cs="Times New Roman"/>
          <w:highlight w:val="none"/>
          <w:u w:val="single"/>
        </w:rPr>
        <w:t>，并依法承担相应的法律责任；</w:t>
      </w:r>
    </w:p>
    <w:p w14:paraId="2AC08D5E">
      <w:pPr>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（2）承包人违反合同约定采购和使用不合格的材料和工程设备的违约责任：</w:t>
      </w:r>
      <w:r>
        <w:rPr>
          <w:rFonts w:hint="eastAsia" w:ascii="宋体" w:hAnsi="宋体" w:cs="Times New Roman"/>
          <w:highlight w:val="none"/>
          <w:u w:val="single"/>
        </w:rPr>
        <w:t>发包人有权要求承包人重新采购合格的</w:t>
      </w:r>
      <w:r>
        <w:rPr>
          <w:rFonts w:ascii="宋体" w:hAnsi="宋体" w:cs="Times New Roman"/>
          <w:highlight w:val="none"/>
          <w:u w:val="single"/>
        </w:rPr>
        <w:t>材料和工程设备</w:t>
      </w:r>
      <w:r>
        <w:rPr>
          <w:rFonts w:hint="eastAsia" w:ascii="宋体" w:hAnsi="宋体" w:cs="Times New Roman"/>
          <w:highlight w:val="none"/>
          <w:u w:val="single"/>
        </w:rPr>
        <w:t>，承包人必须及时改正并承担相应损失</w:t>
      </w:r>
      <w:r>
        <w:rPr>
          <w:rFonts w:ascii="宋体" w:hAnsi="宋体" w:cs="Times New Roman"/>
          <w:kern w:val="0"/>
          <w:highlight w:val="none"/>
        </w:rPr>
        <w:t>；</w:t>
      </w:r>
    </w:p>
    <w:p w14:paraId="101543AC">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kern w:val="0"/>
          <w:highlight w:val="none"/>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w:t>
      </w:r>
      <w:r>
        <w:rPr>
          <w:rFonts w:ascii="宋体" w:hAnsi="宋体" w:cs="Times New Roman"/>
          <w:kern w:val="0"/>
          <w:highlight w:val="none"/>
          <w:u w:val="single"/>
        </w:rPr>
        <w:t>20%</w:t>
      </w:r>
      <w:r>
        <w:rPr>
          <w:rFonts w:hint="eastAsia" w:ascii="宋体" w:hAnsi="宋体" w:cs="Times New Roman"/>
          <w:kern w:val="0"/>
          <w:highlight w:val="none"/>
          <w:u w:val="single"/>
        </w:rPr>
        <w:t>的违约金，并承担由此造成发包人的全部经济损失</w:t>
      </w:r>
      <w:r>
        <w:rPr>
          <w:rFonts w:ascii="宋体" w:hAnsi="宋体" w:cs="Times New Roman"/>
          <w:highlight w:val="none"/>
          <w:u w:val="single"/>
        </w:rPr>
        <w:t>。</w:t>
      </w:r>
    </w:p>
    <w:p w14:paraId="5965AC13">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经发包人、监理单位（如有）等部门检查抽检，发现承包人不按设计要求或者工程质量验收规范标准施工，或有偷工减料现象，每发现一次，发包人有权视情节严重程度要求承包人支付人民币</w:t>
      </w:r>
      <w:r>
        <w:rPr>
          <w:rFonts w:ascii="宋体" w:hAnsi="宋体" w:cs="Times New Roman"/>
          <w:highlight w:val="none"/>
          <w:u w:val="single"/>
        </w:rPr>
        <w:t>2000</w:t>
      </w:r>
      <w:r>
        <w:rPr>
          <w:rFonts w:hint="eastAsia" w:ascii="宋体" w:hAnsi="宋体" w:cs="Times New Roman"/>
          <w:highlight w:val="none"/>
          <w:u w:val="single"/>
        </w:rPr>
        <w:t>元</w:t>
      </w:r>
      <w:r>
        <w:rPr>
          <w:rFonts w:ascii="宋体" w:hAnsi="宋体" w:cs="Times New Roman"/>
          <w:highlight w:val="none"/>
          <w:u w:val="single"/>
        </w:rPr>
        <w:t>/</w:t>
      </w:r>
      <w:r>
        <w:rPr>
          <w:rFonts w:hint="eastAsia" w:ascii="宋体" w:hAnsi="宋体" w:cs="Times New Roman"/>
          <w:highlight w:val="none"/>
          <w:u w:val="single"/>
        </w:rPr>
        <w:t>次-</w:t>
      </w:r>
      <w:r>
        <w:rPr>
          <w:rFonts w:ascii="宋体" w:hAnsi="宋体" w:cs="Times New Roman"/>
          <w:highlight w:val="none"/>
          <w:u w:val="single"/>
        </w:rPr>
        <w:t>5000</w:t>
      </w:r>
      <w:r>
        <w:rPr>
          <w:rFonts w:hint="eastAsia" w:ascii="宋体" w:hAnsi="宋体" w:cs="Times New Roman"/>
          <w:highlight w:val="none"/>
          <w:u w:val="single"/>
        </w:rPr>
        <w:t>元</w:t>
      </w:r>
      <w:r>
        <w:rPr>
          <w:rFonts w:ascii="宋体" w:hAnsi="宋体" w:cs="Times New Roman"/>
          <w:highlight w:val="none"/>
          <w:u w:val="single"/>
        </w:rPr>
        <w:t>/</w:t>
      </w:r>
      <w:r>
        <w:rPr>
          <w:rFonts w:hint="eastAsia" w:ascii="宋体" w:hAnsi="宋体" w:cs="Times New Roman"/>
          <w:highlight w:val="none"/>
          <w:u w:val="single"/>
        </w:rPr>
        <w:t>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w:t>
      </w:r>
      <w:r>
        <w:rPr>
          <w:rFonts w:ascii="宋体" w:hAnsi="宋体" w:cs="Times New Roman"/>
          <w:highlight w:val="none"/>
          <w:u w:val="single"/>
        </w:rPr>
        <w:t>20%</w:t>
      </w:r>
      <w:r>
        <w:rPr>
          <w:rFonts w:hint="eastAsia" w:ascii="宋体" w:hAnsi="宋体" w:cs="Times New Roman"/>
          <w:highlight w:val="none"/>
          <w:u w:val="single"/>
        </w:rPr>
        <w:t>的违约金</w:t>
      </w:r>
      <w:r>
        <w:rPr>
          <w:rFonts w:ascii="宋体" w:hAnsi="宋体" w:cs="Times New Roman"/>
          <w:highlight w:val="none"/>
          <w:u w:val="single"/>
        </w:rPr>
        <w:t>。</w:t>
      </w:r>
    </w:p>
    <w:p w14:paraId="5217C197">
      <w:pPr>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（3）承包人违反</w:t>
      </w:r>
      <w:r>
        <w:rPr>
          <w:rFonts w:hint="eastAsia" w:ascii="宋体" w:hAnsi="宋体" w:cs="Times New Roman"/>
          <w:kern w:val="0"/>
          <w:highlight w:val="none"/>
        </w:rPr>
        <w:t>《合同通用条款》</w:t>
      </w:r>
      <w:r>
        <w:rPr>
          <w:rFonts w:ascii="宋体" w:hAnsi="宋体" w:cs="Times New Roman"/>
          <w:kern w:val="0"/>
          <w:highlight w:val="none"/>
        </w:rPr>
        <w:t>第8.9款</w:t>
      </w:r>
      <w:r>
        <w:rPr>
          <w:rFonts w:hint="eastAsia" w:ascii="宋体" w:hAnsi="宋体" w:cs="Times New Roman"/>
          <w:kern w:val="0"/>
          <w:highlight w:val="none"/>
        </w:rPr>
        <w:t>〔</w:t>
      </w:r>
      <w:r>
        <w:rPr>
          <w:rFonts w:ascii="宋体" w:hAnsi="宋体" w:cs="Times New Roman"/>
          <w:kern w:val="0"/>
          <w:highlight w:val="none"/>
        </w:rPr>
        <w:t>材料与设备专用</w:t>
      </w:r>
      <w:r>
        <w:rPr>
          <w:rFonts w:hint="eastAsia" w:ascii="宋体" w:hAnsi="宋体" w:cs="Times New Roman"/>
          <w:kern w:val="0"/>
          <w:highlight w:val="none"/>
        </w:rPr>
        <w:t>要求〕</w:t>
      </w:r>
      <w:r>
        <w:rPr>
          <w:rFonts w:ascii="宋体" w:hAnsi="宋体" w:cs="Times New Roman"/>
          <w:kern w:val="0"/>
          <w:highlight w:val="none"/>
        </w:rPr>
        <w:t>的约定，未经批准，私自将已按照合同约定进入施工现场的材料或设备撤离施工现场的违约责任：</w:t>
      </w:r>
      <w:r>
        <w:rPr>
          <w:rFonts w:hint="eastAsia" w:ascii="宋体" w:hAnsi="宋体" w:cs="Times New Roman"/>
          <w:highlight w:val="none"/>
          <w:u w:val="single"/>
        </w:rPr>
        <w:t>承包人应及时停止撤离，按每次</w:t>
      </w:r>
      <w:r>
        <w:rPr>
          <w:rFonts w:ascii="宋体" w:hAnsi="宋体" w:cs="Times New Roman"/>
          <w:highlight w:val="none"/>
          <w:u w:val="single"/>
        </w:rPr>
        <w:t>2000</w:t>
      </w:r>
      <w:r>
        <w:rPr>
          <w:rFonts w:hint="eastAsia" w:ascii="宋体" w:hAnsi="宋体" w:cs="Times New Roman"/>
          <w:highlight w:val="none"/>
          <w:u w:val="single"/>
        </w:rPr>
        <w:t>元项发包人支付违约金并承担相应损失</w:t>
      </w:r>
      <w:r>
        <w:rPr>
          <w:rFonts w:ascii="宋体" w:hAnsi="宋体" w:cs="Times New Roman"/>
          <w:kern w:val="0"/>
          <w:highlight w:val="none"/>
        </w:rPr>
        <w:t>；</w:t>
      </w:r>
    </w:p>
    <w:p w14:paraId="4E987A89">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kern w:val="0"/>
          <w:highlight w:val="none"/>
        </w:rPr>
        <w:t>（4）承包人未能按施工进度</w:t>
      </w:r>
      <w:r>
        <w:rPr>
          <w:rFonts w:ascii="宋体" w:hAnsi="宋体" w:cs="Times New Roman"/>
          <w:highlight w:val="none"/>
          <w:u w:val="single"/>
        </w:rPr>
        <w:t>计划及时完成合同约定的工作，造成工期延误的违约责任：</w:t>
      </w:r>
      <w:r>
        <w:rPr>
          <w:rFonts w:hint="eastAsia" w:ascii="宋体" w:hAnsi="宋体" w:cs="Times New Roman"/>
          <w:highlight w:val="none"/>
          <w:u w:val="single"/>
        </w:rPr>
        <w:t>按合同工期</w:t>
      </w:r>
      <w:r>
        <w:rPr>
          <w:rFonts w:ascii="宋体" w:hAnsi="宋体" w:cs="Times New Roman"/>
          <w:highlight w:val="none"/>
          <w:u w:val="single"/>
        </w:rPr>
        <w:t>每延误一天，按3000</w:t>
      </w:r>
      <w:r>
        <w:rPr>
          <w:rFonts w:hint="eastAsia" w:ascii="宋体" w:hAnsi="宋体" w:cs="Times New Roman"/>
          <w:highlight w:val="none"/>
          <w:u w:val="single"/>
        </w:rPr>
        <w:t>元</w:t>
      </w:r>
      <w:r>
        <w:rPr>
          <w:rFonts w:ascii="宋体" w:hAnsi="宋体" w:cs="Times New Roman"/>
          <w:highlight w:val="none"/>
          <w:u w:val="single"/>
        </w:rPr>
        <w:t>/</w:t>
      </w:r>
      <w:r>
        <w:rPr>
          <w:rFonts w:hint="eastAsia" w:ascii="宋体" w:hAnsi="宋体" w:cs="Times New Roman"/>
          <w:highlight w:val="none"/>
          <w:u w:val="single"/>
        </w:rPr>
        <w:t>天</w:t>
      </w:r>
      <w:r>
        <w:rPr>
          <w:rFonts w:ascii="宋体" w:hAnsi="宋体" w:cs="Times New Roman"/>
          <w:highlight w:val="none"/>
          <w:u w:val="single"/>
        </w:rPr>
        <w:t>向发包人支付违约金</w:t>
      </w:r>
      <w:r>
        <w:rPr>
          <w:rFonts w:hint="eastAsia" w:ascii="宋体" w:hAnsi="宋体" w:cs="Times New Roman"/>
          <w:highlight w:val="none"/>
          <w:u w:val="single"/>
        </w:rPr>
        <w:t>；总</w:t>
      </w:r>
      <w:r>
        <w:rPr>
          <w:rFonts w:ascii="宋体" w:hAnsi="宋体" w:cs="Times New Roman"/>
          <w:highlight w:val="none"/>
          <w:u w:val="single"/>
        </w:rPr>
        <w:t>工期延误超过20天的</w:t>
      </w:r>
      <w:r>
        <w:rPr>
          <w:rFonts w:hint="eastAsia" w:ascii="宋体" w:hAnsi="宋体" w:cs="Times New Roman"/>
          <w:highlight w:val="none"/>
          <w:u w:val="single"/>
        </w:rPr>
        <w:t>（含2</w:t>
      </w:r>
      <w:r>
        <w:rPr>
          <w:rFonts w:ascii="宋体" w:hAnsi="宋体" w:cs="Times New Roman"/>
          <w:highlight w:val="none"/>
          <w:u w:val="single"/>
        </w:rPr>
        <w:t>0</w:t>
      </w:r>
      <w:r>
        <w:rPr>
          <w:rFonts w:hint="eastAsia" w:ascii="宋体" w:hAnsi="宋体" w:cs="Times New Roman"/>
          <w:highlight w:val="none"/>
          <w:u w:val="single"/>
        </w:rPr>
        <w:t>天）的，发包人有权解除合同、拒付工程款，也有权仍选择由承包人继续履行合同，如发包人选择由承包人继续履行合同的，竣工工期超过2</w:t>
      </w:r>
      <w:r>
        <w:rPr>
          <w:rFonts w:ascii="宋体" w:hAnsi="宋体" w:cs="Times New Roman"/>
          <w:highlight w:val="none"/>
          <w:u w:val="single"/>
        </w:rPr>
        <w:t>0</w:t>
      </w:r>
      <w:r>
        <w:rPr>
          <w:rFonts w:hint="eastAsia" w:ascii="宋体" w:hAnsi="宋体" w:cs="Times New Roman"/>
          <w:highlight w:val="none"/>
          <w:u w:val="single"/>
        </w:rPr>
        <w:t>天后每延误一天，承包人应按人民币</w:t>
      </w:r>
      <w:r>
        <w:rPr>
          <w:rFonts w:ascii="宋体" w:hAnsi="宋体" w:cs="Times New Roman"/>
          <w:highlight w:val="none"/>
          <w:u w:val="single"/>
        </w:rPr>
        <w:t>6000</w:t>
      </w:r>
      <w:r>
        <w:rPr>
          <w:rFonts w:hint="eastAsia" w:ascii="宋体" w:hAnsi="宋体" w:cs="Times New Roman"/>
          <w:highlight w:val="none"/>
          <w:u w:val="single"/>
        </w:rPr>
        <w:t>元/天向发包人支付违约金。</w:t>
      </w:r>
    </w:p>
    <w:p w14:paraId="713577E0">
      <w:pPr>
        <w:adjustRightInd w:val="0"/>
        <w:snapToGrid w:val="0"/>
        <w:spacing w:line="360" w:lineRule="auto"/>
        <w:ind w:firstLine="420" w:firstLineChars="200"/>
        <w:rPr>
          <w:rFonts w:ascii="宋体" w:hAnsi="宋体" w:eastAsia="宋体" w:cs="Times New Roman"/>
          <w:w w:val="100"/>
          <w:kern w:val="0"/>
          <w:sz w:val="21"/>
          <w:szCs w:val="24"/>
          <w:highlight w:val="none"/>
          <w:u w:val="single"/>
        </w:rPr>
      </w:pPr>
      <w:r>
        <w:rPr>
          <w:rFonts w:ascii="宋体" w:hAnsi="宋体" w:cs="Times New Roman"/>
          <w:kern w:val="0"/>
          <w:highlight w:val="none"/>
        </w:rPr>
        <w:t>（5）承包人在缺陷责任期及保修期内，未能在合理期限对工程缺陷进行修复，或拒绝按发包人要求进行修复的违约责任：</w:t>
      </w:r>
      <w:r>
        <w:rPr>
          <w:rFonts w:ascii="宋体" w:hAnsi="宋体" w:eastAsia="宋体" w:cs="Times New Roman"/>
          <w:w w:val="100"/>
          <w:kern w:val="0"/>
          <w:sz w:val="21"/>
          <w:szCs w:val="24"/>
          <w:highlight w:val="none"/>
          <w:u w:val="single"/>
        </w:rPr>
        <w:t>工程移交后，如发包人发现存在质量问题的，有权要求承包人及时维修，并赔偿给发包人带来的各种直接、间接经济损失。承包人不及时维修的，发包人有权代为扣除</w:t>
      </w:r>
      <w:r>
        <w:rPr>
          <w:rFonts w:hint="eastAsia" w:ascii="宋体" w:hAnsi="宋体" w:eastAsia="宋体" w:cs="Times New Roman"/>
          <w:w w:val="100"/>
          <w:kern w:val="0"/>
          <w:sz w:val="21"/>
          <w:szCs w:val="24"/>
          <w:highlight w:val="none"/>
          <w:u w:val="single"/>
        </w:rPr>
        <w:t>质量保证金</w:t>
      </w:r>
      <w:r>
        <w:rPr>
          <w:rFonts w:ascii="宋体" w:hAnsi="宋体" w:eastAsia="宋体" w:cs="Times New Roman"/>
          <w:w w:val="100"/>
          <w:kern w:val="0"/>
          <w:sz w:val="21"/>
          <w:szCs w:val="24"/>
          <w:highlight w:val="none"/>
          <w:u w:val="single"/>
        </w:rPr>
        <w:t>用于维修以及支付发包人的维修管理费用（按维修费用的15%计算），并在事后要求承包人补足缺额。</w:t>
      </w:r>
    </w:p>
    <w:p w14:paraId="465DD05F">
      <w:pPr>
        <w:adjustRightInd w:val="0"/>
        <w:snapToGrid w:val="0"/>
        <w:spacing w:line="360" w:lineRule="auto"/>
        <w:ind w:firstLine="420" w:firstLineChars="200"/>
        <w:rPr>
          <w:rFonts w:ascii="宋体" w:hAnsi="宋体" w:cs="Times New Roman"/>
          <w:kern w:val="0"/>
          <w:highlight w:val="none"/>
          <w:u w:val="single"/>
        </w:rPr>
      </w:pPr>
      <w:r>
        <w:rPr>
          <w:rFonts w:ascii="宋体" w:hAnsi="宋体" w:eastAsia="宋体" w:cs="Times New Roman"/>
          <w:w w:val="100"/>
          <w:kern w:val="0"/>
          <w:sz w:val="21"/>
          <w:szCs w:val="24"/>
          <w:highlight w:val="none"/>
          <w:u w:val="single"/>
        </w:rPr>
        <w:t>工程移交后，如发包人发现存在重大质量问题的，有权扣除承包人的全部</w:t>
      </w:r>
      <w:r>
        <w:rPr>
          <w:rFonts w:hint="eastAsia" w:ascii="宋体" w:hAnsi="宋体" w:eastAsia="宋体" w:cs="Times New Roman"/>
          <w:w w:val="100"/>
          <w:kern w:val="0"/>
          <w:sz w:val="21"/>
          <w:szCs w:val="24"/>
          <w:highlight w:val="none"/>
          <w:u w:val="single"/>
        </w:rPr>
        <w:t>质量保证金</w:t>
      </w:r>
      <w:r>
        <w:rPr>
          <w:rFonts w:ascii="宋体" w:hAnsi="宋体" w:eastAsia="宋体" w:cs="Times New Roman"/>
          <w:w w:val="100"/>
          <w:kern w:val="0"/>
          <w:sz w:val="21"/>
          <w:szCs w:val="24"/>
          <w:highlight w:val="none"/>
          <w:u w:val="single"/>
        </w:rPr>
        <w:t>，要求承包人及时维修，并赔偿给发包人带来的各种直接、间接经济损失</w:t>
      </w:r>
      <w:r>
        <w:rPr>
          <w:rFonts w:ascii="宋体" w:hAnsi="宋体" w:cs="Times New Roman"/>
          <w:kern w:val="0"/>
          <w:highlight w:val="none"/>
          <w:u w:val="single"/>
        </w:rPr>
        <w:t>。</w:t>
      </w:r>
    </w:p>
    <w:p w14:paraId="34318391">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6C65B515">
      <w:pPr>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（6）承包人明确表示或者以其行为表明不履行合同主要义务的违约责任：</w:t>
      </w:r>
      <w:r>
        <w:rPr>
          <w:rFonts w:hint="eastAsia" w:ascii="宋体" w:hAnsi="宋体" w:cs="Times New Roman"/>
          <w:kern w:val="0"/>
          <w:highlight w:val="none"/>
          <w:u w:val="single"/>
        </w:rPr>
        <w:t>发包人有权解除合同、拒付或（要求承包人退还已收）工程款，承包人还应支付合同总价款</w:t>
      </w:r>
      <w:r>
        <w:rPr>
          <w:rFonts w:ascii="宋体" w:hAnsi="宋体" w:cs="Times New Roman"/>
          <w:kern w:val="0"/>
          <w:highlight w:val="none"/>
          <w:u w:val="single"/>
        </w:rPr>
        <w:t>20%</w:t>
      </w:r>
      <w:r>
        <w:rPr>
          <w:rFonts w:hint="eastAsia" w:ascii="宋体" w:hAnsi="宋体" w:cs="Times New Roman"/>
          <w:kern w:val="0"/>
          <w:highlight w:val="none"/>
          <w:u w:val="single"/>
        </w:rPr>
        <w:t>的违约金，承包人还应承担发包人的一切损失</w:t>
      </w:r>
      <w:r>
        <w:rPr>
          <w:rFonts w:ascii="宋体" w:hAnsi="宋体" w:cs="Times New Roman"/>
          <w:kern w:val="0"/>
          <w:highlight w:val="none"/>
          <w:u w:val="single"/>
        </w:rPr>
        <w:t>；</w:t>
      </w:r>
    </w:p>
    <w:p w14:paraId="60E3E3D8">
      <w:pPr>
        <w:adjustRightInd w:val="0"/>
        <w:snapToGrid w:val="0"/>
        <w:spacing w:line="360" w:lineRule="auto"/>
        <w:ind w:firstLine="420" w:firstLineChars="200"/>
        <w:rPr>
          <w:rFonts w:ascii="宋体" w:hAnsi="宋体" w:cs="Times New Roman"/>
          <w:kern w:val="0"/>
          <w:highlight w:val="none"/>
        </w:rPr>
      </w:pPr>
      <w:r>
        <w:rPr>
          <w:rFonts w:ascii="宋体" w:hAnsi="宋体" w:cs="Times New Roman"/>
          <w:kern w:val="0"/>
          <w:highlight w:val="none"/>
        </w:rPr>
        <w:t>（7）承包人未能按照合同约定履行其他义务的违约责任：</w:t>
      </w:r>
    </w:p>
    <w:p w14:paraId="40908BD1">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hint="eastAsia" w:ascii="宋体" w:hAnsi="宋体" w:cs="Times New Roman"/>
          <w:kern w:val="0"/>
          <w:highlight w:val="none"/>
          <w:u w:val="single"/>
        </w:rPr>
        <w:t>由发包人或监理单位（如有）召集的例会和其它重要会议，承包人必须按发包人指定人选准时参加，无故缺席或迟到的，发包人有权视情节严重程度要求承包人支付</w:t>
      </w:r>
      <w:r>
        <w:rPr>
          <w:rFonts w:ascii="宋体" w:hAnsi="宋体" w:cs="Times New Roman"/>
          <w:kern w:val="0"/>
          <w:highlight w:val="none"/>
          <w:u w:val="single"/>
        </w:rPr>
        <w:t>1000</w:t>
      </w:r>
      <w:r>
        <w:rPr>
          <w:rFonts w:hint="eastAsia" w:ascii="宋体" w:hAnsi="宋体" w:cs="Times New Roman"/>
          <w:kern w:val="0"/>
          <w:highlight w:val="none"/>
          <w:u w:val="single"/>
        </w:rPr>
        <w:t>元每次的违约金，因此导致对会议内容不了解的，其后果由承包人自负，违约金由发包人在结算中直接扣除；因此导致对会议内容不了解的，其后果由承包人自负</w:t>
      </w:r>
      <w:r>
        <w:rPr>
          <w:rFonts w:ascii="宋体" w:hAnsi="宋体" w:cs="Times New Roman"/>
          <w:kern w:val="0"/>
          <w:highlight w:val="none"/>
          <w:u w:val="single"/>
        </w:rPr>
        <w:t>。</w:t>
      </w:r>
    </w:p>
    <w:p w14:paraId="2BB88FC0">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承包人必须无条件服从发包人及监理单位</w:t>
      </w:r>
      <w:r>
        <w:rPr>
          <w:rFonts w:hint="eastAsia" w:ascii="宋体" w:hAnsi="宋体" w:cs="Times New Roman"/>
          <w:kern w:val="0"/>
          <w:highlight w:val="none"/>
          <w:u w:val="single"/>
        </w:rPr>
        <w:t>（如有）对合</w:t>
      </w:r>
      <w:r>
        <w:rPr>
          <w:rFonts w:ascii="宋体" w:hAnsi="宋体" w:cs="Times New Roman"/>
          <w:kern w:val="0"/>
          <w:highlight w:val="none"/>
          <w:u w:val="single"/>
        </w:rPr>
        <w:t>理的现场管理，若项目班子主要人员由于工作态度等原因，使发包人及监理不满意的，发包人有权要求更换；发包人有权对承包人在施工中出现的恶意违规及不服从管理等行为</w:t>
      </w:r>
      <w:r>
        <w:rPr>
          <w:rFonts w:hint="eastAsia" w:ascii="宋体" w:hAnsi="宋体" w:cs="Times New Roman"/>
          <w:kern w:val="0"/>
          <w:highlight w:val="none"/>
          <w:u w:val="single"/>
        </w:rPr>
        <w:t>要求</w:t>
      </w:r>
      <w:r>
        <w:rPr>
          <w:rFonts w:ascii="宋体" w:hAnsi="宋体" w:cs="Times New Roman"/>
          <w:kern w:val="0"/>
          <w:highlight w:val="none"/>
          <w:u w:val="single"/>
        </w:rPr>
        <w:t>按500-1000元/次的</w:t>
      </w:r>
      <w:r>
        <w:rPr>
          <w:rFonts w:hint="eastAsia" w:ascii="宋体" w:hAnsi="宋体" w:cs="Times New Roman"/>
          <w:kern w:val="0"/>
          <w:highlight w:val="none"/>
          <w:u w:val="single"/>
        </w:rPr>
        <w:t>支付</w:t>
      </w:r>
      <w:r>
        <w:rPr>
          <w:rFonts w:ascii="宋体" w:hAnsi="宋体" w:cs="Times New Roman"/>
          <w:kern w:val="0"/>
          <w:highlight w:val="none"/>
          <w:u w:val="single"/>
        </w:rPr>
        <w:t>违约金，该笔违约金由发包人在结算中直接扣除；</w:t>
      </w:r>
    </w:p>
    <w:p w14:paraId="69DAE1CB">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承包人在施工过程中不论遇到何种困难（</w:t>
      </w:r>
      <w:r>
        <w:rPr>
          <w:rFonts w:hint="eastAsia" w:ascii="宋体" w:hAnsi="宋体" w:cs="Times New Roman"/>
          <w:kern w:val="0"/>
          <w:highlight w:val="none"/>
          <w:u w:val="single"/>
        </w:rPr>
        <w:t>除本合同约定明确的原因和</w:t>
      </w:r>
      <w:r>
        <w:rPr>
          <w:rFonts w:ascii="宋体" w:hAnsi="宋体" w:cs="Times New Roman"/>
          <w:kern w:val="0"/>
          <w:highlight w:val="none"/>
          <w:u w:val="single"/>
        </w:rPr>
        <w:t>不可抗力除外），均不得以任何理由（例如发包人未签证费用</w:t>
      </w:r>
      <w:r>
        <w:rPr>
          <w:rFonts w:hint="eastAsia" w:ascii="宋体" w:hAnsi="宋体" w:cs="Times New Roman"/>
          <w:kern w:val="0"/>
          <w:highlight w:val="none"/>
          <w:u w:val="single"/>
        </w:rPr>
        <w:t>、合同争议等</w:t>
      </w:r>
      <w:r>
        <w:rPr>
          <w:rFonts w:ascii="宋体" w:hAnsi="宋体" w:cs="Times New Roman"/>
          <w:kern w:val="0"/>
          <w:highlight w:val="none"/>
          <w:u w:val="single"/>
        </w:rPr>
        <w:t>）擅自停工或变相停工，否则由此造成的一切后果和经济损失均由承包人承担，同时发包人有权处于3000元/天的处罚，该笔罚款由发包人在结算中直接扣除；</w:t>
      </w:r>
    </w:p>
    <w:p w14:paraId="03E2AC18">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合同及本协议履行期间，承包人保证不拖欠民工工资，</w:t>
      </w:r>
      <w:r>
        <w:rPr>
          <w:rFonts w:hint="eastAsia" w:ascii="宋体" w:hAnsi="宋体" w:cs="Times New Roman"/>
          <w:highlight w:val="none"/>
          <w:u w:val="single"/>
        </w:rPr>
        <w:t>所得工程款应优先支付民工工资；</w:t>
      </w:r>
      <w:r>
        <w:rPr>
          <w:rFonts w:ascii="宋体" w:hAnsi="宋体" w:cs="Times New Roman"/>
          <w:kern w:val="0"/>
          <w:highlight w:val="none"/>
          <w:u w:val="single"/>
        </w:rPr>
        <w:t>因拖欠民工工资造成的一切后果均由承包人承担。若发包人因此为承包人垫款支付的，承包人应按发包人垫付款项金额的30%向发包人偿付违约金，该笔违约金由发包人在结算中直接扣除；</w:t>
      </w:r>
    </w:p>
    <w:p w14:paraId="0F4837A5">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w:t>
      </w:r>
      <w:r>
        <w:rPr>
          <w:rFonts w:hint="eastAsia" w:ascii="宋体" w:hAnsi="宋体" w:cs="Times New Roman"/>
          <w:kern w:val="0"/>
          <w:highlight w:val="none"/>
          <w:u w:val="single"/>
        </w:rPr>
        <w:t>的违约金，</w:t>
      </w:r>
      <w:r>
        <w:rPr>
          <w:rFonts w:ascii="宋体" w:hAnsi="宋体" w:cs="Times New Roman"/>
          <w:kern w:val="0"/>
          <w:highlight w:val="none"/>
          <w:u w:val="single"/>
        </w:rPr>
        <w:t xml:space="preserve">由此引起的工期延误责任及损失由承包人负责承担； </w:t>
      </w:r>
    </w:p>
    <w:p w14:paraId="57F82FBC">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施工期间，承包人应严格实行隐蔽工程验收制度，如有未经</w:t>
      </w:r>
      <w:r>
        <w:rPr>
          <w:rFonts w:hint="eastAsia" w:ascii="宋体" w:hAnsi="宋体" w:cs="Times New Roman"/>
          <w:kern w:val="0"/>
          <w:highlight w:val="none"/>
          <w:u w:val="single"/>
        </w:rPr>
        <w:t>发包人或</w:t>
      </w:r>
      <w:r>
        <w:rPr>
          <w:rFonts w:ascii="宋体" w:hAnsi="宋体" w:cs="Times New Roman"/>
          <w:kern w:val="0"/>
          <w:highlight w:val="none"/>
          <w:u w:val="single"/>
        </w:rPr>
        <w:t>监理</w:t>
      </w:r>
      <w:r>
        <w:rPr>
          <w:rFonts w:hint="eastAsia" w:ascii="宋体" w:hAnsi="宋体" w:cs="Times New Roman"/>
          <w:kern w:val="0"/>
          <w:highlight w:val="none"/>
          <w:u w:val="single"/>
        </w:rPr>
        <w:t>单位（如有）</w:t>
      </w:r>
      <w:r>
        <w:rPr>
          <w:rFonts w:ascii="宋体" w:hAnsi="宋体" w:cs="Times New Roman"/>
          <w:kern w:val="0"/>
          <w:highlight w:val="none"/>
          <w:u w:val="single"/>
        </w:rPr>
        <w:t>验收自行隐蔽，发包人</w:t>
      </w:r>
      <w:r>
        <w:rPr>
          <w:rFonts w:hint="eastAsia" w:ascii="宋体" w:hAnsi="宋体" w:cs="Times New Roman"/>
          <w:kern w:val="0"/>
          <w:highlight w:val="none"/>
          <w:u w:val="single"/>
        </w:rPr>
        <w:t>和监理单位（如有）</w:t>
      </w:r>
      <w:r>
        <w:rPr>
          <w:rFonts w:ascii="宋体" w:hAnsi="宋体" w:cs="Times New Roman"/>
          <w:kern w:val="0"/>
          <w:highlight w:val="none"/>
          <w:u w:val="single"/>
        </w:rPr>
        <w:t>有权要求复验，所有费用由承包人承担，发包人有权视情节轻重对承包人处以人民币伍万元/次的违约金，该笔违约金由发包人在结算中直接扣除；</w:t>
      </w:r>
    </w:p>
    <w:p w14:paraId="615CA58D">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631E7084">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本合同履行过程中，承包人被处以罚款的，以实际行为发生之日为罚款缴纳的时间；</w:t>
      </w:r>
    </w:p>
    <w:p w14:paraId="449B27B9">
      <w:pPr>
        <w:numPr>
          <w:ilvl w:val="0"/>
          <w:numId w:val="3"/>
        </w:numPr>
        <w:adjustRightInd w:val="0"/>
        <w:snapToGrid w:val="0"/>
        <w:spacing w:line="360" w:lineRule="auto"/>
        <w:ind w:left="0" w:firstLine="424" w:firstLineChars="202"/>
        <w:rPr>
          <w:rFonts w:ascii="宋体" w:hAnsi="宋体" w:cs="Times New Roman"/>
          <w:kern w:val="0"/>
          <w:highlight w:val="none"/>
          <w:u w:val="single"/>
        </w:rPr>
      </w:pPr>
      <w:r>
        <w:rPr>
          <w:rFonts w:ascii="宋体" w:hAnsi="宋体" w:cs="Times New Roman"/>
          <w:kern w:val="0"/>
          <w:highlight w:val="none"/>
          <w:u w:val="single"/>
        </w:rPr>
        <w:t>本合同中的罚款特指惩罚性违约金，本合同约定的违约金、罚款及损失赔偿款，发包人有权从履约担保或工程款中直接扣减。</w:t>
      </w:r>
    </w:p>
    <w:p w14:paraId="38827DBC">
      <w:pPr>
        <w:adjustRightInd w:val="0"/>
        <w:snapToGrid w:val="0"/>
        <w:spacing w:line="360" w:lineRule="auto"/>
        <w:ind w:firstLine="420" w:firstLineChars="200"/>
        <w:rPr>
          <w:rFonts w:ascii="宋体" w:hAnsi="宋体" w:cs="Times New Roman"/>
          <w:kern w:val="0"/>
          <w:highlight w:val="none"/>
          <w:u w:val="single"/>
        </w:rPr>
      </w:pPr>
      <w:r>
        <w:rPr>
          <w:rFonts w:hint="eastAsia" w:ascii="宋体" w:hAnsi="宋体" w:cs="Times New Roman"/>
          <w:kern w:val="0"/>
          <w:highlight w:val="none"/>
        </w:rPr>
        <w:t>⑩</w:t>
      </w:r>
      <w:r>
        <w:rPr>
          <w:rFonts w:ascii="宋体" w:hAnsi="宋体" w:cs="Times New Roman"/>
          <w:kern w:val="0"/>
          <w:highlight w:val="none"/>
          <w:u w:val="single"/>
        </w:rPr>
        <w:t>合同生效后，承包人无正当理由，单方终止合同的，应向发包人承担违约责任，违约金按照合同总价的20%计取，并赔偿发包人因此造成的损失。</w:t>
      </w:r>
    </w:p>
    <w:p w14:paraId="247E11EE">
      <w:pPr>
        <w:adjustRightInd w:val="0"/>
        <w:snapToGrid w:val="0"/>
        <w:spacing w:line="360" w:lineRule="auto"/>
        <w:ind w:firstLine="420" w:firstLineChars="200"/>
        <w:rPr>
          <w:rFonts w:ascii="宋体" w:hAnsi="宋体" w:cs="Times New Roman"/>
          <w:kern w:val="0"/>
          <w:highlight w:val="none"/>
          <w:u w:val="single"/>
        </w:rPr>
      </w:pPr>
      <w:r>
        <w:rPr>
          <w:rFonts w:ascii="宋体" w:hAnsi="宋体" w:cs="Times New Roman"/>
          <w:kern w:val="0"/>
          <w:highlight w:val="none"/>
        </w:rPr>
        <w:fldChar w:fldCharType="begin"/>
      </w:r>
      <w:r>
        <w:rPr>
          <w:rFonts w:ascii="宋体" w:hAnsi="宋体" w:cs="Times New Roman"/>
          <w:kern w:val="0"/>
          <w:highlight w:val="none"/>
        </w:rPr>
        <w:instrText xml:space="preserve"> eq \o\ac(</w:instrText>
      </w:r>
      <w:r>
        <w:rPr>
          <w:rFonts w:hint="eastAsia" w:ascii="宋体" w:hAnsi="宋体" w:cs="Times New Roman"/>
          <w:kern w:val="0"/>
          <w:highlight w:val="none"/>
        </w:rPr>
        <w:instrText xml:space="preserve">○</w:instrText>
      </w:r>
      <w:r>
        <w:rPr>
          <w:rFonts w:ascii="宋体" w:hAnsi="宋体" w:cs="Times New Roman"/>
          <w:kern w:val="0"/>
          <w:highlight w:val="none"/>
        </w:rPr>
        <w:instrText xml:space="preserve">,</w:instrText>
      </w:r>
      <w:r>
        <w:rPr>
          <w:rFonts w:ascii="宋体" w:hAnsi="宋体" w:cs="Times New Roman"/>
          <w:kern w:val="0"/>
          <w:position w:val="1"/>
          <w:highlight w:val="none"/>
        </w:rPr>
        <w:instrText xml:space="preserve">11</w:instrText>
      </w:r>
      <w:r>
        <w:rPr>
          <w:rFonts w:ascii="宋体" w:hAnsi="宋体" w:cs="Times New Roman"/>
          <w:kern w:val="0"/>
          <w:highlight w:val="none"/>
        </w:rPr>
        <w:instrText xml:space="preserve">)</w:instrText>
      </w:r>
      <w:r>
        <w:rPr>
          <w:rFonts w:ascii="宋体" w:hAnsi="宋体" w:cs="Times New Roman"/>
          <w:kern w:val="0"/>
          <w:highlight w:val="none"/>
        </w:rPr>
        <w:fldChar w:fldCharType="end"/>
      </w:r>
      <w:r>
        <w:rPr>
          <w:rFonts w:hint="eastAsia" w:ascii="宋体" w:hAnsi="宋体" w:cs="Times New Roman"/>
          <w:kern w:val="0"/>
          <w:highlight w:val="none"/>
          <w:u w:val="single"/>
        </w:rPr>
        <w:t>当承包人出现以下情况之一，发包人有权将承包人清退出场（并解除合同），承包人应按合同总价款的</w:t>
      </w:r>
      <w:r>
        <w:rPr>
          <w:rFonts w:ascii="宋体" w:hAnsi="宋体" w:cs="Times New Roman"/>
          <w:kern w:val="0"/>
          <w:highlight w:val="none"/>
          <w:u w:val="single"/>
        </w:rPr>
        <w:t>20%</w:t>
      </w:r>
      <w:r>
        <w:rPr>
          <w:rFonts w:hint="eastAsia" w:ascii="宋体" w:hAnsi="宋体" w:cs="Times New Roman"/>
          <w:kern w:val="0"/>
          <w:highlight w:val="none"/>
          <w:u w:val="single"/>
        </w:rPr>
        <w:t>向发包人支付违约金：</w:t>
      </w:r>
    </w:p>
    <w:p w14:paraId="47602DDD">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a</w:t>
      </w: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中标后一个月内以任何理由拒签合同；</w:t>
      </w:r>
    </w:p>
    <w:p w14:paraId="219FFC91">
      <w:pPr>
        <w:spacing w:line="360" w:lineRule="auto"/>
        <w:ind w:firstLine="420" w:firstLineChars="200"/>
        <w:rPr>
          <w:rFonts w:ascii="宋体" w:hAnsi="宋体" w:cs="宋体"/>
          <w:szCs w:val="21"/>
          <w:highlight w:val="none"/>
        </w:rPr>
      </w:pPr>
      <w:r>
        <w:rPr>
          <w:rFonts w:hint="eastAsia" w:ascii="宋体" w:hAnsi="宋体" w:cs="宋体"/>
          <w:szCs w:val="21"/>
          <w:highlight w:val="none"/>
        </w:rPr>
        <w:t>（b）</w:t>
      </w:r>
      <w:r>
        <w:rPr>
          <w:rFonts w:ascii="宋体" w:hAnsi="宋体" w:cs="宋体"/>
          <w:szCs w:val="21"/>
          <w:highlight w:val="none"/>
        </w:rPr>
        <w:t xml:space="preserve"> </w:t>
      </w:r>
      <w:r>
        <w:rPr>
          <w:rFonts w:hint="eastAsia" w:ascii="宋体" w:hAnsi="宋体" w:cs="宋体"/>
          <w:szCs w:val="21"/>
          <w:highlight w:val="none"/>
        </w:rPr>
        <w:t>出现质量问题拒不整改，经发包人</w:t>
      </w:r>
      <w:r>
        <w:rPr>
          <w:rFonts w:hint="eastAsia" w:ascii="宋体" w:hAnsi="宋体" w:cs="Times New Roman"/>
          <w:highlight w:val="none"/>
        </w:rPr>
        <w:t>或监理单位（如有）</w:t>
      </w:r>
      <w:r>
        <w:rPr>
          <w:rFonts w:hint="eastAsia" w:ascii="宋体" w:hAnsi="宋体" w:cs="宋体"/>
          <w:szCs w:val="21"/>
          <w:highlight w:val="none"/>
        </w:rPr>
        <w:t>书面通知三次（含）以上仍不见效的；</w:t>
      </w:r>
    </w:p>
    <w:p w14:paraId="3CA06217">
      <w:pPr>
        <w:spacing w:line="360" w:lineRule="auto"/>
        <w:ind w:firstLine="420" w:firstLineChars="200"/>
        <w:rPr>
          <w:rFonts w:ascii="宋体" w:hAnsi="宋体" w:cs="宋体"/>
          <w:szCs w:val="21"/>
          <w:highlight w:val="none"/>
        </w:rPr>
      </w:pPr>
      <w:r>
        <w:rPr>
          <w:rFonts w:hint="eastAsia" w:ascii="宋体" w:hAnsi="宋体" w:cs="宋体"/>
          <w:szCs w:val="21"/>
          <w:highlight w:val="none"/>
        </w:rPr>
        <w:t>（c）</w:t>
      </w:r>
      <w:r>
        <w:rPr>
          <w:rFonts w:ascii="宋体" w:hAnsi="宋体" w:cs="宋体"/>
          <w:szCs w:val="21"/>
          <w:highlight w:val="none"/>
        </w:rPr>
        <w:t xml:space="preserve"> </w:t>
      </w:r>
      <w:r>
        <w:rPr>
          <w:rFonts w:hint="eastAsia" w:ascii="宋体" w:hAnsi="宋体" w:cs="宋体"/>
          <w:szCs w:val="21"/>
          <w:highlight w:val="none"/>
        </w:rPr>
        <w:t>出现安全事故，不接受监理人和有关职能部门指令采取相应措施的；</w:t>
      </w:r>
    </w:p>
    <w:p w14:paraId="1BC1CEFA">
      <w:pPr>
        <w:spacing w:line="360" w:lineRule="auto"/>
        <w:ind w:firstLine="420" w:firstLineChars="200"/>
        <w:rPr>
          <w:rFonts w:ascii="宋体" w:hAnsi="宋体" w:cs="宋体"/>
          <w:szCs w:val="21"/>
          <w:highlight w:val="none"/>
        </w:rPr>
      </w:pPr>
      <w:r>
        <w:rPr>
          <w:rFonts w:hint="eastAsia" w:ascii="宋体" w:hAnsi="宋体" w:cs="宋体"/>
          <w:szCs w:val="21"/>
          <w:highlight w:val="none"/>
        </w:rPr>
        <w:t>（d）</w:t>
      </w:r>
      <w:r>
        <w:rPr>
          <w:rFonts w:ascii="宋体" w:hAnsi="宋体" w:cs="宋体"/>
          <w:szCs w:val="21"/>
          <w:highlight w:val="none"/>
        </w:rPr>
        <w:t xml:space="preserve"> </w:t>
      </w:r>
      <w:r>
        <w:rPr>
          <w:rFonts w:hint="eastAsia" w:ascii="宋体" w:hAnsi="宋体" w:cs="宋体"/>
          <w:szCs w:val="21"/>
          <w:highlight w:val="none"/>
        </w:rPr>
        <w:t>拒不执行发包人</w:t>
      </w:r>
      <w:r>
        <w:rPr>
          <w:rFonts w:hint="eastAsia" w:ascii="宋体" w:hAnsi="宋体" w:cs="Times New Roman"/>
          <w:highlight w:val="none"/>
        </w:rPr>
        <w:t>或监理单位（如有）</w:t>
      </w:r>
      <w:r>
        <w:rPr>
          <w:rFonts w:hint="eastAsia" w:ascii="宋体" w:hAnsi="宋体" w:cs="宋体"/>
          <w:szCs w:val="21"/>
          <w:highlight w:val="none"/>
        </w:rPr>
        <w:t>的指令三次（含）以上的。（相关指令违反质量和安全法规的不在此限）。</w:t>
      </w:r>
    </w:p>
    <w:p w14:paraId="7F9B619C">
      <w:pPr>
        <w:autoSpaceDE w:val="0"/>
        <w:autoSpaceDN w:val="0"/>
        <w:adjustRightInd w:val="0"/>
        <w:spacing w:line="360" w:lineRule="auto"/>
        <w:ind w:firstLine="420" w:firstLineChars="200"/>
        <w:rPr>
          <w:rFonts w:ascii="宋体" w:hAnsi="宋体" w:cs="Times New Roman"/>
          <w:highlight w:val="none"/>
        </w:rPr>
      </w:pPr>
      <w:r>
        <w:rPr>
          <w:rFonts w:ascii="宋体" w:hAnsi="宋体" w:cs="Times New Roman"/>
          <w:highlight w:val="none"/>
        </w:rPr>
        <w:t>16.2.3 因承包人违约解除合同</w:t>
      </w:r>
    </w:p>
    <w:p w14:paraId="1CF77773">
      <w:pPr>
        <w:tabs>
          <w:tab w:val="left" w:pos="482"/>
          <w:tab w:val="left" w:pos="2183"/>
          <w:tab w:val="left" w:pos="3884"/>
          <w:tab w:val="left" w:pos="5585"/>
        </w:tabs>
        <w:spacing w:line="360" w:lineRule="auto"/>
        <w:ind w:firstLine="420" w:firstLineChars="200"/>
        <w:rPr>
          <w:rFonts w:ascii="宋体" w:hAnsi="宋体" w:cs="Times New Roman"/>
          <w:szCs w:val="21"/>
          <w:highlight w:val="none"/>
        </w:rPr>
      </w:pPr>
      <w:r>
        <w:rPr>
          <w:rFonts w:ascii="宋体" w:hAnsi="宋体" w:cs="Times New Roman"/>
          <w:szCs w:val="21"/>
          <w:highlight w:val="none"/>
        </w:rPr>
        <w:t>关于承包人违约解除合同的特别约定：</w:t>
      </w:r>
      <w:r>
        <w:rPr>
          <w:rFonts w:hint="eastAsia" w:ascii="宋体" w:hAnsi="宋体" w:cs="Times New Roman"/>
          <w:highlight w:val="none"/>
          <w:u w:val="single"/>
        </w:rPr>
        <w:t>/。</w:t>
      </w:r>
    </w:p>
    <w:p w14:paraId="2634684B">
      <w:pPr>
        <w:spacing w:line="360" w:lineRule="auto"/>
        <w:ind w:firstLine="420" w:firstLineChars="200"/>
        <w:rPr>
          <w:rFonts w:ascii="宋体" w:hAnsi="宋体" w:cs="Times New Roman"/>
          <w:kern w:val="0"/>
          <w:sz w:val="24"/>
          <w:highlight w:val="none"/>
        </w:rPr>
      </w:pPr>
      <w:r>
        <w:rPr>
          <w:rFonts w:ascii="宋体" w:hAnsi="宋体" w:cs="Times New Roman"/>
          <w:highlight w:val="none"/>
        </w:rPr>
        <w:t>发包人</w:t>
      </w:r>
      <w:r>
        <w:rPr>
          <w:rFonts w:hint="eastAsia" w:ascii="宋体" w:hAnsi="宋体" w:cs="Times New Roman"/>
          <w:highlight w:val="none"/>
        </w:rPr>
        <w:t>继续</w:t>
      </w:r>
      <w:r>
        <w:rPr>
          <w:rFonts w:ascii="宋体" w:hAnsi="宋体" w:cs="Times New Roman"/>
          <w:highlight w:val="none"/>
        </w:rPr>
        <w:t>使用承包人在施工现场的材料、设备、临时工程、承包人文件和由承包人或以其名义编制的其他文件</w:t>
      </w:r>
      <w:r>
        <w:rPr>
          <w:rFonts w:hint="eastAsia" w:ascii="宋体" w:hAnsi="宋体" w:cs="Times New Roman"/>
          <w:highlight w:val="none"/>
        </w:rPr>
        <w:t>的费用承担方式</w:t>
      </w:r>
      <w:r>
        <w:rPr>
          <w:rFonts w:ascii="宋体" w:hAnsi="宋体" w:cs="Times New Roman"/>
          <w:highlight w:val="none"/>
        </w:rPr>
        <w:t>：</w:t>
      </w:r>
      <w:r>
        <w:rPr>
          <w:rFonts w:ascii="宋体" w:hAnsi="宋体" w:cs="Times New Roman"/>
          <w:highlight w:val="none"/>
          <w:u w:val="single"/>
        </w:rPr>
        <w:t xml:space="preserve">  </w:t>
      </w:r>
      <w:r>
        <w:rPr>
          <w:rFonts w:hint="eastAsia" w:ascii="宋体" w:hAnsi="宋体" w:cs="Times New Roman"/>
          <w:highlight w:val="none"/>
          <w:u w:val="single"/>
        </w:rPr>
        <w:t>费用另行约定，由发包人承担</w:t>
      </w:r>
      <w:r>
        <w:rPr>
          <w:rFonts w:ascii="宋体" w:hAnsi="宋体" w:cs="Times New Roman"/>
          <w:highlight w:val="none"/>
          <w:u w:val="single"/>
        </w:rPr>
        <w:t xml:space="preserve">   </w:t>
      </w:r>
      <w:r>
        <w:rPr>
          <w:rFonts w:hint="eastAsia" w:ascii="宋体" w:hAnsi="宋体" w:cs="Times New Roman"/>
          <w:highlight w:val="none"/>
          <w:u w:val="single"/>
        </w:rPr>
        <w:t>。</w:t>
      </w:r>
    </w:p>
    <w:p w14:paraId="1ADC50E1">
      <w:pPr>
        <w:topLinePunct/>
        <w:spacing w:line="360" w:lineRule="auto"/>
        <w:ind w:firstLine="420"/>
        <w:rPr>
          <w:rFonts w:ascii="宋体" w:hAnsi="宋体" w:cs="Times New Roman"/>
          <w:b/>
          <w:highlight w:val="none"/>
        </w:rPr>
      </w:pPr>
      <w:r>
        <w:rPr>
          <w:rFonts w:ascii="宋体" w:hAnsi="宋体" w:cs="Times New Roman"/>
          <w:b/>
          <w:highlight w:val="none"/>
        </w:rPr>
        <w:t xml:space="preserve">17. 不可抗力 </w:t>
      </w:r>
    </w:p>
    <w:p w14:paraId="7E7D9E06">
      <w:pPr>
        <w:spacing w:line="360" w:lineRule="auto"/>
        <w:ind w:firstLine="480" w:firstLineChars="200"/>
        <w:rPr>
          <w:rFonts w:ascii="宋体" w:hAnsi="宋体" w:cs="Times New Roman"/>
          <w:sz w:val="24"/>
          <w:highlight w:val="none"/>
        </w:rPr>
      </w:pPr>
      <w:r>
        <w:rPr>
          <w:rFonts w:ascii="宋体" w:hAnsi="宋体" w:cs="Times New Roman"/>
          <w:sz w:val="24"/>
          <w:highlight w:val="none"/>
        </w:rPr>
        <w:t>17.1 不可抗力的确认</w:t>
      </w:r>
    </w:p>
    <w:p w14:paraId="2239BEC1">
      <w:pPr>
        <w:spacing w:line="360" w:lineRule="auto"/>
        <w:ind w:firstLine="420" w:firstLineChars="200"/>
        <w:rPr>
          <w:rFonts w:ascii="宋体" w:hAnsi="宋体" w:cs="Times New Roman"/>
          <w:highlight w:val="none"/>
          <w:u w:val="single"/>
        </w:rPr>
      </w:pPr>
      <w:r>
        <w:rPr>
          <w:rFonts w:ascii="宋体" w:hAnsi="宋体" w:cs="Times New Roman"/>
          <w:highlight w:val="none"/>
        </w:rPr>
        <w:t>除通用合同条款约定的不可抗力事件之外，视为不可抗力的其他情形：</w:t>
      </w:r>
      <w:r>
        <w:rPr>
          <w:rFonts w:hint="eastAsia" w:ascii="宋体" w:hAnsi="宋体" w:cs="Times New Roman"/>
          <w:highlight w:val="none"/>
          <w:u w:val="single"/>
        </w:rPr>
        <w:t>/。</w:t>
      </w:r>
    </w:p>
    <w:p w14:paraId="6471D7B1">
      <w:pPr>
        <w:spacing w:line="360" w:lineRule="auto"/>
        <w:ind w:firstLine="480" w:firstLineChars="200"/>
        <w:rPr>
          <w:rFonts w:ascii="宋体" w:hAnsi="宋体" w:cs="Times New Roman"/>
          <w:sz w:val="24"/>
          <w:highlight w:val="none"/>
        </w:rPr>
      </w:pPr>
      <w:r>
        <w:rPr>
          <w:rFonts w:ascii="宋体" w:hAnsi="宋体" w:cs="Times New Roman"/>
          <w:sz w:val="24"/>
          <w:highlight w:val="none"/>
        </w:rPr>
        <w:t>17.4 因不可抗力解除合同</w:t>
      </w:r>
    </w:p>
    <w:p w14:paraId="685FC363">
      <w:pPr>
        <w:spacing w:line="360" w:lineRule="auto"/>
        <w:ind w:firstLine="420" w:firstLineChars="200"/>
        <w:rPr>
          <w:rFonts w:ascii="宋体" w:hAnsi="宋体" w:cs="Times New Roman"/>
          <w:highlight w:val="none"/>
        </w:rPr>
      </w:pPr>
      <w:r>
        <w:rPr>
          <w:rFonts w:ascii="宋体" w:hAnsi="宋体" w:cs="Times New Roman"/>
          <w:highlight w:val="none"/>
        </w:rPr>
        <w:t>合同解除后，发包人应在商定或确定发包人应支付款项后</w:t>
      </w:r>
      <w:r>
        <w:rPr>
          <w:rFonts w:ascii="宋体" w:hAnsi="宋体" w:cs="Times New Roman"/>
          <w:highlight w:val="none"/>
          <w:u w:val="single"/>
        </w:rPr>
        <w:t xml:space="preserve"> </w:t>
      </w:r>
      <w:r>
        <w:rPr>
          <w:rFonts w:hint="eastAsia" w:ascii="宋体" w:hAnsi="宋体" w:cs="Times New Roman"/>
          <w:highlight w:val="none"/>
          <w:u w:val="single"/>
        </w:rPr>
        <w:t>28</w:t>
      </w:r>
      <w:r>
        <w:rPr>
          <w:rFonts w:ascii="宋体" w:hAnsi="宋体" w:cs="Times New Roman"/>
          <w:highlight w:val="none"/>
          <w:u w:val="single"/>
        </w:rPr>
        <w:t xml:space="preserve"> </w:t>
      </w:r>
      <w:r>
        <w:rPr>
          <w:rFonts w:ascii="宋体" w:hAnsi="宋体" w:cs="Times New Roman"/>
          <w:highlight w:val="none"/>
        </w:rPr>
        <w:t>天内完成款项的支付。</w:t>
      </w:r>
    </w:p>
    <w:p w14:paraId="5BA5BBCD">
      <w:pPr>
        <w:topLinePunct/>
        <w:spacing w:line="360" w:lineRule="auto"/>
        <w:ind w:firstLine="420"/>
        <w:rPr>
          <w:rFonts w:ascii="宋体" w:hAnsi="宋体" w:cs="Times New Roman"/>
          <w:b/>
          <w:highlight w:val="none"/>
        </w:rPr>
      </w:pPr>
      <w:r>
        <w:rPr>
          <w:rFonts w:ascii="宋体" w:hAnsi="宋体" w:cs="Times New Roman"/>
          <w:b/>
          <w:highlight w:val="none"/>
        </w:rPr>
        <w:t>18. 保险</w:t>
      </w:r>
    </w:p>
    <w:p w14:paraId="6D1852BC">
      <w:pPr>
        <w:spacing w:line="360" w:lineRule="auto"/>
        <w:ind w:firstLine="480" w:firstLineChars="200"/>
        <w:rPr>
          <w:rFonts w:ascii="宋体" w:hAnsi="宋体" w:cs="Times New Roman"/>
          <w:sz w:val="24"/>
          <w:highlight w:val="none"/>
        </w:rPr>
      </w:pPr>
      <w:r>
        <w:rPr>
          <w:rFonts w:ascii="宋体" w:hAnsi="宋体" w:cs="Times New Roman"/>
          <w:sz w:val="24"/>
          <w:highlight w:val="none"/>
        </w:rPr>
        <w:t>18.1 工程保险</w:t>
      </w:r>
    </w:p>
    <w:p w14:paraId="21F51749">
      <w:pPr>
        <w:spacing w:line="360" w:lineRule="auto"/>
        <w:ind w:firstLine="420" w:firstLineChars="200"/>
        <w:rPr>
          <w:rFonts w:ascii="宋体" w:hAnsi="宋体" w:cs="Times New Roman"/>
          <w:sz w:val="24"/>
          <w:highlight w:val="none"/>
        </w:rPr>
      </w:pPr>
      <w:r>
        <w:rPr>
          <w:rFonts w:ascii="宋体" w:hAnsi="宋体" w:cs="Times New Roman"/>
          <w:highlight w:val="none"/>
        </w:rPr>
        <w:t>关于工程保险的特别约定：</w:t>
      </w:r>
      <w:r>
        <w:rPr>
          <w:rFonts w:ascii="宋体" w:hAnsi="宋体" w:cs="Times New Roman"/>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Times New Roman"/>
          <w:highlight w:val="none"/>
          <w:u w:val="single"/>
        </w:rPr>
        <w:t>。</w:t>
      </w:r>
    </w:p>
    <w:p w14:paraId="74AE2369">
      <w:pPr>
        <w:spacing w:line="360" w:lineRule="auto"/>
        <w:ind w:firstLine="480" w:firstLineChars="200"/>
        <w:rPr>
          <w:rFonts w:ascii="宋体" w:hAnsi="宋体" w:cs="Times New Roman"/>
          <w:sz w:val="24"/>
          <w:highlight w:val="none"/>
        </w:rPr>
      </w:pPr>
      <w:r>
        <w:rPr>
          <w:rFonts w:ascii="宋体" w:hAnsi="宋体" w:cs="Times New Roman"/>
          <w:sz w:val="24"/>
          <w:highlight w:val="none"/>
        </w:rPr>
        <w:t>18.3 其他保险</w:t>
      </w:r>
    </w:p>
    <w:p w14:paraId="58566DF0">
      <w:pPr>
        <w:spacing w:line="360" w:lineRule="auto"/>
        <w:ind w:firstLine="420" w:firstLineChars="200"/>
        <w:rPr>
          <w:rFonts w:ascii="宋体" w:hAnsi="宋体" w:cs="Times New Roman"/>
          <w:highlight w:val="none"/>
          <w:u w:val="single"/>
        </w:rPr>
      </w:pPr>
      <w:r>
        <w:rPr>
          <w:rFonts w:ascii="宋体" w:hAnsi="宋体" w:cs="Times New Roman"/>
          <w:highlight w:val="none"/>
        </w:rPr>
        <w:t>关于其他保险的约定</w:t>
      </w:r>
      <w:r>
        <w:rPr>
          <w:rFonts w:ascii="宋体" w:hAnsi="宋体" w:cs="Times New Roman"/>
          <w:highlight w:val="none"/>
          <w:u w:val="single"/>
        </w:rPr>
        <w:t>：</w:t>
      </w:r>
      <w:r>
        <w:rPr>
          <w:rFonts w:hint="eastAsia" w:ascii="宋体" w:hAnsi="宋体" w:cs="Times New Roman"/>
          <w:highlight w:val="none"/>
          <w:u w:val="single"/>
        </w:rPr>
        <w:t>承包人应办理与本工程相关的保险，费用均包含在合同总价内</w:t>
      </w:r>
      <w:r>
        <w:rPr>
          <w:rFonts w:ascii="宋体" w:hAnsi="宋体" w:cs="Times New Roman"/>
          <w:kern w:val="0"/>
          <w:highlight w:val="none"/>
          <w:u w:val="single"/>
        </w:rPr>
        <w:t xml:space="preserve"> </w:t>
      </w:r>
      <w:r>
        <w:rPr>
          <w:rFonts w:hint="eastAsia" w:ascii="宋体" w:hAnsi="宋体" w:cs="Times New Roman"/>
          <w:kern w:val="0"/>
          <w:highlight w:val="none"/>
        </w:rPr>
        <w:t>。</w:t>
      </w:r>
    </w:p>
    <w:p w14:paraId="6F22BA2F">
      <w:pPr>
        <w:spacing w:line="360" w:lineRule="auto"/>
        <w:ind w:firstLine="420" w:firstLineChars="200"/>
        <w:rPr>
          <w:rFonts w:ascii="宋体" w:hAnsi="宋体" w:cs="Times New Roman"/>
          <w:highlight w:val="none"/>
          <w:u w:val="single"/>
        </w:rPr>
      </w:pPr>
      <w:r>
        <w:rPr>
          <w:rFonts w:ascii="宋体" w:hAnsi="宋体" w:cs="Times New Roman"/>
          <w:highlight w:val="none"/>
        </w:rPr>
        <w:t>承包人是否应为其施工设备等办理财产保险：</w:t>
      </w:r>
      <w:r>
        <w:rPr>
          <w:rFonts w:ascii="宋体" w:hAnsi="宋体" w:cs="Times New Roman"/>
          <w:highlight w:val="none"/>
          <w:u w:val="single"/>
        </w:rPr>
        <w:t xml:space="preserve"> </w:t>
      </w:r>
      <w:r>
        <w:rPr>
          <w:rFonts w:hint="eastAsia" w:ascii="宋体" w:hAnsi="宋体" w:cs="Times New Roman"/>
          <w:highlight w:val="none"/>
          <w:u w:val="single"/>
        </w:rPr>
        <w:t xml:space="preserve">   /      </w:t>
      </w:r>
    </w:p>
    <w:p w14:paraId="1D429662">
      <w:pPr>
        <w:spacing w:line="360" w:lineRule="auto"/>
        <w:ind w:firstLine="480" w:firstLineChars="200"/>
        <w:rPr>
          <w:rFonts w:ascii="宋体" w:hAnsi="宋体" w:cs="Times New Roman"/>
          <w:sz w:val="24"/>
          <w:highlight w:val="none"/>
        </w:rPr>
      </w:pPr>
      <w:r>
        <w:rPr>
          <w:rFonts w:ascii="宋体" w:hAnsi="宋体" w:cs="Times New Roman"/>
          <w:sz w:val="24"/>
          <w:highlight w:val="none"/>
        </w:rPr>
        <w:t>18.7 通知义务</w:t>
      </w:r>
    </w:p>
    <w:p w14:paraId="49FA41B2">
      <w:pPr>
        <w:spacing w:line="360" w:lineRule="auto"/>
        <w:ind w:firstLine="525" w:firstLineChars="250"/>
        <w:rPr>
          <w:rFonts w:ascii="宋体" w:hAnsi="宋体" w:cs="Times New Roman"/>
          <w:sz w:val="24"/>
          <w:highlight w:val="none"/>
          <w:u w:val="single"/>
        </w:rPr>
      </w:pPr>
      <w:r>
        <w:rPr>
          <w:rFonts w:ascii="宋体" w:hAnsi="宋体" w:cs="Times New Roman"/>
          <w:highlight w:val="none"/>
        </w:rPr>
        <w:t>关于变更保险合同时的通知义务的约定：</w:t>
      </w:r>
      <w:r>
        <w:rPr>
          <w:rFonts w:hint="eastAsia" w:ascii="宋体" w:hAnsi="宋体" w:cs="Times New Roman"/>
          <w:highlight w:val="none"/>
          <w:u w:val="single"/>
        </w:rPr>
        <w:t>按通用条款执行。</w:t>
      </w:r>
    </w:p>
    <w:p w14:paraId="76225478">
      <w:pPr>
        <w:spacing w:line="360" w:lineRule="auto"/>
        <w:ind w:firstLine="482" w:firstLineChars="200"/>
        <w:rPr>
          <w:rFonts w:ascii="宋体" w:hAnsi="宋体" w:cs="Times New Roman"/>
          <w:b/>
          <w:sz w:val="24"/>
          <w:highlight w:val="none"/>
        </w:rPr>
      </w:pPr>
      <w:r>
        <w:rPr>
          <w:rFonts w:ascii="宋体" w:hAnsi="宋体" w:cs="Times New Roman"/>
          <w:b/>
          <w:sz w:val="24"/>
          <w:highlight w:val="none"/>
        </w:rPr>
        <w:t>20. 争议解决</w:t>
      </w:r>
    </w:p>
    <w:p w14:paraId="27FE0BE5">
      <w:pPr>
        <w:spacing w:line="360" w:lineRule="auto"/>
        <w:ind w:firstLine="420" w:firstLineChars="200"/>
        <w:rPr>
          <w:rFonts w:ascii="宋体" w:hAnsi="宋体" w:cs="Times New Roman"/>
          <w:szCs w:val="21"/>
          <w:highlight w:val="none"/>
        </w:rPr>
      </w:pPr>
      <w:r>
        <w:rPr>
          <w:rFonts w:ascii="宋体" w:hAnsi="宋体" w:cs="Times New Roman"/>
          <w:szCs w:val="21"/>
          <w:highlight w:val="none"/>
        </w:rPr>
        <w:t>20.3 争议评审</w:t>
      </w:r>
    </w:p>
    <w:p w14:paraId="4EF8A6AE">
      <w:pPr>
        <w:spacing w:line="360" w:lineRule="auto"/>
        <w:ind w:firstLine="420" w:firstLineChars="200"/>
        <w:rPr>
          <w:rFonts w:ascii="宋体" w:hAnsi="宋体" w:cs="Times New Roman"/>
          <w:szCs w:val="21"/>
          <w:highlight w:val="none"/>
        </w:rPr>
      </w:pPr>
      <w:r>
        <w:rPr>
          <w:rFonts w:ascii="宋体" w:hAnsi="宋体" w:cs="Times New Roman"/>
          <w:szCs w:val="21"/>
          <w:highlight w:val="none"/>
        </w:rPr>
        <w:t>合同当事人是否同意将工程争议提交争议评审小组决</w:t>
      </w:r>
      <w:r>
        <w:rPr>
          <w:rFonts w:hint="eastAsia" w:ascii="宋体" w:hAnsi="宋体" w:cs="Times New Roman"/>
          <w:szCs w:val="21"/>
          <w:highlight w:val="none"/>
        </w:rPr>
        <w:t>定：</w:t>
      </w:r>
      <w:r>
        <w:rPr>
          <w:rFonts w:hint="eastAsia" w:ascii="宋体" w:hAnsi="宋体" w:cs="Times New Roman"/>
          <w:szCs w:val="21"/>
          <w:highlight w:val="none"/>
          <w:u w:val="single"/>
        </w:rPr>
        <w:t xml:space="preserve">  否  </w:t>
      </w:r>
      <w:r>
        <w:rPr>
          <w:rFonts w:hint="eastAsia" w:ascii="宋体" w:hAnsi="宋体" w:cs="Times New Roman"/>
          <w:highlight w:val="none"/>
          <w:u w:val="single"/>
        </w:rPr>
        <w:t xml:space="preserve"> </w:t>
      </w:r>
      <w:r>
        <w:rPr>
          <w:rFonts w:hint="eastAsia" w:ascii="宋体" w:hAnsi="宋体" w:cs="Times New Roman"/>
          <w:szCs w:val="21"/>
          <w:highlight w:val="none"/>
        </w:rPr>
        <w:t xml:space="preserve">。  </w:t>
      </w:r>
    </w:p>
    <w:p w14:paraId="349E27BD">
      <w:pPr>
        <w:spacing w:line="360" w:lineRule="auto"/>
        <w:ind w:firstLine="420" w:firstLineChars="200"/>
        <w:rPr>
          <w:rFonts w:ascii="宋体" w:hAnsi="宋体" w:cs="Times New Roman"/>
          <w:szCs w:val="21"/>
          <w:highlight w:val="none"/>
        </w:rPr>
      </w:pPr>
      <w:r>
        <w:rPr>
          <w:rFonts w:ascii="宋体" w:hAnsi="宋体" w:cs="Times New Roman"/>
          <w:szCs w:val="21"/>
          <w:highlight w:val="none"/>
        </w:rPr>
        <w:t>20.3.1 争议评审小组的确定</w:t>
      </w:r>
    </w:p>
    <w:p w14:paraId="5A36073A">
      <w:pPr>
        <w:spacing w:line="360" w:lineRule="auto"/>
        <w:ind w:firstLine="420" w:firstLineChars="200"/>
        <w:rPr>
          <w:rFonts w:ascii="宋体" w:hAnsi="宋体" w:cs="Times New Roman"/>
          <w:highlight w:val="none"/>
          <w:u w:val="single"/>
        </w:rPr>
      </w:pPr>
      <w:r>
        <w:rPr>
          <w:rFonts w:ascii="宋体" w:hAnsi="宋体" w:cs="Times New Roman"/>
          <w:szCs w:val="21"/>
          <w:highlight w:val="none"/>
        </w:rPr>
        <w:t>争议评审小组成员的确定：</w:t>
      </w:r>
      <w:r>
        <w:rPr>
          <w:rFonts w:ascii="宋体" w:hAnsi="宋体" w:cs="Times New Roman"/>
          <w:szCs w:val="21"/>
          <w:highlight w:val="none"/>
          <w:u w:val="single"/>
        </w:rPr>
        <w:t xml:space="preserve">          </w:t>
      </w:r>
      <w:r>
        <w:rPr>
          <w:rFonts w:hint="eastAsia" w:ascii="宋体" w:hAnsi="宋体" w:cs="Times New Roman"/>
          <w:szCs w:val="21"/>
          <w:highlight w:val="none"/>
          <w:u w:val="single"/>
        </w:rPr>
        <w:t>无</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szCs w:val="21"/>
          <w:highlight w:val="none"/>
        </w:rPr>
        <w:t>。</w:t>
      </w:r>
    </w:p>
    <w:p w14:paraId="6CF133A0">
      <w:pPr>
        <w:spacing w:line="360" w:lineRule="auto"/>
        <w:ind w:firstLine="420" w:firstLineChars="200"/>
        <w:rPr>
          <w:rFonts w:ascii="宋体" w:hAnsi="宋体" w:cs="Times New Roman"/>
          <w:szCs w:val="21"/>
          <w:highlight w:val="none"/>
        </w:rPr>
      </w:pPr>
      <w:r>
        <w:rPr>
          <w:rFonts w:ascii="宋体" w:hAnsi="宋体" w:cs="Times New Roman"/>
          <w:szCs w:val="21"/>
          <w:highlight w:val="none"/>
        </w:rPr>
        <w:t>其他事项的约定：</w:t>
      </w:r>
      <w:r>
        <w:rPr>
          <w:rFonts w:ascii="宋体" w:hAnsi="宋体" w:cs="Times New Roman"/>
          <w:szCs w:val="21"/>
          <w:highlight w:val="none"/>
          <w:u w:val="single"/>
        </w:rPr>
        <w:t xml:space="preserve">             </w:t>
      </w:r>
      <w:r>
        <w:rPr>
          <w:rFonts w:hint="eastAsia" w:ascii="宋体" w:hAnsi="宋体" w:cs="Times New Roman"/>
          <w:szCs w:val="21"/>
          <w:highlight w:val="none"/>
          <w:u w:val="single"/>
        </w:rPr>
        <w:t>无</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szCs w:val="21"/>
          <w:highlight w:val="none"/>
        </w:rPr>
        <w:t>。</w:t>
      </w:r>
    </w:p>
    <w:p w14:paraId="6BC41D51">
      <w:pPr>
        <w:autoSpaceDE w:val="0"/>
        <w:autoSpaceDN w:val="0"/>
        <w:adjustRightInd w:val="0"/>
        <w:spacing w:line="360" w:lineRule="auto"/>
        <w:ind w:firstLine="420" w:firstLineChars="200"/>
        <w:rPr>
          <w:rFonts w:ascii="宋体" w:hAnsi="宋体" w:cs="Times New Roman"/>
          <w:szCs w:val="21"/>
          <w:highlight w:val="none"/>
        </w:rPr>
      </w:pPr>
      <w:r>
        <w:rPr>
          <w:rFonts w:ascii="宋体" w:hAnsi="宋体" w:cs="Times New Roman"/>
          <w:szCs w:val="21"/>
          <w:highlight w:val="none"/>
        </w:rPr>
        <w:t>20.3.2 争议评审小组的决定</w:t>
      </w:r>
    </w:p>
    <w:p w14:paraId="46937B3D">
      <w:pPr>
        <w:spacing w:line="360" w:lineRule="auto"/>
        <w:ind w:firstLine="420" w:firstLineChars="200"/>
        <w:rPr>
          <w:rFonts w:ascii="宋体" w:hAnsi="宋体" w:cs="Times New Roman"/>
          <w:szCs w:val="21"/>
          <w:highlight w:val="none"/>
        </w:rPr>
      </w:pPr>
      <w:r>
        <w:rPr>
          <w:rFonts w:ascii="宋体" w:hAnsi="宋体" w:cs="Times New Roman"/>
          <w:szCs w:val="21"/>
          <w:highlight w:val="none"/>
        </w:rPr>
        <w:t>合同当事人关于本项的约定：</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无</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ascii="宋体" w:hAnsi="宋体" w:cs="Times New Roman"/>
          <w:szCs w:val="21"/>
          <w:highlight w:val="none"/>
        </w:rPr>
        <w:t>。</w:t>
      </w:r>
    </w:p>
    <w:p w14:paraId="6F5415BE">
      <w:pPr>
        <w:spacing w:line="360" w:lineRule="auto"/>
        <w:ind w:firstLine="420" w:firstLineChars="200"/>
        <w:rPr>
          <w:rFonts w:ascii="宋体" w:hAnsi="宋体" w:cs="Times New Roman"/>
          <w:szCs w:val="21"/>
          <w:highlight w:val="none"/>
        </w:rPr>
      </w:pPr>
      <w:r>
        <w:rPr>
          <w:rFonts w:ascii="宋体" w:hAnsi="宋体" w:cs="Times New Roman"/>
          <w:szCs w:val="21"/>
          <w:highlight w:val="none"/>
        </w:rPr>
        <w:t>20.4仲裁或诉讼</w:t>
      </w:r>
    </w:p>
    <w:p w14:paraId="17D1EB06">
      <w:pPr>
        <w:spacing w:line="360" w:lineRule="auto"/>
        <w:ind w:firstLine="420" w:firstLineChars="200"/>
        <w:rPr>
          <w:rFonts w:ascii="宋体" w:hAnsi="宋体" w:cs="Times New Roman"/>
          <w:highlight w:val="none"/>
          <w:u w:val="single"/>
        </w:rPr>
      </w:pPr>
      <w:r>
        <w:rPr>
          <w:rFonts w:ascii="宋体" w:hAnsi="宋体" w:cs="Times New Roman"/>
          <w:szCs w:val="21"/>
          <w:highlight w:val="none"/>
        </w:rPr>
        <w:t xml:space="preserve">因合同及合同有关事项发生的争议，按下列第 </w:t>
      </w:r>
      <w:r>
        <w:rPr>
          <w:rFonts w:hint="eastAsia" w:ascii="宋体" w:hAnsi="宋体" w:cs="Times New Roman"/>
          <w:highlight w:val="none"/>
          <w:u w:val="single"/>
        </w:rPr>
        <w:t>（2）</w:t>
      </w:r>
      <w:r>
        <w:rPr>
          <w:rFonts w:ascii="宋体" w:hAnsi="宋体" w:cs="Times New Roman"/>
          <w:szCs w:val="21"/>
          <w:highlight w:val="none"/>
        </w:rPr>
        <w:t xml:space="preserve">  种方式</w:t>
      </w:r>
      <w:r>
        <w:rPr>
          <w:rFonts w:hint="eastAsia" w:ascii="宋体" w:hAnsi="宋体" w:cs="Times New Roman"/>
          <w:szCs w:val="21"/>
          <w:highlight w:val="none"/>
        </w:rPr>
        <w:t>解</w:t>
      </w:r>
      <w:r>
        <w:rPr>
          <w:rFonts w:ascii="宋体" w:hAnsi="宋体" w:cs="Times New Roman"/>
          <w:szCs w:val="21"/>
          <w:highlight w:val="none"/>
        </w:rPr>
        <w:t>决：</w:t>
      </w:r>
    </w:p>
    <w:p w14:paraId="41D29B6E">
      <w:pPr>
        <w:spacing w:line="360" w:lineRule="auto"/>
        <w:ind w:firstLine="420" w:firstLineChars="200"/>
        <w:rPr>
          <w:rFonts w:ascii="宋体" w:hAnsi="宋体" w:cs="Times New Roman"/>
          <w:szCs w:val="21"/>
          <w:highlight w:val="none"/>
        </w:rPr>
      </w:pPr>
      <w:r>
        <w:rPr>
          <w:rFonts w:ascii="宋体" w:hAnsi="宋体" w:cs="Times New Roman"/>
          <w:szCs w:val="21"/>
          <w:highlight w:val="none"/>
        </w:rPr>
        <w:t>（1）向</w:t>
      </w:r>
      <w:r>
        <w:rPr>
          <w:rFonts w:ascii="宋体" w:hAnsi="宋体" w:cs="Times New Roman"/>
          <w:szCs w:val="21"/>
          <w:highlight w:val="none"/>
          <w:u w:val="single"/>
        </w:rPr>
        <w:t xml:space="preserve">           </w:t>
      </w:r>
      <w:r>
        <w:rPr>
          <w:rFonts w:hint="eastAsia" w:ascii="宋体" w:hAnsi="宋体" w:cs="Times New Roman"/>
          <w:szCs w:val="21"/>
          <w:highlight w:val="none"/>
          <w:u w:val="single"/>
        </w:rPr>
        <w:t>/</w:t>
      </w:r>
      <w:r>
        <w:rPr>
          <w:rFonts w:ascii="宋体" w:hAnsi="宋体" w:cs="Times New Roman"/>
          <w:szCs w:val="21"/>
          <w:highlight w:val="none"/>
          <w:u w:val="single"/>
        </w:rPr>
        <w:t xml:space="preserve">          </w:t>
      </w:r>
      <w:r>
        <w:rPr>
          <w:rFonts w:ascii="宋体" w:hAnsi="宋体" w:cs="Times New Roman"/>
          <w:szCs w:val="21"/>
          <w:highlight w:val="none"/>
        </w:rPr>
        <w:t>仲裁委员会申请仲裁；</w:t>
      </w:r>
    </w:p>
    <w:p w14:paraId="1A0D6468">
      <w:pPr>
        <w:spacing w:line="360" w:lineRule="auto"/>
        <w:ind w:firstLine="420" w:firstLineChars="200"/>
        <w:rPr>
          <w:rFonts w:ascii="宋体" w:hAnsi="宋体" w:cs="Times New Roman"/>
          <w:szCs w:val="21"/>
          <w:highlight w:val="none"/>
        </w:rPr>
      </w:pPr>
      <w:r>
        <w:rPr>
          <w:rFonts w:ascii="宋体" w:hAnsi="宋体" w:cs="Times New Roman"/>
          <w:szCs w:val="21"/>
          <w:highlight w:val="none"/>
        </w:rPr>
        <w:t xml:space="preserve">（2）向 </w:t>
      </w:r>
      <w:r>
        <w:rPr>
          <w:rFonts w:ascii="宋体" w:hAnsi="宋体" w:cs="Times New Roman"/>
          <w:highlight w:val="none"/>
          <w:u w:val="single"/>
        </w:rPr>
        <w:t xml:space="preserve"> </w:t>
      </w:r>
      <w:r>
        <w:rPr>
          <w:rFonts w:hint="eastAsia" w:ascii="宋体" w:hAnsi="宋体" w:cs="Times New Roman"/>
          <w:highlight w:val="none"/>
          <w:u w:val="single"/>
        </w:rPr>
        <w:t xml:space="preserve">工程所在地 </w:t>
      </w:r>
      <w:r>
        <w:rPr>
          <w:rFonts w:ascii="宋体" w:hAnsi="宋体" w:cs="Times New Roman"/>
          <w:szCs w:val="21"/>
          <w:highlight w:val="none"/>
        </w:rPr>
        <w:t>人民法院起诉。</w:t>
      </w:r>
    </w:p>
    <w:p w14:paraId="21E33BCA">
      <w:pPr>
        <w:spacing w:line="360" w:lineRule="auto"/>
        <w:ind w:firstLine="472" w:firstLineChars="196"/>
        <w:rPr>
          <w:rFonts w:ascii="宋体" w:hAnsi="宋体" w:cs="Times New Roman"/>
          <w:b/>
          <w:sz w:val="24"/>
          <w:highlight w:val="none"/>
        </w:rPr>
      </w:pPr>
      <w:r>
        <w:rPr>
          <w:rFonts w:hint="eastAsia" w:ascii="宋体" w:hAnsi="宋体" w:cs="Times New Roman"/>
          <w:b/>
          <w:sz w:val="24"/>
          <w:highlight w:val="none"/>
        </w:rPr>
        <w:t>21其他补充约定</w:t>
      </w:r>
    </w:p>
    <w:p w14:paraId="009C721E">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w:t>
      </w:r>
      <w:r>
        <w:rPr>
          <w:rFonts w:hint="eastAsia" w:ascii="宋体" w:hAnsi="宋体" w:cs="Times New Roman"/>
          <w:highlight w:val="none"/>
          <w:u w:val="single"/>
        </w:rPr>
        <w:t>1</w:t>
      </w:r>
      <w:r>
        <w:rPr>
          <w:rFonts w:ascii="宋体" w:hAnsi="宋体" w:cs="Times New Roman"/>
          <w:highlight w:val="none"/>
          <w:u w:val="single"/>
        </w:rPr>
        <w:t>承包人未按合同约定履行义务，造成工程质量低下、进度迟缓、延迟开工15天以上、管理混乱，发包人有权终止合同，没收全部履约担保，承包人应赔偿发包人因此造成的一切经济损失、依法承担相应的法律责任。</w:t>
      </w:r>
    </w:p>
    <w:p w14:paraId="6141ECFB">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21.2工程的保管</w:t>
      </w:r>
    </w:p>
    <w:p w14:paraId="499E5069">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21.2.1开工日后，施工场地由承包人负责保管并负担保管费用。</w:t>
      </w:r>
    </w:p>
    <w:p w14:paraId="2A33C217">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21.2.2施工期间，承包人实施的在建工程，承包人采购的物资、使用的设备，以及发包人采购但已经交付给承包人的物资、设备，由承包人负责保管并负担保管费用。</w:t>
      </w:r>
    </w:p>
    <w:p w14:paraId="700F7B69">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21.2.3竣工日后到依据专用条款确定的工程移交日前，竣工工程（包括附属设备、设施），由承包人负责保管并负担保管费用。</w:t>
      </w:r>
    </w:p>
    <w:p w14:paraId="5DB3E982">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C76E256">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10DD9D3F">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21.3合格工程的移交</w:t>
      </w:r>
    </w:p>
    <w:p w14:paraId="0FA452B3">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617360F3">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21.3.2承包人应当向发包人实施工程移交的内容包括但不限于：</w:t>
      </w:r>
    </w:p>
    <w:p w14:paraId="4DE64699">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①承包人实施承包的全部工程；</w:t>
      </w:r>
    </w:p>
    <w:p w14:paraId="224B640F">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②工程的全部附属设施、设备；</w:t>
      </w:r>
    </w:p>
    <w:p w14:paraId="1D20983E">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③工程竣工资料原件（包括但不限于：工程施工资料，工程质量保证资料，工程检验评定资料，规定的其他应交资料、附属设施以及设备的使用说明书、质量保证书、维修卡等）；</w:t>
      </w:r>
    </w:p>
    <w:p w14:paraId="58ED10AF">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④其他属于承包人移交义务的工程、设施、设备、文件资料。</w:t>
      </w:r>
    </w:p>
    <w:p w14:paraId="16F8E207">
      <w:pPr>
        <w:adjustRightInd w:val="0"/>
        <w:snapToGrid w:val="0"/>
        <w:spacing w:line="360" w:lineRule="auto"/>
        <w:ind w:firstLine="420" w:firstLineChars="200"/>
        <w:rPr>
          <w:rFonts w:ascii="宋体" w:hAnsi="宋体" w:cs="Times New Roman"/>
          <w:highlight w:val="none"/>
          <w:u w:val="single"/>
        </w:rPr>
      </w:pPr>
      <w:r>
        <w:rPr>
          <w:rFonts w:ascii="宋体" w:hAnsi="宋体" w:cs="Times New Roman"/>
          <w:highlight w:val="none"/>
          <w:u w:val="single"/>
        </w:rPr>
        <w:t>21.4</w:t>
      </w:r>
      <w:r>
        <w:rPr>
          <w:rFonts w:hint="eastAsia" w:ascii="宋体" w:hAnsi="宋体" w:cs="Times New Roman"/>
          <w:highlight w:val="none"/>
          <w:u w:val="single"/>
        </w:rPr>
        <w:t>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4A72F7EB">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21.</w:t>
      </w:r>
      <w:r>
        <w:rPr>
          <w:rFonts w:ascii="宋体" w:hAnsi="宋体" w:cs="Times New Roman"/>
          <w:highlight w:val="none"/>
          <w:u w:val="single"/>
        </w:rPr>
        <w:t>5</w:t>
      </w:r>
      <w:r>
        <w:rPr>
          <w:rFonts w:hint="eastAsia" w:ascii="宋体" w:hAnsi="宋体" w:cs="Times New Roman"/>
          <w:highlight w:val="none"/>
          <w:u w:val="single"/>
        </w:rPr>
        <w:t>发包人保留在签约后调整部分承包范围的权利，直至某些项目的取消，合同价做相应调整，承包人不得因此原因进行索赔。</w:t>
      </w:r>
    </w:p>
    <w:p w14:paraId="6956305C">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21.</w:t>
      </w:r>
      <w:r>
        <w:rPr>
          <w:rFonts w:ascii="宋体" w:hAnsi="宋体" w:cs="Times New Roman"/>
          <w:highlight w:val="none"/>
          <w:u w:val="single"/>
        </w:rPr>
        <w:t>6</w:t>
      </w:r>
      <w:r>
        <w:rPr>
          <w:rFonts w:hint="eastAsia" w:ascii="宋体" w:hAnsi="宋体" w:cs="Times New Roman"/>
          <w:highlight w:val="none"/>
          <w:u w:val="single"/>
        </w:rPr>
        <w:t>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074BBDAD">
      <w:pPr>
        <w:adjustRightInd w:val="0"/>
        <w:snapToGrid w:val="0"/>
        <w:spacing w:line="360" w:lineRule="auto"/>
        <w:ind w:firstLine="420" w:firstLineChars="200"/>
        <w:rPr>
          <w:rFonts w:ascii="宋体" w:hAnsi="宋体" w:cs="Times New Roman"/>
          <w:highlight w:val="none"/>
          <w:u w:val="single"/>
        </w:rPr>
      </w:pPr>
      <w:r>
        <w:rPr>
          <w:rFonts w:hint="eastAsia" w:ascii="宋体" w:hAnsi="宋体" w:cs="Times New Roman"/>
          <w:highlight w:val="none"/>
          <w:u w:val="single"/>
        </w:rPr>
        <w:t>21.</w:t>
      </w:r>
      <w:r>
        <w:rPr>
          <w:rFonts w:ascii="宋体" w:hAnsi="宋体" w:cs="Times New Roman"/>
          <w:highlight w:val="none"/>
          <w:u w:val="single"/>
        </w:rPr>
        <w:t>7</w:t>
      </w:r>
      <w:r>
        <w:rPr>
          <w:rFonts w:hint="eastAsia" w:ascii="宋体" w:hAnsi="宋体" w:cs="Times New Roman"/>
          <w:highlight w:val="none"/>
          <w:u w:val="single"/>
        </w:rPr>
        <w:t>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34F99131">
      <w:pPr>
        <w:spacing w:line="360" w:lineRule="auto"/>
        <w:ind w:firstLine="420" w:firstLineChars="200"/>
        <w:rPr>
          <w:rFonts w:hint="eastAsia" w:ascii="宋体" w:hAnsi="宋体" w:cs="Times New Roman"/>
          <w:highlight w:val="none"/>
          <w:u w:val="single"/>
        </w:rPr>
      </w:pPr>
      <w:r>
        <w:rPr>
          <w:rFonts w:hint="eastAsia" w:ascii="宋体" w:hAnsi="宋体" w:cs="Times New Roman"/>
          <w:highlight w:val="none"/>
          <w:u w:val="single"/>
        </w:rPr>
        <w:t>21.</w:t>
      </w:r>
      <w:r>
        <w:rPr>
          <w:rFonts w:ascii="宋体" w:hAnsi="宋体" w:cs="Times New Roman"/>
          <w:highlight w:val="none"/>
          <w:u w:val="single"/>
        </w:rPr>
        <w:t>8</w:t>
      </w:r>
      <w:r>
        <w:rPr>
          <w:rFonts w:hint="eastAsia" w:ascii="宋体" w:hAnsi="宋体" w:cs="Times New Roman"/>
          <w:highlight w:val="none"/>
          <w:u w:val="single"/>
        </w:rPr>
        <w:t>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4A616BC0">
      <w:pPr>
        <w:adjustRightInd w:val="0"/>
        <w:snapToGrid w:val="0"/>
        <w:spacing w:line="360" w:lineRule="auto"/>
        <w:ind w:firstLine="422" w:firstLineChars="200"/>
        <w:rPr>
          <w:rFonts w:ascii="宋体" w:hAnsi="宋体" w:cs="Times New Roman"/>
          <w:highlight w:val="none"/>
          <w:u w:val="single"/>
        </w:rPr>
      </w:pPr>
      <w:r>
        <w:rPr>
          <w:rFonts w:hint="eastAsia" w:ascii="宋体" w:hAnsi="宋体" w:cs="仿宋"/>
          <w:b/>
          <w:bCs/>
          <w:kern w:val="44"/>
          <w:szCs w:val="21"/>
          <w:highlight w:val="none"/>
          <w:u w:val="single"/>
        </w:rPr>
        <w:t>21.</w:t>
      </w:r>
      <w:r>
        <w:rPr>
          <w:rFonts w:hint="eastAsia" w:ascii="宋体" w:hAnsi="宋体" w:cs="仿宋"/>
          <w:b/>
          <w:bCs/>
          <w:kern w:val="44"/>
          <w:szCs w:val="21"/>
          <w:highlight w:val="none"/>
          <w:u w:val="single"/>
          <w:lang w:val="en-US" w:eastAsia="zh-CN"/>
        </w:rPr>
        <w:t>9</w:t>
      </w:r>
      <w:r>
        <w:rPr>
          <w:rFonts w:hint="eastAsia" w:ascii="宋体" w:hAnsi="宋体" w:cs="仿宋"/>
          <w:b/>
          <w:bCs/>
          <w:kern w:val="44"/>
          <w:szCs w:val="21"/>
          <w:highlight w:val="none"/>
          <w:u w:val="single"/>
        </w:rPr>
        <w:t>承包人应无条件配合发包人甲供材料的现场施工，相关措施费计入报价中，不得因此增加合同费用，也不得再向甲供材料的供应商收取配合费。</w:t>
      </w:r>
    </w:p>
    <w:p w14:paraId="31D23269">
      <w:pPr>
        <w:adjustRightInd w:val="0"/>
        <w:snapToGrid w:val="0"/>
        <w:spacing w:line="360" w:lineRule="auto"/>
        <w:ind w:firstLine="420" w:firstLineChars="200"/>
        <w:rPr>
          <w:rFonts w:ascii="宋体" w:hAnsi="宋体" w:cs="Times New Roman"/>
          <w:sz w:val="24"/>
          <w:highlight w:val="none"/>
        </w:rPr>
      </w:pPr>
      <w:bookmarkStart w:id="137" w:name="_Hlk74986491"/>
      <w:r>
        <w:rPr>
          <w:rFonts w:hint="eastAsia" w:ascii="宋体" w:hAnsi="宋体" w:cs="Times New Roman"/>
          <w:highlight w:val="none"/>
          <w:u w:val="single"/>
        </w:rPr>
        <w:t>21.1</w:t>
      </w:r>
      <w:r>
        <w:rPr>
          <w:rFonts w:hint="eastAsia" w:ascii="宋体" w:hAnsi="宋体" w:cs="Times New Roman"/>
          <w:highlight w:val="none"/>
          <w:u w:val="single"/>
          <w:lang w:val="en-US" w:eastAsia="zh-CN"/>
        </w:rPr>
        <w:t>0</w:t>
      </w:r>
      <w:r>
        <w:rPr>
          <w:rFonts w:hint="eastAsia" w:ascii="宋体" w:hAnsi="宋体" w:cs="Times New Roman"/>
          <w:highlight w:val="none"/>
          <w:u w:val="single"/>
        </w:rPr>
        <w:t>发包人签发</w:t>
      </w:r>
      <w:bookmarkEnd w:id="137"/>
      <w:r>
        <w:rPr>
          <w:rFonts w:hint="eastAsia" w:ascii="宋体" w:hAnsi="宋体" w:cs="Times New Roman"/>
          <w:highlight w:val="none"/>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0C08A370">
      <w:pPr>
        <w:spacing w:line="360" w:lineRule="auto"/>
        <w:rPr>
          <w:rFonts w:ascii="宋体" w:hAnsi="宋体" w:cs="Times New Roman"/>
          <w:b/>
          <w:sz w:val="24"/>
          <w:highlight w:val="none"/>
        </w:rPr>
      </w:pPr>
      <w:r>
        <w:rPr>
          <w:rFonts w:hint="eastAsia" w:ascii="宋体" w:hAnsi="宋体" w:cs="Times New Roman"/>
          <w:b/>
          <w:sz w:val="24"/>
          <w:highlight w:val="none"/>
        </w:rPr>
        <w:t>附件</w:t>
      </w:r>
    </w:p>
    <w:p w14:paraId="0973F0A4">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1</w:t>
      </w:r>
      <w:r>
        <w:rPr>
          <w:rFonts w:hint="eastAsia" w:ascii="宋体" w:hAnsi="宋体" w:cs="宋体"/>
          <w:szCs w:val="21"/>
          <w:highlight w:val="none"/>
        </w:rPr>
        <w:t>：工程质量保修书</w:t>
      </w:r>
    </w:p>
    <w:p w14:paraId="62ABEDAE">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2</w:t>
      </w:r>
      <w:r>
        <w:rPr>
          <w:rFonts w:hint="eastAsia" w:ascii="宋体" w:hAnsi="宋体" w:cs="宋体"/>
          <w:szCs w:val="21"/>
          <w:highlight w:val="none"/>
        </w:rPr>
        <w:t>：廉政建设合同</w:t>
      </w:r>
    </w:p>
    <w:p w14:paraId="64D0FCB4">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3</w:t>
      </w:r>
      <w:r>
        <w:rPr>
          <w:rFonts w:hint="eastAsia" w:ascii="宋体" w:hAnsi="宋体" w:cs="宋体"/>
          <w:szCs w:val="21"/>
          <w:highlight w:val="none"/>
        </w:rPr>
        <w:t>：安全生产合同</w:t>
      </w:r>
    </w:p>
    <w:p w14:paraId="62B9E38E">
      <w:pPr>
        <w:rPr>
          <w:rFonts w:hint="eastAsia" w:ascii="宋体" w:hAnsi="宋体" w:cs="Times New Roman"/>
          <w:highlight w:val="none"/>
        </w:rPr>
      </w:pPr>
      <w:r>
        <w:rPr>
          <w:rFonts w:hint="eastAsia" w:ascii="宋体" w:hAnsi="宋体" w:cs="Times New Roman"/>
          <w:highlight w:val="none"/>
        </w:rPr>
        <w:t>附件4：主要材料（设备）清单</w:t>
      </w:r>
    </w:p>
    <w:p w14:paraId="2BD43FDD">
      <w:pPr>
        <w:rPr>
          <w:rFonts w:ascii="宋体" w:hAnsi="宋体" w:cs="Times New Roman"/>
          <w:highlight w:val="none"/>
        </w:rPr>
      </w:pPr>
      <w:r>
        <w:rPr>
          <w:rFonts w:hint="eastAsia" w:ascii="宋体" w:hAnsi="宋体" w:cs="Times New Roman"/>
          <w:highlight w:val="none"/>
        </w:rPr>
        <w:t>附件5：营业执照和相关资质</w:t>
      </w:r>
    </w:p>
    <w:p w14:paraId="1F472B4E">
      <w:pPr>
        <w:spacing w:line="360" w:lineRule="auto"/>
        <w:rPr>
          <w:rFonts w:ascii="宋体" w:hAnsi="宋体" w:cs="Times New Roman"/>
          <w:sz w:val="30"/>
          <w:highlight w:val="none"/>
        </w:rPr>
      </w:pPr>
      <w:r>
        <w:rPr>
          <w:rFonts w:ascii="宋体" w:hAnsi="宋体" w:cs="Times New Roman"/>
          <w:sz w:val="30"/>
          <w:highlight w:val="none"/>
        </w:rPr>
        <w:br w:type="page"/>
      </w:r>
      <w:r>
        <w:rPr>
          <w:rFonts w:hint="eastAsia" w:ascii="宋体" w:hAnsi="宋体" w:cs="Times New Roman"/>
          <w:sz w:val="30"/>
          <w:highlight w:val="none"/>
        </w:rPr>
        <w:t>附件1：</w:t>
      </w:r>
    </w:p>
    <w:p w14:paraId="0C171B5C">
      <w:pPr>
        <w:spacing w:line="360" w:lineRule="auto"/>
        <w:jc w:val="center"/>
        <w:rPr>
          <w:rFonts w:ascii="宋体" w:hAnsi="宋体" w:cs="Times New Roman"/>
          <w:sz w:val="30"/>
          <w:highlight w:val="none"/>
        </w:rPr>
      </w:pPr>
      <w:r>
        <w:rPr>
          <w:rFonts w:hint="eastAsia" w:ascii="宋体" w:hAnsi="宋体" w:cs="Times New Roman"/>
          <w:sz w:val="30"/>
          <w:highlight w:val="none"/>
        </w:rPr>
        <w:t>工程质量保修书</w:t>
      </w:r>
    </w:p>
    <w:p w14:paraId="018267D9">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 xml:space="preserve">    </w:t>
      </w:r>
      <w:r>
        <w:rPr>
          <w:rFonts w:hint="eastAsia" w:ascii="宋体" w:hAnsi="宋体" w:cs="Times New Roman"/>
          <w:highlight w:val="none"/>
          <w:u w:val="single"/>
        </w:rPr>
        <w:t>浙江中医药大学</w:t>
      </w:r>
      <w:r>
        <w:rPr>
          <w:rFonts w:hint="eastAsia" w:ascii="宋体" w:hAnsi="宋体" w:cs="宋体"/>
          <w:szCs w:val="21"/>
          <w:highlight w:val="none"/>
          <w:u w:val="single"/>
        </w:rPr>
        <w:t xml:space="preserve">                    </w:t>
      </w:r>
    </w:p>
    <w:p w14:paraId="3AA26505">
      <w:pPr>
        <w:spacing w:line="360" w:lineRule="auto"/>
        <w:rPr>
          <w:rFonts w:ascii="宋体" w:hAnsi="宋体" w:cs="宋体"/>
          <w:szCs w:val="21"/>
          <w:highlight w:val="none"/>
        </w:rPr>
      </w:pPr>
      <w:r>
        <w:rPr>
          <w:rFonts w:hint="eastAsia" w:ascii="宋体" w:hAnsi="宋体" w:cs="宋体"/>
          <w:szCs w:val="21"/>
          <w:highlight w:val="none"/>
        </w:rPr>
        <w:t>　　承包人（全称）：</w:t>
      </w:r>
      <w:r>
        <w:rPr>
          <w:rFonts w:hint="eastAsia" w:ascii="宋体" w:hAnsi="宋体" w:cs="Times New Roman"/>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Times New Roman"/>
          <w:highlight w:val="none"/>
          <w:u w:val="single"/>
        </w:rPr>
        <w:t xml:space="preserve">    </w:t>
      </w:r>
    </w:p>
    <w:p w14:paraId="01F8575B">
      <w:pPr>
        <w:spacing w:line="360" w:lineRule="auto"/>
        <w:rPr>
          <w:rFonts w:ascii="宋体" w:hAnsi="宋体" w:cs="宋体"/>
          <w:szCs w:val="21"/>
          <w:highlight w:val="none"/>
        </w:rPr>
      </w:pPr>
    </w:p>
    <w:p w14:paraId="7BE67EBA">
      <w:pPr>
        <w:spacing w:line="360" w:lineRule="auto"/>
        <w:rPr>
          <w:rFonts w:ascii="宋体" w:hAnsi="宋体" w:cs="宋体"/>
          <w:szCs w:val="21"/>
          <w:highlight w:val="none"/>
        </w:rPr>
      </w:pPr>
      <w:r>
        <w:rPr>
          <w:rFonts w:hint="eastAsia" w:ascii="宋体" w:hAnsi="宋体" w:cs="宋体"/>
          <w:szCs w:val="21"/>
          <w:highlight w:val="none"/>
        </w:rPr>
        <w:t>　　发包人和承包人根据《中华人民共和国建筑法》和《建设工程质量管理条例》，经协商一致就</w:t>
      </w:r>
      <w:r>
        <w:rPr>
          <w:rFonts w:hint="eastAsia" w:ascii="宋体" w:hAnsi="宋体" w:cs="宋体"/>
          <w:bCs/>
          <w:szCs w:val="21"/>
          <w:highlight w:val="none"/>
          <w:u w:val="single"/>
          <w:lang w:eastAsia="zh-CN"/>
        </w:rPr>
        <w:t>浙江中医药大学Ivan Psakhye教授实验室改造项目</w:t>
      </w:r>
      <w:r>
        <w:rPr>
          <w:rFonts w:hint="eastAsia" w:ascii="宋体" w:hAnsi="宋体" w:cs="宋体"/>
          <w:szCs w:val="21"/>
          <w:highlight w:val="none"/>
        </w:rPr>
        <w:t>（工程全称）</w:t>
      </w:r>
      <w:r>
        <w:rPr>
          <w:rFonts w:hint="eastAsia" w:ascii="宋体" w:hAnsi="宋体" w:cs="宋体"/>
          <w:szCs w:val="21"/>
          <w:highlight w:val="none"/>
          <w:u w:val="single"/>
        </w:rPr>
        <w:t xml:space="preserve">           </w:t>
      </w:r>
      <w:r>
        <w:rPr>
          <w:rFonts w:hint="eastAsia" w:ascii="宋体" w:hAnsi="宋体" w:cs="宋体"/>
          <w:szCs w:val="21"/>
          <w:highlight w:val="none"/>
        </w:rPr>
        <w:t>签订工程质量保修书。</w:t>
      </w:r>
    </w:p>
    <w:p w14:paraId="6738A0CE">
      <w:pPr>
        <w:spacing w:line="360" w:lineRule="auto"/>
        <w:rPr>
          <w:rFonts w:ascii="宋体" w:hAnsi="宋体" w:cs="宋体"/>
          <w:szCs w:val="21"/>
          <w:highlight w:val="none"/>
        </w:rPr>
      </w:pPr>
      <w:r>
        <w:rPr>
          <w:rFonts w:hint="eastAsia" w:ascii="宋体" w:hAnsi="宋体" w:cs="宋体"/>
          <w:szCs w:val="21"/>
          <w:highlight w:val="none"/>
        </w:rPr>
        <w:t>　　一、工程质量保修范围和内容</w:t>
      </w:r>
    </w:p>
    <w:p w14:paraId="1A44FCB3">
      <w:pPr>
        <w:spacing w:line="360" w:lineRule="auto"/>
        <w:rPr>
          <w:rFonts w:ascii="宋体" w:hAnsi="宋体" w:cs="宋体"/>
          <w:szCs w:val="21"/>
          <w:highlight w:val="none"/>
        </w:rPr>
      </w:pPr>
      <w:r>
        <w:rPr>
          <w:rFonts w:hint="eastAsia" w:ascii="宋体" w:hAnsi="宋体" w:cs="宋体"/>
          <w:szCs w:val="21"/>
          <w:highlight w:val="none"/>
        </w:rPr>
        <w:t>　　承包人在质量保修期内，按照有关法律规定和合同约定，承担工程质量保修责任。</w:t>
      </w:r>
    </w:p>
    <w:p w14:paraId="364BC9DB">
      <w:pPr>
        <w:spacing w:line="360" w:lineRule="auto"/>
        <w:rPr>
          <w:rFonts w:ascii="宋体" w:hAnsi="宋体" w:cs="宋体"/>
          <w:szCs w:val="21"/>
          <w:highlight w:val="none"/>
        </w:rPr>
      </w:pPr>
      <w:r>
        <w:rPr>
          <w:rFonts w:hint="eastAsia" w:ascii="宋体" w:hAnsi="宋体" w:cs="宋体"/>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Times New Roman"/>
          <w:highlight w:val="none"/>
          <w:u w:val="single"/>
        </w:rPr>
        <w:t xml:space="preserve">  合同范围内所有工作内容   </w:t>
      </w:r>
      <w:r>
        <w:rPr>
          <w:rFonts w:hint="eastAsia" w:ascii="宋体" w:hAnsi="宋体" w:cs="宋体"/>
          <w:szCs w:val="21"/>
          <w:highlight w:val="none"/>
        </w:rPr>
        <w:t>。</w:t>
      </w:r>
    </w:p>
    <w:p w14:paraId="75DD5010">
      <w:pPr>
        <w:spacing w:line="360" w:lineRule="auto"/>
        <w:rPr>
          <w:rFonts w:ascii="宋体" w:hAnsi="宋体" w:cs="宋体"/>
          <w:szCs w:val="21"/>
          <w:highlight w:val="none"/>
        </w:rPr>
      </w:pPr>
      <w:r>
        <w:rPr>
          <w:rFonts w:hint="eastAsia" w:ascii="宋体" w:hAnsi="宋体" w:cs="宋体"/>
          <w:b/>
          <w:szCs w:val="21"/>
          <w:highlight w:val="none"/>
        </w:rPr>
        <w:t>　　</w:t>
      </w:r>
      <w:r>
        <w:rPr>
          <w:rFonts w:hint="eastAsia" w:ascii="宋体" w:hAnsi="宋体" w:cs="宋体"/>
          <w:szCs w:val="21"/>
          <w:highlight w:val="none"/>
        </w:rPr>
        <w:t>二、质量保修期</w:t>
      </w:r>
    </w:p>
    <w:p w14:paraId="1D5B50B3">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14:paraId="0C7A82F6">
      <w:pPr>
        <w:spacing w:line="360" w:lineRule="auto"/>
        <w:ind w:firstLine="420" w:firstLineChars="200"/>
        <w:rPr>
          <w:rFonts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14:paraId="2CCC8CB9">
      <w:pPr>
        <w:spacing w:line="360" w:lineRule="auto"/>
        <w:ind w:firstLine="420" w:firstLineChars="200"/>
        <w:rPr>
          <w:rFonts w:ascii="宋体" w:hAnsi="宋体" w:cs="宋体"/>
          <w:szCs w:val="21"/>
          <w:highlight w:val="none"/>
        </w:rPr>
      </w:pPr>
      <w:r>
        <w:rPr>
          <w:rFonts w:hint="eastAsia" w:ascii="宋体" w:hAnsi="宋体" w:cs="宋体"/>
          <w:szCs w:val="21"/>
          <w:highlight w:val="none"/>
        </w:rPr>
        <w:t>2．屋面防水工程、有防水要求的卫生间、房间和外墙面的防渗漏为</w:t>
      </w:r>
      <w:r>
        <w:rPr>
          <w:rFonts w:hint="eastAsia" w:ascii="宋体" w:hAnsi="宋体" w:cs="宋体"/>
          <w:szCs w:val="21"/>
          <w:highlight w:val="none"/>
          <w:u w:val="single"/>
        </w:rPr>
        <w:t xml:space="preserve">  /  </w:t>
      </w:r>
      <w:r>
        <w:rPr>
          <w:rFonts w:hint="eastAsia" w:ascii="宋体" w:hAnsi="宋体" w:cs="宋体"/>
          <w:szCs w:val="21"/>
          <w:highlight w:val="none"/>
        </w:rPr>
        <w:t>年；</w:t>
      </w:r>
    </w:p>
    <w:p w14:paraId="3A383CD4">
      <w:pPr>
        <w:spacing w:line="360" w:lineRule="auto"/>
        <w:ind w:firstLine="420" w:firstLineChars="200"/>
        <w:rPr>
          <w:rFonts w:ascii="宋体" w:hAnsi="宋体" w:cs="宋体"/>
          <w:szCs w:val="21"/>
          <w:highlight w:val="none"/>
        </w:rPr>
      </w:pPr>
      <w:r>
        <w:rPr>
          <w:rFonts w:hint="eastAsia" w:ascii="宋体" w:hAnsi="宋体" w:cs="宋体"/>
          <w:szCs w:val="21"/>
          <w:highlight w:val="none"/>
        </w:rPr>
        <w:t>3．装修工程为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24BCDFF9">
      <w:pPr>
        <w:spacing w:line="360" w:lineRule="auto"/>
        <w:ind w:firstLine="420" w:firstLineChars="200"/>
        <w:rPr>
          <w:rFonts w:ascii="宋体" w:hAnsi="宋体" w:cs="宋体"/>
          <w:szCs w:val="21"/>
          <w:highlight w:val="none"/>
        </w:rPr>
      </w:pPr>
      <w:r>
        <w:rPr>
          <w:rFonts w:hint="eastAsia" w:ascii="宋体" w:hAnsi="宋体" w:cs="宋体"/>
          <w:szCs w:val="21"/>
          <w:highlight w:val="none"/>
        </w:rPr>
        <w:t>4．电气管线、给排水管道、设备安装工程为</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5E1855F8">
      <w:pPr>
        <w:spacing w:line="360" w:lineRule="auto"/>
        <w:ind w:firstLine="420" w:firstLineChars="200"/>
        <w:rPr>
          <w:rFonts w:ascii="宋体" w:hAnsi="宋体" w:cs="宋体"/>
          <w:szCs w:val="21"/>
          <w:highlight w:val="none"/>
        </w:rPr>
      </w:pPr>
      <w:r>
        <w:rPr>
          <w:rFonts w:hint="eastAsia" w:ascii="宋体" w:hAnsi="宋体" w:cs="宋体"/>
          <w:szCs w:val="21"/>
          <w:highlight w:val="none"/>
        </w:rPr>
        <w:t>5．供热与供冷系统为</w:t>
      </w:r>
      <w:r>
        <w:rPr>
          <w:rFonts w:hint="eastAsia" w:ascii="宋体" w:hAnsi="宋体" w:cs="Times New Roman"/>
          <w:highlight w:val="none"/>
          <w:u w:val="single"/>
        </w:rPr>
        <w:t xml:space="preserve"> </w:t>
      </w:r>
      <w:r>
        <w:rPr>
          <w:rFonts w:ascii="宋体" w:hAnsi="宋体" w:cs="Times New Roman"/>
          <w:highlight w:val="none"/>
          <w:u w:val="single"/>
        </w:rPr>
        <w:t>/</w:t>
      </w:r>
      <w:r>
        <w:rPr>
          <w:rFonts w:hint="eastAsia" w:ascii="宋体" w:hAnsi="宋体" w:cs="Times New Roman"/>
          <w:highlight w:val="none"/>
          <w:u w:val="single"/>
        </w:rPr>
        <w:t xml:space="preserve">  </w:t>
      </w:r>
      <w:r>
        <w:rPr>
          <w:rFonts w:hint="eastAsia" w:ascii="宋体" w:hAnsi="宋体" w:cs="宋体"/>
          <w:szCs w:val="21"/>
          <w:highlight w:val="none"/>
        </w:rPr>
        <w:t>个采暖期、供冷期；</w:t>
      </w:r>
    </w:p>
    <w:p w14:paraId="1844AA34">
      <w:pPr>
        <w:spacing w:line="360" w:lineRule="auto"/>
        <w:ind w:firstLine="420" w:firstLineChars="200"/>
        <w:rPr>
          <w:rFonts w:ascii="宋体" w:hAnsi="宋体" w:cs="宋体"/>
          <w:szCs w:val="21"/>
          <w:highlight w:val="none"/>
        </w:rPr>
      </w:pPr>
      <w:r>
        <w:rPr>
          <w:rFonts w:hint="eastAsia" w:ascii="宋体" w:hAnsi="宋体" w:cs="宋体"/>
          <w:szCs w:val="21"/>
          <w:highlight w:val="none"/>
        </w:rPr>
        <w:t>6．住宅小区内的给排水设施、道路等配套工程为</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2EBAF3BA">
      <w:pPr>
        <w:spacing w:line="360" w:lineRule="auto"/>
        <w:ind w:firstLine="420" w:firstLineChars="200"/>
        <w:rPr>
          <w:rFonts w:ascii="宋体" w:hAnsi="宋体" w:cs="Times New Roman"/>
          <w:highlight w:val="none"/>
          <w:u w:val="single"/>
        </w:rPr>
      </w:pPr>
      <w:r>
        <w:rPr>
          <w:rFonts w:hint="eastAsia" w:ascii="宋体" w:hAnsi="宋体" w:cs="宋体"/>
          <w:szCs w:val="21"/>
          <w:highlight w:val="none"/>
        </w:rPr>
        <w:t>7．</w:t>
      </w:r>
      <w:r>
        <w:rPr>
          <w:rFonts w:hint="eastAsia" w:ascii="宋体" w:hAnsi="宋体" w:cs="Times New Roman"/>
          <w:highlight w:val="none"/>
          <w:u w:val="single"/>
        </w:rPr>
        <w:t xml:space="preserve">本合同所有工程内容质保期 </w:t>
      </w:r>
      <w:r>
        <w:rPr>
          <w:rFonts w:hint="eastAsia" w:ascii="宋体" w:hAnsi="宋体" w:cs="Times New Roman"/>
          <w:highlight w:val="none"/>
          <w:u w:val="single"/>
          <w:lang w:val="en-US" w:eastAsia="zh-CN"/>
        </w:rPr>
        <w:t xml:space="preserve">  </w:t>
      </w:r>
      <w:r>
        <w:rPr>
          <w:rFonts w:hint="eastAsia" w:ascii="宋体" w:hAnsi="宋体" w:cs="Times New Roman"/>
          <w:highlight w:val="none"/>
          <w:u w:val="single"/>
        </w:rPr>
        <w:t>年，时间从本项目整体竣工验收合格并交付发包人使用之日起算</w:t>
      </w:r>
      <w:r>
        <w:rPr>
          <w:rFonts w:hint="eastAsia" w:ascii="宋体" w:hAnsi="宋体" w:cs="宋体"/>
          <w:szCs w:val="21"/>
          <w:highlight w:val="none"/>
        </w:rPr>
        <w:t>；</w:t>
      </w:r>
    </w:p>
    <w:p w14:paraId="162D58F2">
      <w:pPr>
        <w:spacing w:line="360" w:lineRule="auto"/>
        <w:rPr>
          <w:rFonts w:ascii="宋体" w:hAnsi="宋体" w:cs="宋体"/>
          <w:szCs w:val="21"/>
          <w:highlight w:val="none"/>
        </w:rPr>
      </w:pPr>
      <w:r>
        <w:rPr>
          <w:rFonts w:hint="eastAsia" w:ascii="宋体" w:hAnsi="宋体" w:cs="宋体"/>
          <w:szCs w:val="21"/>
          <w:highlight w:val="none"/>
        </w:rPr>
        <w:t>　　质量保修期自工程竣工验收合格之日起计算。</w:t>
      </w:r>
    </w:p>
    <w:p w14:paraId="17948A61">
      <w:pPr>
        <w:spacing w:line="360" w:lineRule="auto"/>
        <w:ind w:firstLine="420" w:firstLineChars="200"/>
        <w:rPr>
          <w:rFonts w:ascii="宋体" w:hAnsi="宋体" w:cs="宋体"/>
          <w:szCs w:val="21"/>
          <w:highlight w:val="none"/>
        </w:rPr>
      </w:pPr>
      <w:r>
        <w:rPr>
          <w:rFonts w:hint="eastAsia" w:ascii="宋体" w:hAnsi="宋体" w:cs="宋体"/>
          <w:szCs w:val="21"/>
          <w:highlight w:val="none"/>
        </w:rPr>
        <w:t>三、缺陷责任期</w:t>
      </w:r>
    </w:p>
    <w:p w14:paraId="4C58EED6">
      <w:pPr>
        <w:spacing w:line="360" w:lineRule="auto"/>
        <w:ind w:firstLine="420" w:firstLineChars="200"/>
        <w:rPr>
          <w:rFonts w:ascii="宋体" w:hAnsi="宋体" w:cs="宋体"/>
          <w:szCs w:val="21"/>
          <w:highlight w:val="none"/>
        </w:rPr>
      </w:pPr>
      <w:r>
        <w:rPr>
          <w:rFonts w:hint="eastAsia" w:ascii="宋体" w:hAnsi="宋体" w:cs="宋体"/>
          <w:szCs w:val="21"/>
          <w:highlight w:val="none"/>
        </w:rPr>
        <w:t>工程缺陷责任期为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个月，</w:t>
      </w:r>
      <w:r>
        <w:rPr>
          <w:rFonts w:ascii="宋体" w:hAnsi="宋体" w:cs="宋体"/>
          <w:szCs w:val="21"/>
          <w:highlight w:val="none"/>
        </w:rPr>
        <w:t>缺陷责任期自工程</w:t>
      </w:r>
      <w:r>
        <w:rPr>
          <w:rFonts w:hint="eastAsia" w:ascii="宋体" w:hAnsi="宋体" w:cs="宋体"/>
          <w:szCs w:val="21"/>
          <w:highlight w:val="none"/>
        </w:rPr>
        <w:t>通过竣工验收</w:t>
      </w:r>
      <w:r>
        <w:rPr>
          <w:rFonts w:ascii="宋体" w:hAnsi="宋体" w:cs="宋体"/>
          <w:szCs w:val="21"/>
          <w:highlight w:val="none"/>
        </w:rPr>
        <w:t>之日起计算。单位工程先于全部工程进行验收，单位工程缺陷责任期自单位工程验收合格之日起算。</w:t>
      </w:r>
    </w:p>
    <w:p w14:paraId="71A2DB8D">
      <w:pPr>
        <w:adjustRightInd w:val="0"/>
        <w:snapToGrid w:val="0"/>
        <w:spacing w:line="360" w:lineRule="auto"/>
        <w:ind w:firstLine="420" w:firstLineChars="200"/>
        <w:rPr>
          <w:rFonts w:ascii="宋体" w:hAnsi="宋体" w:cs="Times New Roman"/>
          <w:szCs w:val="21"/>
          <w:highlight w:val="none"/>
        </w:rPr>
      </w:pPr>
      <w:r>
        <w:rPr>
          <w:rFonts w:hint="eastAsia" w:ascii="宋体" w:hAnsi="宋体" w:cs="宋体"/>
          <w:szCs w:val="21"/>
          <w:highlight w:val="none"/>
        </w:rPr>
        <w:t>缺陷责任期终止后，发包人退还的质量保证金。</w:t>
      </w:r>
    </w:p>
    <w:p w14:paraId="09FF0344">
      <w:pPr>
        <w:spacing w:line="360" w:lineRule="auto"/>
        <w:rPr>
          <w:rFonts w:ascii="宋体" w:hAnsi="宋体" w:cs="宋体"/>
          <w:szCs w:val="21"/>
          <w:highlight w:val="none"/>
        </w:rPr>
      </w:pPr>
      <w:r>
        <w:rPr>
          <w:rFonts w:hint="eastAsia" w:ascii="宋体" w:hAnsi="宋体" w:cs="宋体"/>
          <w:szCs w:val="21"/>
          <w:highlight w:val="none"/>
        </w:rPr>
        <w:t xml:space="preserve">    四、质量保修责任</w:t>
      </w:r>
    </w:p>
    <w:p w14:paraId="775D44EC">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1．质保期内属于保修范围、内容的项目，承包人应当在接到保修通知之日起24小时内派人维修，紧急情况下2小时内派人维修。承包人不在约定期限内派人保修的，发包人可以委托他人修理。</w:t>
      </w:r>
    </w:p>
    <w:p w14:paraId="12631D54">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14:paraId="47717F22">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68677A74">
      <w:pPr>
        <w:spacing w:line="360" w:lineRule="auto"/>
        <w:ind w:left="420" w:leftChars="200" w:firstLine="105" w:firstLineChars="50"/>
        <w:rPr>
          <w:rFonts w:ascii="宋体" w:hAnsi="宋体" w:cs="宋体"/>
          <w:szCs w:val="21"/>
          <w:highlight w:val="none"/>
        </w:rPr>
      </w:pPr>
      <w:r>
        <w:rPr>
          <w:rFonts w:hint="eastAsia" w:ascii="宋体" w:hAnsi="宋体" w:cs="宋体"/>
          <w:szCs w:val="21"/>
          <w:highlight w:val="none"/>
        </w:rPr>
        <w:t>4．质量保修完成后，由发包人组织验收。</w:t>
      </w:r>
    </w:p>
    <w:p w14:paraId="2CA1F08E">
      <w:pPr>
        <w:spacing w:line="360" w:lineRule="auto"/>
        <w:rPr>
          <w:rFonts w:ascii="宋体" w:hAnsi="宋体" w:cs="宋体"/>
          <w:szCs w:val="21"/>
          <w:highlight w:val="none"/>
        </w:rPr>
      </w:pPr>
      <w:r>
        <w:rPr>
          <w:rFonts w:hint="eastAsia" w:ascii="宋体" w:hAnsi="宋体" w:cs="宋体"/>
          <w:szCs w:val="21"/>
          <w:highlight w:val="none"/>
        </w:rPr>
        <w:t>　　 五、保修费用</w:t>
      </w:r>
    </w:p>
    <w:p w14:paraId="4DCF0C06">
      <w:pPr>
        <w:spacing w:line="360" w:lineRule="auto"/>
        <w:rPr>
          <w:rFonts w:ascii="宋体" w:hAnsi="宋体" w:cs="宋体"/>
          <w:szCs w:val="21"/>
          <w:highlight w:val="none"/>
        </w:rPr>
      </w:pPr>
      <w:r>
        <w:rPr>
          <w:rFonts w:hint="eastAsia" w:ascii="宋体" w:hAnsi="宋体" w:cs="宋体"/>
          <w:szCs w:val="21"/>
          <w:highlight w:val="none"/>
        </w:rPr>
        <w:t>　　 保修费用由造成质量缺陷的责任方承担。</w:t>
      </w:r>
    </w:p>
    <w:p w14:paraId="3873D832">
      <w:pPr>
        <w:spacing w:line="360" w:lineRule="auto"/>
        <w:rPr>
          <w:rFonts w:ascii="宋体" w:hAnsi="宋体" w:cs="Times New Roman"/>
          <w:highlight w:val="none"/>
          <w:u w:val="single"/>
        </w:rPr>
      </w:pPr>
      <w:r>
        <w:rPr>
          <w:rFonts w:hint="eastAsia" w:ascii="宋体" w:hAnsi="宋体" w:cs="宋体"/>
          <w:b/>
          <w:szCs w:val="21"/>
          <w:highlight w:val="none"/>
        </w:rPr>
        <w:t xml:space="preserve">   </w:t>
      </w:r>
      <w:r>
        <w:rPr>
          <w:rFonts w:hint="eastAsia" w:ascii="宋体" w:hAnsi="宋体" w:cs="宋体"/>
          <w:szCs w:val="21"/>
          <w:highlight w:val="none"/>
        </w:rPr>
        <w:t xml:space="preserve">  六、双方约定的其他工程质量保修事项：</w:t>
      </w:r>
    </w:p>
    <w:p w14:paraId="72975B3E">
      <w:pPr>
        <w:spacing w:line="360" w:lineRule="auto"/>
        <w:ind w:firstLine="504" w:firstLineChars="240"/>
        <w:rPr>
          <w:rFonts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14:paraId="22C89633">
      <w:pPr>
        <w:spacing w:line="360" w:lineRule="auto"/>
        <w:ind w:firstLine="420"/>
        <w:rPr>
          <w:rFonts w:ascii="宋体" w:hAnsi="宋体" w:cs="宋体"/>
          <w:szCs w:val="21"/>
          <w:highlight w:val="none"/>
        </w:rPr>
      </w:pPr>
      <w:r>
        <w:rPr>
          <w:rFonts w:hint="eastAsia" w:ascii="宋体" w:hAnsi="宋体" w:cs="宋体"/>
          <w:szCs w:val="21"/>
          <w:highlight w:val="none"/>
        </w:rPr>
        <w:t xml:space="preserve"> </w:t>
      </w:r>
    </w:p>
    <w:p w14:paraId="0EA10CDC">
      <w:pPr>
        <w:spacing w:line="360" w:lineRule="auto"/>
        <w:ind w:firstLine="420" w:firstLineChars="200"/>
        <w:rPr>
          <w:rFonts w:ascii="宋体" w:hAnsi="宋体" w:cs="Times New Roman"/>
          <w:highlight w:val="none"/>
          <w:u w:val="single"/>
        </w:rPr>
      </w:pPr>
      <w:r>
        <w:rPr>
          <w:rFonts w:hint="eastAsia" w:ascii="宋体" w:hAnsi="宋体" w:cs="宋体"/>
          <w:szCs w:val="21"/>
          <w:highlight w:val="none"/>
        </w:rPr>
        <w:t>发包人(公章)：</w:t>
      </w:r>
      <w:r>
        <w:rPr>
          <w:rFonts w:hint="eastAsia" w:ascii="宋体" w:hAnsi="宋体" w:cs="宋体"/>
          <w:szCs w:val="21"/>
          <w:highlight w:val="none"/>
          <w:u w:val="single"/>
        </w:rPr>
        <w:t xml:space="preserve"> 浙江中医药大学</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承包人(公章)：</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463942C2">
      <w:pPr>
        <w:spacing w:line="360" w:lineRule="auto"/>
        <w:ind w:left="5670" w:leftChars="200" w:right="-624" w:rightChars="-297" w:hanging="5250" w:hangingChars="2500"/>
        <w:rPr>
          <w:rFonts w:ascii="宋体" w:hAnsi="宋体" w:cs="Times New Roman"/>
          <w:highlight w:val="none"/>
        </w:rPr>
      </w:pPr>
      <w:r>
        <w:rPr>
          <w:rFonts w:hint="eastAsia" w:ascii="宋体" w:hAnsi="宋体" w:cs="宋体"/>
          <w:szCs w:val="21"/>
          <w:highlight w:val="none"/>
        </w:rPr>
        <w:t>地  址：</w:t>
      </w:r>
      <w:r>
        <w:rPr>
          <w:rFonts w:hint="eastAsia" w:ascii="宋体" w:hAnsi="宋体" w:cs="Times New Roman"/>
          <w:highlight w:val="none"/>
          <w:u w:val="single"/>
        </w:rPr>
        <w:t>杭州市滨江区滨文路</w:t>
      </w:r>
      <w:r>
        <w:rPr>
          <w:rFonts w:ascii="宋体" w:hAnsi="宋体" w:cs="Times New Roman"/>
          <w:highlight w:val="none"/>
          <w:u w:val="single"/>
        </w:rPr>
        <w:t>548</w:t>
      </w:r>
      <w:r>
        <w:rPr>
          <w:rFonts w:hint="eastAsia" w:ascii="宋体" w:hAnsi="宋体" w:cs="Times New Roman"/>
          <w:highlight w:val="none"/>
          <w:u w:val="single"/>
        </w:rPr>
        <w:t>号</w:t>
      </w:r>
      <w:r>
        <w:rPr>
          <w:rFonts w:ascii="宋体" w:hAnsi="宋体" w:cs="宋体"/>
          <w:szCs w:val="21"/>
          <w:highlight w:val="none"/>
        </w:rPr>
        <w:t xml:space="preserve">         </w:t>
      </w:r>
      <w:r>
        <w:rPr>
          <w:rFonts w:hint="eastAsia" w:ascii="宋体" w:hAnsi="宋体" w:cs="宋体"/>
          <w:szCs w:val="21"/>
          <w:highlight w:val="none"/>
        </w:rPr>
        <w:t>地  址：</w:t>
      </w:r>
      <w:r>
        <w:rPr>
          <w:rFonts w:hint="eastAsia" w:ascii="宋体" w:hAnsi="宋体" w:cs="宋体"/>
          <w:kern w:val="0"/>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179A3705">
      <w:pPr>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法定代表人(签字)：</w:t>
      </w:r>
      <w:r>
        <w:rPr>
          <w:rFonts w:hint="eastAsia" w:ascii="宋体" w:hAnsi="宋体" w:cs="Times New Roman"/>
          <w:highlight w:val="none"/>
          <w:u w:val="single"/>
        </w:rPr>
        <w:t xml:space="preserve">       </w:t>
      </w:r>
    </w:p>
    <w:p w14:paraId="7C6D7027">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Times New Roman"/>
          <w:highlight w:val="none"/>
          <w:u w:val="single"/>
        </w:rPr>
        <w:t xml:space="preserve">      </w:t>
      </w:r>
      <w:r>
        <w:rPr>
          <w:rFonts w:hint="eastAsia" w:ascii="宋体" w:hAnsi="宋体" w:cs="宋体"/>
          <w:szCs w:val="21"/>
          <w:highlight w:val="none"/>
        </w:rPr>
        <w:t xml:space="preserve">             委托代理人(签字)：</w:t>
      </w:r>
      <w:r>
        <w:rPr>
          <w:rFonts w:hint="eastAsia" w:ascii="宋体" w:hAnsi="宋体" w:cs="Times New Roman"/>
          <w:highlight w:val="none"/>
          <w:u w:val="single"/>
        </w:rPr>
        <w:t xml:space="preserve">       </w:t>
      </w:r>
    </w:p>
    <w:p w14:paraId="3AACD3C2">
      <w:pPr>
        <w:spacing w:line="360" w:lineRule="auto"/>
        <w:ind w:firstLine="420" w:firstLineChars="200"/>
        <w:rPr>
          <w:rFonts w:ascii="宋体" w:hAnsi="宋体" w:cs="宋体"/>
          <w:szCs w:val="21"/>
          <w:highlight w:val="none"/>
        </w:rPr>
      </w:pPr>
      <w:r>
        <w:rPr>
          <w:rFonts w:hint="eastAsia" w:ascii="宋体" w:hAnsi="宋体" w:cs="宋体"/>
          <w:szCs w:val="21"/>
          <w:highlight w:val="none"/>
        </w:rPr>
        <w:t>电  话：</w:t>
      </w:r>
      <w:r>
        <w:rPr>
          <w:rFonts w:hint="eastAsia" w:ascii="宋体" w:hAnsi="宋体" w:cs="Times New Roman"/>
          <w:highlight w:val="none"/>
          <w:u w:val="single"/>
        </w:rPr>
        <w:t></w:t>
      </w:r>
      <w:r>
        <w:rPr>
          <w:rFonts w:ascii="宋体" w:hAnsi="宋体" w:cs="Times New Roman"/>
          <w:highlight w:val="none"/>
          <w:u w:val="single"/>
        </w:rPr>
        <w:t xml:space="preserve">             </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052CC86F">
      <w:pPr>
        <w:spacing w:line="360" w:lineRule="auto"/>
        <w:ind w:firstLine="420" w:firstLineChars="200"/>
        <w:rPr>
          <w:rFonts w:ascii="宋体" w:hAnsi="宋体" w:cs="宋体"/>
          <w:szCs w:val="21"/>
          <w:highlight w:val="none"/>
        </w:rPr>
      </w:pPr>
      <w:r>
        <w:rPr>
          <w:rFonts w:hint="eastAsia" w:ascii="宋体" w:hAnsi="宋体" w:cs="宋体"/>
          <w:szCs w:val="21"/>
          <w:highlight w:val="none"/>
        </w:rPr>
        <w:t>传  真：</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690804EB">
      <w:pPr>
        <w:spacing w:line="360" w:lineRule="auto"/>
        <w:ind w:left="5880" w:leftChars="200" w:right="-624" w:rightChars="-297" w:hanging="5460" w:hangingChars="2600"/>
        <w:rPr>
          <w:rFonts w:ascii="宋体" w:hAnsi="宋体" w:cs="宋体"/>
          <w:szCs w:val="21"/>
          <w:highlight w:val="none"/>
        </w:rPr>
      </w:pPr>
      <w:r>
        <w:rPr>
          <w:rFonts w:hint="eastAsia" w:ascii="宋体" w:hAnsi="宋体" w:cs="宋体"/>
          <w:szCs w:val="21"/>
          <w:highlight w:val="none"/>
        </w:rPr>
        <w:t>开户银行：</w:t>
      </w:r>
      <w:r>
        <w:rPr>
          <w:rFonts w:hint="eastAsia" w:ascii="宋体" w:hAnsi="宋体" w:cs="Times New Roman"/>
          <w:highlight w:val="none"/>
          <w:u w:val="single"/>
        </w:rPr>
        <w:t>工商银行景江苑支行</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p w14:paraId="03B68975">
      <w:pPr>
        <w:spacing w:line="360" w:lineRule="auto"/>
        <w:ind w:right="-624" w:rightChars="-297" w:firstLine="420" w:firstLineChars="200"/>
        <w:rPr>
          <w:rFonts w:ascii="宋体" w:hAnsi="宋体" w:cs="宋体"/>
          <w:szCs w:val="21"/>
          <w:highlight w:val="none"/>
          <w:u w:val="single"/>
        </w:rPr>
      </w:pPr>
      <w:r>
        <w:rPr>
          <w:rFonts w:hint="eastAsia" w:ascii="宋体" w:hAnsi="宋体" w:cs="宋体"/>
          <w:szCs w:val="21"/>
          <w:highlight w:val="none"/>
        </w:rPr>
        <w:t>账  号：</w:t>
      </w:r>
      <w:r>
        <w:rPr>
          <w:rFonts w:ascii="宋体" w:hAnsi="宋体" w:cs="宋体"/>
          <w:szCs w:val="21"/>
          <w:highlight w:val="none"/>
          <w:u w:val="single"/>
        </w:rPr>
        <w:t xml:space="preserve">1202023419100001174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kern w:val="0"/>
          <w:szCs w:val="21"/>
          <w:highlight w:val="none"/>
          <w:u w:val="single"/>
        </w:rPr>
        <w:t xml:space="preserve">   </w:t>
      </w:r>
      <w:r>
        <w:rPr>
          <w:rFonts w:ascii="宋体" w:hAnsi="宋体" w:cs="Times New Roman"/>
          <w:kern w:val="0"/>
          <w:highlight w:val="none"/>
          <w:u w:val="single"/>
        </w:rPr>
        <w:t xml:space="preserve"> </w:t>
      </w:r>
    </w:p>
    <w:p w14:paraId="0441D307">
      <w:pPr>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r>
        <w:rPr>
          <w:rFonts w:hint="eastAsia" w:ascii="宋体" w:hAnsi="宋体" w:cs="Times New Roman"/>
          <w:highlight w:val="none"/>
          <w:u w:val="single"/>
        </w:rPr>
        <w:t xml:space="preserve"> </w:t>
      </w:r>
      <w:r>
        <w:rPr>
          <w:rFonts w:ascii="宋体" w:hAnsi="宋体" w:cs="Times New Roman"/>
          <w:highlight w:val="none"/>
          <w:u w:val="single"/>
        </w:rPr>
        <w:t>310053</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57D35C97">
      <w:pPr>
        <w:spacing w:line="360" w:lineRule="auto"/>
        <w:rPr>
          <w:rFonts w:ascii="宋体" w:hAnsi="宋体" w:cs="Times New Roman"/>
          <w:sz w:val="30"/>
          <w:highlight w:val="none"/>
        </w:rPr>
      </w:pPr>
      <w:r>
        <w:rPr>
          <w:rFonts w:hint="eastAsia" w:ascii="宋体" w:hAnsi="宋体" w:cs="Times New Roman"/>
          <w:sz w:val="30"/>
          <w:highlight w:val="none"/>
        </w:rPr>
        <w:br w:type="page"/>
      </w:r>
      <w:bookmarkEnd w:id="97"/>
      <w:r>
        <w:rPr>
          <w:rFonts w:hint="eastAsia" w:ascii="宋体" w:hAnsi="宋体" w:cs="Times New Roman"/>
          <w:sz w:val="30"/>
          <w:highlight w:val="none"/>
        </w:rPr>
        <w:t>附件</w:t>
      </w:r>
      <w:r>
        <w:rPr>
          <w:rFonts w:ascii="宋体" w:hAnsi="宋体" w:cs="Times New Roman"/>
          <w:sz w:val="30"/>
          <w:highlight w:val="none"/>
        </w:rPr>
        <w:t>2</w:t>
      </w:r>
      <w:r>
        <w:rPr>
          <w:rFonts w:hint="eastAsia" w:ascii="宋体" w:hAnsi="宋体" w:cs="Times New Roman"/>
          <w:sz w:val="30"/>
          <w:highlight w:val="none"/>
        </w:rPr>
        <w:t>：</w:t>
      </w:r>
    </w:p>
    <w:p w14:paraId="66CF5B9B">
      <w:pPr>
        <w:spacing w:line="360" w:lineRule="auto"/>
        <w:jc w:val="center"/>
        <w:rPr>
          <w:rFonts w:ascii="宋体" w:hAnsi="宋体" w:cs="Times New Roman"/>
          <w:sz w:val="30"/>
          <w:highlight w:val="none"/>
        </w:rPr>
      </w:pPr>
      <w:r>
        <w:rPr>
          <w:rFonts w:hint="eastAsia" w:ascii="宋体" w:hAnsi="宋体" w:cs="Times New Roman"/>
          <w:sz w:val="30"/>
          <w:highlight w:val="none"/>
        </w:rPr>
        <w:t>廉政建设合同</w:t>
      </w:r>
    </w:p>
    <w:p w14:paraId="017B42D0">
      <w:pPr>
        <w:spacing w:line="360" w:lineRule="auto"/>
        <w:jc w:val="center"/>
        <w:rPr>
          <w:rFonts w:ascii="宋体" w:hAnsi="宋体" w:cs="宋体"/>
          <w:szCs w:val="21"/>
          <w:highlight w:val="none"/>
        </w:rPr>
      </w:pPr>
    </w:p>
    <w:p w14:paraId="4AD39577">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根据有关工程建设、廉政建设的规定，为做好工程建设中的党风廉政建设，保证工程建设高效优质，保证建设资金的安全和有效使用以及投资效益，</w:t>
      </w:r>
      <w:r>
        <w:rPr>
          <w:rFonts w:hint="eastAsia" w:ascii="宋体" w:hAnsi="宋体" w:cs="Times New Roman"/>
          <w:highlight w:val="none"/>
          <w:u w:val="single"/>
          <w:lang w:eastAsia="zh-CN"/>
        </w:rPr>
        <w:t>浙江中医药大学Ivan Psakhye教授实验室改造项目</w:t>
      </w:r>
      <w:r>
        <w:rPr>
          <w:rFonts w:hint="eastAsia" w:ascii="宋体" w:hAnsi="宋体" w:cs="宋体"/>
          <w:szCs w:val="21"/>
          <w:highlight w:val="none"/>
        </w:rPr>
        <w:t>的项目法人</w:t>
      </w:r>
      <w:r>
        <w:rPr>
          <w:rFonts w:hint="eastAsia" w:ascii="宋体" w:hAnsi="宋体" w:cs="Times New Roman"/>
          <w:kern w:val="0"/>
          <w:highlight w:val="none"/>
          <w:u w:val="single"/>
        </w:rPr>
        <w:t xml:space="preserve"> </w:t>
      </w:r>
      <w:r>
        <w:rPr>
          <w:rFonts w:ascii="宋体" w:hAnsi="宋体" w:cs="Times New Roman"/>
          <w:kern w:val="0"/>
          <w:highlight w:val="none"/>
          <w:u w:val="single"/>
        </w:rPr>
        <w:t xml:space="preserve"> </w:t>
      </w:r>
      <w:r>
        <w:rPr>
          <w:rFonts w:hint="eastAsia" w:ascii="宋体" w:hAnsi="宋体" w:cs="宋体"/>
          <w:szCs w:val="21"/>
          <w:highlight w:val="none"/>
          <w:u w:val="single"/>
        </w:rPr>
        <w:t>浙江中医药大学</w:t>
      </w:r>
      <w:r>
        <w:rPr>
          <w:rFonts w:ascii="宋体" w:hAnsi="宋体" w:cs="宋体"/>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rPr>
        <w:t>（以下简称发包人）与施工单位</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（以下简称承包人），特订立如下合同。</w:t>
      </w:r>
    </w:p>
    <w:p w14:paraId="42E40D1D">
      <w:pPr>
        <w:tabs>
          <w:tab w:val="left" w:pos="360"/>
        </w:tabs>
        <w:spacing w:line="360" w:lineRule="auto"/>
        <w:ind w:firstLine="422" w:firstLineChars="200"/>
        <w:rPr>
          <w:rFonts w:ascii="宋体" w:hAnsi="宋体" w:cs="Times New Roman"/>
          <w:b/>
          <w:highlight w:val="none"/>
        </w:rPr>
      </w:pPr>
      <w:r>
        <w:rPr>
          <w:rFonts w:hint="eastAsia" w:ascii="宋体" w:hAnsi="宋体" w:cs="Times New Roman"/>
          <w:b/>
          <w:highlight w:val="none"/>
        </w:rPr>
        <w:t>第一条 双方的权利和义务</w:t>
      </w:r>
    </w:p>
    <w:p w14:paraId="5E28D57C">
      <w:pPr>
        <w:widowControl/>
        <w:numPr>
          <w:ilvl w:val="0"/>
          <w:numId w:val="4"/>
        </w:numPr>
        <w:tabs>
          <w:tab w:val="left" w:pos="36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严格遵守党和国家有关法律法规的有关规定。 </w:t>
      </w:r>
    </w:p>
    <w:p w14:paraId="62FCF4E1">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highlight w:val="none"/>
        </w:rPr>
        <w:t>（二）严格执行</w:t>
      </w:r>
      <w:r>
        <w:rPr>
          <w:rFonts w:hint="eastAsia" w:ascii="宋体" w:hAnsi="宋体" w:cs="Times New Roman"/>
          <w:highlight w:val="none"/>
          <w:u w:val="single"/>
          <w:lang w:eastAsia="zh-CN"/>
        </w:rPr>
        <w:t>浙江中医药大学Ivan Psakhye教授实验室改造项目</w:t>
      </w:r>
      <w:r>
        <w:rPr>
          <w:rFonts w:hint="eastAsia" w:ascii="宋体" w:hAnsi="宋体" w:cs="宋体"/>
          <w:szCs w:val="21"/>
          <w:highlight w:val="none"/>
        </w:rPr>
        <w:t>的合同文件，自觉按合同办事。</w:t>
      </w:r>
    </w:p>
    <w:p w14:paraId="170C5D70">
      <w:pPr>
        <w:spacing w:line="360" w:lineRule="auto"/>
        <w:ind w:firstLine="420" w:firstLineChars="200"/>
        <w:rPr>
          <w:rFonts w:ascii="宋体" w:hAnsi="宋体" w:cs="宋体"/>
          <w:szCs w:val="21"/>
          <w:highlight w:val="none"/>
        </w:rPr>
      </w:pPr>
      <w:r>
        <w:rPr>
          <w:rFonts w:hint="eastAsia" w:ascii="宋体" w:hAnsi="宋体" w:cs="宋体"/>
          <w:szCs w:val="21"/>
          <w:highlight w:val="none"/>
        </w:rPr>
        <w:t>（三）双方的业务活动坚持公开、公正、诚信、透明的原则（除法律认定的商业机密和合同文件另有规定之外），不得损害国家和集体利益，违反工程建设管理规章制度。</w:t>
      </w:r>
    </w:p>
    <w:p w14:paraId="419A4EBE">
      <w:pPr>
        <w:spacing w:line="360" w:lineRule="auto"/>
        <w:ind w:firstLine="420" w:firstLineChars="200"/>
        <w:rPr>
          <w:rFonts w:ascii="宋体" w:hAnsi="宋体" w:cs="宋体"/>
          <w:szCs w:val="21"/>
          <w:highlight w:val="none"/>
        </w:rPr>
      </w:pPr>
      <w:r>
        <w:rPr>
          <w:rFonts w:hint="eastAsia" w:ascii="宋体" w:hAnsi="宋体" w:cs="宋体"/>
          <w:szCs w:val="21"/>
          <w:highlight w:val="none"/>
        </w:rPr>
        <w:t>（四）建立健全廉政制度，开展廉政教育，设立廉政告示牌，公布举报电话，监督并认真查处违法违纪行为。</w:t>
      </w:r>
    </w:p>
    <w:p w14:paraId="7A0F59B8">
      <w:pPr>
        <w:spacing w:line="360" w:lineRule="auto"/>
        <w:ind w:firstLine="420" w:firstLineChars="200"/>
        <w:rPr>
          <w:rFonts w:ascii="宋体" w:hAnsi="宋体" w:cs="宋体"/>
          <w:szCs w:val="21"/>
          <w:highlight w:val="none"/>
        </w:rPr>
      </w:pPr>
      <w:r>
        <w:rPr>
          <w:rFonts w:hint="eastAsia" w:ascii="宋体" w:hAnsi="宋体" w:cs="宋体"/>
          <w:szCs w:val="21"/>
          <w:highlight w:val="none"/>
        </w:rPr>
        <w:t>（五）发现对方在业务活动中有违反廉政规定的行为，有及时提醒对方纠正的权利和义务。</w:t>
      </w:r>
    </w:p>
    <w:p w14:paraId="5C369D09">
      <w:pPr>
        <w:spacing w:line="360" w:lineRule="auto"/>
        <w:ind w:firstLine="420" w:firstLineChars="200"/>
        <w:rPr>
          <w:rFonts w:ascii="宋体" w:hAnsi="宋体" w:cs="宋体"/>
          <w:szCs w:val="21"/>
          <w:highlight w:val="none"/>
        </w:rPr>
      </w:pPr>
      <w:r>
        <w:rPr>
          <w:rFonts w:hint="eastAsia" w:ascii="宋体" w:hAnsi="宋体" w:cs="宋体"/>
          <w:szCs w:val="21"/>
          <w:highlight w:val="none"/>
        </w:rPr>
        <w:t>（六）发现对方严重违反本合同义务条款的行为，有向其上级有关部门举报、建议给予处分并要求告知处理结果的权利。</w:t>
      </w:r>
    </w:p>
    <w:p w14:paraId="1B5E44BD">
      <w:pPr>
        <w:spacing w:line="360" w:lineRule="auto"/>
        <w:ind w:firstLine="422" w:firstLineChars="200"/>
        <w:rPr>
          <w:rFonts w:ascii="宋体" w:hAnsi="宋体" w:cs="Times New Roman"/>
          <w:b/>
          <w:highlight w:val="none"/>
        </w:rPr>
      </w:pPr>
      <w:r>
        <w:rPr>
          <w:rFonts w:hint="eastAsia" w:ascii="宋体" w:hAnsi="宋体" w:cs="Times New Roman"/>
          <w:b/>
          <w:highlight w:val="none"/>
        </w:rPr>
        <w:t>第二条 发包人的义务</w:t>
      </w:r>
    </w:p>
    <w:p w14:paraId="18ADEA01">
      <w:pPr>
        <w:spacing w:line="360" w:lineRule="auto"/>
        <w:ind w:firstLine="420" w:firstLineChars="200"/>
        <w:rPr>
          <w:rFonts w:ascii="宋体" w:hAnsi="宋体" w:cs="宋体"/>
          <w:szCs w:val="21"/>
          <w:highlight w:val="none"/>
        </w:rPr>
      </w:pPr>
      <w:r>
        <w:rPr>
          <w:rFonts w:hint="eastAsia" w:ascii="宋体" w:hAnsi="宋体" w:cs="宋体"/>
          <w:szCs w:val="21"/>
          <w:highlight w:val="none"/>
        </w:rPr>
        <w:t>（一）发包人及其工作人员不得索要和接受承包人的礼金、有价证券和贵重物品，不得在承包人报销任何由发包人或个人支付的费用等。</w:t>
      </w:r>
    </w:p>
    <w:p w14:paraId="402730B8">
      <w:pPr>
        <w:spacing w:line="360" w:lineRule="auto"/>
        <w:ind w:firstLine="420" w:firstLineChars="200"/>
        <w:rPr>
          <w:rFonts w:ascii="宋体" w:hAnsi="宋体" w:cs="宋体"/>
          <w:szCs w:val="21"/>
          <w:highlight w:val="none"/>
        </w:rPr>
      </w:pPr>
      <w:r>
        <w:rPr>
          <w:rFonts w:hint="eastAsia" w:ascii="宋体" w:hAnsi="宋体" w:cs="宋体"/>
          <w:szCs w:val="21"/>
          <w:highlight w:val="none"/>
        </w:rPr>
        <w:t>（二）发包人工作人员不得参加承包人安排的超标准宴请和娱乐活动；不得接受承包人提供的通讯工具、交通工具和高档办公用品等。</w:t>
      </w:r>
    </w:p>
    <w:p w14:paraId="58940913">
      <w:pPr>
        <w:spacing w:line="360" w:lineRule="auto"/>
        <w:ind w:firstLine="420" w:firstLineChars="200"/>
        <w:rPr>
          <w:rFonts w:ascii="宋体" w:hAnsi="宋体" w:cs="宋体"/>
          <w:szCs w:val="21"/>
          <w:highlight w:val="none"/>
        </w:rPr>
      </w:pPr>
      <w:r>
        <w:rPr>
          <w:rFonts w:hint="eastAsia" w:ascii="宋体" w:hAnsi="宋体" w:cs="宋体"/>
          <w:szCs w:val="21"/>
          <w:highlight w:val="none"/>
        </w:rPr>
        <w:t>（三）发包人及其工作人员不得要求或者接受承包人为其住房装修、婚丧嫁娶活动、配偶子女的工作安排以及出国出境、旅游等提供方便等。</w:t>
      </w:r>
    </w:p>
    <w:p w14:paraId="5EA44006">
      <w:pPr>
        <w:spacing w:line="360" w:lineRule="auto"/>
        <w:ind w:firstLine="420" w:firstLineChars="200"/>
        <w:rPr>
          <w:rFonts w:ascii="宋体" w:hAnsi="宋体" w:cs="宋体"/>
          <w:szCs w:val="21"/>
          <w:highlight w:val="none"/>
        </w:rPr>
      </w:pPr>
      <w:r>
        <w:rPr>
          <w:rFonts w:hint="eastAsia" w:ascii="宋体" w:hAnsi="宋体" w:cs="宋体"/>
          <w:szCs w:val="21"/>
          <w:highlight w:val="none"/>
        </w:rPr>
        <w:t>（四）发包人工作人员的配偶、子女不得从事与发包人工程有关的材料设备供应、工程分包、劳务等经济活动。</w:t>
      </w:r>
    </w:p>
    <w:p w14:paraId="3BACF89E">
      <w:pPr>
        <w:spacing w:line="360" w:lineRule="auto"/>
        <w:ind w:firstLine="420" w:firstLineChars="200"/>
        <w:rPr>
          <w:rFonts w:ascii="宋体" w:hAnsi="宋体" w:cs="宋体"/>
          <w:szCs w:val="21"/>
          <w:highlight w:val="none"/>
        </w:rPr>
      </w:pPr>
      <w:r>
        <w:rPr>
          <w:rFonts w:hint="eastAsia" w:ascii="宋体" w:hAnsi="宋体" w:cs="宋体"/>
          <w:szCs w:val="21"/>
          <w:highlight w:val="none"/>
        </w:rPr>
        <w:t>（五）发包人及其工作人员不得以任何理由向承包人推荐分包单位，不得要求承包人购买合同规定外的材料和设备。</w:t>
      </w:r>
    </w:p>
    <w:p w14:paraId="0B84BB53">
      <w:pPr>
        <w:tabs>
          <w:tab w:val="left" w:pos="720"/>
          <w:tab w:val="left" w:pos="900"/>
          <w:tab w:val="left" w:pos="2880"/>
        </w:tabs>
        <w:spacing w:line="360" w:lineRule="auto"/>
        <w:ind w:firstLine="422" w:firstLineChars="200"/>
        <w:rPr>
          <w:rFonts w:ascii="宋体" w:hAnsi="宋体" w:cs="Times New Roman"/>
          <w:b/>
          <w:highlight w:val="none"/>
        </w:rPr>
      </w:pPr>
      <w:r>
        <w:rPr>
          <w:rFonts w:hint="eastAsia" w:ascii="宋体" w:hAnsi="宋体" w:cs="Times New Roman"/>
          <w:b/>
          <w:highlight w:val="none"/>
        </w:rPr>
        <w:t>第三条 承包人义务</w:t>
      </w:r>
    </w:p>
    <w:p w14:paraId="59BF4CE1">
      <w:pPr>
        <w:tabs>
          <w:tab w:val="left" w:pos="720"/>
          <w:tab w:val="left" w:pos="900"/>
          <w:tab w:val="left" w:pos="2880"/>
        </w:tabs>
        <w:spacing w:line="360" w:lineRule="auto"/>
        <w:ind w:firstLine="420" w:firstLineChars="200"/>
        <w:rPr>
          <w:rFonts w:ascii="宋体" w:hAnsi="宋体" w:cs="宋体"/>
          <w:szCs w:val="21"/>
          <w:highlight w:val="none"/>
        </w:rPr>
      </w:pPr>
      <w:r>
        <w:rPr>
          <w:rFonts w:hint="eastAsia" w:ascii="宋体" w:hAnsi="宋体" w:cs="宋体"/>
          <w:szCs w:val="21"/>
          <w:highlight w:val="none"/>
        </w:rPr>
        <w:t>（一）承包人不得以任何理由向发包人及其工作人员行贿或馈赠礼金、有价证券、贵重礼品。</w:t>
      </w:r>
    </w:p>
    <w:p w14:paraId="67A50EC8">
      <w:pPr>
        <w:spacing w:line="360" w:lineRule="auto"/>
        <w:ind w:firstLine="420" w:firstLineChars="200"/>
        <w:rPr>
          <w:rFonts w:ascii="宋体" w:hAnsi="宋体" w:cs="宋体"/>
          <w:szCs w:val="21"/>
          <w:highlight w:val="none"/>
        </w:rPr>
      </w:pPr>
      <w:r>
        <w:rPr>
          <w:rFonts w:hint="eastAsia" w:ascii="宋体" w:hAnsi="宋体" w:cs="宋体"/>
          <w:szCs w:val="21"/>
          <w:highlight w:val="none"/>
        </w:rPr>
        <w:t>（二）承包人不得以任何名义向发包人及其工作人员报销应由发包人或个人支付的任何费用。</w:t>
      </w:r>
    </w:p>
    <w:p w14:paraId="3CB2F97E">
      <w:pPr>
        <w:spacing w:line="360" w:lineRule="auto"/>
        <w:ind w:firstLine="420" w:firstLineChars="200"/>
        <w:rPr>
          <w:rFonts w:ascii="宋体" w:hAnsi="宋体" w:cs="宋体"/>
          <w:szCs w:val="21"/>
          <w:highlight w:val="none"/>
        </w:rPr>
      </w:pPr>
      <w:r>
        <w:rPr>
          <w:rFonts w:hint="eastAsia" w:ascii="宋体" w:hAnsi="宋体" w:cs="宋体"/>
          <w:szCs w:val="21"/>
          <w:highlight w:val="none"/>
        </w:rPr>
        <w:t>（三）承包人不得以任何理由安排发包人及其工作人员参加超标准宴请及娱乐活动。承包人不得为发包人或个人购置或提供通讯工具、交通工具和高档办公用品等。</w:t>
      </w:r>
    </w:p>
    <w:p w14:paraId="2669F4CA">
      <w:pPr>
        <w:tabs>
          <w:tab w:val="left" w:pos="1800"/>
          <w:tab w:val="left" w:pos="2160"/>
        </w:tabs>
        <w:spacing w:line="360" w:lineRule="auto"/>
        <w:ind w:firstLine="422" w:firstLineChars="200"/>
        <w:rPr>
          <w:rFonts w:ascii="宋体" w:hAnsi="宋体" w:cs="Times New Roman"/>
          <w:b/>
          <w:highlight w:val="none"/>
        </w:rPr>
      </w:pPr>
      <w:r>
        <w:rPr>
          <w:rFonts w:hint="eastAsia" w:ascii="宋体" w:hAnsi="宋体" w:cs="Times New Roman"/>
          <w:b/>
          <w:highlight w:val="none"/>
        </w:rPr>
        <w:t>第四条 违约责任</w:t>
      </w:r>
    </w:p>
    <w:p w14:paraId="5A338858">
      <w:pPr>
        <w:spacing w:line="360" w:lineRule="auto"/>
        <w:ind w:firstLine="420" w:firstLineChars="200"/>
        <w:rPr>
          <w:rFonts w:ascii="宋体" w:hAnsi="宋体" w:cs="宋体"/>
          <w:szCs w:val="21"/>
          <w:highlight w:val="none"/>
        </w:rPr>
      </w:pPr>
      <w:r>
        <w:rPr>
          <w:rFonts w:hint="eastAsia" w:ascii="宋体" w:hAnsi="宋体" w:cs="宋体"/>
          <w:szCs w:val="21"/>
          <w:highlight w:val="none"/>
        </w:rPr>
        <w:t>（一）发包人及其工作人员违反本合同第一、二条，按管理权限，根据有关规定，给予党纪、政纪或组织处理；涉嫌犯罪的移交司法机关追究刑事责任；给承包人造成经济损失的，应予以赔偿。</w:t>
      </w:r>
    </w:p>
    <w:p w14:paraId="77F6C10C">
      <w:pPr>
        <w:spacing w:line="360" w:lineRule="auto"/>
        <w:ind w:firstLine="420" w:firstLineChars="200"/>
        <w:rPr>
          <w:rFonts w:ascii="宋体" w:hAnsi="宋体" w:cs="宋体"/>
          <w:szCs w:val="21"/>
          <w:highlight w:val="none"/>
        </w:rPr>
      </w:pPr>
      <w:r>
        <w:rPr>
          <w:rFonts w:hint="eastAsia" w:ascii="宋体" w:hAnsi="宋体" w:cs="宋体"/>
          <w:szCs w:val="21"/>
          <w:highlight w:val="none"/>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5CAFE888">
      <w:pPr>
        <w:spacing w:line="360" w:lineRule="auto"/>
        <w:ind w:firstLine="422" w:firstLineChars="200"/>
        <w:rPr>
          <w:rFonts w:ascii="宋体" w:hAnsi="宋体" w:cs="Times New Roman"/>
          <w:b/>
          <w:highlight w:val="none"/>
        </w:rPr>
      </w:pPr>
      <w:r>
        <w:rPr>
          <w:rFonts w:hint="eastAsia" w:ascii="宋体" w:hAnsi="宋体" w:cs="Times New Roman"/>
          <w:b/>
          <w:highlight w:val="none"/>
        </w:rPr>
        <w:t>第五条 双方约定：</w:t>
      </w:r>
    </w:p>
    <w:p w14:paraId="73A856D5">
      <w:pPr>
        <w:spacing w:line="360" w:lineRule="auto"/>
        <w:ind w:firstLine="480"/>
        <w:rPr>
          <w:rFonts w:ascii="宋体" w:hAnsi="宋体" w:cs="宋体"/>
          <w:szCs w:val="21"/>
          <w:highlight w:val="none"/>
        </w:rPr>
      </w:pPr>
      <w:r>
        <w:rPr>
          <w:rFonts w:hint="eastAsia" w:ascii="宋体" w:hAnsi="宋体" w:cs="宋体"/>
          <w:szCs w:val="21"/>
          <w:highlight w:val="none"/>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89DEEE3">
      <w:pPr>
        <w:spacing w:line="360" w:lineRule="auto"/>
        <w:ind w:firstLine="422" w:firstLineChars="200"/>
        <w:rPr>
          <w:rFonts w:ascii="宋体" w:hAnsi="宋体" w:cs="宋体"/>
          <w:szCs w:val="21"/>
          <w:highlight w:val="none"/>
        </w:rPr>
      </w:pPr>
      <w:r>
        <w:rPr>
          <w:rFonts w:hint="eastAsia" w:ascii="宋体" w:hAnsi="宋体" w:cs="Times New Roman"/>
          <w:b/>
          <w:highlight w:val="none"/>
        </w:rPr>
        <w:t>第六条</w:t>
      </w:r>
      <w:r>
        <w:rPr>
          <w:rFonts w:hint="eastAsia" w:ascii="宋体" w:hAnsi="宋体" w:cs="宋体"/>
          <w:szCs w:val="21"/>
          <w:highlight w:val="none"/>
        </w:rPr>
        <w:t xml:space="preserve"> 本合同有效期为发包人与承包人双方签署之日起至该工程项目竣工验收后止。</w:t>
      </w:r>
    </w:p>
    <w:p w14:paraId="23518194">
      <w:pPr>
        <w:spacing w:line="360" w:lineRule="auto"/>
        <w:ind w:firstLine="422" w:firstLineChars="200"/>
        <w:rPr>
          <w:rFonts w:ascii="宋体" w:hAnsi="宋体" w:cs="宋体"/>
          <w:szCs w:val="21"/>
          <w:highlight w:val="none"/>
        </w:rPr>
      </w:pPr>
      <w:r>
        <w:rPr>
          <w:rFonts w:hint="eastAsia" w:ascii="宋体" w:hAnsi="宋体" w:cs="Times New Roman"/>
          <w:b/>
          <w:highlight w:val="none"/>
        </w:rPr>
        <w:t xml:space="preserve">第七条 </w:t>
      </w:r>
      <w:r>
        <w:rPr>
          <w:rFonts w:hint="eastAsia" w:ascii="宋体" w:hAnsi="宋体" w:cs="宋体"/>
          <w:szCs w:val="21"/>
          <w:highlight w:val="none"/>
        </w:rPr>
        <w:t>本合同作为</w:t>
      </w:r>
      <w:r>
        <w:rPr>
          <w:rFonts w:hint="eastAsia" w:ascii="宋体" w:hAnsi="宋体" w:cs="Times New Roman"/>
          <w:highlight w:val="none"/>
          <w:u w:val="single"/>
          <w:lang w:eastAsia="zh-CN"/>
        </w:rPr>
        <w:t>浙江中医药大学Ivan Psakhye教授实验室改造项目</w:t>
      </w:r>
      <w:r>
        <w:rPr>
          <w:rFonts w:hint="eastAsia" w:ascii="宋体" w:hAnsi="宋体" w:cs="宋体"/>
          <w:szCs w:val="21"/>
          <w:highlight w:val="none"/>
        </w:rPr>
        <w:t>施工合同的附件，与施工合同具有同等的法律效力，经合同双方签署立即生效。</w:t>
      </w:r>
    </w:p>
    <w:p w14:paraId="3A7CF5B9">
      <w:pPr>
        <w:spacing w:line="360" w:lineRule="auto"/>
        <w:ind w:firstLine="422" w:firstLineChars="200"/>
        <w:rPr>
          <w:rFonts w:ascii="宋体" w:hAnsi="宋体" w:cs="宋体"/>
          <w:szCs w:val="21"/>
          <w:highlight w:val="none"/>
        </w:rPr>
      </w:pPr>
      <w:r>
        <w:rPr>
          <w:rFonts w:hint="eastAsia" w:ascii="宋体" w:hAnsi="宋体" w:cs="Times New Roman"/>
          <w:b/>
          <w:highlight w:val="none"/>
        </w:rPr>
        <w:t xml:space="preserve">第八条 </w:t>
      </w:r>
      <w:r>
        <w:rPr>
          <w:rFonts w:hint="eastAsia" w:ascii="宋体" w:hAnsi="宋体" w:cs="宋体"/>
          <w:szCs w:val="21"/>
          <w:highlight w:val="none"/>
        </w:rPr>
        <w:t>本合同发包人与承包人双方各执三份，送交双方监督单位各一份。</w:t>
      </w:r>
    </w:p>
    <w:p w14:paraId="483F3A67">
      <w:pPr>
        <w:spacing w:line="360" w:lineRule="auto"/>
        <w:rPr>
          <w:rFonts w:ascii="宋体" w:hAnsi="宋体" w:cs="Times New Roman"/>
          <w:highlight w:val="none"/>
          <w:u w:val="single"/>
        </w:rPr>
      </w:pPr>
      <w:bookmarkStart w:id="138" w:name="_Hlk74481593"/>
      <w:r>
        <w:rPr>
          <w:rFonts w:hint="eastAsia" w:ascii="宋体" w:hAnsi="宋体" w:cs="宋体"/>
          <w:szCs w:val="21"/>
          <w:highlight w:val="none"/>
        </w:rPr>
        <w:t>发包人：浙江中医药大学</w:t>
      </w:r>
      <w:r>
        <w:rPr>
          <w:rFonts w:hint="eastAsia" w:ascii="宋体" w:hAnsi="宋体" w:cs="Times New Roman"/>
          <w:highlight w:val="none"/>
          <w:u w:val="single"/>
        </w:rPr>
        <w:t xml:space="preserve">（公章）    </w:t>
      </w:r>
      <w:r>
        <w:rPr>
          <w:rFonts w:hint="eastAsia" w:ascii="宋体" w:hAnsi="宋体" w:cs="宋体"/>
          <w:szCs w:val="21"/>
          <w:highlight w:val="none"/>
        </w:rPr>
        <w:t xml:space="preserve">     承包人：</w:t>
      </w:r>
      <w:r>
        <w:rPr>
          <w:rFonts w:hint="eastAsia" w:ascii="宋体" w:hAnsi="宋体" w:cs="宋体"/>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Times New Roman"/>
          <w:highlight w:val="none"/>
          <w:u w:val="single"/>
        </w:rPr>
        <w:t xml:space="preserve">  （公章） </w:t>
      </w:r>
    </w:p>
    <w:p w14:paraId="59D58BD8">
      <w:pPr>
        <w:spacing w:line="360" w:lineRule="auto"/>
        <w:rPr>
          <w:rFonts w:ascii="宋体" w:hAnsi="宋体" w:cs="宋体"/>
          <w:szCs w:val="21"/>
          <w:highlight w:val="none"/>
        </w:rPr>
      </w:pPr>
      <w:r>
        <w:rPr>
          <w:rFonts w:hint="eastAsia" w:ascii="宋体" w:hAnsi="宋体" w:cs="宋体"/>
          <w:szCs w:val="21"/>
          <w:highlight w:val="none"/>
        </w:rPr>
        <w:t>法定代表人或委托代理人：                法定代表人或委托代理人：</w:t>
      </w:r>
    </w:p>
    <w:p w14:paraId="5629A6AE">
      <w:pPr>
        <w:spacing w:line="360" w:lineRule="auto"/>
        <w:rPr>
          <w:rFonts w:ascii="宋体" w:hAnsi="宋体" w:cs="宋体"/>
          <w:szCs w:val="21"/>
          <w:highlight w:val="none"/>
        </w:rPr>
      </w:pPr>
      <w:bookmarkStart w:id="139" w:name="_Hlk74481629"/>
      <w:r>
        <w:rPr>
          <w:rFonts w:hint="eastAsia" w:ascii="宋体" w:hAnsi="宋体" w:cs="宋体"/>
          <w:szCs w:val="21"/>
          <w:highlight w:val="none"/>
        </w:rPr>
        <w:t>地    址：杭州市滨江区滨文路</w:t>
      </w:r>
      <w:r>
        <w:rPr>
          <w:rFonts w:ascii="宋体" w:hAnsi="宋体" w:cs="宋体"/>
          <w:szCs w:val="21"/>
          <w:highlight w:val="none"/>
        </w:rPr>
        <w:t>548</w:t>
      </w:r>
      <w:r>
        <w:rPr>
          <w:rFonts w:hint="eastAsia" w:ascii="宋体" w:hAnsi="宋体" w:cs="宋体"/>
          <w:szCs w:val="21"/>
          <w:highlight w:val="none"/>
        </w:rPr>
        <w:t xml:space="preserve">号 </w:t>
      </w:r>
      <w:r>
        <w:rPr>
          <w:rFonts w:ascii="宋体" w:hAnsi="宋体" w:cs="宋体"/>
          <w:szCs w:val="21"/>
          <w:highlight w:val="none"/>
        </w:rPr>
        <w:t xml:space="preserve">     </w:t>
      </w:r>
      <w:r>
        <w:rPr>
          <w:rFonts w:hint="eastAsia" w:ascii="宋体" w:hAnsi="宋体" w:cs="宋体"/>
          <w:szCs w:val="21"/>
          <w:highlight w:val="none"/>
        </w:rPr>
        <w:t>地    址：</w:t>
      </w:r>
    </w:p>
    <w:p w14:paraId="667D946C">
      <w:pPr>
        <w:spacing w:line="360" w:lineRule="auto"/>
        <w:rPr>
          <w:rFonts w:ascii="宋体" w:hAnsi="宋体" w:cs="宋体"/>
          <w:szCs w:val="21"/>
          <w:highlight w:val="none"/>
        </w:rPr>
      </w:pPr>
      <w:r>
        <w:rPr>
          <w:rFonts w:hint="eastAsia" w:ascii="宋体" w:hAnsi="宋体" w:cs="宋体"/>
          <w:szCs w:val="21"/>
          <w:highlight w:val="none"/>
        </w:rPr>
        <w:t>邮政编码：</w:t>
      </w:r>
      <w:r>
        <w:rPr>
          <w:rFonts w:ascii="宋体" w:hAnsi="宋体" w:cs="宋体"/>
          <w:szCs w:val="21"/>
          <w:highlight w:val="none"/>
        </w:rPr>
        <w:t>310053</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邮政编码：</w:t>
      </w:r>
    </w:p>
    <w:p w14:paraId="32A9969F">
      <w:pPr>
        <w:spacing w:line="360" w:lineRule="auto"/>
        <w:rPr>
          <w:rFonts w:ascii="宋体" w:hAnsi="宋体" w:cs="Times New Roman"/>
          <w:sz w:val="30"/>
          <w:highlight w:val="none"/>
        </w:rPr>
      </w:pPr>
      <w:r>
        <w:rPr>
          <w:rFonts w:hint="eastAsia" w:ascii="宋体" w:hAnsi="宋体" w:cs="宋体"/>
          <w:szCs w:val="21"/>
          <w:highlight w:val="none"/>
        </w:rPr>
        <w:t xml:space="preserve">电    话：             </w:t>
      </w:r>
      <w:r>
        <w:rPr>
          <w:rFonts w:ascii="宋体" w:hAnsi="宋体" w:cs="宋体"/>
          <w:szCs w:val="21"/>
          <w:highlight w:val="none"/>
        </w:rPr>
        <w:t xml:space="preserve">  </w:t>
      </w:r>
      <w:r>
        <w:rPr>
          <w:rFonts w:hint="eastAsia" w:ascii="宋体" w:hAnsi="宋体" w:cs="宋体"/>
          <w:szCs w:val="21"/>
          <w:highlight w:val="none"/>
        </w:rPr>
        <w:t xml:space="preserve">               电    话：</w:t>
      </w:r>
      <w:bookmarkEnd w:id="138"/>
      <w:bookmarkEnd w:id="139"/>
      <w:r>
        <w:rPr>
          <w:rFonts w:hint="eastAsia" w:ascii="宋体" w:hAnsi="宋体" w:cs="宋体"/>
          <w:sz w:val="30"/>
          <w:szCs w:val="30"/>
          <w:highlight w:val="none"/>
        </w:rPr>
        <w:t xml:space="preserve"> </w:t>
      </w:r>
      <w:bookmarkStart w:id="140" w:name="_Toc276907132"/>
      <w:bookmarkStart w:id="141" w:name="_Toc237256590"/>
      <w:bookmarkStart w:id="142" w:name="_Toc237979988"/>
    </w:p>
    <w:p w14:paraId="08036E8D">
      <w:pPr>
        <w:spacing w:line="360" w:lineRule="auto"/>
        <w:rPr>
          <w:rFonts w:ascii="宋体" w:hAnsi="宋体" w:cs="Times New Roman"/>
          <w:sz w:val="30"/>
          <w:highlight w:val="none"/>
        </w:rPr>
      </w:pPr>
      <w:r>
        <w:rPr>
          <w:rFonts w:hint="eastAsia" w:ascii="宋体" w:hAnsi="宋体" w:cs="Times New Roman"/>
          <w:sz w:val="30"/>
          <w:highlight w:val="none"/>
        </w:rPr>
        <w:br w:type="page"/>
      </w:r>
      <w:bookmarkEnd w:id="140"/>
      <w:bookmarkEnd w:id="141"/>
      <w:bookmarkEnd w:id="142"/>
      <w:r>
        <w:rPr>
          <w:rFonts w:hint="eastAsia" w:ascii="宋体" w:hAnsi="宋体" w:cs="Times New Roman"/>
          <w:sz w:val="30"/>
          <w:highlight w:val="none"/>
        </w:rPr>
        <w:t>附件</w:t>
      </w:r>
      <w:r>
        <w:rPr>
          <w:rFonts w:ascii="宋体" w:hAnsi="宋体" w:cs="Times New Roman"/>
          <w:sz w:val="30"/>
          <w:highlight w:val="none"/>
        </w:rPr>
        <w:t>3</w:t>
      </w:r>
      <w:r>
        <w:rPr>
          <w:rFonts w:hint="eastAsia" w:ascii="宋体" w:hAnsi="宋体" w:cs="Times New Roman"/>
          <w:sz w:val="30"/>
          <w:highlight w:val="none"/>
        </w:rPr>
        <w:t>：</w:t>
      </w:r>
    </w:p>
    <w:p w14:paraId="63802260">
      <w:pPr>
        <w:spacing w:line="360" w:lineRule="auto"/>
        <w:jc w:val="center"/>
        <w:rPr>
          <w:rFonts w:ascii="宋体" w:hAnsi="宋体" w:cs="Times New Roman"/>
          <w:sz w:val="30"/>
          <w:highlight w:val="none"/>
        </w:rPr>
      </w:pPr>
      <w:r>
        <w:rPr>
          <w:rFonts w:hint="eastAsia" w:ascii="宋体" w:hAnsi="宋体" w:cs="Times New Roman"/>
          <w:sz w:val="30"/>
          <w:highlight w:val="none"/>
        </w:rPr>
        <w:t>安全生产合同</w:t>
      </w:r>
    </w:p>
    <w:p w14:paraId="6A1162B1">
      <w:pPr>
        <w:spacing w:line="360" w:lineRule="auto"/>
        <w:jc w:val="center"/>
        <w:rPr>
          <w:rFonts w:ascii="宋体" w:hAnsi="宋体" w:cs="宋体"/>
          <w:sz w:val="30"/>
          <w:szCs w:val="30"/>
          <w:highlight w:val="none"/>
        </w:rPr>
      </w:pPr>
    </w:p>
    <w:p w14:paraId="4BF3CDEC">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为在</w:t>
      </w:r>
      <w:r>
        <w:rPr>
          <w:rFonts w:hint="eastAsia" w:ascii="宋体" w:hAnsi="宋体" w:cs="宋体"/>
          <w:bCs/>
          <w:szCs w:val="21"/>
          <w:highlight w:val="none"/>
          <w:u w:val="single"/>
          <w:lang w:eastAsia="zh-CN"/>
        </w:rPr>
        <w:t>浙江中医药大学Ivan Psakhye教授实验室改造项目</w:t>
      </w:r>
      <w:r>
        <w:rPr>
          <w:rFonts w:hint="eastAsia" w:ascii="宋体" w:hAnsi="宋体" w:cs="Times New Roman"/>
          <w:szCs w:val="21"/>
          <w:highlight w:val="none"/>
        </w:rPr>
        <w:t>合同的实施过程中创造安全、高效的施工环境，搞好本项目的安全管理工作，本项目发包人</w:t>
      </w:r>
      <w:r>
        <w:rPr>
          <w:rFonts w:hint="eastAsia" w:ascii="宋体" w:hAnsi="宋体" w:cs="Times New Roman"/>
          <w:kern w:val="0"/>
          <w:highlight w:val="none"/>
          <w:u w:val="single"/>
        </w:rPr>
        <w:t xml:space="preserve"> </w:t>
      </w:r>
      <w:r>
        <w:rPr>
          <w:rFonts w:hint="eastAsia" w:ascii="宋体" w:hAnsi="宋体" w:cs="宋体"/>
          <w:szCs w:val="21"/>
          <w:highlight w:val="none"/>
          <w:u w:val="single"/>
        </w:rPr>
        <w:t>浙江中医药大学</w:t>
      </w:r>
      <w:r>
        <w:rPr>
          <w:rFonts w:ascii="宋体" w:hAnsi="宋体" w:cs="宋体"/>
          <w:kern w:val="0"/>
          <w:szCs w:val="21"/>
          <w:highlight w:val="none"/>
          <w:u w:val="single"/>
        </w:rPr>
        <w:t xml:space="preserve"> </w:t>
      </w:r>
      <w:r>
        <w:rPr>
          <w:rFonts w:hint="eastAsia" w:ascii="宋体" w:hAnsi="宋体" w:cs="Times New Roman"/>
          <w:szCs w:val="21"/>
          <w:highlight w:val="none"/>
        </w:rPr>
        <w:t>与承包人</w:t>
      </w:r>
      <w:r>
        <w:rPr>
          <w:rFonts w:hint="eastAsia" w:ascii="宋体" w:hAnsi="宋体" w:cs="Times New Roman"/>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Times New Roman"/>
          <w:szCs w:val="21"/>
          <w:highlight w:val="none"/>
          <w:u w:val="single"/>
        </w:rPr>
        <w:t xml:space="preserve">       </w:t>
      </w:r>
      <w:r>
        <w:rPr>
          <w:rFonts w:hint="eastAsia" w:ascii="宋体" w:hAnsi="宋体" w:cs="Times New Roman"/>
          <w:szCs w:val="21"/>
          <w:highlight w:val="none"/>
        </w:rPr>
        <w:t>特此签订安全生产合同：</w:t>
      </w:r>
    </w:p>
    <w:p w14:paraId="6F4C7D25">
      <w:pPr>
        <w:numPr>
          <w:ilvl w:val="1"/>
          <w:numId w:val="5"/>
        </w:numPr>
        <w:tabs>
          <w:tab w:val="left" w:pos="540"/>
          <w:tab w:val="left" w:pos="720"/>
          <w:tab w:val="left" w:pos="900"/>
        </w:tabs>
        <w:spacing w:line="360" w:lineRule="auto"/>
        <w:ind w:hanging="1140"/>
        <w:rPr>
          <w:rFonts w:ascii="宋体" w:hAnsi="宋体" w:cs="Times New Roman"/>
          <w:b/>
          <w:highlight w:val="none"/>
        </w:rPr>
      </w:pPr>
      <w:r>
        <w:rPr>
          <w:rFonts w:hint="eastAsia" w:ascii="宋体" w:hAnsi="宋体" w:cs="Times New Roman"/>
          <w:b/>
          <w:highlight w:val="none"/>
        </w:rPr>
        <w:t>发包人职责</w:t>
      </w:r>
    </w:p>
    <w:p w14:paraId="54BDE0C2">
      <w:pPr>
        <w:tabs>
          <w:tab w:val="left" w:pos="90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1．严格遵守国家有关安全生产的法律法规，认真执行工程承包合同中的有关安全要求。</w:t>
      </w:r>
    </w:p>
    <w:p w14:paraId="259203AF">
      <w:pPr>
        <w:tabs>
          <w:tab w:val="left" w:pos="72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2.按照“安全第一、预防为主”和坚持“管生产必须管安全”的原则进行安全生产管理，做到生产与安全工作同时计划、布置、检查、总结和评比。</w:t>
      </w:r>
    </w:p>
    <w:p w14:paraId="2C66E04D">
      <w:pPr>
        <w:spacing w:line="360" w:lineRule="auto"/>
        <w:ind w:left="271" w:leftChars="129" w:firstLine="105" w:firstLineChars="50"/>
        <w:rPr>
          <w:rFonts w:ascii="宋体" w:hAnsi="宋体" w:cs="Times New Roman"/>
          <w:szCs w:val="21"/>
          <w:highlight w:val="none"/>
        </w:rPr>
      </w:pPr>
      <w:r>
        <w:rPr>
          <w:rFonts w:hint="eastAsia" w:ascii="宋体" w:hAnsi="宋体" w:cs="Times New Roman"/>
          <w:szCs w:val="21"/>
          <w:highlight w:val="none"/>
        </w:rPr>
        <w:t>3.重要的安全设施必须坚持与主体工程“三同时”的原则，即：同时设计、审批，</w:t>
      </w:r>
    </w:p>
    <w:p w14:paraId="2E896743">
      <w:pPr>
        <w:spacing w:line="360" w:lineRule="auto"/>
        <w:rPr>
          <w:rFonts w:ascii="宋体" w:hAnsi="宋体" w:cs="Times New Roman"/>
          <w:szCs w:val="21"/>
          <w:highlight w:val="none"/>
        </w:rPr>
      </w:pPr>
      <w:r>
        <w:rPr>
          <w:rFonts w:hint="eastAsia" w:ascii="宋体" w:hAnsi="宋体" w:cs="Times New Roman"/>
          <w:szCs w:val="21"/>
          <w:highlight w:val="none"/>
        </w:rPr>
        <w:t>同时施工，同时验收，投入使用。</w:t>
      </w:r>
    </w:p>
    <w:p w14:paraId="4CB57791">
      <w:pPr>
        <w:tabs>
          <w:tab w:val="left" w:pos="72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4.组织对承包人施工现场安全生产检查，监督承包人及时处理发现的各种安全隐患。</w:t>
      </w:r>
    </w:p>
    <w:p w14:paraId="2ABF4D0D">
      <w:pPr>
        <w:spacing w:line="360" w:lineRule="auto"/>
        <w:rPr>
          <w:rFonts w:ascii="宋体" w:hAnsi="宋体" w:cs="Times New Roman"/>
          <w:b/>
          <w:highlight w:val="none"/>
        </w:rPr>
      </w:pPr>
      <w:r>
        <w:rPr>
          <w:rFonts w:hint="eastAsia" w:ascii="宋体" w:hAnsi="宋体" w:cs="Times New Roman"/>
          <w:b/>
          <w:highlight w:val="none"/>
        </w:rPr>
        <w:t>二、承包人职责</w:t>
      </w:r>
    </w:p>
    <w:p w14:paraId="660C8FB8">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1.严格遵守国家有关安全生产的法律法规和有关安全生产的规定，认真执行工程承包合同中的有关安全要求。</w:t>
      </w:r>
    </w:p>
    <w:p w14:paraId="252A3D05">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3FEF1C7F">
      <w:pPr>
        <w:spacing w:line="360" w:lineRule="auto"/>
        <w:ind w:firstLine="525" w:firstLineChars="250"/>
        <w:rPr>
          <w:rFonts w:ascii="宋体" w:hAnsi="宋体" w:cs="Times New Roman"/>
          <w:szCs w:val="21"/>
          <w:highlight w:val="none"/>
        </w:rPr>
      </w:pPr>
      <w:r>
        <w:rPr>
          <w:rFonts w:hint="eastAsia" w:ascii="宋体" w:hAnsi="宋体" w:cs="Times New Roman"/>
          <w:szCs w:val="21"/>
          <w:highlight w:val="none"/>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6D77E7AE">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4.施工期间，承包人应落实预防措施，防止其员工发生任何违法、违禁、暴力或妨碍治安的行为。</w:t>
      </w:r>
    </w:p>
    <w:p w14:paraId="36F0D358">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B91E4BF">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B3A111F">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7.操作人员上岗，必须按规定穿戴防护用品。各专业施工负责人和安全检查员应随时检查劳动防护用品的穿戴情况，不按规定穿戴防护用品的人员不得上岗。</w:t>
      </w:r>
    </w:p>
    <w:p w14:paraId="14541B9B">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8.所有施工机具设备和高空作业的设备均应定期检查，并有安全员的签字记录，保证其经常处于完发状态；不合格的机具、设备和劳动保护用品严禁使用。</w:t>
      </w:r>
    </w:p>
    <w:p w14:paraId="535D0A27">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9.施工中采用新技术、新工艺、新设备、新材料时，必须制定相应的安全技术措施，施工现场必须具有相关的安全标志牌。</w:t>
      </w:r>
    </w:p>
    <w:p w14:paraId="58C80CAC">
      <w:pPr>
        <w:tabs>
          <w:tab w:val="left" w:pos="360"/>
          <w:tab w:val="left" w:pos="54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15E96ACA">
      <w:pPr>
        <w:tabs>
          <w:tab w:val="left" w:pos="360"/>
          <w:tab w:val="left" w:pos="540"/>
          <w:tab w:val="left" w:pos="900"/>
          <w:tab w:val="left" w:pos="1080"/>
        </w:tabs>
        <w:spacing w:line="360" w:lineRule="auto"/>
        <w:ind w:firstLine="420" w:firstLineChars="200"/>
        <w:rPr>
          <w:rFonts w:ascii="宋体" w:hAnsi="宋体" w:cs="Times New Roman"/>
          <w:szCs w:val="21"/>
          <w:highlight w:val="none"/>
        </w:rPr>
      </w:pPr>
    </w:p>
    <w:p w14:paraId="11A45E0B">
      <w:pPr>
        <w:tabs>
          <w:tab w:val="left" w:pos="360"/>
          <w:tab w:val="left" w:pos="540"/>
          <w:tab w:val="left" w:pos="900"/>
          <w:tab w:val="left" w:pos="1080"/>
        </w:tabs>
        <w:spacing w:line="360" w:lineRule="auto"/>
        <w:rPr>
          <w:rFonts w:ascii="宋体" w:hAnsi="宋体" w:cs="Times New Roman"/>
          <w:b/>
          <w:highlight w:val="none"/>
        </w:rPr>
      </w:pPr>
      <w:r>
        <w:rPr>
          <w:rFonts w:hint="eastAsia" w:ascii="宋体" w:hAnsi="宋体" w:cs="Times New Roman"/>
          <w:b/>
          <w:highlight w:val="none"/>
        </w:rPr>
        <w:t>三、违约责任</w:t>
      </w:r>
    </w:p>
    <w:p w14:paraId="6D6898BE">
      <w:pPr>
        <w:tabs>
          <w:tab w:val="left" w:pos="360"/>
          <w:tab w:val="left" w:pos="540"/>
          <w:tab w:val="left" w:pos="72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如因发包人或承包人违约造成安全事故，将依法追究责任。</w:t>
      </w:r>
    </w:p>
    <w:p w14:paraId="6B59F316">
      <w:pPr>
        <w:tabs>
          <w:tab w:val="left" w:pos="0"/>
          <w:tab w:val="left" w:pos="540"/>
          <w:tab w:val="left" w:pos="72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 xml:space="preserve">本合同一式八份，双方各执四份。由双方法定代表人或授权代理人签字并加盖单位印章后生效。 </w:t>
      </w:r>
    </w:p>
    <w:p w14:paraId="4F3B6667">
      <w:pPr>
        <w:tabs>
          <w:tab w:val="left" w:pos="0"/>
          <w:tab w:val="left" w:pos="540"/>
          <w:tab w:val="left" w:pos="720"/>
          <w:tab w:val="left" w:pos="900"/>
          <w:tab w:val="left" w:pos="1080"/>
        </w:tabs>
        <w:spacing w:line="360" w:lineRule="auto"/>
        <w:ind w:firstLine="420" w:firstLineChars="200"/>
        <w:rPr>
          <w:rFonts w:ascii="宋体" w:hAnsi="宋体" w:cs="Times New Roman"/>
          <w:szCs w:val="21"/>
          <w:highlight w:val="none"/>
        </w:rPr>
      </w:pPr>
    </w:p>
    <w:p w14:paraId="0800A143">
      <w:pPr>
        <w:spacing w:line="360" w:lineRule="auto"/>
        <w:rPr>
          <w:rFonts w:ascii="宋体" w:hAnsi="宋体" w:cs="Times New Roman"/>
          <w:szCs w:val="21"/>
          <w:highlight w:val="none"/>
        </w:rPr>
      </w:pPr>
      <w:r>
        <w:rPr>
          <w:rFonts w:hint="eastAsia" w:ascii="宋体" w:hAnsi="宋体" w:cs="Times New Roman"/>
          <w:szCs w:val="21"/>
          <w:highlight w:val="none"/>
        </w:rPr>
        <w:t>发包人：</w:t>
      </w:r>
      <w:r>
        <w:rPr>
          <w:rFonts w:hint="eastAsia" w:ascii="宋体" w:hAnsi="宋体" w:cs="宋体"/>
          <w:szCs w:val="21"/>
          <w:highlight w:val="none"/>
          <w:u w:val="single"/>
        </w:rPr>
        <w:t xml:space="preserve">  浙江中医药大学 </w:t>
      </w:r>
      <w:r>
        <w:rPr>
          <w:rFonts w:hint="eastAsia" w:ascii="宋体" w:hAnsi="宋体" w:cs="Times New Roman"/>
          <w:szCs w:val="21"/>
          <w:highlight w:val="none"/>
          <w:u w:val="single"/>
        </w:rPr>
        <w:t>（盖章）</w:t>
      </w:r>
      <w:r>
        <w:rPr>
          <w:rFonts w:hint="eastAsia" w:ascii="宋体" w:hAnsi="宋体" w:cs="Times New Roman"/>
          <w:szCs w:val="21"/>
          <w:highlight w:val="none"/>
        </w:rPr>
        <w:t xml:space="preserve">     承包人：</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（盖章）</w:t>
      </w:r>
      <w:r>
        <w:rPr>
          <w:rFonts w:hint="eastAsia" w:ascii="宋体" w:hAnsi="宋体" w:cs="Times New Roman"/>
          <w:highlight w:val="none"/>
          <w:u w:val="single"/>
        </w:rPr>
        <w:t xml:space="preserve">   </w:t>
      </w:r>
      <w:r>
        <w:rPr>
          <w:rFonts w:hint="eastAsia" w:ascii="宋体" w:hAnsi="宋体" w:cs="Times New Roman"/>
          <w:szCs w:val="21"/>
          <w:highlight w:val="none"/>
        </w:rPr>
        <w:t xml:space="preserve"> </w:t>
      </w:r>
    </w:p>
    <w:p w14:paraId="54C329D2">
      <w:pPr>
        <w:spacing w:line="360" w:lineRule="auto"/>
        <w:rPr>
          <w:rFonts w:ascii="宋体" w:hAnsi="宋体" w:cs="Times New Roman"/>
          <w:szCs w:val="21"/>
          <w:highlight w:val="none"/>
        </w:rPr>
      </w:pPr>
      <w:r>
        <w:rPr>
          <w:rFonts w:hint="eastAsia" w:ascii="宋体" w:hAnsi="宋体" w:cs="Times New Roman"/>
          <w:szCs w:val="21"/>
          <w:highlight w:val="none"/>
        </w:rPr>
        <w:t>法定代表人或授权代表人：                法定代表人或授权代表人：</w:t>
      </w:r>
    </w:p>
    <w:p w14:paraId="619C5871">
      <w:pPr>
        <w:spacing w:line="360" w:lineRule="auto"/>
        <w:ind w:left="5460" w:hanging="5460" w:hangingChars="2600"/>
        <w:rPr>
          <w:rFonts w:ascii="宋体" w:hAnsi="宋体" w:cs="宋体"/>
          <w:szCs w:val="21"/>
          <w:highlight w:val="none"/>
        </w:rPr>
      </w:pPr>
      <w:r>
        <w:rPr>
          <w:rFonts w:hint="eastAsia" w:ascii="宋体" w:hAnsi="宋体" w:cs="宋体"/>
          <w:szCs w:val="21"/>
          <w:highlight w:val="none"/>
        </w:rPr>
        <w:t>地    址：杭州市滨江区滨文路</w:t>
      </w:r>
      <w:r>
        <w:rPr>
          <w:rFonts w:ascii="宋体" w:hAnsi="宋体" w:cs="宋体"/>
          <w:szCs w:val="21"/>
          <w:highlight w:val="none"/>
        </w:rPr>
        <w:t>548</w:t>
      </w:r>
      <w:r>
        <w:rPr>
          <w:rFonts w:hint="eastAsia" w:ascii="宋体" w:hAnsi="宋体" w:cs="宋体"/>
          <w:szCs w:val="21"/>
          <w:highlight w:val="none"/>
        </w:rPr>
        <w:t xml:space="preserve">号 </w:t>
      </w:r>
      <w:r>
        <w:rPr>
          <w:rFonts w:ascii="宋体" w:hAnsi="宋体" w:cs="宋体"/>
          <w:szCs w:val="21"/>
          <w:highlight w:val="none"/>
        </w:rPr>
        <w:t xml:space="preserve">     </w:t>
      </w:r>
      <w:r>
        <w:rPr>
          <w:rFonts w:hint="eastAsia" w:ascii="宋体" w:hAnsi="宋体" w:cs="宋体"/>
          <w:szCs w:val="21"/>
          <w:highlight w:val="none"/>
        </w:rPr>
        <w:t>地    址：</w:t>
      </w:r>
      <w:r>
        <w:rPr>
          <w:rFonts w:hint="eastAsia" w:ascii="宋体" w:hAnsi="宋体" w:cs="Times New Roman"/>
          <w:b/>
          <w:bCs/>
          <w:szCs w:val="21"/>
          <w:highlight w:val="none"/>
          <w:u w:val="single"/>
        </w:rPr>
        <w:t xml:space="preserve"> </w:t>
      </w:r>
    </w:p>
    <w:p w14:paraId="64064951">
      <w:pPr>
        <w:spacing w:line="360" w:lineRule="auto"/>
        <w:rPr>
          <w:rFonts w:ascii="宋体" w:hAnsi="宋体" w:cs="宋体"/>
          <w:szCs w:val="21"/>
          <w:highlight w:val="none"/>
        </w:rPr>
      </w:pPr>
      <w:r>
        <w:rPr>
          <w:rFonts w:hint="eastAsia" w:ascii="宋体" w:hAnsi="宋体" w:cs="宋体"/>
          <w:szCs w:val="21"/>
          <w:highlight w:val="none"/>
        </w:rPr>
        <w:t>电    话：</w:t>
      </w:r>
      <w:r>
        <w:rPr>
          <w:rFonts w:ascii="宋体" w:hAnsi="宋体" w:cs="宋体"/>
          <w:szCs w:val="21"/>
          <w:highlight w:val="none"/>
        </w:rPr>
        <w:t xml:space="preserve">              </w:t>
      </w:r>
      <w:r>
        <w:rPr>
          <w:rFonts w:hint="eastAsia" w:ascii="宋体" w:hAnsi="宋体" w:cs="宋体"/>
          <w:szCs w:val="21"/>
          <w:highlight w:val="none"/>
        </w:rPr>
        <w:t xml:space="preserve">                电    话：</w:t>
      </w:r>
    </w:p>
    <w:p w14:paraId="1D9108EF">
      <w:pPr>
        <w:spacing w:line="360" w:lineRule="auto"/>
        <w:jc w:val="center"/>
        <w:rPr>
          <w:rFonts w:ascii="宋体" w:hAnsi="宋体" w:cs="Times New Roman"/>
          <w:szCs w:val="21"/>
          <w:highlight w:val="none"/>
        </w:rPr>
      </w:pPr>
      <w:r>
        <w:rPr>
          <w:rFonts w:hint="eastAsia" w:ascii="宋体" w:hAnsi="宋体" w:cs="Times New Roman"/>
          <w:szCs w:val="21"/>
          <w:highlight w:val="none"/>
        </w:rPr>
        <w:t>年   月   日                            年    月    日</w:t>
      </w:r>
    </w:p>
    <w:p w14:paraId="47C14D3F">
      <w:pPr>
        <w:widowControl/>
        <w:jc w:val="left"/>
        <w:rPr>
          <w:rFonts w:ascii="宋体" w:hAnsi="宋体" w:cs="Times New Roman"/>
          <w:szCs w:val="21"/>
          <w:highlight w:val="none"/>
        </w:rPr>
      </w:pPr>
      <w:r>
        <w:rPr>
          <w:rFonts w:ascii="宋体" w:hAnsi="宋体" w:cs="Times New Roman"/>
          <w:szCs w:val="21"/>
          <w:highlight w:val="none"/>
        </w:rPr>
        <w:br w:type="page"/>
      </w:r>
    </w:p>
    <w:p w14:paraId="04DD98D4">
      <w:pPr>
        <w:spacing w:line="360" w:lineRule="auto"/>
        <w:rPr>
          <w:rFonts w:ascii="宋体" w:hAnsi="宋体" w:cs="Times New Roman"/>
          <w:sz w:val="30"/>
          <w:highlight w:val="none"/>
        </w:rPr>
      </w:pPr>
      <w:r>
        <w:rPr>
          <w:rFonts w:hint="eastAsia" w:ascii="宋体" w:hAnsi="宋体" w:cs="Times New Roman"/>
          <w:sz w:val="30"/>
          <w:highlight w:val="none"/>
        </w:rPr>
        <w:t>附件</w:t>
      </w:r>
      <w:r>
        <w:rPr>
          <w:rFonts w:ascii="宋体" w:hAnsi="宋体" w:cs="Times New Roman"/>
          <w:sz w:val="30"/>
          <w:highlight w:val="none"/>
        </w:rPr>
        <w:t>4</w:t>
      </w:r>
      <w:r>
        <w:rPr>
          <w:rFonts w:hint="eastAsia" w:ascii="宋体" w:hAnsi="宋体" w:cs="Times New Roman"/>
          <w:sz w:val="30"/>
          <w:highlight w:val="none"/>
        </w:rPr>
        <w:t>：</w:t>
      </w:r>
    </w:p>
    <w:p w14:paraId="0670B718">
      <w:pPr>
        <w:spacing w:line="360" w:lineRule="auto"/>
        <w:jc w:val="center"/>
        <w:rPr>
          <w:rFonts w:hint="eastAsia" w:ascii="宋体" w:hAnsi="宋体" w:cs="Times New Roman"/>
          <w:sz w:val="30"/>
          <w:highlight w:val="none"/>
        </w:rPr>
      </w:pPr>
      <w:bookmarkStart w:id="143" w:name="_Toc22601"/>
      <w:bookmarkStart w:id="144" w:name="_Toc12000"/>
      <w:bookmarkStart w:id="145" w:name="_Toc5449"/>
      <w:r>
        <w:rPr>
          <w:rFonts w:hint="eastAsia" w:ascii="宋体" w:hAnsi="宋体" w:cs="Times New Roman"/>
          <w:sz w:val="30"/>
          <w:highlight w:val="none"/>
        </w:rPr>
        <w:t>主要材料（设备）清单</w:t>
      </w:r>
      <w:bookmarkEnd w:id="143"/>
      <w:bookmarkEnd w:id="144"/>
      <w:bookmarkEnd w:id="145"/>
    </w:p>
    <w:p w14:paraId="3F63C39D">
      <w:pPr>
        <w:spacing w:line="360" w:lineRule="auto"/>
        <w:jc w:val="left"/>
        <w:rPr>
          <w:rFonts w:hint="default" w:ascii="宋体" w:hAnsi="宋体" w:eastAsia="宋体" w:cs="Times New Roman"/>
          <w:sz w:val="30"/>
          <w:highlight w:val="none"/>
          <w:lang w:val="en-US" w:eastAsia="zh-CN"/>
        </w:rPr>
      </w:pPr>
      <w:r>
        <w:rPr>
          <w:rFonts w:hint="eastAsia" w:ascii="宋体" w:hAnsi="宋体" w:cs="Times New Roman"/>
          <w:sz w:val="30"/>
          <w:highlight w:val="none"/>
          <w:lang w:val="en-US" w:eastAsia="zh-CN"/>
        </w:rPr>
        <w:t>项目名称：</w:t>
      </w:r>
    </w:p>
    <w:tbl>
      <w:tblPr>
        <w:tblStyle w:val="51"/>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6E3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noWrap w:val="0"/>
            <w:vAlign w:val="top"/>
          </w:tcPr>
          <w:p w14:paraId="689FBAB0">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序号</w:t>
            </w:r>
          </w:p>
        </w:tc>
        <w:tc>
          <w:tcPr>
            <w:tcW w:w="2218" w:type="dxa"/>
            <w:noWrap w:val="0"/>
            <w:vAlign w:val="top"/>
          </w:tcPr>
          <w:p w14:paraId="100ED350">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材料（设备</w:t>
            </w:r>
            <w:r>
              <w:rPr>
                <w:rFonts w:hint="eastAsia" w:ascii="宋体" w:hAnsi="宋体" w:cs="宋体"/>
                <w:b/>
                <w:bCs/>
                <w:kern w:val="0"/>
                <w:sz w:val="24"/>
                <w:highlight w:val="none"/>
              </w:rPr>
              <w:t>）名称</w:t>
            </w:r>
          </w:p>
        </w:tc>
        <w:tc>
          <w:tcPr>
            <w:tcW w:w="1357" w:type="dxa"/>
            <w:noWrap w:val="0"/>
            <w:vAlign w:val="top"/>
          </w:tcPr>
          <w:p w14:paraId="57B33BC7">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品牌</w:t>
            </w:r>
          </w:p>
        </w:tc>
        <w:tc>
          <w:tcPr>
            <w:tcW w:w="1536" w:type="dxa"/>
            <w:noWrap w:val="0"/>
            <w:vAlign w:val="top"/>
          </w:tcPr>
          <w:p w14:paraId="5D1FC3C8">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规格型号</w:t>
            </w:r>
          </w:p>
        </w:tc>
        <w:tc>
          <w:tcPr>
            <w:tcW w:w="2000" w:type="dxa"/>
            <w:noWrap w:val="0"/>
            <w:vAlign w:val="top"/>
          </w:tcPr>
          <w:p w14:paraId="1F841527">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厂家</w:t>
            </w:r>
          </w:p>
        </w:tc>
        <w:tc>
          <w:tcPr>
            <w:tcW w:w="973" w:type="dxa"/>
            <w:noWrap w:val="0"/>
            <w:vAlign w:val="top"/>
          </w:tcPr>
          <w:p w14:paraId="54E0DD7C">
            <w:pPr>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产地</w:t>
            </w:r>
          </w:p>
        </w:tc>
      </w:tr>
      <w:tr w14:paraId="097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noWrap w:val="0"/>
            <w:vAlign w:val="top"/>
          </w:tcPr>
          <w:p w14:paraId="4EC433C4">
            <w:pPr>
              <w:jc w:val="center"/>
              <w:rPr>
                <w:rFonts w:ascii="宋体" w:hAnsi="宋体" w:cs="宋体"/>
                <w:kern w:val="0"/>
                <w:sz w:val="24"/>
                <w:highlight w:val="none"/>
              </w:rPr>
            </w:pPr>
            <w:r>
              <w:rPr>
                <w:rFonts w:hint="eastAsia" w:ascii="宋体" w:hAnsi="宋体" w:cs="宋体"/>
                <w:kern w:val="0"/>
                <w:sz w:val="24"/>
                <w:highlight w:val="none"/>
              </w:rPr>
              <w:t>1</w:t>
            </w:r>
          </w:p>
        </w:tc>
        <w:tc>
          <w:tcPr>
            <w:tcW w:w="2218" w:type="dxa"/>
            <w:noWrap w:val="0"/>
            <w:vAlign w:val="top"/>
          </w:tcPr>
          <w:p w14:paraId="4593B40E">
            <w:pPr>
              <w:jc w:val="center"/>
              <w:rPr>
                <w:rFonts w:ascii="宋体" w:hAnsi="宋体" w:cs="宋体"/>
                <w:kern w:val="0"/>
                <w:sz w:val="24"/>
                <w:highlight w:val="none"/>
              </w:rPr>
            </w:pPr>
          </w:p>
        </w:tc>
        <w:tc>
          <w:tcPr>
            <w:tcW w:w="1357" w:type="dxa"/>
            <w:noWrap w:val="0"/>
            <w:vAlign w:val="top"/>
          </w:tcPr>
          <w:p w14:paraId="49934804">
            <w:pPr>
              <w:jc w:val="center"/>
              <w:rPr>
                <w:rFonts w:ascii="宋体" w:hAnsi="宋体" w:cs="宋体"/>
                <w:kern w:val="0"/>
                <w:sz w:val="24"/>
                <w:highlight w:val="none"/>
              </w:rPr>
            </w:pPr>
          </w:p>
        </w:tc>
        <w:tc>
          <w:tcPr>
            <w:tcW w:w="1536" w:type="dxa"/>
            <w:noWrap w:val="0"/>
            <w:vAlign w:val="top"/>
          </w:tcPr>
          <w:p w14:paraId="17BD0503">
            <w:pPr>
              <w:jc w:val="center"/>
              <w:rPr>
                <w:rFonts w:ascii="宋体" w:hAnsi="宋体" w:cs="宋体"/>
                <w:kern w:val="0"/>
                <w:sz w:val="24"/>
                <w:highlight w:val="none"/>
              </w:rPr>
            </w:pPr>
          </w:p>
        </w:tc>
        <w:tc>
          <w:tcPr>
            <w:tcW w:w="2000" w:type="dxa"/>
            <w:noWrap w:val="0"/>
            <w:vAlign w:val="top"/>
          </w:tcPr>
          <w:p w14:paraId="31D4A6F5">
            <w:pPr>
              <w:jc w:val="center"/>
              <w:rPr>
                <w:rFonts w:ascii="宋体" w:hAnsi="宋体" w:cs="宋体"/>
                <w:kern w:val="0"/>
                <w:sz w:val="24"/>
                <w:highlight w:val="none"/>
              </w:rPr>
            </w:pPr>
          </w:p>
        </w:tc>
        <w:tc>
          <w:tcPr>
            <w:tcW w:w="973" w:type="dxa"/>
            <w:noWrap w:val="0"/>
            <w:vAlign w:val="top"/>
          </w:tcPr>
          <w:p w14:paraId="2B536471">
            <w:pPr>
              <w:jc w:val="center"/>
              <w:rPr>
                <w:rFonts w:ascii="宋体" w:hAnsi="宋体" w:cs="宋体"/>
                <w:kern w:val="0"/>
                <w:sz w:val="24"/>
                <w:highlight w:val="none"/>
              </w:rPr>
            </w:pPr>
          </w:p>
        </w:tc>
      </w:tr>
      <w:tr w14:paraId="66E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noWrap w:val="0"/>
            <w:vAlign w:val="top"/>
          </w:tcPr>
          <w:p w14:paraId="705CBF23">
            <w:pPr>
              <w:jc w:val="center"/>
              <w:rPr>
                <w:rFonts w:ascii="宋体" w:hAnsi="宋体" w:cs="Times New Roman"/>
                <w:kern w:val="0"/>
                <w:sz w:val="24"/>
                <w:szCs w:val="20"/>
                <w:highlight w:val="none"/>
              </w:rPr>
            </w:pPr>
            <w:r>
              <w:rPr>
                <w:rFonts w:hint="eastAsia" w:ascii="宋体" w:hAnsi="宋体" w:cs="宋体"/>
                <w:kern w:val="0"/>
                <w:sz w:val="24"/>
                <w:highlight w:val="none"/>
              </w:rPr>
              <w:t>2</w:t>
            </w:r>
          </w:p>
        </w:tc>
        <w:tc>
          <w:tcPr>
            <w:tcW w:w="2218" w:type="dxa"/>
            <w:noWrap w:val="0"/>
            <w:vAlign w:val="top"/>
          </w:tcPr>
          <w:p w14:paraId="6032F6C4">
            <w:pPr>
              <w:jc w:val="center"/>
              <w:rPr>
                <w:rFonts w:ascii="宋体" w:hAnsi="宋体" w:cs="Times New Roman"/>
                <w:kern w:val="0"/>
                <w:sz w:val="24"/>
                <w:szCs w:val="20"/>
                <w:highlight w:val="none"/>
              </w:rPr>
            </w:pPr>
          </w:p>
        </w:tc>
        <w:tc>
          <w:tcPr>
            <w:tcW w:w="1357" w:type="dxa"/>
            <w:noWrap w:val="0"/>
            <w:vAlign w:val="top"/>
          </w:tcPr>
          <w:p w14:paraId="1B27695E">
            <w:pPr>
              <w:jc w:val="center"/>
              <w:rPr>
                <w:rFonts w:ascii="宋体" w:hAnsi="宋体" w:cs="Times New Roman"/>
                <w:kern w:val="0"/>
                <w:sz w:val="24"/>
                <w:szCs w:val="20"/>
                <w:highlight w:val="none"/>
              </w:rPr>
            </w:pPr>
          </w:p>
        </w:tc>
        <w:tc>
          <w:tcPr>
            <w:tcW w:w="1536" w:type="dxa"/>
            <w:noWrap w:val="0"/>
            <w:vAlign w:val="top"/>
          </w:tcPr>
          <w:p w14:paraId="3CF31B7E">
            <w:pPr>
              <w:jc w:val="center"/>
              <w:rPr>
                <w:rFonts w:ascii="宋体" w:hAnsi="宋体" w:cs="Times New Roman"/>
                <w:kern w:val="0"/>
                <w:sz w:val="24"/>
                <w:szCs w:val="20"/>
                <w:highlight w:val="none"/>
              </w:rPr>
            </w:pPr>
          </w:p>
        </w:tc>
        <w:tc>
          <w:tcPr>
            <w:tcW w:w="2000" w:type="dxa"/>
            <w:noWrap w:val="0"/>
            <w:vAlign w:val="top"/>
          </w:tcPr>
          <w:p w14:paraId="697477FA">
            <w:pPr>
              <w:jc w:val="center"/>
              <w:rPr>
                <w:rFonts w:ascii="宋体" w:hAnsi="宋体" w:cs="Times New Roman"/>
                <w:kern w:val="0"/>
                <w:sz w:val="24"/>
                <w:szCs w:val="20"/>
                <w:highlight w:val="none"/>
              </w:rPr>
            </w:pPr>
          </w:p>
        </w:tc>
        <w:tc>
          <w:tcPr>
            <w:tcW w:w="973" w:type="dxa"/>
            <w:noWrap w:val="0"/>
            <w:vAlign w:val="top"/>
          </w:tcPr>
          <w:p w14:paraId="717408CB">
            <w:pPr>
              <w:jc w:val="center"/>
              <w:rPr>
                <w:rFonts w:ascii="宋体" w:hAnsi="宋体" w:cs="Times New Roman"/>
                <w:kern w:val="0"/>
                <w:sz w:val="24"/>
                <w:szCs w:val="20"/>
                <w:highlight w:val="none"/>
              </w:rPr>
            </w:pPr>
          </w:p>
        </w:tc>
      </w:tr>
      <w:tr w14:paraId="382C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noWrap w:val="0"/>
            <w:vAlign w:val="top"/>
          </w:tcPr>
          <w:p w14:paraId="676DEB32">
            <w:pPr>
              <w:jc w:val="center"/>
              <w:rPr>
                <w:rFonts w:ascii="宋体" w:hAnsi="宋体" w:cs="Times New Roman"/>
                <w:kern w:val="0"/>
                <w:sz w:val="24"/>
                <w:szCs w:val="20"/>
                <w:highlight w:val="none"/>
              </w:rPr>
            </w:pPr>
            <w:r>
              <w:rPr>
                <w:rFonts w:hint="eastAsia" w:ascii="宋体" w:hAnsi="宋体" w:cs="宋体"/>
                <w:kern w:val="0"/>
                <w:sz w:val="24"/>
                <w:highlight w:val="none"/>
              </w:rPr>
              <w:t>3</w:t>
            </w:r>
          </w:p>
        </w:tc>
        <w:tc>
          <w:tcPr>
            <w:tcW w:w="2218" w:type="dxa"/>
            <w:noWrap w:val="0"/>
            <w:vAlign w:val="top"/>
          </w:tcPr>
          <w:p w14:paraId="58ABDE98">
            <w:pPr>
              <w:jc w:val="center"/>
              <w:rPr>
                <w:rFonts w:ascii="宋体" w:hAnsi="宋体" w:cs="Times New Roman"/>
                <w:kern w:val="0"/>
                <w:sz w:val="24"/>
                <w:szCs w:val="20"/>
                <w:highlight w:val="none"/>
              </w:rPr>
            </w:pPr>
          </w:p>
        </w:tc>
        <w:tc>
          <w:tcPr>
            <w:tcW w:w="1357" w:type="dxa"/>
            <w:noWrap w:val="0"/>
            <w:vAlign w:val="top"/>
          </w:tcPr>
          <w:p w14:paraId="41B0C8EE">
            <w:pPr>
              <w:jc w:val="center"/>
              <w:rPr>
                <w:rFonts w:ascii="宋体" w:hAnsi="宋体" w:cs="Times New Roman"/>
                <w:kern w:val="0"/>
                <w:sz w:val="24"/>
                <w:szCs w:val="20"/>
                <w:highlight w:val="none"/>
              </w:rPr>
            </w:pPr>
          </w:p>
        </w:tc>
        <w:tc>
          <w:tcPr>
            <w:tcW w:w="1536" w:type="dxa"/>
            <w:noWrap w:val="0"/>
            <w:vAlign w:val="top"/>
          </w:tcPr>
          <w:p w14:paraId="73FF82A9">
            <w:pPr>
              <w:jc w:val="center"/>
              <w:rPr>
                <w:rFonts w:ascii="宋体" w:hAnsi="宋体" w:cs="Times New Roman"/>
                <w:kern w:val="0"/>
                <w:sz w:val="24"/>
                <w:szCs w:val="20"/>
                <w:highlight w:val="none"/>
              </w:rPr>
            </w:pPr>
          </w:p>
        </w:tc>
        <w:tc>
          <w:tcPr>
            <w:tcW w:w="2000" w:type="dxa"/>
            <w:noWrap w:val="0"/>
            <w:vAlign w:val="top"/>
          </w:tcPr>
          <w:p w14:paraId="0196F6E0">
            <w:pPr>
              <w:jc w:val="center"/>
              <w:rPr>
                <w:rFonts w:ascii="宋体" w:hAnsi="宋体" w:cs="Times New Roman"/>
                <w:kern w:val="0"/>
                <w:sz w:val="24"/>
                <w:szCs w:val="20"/>
                <w:highlight w:val="none"/>
              </w:rPr>
            </w:pPr>
          </w:p>
        </w:tc>
        <w:tc>
          <w:tcPr>
            <w:tcW w:w="973" w:type="dxa"/>
            <w:noWrap w:val="0"/>
            <w:vAlign w:val="top"/>
          </w:tcPr>
          <w:p w14:paraId="4B7DDD2F">
            <w:pPr>
              <w:jc w:val="center"/>
              <w:rPr>
                <w:rFonts w:ascii="宋体" w:hAnsi="宋体" w:cs="Times New Roman"/>
                <w:kern w:val="0"/>
                <w:sz w:val="24"/>
                <w:szCs w:val="20"/>
                <w:highlight w:val="none"/>
              </w:rPr>
            </w:pPr>
          </w:p>
        </w:tc>
      </w:tr>
      <w:tr w14:paraId="392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noWrap w:val="0"/>
            <w:vAlign w:val="top"/>
          </w:tcPr>
          <w:p w14:paraId="1531B295">
            <w:pPr>
              <w:jc w:val="center"/>
              <w:rPr>
                <w:rFonts w:ascii="宋体" w:hAnsi="宋体" w:cs="Times New Roman"/>
                <w:kern w:val="0"/>
                <w:sz w:val="24"/>
                <w:szCs w:val="20"/>
                <w:highlight w:val="none"/>
              </w:rPr>
            </w:pPr>
            <w:r>
              <w:rPr>
                <w:rFonts w:hint="eastAsia" w:ascii="宋体" w:hAnsi="宋体" w:cs="宋体"/>
                <w:kern w:val="0"/>
                <w:sz w:val="24"/>
                <w:highlight w:val="none"/>
              </w:rPr>
              <w:t>4</w:t>
            </w:r>
          </w:p>
        </w:tc>
        <w:tc>
          <w:tcPr>
            <w:tcW w:w="2218" w:type="dxa"/>
            <w:noWrap w:val="0"/>
            <w:vAlign w:val="top"/>
          </w:tcPr>
          <w:p w14:paraId="35E28287">
            <w:pPr>
              <w:jc w:val="center"/>
              <w:rPr>
                <w:rFonts w:ascii="宋体" w:hAnsi="宋体" w:cs="Times New Roman"/>
                <w:kern w:val="0"/>
                <w:sz w:val="24"/>
                <w:szCs w:val="20"/>
                <w:highlight w:val="none"/>
              </w:rPr>
            </w:pPr>
          </w:p>
        </w:tc>
        <w:tc>
          <w:tcPr>
            <w:tcW w:w="1357" w:type="dxa"/>
            <w:noWrap w:val="0"/>
            <w:vAlign w:val="top"/>
          </w:tcPr>
          <w:p w14:paraId="33280AC6">
            <w:pPr>
              <w:jc w:val="center"/>
              <w:rPr>
                <w:rFonts w:ascii="宋体" w:hAnsi="宋体" w:cs="Times New Roman"/>
                <w:kern w:val="0"/>
                <w:sz w:val="24"/>
                <w:szCs w:val="20"/>
                <w:highlight w:val="none"/>
              </w:rPr>
            </w:pPr>
          </w:p>
        </w:tc>
        <w:tc>
          <w:tcPr>
            <w:tcW w:w="1536" w:type="dxa"/>
            <w:noWrap w:val="0"/>
            <w:vAlign w:val="top"/>
          </w:tcPr>
          <w:p w14:paraId="37C7B47E">
            <w:pPr>
              <w:jc w:val="center"/>
              <w:rPr>
                <w:rFonts w:ascii="宋体" w:hAnsi="宋体" w:cs="Times New Roman"/>
                <w:kern w:val="0"/>
                <w:sz w:val="24"/>
                <w:szCs w:val="20"/>
                <w:highlight w:val="none"/>
              </w:rPr>
            </w:pPr>
          </w:p>
        </w:tc>
        <w:tc>
          <w:tcPr>
            <w:tcW w:w="2000" w:type="dxa"/>
            <w:noWrap w:val="0"/>
            <w:vAlign w:val="top"/>
          </w:tcPr>
          <w:p w14:paraId="7A75510E">
            <w:pPr>
              <w:jc w:val="center"/>
              <w:rPr>
                <w:rFonts w:ascii="宋体" w:hAnsi="宋体" w:cs="Times New Roman"/>
                <w:kern w:val="0"/>
                <w:sz w:val="24"/>
                <w:szCs w:val="20"/>
                <w:highlight w:val="none"/>
              </w:rPr>
            </w:pPr>
          </w:p>
        </w:tc>
        <w:tc>
          <w:tcPr>
            <w:tcW w:w="973" w:type="dxa"/>
            <w:noWrap w:val="0"/>
            <w:vAlign w:val="top"/>
          </w:tcPr>
          <w:p w14:paraId="4E93E827">
            <w:pPr>
              <w:jc w:val="center"/>
              <w:rPr>
                <w:rFonts w:ascii="宋体" w:hAnsi="宋体" w:cs="Times New Roman"/>
                <w:kern w:val="0"/>
                <w:sz w:val="24"/>
                <w:szCs w:val="20"/>
                <w:highlight w:val="none"/>
              </w:rPr>
            </w:pPr>
          </w:p>
        </w:tc>
      </w:tr>
      <w:tr w14:paraId="6AE8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noWrap w:val="0"/>
            <w:vAlign w:val="top"/>
          </w:tcPr>
          <w:p w14:paraId="62897655">
            <w:pPr>
              <w:jc w:val="center"/>
              <w:rPr>
                <w:rFonts w:ascii="宋体" w:hAnsi="宋体" w:cs="Times New Roman"/>
                <w:kern w:val="0"/>
                <w:sz w:val="24"/>
                <w:szCs w:val="20"/>
                <w:highlight w:val="none"/>
              </w:rPr>
            </w:pPr>
            <w:r>
              <w:rPr>
                <w:rFonts w:hint="eastAsia" w:ascii="宋体" w:hAnsi="宋体" w:cs="宋体"/>
                <w:kern w:val="0"/>
                <w:sz w:val="24"/>
                <w:highlight w:val="none"/>
              </w:rPr>
              <w:t>5</w:t>
            </w:r>
          </w:p>
        </w:tc>
        <w:tc>
          <w:tcPr>
            <w:tcW w:w="2218" w:type="dxa"/>
            <w:noWrap w:val="0"/>
            <w:vAlign w:val="top"/>
          </w:tcPr>
          <w:p w14:paraId="1EFAD23F">
            <w:pPr>
              <w:jc w:val="center"/>
              <w:rPr>
                <w:rFonts w:ascii="宋体" w:hAnsi="宋体" w:cs="Times New Roman"/>
                <w:kern w:val="0"/>
                <w:sz w:val="24"/>
                <w:szCs w:val="20"/>
                <w:highlight w:val="none"/>
              </w:rPr>
            </w:pPr>
          </w:p>
        </w:tc>
        <w:tc>
          <w:tcPr>
            <w:tcW w:w="1357" w:type="dxa"/>
            <w:noWrap w:val="0"/>
            <w:vAlign w:val="top"/>
          </w:tcPr>
          <w:p w14:paraId="5B24A454">
            <w:pPr>
              <w:ind w:firstLine="240" w:firstLineChars="100"/>
              <w:rPr>
                <w:rFonts w:ascii="宋体" w:hAnsi="宋体" w:cs="Times New Roman"/>
                <w:kern w:val="0"/>
                <w:sz w:val="24"/>
                <w:szCs w:val="20"/>
                <w:highlight w:val="none"/>
              </w:rPr>
            </w:pPr>
          </w:p>
        </w:tc>
        <w:tc>
          <w:tcPr>
            <w:tcW w:w="1536" w:type="dxa"/>
            <w:noWrap w:val="0"/>
            <w:vAlign w:val="top"/>
          </w:tcPr>
          <w:p w14:paraId="1895F7BE">
            <w:pPr>
              <w:jc w:val="center"/>
              <w:rPr>
                <w:rFonts w:ascii="宋体" w:hAnsi="宋体" w:cs="Times New Roman"/>
                <w:kern w:val="0"/>
                <w:sz w:val="24"/>
                <w:szCs w:val="20"/>
                <w:highlight w:val="none"/>
              </w:rPr>
            </w:pPr>
          </w:p>
        </w:tc>
        <w:tc>
          <w:tcPr>
            <w:tcW w:w="2000" w:type="dxa"/>
            <w:noWrap w:val="0"/>
            <w:vAlign w:val="top"/>
          </w:tcPr>
          <w:p w14:paraId="0FD004DB">
            <w:pPr>
              <w:jc w:val="center"/>
              <w:rPr>
                <w:rFonts w:ascii="宋体" w:hAnsi="宋体" w:cs="Times New Roman"/>
                <w:kern w:val="0"/>
                <w:sz w:val="24"/>
                <w:szCs w:val="20"/>
                <w:highlight w:val="none"/>
              </w:rPr>
            </w:pPr>
          </w:p>
        </w:tc>
        <w:tc>
          <w:tcPr>
            <w:tcW w:w="973" w:type="dxa"/>
            <w:noWrap w:val="0"/>
            <w:vAlign w:val="top"/>
          </w:tcPr>
          <w:p w14:paraId="3C946CC9">
            <w:pPr>
              <w:jc w:val="center"/>
              <w:rPr>
                <w:rFonts w:ascii="宋体" w:hAnsi="宋体" w:cs="Times New Roman"/>
                <w:kern w:val="0"/>
                <w:sz w:val="24"/>
                <w:szCs w:val="20"/>
                <w:highlight w:val="none"/>
              </w:rPr>
            </w:pPr>
          </w:p>
        </w:tc>
      </w:tr>
      <w:tr w14:paraId="392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noWrap w:val="0"/>
            <w:vAlign w:val="top"/>
          </w:tcPr>
          <w:p w14:paraId="25E1F914">
            <w:pPr>
              <w:jc w:val="center"/>
              <w:rPr>
                <w:rFonts w:ascii="宋体" w:hAnsi="宋体" w:cs="Times New Roman"/>
                <w:kern w:val="0"/>
                <w:sz w:val="24"/>
                <w:szCs w:val="20"/>
                <w:highlight w:val="none"/>
              </w:rPr>
            </w:pPr>
            <w:r>
              <w:rPr>
                <w:rFonts w:hint="eastAsia" w:ascii="宋体" w:hAnsi="宋体" w:cs="宋体"/>
                <w:kern w:val="0"/>
                <w:sz w:val="24"/>
                <w:highlight w:val="none"/>
              </w:rPr>
              <w:t>6</w:t>
            </w:r>
          </w:p>
        </w:tc>
        <w:tc>
          <w:tcPr>
            <w:tcW w:w="2218" w:type="dxa"/>
            <w:noWrap w:val="0"/>
            <w:vAlign w:val="top"/>
          </w:tcPr>
          <w:p w14:paraId="66B01831">
            <w:pPr>
              <w:jc w:val="center"/>
              <w:rPr>
                <w:rFonts w:ascii="宋体" w:hAnsi="宋体" w:cs="Times New Roman"/>
                <w:kern w:val="0"/>
                <w:sz w:val="24"/>
                <w:szCs w:val="20"/>
                <w:highlight w:val="none"/>
              </w:rPr>
            </w:pPr>
          </w:p>
        </w:tc>
        <w:tc>
          <w:tcPr>
            <w:tcW w:w="1357" w:type="dxa"/>
            <w:noWrap w:val="0"/>
            <w:vAlign w:val="top"/>
          </w:tcPr>
          <w:p w14:paraId="3E7B5255">
            <w:pPr>
              <w:jc w:val="center"/>
              <w:rPr>
                <w:rFonts w:ascii="宋体" w:hAnsi="宋体" w:cs="Times New Roman"/>
                <w:kern w:val="0"/>
                <w:sz w:val="24"/>
                <w:szCs w:val="20"/>
                <w:highlight w:val="none"/>
              </w:rPr>
            </w:pPr>
          </w:p>
        </w:tc>
        <w:tc>
          <w:tcPr>
            <w:tcW w:w="1536" w:type="dxa"/>
            <w:noWrap w:val="0"/>
            <w:vAlign w:val="top"/>
          </w:tcPr>
          <w:p w14:paraId="5D00C2B0">
            <w:pPr>
              <w:jc w:val="center"/>
              <w:rPr>
                <w:rFonts w:ascii="宋体" w:hAnsi="宋体" w:cs="Times New Roman"/>
                <w:kern w:val="0"/>
                <w:sz w:val="24"/>
                <w:szCs w:val="20"/>
                <w:highlight w:val="none"/>
              </w:rPr>
            </w:pPr>
          </w:p>
        </w:tc>
        <w:tc>
          <w:tcPr>
            <w:tcW w:w="2000" w:type="dxa"/>
            <w:noWrap w:val="0"/>
            <w:vAlign w:val="top"/>
          </w:tcPr>
          <w:p w14:paraId="4E31B4C1">
            <w:pPr>
              <w:jc w:val="center"/>
              <w:rPr>
                <w:rFonts w:ascii="宋体" w:hAnsi="宋体" w:cs="Times New Roman"/>
                <w:kern w:val="0"/>
                <w:sz w:val="24"/>
                <w:szCs w:val="20"/>
                <w:highlight w:val="none"/>
              </w:rPr>
            </w:pPr>
          </w:p>
        </w:tc>
        <w:tc>
          <w:tcPr>
            <w:tcW w:w="973" w:type="dxa"/>
            <w:noWrap w:val="0"/>
            <w:vAlign w:val="top"/>
          </w:tcPr>
          <w:p w14:paraId="19DCF611">
            <w:pPr>
              <w:jc w:val="center"/>
              <w:rPr>
                <w:rFonts w:ascii="宋体" w:hAnsi="宋体" w:cs="Times New Roman"/>
                <w:kern w:val="0"/>
                <w:sz w:val="24"/>
                <w:szCs w:val="20"/>
                <w:highlight w:val="none"/>
              </w:rPr>
            </w:pPr>
          </w:p>
        </w:tc>
      </w:tr>
      <w:tr w14:paraId="026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noWrap w:val="0"/>
            <w:vAlign w:val="top"/>
          </w:tcPr>
          <w:p w14:paraId="7C3A101E">
            <w:pPr>
              <w:jc w:val="center"/>
              <w:rPr>
                <w:rFonts w:ascii="宋体" w:hAnsi="宋体" w:cs="Times New Roman"/>
                <w:kern w:val="0"/>
                <w:sz w:val="24"/>
                <w:szCs w:val="20"/>
                <w:highlight w:val="none"/>
              </w:rPr>
            </w:pPr>
            <w:r>
              <w:rPr>
                <w:rFonts w:hint="eastAsia" w:ascii="宋体" w:hAnsi="宋体" w:cs="宋体"/>
                <w:kern w:val="0"/>
                <w:sz w:val="24"/>
                <w:highlight w:val="none"/>
              </w:rPr>
              <w:t>7</w:t>
            </w:r>
          </w:p>
        </w:tc>
        <w:tc>
          <w:tcPr>
            <w:tcW w:w="2218" w:type="dxa"/>
            <w:noWrap w:val="0"/>
            <w:vAlign w:val="top"/>
          </w:tcPr>
          <w:p w14:paraId="019C9EAF">
            <w:pPr>
              <w:jc w:val="center"/>
              <w:rPr>
                <w:rFonts w:ascii="宋体" w:hAnsi="宋体" w:cs="Times New Roman"/>
                <w:kern w:val="0"/>
                <w:sz w:val="24"/>
                <w:szCs w:val="20"/>
                <w:highlight w:val="none"/>
              </w:rPr>
            </w:pPr>
          </w:p>
        </w:tc>
        <w:tc>
          <w:tcPr>
            <w:tcW w:w="1357" w:type="dxa"/>
            <w:noWrap w:val="0"/>
            <w:vAlign w:val="top"/>
          </w:tcPr>
          <w:p w14:paraId="36E2E5FC">
            <w:pPr>
              <w:jc w:val="center"/>
              <w:rPr>
                <w:rFonts w:ascii="宋体" w:hAnsi="宋体" w:cs="Times New Roman"/>
                <w:kern w:val="0"/>
                <w:sz w:val="24"/>
                <w:szCs w:val="20"/>
                <w:highlight w:val="none"/>
              </w:rPr>
            </w:pPr>
          </w:p>
        </w:tc>
        <w:tc>
          <w:tcPr>
            <w:tcW w:w="1536" w:type="dxa"/>
            <w:noWrap w:val="0"/>
            <w:vAlign w:val="top"/>
          </w:tcPr>
          <w:p w14:paraId="497FBC38">
            <w:pPr>
              <w:jc w:val="center"/>
              <w:rPr>
                <w:rFonts w:ascii="宋体" w:hAnsi="宋体" w:cs="Times New Roman"/>
                <w:kern w:val="0"/>
                <w:sz w:val="24"/>
                <w:szCs w:val="20"/>
                <w:highlight w:val="none"/>
              </w:rPr>
            </w:pPr>
          </w:p>
        </w:tc>
        <w:tc>
          <w:tcPr>
            <w:tcW w:w="2000" w:type="dxa"/>
            <w:noWrap w:val="0"/>
            <w:vAlign w:val="top"/>
          </w:tcPr>
          <w:p w14:paraId="02FA47A5">
            <w:pPr>
              <w:jc w:val="center"/>
              <w:rPr>
                <w:rFonts w:ascii="宋体" w:hAnsi="宋体" w:cs="Times New Roman"/>
                <w:kern w:val="0"/>
                <w:sz w:val="24"/>
                <w:szCs w:val="20"/>
                <w:highlight w:val="none"/>
              </w:rPr>
            </w:pPr>
          </w:p>
        </w:tc>
        <w:tc>
          <w:tcPr>
            <w:tcW w:w="973" w:type="dxa"/>
            <w:noWrap w:val="0"/>
            <w:vAlign w:val="top"/>
          </w:tcPr>
          <w:p w14:paraId="6EB19A63">
            <w:pPr>
              <w:jc w:val="center"/>
              <w:rPr>
                <w:rFonts w:ascii="宋体" w:hAnsi="宋体" w:cs="Times New Roman"/>
                <w:kern w:val="0"/>
                <w:sz w:val="24"/>
                <w:szCs w:val="20"/>
                <w:highlight w:val="none"/>
              </w:rPr>
            </w:pPr>
          </w:p>
        </w:tc>
      </w:tr>
    </w:tbl>
    <w:p w14:paraId="271906E2">
      <w:pPr>
        <w:pStyle w:val="21"/>
        <w:adjustRightInd w:val="0"/>
        <w:spacing w:before="0" w:line="600" w:lineRule="auto"/>
        <w:ind w:firstLine="420" w:firstLineChars="200"/>
        <w:rPr>
          <w:rFonts w:hint="eastAsia" w:ascii="宋体" w:hAnsi="宋体" w:eastAsia="宋体" w:cs="宋体"/>
          <w:sz w:val="21"/>
          <w:szCs w:val="21"/>
          <w:highlight w:val="none"/>
        </w:rPr>
      </w:pPr>
    </w:p>
    <w:p w14:paraId="3C78F1CB">
      <w:pPr>
        <w:bidi w:val="0"/>
        <w:rPr>
          <w:rFonts w:hint="eastAsia"/>
          <w:highlight w:val="none"/>
        </w:rPr>
      </w:pPr>
    </w:p>
    <w:p w14:paraId="1598AD6C">
      <w:pPr>
        <w:bidi w:val="0"/>
        <w:rPr>
          <w:rFonts w:hint="eastAsia"/>
          <w:highlight w:val="none"/>
        </w:rPr>
      </w:pPr>
    </w:p>
    <w:p w14:paraId="3F2679CA">
      <w:pPr>
        <w:bidi w:val="0"/>
        <w:rPr>
          <w:rFonts w:hint="eastAsia"/>
          <w:highlight w:val="none"/>
        </w:rPr>
      </w:pPr>
    </w:p>
    <w:p w14:paraId="47E82B7A">
      <w:pPr>
        <w:spacing w:line="360" w:lineRule="auto"/>
        <w:rPr>
          <w:rFonts w:hint="eastAsia" w:ascii="宋体" w:hAnsi="宋体" w:cs="Times New Roman"/>
          <w:sz w:val="30"/>
          <w:highlight w:val="none"/>
        </w:rPr>
      </w:pPr>
      <w:r>
        <w:rPr>
          <w:rFonts w:hint="eastAsia" w:ascii="宋体" w:hAnsi="宋体" w:cs="Times New Roman"/>
          <w:sz w:val="30"/>
          <w:highlight w:val="none"/>
        </w:rPr>
        <w:t>附件5：</w:t>
      </w:r>
    </w:p>
    <w:p w14:paraId="69B8114F">
      <w:pPr>
        <w:spacing w:line="360" w:lineRule="auto"/>
        <w:rPr>
          <w:rFonts w:hint="eastAsia" w:ascii="宋体" w:hAnsi="宋体" w:cs="Times New Roman"/>
          <w:sz w:val="30"/>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r>
        <w:rPr>
          <w:rFonts w:hint="eastAsia" w:ascii="宋体" w:hAnsi="宋体" w:cs="Times New Roman"/>
          <w:sz w:val="30"/>
          <w:highlight w:val="none"/>
        </w:rPr>
        <w:t>营业执照和相关资质</w:t>
      </w:r>
    </w:p>
    <w:p w14:paraId="1DC211F5">
      <w:pPr>
        <w:pStyle w:val="2"/>
        <w:autoSpaceDN w:val="0"/>
        <w:spacing w:before="240"/>
        <w:rPr>
          <w:rFonts w:hint="eastAsia" w:ascii="宋体" w:hAnsi="宋体" w:eastAsia="宋体" w:cs="宋体"/>
          <w:bCs/>
          <w:kern w:val="44"/>
          <w:sz w:val="44"/>
          <w:szCs w:val="44"/>
          <w:highlight w:val="none"/>
        </w:rPr>
      </w:pPr>
      <w:bookmarkStart w:id="146" w:name="_Toc6"/>
      <w:r>
        <w:rPr>
          <w:rFonts w:hint="eastAsia" w:ascii="宋体" w:hAnsi="宋体" w:eastAsia="宋体" w:cs="宋体"/>
          <w:bCs/>
          <w:kern w:val="44"/>
          <w:sz w:val="44"/>
          <w:szCs w:val="44"/>
          <w:highlight w:val="none"/>
        </w:rPr>
        <w:t>第六章  磋商响应文件格式</w:t>
      </w:r>
      <w:bookmarkEnd w:id="146"/>
    </w:p>
    <w:p w14:paraId="16CAFC77">
      <w:pPr>
        <w:autoSpaceDN w:val="0"/>
        <w:spacing w:before="240" w:line="360" w:lineRule="auto"/>
        <w:jc w:val="center"/>
        <w:rPr>
          <w:rFonts w:hint="eastAsia" w:ascii="宋体" w:hAnsi="宋体" w:eastAsia="宋体" w:cs="宋体"/>
          <w:color w:val="000000" w:themeColor="text1"/>
          <w:sz w:val="20"/>
          <w:szCs w:val="22"/>
          <w:highlight w:val="none"/>
          <w14:textFill>
            <w14:solidFill>
              <w14:schemeClr w14:val="tx1"/>
            </w14:solidFill>
          </w14:textFill>
        </w:rPr>
      </w:pPr>
      <w:bookmarkStart w:id="147" w:name="_Toc211745566"/>
      <w:bookmarkStart w:id="148" w:name="_Toc82873317"/>
      <w:bookmarkStart w:id="149" w:name="_Toc82338234"/>
      <w:r>
        <w:rPr>
          <w:rFonts w:hint="eastAsia" w:ascii="宋体" w:hAnsi="宋体" w:eastAsia="宋体" w:cs="宋体"/>
          <w:b/>
          <w:color w:val="000000" w:themeColor="text1"/>
          <w:sz w:val="40"/>
          <w:szCs w:val="40"/>
          <w:highlight w:val="none"/>
          <w14:textFill>
            <w14:solidFill>
              <w14:schemeClr w14:val="tx1"/>
            </w14:solidFill>
          </w14:textFill>
        </w:rPr>
        <w:t>重要提示</w:t>
      </w:r>
    </w:p>
    <w:p w14:paraId="6C5AB4F9">
      <w:pPr>
        <w:autoSpaceDN w:val="0"/>
        <w:spacing w:line="360" w:lineRule="auto"/>
        <w:ind w:firstLine="424" w:firstLineChars="151"/>
        <w:jc w:val="left"/>
        <w:rPr>
          <w:rFonts w:hint="eastAsia" w:ascii="宋体" w:hAnsi="宋体" w:eastAsia="宋体" w:cs="宋体"/>
          <w:b/>
          <w:color w:val="000000" w:themeColor="text1"/>
          <w:sz w:val="28"/>
          <w:highlight w:val="none"/>
          <w:u w:val="singl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（1）</w:t>
      </w:r>
      <w:r>
        <w:rPr>
          <w:rFonts w:hint="eastAsia" w:ascii="宋体" w:hAnsi="宋体" w:eastAsia="宋体" w:cs="宋体"/>
          <w:b/>
          <w:color w:val="000000" w:themeColor="text1"/>
          <w:sz w:val="28"/>
          <w:highlight w:val="none"/>
          <w:u w:val="single"/>
          <w14:textFill>
            <w14:solidFill>
              <w14:schemeClr w14:val="tx1"/>
            </w14:solidFill>
          </w14:textFill>
        </w:rPr>
        <w:t>本章中有提供格式的，供应商须按照格式进行编制（格式中要求提供相关证明材料的还需后附相关有效证明材料），并按格式要求进行签、章，否则视为未提供。</w:t>
      </w:r>
    </w:p>
    <w:p w14:paraId="2BA19313">
      <w:pPr>
        <w:autoSpaceDN w:val="0"/>
        <w:spacing w:line="360" w:lineRule="auto"/>
        <w:ind w:firstLine="424" w:firstLineChars="151"/>
        <w:jc w:val="left"/>
        <w:rPr>
          <w:rFonts w:hint="eastAsia" w:ascii="宋体" w:hAnsi="宋体" w:eastAsia="宋体" w:cs="宋体"/>
          <w:b/>
          <w:color w:val="000000" w:themeColor="text1"/>
          <w:sz w:val="28"/>
          <w:highlight w:val="none"/>
          <w:u w:val="singl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（2）</w:t>
      </w:r>
      <w:r>
        <w:rPr>
          <w:rFonts w:hint="eastAsia" w:ascii="宋体" w:hAnsi="宋体" w:eastAsia="宋体" w:cs="宋体"/>
          <w:b/>
          <w:color w:val="000000" w:themeColor="text1"/>
          <w:sz w:val="28"/>
          <w:highlight w:val="none"/>
          <w:u w:val="single"/>
          <w14:textFill>
            <w14:solidFill>
              <w14:schemeClr w14:val="tx1"/>
            </w14:solidFill>
          </w14:textFill>
        </w:rPr>
        <w:t>本章未提供格式的，请供应商自行拟定格式，并加盖单位公章，否则视为未提供。</w:t>
      </w:r>
    </w:p>
    <w:p w14:paraId="6487BB58">
      <w:pPr>
        <w:autoSpaceDN w:val="0"/>
        <w:spacing w:line="360" w:lineRule="auto"/>
        <w:ind w:firstLine="424" w:firstLineChars="151"/>
        <w:jc w:val="left"/>
        <w:rPr>
          <w:rFonts w:hint="eastAsia" w:ascii="宋体" w:hAnsi="宋体" w:eastAsia="宋体" w:cs="宋体"/>
          <w:b/>
          <w:color w:val="000000" w:themeColor="text1"/>
          <w:kern w:val="0"/>
          <w:sz w:val="28"/>
          <w:highlight w:val="none"/>
          <w:u w:val="singl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（3）</w:t>
      </w:r>
      <w:r>
        <w:rPr>
          <w:rFonts w:hint="eastAsia" w:ascii="宋体" w:hAnsi="宋体" w:eastAsia="宋体" w:cs="宋体"/>
          <w:b/>
          <w:color w:val="000000" w:themeColor="text1"/>
          <w:sz w:val="28"/>
          <w:highlight w:val="none"/>
          <w:u w:val="single"/>
          <w14:textFill>
            <w14:solidFill>
              <w14:schemeClr w14:val="tx1"/>
            </w14:solidFill>
          </w14:textFill>
        </w:rPr>
        <w:t>可以提供扫描件的相关证明材料必须加盖供应商公章，否则视为未提供（例如：各类资格资质证书、业绩材料、许可材料、荣誉证书、产品注册登记材料、产品检测材料、验收材料等）。</w:t>
      </w:r>
    </w:p>
    <w:p w14:paraId="0F21E292">
      <w:pPr>
        <w:autoSpaceDN w:val="0"/>
        <w:spacing w:line="360" w:lineRule="auto"/>
        <w:ind w:firstLine="424" w:firstLineChars="151"/>
        <w:rPr>
          <w:rFonts w:hint="eastAsia" w:ascii="宋体" w:hAnsi="宋体" w:eastAsia="宋体" w:cs="宋体"/>
          <w:b/>
          <w:color w:val="000000" w:themeColor="text1"/>
          <w:kern w:val="0"/>
          <w:sz w:val="28"/>
          <w:highlight w:val="none"/>
          <w:u w:val="single"/>
          <w14:textFill>
            <w14:solidFill>
              <w14:schemeClr w14:val="tx1"/>
            </w14:solidFill>
          </w14:textFill>
        </w:rPr>
      </w:pPr>
      <w:r>
        <w:rPr>
          <w:rFonts w:hint="eastAsia" w:ascii="宋体" w:hAnsi="宋体" w:eastAsia="宋体" w:cs="宋体"/>
          <w:b/>
          <w:color w:val="000000" w:themeColor="text1"/>
          <w:kern w:val="0"/>
          <w:sz w:val="28"/>
          <w:highlight w:val="none"/>
          <w14:textFill>
            <w14:solidFill>
              <w14:schemeClr w14:val="tx1"/>
            </w14:solidFill>
          </w14:textFill>
        </w:rPr>
        <w:t>（4）</w:t>
      </w:r>
      <w:r>
        <w:rPr>
          <w:rFonts w:hint="eastAsia" w:ascii="宋体" w:hAnsi="宋体" w:eastAsia="宋体" w:cs="宋体"/>
          <w:b/>
          <w:color w:val="000000" w:themeColor="text1"/>
          <w:kern w:val="0"/>
          <w:sz w:val="28"/>
          <w:highlight w:val="none"/>
          <w:u w:val="single"/>
          <w14:textFill>
            <w14:solidFill>
              <w14:schemeClr w14:val="tx1"/>
            </w14:solidFill>
          </w14:textFill>
        </w:rPr>
        <w:t>第三章投标须知第4.2.2款</w:t>
      </w:r>
      <w:r>
        <w:rPr>
          <w:rFonts w:hint="eastAsia" w:ascii="宋体" w:hAnsi="宋体" w:cs="宋体"/>
          <w:b/>
          <w:color w:val="000000" w:themeColor="text1"/>
          <w:kern w:val="0"/>
          <w:sz w:val="28"/>
          <w:highlight w:val="none"/>
          <w:u w:val="single"/>
          <w:lang w:eastAsia="zh-CN"/>
          <w14:textFill>
            <w14:solidFill>
              <w14:schemeClr w14:val="tx1"/>
            </w14:solidFill>
          </w14:textFill>
        </w:rPr>
        <w:t>磋商响应文件</w:t>
      </w:r>
      <w:r>
        <w:rPr>
          <w:rFonts w:hint="eastAsia" w:ascii="宋体" w:hAnsi="宋体" w:eastAsia="宋体" w:cs="宋体"/>
          <w:b/>
          <w:color w:val="000000" w:themeColor="text1"/>
          <w:kern w:val="0"/>
          <w:sz w:val="28"/>
          <w:highlight w:val="none"/>
          <w:u w:val="single"/>
          <w14:textFill>
            <w14:solidFill>
              <w14:schemeClr w14:val="tx1"/>
            </w14:solidFill>
          </w14:textFill>
        </w:rPr>
        <w:t>内容组成清单中标注“</w:t>
      </w:r>
      <w:r>
        <w:rPr>
          <w:rFonts w:hint="eastAsia" w:ascii="宋体" w:hAnsi="宋体" w:eastAsia="宋体" w:cs="宋体"/>
          <w:color w:val="000000" w:themeColor="text1"/>
          <w:kern w:val="0"/>
          <w:sz w:val="28"/>
          <w:highlight w:val="none"/>
          <w:u w:val="single"/>
          <w14:textFill>
            <w14:solidFill>
              <w14:schemeClr w14:val="tx1"/>
            </w14:solidFill>
          </w14:textFill>
        </w:rPr>
        <w:t>▲</w:t>
      </w:r>
      <w:r>
        <w:rPr>
          <w:rFonts w:hint="eastAsia" w:ascii="宋体" w:hAnsi="宋体" w:eastAsia="宋体" w:cs="宋体"/>
          <w:b/>
          <w:color w:val="000000" w:themeColor="text1"/>
          <w:kern w:val="0"/>
          <w:sz w:val="28"/>
          <w:highlight w:val="none"/>
          <w:u w:val="single"/>
          <w14:textFill>
            <w14:solidFill>
              <w14:schemeClr w14:val="tx1"/>
            </w14:solidFill>
          </w14:textFill>
        </w:rPr>
        <w:t>”的内容为必须提供的内容，未提供的投标无效。</w:t>
      </w:r>
    </w:p>
    <w:p w14:paraId="0E8720EF">
      <w:pPr>
        <w:autoSpaceDN w:val="0"/>
        <w:rPr>
          <w:rFonts w:hint="eastAsia" w:ascii="宋体" w:hAnsi="宋体" w:eastAsia="宋体" w:cs="宋体"/>
          <w:b/>
          <w:color w:val="000000" w:themeColor="text1"/>
          <w:kern w:val="0"/>
          <w:sz w:val="28"/>
          <w:highlight w:val="none"/>
          <w:u w:val="single"/>
          <w14:textFill>
            <w14:solidFill>
              <w14:schemeClr w14:val="tx1"/>
            </w14:solidFill>
          </w14:textFill>
        </w:rPr>
      </w:pPr>
      <w:r>
        <w:rPr>
          <w:rFonts w:hint="eastAsia" w:ascii="宋体" w:hAnsi="宋体" w:eastAsia="宋体" w:cs="宋体"/>
          <w:b/>
          <w:color w:val="000000" w:themeColor="text1"/>
          <w:kern w:val="0"/>
          <w:sz w:val="28"/>
          <w:highlight w:val="none"/>
          <w:u w:val="single"/>
          <w14:textFill>
            <w14:solidFill>
              <w14:schemeClr w14:val="tx1"/>
            </w14:solidFill>
          </w14:textFill>
        </w:rPr>
        <w:br w:type="page"/>
      </w:r>
    </w:p>
    <w:p w14:paraId="55D86DD6">
      <w:pPr>
        <w:pStyle w:val="3"/>
        <w:autoSpaceDN w:val="0"/>
        <w:spacing w:before="360"/>
        <w:ind w:firstLine="0" w:firstLineChars="0"/>
        <w:rPr>
          <w:rFonts w:hint="eastAsia" w:ascii="宋体" w:hAnsi="宋体" w:eastAsia="宋体" w:cs="宋体"/>
          <w:sz w:val="28"/>
          <w:szCs w:val="28"/>
          <w:highlight w:val="none"/>
        </w:rPr>
      </w:pPr>
      <w:bookmarkStart w:id="150" w:name="_Toc29776"/>
      <w:bookmarkStart w:id="151" w:name="_Toc16177"/>
      <w:r>
        <w:rPr>
          <w:rFonts w:hint="eastAsia" w:ascii="宋体" w:hAnsi="宋体" w:eastAsia="宋体" w:cs="宋体"/>
          <w:sz w:val="28"/>
          <w:szCs w:val="28"/>
          <w:highlight w:val="none"/>
        </w:rPr>
        <w:t>第一部分“资格文件格式”</w:t>
      </w:r>
      <w:bookmarkEnd w:id="150"/>
      <w:bookmarkEnd w:id="151"/>
    </w:p>
    <w:p w14:paraId="691E88B4">
      <w:pPr>
        <w:spacing w:line="276" w:lineRule="auto"/>
        <w:jc w:val="center"/>
        <w:rPr>
          <w:rFonts w:hint="eastAsia" w:ascii="宋体" w:hAnsi="宋体" w:eastAsia="宋体" w:cs="宋体"/>
          <w:b/>
          <w:w w:val="90"/>
          <w:kern w:val="0"/>
          <w:sz w:val="56"/>
          <w:szCs w:val="70"/>
          <w:highlight w:val="none"/>
        </w:rPr>
      </w:pPr>
    </w:p>
    <w:p w14:paraId="6DC637BB">
      <w:pPr>
        <w:spacing w:line="276" w:lineRule="auto"/>
        <w:jc w:val="center"/>
        <w:rPr>
          <w:rFonts w:hint="eastAsia" w:ascii="宋体" w:hAnsi="宋体" w:eastAsia="宋体" w:cs="宋体"/>
          <w:b/>
          <w:sz w:val="90"/>
          <w:szCs w:val="90"/>
          <w:highlight w:val="none"/>
        </w:rPr>
      </w:pPr>
      <w:r>
        <w:rPr>
          <w:rFonts w:hint="eastAsia" w:ascii="宋体" w:hAnsi="宋体" w:eastAsia="宋体" w:cs="宋体"/>
          <w:b/>
          <w:w w:val="90"/>
          <w:kern w:val="0"/>
          <w:sz w:val="56"/>
          <w:szCs w:val="70"/>
          <w:highlight w:val="none"/>
        </w:rPr>
        <w:t>浙江省省级政府采购电子交易项目</w:t>
      </w:r>
    </w:p>
    <w:p w14:paraId="41475D4D">
      <w:pPr>
        <w:spacing w:line="360" w:lineRule="auto"/>
        <w:rPr>
          <w:rFonts w:hint="eastAsia" w:ascii="宋体" w:hAnsi="宋体" w:eastAsia="宋体" w:cs="宋体"/>
          <w:sz w:val="24"/>
          <w:highlight w:val="none"/>
        </w:rPr>
      </w:pPr>
    </w:p>
    <w:p w14:paraId="12B1E789">
      <w:pPr>
        <w:spacing w:line="276" w:lineRule="auto"/>
        <w:jc w:val="center"/>
        <w:rPr>
          <w:rFonts w:hint="eastAsia" w:ascii="宋体" w:hAnsi="宋体" w:eastAsia="宋体" w:cs="宋体"/>
          <w:kern w:val="0"/>
          <w:sz w:val="96"/>
          <w:szCs w:val="96"/>
          <w:highlight w:val="none"/>
        </w:rPr>
      </w:pPr>
      <w:r>
        <w:rPr>
          <w:rFonts w:hint="eastAsia" w:ascii="宋体" w:hAnsi="宋体" w:eastAsia="宋体" w:cs="宋体"/>
          <w:kern w:val="0"/>
          <w:sz w:val="96"/>
          <w:szCs w:val="96"/>
          <w:highlight w:val="none"/>
          <w:lang w:val="en-US" w:eastAsia="zh-CN"/>
        </w:rPr>
        <w:t>磋商响应</w:t>
      </w:r>
      <w:r>
        <w:rPr>
          <w:rFonts w:hint="eastAsia" w:ascii="宋体" w:hAnsi="宋体" w:eastAsia="宋体" w:cs="宋体"/>
          <w:kern w:val="0"/>
          <w:sz w:val="96"/>
          <w:szCs w:val="96"/>
          <w:highlight w:val="none"/>
        </w:rPr>
        <w:t>文件</w:t>
      </w:r>
    </w:p>
    <w:p w14:paraId="225E6C5E">
      <w:pPr>
        <w:spacing w:line="360" w:lineRule="auto"/>
        <w:jc w:val="center"/>
        <w:rPr>
          <w:rFonts w:hint="eastAsia" w:ascii="宋体" w:hAnsi="宋体" w:eastAsia="宋体" w:cs="宋体"/>
          <w:b/>
          <w:kern w:val="0"/>
          <w:sz w:val="22"/>
          <w:szCs w:val="40"/>
          <w:highlight w:val="none"/>
        </w:rPr>
      </w:pPr>
    </w:p>
    <w:p w14:paraId="4F399066">
      <w:pPr>
        <w:spacing w:line="360" w:lineRule="auto"/>
        <w:jc w:val="center"/>
        <w:rPr>
          <w:rFonts w:hint="eastAsia" w:ascii="宋体" w:hAnsi="宋体" w:eastAsia="宋体" w:cs="宋体"/>
          <w:b/>
          <w:kern w:val="0"/>
          <w:sz w:val="48"/>
          <w:szCs w:val="84"/>
          <w:highlight w:val="none"/>
        </w:rPr>
      </w:pPr>
      <w:r>
        <w:rPr>
          <w:rFonts w:hint="eastAsia" w:ascii="宋体" w:hAnsi="宋体" w:eastAsia="宋体" w:cs="宋体"/>
          <w:b/>
          <w:kern w:val="0"/>
          <w:sz w:val="48"/>
          <w:szCs w:val="84"/>
          <w:highlight w:val="none"/>
        </w:rPr>
        <w:t>（资格文件）</w:t>
      </w:r>
    </w:p>
    <w:p w14:paraId="247816D7">
      <w:pPr>
        <w:spacing w:line="360" w:lineRule="auto"/>
        <w:jc w:val="center"/>
        <w:rPr>
          <w:rFonts w:hint="eastAsia" w:ascii="宋体" w:hAnsi="宋体" w:eastAsia="宋体" w:cs="宋体"/>
          <w:sz w:val="24"/>
          <w:highlight w:val="none"/>
        </w:rPr>
      </w:pPr>
    </w:p>
    <w:p w14:paraId="4DE7BB2E">
      <w:pPr>
        <w:spacing w:line="360" w:lineRule="auto"/>
        <w:jc w:val="center"/>
        <w:rPr>
          <w:rFonts w:hint="eastAsia" w:ascii="宋体" w:hAnsi="宋体" w:eastAsia="宋体" w:cs="宋体"/>
          <w:sz w:val="24"/>
          <w:highlight w:val="none"/>
        </w:rPr>
      </w:pPr>
    </w:p>
    <w:tbl>
      <w:tblPr>
        <w:tblStyle w:val="51"/>
        <w:tblW w:w="9114" w:type="dxa"/>
        <w:jc w:val="center"/>
        <w:tblLayout w:type="fixed"/>
        <w:tblCellMar>
          <w:top w:w="0" w:type="dxa"/>
          <w:left w:w="108" w:type="dxa"/>
          <w:bottom w:w="0" w:type="dxa"/>
          <w:right w:w="108" w:type="dxa"/>
        </w:tblCellMar>
      </w:tblPr>
      <w:tblGrid>
        <w:gridCol w:w="9114"/>
      </w:tblGrid>
      <w:tr w14:paraId="2FF747BC">
        <w:tblPrEx>
          <w:tblCellMar>
            <w:top w:w="0" w:type="dxa"/>
            <w:left w:w="108" w:type="dxa"/>
            <w:bottom w:w="0" w:type="dxa"/>
            <w:right w:w="108" w:type="dxa"/>
          </w:tblCellMar>
        </w:tblPrEx>
        <w:trPr>
          <w:trHeight w:val="680" w:hRule="atLeast"/>
          <w:jc w:val="center"/>
        </w:trPr>
        <w:tc>
          <w:tcPr>
            <w:tcW w:w="9114" w:type="dxa"/>
            <w:noWrap w:val="0"/>
            <w:vAlign w:val="center"/>
          </w:tcPr>
          <w:p w14:paraId="6C176FCD">
            <w:pPr>
              <w:keepNext w:val="0"/>
              <w:keepLines w:val="0"/>
              <w:pageBreakBefore w:val="0"/>
              <w:widowControl w:val="0"/>
              <w:tabs>
                <w:tab w:val="left" w:pos="9030"/>
              </w:tabs>
              <w:kinsoku/>
              <w:wordWrap/>
              <w:overflowPunct/>
              <w:topLinePunct w:val="0"/>
              <w:autoSpaceDE/>
              <w:autoSpaceDN/>
              <w:bidi w:val="0"/>
              <w:adjustRightInd/>
              <w:snapToGrid/>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r>
              <w:rPr>
                <w:rFonts w:hint="eastAsia" w:ascii="宋体" w:hAnsi="宋体" w:cs="宋体"/>
                <w:b/>
                <w:sz w:val="28"/>
                <w:szCs w:val="28"/>
                <w:highlight w:val="none"/>
                <w:lang w:eastAsia="zh-CN"/>
              </w:rPr>
              <w:t>浙江中医药大学Ivan Psakhye教授实验室改造项目</w:t>
            </w:r>
          </w:p>
        </w:tc>
      </w:tr>
      <w:tr w14:paraId="2E604723">
        <w:tblPrEx>
          <w:tblCellMar>
            <w:top w:w="0" w:type="dxa"/>
            <w:left w:w="108" w:type="dxa"/>
            <w:bottom w:w="0" w:type="dxa"/>
            <w:right w:w="108" w:type="dxa"/>
          </w:tblCellMar>
        </w:tblPrEx>
        <w:trPr>
          <w:trHeight w:val="680" w:hRule="atLeast"/>
          <w:jc w:val="center"/>
        </w:trPr>
        <w:tc>
          <w:tcPr>
            <w:tcW w:w="9114" w:type="dxa"/>
            <w:noWrap w:val="0"/>
            <w:vAlign w:val="center"/>
          </w:tcPr>
          <w:p w14:paraId="3DE7D2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项目编号：</w:t>
            </w:r>
            <w:r>
              <w:rPr>
                <w:rFonts w:hint="eastAsia" w:ascii="宋体" w:hAnsi="宋体" w:cs="宋体"/>
                <w:b/>
                <w:sz w:val="28"/>
                <w:szCs w:val="28"/>
                <w:highlight w:val="none"/>
                <w:lang w:eastAsia="zh-CN"/>
              </w:rPr>
              <w:t>CTZB-2025070039</w:t>
            </w:r>
          </w:p>
        </w:tc>
      </w:tr>
      <w:tr w14:paraId="70401CBA">
        <w:tblPrEx>
          <w:tblCellMar>
            <w:top w:w="0" w:type="dxa"/>
            <w:left w:w="108" w:type="dxa"/>
            <w:bottom w:w="0" w:type="dxa"/>
            <w:right w:w="108" w:type="dxa"/>
          </w:tblCellMar>
        </w:tblPrEx>
        <w:trPr>
          <w:trHeight w:val="680" w:hRule="atLeast"/>
          <w:jc w:val="center"/>
        </w:trPr>
        <w:tc>
          <w:tcPr>
            <w:tcW w:w="9114" w:type="dxa"/>
            <w:noWrap w:val="0"/>
            <w:vAlign w:val="center"/>
          </w:tcPr>
          <w:p w14:paraId="4DBFB6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磋商响应</w:t>
            </w:r>
            <w:r>
              <w:rPr>
                <w:rFonts w:hint="eastAsia" w:ascii="宋体" w:hAnsi="宋体" w:eastAsia="宋体" w:cs="宋体"/>
                <w:sz w:val="28"/>
                <w:szCs w:val="28"/>
                <w:highlight w:val="none"/>
              </w:rPr>
              <w:t>供应商名称（盖章）：</w:t>
            </w:r>
            <w:r>
              <w:rPr>
                <w:rFonts w:hint="eastAsia" w:ascii="宋体" w:hAnsi="宋体" w:eastAsia="宋体" w:cs="宋体"/>
                <w:sz w:val="28"/>
                <w:szCs w:val="28"/>
                <w:highlight w:val="none"/>
                <w:u w:val="single"/>
                <w:lang w:val="en-US" w:eastAsia="zh-CN"/>
              </w:rPr>
              <w:t xml:space="preserve">                                  </w:t>
            </w:r>
          </w:p>
        </w:tc>
      </w:tr>
      <w:tr w14:paraId="3A9B4948">
        <w:tblPrEx>
          <w:tblCellMar>
            <w:top w:w="0" w:type="dxa"/>
            <w:left w:w="108" w:type="dxa"/>
            <w:bottom w:w="0" w:type="dxa"/>
            <w:right w:w="108" w:type="dxa"/>
          </w:tblCellMar>
        </w:tblPrEx>
        <w:trPr>
          <w:trHeight w:val="658" w:hRule="atLeast"/>
          <w:jc w:val="center"/>
        </w:trPr>
        <w:tc>
          <w:tcPr>
            <w:tcW w:w="9114" w:type="dxa"/>
            <w:noWrap w:val="0"/>
            <w:vAlign w:val="center"/>
          </w:tcPr>
          <w:p w14:paraId="4229E3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磋商响应</w:t>
            </w:r>
            <w:r>
              <w:rPr>
                <w:rFonts w:hint="eastAsia" w:ascii="宋体" w:hAnsi="宋体" w:eastAsia="宋体" w:cs="宋体"/>
                <w:sz w:val="28"/>
                <w:szCs w:val="28"/>
                <w:highlight w:val="none"/>
              </w:rPr>
              <w:t>供应商地址：</w:t>
            </w:r>
            <w:r>
              <w:rPr>
                <w:rFonts w:hint="eastAsia" w:ascii="宋体" w:hAnsi="宋体" w:eastAsia="宋体" w:cs="宋体"/>
                <w:sz w:val="28"/>
                <w:szCs w:val="28"/>
                <w:highlight w:val="none"/>
                <w:u w:val="single"/>
                <w:lang w:val="en-US" w:eastAsia="zh-CN"/>
              </w:rPr>
              <w:t xml:space="preserve">                                          </w:t>
            </w:r>
          </w:p>
        </w:tc>
      </w:tr>
      <w:tr w14:paraId="1CB52F9D">
        <w:tblPrEx>
          <w:tblCellMar>
            <w:top w:w="0" w:type="dxa"/>
            <w:left w:w="108" w:type="dxa"/>
            <w:bottom w:w="0" w:type="dxa"/>
            <w:right w:w="108" w:type="dxa"/>
          </w:tblCellMar>
        </w:tblPrEx>
        <w:trPr>
          <w:trHeight w:val="680" w:hRule="atLeast"/>
          <w:jc w:val="center"/>
        </w:trPr>
        <w:tc>
          <w:tcPr>
            <w:tcW w:w="9114" w:type="dxa"/>
            <w:noWrap w:val="0"/>
            <w:vAlign w:val="center"/>
          </w:tcPr>
          <w:p w14:paraId="739045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磋商响应</w:t>
            </w:r>
            <w:r>
              <w:rPr>
                <w:rFonts w:hint="eastAsia" w:ascii="宋体" w:hAnsi="宋体" w:eastAsia="宋体" w:cs="宋体"/>
                <w:sz w:val="28"/>
                <w:szCs w:val="28"/>
                <w:highlight w:val="none"/>
              </w:rPr>
              <w:t>供应商联系电话：</w:t>
            </w:r>
            <w:r>
              <w:rPr>
                <w:rFonts w:hint="eastAsia" w:ascii="宋体" w:hAnsi="宋体" w:eastAsia="宋体" w:cs="宋体"/>
                <w:sz w:val="28"/>
                <w:szCs w:val="28"/>
                <w:highlight w:val="none"/>
                <w:u w:val="single"/>
                <w:lang w:val="en-US" w:eastAsia="zh-CN"/>
              </w:rPr>
              <w:t xml:space="preserve">                                      </w:t>
            </w:r>
          </w:p>
        </w:tc>
      </w:tr>
      <w:tr w14:paraId="25735CFD">
        <w:tblPrEx>
          <w:tblCellMar>
            <w:top w:w="0" w:type="dxa"/>
            <w:left w:w="108" w:type="dxa"/>
            <w:bottom w:w="0" w:type="dxa"/>
            <w:right w:w="108" w:type="dxa"/>
          </w:tblCellMar>
        </w:tblPrEx>
        <w:trPr>
          <w:trHeight w:val="680" w:hRule="atLeast"/>
          <w:jc w:val="center"/>
        </w:trPr>
        <w:tc>
          <w:tcPr>
            <w:tcW w:w="9114" w:type="dxa"/>
            <w:noWrap w:val="0"/>
            <w:vAlign w:val="center"/>
          </w:tcPr>
          <w:p w14:paraId="6B36C9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期：</w:t>
            </w:r>
            <w:r>
              <w:rPr>
                <w:rFonts w:hint="eastAsia" w:ascii="宋体" w:hAnsi="宋体" w:eastAsia="宋体" w:cs="宋体"/>
                <w:sz w:val="28"/>
                <w:szCs w:val="28"/>
                <w:highlight w:val="none"/>
                <w:lang w:val="en-US" w:eastAsia="zh-CN"/>
              </w:rPr>
              <w:t>2025年  月  日</w:t>
            </w:r>
          </w:p>
        </w:tc>
      </w:tr>
      <w:tr w14:paraId="5C80A44B">
        <w:tblPrEx>
          <w:tblCellMar>
            <w:top w:w="0" w:type="dxa"/>
            <w:left w:w="108" w:type="dxa"/>
            <w:bottom w:w="0" w:type="dxa"/>
            <w:right w:w="108" w:type="dxa"/>
          </w:tblCellMar>
        </w:tblPrEx>
        <w:trPr>
          <w:trHeight w:val="680" w:hRule="atLeast"/>
          <w:jc w:val="center"/>
        </w:trPr>
        <w:tc>
          <w:tcPr>
            <w:tcW w:w="9114" w:type="dxa"/>
            <w:noWrap w:val="0"/>
            <w:vAlign w:val="center"/>
          </w:tcPr>
          <w:p w14:paraId="08DE5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highlight w:val="none"/>
                <w:lang w:val="en-US" w:eastAsia="zh-CN"/>
              </w:rPr>
            </w:pPr>
          </w:p>
          <w:p w14:paraId="0EA0E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磋商响应</w:t>
            </w:r>
            <w:r>
              <w:rPr>
                <w:rFonts w:hint="eastAsia" w:ascii="宋体" w:hAnsi="宋体" w:eastAsia="宋体" w:cs="宋体"/>
                <w:b/>
                <w:sz w:val="28"/>
                <w:szCs w:val="28"/>
                <w:highlight w:val="none"/>
              </w:rPr>
              <w:t>截止时间前其他单位或个人不得解密、提取</w:t>
            </w:r>
          </w:p>
        </w:tc>
      </w:tr>
    </w:tbl>
    <w:p w14:paraId="6275734E">
      <w:pPr>
        <w:rPr>
          <w:rFonts w:hint="eastAsia" w:ascii="宋体" w:hAnsi="宋体" w:eastAsia="宋体" w:cs="宋体"/>
          <w:bCs/>
          <w:color w:val="000000"/>
          <w:kern w:val="0"/>
          <w:sz w:val="28"/>
          <w:szCs w:val="28"/>
          <w:highlight w:val="none"/>
        </w:rPr>
      </w:pPr>
      <w:r>
        <w:rPr>
          <w:rFonts w:hint="eastAsia" w:ascii="Times New Roman" w:hAnsi="Times New Roman" w:eastAsia="华文中宋" w:cs="Times New Roman"/>
          <w:b/>
          <w:kern w:val="0"/>
          <w:sz w:val="24"/>
          <w:szCs w:val="20"/>
          <w:highlight w:val="none"/>
          <w:lang w:val="en-US" w:eastAsia="zh-CN" w:bidi="ar-SA"/>
        </w:rPr>
        <w:br w:type="page"/>
      </w:r>
    </w:p>
    <w:p w14:paraId="6E3979A0">
      <w:pPr>
        <w:pStyle w:val="4"/>
        <w:spacing w:before="120" w:after="120" w:line="324" w:lineRule="auto"/>
        <w:ind w:firstLine="280"/>
        <w:jc w:val="both"/>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1-1▲符合“申请人的资格要求”第1条规定的证明文件</w:t>
      </w:r>
    </w:p>
    <w:p w14:paraId="6B1DEC69">
      <w:pPr>
        <w:pStyle w:val="5"/>
        <w:autoSpaceDN w:val="0"/>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（1）▲资格承诺函</w:t>
      </w:r>
    </w:p>
    <w:p w14:paraId="2ADA7F6B">
      <w:pPr>
        <w:autoSpaceDN w:val="0"/>
        <w:spacing w:line="360" w:lineRule="auto"/>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资格承诺函（联合体、分包承担主体各方均须提供）</w:t>
      </w:r>
    </w:p>
    <w:p w14:paraId="57D1CD35">
      <w:pPr>
        <w:autoSpaceDN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u w:val="single"/>
          <w:lang w:eastAsia="zh-CN"/>
          <w14:textFill>
            <w14:solidFill>
              <w14:schemeClr w14:val="tx1"/>
            </w14:solidFill>
          </w14:textFill>
        </w:rPr>
        <w:t>浙江中医药大学</w:t>
      </w:r>
      <w:r>
        <w:rPr>
          <w:rFonts w:hint="eastAsia" w:ascii="宋体" w:hAnsi="宋体" w:eastAsia="宋体" w:cs="宋体"/>
          <w:b/>
          <w:color w:val="000000" w:themeColor="text1"/>
          <w:kern w:val="0"/>
          <w:sz w:val="24"/>
          <w:highlight w:val="none"/>
          <w:u w:val="single"/>
          <w14:textFill>
            <w14:solidFill>
              <w14:schemeClr w14:val="tx1"/>
            </w14:solidFill>
          </w14:textFill>
        </w:rPr>
        <w:t>、浙江省成套招标代理有限公司</w:t>
      </w:r>
      <w:r>
        <w:rPr>
          <w:rFonts w:hint="eastAsia" w:ascii="宋体" w:hAnsi="宋体" w:eastAsia="宋体" w:cs="宋体"/>
          <w:b/>
          <w:color w:val="000000" w:themeColor="text1"/>
          <w:kern w:val="0"/>
          <w:sz w:val="24"/>
          <w:highlight w:val="none"/>
          <w14:textFill>
            <w14:solidFill>
              <w14:schemeClr w14:val="tx1"/>
            </w14:solidFill>
          </w14:textFill>
        </w:rPr>
        <w:t>：</w:t>
      </w:r>
    </w:p>
    <w:p w14:paraId="72687DAE">
      <w:pPr>
        <w:autoSpaceDN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我方参加</w:t>
      </w:r>
      <w:r>
        <w:rPr>
          <w:rFonts w:hint="eastAsia" w:ascii="宋体" w:hAnsi="宋体" w:cs="宋体"/>
          <w:b/>
          <w:color w:val="000000" w:themeColor="text1"/>
          <w:kern w:val="0"/>
          <w:sz w:val="24"/>
          <w:highlight w:val="none"/>
          <w:u w:val="single"/>
          <w:lang w:eastAsia="zh-CN"/>
          <w14:textFill>
            <w14:solidFill>
              <w14:schemeClr w14:val="tx1"/>
            </w14:solidFill>
          </w14:textFill>
        </w:rPr>
        <w:t>浙江中医药大学Ivan Psakhye教授实验室改造项目</w:t>
      </w:r>
      <w:r>
        <w:rPr>
          <w:rFonts w:hint="eastAsia" w:ascii="宋体" w:hAnsi="宋体" w:eastAsia="宋体" w:cs="宋体"/>
          <w:b/>
          <w:color w:val="000000" w:themeColor="text1"/>
          <w:kern w:val="0"/>
          <w:sz w:val="24"/>
          <w:highlight w:val="none"/>
          <w:u w:val="single"/>
          <w14:textFill>
            <w14:solidFill>
              <w14:schemeClr w14:val="tx1"/>
            </w14:solidFill>
          </w14:textFill>
        </w:rPr>
        <w:t>（项目编号：</w:t>
      </w:r>
      <w:r>
        <w:rPr>
          <w:rFonts w:hint="eastAsia" w:ascii="宋体" w:hAnsi="宋体" w:cs="宋体"/>
          <w:b/>
          <w:color w:val="000000" w:themeColor="text1"/>
          <w:kern w:val="0"/>
          <w:sz w:val="24"/>
          <w:highlight w:val="none"/>
          <w:u w:val="single"/>
          <w:lang w:eastAsia="zh-CN"/>
          <w14:textFill>
            <w14:solidFill>
              <w14:schemeClr w14:val="tx1"/>
            </w14:solidFill>
          </w14:textFill>
        </w:rPr>
        <w:t>CTZB-2025070039</w:t>
      </w:r>
      <w:r>
        <w:rPr>
          <w:rFonts w:hint="eastAsia" w:ascii="宋体" w:hAnsi="宋体" w:eastAsia="宋体" w:cs="宋体"/>
          <w:b/>
          <w:color w:val="000000" w:themeColor="text1"/>
          <w:kern w:val="0"/>
          <w:sz w:val="24"/>
          <w:highlight w:val="none"/>
          <w:u w:val="single"/>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的政府采购活动，依据采购文件相关规定，郑重承诺如下：</w:t>
      </w:r>
    </w:p>
    <w:p w14:paraId="6A12F9A0">
      <w:pPr>
        <w:autoSpaceDN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（1）我方具有独立承担民事责任的能力；</w:t>
      </w:r>
    </w:p>
    <w:p w14:paraId="7AFDB8DD">
      <w:pPr>
        <w:autoSpaceDN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（2）我方具有良好的商业信誉和健全的财务会计制度；</w:t>
      </w:r>
    </w:p>
    <w:p w14:paraId="290C1186">
      <w:pPr>
        <w:autoSpaceDN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（3）我方具有履行本项目合同所必需的设备和专业技术能力；</w:t>
      </w:r>
    </w:p>
    <w:p w14:paraId="29CFB13C">
      <w:pPr>
        <w:autoSpaceDN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（4）我方有依法缴纳税收和社会保障资金的良好记录；</w:t>
      </w:r>
    </w:p>
    <w:p w14:paraId="7CD41A6A">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color w:val="000000" w:themeColor="text1"/>
          <w:sz w:val="24"/>
          <w:highlight w:val="none"/>
          <w14:textFill>
            <w14:solidFill>
              <w14:schemeClr w14:val="tx1"/>
            </w14:solidFill>
          </w14:textFill>
        </w:rPr>
        <w:t>；</w:t>
      </w:r>
    </w:p>
    <w:p w14:paraId="06F6A8F1">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（6）我方符合法律、行政法规规定的其他条件；</w:t>
      </w:r>
    </w:p>
    <w:p w14:paraId="0BAA951B">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我方在</w:t>
      </w:r>
      <w:r>
        <w:rPr>
          <w:rFonts w:hint="eastAsia" w:ascii="宋体" w:hAnsi="宋体" w:cs="宋体"/>
          <w:color w:val="000000" w:themeColor="text1"/>
          <w:kern w:val="0"/>
          <w:sz w:val="24"/>
          <w:highlight w:val="none"/>
          <w:lang w:eastAsia="zh-CN"/>
          <w14:textFill>
            <w14:solidFill>
              <w14:schemeClr w14:val="tx1"/>
            </w14:solidFill>
          </w14:textFill>
        </w:rPr>
        <w:t>磋商响应文件</w:t>
      </w:r>
      <w:r>
        <w:rPr>
          <w:rFonts w:hint="eastAsia" w:ascii="宋体" w:hAnsi="宋体" w:eastAsia="宋体" w:cs="宋体"/>
          <w:color w:val="000000" w:themeColor="text1"/>
          <w:kern w:val="0"/>
          <w:sz w:val="24"/>
          <w:highlight w:val="none"/>
          <w14:textFill>
            <w14:solidFill>
              <w14:schemeClr w14:val="tx1"/>
            </w14:solidFill>
          </w14:textFill>
        </w:rPr>
        <w:t>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7A33C72">
      <w:pPr>
        <w:autoSpaceDN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以上承诺如有虚假或隐瞒，采购人可取消我方任何资格（投标/中标/签订合同），我方对此无任何异议，并愿意承担一切后果和责任。</w:t>
      </w:r>
    </w:p>
    <w:p w14:paraId="69085A37">
      <w:pPr>
        <w:autoSpaceDN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特此承诺</w:t>
      </w:r>
    </w:p>
    <w:p w14:paraId="1D315DFC">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投标供应商名称（盖章）：__________________________________</w:t>
      </w:r>
    </w:p>
    <w:p w14:paraId="57ED552E">
      <w:pPr>
        <w:autoSpaceDN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日期：________年____月____日</w:t>
      </w:r>
    </w:p>
    <w:p w14:paraId="0BCB3E66">
      <w:pPr>
        <w:pStyle w:val="5"/>
        <w:autoSpaceDN w:val="0"/>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（2）▲营业执照或其他同类证明文件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14:paraId="34DF335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14:paraId="2C3792D5">
            <w:pPr>
              <w:autoSpaceDN w:val="0"/>
              <w:spacing w:before="600" w:beforeLines="250" w:line="360" w:lineRule="auto"/>
              <w:jc w:val="left"/>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证明材料：</w:t>
            </w:r>
            <w:r>
              <w:rPr>
                <w:rFonts w:hint="eastAsia" w:ascii="宋体" w:hAnsi="宋体" w:eastAsia="宋体" w:cs="宋体"/>
                <w:b/>
                <w:color w:val="000000"/>
                <w:sz w:val="28"/>
                <w:highlight w:val="none"/>
                <w:u w:val="single"/>
              </w:rPr>
              <w:t>营业执照（或事业单位法人证书或执业许可证或自然人有效身份证明）</w:t>
            </w:r>
            <w:r>
              <w:rPr>
                <w:rFonts w:hint="eastAsia" w:ascii="宋体" w:hAnsi="宋体" w:eastAsia="宋体" w:cs="宋体"/>
                <w:color w:val="000000"/>
                <w:sz w:val="28"/>
                <w:highlight w:val="none"/>
              </w:rPr>
              <w:t>（提供扫描件加盖磋商响应供应商公章）</w:t>
            </w:r>
            <w:r>
              <w:rPr>
                <w:rFonts w:hint="eastAsia" w:ascii="宋体" w:hAnsi="宋体" w:eastAsia="宋体" w:cs="宋体"/>
                <w:color w:val="000000"/>
                <w:sz w:val="24"/>
                <w:highlight w:val="none"/>
              </w:rPr>
              <w:t>。</w:t>
            </w:r>
          </w:p>
          <w:p w14:paraId="5BE6C89E">
            <w:pPr>
              <w:autoSpaceDN w:val="0"/>
              <w:spacing w:line="360" w:lineRule="auto"/>
              <w:jc w:val="left"/>
              <w:rPr>
                <w:rFonts w:hint="eastAsia" w:ascii="宋体" w:hAnsi="宋体" w:eastAsia="宋体" w:cs="宋体"/>
                <w:i/>
                <w:color w:val="000000"/>
                <w:sz w:val="24"/>
                <w:highlight w:val="none"/>
              </w:rPr>
            </w:pPr>
          </w:p>
          <w:p w14:paraId="4E92A263">
            <w:pPr>
              <w:autoSpaceDN w:val="0"/>
              <w:spacing w:line="360" w:lineRule="auto"/>
              <w:jc w:val="left"/>
              <w:rPr>
                <w:rFonts w:hint="eastAsia" w:ascii="宋体" w:hAnsi="宋体" w:eastAsia="宋体" w:cs="宋体"/>
                <w:b/>
                <w:i/>
                <w:color w:val="000000"/>
                <w:sz w:val="28"/>
                <w:highlight w:val="none"/>
              </w:rPr>
            </w:pPr>
            <w:r>
              <w:rPr>
                <w:rFonts w:hint="eastAsia" w:ascii="宋体" w:hAnsi="宋体" w:eastAsia="宋体" w:cs="宋体"/>
                <w:b/>
                <w:i/>
                <w:color w:val="000000"/>
                <w:sz w:val="28"/>
                <w:highlight w:val="none"/>
              </w:rPr>
              <w:t>提示和说明：</w:t>
            </w:r>
          </w:p>
          <w:p w14:paraId="2146E886">
            <w:pPr>
              <w:autoSpaceDN w:val="0"/>
              <w:spacing w:line="360" w:lineRule="auto"/>
              <w:ind w:firstLine="369" w:firstLineChars="132"/>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FB951BA">
            <w:pPr>
              <w:autoSpaceDN w:val="0"/>
              <w:spacing w:line="360" w:lineRule="auto"/>
              <w:ind w:firstLine="422" w:firstLineChars="151"/>
              <w:jc w:val="left"/>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6A2948">
            <w:pPr>
              <w:autoSpaceDN w:val="0"/>
              <w:spacing w:line="360" w:lineRule="auto"/>
              <w:ind w:firstLine="424" w:firstLineChars="151"/>
              <w:jc w:val="left"/>
              <w:rPr>
                <w:rFonts w:hint="eastAsia" w:ascii="宋体" w:hAnsi="宋体" w:eastAsia="宋体" w:cs="宋体"/>
                <w:i/>
                <w:color w:val="000000"/>
                <w:kern w:val="0"/>
                <w:sz w:val="24"/>
                <w:highlight w:val="none"/>
              </w:rPr>
            </w:pPr>
            <w:r>
              <w:rPr>
                <w:rFonts w:hint="eastAsia" w:ascii="宋体" w:hAnsi="宋体" w:eastAsia="宋体" w:cs="宋体"/>
                <w:b/>
                <w:kern w:val="0"/>
                <w:sz w:val="28"/>
                <w:highlight w:val="none"/>
              </w:rPr>
              <w:t>c.联合体、分包承担主体各方均须提供。</w:t>
            </w:r>
          </w:p>
        </w:tc>
      </w:tr>
    </w:tbl>
    <w:p w14:paraId="76E6B5D4">
      <w:pPr>
        <w:autoSpaceDN w:val="0"/>
        <w:rPr>
          <w:rFonts w:hint="eastAsia" w:ascii="宋体" w:hAnsi="宋体" w:eastAsia="宋体" w:cs="宋体"/>
          <w:sz w:val="24"/>
          <w:highlight w:val="none"/>
        </w:rPr>
      </w:pPr>
      <w:r>
        <w:rPr>
          <w:rFonts w:hint="eastAsia" w:ascii="宋体" w:hAnsi="宋体" w:eastAsia="宋体" w:cs="宋体"/>
          <w:sz w:val="24"/>
          <w:highlight w:val="none"/>
        </w:rPr>
        <w:br w:type="page"/>
      </w:r>
    </w:p>
    <w:p w14:paraId="2F81E199">
      <w:pPr>
        <w:pStyle w:val="4"/>
        <w:spacing w:before="120" w:after="120"/>
        <w:ind w:firstLine="280"/>
        <w:jc w:val="both"/>
        <w:rPr>
          <w:rFonts w:hint="eastAsia" w:ascii="宋体" w:hAnsi="宋体" w:eastAsia="宋体" w:cs="宋体"/>
          <w:sz w:val="40"/>
          <w:szCs w:val="44"/>
          <w:highlight w:val="none"/>
        </w:rPr>
      </w:pPr>
      <w:r>
        <w:rPr>
          <w:rFonts w:hint="eastAsia" w:ascii="宋体" w:hAnsi="宋体" w:eastAsia="宋体" w:cs="宋体"/>
          <w:bCs/>
          <w:color w:val="000000"/>
          <w:kern w:val="0"/>
          <w:sz w:val="28"/>
          <w:szCs w:val="28"/>
          <w:highlight w:val="none"/>
        </w:rPr>
        <w:t>1-2 符合“申请人的资格要求”第2条“落实政府采购政策需满足的资格要求”规定的证明文件</w:t>
      </w:r>
    </w:p>
    <w:p w14:paraId="757995EA">
      <w:pPr>
        <w:pStyle w:val="5"/>
        <w:autoSpaceDN w:val="0"/>
        <w:ind w:firstLine="561"/>
        <w:jc w:val="left"/>
        <w:rPr>
          <w:rFonts w:hint="eastAsia" w:ascii="宋体" w:hAnsi="宋体" w:eastAsia="宋体" w:cs="宋体"/>
          <w:kern w:val="0"/>
          <w:highlight w:val="none"/>
        </w:rPr>
      </w:pPr>
      <w:r>
        <w:rPr>
          <w:rFonts w:hint="eastAsia" w:ascii="宋体" w:hAnsi="宋体" w:eastAsia="宋体" w:cs="宋体"/>
          <w:kern w:val="0"/>
          <w:highlight w:val="none"/>
        </w:rPr>
        <w:t>1-2-1▲中小企业声明函</w:t>
      </w:r>
    </w:p>
    <w:p w14:paraId="2C493930">
      <w:pPr>
        <w:autoSpaceDN w:val="0"/>
        <w:spacing w:line="312" w:lineRule="auto"/>
        <w:jc w:val="center"/>
        <w:rPr>
          <w:rFonts w:hint="eastAsia" w:ascii="宋体" w:hAnsi="宋体" w:eastAsia="宋体" w:cs="宋体"/>
          <w:b/>
          <w:color w:val="000000"/>
          <w:sz w:val="40"/>
          <w:szCs w:val="44"/>
          <w:highlight w:val="none"/>
        </w:rPr>
      </w:pPr>
      <w:r>
        <w:rPr>
          <w:rFonts w:hint="eastAsia" w:ascii="宋体" w:hAnsi="宋体" w:eastAsia="宋体" w:cs="宋体"/>
          <w:b/>
          <w:color w:val="000000"/>
          <w:sz w:val="40"/>
          <w:szCs w:val="44"/>
          <w:highlight w:val="none"/>
        </w:rPr>
        <w:t>▲中小企业声明函</w:t>
      </w:r>
    </w:p>
    <w:p w14:paraId="044D7AAB">
      <w:pPr>
        <w:pStyle w:val="45"/>
        <w:autoSpaceDN w:val="0"/>
        <w:spacing w:before="60" w:beforeAutospacing="0" w:after="60" w:afterAutospacing="0" w:line="312" w:lineRule="auto"/>
        <w:ind w:firstLine="480" w:firstLineChars="200"/>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本公司郑重声明，根据《政府采购促进中小企业发展管理办法》（财库﹝2020﹞46 号）的规定，本公司参加</w:t>
      </w:r>
      <w:r>
        <w:rPr>
          <w:rFonts w:hint="eastAsia" w:ascii="宋体" w:hAnsi="宋体" w:eastAsia="宋体" w:cs="宋体"/>
          <w:b/>
          <w:bCs/>
          <w:i w:val="0"/>
          <w:iCs w:val="0"/>
          <w:color w:val="000000"/>
          <w:sz w:val="24"/>
          <w:szCs w:val="24"/>
          <w:highlight w:val="none"/>
          <w:u w:val="single"/>
          <w:lang w:eastAsia="zh-CN"/>
        </w:rPr>
        <w:t>浙江中医药大学</w:t>
      </w:r>
      <w:r>
        <w:rPr>
          <w:rFonts w:hint="eastAsia" w:ascii="宋体" w:hAnsi="宋体" w:eastAsia="宋体" w:cs="宋体"/>
          <w:i w:val="0"/>
          <w:iCs w:val="0"/>
          <w:color w:val="000000"/>
          <w:sz w:val="24"/>
          <w:szCs w:val="24"/>
          <w:highlight w:val="none"/>
        </w:rPr>
        <w:t>的</w:t>
      </w:r>
      <w:r>
        <w:rPr>
          <w:rFonts w:hint="eastAsia" w:cs="宋体"/>
          <w:b/>
          <w:bCs/>
          <w:i w:val="0"/>
          <w:iCs w:val="0"/>
          <w:color w:val="000000"/>
          <w:sz w:val="24"/>
          <w:szCs w:val="24"/>
          <w:highlight w:val="none"/>
          <w:u w:val="single"/>
          <w:lang w:eastAsia="zh-CN"/>
        </w:rPr>
        <w:t>浙江中医药大学Ivan Psakhye教授实验室改造项目</w:t>
      </w:r>
      <w:r>
        <w:rPr>
          <w:rFonts w:hint="eastAsia" w:ascii="宋体" w:hAnsi="宋体" w:eastAsia="宋体" w:cs="宋体"/>
          <w:i w:val="0"/>
          <w:iCs w:val="0"/>
          <w:color w:val="000000"/>
          <w:sz w:val="24"/>
          <w:szCs w:val="24"/>
          <w:highlight w:val="none"/>
        </w:rPr>
        <w:t>采购活动，工程的施工单位全部为符合政策要求的中小企业。企业具体情况如下：</w:t>
      </w:r>
    </w:p>
    <w:p w14:paraId="03E751D8">
      <w:pPr>
        <w:pStyle w:val="45"/>
        <w:autoSpaceDN w:val="0"/>
        <w:spacing w:before="60" w:beforeAutospacing="0" w:after="60" w:afterAutospacing="0" w:line="312" w:lineRule="auto"/>
        <w:ind w:firstLine="373"/>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1.</w:t>
      </w:r>
      <w:r>
        <w:rPr>
          <w:rFonts w:hint="eastAsia" w:cs="宋体"/>
          <w:b/>
          <w:bCs/>
          <w:i w:val="0"/>
          <w:iCs w:val="0"/>
          <w:color w:val="000000"/>
          <w:sz w:val="24"/>
          <w:szCs w:val="24"/>
          <w:highlight w:val="none"/>
          <w:u w:val="single"/>
          <w:lang w:eastAsia="zh-CN"/>
        </w:rPr>
        <w:t>浙江中医药大学Ivan Psakhye教授实验室改造项目</w:t>
      </w:r>
      <w:r>
        <w:rPr>
          <w:rFonts w:hint="eastAsia" w:ascii="宋体" w:hAnsi="宋体" w:eastAsia="宋体" w:cs="宋体"/>
          <w:i w:val="0"/>
          <w:iCs w:val="0"/>
          <w:color w:val="000000"/>
          <w:sz w:val="24"/>
          <w:szCs w:val="24"/>
          <w:highlight w:val="none"/>
        </w:rPr>
        <w:t>，属于</w:t>
      </w:r>
      <w:r>
        <w:rPr>
          <w:rFonts w:hint="eastAsia" w:ascii="宋体" w:hAnsi="宋体" w:eastAsia="宋体" w:cs="宋体"/>
          <w:b/>
          <w:bCs/>
          <w:i w:val="0"/>
          <w:iCs w:val="0"/>
          <w:color w:val="000000"/>
          <w:sz w:val="24"/>
          <w:szCs w:val="24"/>
          <w:highlight w:val="none"/>
          <w:u w:val="single"/>
        </w:rPr>
        <w:t>建筑业</w:t>
      </w:r>
      <w:r>
        <w:rPr>
          <w:rFonts w:hint="eastAsia" w:ascii="宋体" w:hAnsi="宋体" w:eastAsia="宋体" w:cs="宋体"/>
          <w:i w:val="0"/>
          <w:iCs w:val="0"/>
          <w:color w:val="000000"/>
          <w:sz w:val="24"/>
          <w:szCs w:val="24"/>
          <w:highlight w:val="none"/>
        </w:rPr>
        <w:t>；承建（承接）企业为</w:t>
      </w:r>
      <w:r>
        <w:rPr>
          <w:rFonts w:hint="eastAsia" w:ascii="宋体" w:hAnsi="宋体" w:eastAsia="宋体" w:cs="宋体"/>
          <w:i w:val="0"/>
          <w:iCs w:val="0"/>
          <w:color w:val="000000"/>
          <w:sz w:val="24"/>
          <w:szCs w:val="24"/>
          <w:highlight w:val="none"/>
          <w:u w:val="single"/>
        </w:rPr>
        <w:t>（企业名称）</w:t>
      </w:r>
      <w:r>
        <w:rPr>
          <w:rFonts w:hint="eastAsia" w:ascii="宋体" w:hAnsi="宋体" w:eastAsia="宋体" w:cs="宋体"/>
          <w:i w:val="0"/>
          <w:iCs w:val="0"/>
          <w:color w:val="000000"/>
          <w:sz w:val="24"/>
          <w:szCs w:val="24"/>
          <w:highlight w:val="none"/>
        </w:rPr>
        <w:t>，从业人员</w:t>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u w:val="single"/>
        </w:rPr>
        <w:tab/>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rPr>
        <w:t>人，营业收入为</w:t>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u w:val="single"/>
        </w:rPr>
        <w:tab/>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rPr>
        <w:t>万元，资产总额为</w:t>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u w:val="single"/>
        </w:rPr>
        <w:tab/>
      </w:r>
      <w:r>
        <w:rPr>
          <w:rFonts w:hint="eastAsia" w:ascii="宋体" w:hAnsi="宋体" w:eastAsia="宋体" w:cs="宋体"/>
          <w:i w:val="0"/>
          <w:iCs w:val="0"/>
          <w:color w:val="000000"/>
          <w:sz w:val="24"/>
          <w:szCs w:val="24"/>
          <w:highlight w:val="none"/>
        </w:rPr>
        <w:t>万元，属于</w:t>
      </w:r>
      <w:r>
        <w:rPr>
          <w:rFonts w:hint="eastAsia" w:ascii="宋体" w:hAnsi="宋体" w:eastAsia="宋体" w:cs="宋体"/>
          <w:i w:val="0"/>
          <w:iCs w:val="0"/>
          <w:color w:val="000000"/>
          <w:sz w:val="24"/>
          <w:szCs w:val="24"/>
          <w:highlight w:val="none"/>
          <w:u w:val="single"/>
        </w:rPr>
        <w:t>（中型企业、小型企业、微型企业）</w:t>
      </w:r>
      <w:r>
        <w:rPr>
          <w:rFonts w:hint="eastAsia" w:ascii="宋体" w:hAnsi="宋体" w:eastAsia="宋体" w:cs="宋体"/>
          <w:i w:val="0"/>
          <w:iCs w:val="0"/>
          <w:color w:val="000000"/>
          <w:sz w:val="24"/>
          <w:szCs w:val="24"/>
          <w:highlight w:val="none"/>
        </w:rPr>
        <w:t>；</w:t>
      </w:r>
    </w:p>
    <w:p w14:paraId="1532FE30">
      <w:pPr>
        <w:autoSpaceDN w:val="0"/>
        <w:spacing w:line="360" w:lineRule="auto"/>
        <w:ind w:firstLine="484" w:firstLineChars="202"/>
        <w:jc w:val="left"/>
        <w:rPr>
          <w:rFonts w:hint="eastAsia" w:ascii="宋体" w:hAnsi="宋体" w:eastAsia="宋体" w:cs="宋体"/>
          <w:i w:val="0"/>
          <w:iCs w:val="0"/>
          <w:color w:val="000000"/>
          <w:kern w:val="0"/>
          <w:sz w:val="24"/>
          <w:szCs w:val="24"/>
          <w:highlight w:val="none"/>
        </w:rPr>
      </w:pPr>
      <w:r>
        <w:rPr>
          <w:rFonts w:hint="eastAsia" w:ascii="宋体" w:hAnsi="宋体" w:eastAsia="宋体" w:cs="宋体"/>
          <w:i w:val="0"/>
          <w:iCs w:val="0"/>
          <w:color w:val="000000"/>
          <w:kern w:val="0"/>
          <w:sz w:val="24"/>
          <w:szCs w:val="24"/>
          <w:highlight w:val="none"/>
        </w:rPr>
        <w:t>以上企业，不属于大企业的分支机构，不存在控股股东为大企业的情形，也不存在与大企业的负责人为同一人的情形。</w:t>
      </w:r>
    </w:p>
    <w:p w14:paraId="5395A6D0">
      <w:pPr>
        <w:autoSpaceDN w:val="0"/>
        <w:spacing w:line="360" w:lineRule="auto"/>
        <w:ind w:firstLine="484" w:firstLineChars="202"/>
        <w:jc w:val="left"/>
        <w:rPr>
          <w:rFonts w:hint="eastAsia" w:ascii="宋体" w:hAnsi="宋体" w:eastAsia="宋体" w:cs="宋体"/>
          <w:i w:val="0"/>
          <w:iCs w:val="0"/>
          <w:color w:val="000000"/>
          <w:kern w:val="0"/>
          <w:sz w:val="24"/>
          <w:szCs w:val="24"/>
          <w:highlight w:val="none"/>
        </w:rPr>
      </w:pPr>
      <w:r>
        <w:rPr>
          <w:rFonts w:hint="eastAsia" w:ascii="宋体" w:hAnsi="宋体" w:eastAsia="宋体" w:cs="宋体"/>
          <w:i w:val="0"/>
          <w:iCs w:val="0"/>
          <w:color w:val="000000"/>
          <w:kern w:val="0"/>
          <w:sz w:val="24"/>
          <w:szCs w:val="24"/>
          <w:highlight w:val="none"/>
        </w:rPr>
        <w:t>本企业对上述声明内容的真实性负责。如有虚假，将依法承担相应责任。</w:t>
      </w:r>
    </w:p>
    <w:p w14:paraId="0A30AF24">
      <w:pPr>
        <w:autoSpaceDN w:val="0"/>
        <w:spacing w:line="360" w:lineRule="auto"/>
        <w:ind w:left="3570" w:leftChars="1700" w:firstLine="565" w:firstLineChars="202"/>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企业名称（盖章）：</w:t>
      </w:r>
    </w:p>
    <w:p w14:paraId="4B12C289">
      <w:pPr>
        <w:autoSpaceDN w:val="0"/>
        <w:spacing w:line="360" w:lineRule="auto"/>
        <w:ind w:left="3570" w:leftChars="1700" w:firstLine="565" w:firstLineChars="202"/>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日期：</w:t>
      </w:r>
    </w:p>
    <w:p w14:paraId="64C71104">
      <w:pPr>
        <w:pStyle w:val="21"/>
        <w:rPr>
          <w:rFonts w:hint="eastAsia" w:ascii="宋体" w:hAnsi="宋体" w:eastAsia="宋体" w:cs="宋体"/>
          <w:b/>
          <w:bCs/>
          <w:highlight w:val="none"/>
        </w:rPr>
      </w:pPr>
      <w:r>
        <w:rPr>
          <w:rFonts w:hint="eastAsia" w:ascii="宋体" w:hAnsi="宋体" w:eastAsia="宋体" w:cs="宋体"/>
          <w:b/>
          <w:bCs/>
          <w:highlight w:val="none"/>
        </w:rPr>
        <w:t>备注：1、从业人员、营业收入、资产总额填报上一年度数据，无上一年度数据的新成立企业可不填报。</w:t>
      </w:r>
    </w:p>
    <w:p w14:paraId="7737A66B">
      <w:pPr>
        <w:pStyle w:val="21"/>
        <w:rPr>
          <w:rFonts w:hint="eastAsia" w:ascii="宋体" w:hAnsi="宋体" w:eastAsia="宋体" w:cs="宋体"/>
          <w:b/>
          <w:bCs/>
          <w:highlight w:val="none"/>
        </w:rPr>
      </w:pPr>
      <w:r>
        <w:rPr>
          <w:rFonts w:hint="eastAsia" w:ascii="宋体" w:hAnsi="宋体" w:eastAsia="宋体" w:cs="宋体"/>
          <w:b/>
          <w:bCs/>
          <w:highlight w:val="none"/>
        </w:rPr>
        <w:t>2、“建筑业”企业规模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D83028">
      <w:pPr>
        <w:pStyle w:val="21"/>
        <w:ind w:firstLine="0"/>
        <w:rPr>
          <w:rFonts w:hint="eastAsia" w:ascii="宋体" w:hAnsi="宋体" w:eastAsia="宋体" w:cs="宋体"/>
          <w:highlight w:val="none"/>
        </w:rPr>
      </w:pPr>
    </w:p>
    <w:p w14:paraId="3389F81E">
      <w:pP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5562C18D">
      <w:pPr>
        <w:pStyle w:val="5"/>
        <w:autoSpaceDN w:val="0"/>
        <w:ind w:firstLine="0" w:firstLineChars="0"/>
        <w:jc w:val="left"/>
        <w:rPr>
          <w:rFonts w:hint="eastAsia" w:ascii="宋体" w:hAnsi="宋体" w:eastAsia="宋体" w:cs="宋体"/>
          <w:highlight w:val="none"/>
        </w:rPr>
      </w:pPr>
      <w:r>
        <w:rPr>
          <w:rFonts w:hint="eastAsia" w:ascii="宋体" w:hAnsi="宋体" w:eastAsia="宋体" w:cs="宋体"/>
          <w:color w:val="000000"/>
          <w:highlight w:val="none"/>
        </w:rPr>
        <w:t>（1）残疾人福利性单位声明函（如是）</w:t>
      </w:r>
    </w:p>
    <w:p w14:paraId="5A178960">
      <w:pPr>
        <w:autoSpaceDN w:val="0"/>
        <w:spacing w:before="240"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z w:val="40"/>
          <w:szCs w:val="44"/>
          <w:highlight w:val="none"/>
        </w:rPr>
        <w:t>残疾人福利性单位声明函</w:t>
      </w:r>
    </w:p>
    <w:p w14:paraId="0DE1D2C1">
      <w:pPr>
        <w:autoSpaceDN w:val="0"/>
        <w:spacing w:line="360" w:lineRule="auto"/>
        <w:ind w:firstLine="584" w:firstLineChars="200"/>
        <w:rPr>
          <w:rFonts w:hint="eastAsia" w:ascii="宋体" w:hAnsi="宋体" w:eastAsia="宋体" w:cs="宋体"/>
          <w:color w:val="000000"/>
          <w:spacing w:val="6"/>
          <w:sz w:val="28"/>
          <w:highlight w:val="none"/>
        </w:rPr>
      </w:pPr>
      <w:r>
        <w:rPr>
          <w:rFonts w:hint="eastAsia" w:ascii="宋体" w:hAnsi="宋体" w:eastAsia="宋体" w:cs="宋体"/>
          <w:color w:val="000000"/>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000000"/>
          <w:sz w:val="28"/>
          <w:highlight w:val="none"/>
        </w:rPr>
        <w:t>〔2017〕141</w:t>
      </w:r>
      <w:r>
        <w:rPr>
          <w:rFonts w:hint="eastAsia" w:ascii="宋体" w:hAnsi="宋体" w:eastAsia="宋体" w:cs="宋体"/>
          <w:color w:val="000000"/>
          <w:spacing w:val="6"/>
          <w:sz w:val="28"/>
          <w:highlight w:val="none"/>
        </w:rPr>
        <w:t>号）的规定，本单位为符合条件的残疾人福利性单位，且本单位参加</w:t>
      </w:r>
      <w:r>
        <w:rPr>
          <w:rFonts w:hint="eastAsia" w:ascii="宋体" w:hAnsi="宋体" w:cs="宋体"/>
          <w:b/>
          <w:bCs/>
          <w:color w:val="000000"/>
          <w:kern w:val="0"/>
          <w:sz w:val="28"/>
          <w:szCs w:val="28"/>
          <w:highlight w:val="none"/>
          <w:u w:val="single"/>
          <w:lang w:eastAsia="zh-CN"/>
        </w:rPr>
        <w:t>浙江中医药大学Ivan Psakhye教授实验室改造项目</w:t>
      </w:r>
      <w:r>
        <w:rPr>
          <w:rFonts w:hint="eastAsia" w:ascii="宋体" w:hAnsi="宋体" w:eastAsia="宋体" w:cs="宋体"/>
          <w:b/>
          <w:bCs/>
          <w:color w:val="000000"/>
          <w:kern w:val="0"/>
          <w:sz w:val="28"/>
          <w:szCs w:val="28"/>
          <w:highlight w:val="none"/>
          <w:u w:val="single"/>
        </w:rPr>
        <w:t>（项目编号：</w:t>
      </w:r>
      <w:r>
        <w:rPr>
          <w:rFonts w:hint="eastAsia" w:ascii="宋体" w:hAnsi="宋体" w:cs="宋体"/>
          <w:b/>
          <w:bCs/>
          <w:color w:val="000000"/>
          <w:kern w:val="0"/>
          <w:sz w:val="28"/>
          <w:szCs w:val="28"/>
          <w:highlight w:val="none"/>
          <w:u w:val="single"/>
          <w:lang w:eastAsia="zh-CN"/>
        </w:rPr>
        <w:t>CTZB-2025070039</w:t>
      </w:r>
      <w:r>
        <w:rPr>
          <w:rFonts w:hint="eastAsia" w:ascii="宋体" w:hAnsi="宋体" w:eastAsia="宋体" w:cs="宋体"/>
          <w:b/>
          <w:bCs/>
          <w:color w:val="000000"/>
          <w:kern w:val="0"/>
          <w:sz w:val="28"/>
          <w:szCs w:val="28"/>
          <w:highlight w:val="none"/>
          <w:u w:val="single"/>
        </w:rPr>
        <w:t>）</w:t>
      </w:r>
      <w:r>
        <w:rPr>
          <w:rFonts w:hint="eastAsia" w:ascii="宋体" w:hAnsi="宋体" w:eastAsia="宋体" w:cs="宋体"/>
          <w:color w:val="000000"/>
          <w:spacing w:val="6"/>
          <w:sz w:val="28"/>
          <w:highlight w:val="none"/>
        </w:rPr>
        <w:t>的采购活动，由本单位承担工程。</w:t>
      </w:r>
    </w:p>
    <w:p w14:paraId="5F5348BE">
      <w:pPr>
        <w:autoSpaceDN w:val="0"/>
        <w:spacing w:line="360" w:lineRule="auto"/>
        <w:ind w:firstLine="584" w:firstLineChars="200"/>
        <w:rPr>
          <w:rFonts w:hint="eastAsia" w:ascii="宋体" w:hAnsi="宋体" w:eastAsia="宋体" w:cs="宋体"/>
          <w:color w:val="000000"/>
          <w:spacing w:val="6"/>
          <w:sz w:val="28"/>
          <w:highlight w:val="none"/>
        </w:rPr>
      </w:pPr>
      <w:r>
        <w:rPr>
          <w:rFonts w:hint="eastAsia" w:ascii="宋体" w:hAnsi="宋体" w:eastAsia="宋体" w:cs="宋体"/>
          <w:color w:val="000000"/>
          <w:spacing w:val="6"/>
          <w:sz w:val="28"/>
          <w:highlight w:val="none"/>
        </w:rPr>
        <w:t>本单位对上述声明的真实性负责。如有虚假，将依法承担相应责任。</w:t>
      </w:r>
    </w:p>
    <w:p w14:paraId="14DD5D14">
      <w:pPr>
        <w:pStyle w:val="21"/>
        <w:rPr>
          <w:rFonts w:hint="eastAsia" w:ascii="宋体" w:hAnsi="宋体" w:eastAsia="宋体" w:cs="宋体"/>
          <w:highlight w:val="none"/>
        </w:rPr>
      </w:pPr>
    </w:p>
    <w:p w14:paraId="49A633E3">
      <w:pPr>
        <w:autoSpaceDN w:val="0"/>
        <w:spacing w:line="360" w:lineRule="auto"/>
        <w:ind w:firstLine="504" w:firstLineChars="200"/>
        <w:rPr>
          <w:rFonts w:hint="eastAsia" w:ascii="宋体" w:hAnsi="宋体" w:eastAsia="宋体" w:cs="宋体"/>
          <w:color w:val="000000"/>
          <w:spacing w:val="6"/>
          <w:sz w:val="24"/>
          <w:highlight w:val="none"/>
        </w:rPr>
      </w:pPr>
    </w:p>
    <w:p w14:paraId="62D4B6BE">
      <w:pPr>
        <w:autoSpaceDN w:val="0"/>
        <w:spacing w:line="360" w:lineRule="auto"/>
        <w:ind w:firstLine="504" w:firstLineChars="200"/>
        <w:rPr>
          <w:rFonts w:hint="eastAsia" w:ascii="宋体" w:hAnsi="宋体" w:eastAsia="宋体" w:cs="宋体"/>
          <w:color w:val="000000"/>
          <w:spacing w:val="6"/>
          <w:sz w:val="24"/>
          <w:highlight w:val="none"/>
        </w:rPr>
      </w:pPr>
    </w:p>
    <w:p w14:paraId="69C5082A">
      <w:pPr>
        <w:tabs>
          <w:tab w:val="left" w:pos="4860"/>
        </w:tabs>
        <w:autoSpaceDN w:val="0"/>
        <w:spacing w:line="360" w:lineRule="auto"/>
        <w:ind w:right="1560"/>
        <w:jc w:val="left"/>
        <w:rPr>
          <w:rFonts w:hint="eastAsia" w:ascii="宋体" w:hAnsi="宋体" w:eastAsia="宋体" w:cs="宋体"/>
          <w:color w:val="000000"/>
          <w:spacing w:val="6"/>
          <w:sz w:val="28"/>
          <w:highlight w:val="none"/>
        </w:rPr>
      </w:pPr>
      <w:r>
        <w:rPr>
          <w:rFonts w:hint="eastAsia" w:ascii="宋体" w:hAnsi="宋体" w:eastAsia="宋体" w:cs="宋体"/>
          <w:color w:val="000000"/>
          <w:spacing w:val="6"/>
          <w:sz w:val="28"/>
          <w:highlight w:val="none"/>
        </w:rPr>
        <w:t>单位名称（盖章）：</w:t>
      </w:r>
      <w:r>
        <w:rPr>
          <w:rFonts w:hint="eastAsia" w:ascii="宋体" w:hAnsi="宋体" w:eastAsia="宋体" w:cs="宋体"/>
          <w:color w:val="000000"/>
          <w:w w:val="90"/>
          <w:kern w:val="0"/>
          <w:sz w:val="28"/>
          <w:highlight w:val="none"/>
        </w:rPr>
        <w:t>__________________________________</w:t>
      </w:r>
    </w:p>
    <w:p w14:paraId="152CC06F">
      <w:pPr>
        <w:autoSpaceDN w:val="0"/>
        <w:spacing w:line="360" w:lineRule="auto"/>
        <w:rPr>
          <w:rFonts w:hint="eastAsia" w:ascii="宋体" w:hAnsi="宋体" w:eastAsia="宋体" w:cs="宋体"/>
          <w:color w:val="000000"/>
          <w:w w:val="90"/>
          <w:kern w:val="0"/>
          <w:sz w:val="28"/>
          <w:highlight w:val="none"/>
        </w:rPr>
      </w:pPr>
      <w:r>
        <w:rPr>
          <w:rFonts w:hint="eastAsia" w:ascii="宋体" w:hAnsi="宋体" w:eastAsia="宋体" w:cs="宋体"/>
          <w:color w:val="000000"/>
          <w:spacing w:val="6"/>
          <w:sz w:val="28"/>
          <w:highlight w:val="none"/>
        </w:rPr>
        <w:t>日期：</w:t>
      </w:r>
      <w:r>
        <w:rPr>
          <w:rFonts w:hint="eastAsia" w:ascii="宋体" w:hAnsi="宋体" w:eastAsia="宋体" w:cs="宋体"/>
          <w:color w:val="000000"/>
          <w:w w:val="90"/>
          <w:kern w:val="0"/>
          <w:sz w:val="28"/>
          <w:highlight w:val="none"/>
        </w:rPr>
        <w:t>____________________________________________</w:t>
      </w:r>
    </w:p>
    <w:p w14:paraId="2FE377C7">
      <w:pPr>
        <w:autoSpaceDN w:val="0"/>
        <w:spacing w:line="360" w:lineRule="auto"/>
        <w:ind w:firstLine="426" w:firstLineChars="177"/>
        <w:rPr>
          <w:rFonts w:hint="eastAsia" w:ascii="宋体" w:hAnsi="宋体" w:eastAsia="宋体" w:cs="宋体"/>
          <w:b/>
          <w:sz w:val="24"/>
          <w:szCs w:val="20"/>
          <w:highlight w:val="none"/>
        </w:rPr>
      </w:pPr>
      <w:r>
        <w:rPr>
          <w:rFonts w:hint="eastAsia" w:ascii="宋体" w:hAnsi="宋体" w:eastAsia="宋体" w:cs="宋体"/>
          <w:b/>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9C5932C">
      <w:pPr>
        <w:autoSpaceDN w:val="0"/>
        <w:spacing w:line="360" w:lineRule="auto"/>
        <w:ind w:firstLine="482" w:firstLineChars="200"/>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szCs w:val="20"/>
          <w:highlight w:val="none"/>
        </w:rPr>
        <w:t>（2）残疾人福利性单位证明材料：残疾人福利性单位声明函，如提供其他残疾人福利性单位制造的货物，还须同时提供该企业的残疾人福利性单位声明函。</w:t>
      </w:r>
    </w:p>
    <w:p w14:paraId="4CE05572">
      <w:pPr>
        <w:pStyle w:val="5"/>
        <w:autoSpaceDN w:val="0"/>
        <w:ind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（2）监狱企业证明文件</w:t>
      </w:r>
    </w:p>
    <w:p w14:paraId="19390A8D">
      <w:pPr>
        <w:autoSpaceDN w:val="0"/>
        <w:spacing w:line="360" w:lineRule="auto"/>
        <w:jc w:val="center"/>
        <w:rPr>
          <w:rFonts w:hint="eastAsia" w:ascii="宋体" w:hAnsi="宋体" w:eastAsia="宋体" w:cs="宋体"/>
          <w:b/>
          <w:color w:val="000000"/>
          <w:sz w:val="40"/>
          <w:szCs w:val="44"/>
          <w:highlight w:val="none"/>
        </w:rPr>
      </w:pPr>
      <w:r>
        <w:rPr>
          <w:rFonts w:hint="eastAsia" w:ascii="宋体" w:hAnsi="宋体" w:eastAsia="宋体" w:cs="宋体"/>
          <w:b/>
          <w:color w:val="000000"/>
          <w:sz w:val="40"/>
          <w:szCs w:val="44"/>
          <w:highlight w:val="none"/>
        </w:rPr>
        <w:t>监狱企业证明文件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4D3F47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9AB46A5">
            <w:pPr>
              <w:autoSpaceDN w:val="0"/>
              <w:spacing w:line="360" w:lineRule="auto"/>
              <w:ind w:firstLine="426" w:firstLineChars="177"/>
              <w:rPr>
                <w:rFonts w:hint="eastAsia" w:ascii="宋体" w:hAnsi="宋体" w:eastAsia="宋体" w:cs="宋体"/>
                <w:b/>
                <w:sz w:val="24"/>
                <w:szCs w:val="20"/>
                <w:highlight w:val="none"/>
              </w:rPr>
            </w:pPr>
            <w:r>
              <w:rPr>
                <w:rFonts w:hint="eastAsia" w:ascii="宋体" w:hAnsi="宋体" w:eastAsia="宋体" w:cs="宋体"/>
                <w:b/>
                <w:sz w:val="24"/>
                <w:szCs w:val="20"/>
                <w:highlight w:val="none"/>
              </w:rPr>
              <w:t>备注:（1）根据《关于政府采购支持监狱企业发展有关问题的通知》（财库[2014]68号）的规定，符合规定要求的供应商视同为小型和微型企业。</w:t>
            </w:r>
          </w:p>
          <w:p w14:paraId="3D5B7E40">
            <w:pPr>
              <w:autoSpaceDN w:val="0"/>
              <w:spacing w:line="360" w:lineRule="auto"/>
              <w:ind w:firstLine="426" w:firstLineChars="177"/>
              <w:rPr>
                <w:rFonts w:hint="eastAsia" w:ascii="宋体" w:hAnsi="宋体" w:eastAsia="宋体" w:cs="宋体"/>
                <w:b/>
                <w:i/>
                <w:color w:val="000000"/>
                <w:kern w:val="0"/>
                <w:sz w:val="28"/>
                <w:highlight w:val="none"/>
              </w:rPr>
            </w:pPr>
            <w:r>
              <w:rPr>
                <w:rFonts w:hint="eastAsia" w:ascii="宋体" w:hAnsi="宋体" w:eastAsia="宋体" w:cs="宋体"/>
                <w:b/>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5543B73">
      <w:pPr>
        <w:pStyle w:val="21"/>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pPr>
    </w:p>
    <w:p w14:paraId="645B4218">
      <w:pPr>
        <w:pStyle w:val="4"/>
        <w:spacing w:before="120" w:after="120"/>
        <w:ind w:firstLine="280"/>
        <w:jc w:val="both"/>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1-3 ▲符合“申请人的资格要求”第3条“本项目的特定资格要求”的证明文件</w:t>
      </w:r>
    </w:p>
    <w:tbl>
      <w:tblPr>
        <w:tblStyle w:val="51"/>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14:paraId="159E718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14:paraId="7D359BA7">
            <w:pPr>
              <w:autoSpaceDN w:val="0"/>
              <w:snapToGrid w:val="0"/>
              <w:spacing w:line="360" w:lineRule="auto"/>
              <w:ind w:firstLine="703" w:firstLineChars="250"/>
              <w:rPr>
                <w:rFonts w:hint="eastAsia" w:ascii="宋体" w:hAnsi="宋体" w:eastAsia="宋体" w:cs="宋体"/>
                <w:b/>
                <w:sz w:val="28"/>
                <w:highlight w:val="none"/>
              </w:rPr>
            </w:pPr>
            <w:r>
              <w:rPr>
                <w:rFonts w:hint="eastAsia" w:ascii="宋体" w:hAnsi="宋体" w:eastAsia="宋体" w:cs="宋体"/>
                <w:b/>
                <w:sz w:val="28"/>
                <w:highlight w:val="none"/>
              </w:rPr>
              <w:t>▲（1）</w:t>
            </w:r>
            <w:r>
              <w:rPr>
                <w:rFonts w:hint="eastAsia" w:ascii="宋体" w:hAnsi="宋体" w:cs="宋体"/>
                <w:b/>
                <w:sz w:val="28"/>
                <w:highlight w:val="none"/>
                <w:lang w:val="en-US" w:eastAsia="zh-CN"/>
              </w:rPr>
              <w:t>具有建筑机电安装工程专业承包三级及以上资质</w:t>
            </w:r>
            <w:r>
              <w:rPr>
                <w:rFonts w:hint="eastAsia" w:ascii="宋体" w:hAnsi="宋体" w:eastAsia="宋体" w:cs="宋体"/>
                <w:b/>
                <w:sz w:val="28"/>
                <w:highlight w:val="none"/>
              </w:rPr>
              <w:t>；</w:t>
            </w:r>
          </w:p>
          <w:p w14:paraId="5E390DFC">
            <w:pPr>
              <w:numPr>
                <w:ilvl w:val="0"/>
                <w:numId w:val="0"/>
              </w:numPr>
              <w:autoSpaceDN w:val="0"/>
              <w:snapToGrid w:val="0"/>
              <w:spacing w:line="360" w:lineRule="auto"/>
              <w:ind w:left="0" w:leftChars="0" w:firstLine="562" w:firstLineChars="200"/>
              <w:rPr>
                <w:rFonts w:hint="eastAsia" w:ascii="宋体" w:hAnsi="宋体" w:eastAsia="宋体" w:cs="宋体"/>
                <w:b/>
                <w:sz w:val="28"/>
                <w:highlight w:val="none"/>
              </w:rPr>
            </w:pPr>
            <w:r>
              <w:rPr>
                <w:rFonts w:hint="eastAsia" w:ascii="宋体" w:hAnsi="宋体" w:eastAsia="宋体" w:cs="宋体"/>
                <w:b/>
                <w:kern w:val="2"/>
                <w:sz w:val="28"/>
                <w:szCs w:val="24"/>
                <w:highlight w:val="none"/>
                <w:lang w:val="en-US" w:eastAsia="zh-CN" w:bidi="ar-SA"/>
              </w:rPr>
              <w:t>▲（2）</w:t>
            </w:r>
            <w:r>
              <w:rPr>
                <w:rFonts w:hint="eastAsia" w:ascii="宋体" w:hAnsi="宋体" w:eastAsia="宋体" w:cs="宋体"/>
                <w:b/>
                <w:sz w:val="28"/>
                <w:highlight w:val="none"/>
              </w:rPr>
              <w:t>具有企业《安全生产许可证》。</w:t>
            </w:r>
          </w:p>
          <w:p w14:paraId="7A4395E6">
            <w:pPr>
              <w:numPr>
                <w:ilvl w:val="0"/>
                <w:numId w:val="0"/>
              </w:numPr>
              <w:autoSpaceDN w:val="0"/>
              <w:snapToGrid w:val="0"/>
              <w:spacing w:line="360" w:lineRule="auto"/>
              <w:ind w:left="0" w:leftChars="0" w:firstLine="562" w:firstLineChars="200"/>
              <w:rPr>
                <w:rFonts w:hint="eastAsia" w:ascii="宋体" w:hAnsi="宋体" w:eastAsia="宋体" w:cs="宋体"/>
                <w:b/>
                <w:sz w:val="28"/>
                <w:highlight w:val="none"/>
              </w:rPr>
            </w:pPr>
            <w:r>
              <w:rPr>
                <w:rFonts w:hint="eastAsia" w:ascii="宋体" w:hAnsi="宋体" w:eastAsia="宋体" w:cs="宋体"/>
                <w:b/>
                <w:kern w:val="2"/>
                <w:sz w:val="28"/>
                <w:szCs w:val="24"/>
                <w:highlight w:val="none"/>
                <w:lang w:val="en-US" w:eastAsia="zh-CN" w:bidi="ar-SA"/>
              </w:rPr>
              <w:t>▲</w:t>
            </w:r>
            <w:r>
              <w:rPr>
                <w:rFonts w:hint="eastAsia" w:ascii="宋体" w:hAnsi="宋体" w:cs="宋体"/>
                <w:b/>
                <w:sz w:val="28"/>
                <w:highlight w:val="none"/>
                <w:lang w:eastAsia="zh-CN"/>
              </w:rPr>
              <w:t>（</w:t>
            </w:r>
            <w:r>
              <w:rPr>
                <w:rFonts w:hint="eastAsia" w:ascii="宋体" w:hAnsi="宋体" w:cs="宋体"/>
                <w:b/>
                <w:sz w:val="28"/>
                <w:highlight w:val="none"/>
                <w:lang w:val="en-US" w:eastAsia="zh-CN"/>
              </w:rPr>
              <w:t>3</w:t>
            </w:r>
            <w:r>
              <w:rPr>
                <w:rFonts w:hint="eastAsia" w:ascii="宋体" w:hAnsi="宋体" w:cs="宋体"/>
                <w:b/>
                <w:sz w:val="28"/>
                <w:highlight w:val="none"/>
                <w:lang w:eastAsia="zh-CN"/>
              </w:rPr>
              <w:t>）</w:t>
            </w:r>
            <w:r>
              <w:rPr>
                <w:rFonts w:hint="eastAsia" w:ascii="宋体" w:hAnsi="宋体" w:eastAsia="宋体" w:cs="宋体"/>
                <w:b/>
                <w:sz w:val="28"/>
                <w:highlight w:val="none"/>
              </w:rPr>
              <w:t>以联合体形式参加本项目磋商的，须签订联合体协议；联合体各方均应满足资格条件。</w:t>
            </w:r>
          </w:p>
          <w:p w14:paraId="681494DB">
            <w:pPr>
              <w:autoSpaceDN w:val="0"/>
              <w:snapToGrid w:val="0"/>
              <w:spacing w:line="360" w:lineRule="auto"/>
              <w:ind w:firstLine="703" w:firstLineChars="250"/>
              <w:rPr>
                <w:rFonts w:hint="eastAsia" w:ascii="宋体" w:hAnsi="宋体" w:eastAsia="宋体" w:cs="宋体"/>
                <w:b/>
                <w:sz w:val="28"/>
                <w:highlight w:val="none"/>
              </w:rPr>
            </w:pPr>
          </w:p>
          <w:p w14:paraId="3F19079B">
            <w:pPr>
              <w:pStyle w:val="3"/>
              <w:autoSpaceDN w:val="0"/>
              <w:snapToGrid w:val="0"/>
              <w:spacing w:before="360"/>
              <w:ind w:firstLine="562"/>
              <w:rPr>
                <w:rFonts w:hint="eastAsia" w:ascii="宋体" w:hAnsi="宋体" w:eastAsia="宋体" w:cs="宋体"/>
                <w:bCs w:val="0"/>
                <w:sz w:val="28"/>
                <w:szCs w:val="24"/>
                <w:highlight w:val="none"/>
              </w:rPr>
            </w:pPr>
          </w:p>
        </w:tc>
      </w:tr>
    </w:tbl>
    <w:p w14:paraId="738310F4">
      <w:pPr>
        <w:pStyle w:val="5"/>
        <w:autoSpaceDN w:val="0"/>
        <w:ind w:firstLine="561"/>
        <w:jc w:val="left"/>
        <w:rPr>
          <w:rFonts w:hint="eastAsia" w:ascii="宋体" w:hAnsi="宋体" w:eastAsia="宋体" w:cs="宋体"/>
          <w:kern w:val="0"/>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09DBB9">
      <w:pPr>
        <w:pStyle w:val="5"/>
        <w:autoSpaceDN w:val="0"/>
        <w:ind w:firstLine="561"/>
        <w:jc w:val="left"/>
        <w:rPr>
          <w:rFonts w:hint="eastAsia" w:ascii="宋体" w:hAnsi="宋体" w:eastAsia="宋体" w:cs="宋体"/>
          <w:highlight w:val="none"/>
          <w:lang w:eastAsia="zh-CN"/>
        </w:rPr>
      </w:pPr>
      <w:r>
        <w:rPr>
          <w:rFonts w:hint="eastAsia" w:ascii="宋体" w:hAnsi="宋体" w:eastAsia="宋体" w:cs="宋体"/>
          <w:highlight w:val="none"/>
        </w:rPr>
        <w:t>附、</w:t>
      </w:r>
      <w:r>
        <w:rPr>
          <w:rFonts w:hint="eastAsia" w:ascii="宋体" w:hAnsi="宋体" w:eastAsia="宋体" w:cs="宋体"/>
          <w:highlight w:val="none"/>
          <w:lang w:eastAsia="zh-CN"/>
        </w:rPr>
        <w:t>联合体协议</w:t>
      </w:r>
    </w:p>
    <w:p w14:paraId="29EF8A1B">
      <w:pPr>
        <w:widowControl/>
        <w:autoSpaceDN w:val="0"/>
        <w:spacing w:line="360" w:lineRule="auto"/>
        <w:jc w:val="center"/>
        <w:rPr>
          <w:rFonts w:hint="eastAsia" w:ascii="宋体" w:hAnsi="宋体" w:eastAsia="宋体" w:cs="宋体"/>
          <w:b/>
          <w:w w:val="80"/>
          <w:kern w:val="0"/>
          <w:sz w:val="32"/>
          <w:szCs w:val="44"/>
          <w:highlight w:val="none"/>
        </w:rPr>
      </w:pPr>
      <w:r>
        <w:rPr>
          <w:rFonts w:hint="eastAsia" w:ascii="宋体" w:hAnsi="宋体" w:eastAsia="宋体" w:cs="宋体"/>
          <w:b/>
          <w:sz w:val="40"/>
          <w:highlight w:val="none"/>
        </w:rPr>
        <w:t>▲</w:t>
      </w:r>
      <w:r>
        <w:rPr>
          <w:rFonts w:hint="eastAsia" w:ascii="宋体" w:hAnsi="宋体" w:cs="宋体"/>
          <w:b/>
          <w:sz w:val="40"/>
          <w:highlight w:val="none"/>
          <w:lang w:eastAsia="zh-CN"/>
        </w:rPr>
        <w:t>联合体协议</w:t>
      </w:r>
      <w:r>
        <w:rPr>
          <w:rFonts w:hint="eastAsia" w:ascii="宋体" w:hAnsi="宋体" w:eastAsia="宋体" w:cs="宋体"/>
          <w:b/>
          <w:sz w:val="40"/>
          <w:highlight w:val="none"/>
        </w:rPr>
        <w:t>（仅联合体适用）</w:t>
      </w:r>
    </w:p>
    <w:p w14:paraId="1A271B16">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_________</w:t>
      </w:r>
      <w:r>
        <w:rPr>
          <w:rFonts w:hint="eastAsia" w:ascii="宋体" w:hAnsi="宋体" w:eastAsia="宋体" w:cs="宋体"/>
          <w:color w:val="000000" w:themeColor="text1"/>
          <w:sz w:val="24"/>
          <w:highlight w:val="none"/>
          <w:u w:val="single"/>
          <w14:textFill>
            <w14:solidFill>
              <w14:schemeClr w14:val="tx1"/>
            </w14:solidFill>
          </w14:textFill>
        </w:rPr>
        <w:t>（联合体各方全称）</w:t>
      </w:r>
      <w:r>
        <w:rPr>
          <w:rFonts w:hint="eastAsia" w:ascii="宋体" w:hAnsi="宋体" w:eastAsia="宋体" w:cs="宋体"/>
          <w:color w:val="000000" w:themeColor="text1"/>
          <w:kern w:val="0"/>
          <w:sz w:val="24"/>
          <w:highlight w:val="none"/>
          <w14:textFill>
            <w14:solidFill>
              <w14:schemeClr w14:val="tx1"/>
            </w14:solidFill>
          </w14:textFill>
        </w:rPr>
        <w:t>_______</w:t>
      </w:r>
      <w:r>
        <w:rPr>
          <w:rFonts w:hint="eastAsia" w:ascii="宋体" w:hAnsi="宋体" w:eastAsia="宋体" w:cs="宋体"/>
          <w:color w:val="000000" w:themeColor="text1"/>
          <w:sz w:val="24"/>
          <w:highlight w:val="none"/>
          <w14:textFill>
            <w14:solidFill>
              <w14:schemeClr w14:val="tx1"/>
            </w14:solidFill>
          </w14:textFill>
        </w:rPr>
        <w:t>自愿组成联合体，以一个供应商的身份参加</w:t>
      </w:r>
      <w:r>
        <w:rPr>
          <w:rFonts w:hint="eastAsia" w:ascii="宋体" w:hAnsi="宋体" w:cs="宋体"/>
          <w:b/>
          <w:color w:val="000000" w:themeColor="text1"/>
          <w:kern w:val="0"/>
          <w:sz w:val="24"/>
          <w:highlight w:val="none"/>
          <w:u w:val="single"/>
          <w:lang w:eastAsia="zh-CN"/>
          <w14:textFill>
            <w14:solidFill>
              <w14:schemeClr w14:val="tx1"/>
            </w14:solidFill>
          </w14:textFill>
        </w:rPr>
        <w:t>浙江中医药大学Ivan Psakhye教授实验室改造项目</w:t>
      </w:r>
      <w:r>
        <w:rPr>
          <w:rFonts w:hint="eastAsia" w:ascii="宋体" w:hAnsi="宋体" w:eastAsia="宋体" w:cs="宋体"/>
          <w:b/>
          <w:color w:val="000000" w:themeColor="text1"/>
          <w:kern w:val="0"/>
          <w:sz w:val="24"/>
          <w:highlight w:val="none"/>
          <w:u w:val="single"/>
          <w14:textFill>
            <w14:solidFill>
              <w14:schemeClr w14:val="tx1"/>
            </w14:solidFill>
          </w14:textFill>
        </w:rPr>
        <w:t>（项目编号：</w:t>
      </w:r>
      <w:r>
        <w:rPr>
          <w:rFonts w:hint="eastAsia" w:ascii="宋体" w:hAnsi="宋体" w:cs="宋体"/>
          <w:b/>
          <w:color w:val="000000" w:themeColor="text1"/>
          <w:kern w:val="0"/>
          <w:sz w:val="24"/>
          <w:highlight w:val="none"/>
          <w:u w:val="single"/>
          <w:lang w:eastAsia="zh-CN"/>
          <w14:textFill>
            <w14:solidFill>
              <w14:schemeClr w14:val="tx1"/>
            </w14:solidFill>
          </w14:textFill>
        </w:rPr>
        <w:t>CTZB-2025070039</w:t>
      </w:r>
      <w:r>
        <w:rPr>
          <w:rFonts w:hint="eastAsia" w:ascii="宋体" w:hAnsi="宋体" w:eastAsia="宋体" w:cs="宋体"/>
          <w:b/>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政府采购活动。现就有关联合投标（响应）事宜订立协议如下：</w:t>
      </w:r>
    </w:p>
    <w:p w14:paraId="67D2D840">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_________</w:t>
      </w:r>
      <w:r>
        <w:rPr>
          <w:rFonts w:hint="eastAsia" w:ascii="宋体" w:hAnsi="宋体" w:eastAsia="宋体" w:cs="宋体"/>
          <w:color w:val="000000" w:themeColor="text1"/>
          <w:sz w:val="24"/>
          <w:highlight w:val="none"/>
          <w:u w:val="single"/>
          <w14:textFill>
            <w14:solidFill>
              <w14:schemeClr w14:val="tx1"/>
            </w14:solidFill>
          </w14:textFill>
        </w:rPr>
        <w:t>（联合体牵头方全称）</w:t>
      </w:r>
      <w:r>
        <w:rPr>
          <w:rFonts w:hint="eastAsia" w:ascii="宋体" w:hAnsi="宋体" w:eastAsia="宋体" w:cs="宋体"/>
          <w:color w:val="000000" w:themeColor="text1"/>
          <w:kern w:val="0"/>
          <w:sz w:val="24"/>
          <w:highlight w:val="none"/>
          <w14:textFill>
            <w14:solidFill>
              <w14:schemeClr w14:val="tx1"/>
            </w14:solidFill>
          </w14:textFill>
        </w:rPr>
        <w:t>_____________</w:t>
      </w:r>
      <w:r>
        <w:rPr>
          <w:rFonts w:hint="eastAsia" w:ascii="宋体" w:hAnsi="宋体" w:eastAsia="宋体" w:cs="宋体"/>
          <w:color w:val="000000" w:themeColor="text1"/>
          <w:sz w:val="24"/>
          <w:highlight w:val="none"/>
          <w14:textFill>
            <w14:solidFill>
              <w14:schemeClr w14:val="tx1"/>
            </w14:solidFill>
          </w14:textFill>
        </w:rPr>
        <w:t>为联合体的牵头方，</w:t>
      </w:r>
      <w:r>
        <w:rPr>
          <w:rFonts w:hint="eastAsia" w:ascii="宋体" w:hAnsi="宋体" w:eastAsia="宋体" w:cs="宋体"/>
          <w:color w:val="000000" w:themeColor="text1"/>
          <w:kern w:val="0"/>
          <w:sz w:val="24"/>
          <w:highlight w:val="none"/>
          <w14:textFill>
            <w14:solidFill>
              <w14:schemeClr w14:val="tx1"/>
            </w14:solidFill>
          </w14:textFill>
        </w:rPr>
        <w:t>_________</w:t>
      </w:r>
      <w:r>
        <w:rPr>
          <w:rFonts w:hint="eastAsia" w:ascii="宋体" w:hAnsi="宋体" w:eastAsia="宋体" w:cs="宋体"/>
          <w:color w:val="000000" w:themeColor="text1"/>
          <w:sz w:val="24"/>
          <w:highlight w:val="none"/>
          <w:u w:val="single"/>
          <w14:textFill>
            <w14:solidFill>
              <w14:schemeClr w14:val="tx1"/>
            </w14:solidFill>
          </w14:textFill>
        </w:rPr>
        <w:t>（联合体成员放全称）</w:t>
      </w:r>
      <w:r>
        <w:rPr>
          <w:rFonts w:hint="eastAsia" w:ascii="宋体" w:hAnsi="宋体" w:eastAsia="宋体" w:cs="宋体"/>
          <w:color w:val="000000" w:themeColor="text1"/>
          <w:kern w:val="0"/>
          <w:sz w:val="24"/>
          <w:highlight w:val="none"/>
          <w14:textFill>
            <w14:solidFill>
              <w14:schemeClr w14:val="tx1"/>
            </w14:solidFill>
          </w14:textFill>
        </w:rPr>
        <w:t>_______________</w:t>
      </w:r>
      <w:r>
        <w:rPr>
          <w:rFonts w:hint="eastAsia" w:ascii="宋体" w:hAnsi="宋体" w:eastAsia="宋体" w:cs="宋体"/>
          <w:color w:val="000000" w:themeColor="text1"/>
          <w:sz w:val="24"/>
          <w:highlight w:val="none"/>
          <w14:textFill>
            <w14:solidFill>
              <w14:schemeClr w14:val="tx1"/>
            </w14:solidFill>
          </w14:textFill>
        </w:rPr>
        <w:t>为联合体的成员方；</w:t>
      </w:r>
    </w:p>
    <w:p w14:paraId="6722D07C">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2、联合体内部有关事项规定如下：</w:t>
      </w:r>
    </w:p>
    <w:p w14:paraId="57EC5D3C">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（1）由牵头方代表本联合体与采购人联系，负责协调工作。</w:t>
      </w:r>
    </w:p>
    <w:p w14:paraId="3BBAA346">
      <w:pPr>
        <w:autoSpaceDN w:val="0"/>
        <w:spacing w:line="360" w:lineRule="auto"/>
        <w:ind w:firstLine="465" w:firstLineChars="193"/>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2AE4053">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（3）联合体将严格按照磋商文件的各项要求，递交响应文件，切实执行一切合同文件，共同承担合同规定的一切义务和责任，同时按照内部职责的划分，承担自身所负的责任和风险，在法律上承担连带责任。</w:t>
      </w:r>
    </w:p>
    <w:p w14:paraId="180383AF">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（4）如中标（成交），联合体内部将遵守以下规定：</w:t>
      </w:r>
    </w:p>
    <w:p w14:paraId="6EC7CF33">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a．联合体牵头方和成员方共同与采购人签订采购合同，并就中标成交项目向采购人负责有连带的和各自的法律责任；</w:t>
      </w:r>
    </w:p>
    <w:p w14:paraId="678E2368">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b．联合体牵头方代表联合体成员接收采购人的指令、指示和通知，并且在整个合同实施过程中的全部事宜（包括合同款支付）均由联合体牵头方负责；</w:t>
      </w:r>
    </w:p>
    <w:p w14:paraId="2A791263">
      <w:pPr>
        <w:autoSpaceDN w:val="0"/>
        <w:spacing w:line="360" w:lineRule="auto"/>
        <w:ind w:firstLine="465" w:firstLineChars="19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c．联合体各方承担的工作和义务详细安排如下：</w:t>
      </w:r>
    </w:p>
    <w:p w14:paraId="6D1D6381">
      <w:pPr>
        <w:autoSpaceDN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____________________________________________________________________________________________________________________________________________________</w:t>
      </w:r>
    </w:p>
    <w:p w14:paraId="506B324F">
      <w:pPr>
        <w:autoSpaceDN w:val="0"/>
        <w:spacing w:line="360" w:lineRule="auto"/>
        <w:ind w:firstLine="465" w:firstLineChars="19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（5）投标（响应）工作和联合体在中标（成交）后工程实施过程中的有关费用按各自承担的工作量分摊，具体说明如下：</w:t>
      </w: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w:t>
      </w:r>
    </w:p>
    <w:p w14:paraId="4A62F7A5">
      <w:pPr>
        <w:autoSpaceDN w:val="0"/>
        <w:spacing w:line="360" w:lineRule="auto"/>
        <w:ind w:firstLine="465" w:firstLineChars="193"/>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（6）如中标（成交），采购代理服务费支付承诺如下：</w:t>
      </w: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w:t>
      </w:r>
    </w:p>
    <w:p w14:paraId="52182298">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3、我们承诺各成员不再以自己的名义单独投标（响应），也不再与其他供应商组成联合体参加本项目的投标（响应）。</w:t>
      </w:r>
    </w:p>
    <w:p w14:paraId="11670224">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4、本协议书自签署之日起生效，在上述（4）a所述的合同书规定的期限之后自行失效；如中标（成交）后，联合体内部另有协议的，联合体牵头方应将该协议书送交业主。</w:t>
      </w:r>
    </w:p>
    <w:p w14:paraId="71A29FFA">
      <w:pPr>
        <w:autoSpaceDN w:val="0"/>
        <w:spacing w:line="360" w:lineRule="auto"/>
        <w:ind w:firstLine="463" w:firstLineChars="19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5、本协议书正本一式</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份，投标时使用</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份，联合体成员各</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份，如中标（成交）送采购人</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份；副本一式</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份，联合体成员各执</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份。</w:t>
      </w:r>
    </w:p>
    <w:p w14:paraId="71DA449E">
      <w:pPr>
        <w:widowControl/>
        <w:autoSpaceDN w:val="0"/>
        <w:jc w:val="left"/>
        <w:rPr>
          <w:rFonts w:hint="eastAsia" w:ascii="宋体" w:hAnsi="宋体" w:eastAsia="宋体" w:cs="宋体"/>
          <w:color w:val="000000" w:themeColor="text1"/>
          <w:sz w:val="24"/>
          <w:highlight w:val="none"/>
          <w14:textFill>
            <w14:solidFill>
              <w14:schemeClr w14:val="tx1"/>
            </w14:solidFill>
          </w14:textFill>
        </w:rPr>
      </w:pPr>
    </w:p>
    <w:tbl>
      <w:tblPr>
        <w:tblStyle w:val="51"/>
        <w:tblW w:w="0" w:type="auto"/>
        <w:tblInd w:w="0" w:type="dxa"/>
        <w:tblLayout w:type="fixed"/>
        <w:tblCellMar>
          <w:top w:w="0" w:type="dxa"/>
          <w:left w:w="108" w:type="dxa"/>
          <w:bottom w:w="0" w:type="dxa"/>
          <w:right w:w="108" w:type="dxa"/>
        </w:tblCellMar>
      </w:tblPr>
      <w:tblGrid>
        <w:gridCol w:w="4572"/>
        <w:gridCol w:w="4573"/>
      </w:tblGrid>
      <w:tr w14:paraId="03BC6E05">
        <w:tblPrEx>
          <w:tblCellMar>
            <w:top w:w="0" w:type="dxa"/>
            <w:left w:w="108" w:type="dxa"/>
            <w:bottom w:w="0" w:type="dxa"/>
            <w:right w:w="108" w:type="dxa"/>
          </w:tblCellMar>
        </w:tblPrEx>
        <w:trPr>
          <w:trHeight w:val="680" w:hRule="atLeast"/>
        </w:trPr>
        <w:tc>
          <w:tcPr>
            <w:tcW w:w="4572" w:type="dxa"/>
            <w:vAlign w:val="center"/>
          </w:tcPr>
          <w:p w14:paraId="27919DA0">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单位名称（盖章）：</w:t>
            </w:r>
          </w:p>
        </w:tc>
        <w:tc>
          <w:tcPr>
            <w:tcW w:w="4573" w:type="dxa"/>
            <w:vAlign w:val="center"/>
          </w:tcPr>
          <w:p w14:paraId="04A186B4">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单位名称（盖章）：</w:t>
            </w:r>
          </w:p>
        </w:tc>
      </w:tr>
      <w:tr w14:paraId="620E659E">
        <w:tblPrEx>
          <w:tblCellMar>
            <w:top w:w="0" w:type="dxa"/>
            <w:left w:w="108" w:type="dxa"/>
            <w:bottom w:w="0" w:type="dxa"/>
            <w:right w:w="108" w:type="dxa"/>
          </w:tblCellMar>
        </w:tblPrEx>
        <w:trPr>
          <w:trHeight w:val="680" w:hRule="atLeast"/>
        </w:trPr>
        <w:tc>
          <w:tcPr>
            <w:tcW w:w="4572" w:type="dxa"/>
            <w:vAlign w:val="center"/>
          </w:tcPr>
          <w:p w14:paraId="1207E3F7">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tc>
        <w:tc>
          <w:tcPr>
            <w:tcW w:w="4573" w:type="dxa"/>
            <w:vAlign w:val="center"/>
          </w:tcPr>
          <w:p w14:paraId="45E29098">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tc>
      </w:tr>
      <w:tr w14:paraId="2E97D6D6">
        <w:tblPrEx>
          <w:tblCellMar>
            <w:top w:w="0" w:type="dxa"/>
            <w:left w:w="108" w:type="dxa"/>
            <w:bottom w:w="0" w:type="dxa"/>
            <w:right w:w="108" w:type="dxa"/>
          </w:tblCellMar>
        </w:tblPrEx>
        <w:trPr>
          <w:trHeight w:val="680" w:hRule="atLeast"/>
        </w:trPr>
        <w:tc>
          <w:tcPr>
            <w:tcW w:w="4572" w:type="dxa"/>
            <w:vAlign w:val="center"/>
          </w:tcPr>
          <w:p w14:paraId="20692121">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法定代表人或授权代表（签字或盖章）：</w:t>
            </w:r>
          </w:p>
        </w:tc>
        <w:tc>
          <w:tcPr>
            <w:tcW w:w="4573" w:type="dxa"/>
            <w:vAlign w:val="center"/>
          </w:tcPr>
          <w:p w14:paraId="7B0581F4">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法定代表人或授权代表（签字或盖章）：</w:t>
            </w:r>
          </w:p>
        </w:tc>
      </w:tr>
      <w:tr w14:paraId="13471D6B">
        <w:tblPrEx>
          <w:tblCellMar>
            <w:top w:w="0" w:type="dxa"/>
            <w:left w:w="108" w:type="dxa"/>
            <w:bottom w:w="0" w:type="dxa"/>
            <w:right w:w="108" w:type="dxa"/>
          </w:tblCellMar>
        </w:tblPrEx>
        <w:trPr>
          <w:trHeight w:val="680" w:hRule="atLeast"/>
        </w:trPr>
        <w:tc>
          <w:tcPr>
            <w:tcW w:w="4572" w:type="dxa"/>
            <w:vAlign w:val="center"/>
          </w:tcPr>
          <w:p w14:paraId="61982E2D">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p>
        </w:tc>
        <w:tc>
          <w:tcPr>
            <w:tcW w:w="4573" w:type="dxa"/>
            <w:vAlign w:val="center"/>
          </w:tcPr>
          <w:p w14:paraId="5EDEAF63">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p>
        </w:tc>
      </w:tr>
      <w:tr w14:paraId="28FB19DE">
        <w:tblPrEx>
          <w:tblCellMar>
            <w:top w:w="0" w:type="dxa"/>
            <w:left w:w="108" w:type="dxa"/>
            <w:bottom w:w="0" w:type="dxa"/>
            <w:right w:w="108" w:type="dxa"/>
          </w:tblCellMar>
        </w:tblPrEx>
        <w:trPr>
          <w:trHeight w:val="680" w:hRule="atLeast"/>
        </w:trPr>
        <w:tc>
          <w:tcPr>
            <w:tcW w:w="4572" w:type="dxa"/>
            <w:vAlign w:val="center"/>
          </w:tcPr>
          <w:p w14:paraId="2F4F3220">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协议签订时间：</w:t>
            </w:r>
          </w:p>
        </w:tc>
        <w:tc>
          <w:tcPr>
            <w:tcW w:w="4573" w:type="dxa"/>
            <w:vAlign w:val="center"/>
          </w:tcPr>
          <w:p w14:paraId="1C775916">
            <w:pPr>
              <w:widowControl/>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协议签订时间：</w:t>
            </w:r>
          </w:p>
        </w:tc>
      </w:tr>
    </w:tbl>
    <w:p w14:paraId="13C9282D">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5A28D72E">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6B1999F8">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7BFBADB7">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542890C5">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412B545A">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5768AAC9">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63180144">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65C09CCD">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49261FAF">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01C14F79">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2831518C">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20A1A8FD">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6F0927DB">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1A7DB5EA">
      <w:pPr>
        <w:pStyle w:val="6"/>
        <w:autoSpaceDN w:val="0"/>
        <w:spacing w:line="360" w:lineRule="auto"/>
        <w:ind w:firstLine="421" w:firstLineChars="195"/>
        <w:jc w:val="left"/>
        <w:rPr>
          <w:rFonts w:hint="eastAsia" w:ascii="宋体" w:hAnsi="宋体" w:eastAsia="宋体" w:cs="宋体"/>
          <w:i/>
          <w:color w:val="000000"/>
          <w:w w:val="90"/>
          <w:sz w:val="24"/>
          <w:szCs w:val="28"/>
          <w:highlight w:val="none"/>
        </w:rPr>
      </w:pPr>
    </w:p>
    <w:p w14:paraId="69B06C60">
      <w:pPr>
        <w:rPr>
          <w:rFonts w:hint="eastAsia" w:ascii="宋体" w:hAnsi="宋体" w:eastAsia="宋体" w:cs="宋体"/>
          <w:highlight w:val="none"/>
        </w:rPr>
      </w:pPr>
      <w:r>
        <w:rPr>
          <w:rFonts w:hint="eastAsia" w:ascii="宋体" w:hAnsi="宋体" w:eastAsia="宋体" w:cs="宋体"/>
          <w:highlight w:val="none"/>
        </w:rPr>
        <w:br w:type="page"/>
      </w:r>
    </w:p>
    <w:p w14:paraId="62DD5A4C">
      <w:pPr>
        <w:pStyle w:val="5"/>
        <w:autoSpaceDN w:val="0"/>
        <w:ind w:firstLine="561"/>
        <w:jc w:val="left"/>
        <w:rPr>
          <w:rFonts w:hint="eastAsia" w:ascii="宋体" w:hAnsi="宋体" w:eastAsia="宋体" w:cs="宋体"/>
          <w:highlight w:val="none"/>
        </w:rPr>
      </w:pPr>
      <w:r>
        <w:rPr>
          <w:rFonts w:hint="eastAsia" w:ascii="宋体" w:hAnsi="宋体" w:eastAsia="宋体" w:cs="宋体"/>
          <w:highlight w:val="none"/>
        </w:rPr>
        <w:t>附、分包意向协议</w:t>
      </w:r>
    </w:p>
    <w:p w14:paraId="0B0801EE">
      <w:pPr>
        <w:widowControl/>
        <w:autoSpaceDN w:val="0"/>
        <w:spacing w:line="360" w:lineRule="auto"/>
        <w:jc w:val="center"/>
        <w:rPr>
          <w:rFonts w:hint="eastAsia" w:ascii="宋体" w:hAnsi="宋体" w:eastAsia="宋体" w:cs="宋体"/>
          <w:b/>
          <w:w w:val="80"/>
          <w:kern w:val="0"/>
          <w:sz w:val="32"/>
          <w:szCs w:val="44"/>
          <w:highlight w:val="none"/>
        </w:rPr>
      </w:pPr>
      <w:r>
        <w:rPr>
          <w:rFonts w:hint="eastAsia" w:ascii="宋体" w:hAnsi="宋体" w:cs="宋体"/>
          <w:b/>
          <w:sz w:val="40"/>
          <w:highlight w:val="none"/>
          <w:lang w:eastAsia="zh-CN"/>
        </w:rPr>
        <w:t>分包意向协议</w:t>
      </w:r>
      <w:r>
        <w:rPr>
          <w:rFonts w:hint="eastAsia" w:ascii="宋体" w:hAnsi="宋体" w:eastAsia="宋体" w:cs="宋体"/>
          <w:b/>
          <w:sz w:val="40"/>
          <w:highlight w:val="none"/>
        </w:rPr>
        <w:t>（仅分包适用）</w:t>
      </w:r>
    </w:p>
    <w:p w14:paraId="57C7C5DF">
      <w:pPr>
        <w:autoSpaceDN w:val="0"/>
        <w:spacing w:line="360" w:lineRule="auto"/>
        <w:ind w:firstLine="465" w:firstLineChars="193"/>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（成交后以分包方式履行合同的，提供分包意向协议；采购人不同意分包或者磋商响应公寓成交后不以分包方式履行合同的，则不需要提供。）</w:t>
      </w:r>
    </w:p>
    <w:p w14:paraId="3C585433">
      <w:pPr>
        <w:autoSpaceDN w:val="0"/>
        <w:spacing w:line="360" w:lineRule="auto"/>
        <w:ind w:firstLine="463" w:firstLineChars="193"/>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（磋商响应供应商名称）</w:t>
      </w:r>
      <w:r>
        <w:rPr>
          <w:rFonts w:hint="eastAsia" w:ascii="宋体" w:hAnsi="宋体" w:eastAsia="宋体" w:cs="宋体"/>
          <w:color w:val="000000" w:themeColor="text1"/>
          <w:sz w:val="24"/>
          <w:highlight w:val="none"/>
          <w:lang w:val="zh-CN"/>
          <w14:textFill>
            <w14:solidFill>
              <w14:schemeClr w14:val="tx1"/>
            </w14:solidFill>
          </w14:textFill>
        </w:rPr>
        <w:t>若成为</w:t>
      </w:r>
      <w:r>
        <w:rPr>
          <w:rFonts w:hint="eastAsia" w:ascii="宋体" w:hAnsi="宋体" w:cs="宋体"/>
          <w:b/>
          <w:bCs/>
          <w:color w:val="000000" w:themeColor="text1"/>
          <w:sz w:val="24"/>
          <w:highlight w:val="none"/>
          <w:u w:val="single"/>
          <w:lang w:eastAsia="zh-CN"/>
          <w14:textFill>
            <w14:solidFill>
              <w14:schemeClr w14:val="tx1"/>
            </w14:solidFill>
          </w14:textFill>
        </w:rPr>
        <w:t>浙江中医药大学Ivan Psakhye教授实验室改造项目</w:t>
      </w:r>
      <w:r>
        <w:rPr>
          <w:rFonts w:hint="eastAsia" w:ascii="宋体" w:hAnsi="宋体" w:eastAsia="宋体" w:cs="宋体"/>
          <w:b/>
          <w:bCs/>
          <w:color w:val="000000" w:themeColor="text1"/>
          <w:sz w:val="24"/>
          <w:highlight w:val="none"/>
          <w:u w:val="single"/>
          <w14:textFill>
            <w14:solidFill>
              <w14:schemeClr w14:val="tx1"/>
            </w14:solidFill>
          </w14:textFill>
        </w:rPr>
        <w:t>（项目编号：</w:t>
      </w:r>
      <w:r>
        <w:rPr>
          <w:rFonts w:hint="eastAsia" w:ascii="宋体" w:hAnsi="宋体" w:cs="宋体"/>
          <w:b/>
          <w:bCs/>
          <w:color w:val="000000" w:themeColor="text1"/>
          <w:sz w:val="24"/>
          <w:highlight w:val="none"/>
          <w:u w:val="single"/>
          <w:lang w:eastAsia="zh-CN"/>
          <w14:textFill>
            <w14:solidFill>
              <w14:schemeClr w14:val="tx1"/>
            </w14:solidFill>
          </w14:textFill>
        </w:rPr>
        <w:t>CTZB-2025070039</w:t>
      </w:r>
      <w:r>
        <w:rPr>
          <w:rFonts w:hint="eastAsia" w:ascii="宋体" w:hAnsi="宋体" w:eastAsia="宋体" w:cs="宋体"/>
          <w:b/>
          <w:bCs/>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成交</w:t>
      </w:r>
      <w:r>
        <w:rPr>
          <w:rFonts w:hint="eastAsia" w:ascii="宋体" w:hAnsi="宋体" w:eastAsia="宋体" w:cs="宋体"/>
          <w:color w:val="000000" w:themeColor="text1"/>
          <w:sz w:val="24"/>
          <w:highlight w:val="none"/>
          <w:lang w:val="zh-CN"/>
          <w14:textFill>
            <w14:solidFill>
              <w14:schemeClr w14:val="tx1"/>
            </w14:solidFill>
          </w14:textFill>
        </w:rPr>
        <w:t>供应商，将依法采取分包方式履行合同。</w:t>
      </w:r>
      <w:r>
        <w:rPr>
          <w:rFonts w:hint="eastAsia" w:ascii="宋体" w:hAnsi="宋体" w:eastAsia="宋体" w:cs="宋体"/>
          <w:b/>
          <w:bCs/>
          <w:color w:val="000000" w:themeColor="text1"/>
          <w:sz w:val="24"/>
          <w:highlight w:val="none"/>
          <w:u w:val="single"/>
          <w14:textFill>
            <w14:solidFill>
              <w14:schemeClr w14:val="tx1"/>
            </w14:solidFill>
          </w14:textFill>
        </w:rPr>
        <w:t>（磋商响应供应商名称）</w:t>
      </w:r>
      <w:r>
        <w:rPr>
          <w:rFonts w:hint="eastAsia" w:ascii="宋体" w:hAnsi="宋体" w:eastAsia="宋体" w:cs="宋体"/>
          <w:color w:val="000000" w:themeColor="text1"/>
          <w:sz w:val="24"/>
          <w:highlight w:val="none"/>
          <w14:textFill>
            <w14:solidFill>
              <w14:schemeClr w14:val="tx1"/>
            </w14:solidFill>
          </w14:textFill>
        </w:rPr>
        <w:t>与</w:t>
      </w:r>
      <w:r>
        <w:rPr>
          <w:rFonts w:hint="eastAsia" w:ascii="宋体" w:hAnsi="宋体" w:eastAsia="宋体" w:cs="宋体"/>
          <w:b/>
          <w:bCs/>
          <w:color w:val="000000" w:themeColor="text1"/>
          <w:sz w:val="24"/>
          <w:highlight w:val="none"/>
          <w:u w:val="single"/>
          <w14:textFill>
            <w14:solidFill>
              <w14:schemeClr w14:val="tx1"/>
            </w14:solidFill>
          </w14:textFill>
        </w:rPr>
        <w:t>（所有分包供应商名称）</w:t>
      </w:r>
      <w:r>
        <w:rPr>
          <w:rFonts w:hint="eastAsia" w:ascii="宋体" w:hAnsi="宋体" w:eastAsia="宋体" w:cs="宋体"/>
          <w:color w:val="000000" w:themeColor="text1"/>
          <w:sz w:val="24"/>
          <w:highlight w:val="none"/>
          <w14:textFill>
            <w14:solidFill>
              <w14:schemeClr w14:val="tx1"/>
            </w14:solidFill>
          </w14:textFill>
        </w:rPr>
        <w:t>达成分包意向协议</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1BACA63E">
      <w:pPr>
        <w:autoSpaceDN w:val="0"/>
        <w:spacing w:line="360" w:lineRule="auto"/>
        <w:ind w:firstLine="463" w:firstLineChars="193"/>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一、分包标的及数量</w:t>
      </w:r>
    </w:p>
    <w:p w14:paraId="7AFE818E">
      <w:pPr>
        <w:autoSpaceDN w:val="0"/>
        <w:spacing w:line="360" w:lineRule="auto"/>
        <w:ind w:firstLine="465" w:firstLineChars="193"/>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（磋商响应供应商名称）</w:t>
      </w:r>
      <w:r>
        <w:rPr>
          <w:rFonts w:hint="eastAsia" w:ascii="宋体" w:hAnsi="宋体" w:eastAsia="宋体" w:cs="宋体"/>
          <w:color w:val="000000" w:themeColor="text1"/>
          <w:sz w:val="24"/>
          <w:highlight w:val="none"/>
          <w:lang w:val="zh-CN"/>
          <w14:textFill>
            <w14:solidFill>
              <w14:schemeClr w14:val="tx1"/>
            </w14:solidFill>
          </w14:textFill>
        </w:rPr>
        <w:t>将</w:t>
      </w:r>
      <w:r>
        <w:rPr>
          <w:rFonts w:hint="eastAsia" w:ascii="宋体" w:hAnsi="宋体" w:eastAsia="宋体" w:cs="宋体"/>
          <w:b/>
          <w:bCs/>
          <w:color w:val="000000" w:themeColor="text1"/>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b/>
          <w:bCs/>
          <w:color w:val="000000" w:themeColor="text1"/>
          <w:sz w:val="24"/>
          <w:highlight w:val="none"/>
          <w:u w:val="single"/>
          <w14:textFill>
            <w14:solidFill>
              <w14:schemeClr w14:val="tx1"/>
            </w14:solidFill>
          </w14:textFill>
        </w:rPr>
        <w:t>（某分包供应商名称）</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（某分包供应商名称）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具备承</w:t>
      </w:r>
      <w:r>
        <w:rPr>
          <w:rFonts w:hint="eastAsia" w:ascii="宋体" w:hAnsi="宋体" w:eastAsia="宋体" w:cs="宋体"/>
          <w:color w:val="000000" w:themeColor="text1"/>
          <w:sz w:val="24"/>
          <w:highlight w:val="none"/>
          <w14:textFill>
            <w14:solidFill>
              <w14:schemeClr w14:val="tx1"/>
            </w14:solidFill>
          </w14:textFill>
        </w:rPr>
        <w:t>担</w:t>
      </w:r>
      <w:r>
        <w:rPr>
          <w:rFonts w:hint="eastAsia" w:ascii="宋体" w:hAnsi="宋体" w:eastAsia="宋体" w:cs="宋体"/>
          <w:b/>
          <w:bCs/>
          <w:color w:val="000000" w:themeColor="text1"/>
          <w:sz w:val="24"/>
          <w:highlight w:val="none"/>
          <w:u w:val="single"/>
          <w:lang w:val="zh-CN"/>
          <w14:textFill>
            <w14:solidFill>
              <w14:schemeClr w14:val="tx1"/>
            </w14:solidFill>
          </w14:textFill>
        </w:rPr>
        <w:t>XX工作内容</w:t>
      </w:r>
      <w:r>
        <w:rPr>
          <w:rFonts w:hint="eastAsia" w:ascii="宋体" w:hAnsi="宋体" w:eastAsia="宋体" w:cs="宋体"/>
          <w:color w:val="000000" w:themeColor="text1"/>
          <w:sz w:val="24"/>
          <w:highlight w:val="none"/>
          <w:lang w:val="zh-CN"/>
          <w14:textFill>
            <w14:solidFill>
              <w14:schemeClr w14:val="tx1"/>
            </w14:solidFill>
          </w14:textFill>
        </w:rPr>
        <w:t>相应资质条件且不得再次分包；</w:t>
      </w:r>
    </w:p>
    <w:p w14:paraId="69AF15F6">
      <w:pPr>
        <w:autoSpaceDN w:val="0"/>
        <w:spacing w:line="360" w:lineRule="auto"/>
        <w:ind w:firstLine="463" w:firstLineChars="193"/>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ascii="宋体" w:hAnsi="宋体" w:eastAsia="宋体" w:cs="宋体"/>
          <w:color w:val="000000" w:themeColor="text1"/>
          <w:sz w:val="24"/>
          <w:highlight w:val="none"/>
          <w:lang w:val="zh-CN"/>
          <w14:textFill>
            <w14:solidFill>
              <w14:schemeClr w14:val="tx1"/>
            </w14:solidFill>
          </w14:textFill>
        </w:rPr>
        <w:t>分包工作履行期限、地点、方式</w:t>
      </w:r>
    </w:p>
    <w:p w14:paraId="51AA910C">
      <w:pPr>
        <w:autoSpaceDN w:val="0"/>
        <w:spacing w:line="360" w:lineRule="auto"/>
        <w:rPr>
          <w:rFonts w:hint="eastAsia" w:ascii="宋体" w:hAnsi="宋体" w:eastAsia="宋体" w:cs="宋体"/>
          <w:highlight w:val="none"/>
        </w:rPr>
      </w:pPr>
      <w:r>
        <w:rPr>
          <w:rFonts w:hint="eastAsia" w:ascii="宋体" w:hAnsi="宋体" w:eastAsia="宋体" w:cs="宋体"/>
          <w:color w:val="000000" w:themeColor="text1"/>
          <w:sz w:val="24"/>
          <w:highlight w:val="none"/>
          <w14:textFill>
            <w14:solidFill>
              <w14:schemeClr w14:val="tx1"/>
            </w14:solidFill>
          </w14:textFill>
        </w:rPr>
        <w:t xml:space="preserve">___________________________________________________________________    </w:t>
      </w:r>
    </w:p>
    <w:p w14:paraId="616DFDEE">
      <w:pPr>
        <w:autoSpaceDN w:val="0"/>
        <w:spacing w:line="360" w:lineRule="auto"/>
        <w:ind w:firstLine="463" w:firstLineChars="193"/>
        <w:rPr>
          <w:rFonts w:hint="eastAsia" w:ascii="宋体" w:hAnsi="宋体" w:eastAsia="宋体" w:cs="宋体"/>
          <w:highlight w:val="none"/>
          <w:lang w:val="zh-CN"/>
        </w:rPr>
      </w:pPr>
      <w:r>
        <w:rPr>
          <w:rFonts w:hint="eastAsia" w:ascii="宋体" w:hAnsi="宋体" w:eastAsia="宋体" w:cs="宋体"/>
          <w:kern w:val="0"/>
          <w:sz w:val="24"/>
          <w:highlight w:val="none"/>
        </w:rPr>
        <w:t>三、</w:t>
      </w:r>
      <w:r>
        <w:rPr>
          <w:rFonts w:hint="eastAsia" w:ascii="宋体" w:hAnsi="宋体" w:eastAsia="宋体" w:cs="宋体"/>
          <w:kern w:val="0"/>
          <w:sz w:val="24"/>
          <w:highlight w:val="none"/>
          <w:lang w:val="zh-CN"/>
        </w:rPr>
        <w:t>质量</w:t>
      </w:r>
    </w:p>
    <w:p w14:paraId="44060F31">
      <w:pPr>
        <w:autoSpaceDN w:val="0"/>
        <w:snapToGrid w:val="0"/>
        <w:spacing w:line="360" w:lineRule="auto"/>
        <w:rPr>
          <w:rFonts w:hint="eastAsia" w:ascii="宋体" w:hAnsi="宋体" w:eastAsia="宋体" w:cs="宋体"/>
          <w:highlight w:val="none"/>
          <w:lang w:val="zh-CN"/>
        </w:rPr>
      </w:pP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___________________________________________________________________</w:t>
      </w:r>
    </w:p>
    <w:p w14:paraId="42D0DD28">
      <w:pPr>
        <w:autoSpaceDN w:val="0"/>
        <w:spacing w:line="360" w:lineRule="auto"/>
        <w:ind w:firstLine="463" w:firstLineChars="193"/>
        <w:rPr>
          <w:rFonts w:hint="eastAsia" w:ascii="宋体" w:hAnsi="宋体" w:eastAsia="宋体" w:cs="宋体"/>
          <w:highlight w:val="none"/>
          <w:lang w:val="zh-CN"/>
        </w:rPr>
      </w:pPr>
      <w:r>
        <w:rPr>
          <w:rFonts w:hint="eastAsia" w:ascii="宋体" w:hAnsi="宋体" w:eastAsia="宋体" w:cs="宋体"/>
          <w:kern w:val="0"/>
          <w:sz w:val="24"/>
          <w:highlight w:val="none"/>
        </w:rPr>
        <w:t>四、</w:t>
      </w:r>
      <w:r>
        <w:rPr>
          <w:rFonts w:hint="eastAsia" w:ascii="宋体" w:hAnsi="宋体" w:eastAsia="宋体" w:cs="宋体"/>
          <w:kern w:val="0"/>
          <w:sz w:val="24"/>
          <w:highlight w:val="none"/>
          <w:lang w:val="zh-CN"/>
        </w:rPr>
        <w:t>价款或者报酬</w:t>
      </w:r>
    </w:p>
    <w:p w14:paraId="5AC75B7C">
      <w:pPr>
        <w:autoSpaceDN w:val="0"/>
        <w:snapToGrid w:val="0"/>
        <w:spacing w:line="360" w:lineRule="auto"/>
        <w:rPr>
          <w:rFonts w:hint="eastAsia" w:ascii="宋体" w:hAnsi="宋体" w:eastAsia="宋体" w:cs="宋体"/>
          <w:highlight w:val="none"/>
          <w:lang w:val="zh-CN"/>
        </w:rPr>
      </w:pP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____________________________________________________________________</w:t>
      </w:r>
    </w:p>
    <w:p w14:paraId="52CD6B1D">
      <w:pPr>
        <w:autoSpaceDN w:val="0"/>
        <w:spacing w:line="360" w:lineRule="auto"/>
        <w:ind w:firstLine="463" w:firstLineChars="193"/>
        <w:rPr>
          <w:rFonts w:hint="eastAsia" w:ascii="宋体" w:hAnsi="宋体" w:eastAsia="宋体" w:cs="宋体"/>
          <w:highlight w:val="none"/>
          <w:lang w:val="zh-CN"/>
        </w:rPr>
      </w:pPr>
      <w:r>
        <w:rPr>
          <w:rFonts w:hint="eastAsia" w:ascii="宋体" w:hAnsi="宋体" w:eastAsia="宋体" w:cs="宋体"/>
          <w:kern w:val="0"/>
          <w:sz w:val="24"/>
          <w:highlight w:val="none"/>
        </w:rPr>
        <w:t>五、</w:t>
      </w:r>
      <w:r>
        <w:rPr>
          <w:rFonts w:hint="eastAsia" w:ascii="宋体" w:hAnsi="宋体" w:eastAsia="宋体" w:cs="宋体"/>
          <w:kern w:val="0"/>
          <w:sz w:val="24"/>
          <w:highlight w:val="none"/>
          <w:lang w:val="zh-CN"/>
        </w:rPr>
        <w:t>违约责任</w:t>
      </w:r>
    </w:p>
    <w:p w14:paraId="4964225D">
      <w:pPr>
        <w:autoSpaceDN w:val="0"/>
        <w:snapToGrid w:val="0"/>
        <w:spacing w:line="360" w:lineRule="auto"/>
        <w:rPr>
          <w:rFonts w:hint="eastAsia" w:ascii="宋体" w:hAnsi="宋体" w:eastAsia="宋体" w:cs="宋体"/>
          <w:highlight w:val="none"/>
          <w:lang w:val="zh-CN"/>
        </w:rPr>
      </w:pP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_____________________________________________________________________</w:t>
      </w:r>
    </w:p>
    <w:p w14:paraId="4F56A499">
      <w:pPr>
        <w:autoSpaceDN w:val="0"/>
        <w:spacing w:line="360" w:lineRule="auto"/>
        <w:ind w:firstLine="463" w:firstLineChars="193"/>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六、</w:t>
      </w:r>
      <w:r>
        <w:rPr>
          <w:rFonts w:hint="eastAsia" w:ascii="宋体" w:hAnsi="宋体" w:eastAsia="宋体" w:cs="宋体"/>
          <w:kern w:val="0"/>
          <w:sz w:val="24"/>
          <w:highlight w:val="none"/>
          <w:lang w:val="zh-CN"/>
        </w:rPr>
        <w:t>争议解决的办法</w:t>
      </w:r>
    </w:p>
    <w:p w14:paraId="72D5041A">
      <w:pPr>
        <w:autoSpaceDN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color w:val="000000" w:themeColor="text1"/>
          <w:sz w:val="24"/>
          <w:highlight w:val="none"/>
          <w14:textFill>
            <w14:solidFill>
              <w14:schemeClr w14:val="tx1"/>
            </w14:solidFill>
          </w14:textFill>
        </w:rPr>
        <w:t xml:space="preserve">____________________________________________________________________                                                                            </w:t>
      </w:r>
      <w:r>
        <w:rPr>
          <w:rFonts w:hint="eastAsia" w:ascii="宋体" w:hAnsi="宋体" w:eastAsia="宋体" w:cs="宋体"/>
          <w:highlight w:val="none"/>
          <w:u w:val="single"/>
        </w:rPr>
        <w:t xml:space="preserve">  </w:t>
      </w:r>
    </w:p>
    <w:p w14:paraId="0FC9D80C">
      <w:pPr>
        <w:autoSpaceDN w:val="0"/>
        <w:spacing w:line="360" w:lineRule="auto"/>
        <w:ind w:firstLine="463" w:firstLineChars="193"/>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七、</w:t>
      </w:r>
      <w:r>
        <w:rPr>
          <w:rFonts w:hint="eastAsia" w:ascii="宋体" w:hAnsi="宋体" w:eastAsia="宋体" w:cs="宋体"/>
          <w:kern w:val="0"/>
          <w:sz w:val="24"/>
          <w:highlight w:val="none"/>
          <w:lang w:val="zh-CN"/>
        </w:rPr>
        <w:t>其他</w:t>
      </w:r>
    </w:p>
    <w:p w14:paraId="485DB94C">
      <w:pPr>
        <w:autoSpaceDN w:val="0"/>
        <w:snapToGrid w:val="0"/>
        <w:spacing w:line="360" w:lineRule="auto"/>
        <w:ind w:left="5760" w:hanging="5760" w:hangingChars="2400"/>
        <w:rPr>
          <w:rFonts w:hint="eastAsia" w:ascii="宋体" w:hAnsi="宋体" w:eastAsia="宋体" w:cs="宋体"/>
          <w:kern w:val="0"/>
          <w:sz w:val="24"/>
          <w:highlight w:val="none"/>
          <w:lang w:val="zh-CN"/>
        </w:rPr>
      </w:pPr>
      <w:r>
        <w:rPr>
          <w:rFonts w:hint="eastAsia" w:ascii="宋体" w:hAnsi="宋体" w:eastAsia="宋体" w:cs="宋体"/>
          <w:color w:val="000000" w:themeColor="text1"/>
          <w:sz w:val="24"/>
          <w:highlight w:val="none"/>
          <w14:textFill>
            <w14:solidFill>
              <w14:schemeClr w14:val="tx1"/>
            </w14:solidFill>
          </w14:textFill>
        </w:rPr>
        <w:t>____________________________________________________________________</w:t>
      </w: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磋商响应供应商</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盖章</w:t>
      </w:r>
      <w:r>
        <w:rPr>
          <w:rFonts w:hint="eastAsia" w:ascii="宋体" w:hAnsi="宋体" w:eastAsia="宋体" w:cs="宋体"/>
          <w:kern w:val="0"/>
          <w:sz w:val="24"/>
          <w:highlight w:val="none"/>
          <w:lang w:val="zh-CN"/>
        </w:rPr>
        <w:t>)：</w:t>
      </w:r>
    </w:p>
    <w:p w14:paraId="480F8F45">
      <w:pPr>
        <w:autoSpaceDN w:val="0"/>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r>
        <w:rPr>
          <w:rFonts w:hint="eastAsia" w:ascii="宋体" w:hAnsi="宋体" w:eastAsia="宋体" w:cs="宋体"/>
          <w:kern w:val="0"/>
          <w:sz w:val="24"/>
          <w:highlight w:val="none"/>
        </w:rPr>
        <w:t>盖章</w:t>
      </w:r>
      <w:r>
        <w:rPr>
          <w:rFonts w:hint="eastAsia" w:ascii="宋体" w:hAnsi="宋体" w:eastAsia="宋体" w:cs="宋体"/>
          <w:kern w:val="0"/>
          <w:sz w:val="24"/>
          <w:highlight w:val="none"/>
          <w:lang w:val="zh-CN"/>
        </w:rPr>
        <w:t>）：</w:t>
      </w:r>
    </w:p>
    <w:p w14:paraId="0ACE0B17">
      <w:pPr>
        <w:autoSpaceDN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ED6AA4F">
      <w:pPr>
        <w:pStyle w:val="6"/>
        <w:autoSpaceDN w:val="0"/>
        <w:spacing w:line="360" w:lineRule="auto"/>
        <w:jc w:val="left"/>
        <w:rPr>
          <w:rFonts w:hint="eastAsia" w:ascii="宋体" w:hAnsi="宋体" w:eastAsia="宋体" w:cs="宋体"/>
          <w:i/>
          <w:color w:val="000000"/>
          <w:w w:val="90"/>
          <w:sz w:val="24"/>
          <w:szCs w:val="28"/>
          <w:highlight w:val="none"/>
        </w:rPr>
      </w:pPr>
    </w:p>
    <w:p w14:paraId="77816156">
      <w:pPr>
        <w:pStyle w:val="5"/>
        <w:autoSpaceDN w:val="0"/>
        <w:ind w:firstLine="0" w:firstLineChars="0"/>
        <w:jc w:val="left"/>
        <w:rPr>
          <w:rFonts w:hint="eastAsia" w:ascii="宋体" w:hAnsi="宋体" w:eastAsia="宋体" w:cs="宋体"/>
          <w:kern w:val="0"/>
          <w:highlight w:val="none"/>
        </w:rPr>
      </w:pPr>
      <w:r>
        <w:rPr>
          <w:rFonts w:hint="eastAsia" w:ascii="宋体" w:hAnsi="宋体" w:eastAsia="宋体" w:cs="宋体"/>
          <w:color w:val="000000"/>
          <w:highlight w:val="none"/>
        </w:rPr>
        <w:br w:type="page"/>
      </w:r>
      <w:r>
        <w:rPr>
          <w:rFonts w:hint="eastAsia" w:ascii="宋体" w:hAnsi="宋体" w:eastAsia="宋体" w:cs="宋体"/>
          <w:bCs w:val="0"/>
          <w:color w:val="000000"/>
          <w:sz w:val="24"/>
          <w:szCs w:val="20"/>
          <w:highlight w:val="none"/>
        </w:rPr>
        <w:t>附：政府采购活动现场确认声明书（开标后填写）</w:t>
      </w:r>
    </w:p>
    <w:p w14:paraId="30BFFEEA">
      <w:pPr>
        <w:widowControl/>
        <w:autoSpaceDN w:val="0"/>
        <w:spacing w:line="360" w:lineRule="auto"/>
        <w:ind w:firstLine="482" w:firstLineChars="200"/>
        <w:jc w:val="left"/>
        <w:rPr>
          <w:rFonts w:hint="eastAsia" w:ascii="宋体" w:hAnsi="宋体" w:eastAsia="宋体" w:cs="宋体"/>
          <w:b/>
          <w:color w:val="000000"/>
          <w:kern w:val="0"/>
          <w:sz w:val="24"/>
          <w:highlight w:val="none"/>
          <w:u w:val="single"/>
          <w:lang w:eastAsia="zh-CN"/>
        </w:rPr>
      </w:pPr>
      <w:r>
        <w:rPr>
          <w:rFonts w:hint="eastAsia" w:ascii="宋体" w:hAnsi="宋体" w:eastAsia="宋体" w:cs="宋体"/>
          <w:b/>
          <w:color w:val="000000"/>
          <w:kern w:val="0"/>
          <w:sz w:val="24"/>
          <w:highlight w:val="none"/>
          <w:u w:val="single"/>
        </w:rPr>
        <w:t>说明：供应商得知本项目磋商响应文件成功解密的供应商名单等信息后，认真阅读、填写此声明书并盖章或签字,发送至邮箱</w:t>
      </w:r>
      <w:r>
        <w:rPr>
          <w:rFonts w:hint="eastAsia" w:ascii="宋体" w:hAnsi="宋体" w:cs="宋体"/>
          <w:b/>
          <w:color w:val="000000"/>
          <w:kern w:val="0"/>
          <w:sz w:val="24"/>
          <w:highlight w:val="none"/>
          <w:u w:val="single"/>
          <w:lang w:eastAsia="zh-CN"/>
        </w:rPr>
        <w:t>156624554@qq.com</w:t>
      </w:r>
    </w:p>
    <w:p w14:paraId="159397D8">
      <w:pPr>
        <w:widowControl/>
        <w:autoSpaceDN w:val="0"/>
        <w:spacing w:line="360" w:lineRule="auto"/>
        <w:jc w:val="center"/>
        <w:rPr>
          <w:rFonts w:hint="eastAsia" w:ascii="宋体" w:hAnsi="宋体" w:eastAsia="宋体" w:cs="宋体"/>
          <w:b/>
          <w:color w:val="000000"/>
          <w:w w:val="80"/>
          <w:kern w:val="0"/>
          <w:sz w:val="44"/>
          <w:szCs w:val="44"/>
          <w:highlight w:val="none"/>
        </w:rPr>
      </w:pPr>
      <w:r>
        <w:rPr>
          <w:rFonts w:hint="eastAsia" w:ascii="宋体" w:hAnsi="宋体" w:eastAsia="宋体" w:cs="宋体"/>
          <w:b/>
          <w:color w:val="000000"/>
          <w:w w:val="80"/>
          <w:kern w:val="0"/>
          <w:sz w:val="44"/>
          <w:szCs w:val="44"/>
          <w:highlight w:val="none"/>
        </w:rPr>
        <w:t>政府采购活动现场确认声明书（开标后填写）</w:t>
      </w:r>
    </w:p>
    <w:p w14:paraId="3E927FAD">
      <w:pPr>
        <w:autoSpaceDN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kern w:val="0"/>
          <w:szCs w:val="21"/>
          <w:highlight w:val="none"/>
          <w:u w:val="single"/>
          <w:lang w:eastAsia="zh-CN"/>
        </w:rPr>
        <w:t>浙江中医药大学</w:t>
      </w:r>
      <w:r>
        <w:rPr>
          <w:rFonts w:hint="eastAsia" w:ascii="宋体" w:hAnsi="宋体" w:eastAsia="宋体" w:cs="宋体"/>
          <w:b/>
          <w:color w:val="000000"/>
          <w:kern w:val="0"/>
          <w:szCs w:val="21"/>
          <w:highlight w:val="none"/>
          <w:u w:val="single"/>
        </w:rPr>
        <w:t>、浙江省成套招标代理有限公司</w:t>
      </w:r>
      <w:r>
        <w:rPr>
          <w:rFonts w:hint="eastAsia" w:ascii="宋体" w:hAnsi="宋体" w:eastAsia="宋体" w:cs="宋体"/>
          <w:b/>
          <w:color w:val="000000"/>
          <w:kern w:val="0"/>
          <w:szCs w:val="21"/>
          <w:highlight w:val="none"/>
        </w:rPr>
        <w:t>：</w:t>
      </w:r>
    </w:p>
    <w:p w14:paraId="1F585AA6">
      <w:pPr>
        <w:widowControl/>
        <w:autoSpaceDN w:val="0"/>
        <w:spacing w:line="360" w:lineRule="auto"/>
        <w:ind w:firstLine="420" w:firstLineChars="200"/>
        <w:jc w:val="left"/>
        <w:rPr>
          <w:rFonts w:hint="eastAsia" w:ascii="宋体" w:hAnsi="宋体" w:eastAsia="宋体" w:cs="宋体"/>
          <w:b/>
          <w:color w:val="000000"/>
          <w:kern w:val="0"/>
          <w:szCs w:val="21"/>
          <w:highlight w:val="none"/>
        </w:rPr>
      </w:pPr>
      <w:r>
        <w:rPr>
          <w:rFonts w:hint="eastAsia" w:ascii="宋体" w:hAnsi="宋体" w:eastAsia="宋体" w:cs="宋体"/>
          <w:color w:val="000000"/>
          <w:kern w:val="0"/>
          <w:szCs w:val="21"/>
          <w:highlight w:val="none"/>
        </w:rPr>
        <w:t>本人经由____________________________________________________________</w:t>
      </w:r>
      <w:r>
        <w:rPr>
          <w:rFonts w:hint="eastAsia" w:ascii="宋体" w:hAnsi="宋体" w:eastAsia="宋体" w:cs="宋体"/>
          <w:color w:val="000000"/>
          <w:kern w:val="0"/>
          <w:szCs w:val="21"/>
          <w:highlight w:val="none"/>
          <w:u w:val="single"/>
        </w:rPr>
        <w:t>（供应商名称）</w:t>
      </w:r>
      <w:r>
        <w:rPr>
          <w:rFonts w:hint="eastAsia" w:ascii="宋体" w:hAnsi="宋体" w:eastAsia="宋体" w:cs="宋体"/>
          <w:color w:val="000000"/>
          <w:kern w:val="0"/>
          <w:szCs w:val="21"/>
          <w:highlight w:val="none"/>
        </w:rPr>
        <w:t>法定代表人__________________</w:t>
      </w:r>
      <w:r>
        <w:rPr>
          <w:rFonts w:hint="eastAsia" w:ascii="宋体" w:hAnsi="宋体" w:eastAsia="宋体" w:cs="宋体"/>
          <w:color w:val="000000"/>
          <w:kern w:val="0"/>
          <w:szCs w:val="21"/>
          <w:highlight w:val="none"/>
          <w:u w:val="single"/>
        </w:rPr>
        <w:t>（姓名）</w:t>
      </w:r>
      <w:r>
        <w:rPr>
          <w:rFonts w:hint="eastAsia" w:ascii="宋体" w:hAnsi="宋体" w:eastAsia="宋体" w:cs="宋体"/>
          <w:color w:val="000000"/>
          <w:kern w:val="0"/>
          <w:szCs w:val="21"/>
          <w:highlight w:val="none"/>
        </w:rPr>
        <w:t>合法授权参加</w:t>
      </w:r>
      <w:r>
        <w:rPr>
          <w:rFonts w:hint="eastAsia" w:ascii="宋体" w:hAnsi="宋体" w:cs="宋体"/>
          <w:b/>
          <w:color w:val="000000"/>
          <w:kern w:val="0"/>
          <w:szCs w:val="21"/>
          <w:highlight w:val="none"/>
          <w:u w:val="single"/>
          <w:lang w:eastAsia="zh-CN"/>
        </w:rPr>
        <w:t>浙江中医药大学Ivan Psakhye教授实验室改造项目</w:t>
      </w:r>
      <w:r>
        <w:rPr>
          <w:rFonts w:hint="eastAsia" w:ascii="宋体" w:hAnsi="宋体" w:eastAsia="宋体" w:cs="宋体"/>
          <w:b/>
          <w:color w:val="000000"/>
          <w:kern w:val="0"/>
          <w:szCs w:val="21"/>
          <w:highlight w:val="none"/>
          <w:u w:val="single"/>
        </w:rPr>
        <w:t>（项目编号：</w:t>
      </w:r>
      <w:r>
        <w:rPr>
          <w:rFonts w:hint="eastAsia" w:ascii="宋体" w:hAnsi="宋体" w:cs="宋体"/>
          <w:b/>
          <w:color w:val="000000"/>
          <w:kern w:val="0"/>
          <w:szCs w:val="21"/>
          <w:highlight w:val="none"/>
          <w:u w:val="single"/>
          <w:lang w:eastAsia="zh-CN"/>
        </w:rPr>
        <w:t>CTZB-2025070039</w:t>
      </w:r>
      <w:r>
        <w:rPr>
          <w:rFonts w:hint="eastAsia" w:ascii="宋体" w:hAnsi="宋体" w:eastAsia="宋体" w:cs="宋体"/>
          <w:b/>
          <w:color w:val="000000"/>
          <w:kern w:val="0"/>
          <w:szCs w:val="21"/>
          <w:highlight w:val="none"/>
          <w:u w:val="single"/>
        </w:rPr>
        <w:t>）</w:t>
      </w:r>
      <w:r>
        <w:rPr>
          <w:rFonts w:hint="eastAsia" w:ascii="宋体" w:hAnsi="宋体" w:eastAsia="宋体" w:cs="宋体"/>
          <w:color w:val="000000"/>
          <w:kern w:val="0"/>
          <w:szCs w:val="21"/>
          <w:highlight w:val="none"/>
        </w:rPr>
        <w:t>的政府采购活动，</w:t>
      </w:r>
      <w:r>
        <w:rPr>
          <w:rFonts w:hint="eastAsia" w:ascii="宋体" w:hAnsi="宋体" w:eastAsia="宋体" w:cs="宋体"/>
          <w:b/>
          <w:color w:val="000000"/>
          <w:kern w:val="0"/>
          <w:szCs w:val="21"/>
          <w:highlight w:val="none"/>
        </w:rPr>
        <w:t>经与本单位法定代表人（负责人）联系确认，现就有关公平竞争事项郑重声明如下：</w:t>
      </w:r>
    </w:p>
    <w:p w14:paraId="471FECDD">
      <w:pPr>
        <w:autoSpaceDN w:val="0"/>
        <w:spacing w:line="360" w:lineRule="auto"/>
        <w:ind w:firstLine="373" w:firstLineChars="177"/>
        <w:jc w:val="left"/>
        <w:rPr>
          <w:rFonts w:hint="eastAsia" w:ascii="宋体" w:hAnsi="宋体" w:eastAsia="宋体" w:cs="宋体"/>
          <w:b/>
          <w:bCs/>
          <w:color w:val="000000"/>
          <w:kern w:val="0"/>
          <w:szCs w:val="21"/>
          <w:highlight w:val="none"/>
        </w:rPr>
      </w:pPr>
      <w:r>
        <w:rPr>
          <w:rFonts w:hint="eastAsia" w:ascii="宋体" w:hAnsi="宋体" w:eastAsia="宋体" w:cs="宋体"/>
          <w:b/>
          <w:color w:val="000000"/>
          <w:kern w:val="0"/>
          <w:szCs w:val="21"/>
          <w:highlight w:val="none"/>
        </w:rPr>
        <w:t>一、本单位与采购人之间：</w:t>
      </w:r>
      <w:r>
        <w:rPr>
          <w:rFonts w:hint="eastAsia" w:ascii="宋体" w:hAnsi="宋体" w:eastAsia="宋体" w:cs="宋体"/>
          <w:b/>
          <w:bCs/>
          <w:color w:val="000000"/>
          <w:kern w:val="0"/>
          <w:szCs w:val="21"/>
          <w:highlight w:val="none"/>
        </w:rPr>
        <w:t>□不存在利害关系/□存在下列利害关系</w:t>
      </w:r>
      <w:r>
        <w:rPr>
          <w:rFonts w:hint="eastAsia" w:ascii="宋体" w:hAnsi="宋体" w:eastAsia="宋体" w:cs="宋体"/>
          <w:b/>
          <w:color w:val="000000"/>
          <w:kern w:val="0"/>
          <w:szCs w:val="21"/>
          <w:highlight w:val="none"/>
        </w:rPr>
        <w:t>_______________</w:t>
      </w:r>
      <w:r>
        <w:rPr>
          <w:rFonts w:hint="eastAsia" w:ascii="宋体" w:hAnsi="宋体" w:eastAsia="宋体" w:cs="宋体"/>
          <w:b/>
          <w:bCs/>
          <w:color w:val="000000"/>
          <w:kern w:val="0"/>
          <w:szCs w:val="21"/>
          <w:highlight w:val="none"/>
        </w:rPr>
        <w:t>：</w:t>
      </w:r>
    </w:p>
    <w:p w14:paraId="7329B597">
      <w:pPr>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A.投资关系；B.行政隶属关系；C.业务指导关系；D.其他可能影响采购公正的利害关系（如有，请如实说明）：</w:t>
      </w:r>
      <w:r>
        <w:rPr>
          <w:rFonts w:hint="eastAsia" w:ascii="宋体" w:hAnsi="宋体" w:eastAsia="宋体" w:cs="宋体"/>
          <w:b/>
          <w:color w:val="000000"/>
          <w:kern w:val="0"/>
          <w:szCs w:val="21"/>
          <w:highlight w:val="none"/>
        </w:rPr>
        <w:t>__________________________________________</w:t>
      </w:r>
    </w:p>
    <w:p w14:paraId="364FC0AE">
      <w:pPr>
        <w:autoSpaceDN w:val="0"/>
        <w:spacing w:line="360" w:lineRule="auto"/>
        <w:ind w:firstLine="373" w:firstLineChars="177"/>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二、现已清楚知道参加本项目采购活动的其他所有供应商名称，本单位:</w:t>
      </w:r>
    </w:p>
    <w:p w14:paraId="0A3E7BC1">
      <w:pPr>
        <w:autoSpaceDN w:val="0"/>
        <w:spacing w:line="360" w:lineRule="auto"/>
        <w:ind w:firstLine="373" w:firstLineChars="177"/>
        <w:jc w:val="lef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□与其他所有供应商之间均不存在利害关系；</w:t>
      </w:r>
    </w:p>
    <w:p w14:paraId="78ECBA99">
      <w:pPr>
        <w:autoSpaceDN w:val="0"/>
        <w:spacing w:line="360" w:lineRule="auto"/>
        <w:ind w:firstLine="373" w:firstLineChars="177"/>
        <w:jc w:val="lef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□与</w:t>
      </w:r>
      <w:r>
        <w:rPr>
          <w:rFonts w:hint="eastAsia" w:ascii="宋体" w:hAnsi="宋体" w:eastAsia="宋体" w:cs="宋体"/>
          <w:b/>
          <w:color w:val="000000"/>
          <w:kern w:val="0"/>
          <w:szCs w:val="21"/>
          <w:highlight w:val="none"/>
        </w:rPr>
        <w:t>____________________________________</w:t>
      </w:r>
      <w:r>
        <w:rPr>
          <w:rFonts w:hint="eastAsia" w:ascii="宋体" w:hAnsi="宋体" w:eastAsia="宋体" w:cs="宋体"/>
          <w:b/>
          <w:bCs/>
          <w:color w:val="000000"/>
          <w:kern w:val="0"/>
          <w:szCs w:val="21"/>
          <w:highlight w:val="none"/>
          <w:u w:val="single"/>
        </w:rPr>
        <w:t>（供应商名称）</w:t>
      </w:r>
      <w:r>
        <w:rPr>
          <w:rFonts w:hint="eastAsia" w:ascii="宋体" w:hAnsi="宋体" w:eastAsia="宋体" w:cs="宋体"/>
          <w:b/>
          <w:bCs/>
          <w:color w:val="000000"/>
          <w:kern w:val="0"/>
          <w:szCs w:val="21"/>
          <w:highlight w:val="none"/>
        </w:rPr>
        <w:t>之间存在下列利害关系</w:t>
      </w:r>
      <w:r>
        <w:rPr>
          <w:rFonts w:hint="eastAsia" w:ascii="宋体" w:hAnsi="宋体" w:eastAsia="宋体" w:cs="宋体"/>
          <w:b/>
          <w:color w:val="000000"/>
          <w:kern w:val="0"/>
          <w:szCs w:val="21"/>
          <w:highlight w:val="none"/>
        </w:rPr>
        <w:t>_______</w:t>
      </w:r>
      <w:r>
        <w:rPr>
          <w:rFonts w:hint="eastAsia" w:ascii="宋体" w:hAnsi="宋体" w:eastAsia="宋体" w:cs="宋体"/>
          <w:color w:val="000000"/>
          <w:kern w:val="0"/>
          <w:szCs w:val="21"/>
          <w:highlight w:val="none"/>
        </w:rPr>
        <w:t>：</w:t>
      </w:r>
    </w:p>
    <w:p w14:paraId="6C9A0D2D">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A.法定代表人或负责人或实际控制人是同一人；</w:t>
      </w:r>
    </w:p>
    <w:p w14:paraId="556E3778">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B.法定代表人或负责人或实际控制人是夫妻关系；</w:t>
      </w:r>
    </w:p>
    <w:p w14:paraId="7628BB0E">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C.法定代表人或负责人或实际控制人是直系血亲关系；</w:t>
      </w:r>
    </w:p>
    <w:p w14:paraId="01473185">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D.法定代表人或负责人或实际控制人存在三代以内旁系血亲关系；</w:t>
      </w:r>
    </w:p>
    <w:p w14:paraId="4D321AE4">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E.法定代表人或负责人或实际控制人存在近姻亲关系；</w:t>
      </w:r>
    </w:p>
    <w:p w14:paraId="3A93AC8A">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F.法定代表人或负责人或实际控制人存在股份控制或实际控制关系；</w:t>
      </w:r>
    </w:p>
    <w:p w14:paraId="1B0CE7C5">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G.存在共同直接或间接投资设立子公司、联营企业和合营企业情况；</w:t>
      </w:r>
    </w:p>
    <w:p w14:paraId="0C1508E0">
      <w:pPr>
        <w:widowControl/>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H.存在分级代理或代销关系、同一生产制造商关系、管理关系、重要业务（占主营业务收入50%以上）或重要财务往来关系（如融资）等其他实质性控制关系；</w:t>
      </w:r>
    </w:p>
    <w:p w14:paraId="276A42EC">
      <w:pPr>
        <w:autoSpaceDN w:val="0"/>
        <w:spacing w:line="360" w:lineRule="auto"/>
        <w:ind w:firstLine="371" w:firstLineChars="177"/>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I.其他利害关系情况</w:t>
      </w:r>
      <w:r>
        <w:rPr>
          <w:rFonts w:hint="eastAsia" w:ascii="宋体" w:hAnsi="宋体" w:eastAsia="宋体" w:cs="宋体"/>
          <w:b/>
          <w:color w:val="000000"/>
          <w:kern w:val="0"/>
          <w:szCs w:val="21"/>
          <w:highlight w:val="none"/>
        </w:rPr>
        <w:t>_______________________________________________</w:t>
      </w:r>
      <w:r>
        <w:rPr>
          <w:rFonts w:hint="eastAsia" w:ascii="宋体" w:hAnsi="宋体" w:eastAsia="宋体" w:cs="宋体"/>
          <w:color w:val="000000"/>
          <w:kern w:val="0"/>
          <w:szCs w:val="21"/>
          <w:highlight w:val="none"/>
        </w:rPr>
        <w:t>。</w:t>
      </w:r>
    </w:p>
    <w:p w14:paraId="6DFBA480">
      <w:pPr>
        <w:widowControl/>
        <w:autoSpaceDN w:val="0"/>
        <w:spacing w:line="360" w:lineRule="auto"/>
        <w:ind w:firstLine="373" w:firstLineChars="177"/>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三、现已清楚知道并严格遵守政府采购法律法规和现场纪律。</w:t>
      </w:r>
    </w:p>
    <w:p w14:paraId="3AC9C445">
      <w:pPr>
        <w:widowControl/>
        <w:autoSpaceDN w:val="0"/>
        <w:spacing w:line="360" w:lineRule="auto"/>
        <w:ind w:firstLine="373" w:firstLineChars="177"/>
        <w:jc w:val="left"/>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四、我发现____________________________________________________________________供应商之间存在或可能存在上述第二条第__________________项利害关系。</w:t>
      </w:r>
    </w:p>
    <w:p w14:paraId="008FE2B9">
      <w:pPr>
        <w:autoSpaceDN w:val="0"/>
        <w:snapToGrid w:val="0"/>
        <w:spacing w:before="240" w:beforeLines="100" w:line="360" w:lineRule="auto"/>
        <w:jc w:val="right"/>
        <w:rPr>
          <w:rFonts w:hint="eastAsia" w:ascii="宋体" w:hAnsi="宋体" w:eastAsia="宋体" w:cs="宋体"/>
          <w:color w:val="000000"/>
          <w:kern w:val="0"/>
          <w:szCs w:val="21"/>
          <w:highlight w:val="none"/>
        </w:rPr>
      </w:pPr>
      <w:r>
        <w:rPr>
          <w:rFonts w:hint="eastAsia" w:ascii="宋体" w:hAnsi="宋体" w:eastAsia="宋体" w:cs="宋体"/>
          <w:b/>
          <w:color w:val="000000"/>
          <w:kern w:val="0"/>
          <w:szCs w:val="21"/>
          <w:highlight w:val="none"/>
        </w:rPr>
        <w:t>供应商盖章或法定代表人（或授权代表）签字（或盖章）：_______________</w:t>
      </w:r>
    </w:p>
    <w:p w14:paraId="6239F599">
      <w:pPr>
        <w:autoSpaceDN w:val="0"/>
        <w:jc w:val="right"/>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000000"/>
          <w:szCs w:val="21"/>
          <w:highlight w:val="none"/>
        </w:rPr>
        <w:t>日期：________年____月____ 日</w:t>
      </w:r>
    </w:p>
    <w:p w14:paraId="3894A45B">
      <w:pPr>
        <w:pStyle w:val="3"/>
        <w:autoSpaceDN w:val="0"/>
        <w:spacing w:before="360"/>
        <w:ind w:firstLine="0" w:firstLineChars="0"/>
        <w:rPr>
          <w:rFonts w:hint="eastAsia" w:ascii="宋体" w:hAnsi="宋体" w:eastAsia="宋体" w:cs="宋体"/>
          <w:sz w:val="28"/>
          <w:szCs w:val="28"/>
          <w:highlight w:val="none"/>
        </w:rPr>
      </w:pPr>
      <w:bookmarkStart w:id="152" w:name="_Toc14067"/>
      <w:bookmarkStart w:id="153" w:name="_Toc7988414"/>
      <w:bookmarkStart w:id="154" w:name="_Toc44671434"/>
      <w:bookmarkStart w:id="155" w:name="_Toc440162800"/>
      <w:bookmarkStart w:id="156" w:name="_Toc46485599"/>
      <w:bookmarkStart w:id="157" w:name="_Toc8008423"/>
      <w:bookmarkStart w:id="158" w:name="_Toc424164168"/>
      <w:bookmarkStart w:id="159" w:name="_Toc17775"/>
      <w:bookmarkStart w:id="160" w:name="_Toc7988468"/>
      <w:bookmarkStart w:id="161" w:name="_Toc472"/>
      <w:r>
        <w:rPr>
          <w:rFonts w:hint="eastAsia" w:ascii="宋体" w:hAnsi="宋体" w:eastAsia="宋体" w:cs="宋体"/>
          <w:sz w:val="28"/>
          <w:szCs w:val="28"/>
          <w:highlight w:val="none"/>
        </w:rPr>
        <w:t>第二部分“商务技术文件”格式</w:t>
      </w:r>
      <w:bookmarkEnd w:id="152"/>
      <w:bookmarkEnd w:id="153"/>
      <w:bookmarkEnd w:id="154"/>
      <w:bookmarkEnd w:id="155"/>
      <w:bookmarkEnd w:id="156"/>
      <w:bookmarkEnd w:id="157"/>
      <w:bookmarkEnd w:id="158"/>
      <w:bookmarkEnd w:id="159"/>
      <w:bookmarkEnd w:id="160"/>
      <w:bookmarkEnd w:id="161"/>
    </w:p>
    <w:p w14:paraId="17D8A208">
      <w:pPr>
        <w:pStyle w:val="4"/>
        <w:keepNext/>
        <w:keepLines/>
        <w:widowControl w:val="0"/>
        <w:autoSpaceDE/>
        <w:spacing w:before="120" w:after="120" w:line="360" w:lineRule="auto"/>
        <w:ind w:firstLine="240"/>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2-1 “商务技术文件”封面</w:t>
      </w:r>
    </w:p>
    <w:p w14:paraId="60DCD18E">
      <w:pPr>
        <w:pStyle w:val="6"/>
        <w:autoSpaceDN w:val="0"/>
        <w:rPr>
          <w:rFonts w:hint="eastAsia" w:ascii="宋体" w:hAnsi="宋体" w:eastAsia="宋体" w:cs="宋体"/>
          <w:color w:val="000000"/>
          <w:highlight w:val="none"/>
        </w:rPr>
      </w:pPr>
    </w:p>
    <w:p w14:paraId="00D7DFDD">
      <w:pPr>
        <w:autoSpaceDN w:val="0"/>
        <w:spacing w:line="276" w:lineRule="auto"/>
        <w:jc w:val="center"/>
        <w:rPr>
          <w:rFonts w:hint="eastAsia" w:ascii="宋体" w:hAnsi="宋体" w:eastAsia="宋体" w:cs="宋体"/>
          <w:b/>
          <w:color w:val="000000"/>
          <w:sz w:val="90"/>
          <w:szCs w:val="90"/>
          <w:highlight w:val="none"/>
        </w:rPr>
      </w:pPr>
      <w:r>
        <w:rPr>
          <w:rFonts w:hint="eastAsia" w:ascii="宋体" w:hAnsi="宋体" w:eastAsia="宋体" w:cs="宋体"/>
          <w:b/>
          <w:color w:val="000000"/>
          <w:kern w:val="0"/>
          <w:sz w:val="52"/>
          <w:szCs w:val="90"/>
          <w:highlight w:val="none"/>
        </w:rPr>
        <w:t>浙江省政府采购电子交易项目</w:t>
      </w:r>
    </w:p>
    <w:p w14:paraId="2BBD2B35">
      <w:pPr>
        <w:autoSpaceDN w:val="0"/>
        <w:spacing w:line="360" w:lineRule="auto"/>
        <w:rPr>
          <w:rFonts w:hint="eastAsia" w:ascii="宋体" w:hAnsi="宋体" w:eastAsia="宋体" w:cs="宋体"/>
          <w:color w:val="000000"/>
          <w:sz w:val="24"/>
          <w:highlight w:val="none"/>
        </w:rPr>
      </w:pPr>
    </w:p>
    <w:p w14:paraId="4376D69D">
      <w:pPr>
        <w:autoSpaceDN w:val="0"/>
        <w:spacing w:line="276" w:lineRule="auto"/>
        <w:jc w:val="center"/>
        <w:rPr>
          <w:rFonts w:hint="eastAsia" w:ascii="宋体" w:hAnsi="宋体" w:eastAsia="宋体" w:cs="宋体"/>
          <w:color w:val="000000"/>
          <w:kern w:val="0"/>
          <w:sz w:val="120"/>
          <w:szCs w:val="120"/>
          <w:highlight w:val="none"/>
        </w:rPr>
      </w:pPr>
      <w:r>
        <w:rPr>
          <w:rFonts w:hint="eastAsia" w:ascii="宋体" w:hAnsi="宋体" w:eastAsia="宋体" w:cs="宋体"/>
          <w:color w:val="000000"/>
          <w:kern w:val="0"/>
          <w:sz w:val="120"/>
          <w:szCs w:val="120"/>
          <w:highlight w:val="none"/>
        </w:rPr>
        <w:t>磋商响应文件</w:t>
      </w:r>
    </w:p>
    <w:p w14:paraId="0BA52EB7">
      <w:pPr>
        <w:autoSpaceDN w:val="0"/>
        <w:spacing w:line="360" w:lineRule="auto"/>
        <w:jc w:val="center"/>
        <w:rPr>
          <w:rFonts w:hint="eastAsia" w:ascii="宋体" w:hAnsi="宋体" w:eastAsia="宋体" w:cs="宋体"/>
          <w:b/>
          <w:color w:val="000000"/>
          <w:kern w:val="0"/>
          <w:sz w:val="48"/>
          <w:szCs w:val="84"/>
          <w:highlight w:val="none"/>
        </w:rPr>
      </w:pPr>
      <w:r>
        <w:rPr>
          <w:rFonts w:hint="eastAsia" w:ascii="宋体" w:hAnsi="宋体" w:eastAsia="宋体" w:cs="宋体"/>
          <w:b/>
          <w:color w:val="000000"/>
          <w:kern w:val="0"/>
          <w:sz w:val="48"/>
          <w:szCs w:val="84"/>
          <w:highlight w:val="none"/>
        </w:rPr>
        <w:t>（二、商务技术文件）</w:t>
      </w:r>
    </w:p>
    <w:p w14:paraId="6D076354">
      <w:pPr>
        <w:autoSpaceDE w:val="0"/>
        <w:autoSpaceDN w:val="0"/>
        <w:adjustRightInd w:val="0"/>
        <w:snapToGrid w:val="0"/>
        <w:spacing w:line="360" w:lineRule="auto"/>
        <w:jc w:val="left"/>
        <w:rPr>
          <w:rFonts w:hint="eastAsia" w:ascii="宋体" w:hAnsi="宋体" w:eastAsia="宋体" w:cs="宋体"/>
          <w:kern w:val="0"/>
          <w:sz w:val="20"/>
          <w:highlight w:val="none"/>
        </w:rPr>
      </w:pPr>
    </w:p>
    <w:p w14:paraId="50B04777">
      <w:pPr>
        <w:autoSpaceDE w:val="0"/>
        <w:autoSpaceDN w:val="0"/>
        <w:adjustRightInd w:val="0"/>
        <w:snapToGrid w:val="0"/>
        <w:spacing w:line="360" w:lineRule="auto"/>
        <w:jc w:val="left"/>
        <w:rPr>
          <w:rFonts w:hint="eastAsia" w:ascii="宋体" w:hAnsi="宋体" w:eastAsia="宋体" w:cs="宋体"/>
          <w:kern w:val="0"/>
          <w:sz w:val="20"/>
          <w:highlight w:val="none"/>
        </w:rPr>
      </w:pPr>
    </w:p>
    <w:p w14:paraId="69977D07">
      <w:pPr>
        <w:autoSpaceDE w:val="0"/>
        <w:autoSpaceDN w:val="0"/>
        <w:adjustRightInd w:val="0"/>
        <w:snapToGrid w:val="0"/>
        <w:spacing w:line="360" w:lineRule="auto"/>
        <w:jc w:val="left"/>
        <w:rPr>
          <w:rFonts w:hint="eastAsia" w:ascii="宋体" w:hAnsi="宋体" w:eastAsia="宋体" w:cs="宋体"/>
          <w:kern w:val="0"/>
          <w:sz w:val="20"/>
          <w:highlight w:val="none"/>
        </w:rPr>
      </w:pPr>
    </w:p>
    <w:tbl>
      <w:tblPr>
        <w:tblStyle w:val="51"/>
        <w:tblW w:w="9356" w:type="dxa"/>
        <w:tblInd w:w="108" w:type="dxa"/>
        <w:tblLayout w:type="fixed"/>
        <w:tblCellMar>
          <w:top w:w="0" w:type="dxa"/>
          <w:left w:w="108" w:type="dxa"/>
          <w:bottom w:w="0" w:type="dxa"/>
          <w:right w:w="108" w:type="dxa"/>
        </w:tblCellMar>
      </w:tblPr>
      <w:tblGrid>
        <w:gridCol w:w="9356"/>
      </w:tblGrid>
      <w:tr w14:paraId="2501EE6A">
        <w:tblPrEx>
          <w:tblCellMar>
            <w:top w:w="0" w:type="dxa"/>
            <w:left w:w="108" w:type="dxa"/>
            <w:bottom w:w="0" w:type="dxa"/>
            <w:right w:w="108" w:type="dxa"/>
          </w:tblCellMar>
        </w:tblPrEx>
        <w:trPr>
          <w:trHeight w:val="680" w:hRule="atLeast"/>
        </w:trPr>
        <w:tc>
          <w:tcPr>
            <w:tcW w:w="9356" w:type="dxa"/>
            <w:vAlign w:val="center"/>
          </w:tcPr>
          <w:p w14:paraId="540576C4">
            <w:pPr>
              <w:autoSpaceDN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项目名称：</w:t>
            </w:r>
            <w:r>
              <w:rPr>
                <w:rFonts w:hint="eastAsia" w:ascii="宋体" w:hAnsi="宋体" w:cs="宋体"/>
                <w:b/>
                <w:bCs/>
                <w:color w:val="000000"/>
                <w:kern w:val="0"/>
                <w:sz w:val="28"/>
                <w:szCs w:val="32"/>
                <w:highlight w:val="none"/>
                <w:lang w:eastAsia="zh-CN"/>
              </w:rPr>
              <w:t>浙江中医药大学Ivan Psakhye教授实验室改造项目</w:t>
            </w:r>
          </w:p>
        </w:tc>
      </w:tr>
      <w:tr w14:paraId="1ED14B05">
        <w:tblPrEx>
          <w:tblCellMar>
            <w:top w:w="0" w:type="dxa"/>
            <w:left w:w="108" w:type="dxa"/>
            <w:bottom w:w="0" w:type="dxa"/>
            <w:right w:w="108" w:type="dxa"/>
          </w:tblCellMar>
        </w:tblPrEx>
        <w:trPr>
          <w:trHeight w:val="680" w:hRule="atLeast"/>
        </w:trPr>
        <w:tc>
          <w:tcPr>
            <w:tcW w:w="9356" w:type="dxa"/>
            <w:vAlign w:val="center"/>
          </w:tcPr>
          <w:p w14:paraId="4224DCF9">
            <w:pPr>
              <w:autoSpaceDN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项目编号：</w:t>
            </w:r>
            <w:r>
              <w:rPr>
                <w:rFonts w:hint="eastAsia" w:ascii="宋体" w:hAnsi="宋体" w:cs="宋体"/>
                <w:b/>
                <w:bCs/>
                <w:color w:val="000000"/>
                <w:kern w:val="0"/>
                <w:sz w:val="28"/>
                <w:szCs w:val="32"/>
                <w:highlight w:val="none"/>
                <w:lang w:eastAsia="zh-CN"/>
              </w:rPr>
              <w:t>CTZB-2025070039</w:t>
            </w:r>
          </w:p>
        </w:tc>
      </w:tr>
      <w:tr w14:paraId="10DBB8DF">
        <w:tblPrEx>
          <w:tblCellMar>
            <w:top w:w="0" w:type="dxa"/>
            <w:left w:w="108" w:type="dxa"/>
            <w:bottom w:w="0" w:type="dxa"/>
            <w:right w:w="108" w:type="dxa"/>
          </w:tblCellMar>
        </w:tblPrEx>
        <w:trPr>
          <w:trHeight w:val="680" w:hRule="atLeast"/>
        </w:trPr>
        <w:tc>
          <w:tcPr>
            <w:tcW w:w="9356" w:type="dxa"/>
            <w:vAlign w:val="center"/>
          </w:tcPr>
          <w:p w14:paraId="2EA64E6B">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磋商响应供应商名称（盖章）：</w:t>
            </w:r>
            <w:r>
              <w:rPr>
                <w:rFonts w:hint="eastAsia" w:ascii="宋体" w:hAnsi="宋体" w:eastAsia="宋体" w:cs="宋体"/>
                <w:color w:val="000000"/>
                <w:w w:val="90"/>
                <w:kern w:val="0"/>
                <w:sz w:val="22"/>
                <w:szCs w:val="22"/>
                <w:highlight w:val="none"/>
              </w:rPr>
              <w:t>_________________________________________________</w:t>
            </w:r>
          </w:p>
        </w:tc>
      </w:tr>
      <w:tr w14:paraId="49CB20A7">
        <w:tblPrEx>
          <w:tblCellMar>
            <w:top w:w="0" w:type="dxa"/>
            <w:left w:w="108" w:type="dxa"/>
            <w:bottom w:w="0" w:type="dxa"/>
            <w:right w:w="108" w:type="dxa"/>
          </w:tblCellMar>
        </w:tblPrEx>
        <w:trPr>
          <w:trHeight w:val="680" w:hRule="atLeast"/>
        </w:trPr>
        <w:tc>
          <w:tcPr>
            <w:tcW w:w="9356" w:type="dxa"/>
            <w:vAlign w:val="center"/>
          </w:tcPr>
          <w:p w14:paraId="5AF08B23">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磋商响应供应商地址：</w:t>
            </w:r>
            <w:r>
              <w:rPr>
                <w:rFonts w:hint="eastAsia" w:ascii="宋体" w:hAnsi="宋体" w:eastAsia="宋体" w:cs="宋体"/>
                <w:color w:val="000000"/>
                <w:w w:val="90"/>
                <w:kern w:val="0"/>
                <w:sz w:val="22"/>
                <w:szCs w:val="22"/>
                <w:highlight w:val="none"/>
              </w:rPr>
              <w:t>___________________________________________________________</w:t>
            </w:r>
          </w:p>
        </w:tc>
      </w:tr>
      <w:tr w14:paraId="53D4FD7C">
        <w:tblPrEx>
          <w:tblCellMar>
            <w:top w:w="0" w:type="dxa"/>
            <w:left w:w="108" w:type="dxa"/>
            <w:bottom w:w="0" w:type="dxa"/>
            <w:right w:w="108" w:type="dxa"/>
          </w:tblCellMar>
        </w:tblPrEx>
        <w:trPr>
          <w:trHeight w:val="680" w:hRule="atLeast"/>
        </w:trPr>
        <w:tc>
          <w:tcPr>
            <w:tcW w:w="9356" w:type="dxa"/>
            <w:vAlign w:val="center"/>
          </w:tcPr>
          <w:p w14:paraId="091F2AA5">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highlight w:val="none"/>
              </w:rPr>
              <w:t>磋商响应供应商联系电话：</w:t>
            </w:r>
            <w:r>
              <w:rPr>
                <w:rFonts w:hint="eastAsia" w:ascii="宋体" w:hAnsi="宋体" w:eastAsia="宋体" w:cs="宋体"/>
                <w:color w:val="000000"/>
                <w:w w:val="90"/>
                <w:kern w:val="0"/>
                <w:sz w:val="28"/>
                <w:highlight w:val="none"/>
              </w:rPr>
              <w:t>_________________________________________</w:t>
            </w:r>
          </w:p>
        </w:tc>
      </w:tr>
      <w:tr w14:paraId="78D3EA40">
        <w:tblPrEx>
          <w:tblCellMar>
            <w:top w:w="0" w:type="dxa"/>
            <w:left w:w="108" w:type="dxa"/>
            <w:bottom w:w="0" w:type="dxa"/>
            <w:right w:w="108" w:type="dxa"/>
          </w:tblCellMar>
        </w:tblPrEx>
        <w:trPr>
          <w:trHeight w:val="680" w:hRule="atLeast"/>
        </w:trPr>
        <w:tc>
          <w:tcPr>
            <w:tcW w:w="9356" w:type="dxa"/>
            <w:vAlign w:val="center"/>
          </w:tcPr>
          <w:p w14:paraId="05F0CA9E">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w:t>
            </w:r>
            <w:r>
              <w:rPr>
                <w:rFonts w:hint="eastAsia" w:ascii="宋体" w:hAnsi="宋体" w:eastAsia="宋体" w:cs="宋体"/>
                <w:color w:val="000000"/>
                <w:w w:val="90"/>
                <w:kern w:val="0"/>
                <w:sz w:val="22"/>
                <w:szCs w:val="22"/>
                <w:highlight w:val="none"/>
              </w:rPr>
              <w:t>_________________________________________________________________________</w:t>
            </w:r>
          </w:p>
        </w:tc>
      </w:tr>
      <w:tr w14:paraId="2DE05397">
        <w:tblPrEx>
          <w:tblCellMar>
            <w:top w:w="0" w:type="dxa"/>
            <w:left w:w="108" w:type="dxa"/>
            <w:bottom w:w="0" w:type="dxa"/>
            <w:right w:w="108" w:type="dxa"/>
          </w:tblCellMar>
        </w:tblPrEx>
        <w:trPr>
          <w:trHeight w:val="680" w:hRule="atLeast"/>
        </w:trPr>
        <w:tc>
          <w:tcPr>
            <w:tcW w:w="9356" w:type="dxa"/>
            <w:vAlign w:val="center"/>
          </w:tcPr>
          <w:p w14:paraId="5712AC25">
            <w:pPr>
              <w:autoSpaceDN w:val="0"/>
              <w:jc w:val="center"/>
              <w:rPr>
                <w:rFonts w:hint="eastAsia" w:ascii="宋体" w:hAnsi="宋体" w:eastAsia="宋体" w:cs="宋体"/>
                <w:b/>
                <w:color w:val="000000"/>
                <w:sz w:val="28"/>
                <w:szCs w:val="28"/>
                <w:highlight w:val="none"/>
              </w:rPr>
            </w:pPr>
          </w:p>
        </w:tc>
      </w:tr>
    </w:tbl>
    <w:p w14:paraId="157179C8">
      <w:pPr>
        <w:autoSpaceDN w:val="0"/>
        <w:spacing w:line="360" w:lineRule="auto"/>
        <w:jc w:val="center"/>
        <w:rPr>
          <w:rFonts w:hint="eastAsia" w:ascii="宋体" w:hAnsi="宋体" w:eastAsia="宋体" w:cs="宋体"/>
          <w:highlight w:val="none"/>
        </w:rPr>
      </w:pPr>
    </w:p>
    <w:p w14:paraId="546FB205">
      <w:pPr>
        <w:autoSpaceDN w:val="0"/>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br w:type="page"/>
      </w:r>
    </w:p>
    <w:p w14:paraId="2AF35444">
      <w:pPr>
        <w:pStyle w:val="4"/>
        <w:keepNext/>
        <w:keepLines/>
        <w:widowControl w:val="0"/>
        <w:autoSpaceDE/>
        <w:spacing w:before="120" w:after="120" w:line="360" w:lineRule="auto"/>
        <w:ind w:firstLine="240"/>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2-2 ▲关于</w:t>
      </w:r>
      <w:r>
        <w:rPr>
          <w:rFonts w:hint="eastAsia" w:ascii="宋体" w:hAnsi="宋体" w:eastAsia="宋体" w:cs="宋体"/>
          <w:bCs/>
          <w:color w:val="000000"/>
          <w:kern w:val="0"/>
          <w:szCs w:val="24"/>
          <w:highlight w:val="none"/>
          <w:lang w:eastAsia="zh-CN"/>
        </w:rPr>
        <w:t>磋商响应文件</w:t>
      </w:r>
      <w:r>
        <w:rPr>
          <w:rFonts w:hint="eastAsia" w:ascii="宋体" w:hAnsi="宋体" w:eastAsia="宋体" w:cs="宋体"/>
          <w:bCs/>
          <w:color w:val="000000"/>
          <w:kern w:val="0"/>
          <w:szCs w:val="24"/>
          <w:highlight w:val="none"/>
        </w:rPr>
        <w:t>所有内容真实有效的承诺函</w:t>
      </w:r>
    </w:p>
    <w:p w14:paraId="7AB4475A">
      <w:pPr>
        <w:autoSpaceDN w:val="0"/>
        <w:spacing w:line="360" w:lineRule="auto"/>
        <w:jc w:val="center"/>
        <w:rPr>
          <w:rFonts w:hint="eastAsia" w:ascii="宋体" w:hAnsi="宋体" w:eastAsia="宋体" w:cs="宋体"/>
          <w:b/>
          <w:color w:val="000000" w:themeColor="text1"/>
          <w:kern w:val="0"/>
          <w:sz w:val="36"/>
          <w:szCs w:val="32"/>
          <w:highlight w:val="none"/>
          <w14:textFill>
            <w14:solidFill>
              <w14:schemeClr w14:val="tx1"/>
            </w14:solidFill>
          </w14:textFill>
        </w:rPr>
      </w:pPr>
    </w:p>
    <w:p w14:paraId="5D419020">
      <w:pPr>
        <w:autoSpaceDN w:val="0"/>
        <w:spacing w:line="360" w:lineRule="auto"/>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关于</w:t>
      </w:r>
      <w:r>
        <w:rPr>
          <w:rFonts w:hint="eastAsia" w:ascii="宋体" w:hAnsi="宋体" w:cs="宋体"/>
          <w:b/>
          <w:color w:val="000000" w:themeColor="text1"/>
          <w:sz w:val="40"/>
          <w:highlight w:val="none"/>
          <w:lang w:eastAsia="zh-CN"/>
          <w14:textFill>
            <w14:solidFill>
              <w14:schemeClr w14:val="tx1"/>
            </w14:solidFill>
          </w14:textFill>
        </w:rPr>
        <w:t>磋商响应文件</w:t>
      </w:r>
      <w:r>
        <w:rPr>
          <w:rFonts w:hint="eastAsia" w:ascii="宋体" w:hAnsi="宋体" w:eastAsia="宋体" w:cs="宋体"/>
          <w:b/>
          <w:color w:val="000000" w:themeColor="text1"/>
          <w:sz w:val="40"/>
          <w:highlight w:val="none"/>
          <w14:textFill>
            <w14:solidFill>
              <w14:schemeClr w14:val="tx1"/>
            </w14:solidFill>
          </w14:textFill>
        </w:rPr>
        <w:t>所有内容真实、有效的承诺函</w:t>
      </w:r>
    </w:p>
    <w:p w14:paraId="25A315D0">
      <w:pPr>
        <w:autoSpaceDN w:val="0"/>
        <w:spacing w:line="360" w:lineRule="auto"/>
        <w:rPr>
          <w:rFonts w:hint="eastAsia" w:ascii="宋体" w:hAnsi="宋体" w:eastAsia="宋体" w:cs="宋体"/>
          <w:b/>
          <w:color w:val="000000" w:themeColor="text1"/>
          <w:kern w:val="0"/>
          <w:sz w:val="28"/>
          <w:szCs w:val="28"/>
          <w:highlight w:val="none"/>
          <w:u w:val="single"/>
          <w14:textFill>
            <w14:solidFill>
              <w14:schemeClr w14:val="tx1"/>
            </w14:solidFill>
          </w14:textFill>
        </w:rPr>
      </w:pPr>
    </w:p>
    <w:p w14:paraId="5449B7A5">
      <w:pPr>
        <w:autoSpaceDN w:val="0"/>
        <w:spacing w:line="360" w:lineRule="auto"/>
        <w:rPr>
          <w:rFonts w:hint="eastAsia" w:ascii="宋体" w:hAnsi="宋体" w:eastAsia="宋体" w:cs="宋体"/>
          <w:b/>
          <w:color w:val="000000" w:themeColor="text1"/>
          <w:kern w:val="0"/>
          <w:sz w:val="32"/>
          <w:szCs w:val="28"/>
          <w:highlight w:val="none"/>
          <w:u w:val="single"/>
          <w14:textFill>
            <w14:solidFill>
              <w14:schemeClr w14:val="tx1"/>
            </w14:solidFill>
          </w14:textFill>
        </w:rPr>
      </w:pPr>
      <w:r>
        <w:rPr>
          <w:rFonts w:hint="eastAsia" w:ascii="宋体" w:hAnsi="宋体" w:eastAsia="宋体" w:cs="宋体"/>
          <w:b/>
          <w:color w:val="000000" w:themeColor="text1"/>
          <w:w w:val="90"/>
          <w:kern w:val="0"/>
          <w:sz w:val="28"/>
          <w:szCs w:val="22"/>
          <w:highlight w:val="none"/>
          <w:u w:val="single"/>
          <w:lang w:eastAsia="zh-CN"/>
          <w14:textFill>
            <w14:solidFill>
              <w14:schemeClr w14:val="tx1"/>
            </w14:solidFill>
          </w14:textFill>
        </w:rPr>
        <w:t>浙江中医药大学</w:t>
      </w:r>
      <w:r>
        <w:rPr>
          <w:rFonts w:hint="eastAsia" w:ascii="宋体" w:hAnsi="宋体" w:eastAsia="宋体" w:cs="宋体"/>
          <w:b/>
          <w:color w:val="000000" w:themeColor="text1"/>
          <w:w w:val="90"/>
          <w:kern w:val="0"/>
          <w:sz w:val="28"/>
          <w:szCs w:val="22"/>
          <w:highlight w:val="none"/>
          <w:u w:val="single"/>
          <w14:textFill>
            <w14:solidFill>
              <w14:schemeClr w14:val="tx1"/>
            </w14:solidFill>
          </w14:textFill>
        </w:rPr>
        <w:t>、浙江省成套招标代理有限公司</w:t>
      </w:r>
      <w:r>
        <w:rPr>
          <w:rFonts w:hint="eastAsia" w:ascii="宋体" w:hAnsi="宋体" w:eastAsia="宋体" w:cs="宋体"/>
          <w:b/>
          <w:color w:val="000000" w:themeColor="text1"/>
          <w:w w:val="90"/>
          <w:kern w:val="0"/>
          <w:sz w:val="28"/>
          <w:szCs w:val="22"/>
          <w:highlight w:val="none"/>
          <w14:textFill>
            <w14:solidFill>
              <w14:schemeClr w14:val="tx1"/>
            </w14:solidFill>
          </w14:textFill>
        </w:rPr>
        <w:t>：</w:t>
      </w:r>
    </w:p>
    <w:p w14:paraId="1B41BCA4">
      <w:pPr>
        <w:autoSpaceDN w:val="0"/>
        <w:spacing w:line="360" w:lineRule="auto"/>
        <w:rPr>
          <w:rFonts w:hint="eastAsia" w:ascii="宋体" w:hAnsi="宋体" w:eastAsia="宋体" w:cs="宋体"/>
          <w:color w:val="000000" w:themeColor="text1"/>
          <w:kern w:val="0"/>
          <w:sz w:val="32"/>
          <w:szCs w:val="28"/>
          <w:highlight w:val="none"/>
          <w14:textFill>
            <w14:solidFill>
              <w14:schemeClr w14:val="tx1"/>
            </w14:solidFill>
          </w14:textFill>
        </w:rPr>
      </w:pPr>
    </w:p>
    <w:p w14:paraId="01C2F5A9">
      <w:pPr>
        <w:autoSpaceDN w:val="0"/>
        <w:spacing w:line="360" w:lineRule="auto"/>
        <w:ind w:firstLine="560" w:firstLineChars="200"/>
        <w:rPr>
          <w:rFonts w:hint="eastAsia" w:ascii="宋体" w:hAnsi="宋体" w:eastAsia="宋体" w:cs="宋体"/>
          <w:color w:val="000000" w:themeColor="text1"/>
          <w:kern w:val="0"/>
          <w:sz w:val="28"/>
          <w:szCs w:val="22"/>
          <w:highlight w:val="none"/>
          <w14:textFill>
            <w14:solidFill>
              <w14:schemeClr w14:val="tx1"/>
            </w14:solidFill>
          </w14:textFill>
        </w:rPr>
      </w:pPr>
      <w:r>
        <w:rPr>
          <w:rFonts w:hint="eastAsia" w:ascii="宋体" w:hAnsi="宋体" w:eastAsia="宋体" w:cs="宋体"/>
          <w:color w:val="000000" w:themeColor="text1"/>
          <w:kern w:val="0"/>
          <w:sz w:val="28"/>
          <w:szCs w:val="22"/>
          <w:highlight w:val="none"/>
          <w14:textFill>
            <w14:solidFill>
              <w14:schemeClr w14:val="tx1"/>
            </w14:solidFill>
          </w14:textFill>
        </w:rPr>
        <w:t>我</w:t>
      </w:r>
      <w:r>
        <w:rPr>
          <w:rFonts w:hint="eastAsia" w:ascii="宋体" w:hAnsi="宋体" w:eastAsia="宋体" w:cs="宋体"/>
          <w:color w:val="000000" w:themeColor="text1"/>
          <w:kern w:val="0"/>
          <w:sz w:val="28"/>
          <w:szCs w:val="28"/>
          <w:highlight w:val="none"/>
          <w14:textFill>
            <w14:solidFill>
              <w14:schemeClr w14:val="tx1"/>
            </w14:solidFill>
          </w14:textFill>
        </w:rPr>
        <w:t>方</w:t>
      </w:r>
      <w:r>
        <w:rPr>
          <w:rFonts w:hint="eastAsia" w:ascii="宋体" w:hAnsi="宋体" w:eastAsia="宋体" w:cs="宋体"/>
          <w:color w:val="000000" w:themeColor="text1"/>
          <w:kern w:val="0"/>
          <w:sz w:val="28"/>
          <w:szCs w:val="22"/>
          <w:highlight w:val="none"/>
          <w14:textFill>
            <w14:solidFill>
              <w14:schemeClr w14:val="tx1"/>
            </w14:solidFill>
          </w14:textFill>
        </w:rPr>
        <w:t>参加</w:t>
      </w:r>
      <w:r>
        <w:rPr>
          <w:rFonts w:hint="eastAsia" w:ascii="宋体" w:hAnsi="宋体" w:cs="宋体"/>
          <w:b/>
          <w:color w:val="000000" w:themeColor="text1"/>
          <w:kern w:val="0"/>
          <w:sz w:val="28"/>
          <w:szCs w:val="22"/>
          <w:highlight w:val="none"/>
          <w:u w:val="single"/>
          <w:lang w:eastAsia="zh-CN"/>
          <w14:textFill>
            <w14:solidFill>
              <w14:schemeClr w14:val="tx1"/>
            </w14:solidFill>
          </w14:textFill>
        </w:rPr>
        <w:t>浙江中医药大学Ivan Psakhye教授实验室改造项目</w:t>
      </w:r>
      <w:r>
        <w:rPr>
          <w:rFonts w:hint="eastAsia" w:ascii="宋体" w:hAnsi="宋体" w:eastAsia="宋体" w:cs="宋体"/>
          <w:b/>
          <w:color w:val="000000" w:themeColor="text1"/>
          <w:kern w:val="0"/>
          <w:sz w:val="28"/>
          <w:szCs w:val="22"/>
          <w:highlight w:val="none"/>
          <w:u w:val="single"/>
          <w14:textFill>
            <w14:solidFill>
              <w14:schemeClr w14:val="tx1"/>
            </w14:solidFill>
          </w14:textFill>
        </w:rPr>
        <w:t>（项目编号：</w:t>
      </w:r>
      <w:r>
        <w:rPr>
          <w:rFonts w:hint="eastAsia" w:ascii="宋体" w:hAnsi="宋体" w:cs="宋体"/>
          <w:b/>
          <w:color w:val="000000" w:themeColor="text1"/>
          <w:kern w:val="0"/>
          <w:sz w:val="28"/>
          <w:szCs w:val="22"/>
          <w:highlight w:val="none"/>
          <w:u w:val="single"/>
          <w:lang w:eastAsia="zh-CN"/>
          <w14:textFill>
            <w14:solidFill>
              <w14:schemeClr w14:val="tx1"/>
            </w14:solidFill>
          </w14:textFill>
        </w:rPr>
        <w:t>CTZB-2025070039</w:t>
      </w:r>
      <w:r>
        <w:rPr>
          <w:rFonts w:hint="eastAsia" w:ascii="宋体" w:hAnsi="宋体" w:eastAsia="宋体" w:cs="宋体"/>
          <w:b/>
          <w:color w:val="000000" w:themeColor="text1"/>
          <w:kern w:val="0"/>
          <w:sz w:val="28"/>
          <w:szCs w:val="22"/>
          <w:highlight w:val="none"/>
          <w:u w:val="single"/>
          <w14:textFill>
            <w14:solidFill>
              <w14:schemeClr w14:val="tx1"/>
            </w14:solidFill>
          </w14:textFill>
        </w:rPr>
        <w:t>）</w:t>
      </w:r>
      <w:r>
        <w:rPr>
          <w:rFonts w:hint="eastAsia" w:ascii="宋体" w:hAnsi="宋体" w:eastAsia="宋体" w:cs="宋体"/>
          <w:color w:val="000000" w:themeColor="text1"/>
          <w:kern w:val="0"/>
          <w:sz w:val="28"/>
          <w:szCs w:val="22"/>
          <w:highlight w:val="none"/>
          <w14:textFill>
            <w14:solidFill>
              <w14:schemeClr w14:val="tx1"/>
            </w14:solidFill>
          </w14:textFill>
        </w:rPr>
        <w:t>的政府采购活动中所提交的</w:t>
      </w:r>
      <w:r>
        <w:rPr>
          <w:rFonts w:hint="eastAsia" w:ascii="宋体" w:hAnsi="宋体" w:cs="宋体"/>
          <w:color w:val="000000" w:themeColor="text1"/>
          <w:kern w:val="0"/>
          <w:sz w:val="28"/>
          <w:szCs w:val="22"/>
          <w:highlight w:val="none"/>
          <w:lang w:eastAsia="zh-CN"/>
          <w14:textFill>
            <w14:solidFill>
              <w14:schemeClr w14:val="tx1"/>
            </w14:solidFill>
          </w14:textFill>
        </w:rPr>
        <w:t>磋商响应文件</w:t>
      </w:r>
      <w:r>
        <w:rPr>
          <w:rFonts w:hint="eastAsia" w:ascii="宋体" w:hAnsi="宋体" w:eastAsia="宋体" w:cs="宋体"/>
          <w:color w:val="000000" w:themeColor="text1"/>
          <w:kern w:val="0"/>
          <w:sz w:val="28"/>
          <w:szCs w:val="22"/>
          <w:highlight w:val="none"/>
          <w14:textFill>
            <w14:solidFill>
              <w14:schemeClr w14:val="tx1"/>
            </w14:solidFill>
          </w14:textFill>
        </w:rPr>
        <w:t>（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731089F8">
      <w:pPr>
        <w:autoSpaceDN w:val="0"/>
        <w:spacing w:line="360" w:lineRule="auto"/>
        <w:ind w:firstLine="560" w:firstLineChars="200"/>
        <w:rPr>
          <w:rFonts w:hint="eastAsia" w:ascii="宋体" w:hAnsi="宋体" w:eastAsia="宋体" w:cs="宋体"/>
          <w:color w:val="000000" w:themeColor="text1"/>
          <w:kern w:val="0"/>
          <w:sz w:val="28"/>
          <w:szCs w:val="22"/>
          <w:highlight w:val="none"/>
          <w14:textFill>
            <w14:solidFill>
              <w14:schemeClr w14:val="tx1"/>
            </w14:solidFill>
          </w14:textFill>
        </w:rPr>
      </w:pPr>
    </w:p>
    <w:p w14:paraId="15222421">
      <w:pPr>
        <w:autoSpaceDN w:val="0"/>
        <w:spacing w:line="360" w:lineRule="auto"/>
        <w:ind w:firstLine="56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8"/>
          <w:szCs w:val="22"/>
          <w:highlight w:val="none"/>
          <w14:textFill>
            <w14:solidFill>
              <w14:schemeClr w14:val="tx1"/>
            </w14:solidFill>
          </w14:textFill>
        </w:rPr>
        <w:t>特此</w:t>
      </w:r>
      <w:r>
        <w:rPr>
          <w:rFonts w:hint="eastAsia" w:ascii="宋体" w:hAnsi="宋体" w:eastAsia="宋体" w:cs="宋体"/>
          <w:color w:val="000000" w:themeColor="text1"/>
          <w:kern w:val="0"/>
          <w:sz w:val="28"/>
          <w:szCs w:val="28"/>
          <w:highlight w:val="none"/>
          <w14:textFill>
            <w14:solidFill>
              <w14:schemeClr w14:val="tx1"/>
            </w14:solidFill>
          </w14:textFill>
        </w:rPr>
        <w:t>承诺</w:t>
      </w:r>
      <w:r>
        <w:rPr>
          <w:rFonts w:hint="eastAsia" w:ascii="宋体" w:hAnsi="宋体" w:eastAsia="宋体" w:cs="宋体"/>
          <w:color w:val="000000" w:themeColor="text1"/>
          <w:kern w:val="0"/>
          <w:sz w:val="28"/>
          <w:szCs w:val="22"/>
          <w:highlight w:val="none"/>
          <w14:textFill>
            <w14:solidFill>
              <w14:schemeClr w14:val="tx1"/>
            </w14:solidFill>
          </w14:textFill>
        </w:rPr>
        <w:t>！</w:t>
      </w:r>
    </w:p>
    <w:p w14:paraId="2E2EC5A5">
      <w:pPr>
        <w:autoSpaceDN w:val="0"/>
        <w:spacing w:line="360" w:lineRule="auto"/>
        <w:ind w:firstLine="420" w:firstLineChars="200"/>
        <w:rPr>
          <w:rFonts w:hint="eastAsia" w:ascii="宋体" w:hAnsi="宋体" w:eastAsia="宋体" w:cs="宋体"/>
          <w:color w:val="000000" w:themeColor="text1"/>
          <w:kern w:val="0"/>
          <w:szCs w:val="22"/>
          <w:highlight w:val="none"/>
          <w14:textFill>
            <w14:solidFill>
              <w14:schemeClr w14:val="tx1"/>
            </w14:solidFill>
          </w14:textFill>
        </w:rPr>
      </w:pPr>
    </w:p>
    <w:p w14:paraId="312D07B0">
      <w:pPr>
        <w:autoSpaceDN w:val="0"/>
        <w:snapToGrid w:val="0"/>
        <w:spacing w:line="360" w:lineRule="auto"/>
        <w:ind w:left="567" w:leftChars="2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投标供应商名称（盖章）：</w:t>
      </w:r>
      <w:r>
        <w:rPr>
          <w:rFonts w:hint="eastAsia" w:ascii="宋体" w:hAnsi="宋体" w:eastAsia="宋体" w:cs="宋体"/>
          <w:color w:val="000000" w:themeColor="text1"/>
          <w:w w:val="90"/>
          <w:kern w:val="0"/>
          <w:sz w:val="28"/>
          <w:szCs w:val="28"/>
          <w:highlight w:val="none"/>
          <w14:textFill>
            <w14:solidFill>
              <w14:schemeClr w14:val="tx1"/>
            </w14:solidFill>
          </w14:textFill>
        </w:rPr>
        <w:t>__________________________________</w:t>
      </w:r>
    </w:p>
    <w:p w14:paraId="17085A7F">
      <w:pPr>
        <w:autoSpaceDN w:val="0"/>
        <w:spacing w:line="360" w:lineRule="auto"/>
        <w:ind w:firstLine="560" w:firstLineChars="200"/>
        <w:rPr>
          <w:rFonts w:hint="eastAsia" w:ascii="宋体" w:hAnsi="宋体" w:eastAsia="宋体" w:cs="宋体"/>
          <w:color w:val="000000" w:themeColor="text1"/>
          <w:w w:val="90"/>
          <w:kern w:val="0"/>
          <w:sz w:val="28"/>
          <w:szCs w:val="28"/>
          <w:highlight w:val="none"/>
          <w14:textFill>
            <w14:solidFill>
              <w14:schemeClr w14:val="tx1"/>
            </w14:solidFill>
          </w14:textFill>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w w:val="90"/>
          <w:kern w:val="0"/>
          <w:sz w:val="28"/>
          <w:szCs w:val="28"/>
          <w:highlight w:val="none"/>
          <w14:textFill>
            <w14:solidFill>
              <w14:schemeClr w14:val="tx1"/>
            </w14:solidFill>
          </w14:textFill>
        </w:rPr>
        <w:t>________年____月____日</w:t>
      </w:r>
    </w:p>
    <w:p w14:paraId="0F214E06">
      <w:pPr>
        <w:pStyle w:val="4"/>
        <w:spacing w:before="120" w:after="120"/>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2-3▲法人授权委托书</w:t>
      </w:r>
    </w:p>
    <w:p w14:paraId="6C160AAA">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highlight w:val="none"/>
        </w:rPr>
        <w:t>法人授权委托书</w:t>
      </w:r>
    </w:p>
    <w:p w14:paraId="218393D7">
      <w:pPr>
        <w:autoSpaceDN w:val="0"/>
        <w:spacing w:line="360" w:lineRule="auto"/>
        <w:rPr>
          <w:rFonts w:hint="eastAsia" w:ascii="宋体" w:hAnsi="宋体" w:eastAsia="宋体" w:cs="宋体"/>
          <w:sz w:val="28"/>
          <w:szCs w:val="28"/>
          <w:highlight w:val="none"/>
        </w:rPr>
      </w:pPr>
      <w:r>
        <w:rPr>
          <w:rFonts w:hint="eastAsia" w:ascii="宋体" w:hAnsi="宋体" w:eastAsia="宋体" w:cs="宋体"/>
          <w:b/>
          <w:color w:val="000000"/>
          <w:w w:val="90"/>
          <w:kern w:val="0"/>
          <w:sz w:val="28"/>
          <w:szCs w:val="28"/>
          <w:highlight w:val="none"/>
          <w:u w:val="single"/>
          <w:lang w:eastAsia="zh-CN"/>
        </w:rPr>
        <w:t>浙江中医药大学</w:t>
      </w:r>
      <w:r>
        <w:rPr>
          <w:rFonts w:hint="eastAsia" w:ascii="宋体" w:hAnsi="宋体" w:eastAsia="宋体" w:cs="宋体"/>
          <w:b/>
          <w:color w:val="000000"/>
          <w:w w:val="90"/>
          <w:kern w:val="0"/>
          <w:sz w:val="28"/>
          <w:szCs w:val="28"/>
          <w:highlight w:val="none"/>
          <w:u w:val="single"/>
        </w:rPr>
        <w:t>、浙江省成套招标代理有限公司：</w:t>
      </w:r>
    </w:p>
    <w:p w14:paraId="7CE9891B">
      <w:pPr>
        <w:pStyle w:val="6"/>
        <w:autoSpaceDN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我单位授权</w:t>
      </w:r>
      <w:r>
        <w:rPr>
          <w:rFonts w:hint="eastAsia" w:ascii="宋体" w:hAnsi="宋体" w:eastAsia="宋体" w:cs="宋体"/>
          <w:sz w:val="28"/>
          <w:szCs w:val="28"/>
          <w:highlight w:val="none"/>
          <w:u w:val="single"/>
        </w:rPr>
        <w:t xml:space="preserve">       （姓名、身份证号码）</w:t>
      </w:r>
      <w:r>
        <w:rPr>
          <w:rFonts w:hint="eastAsia" w:ascii="宋体" w:hAnsi="宋体" w:eastAsia="宋体" w:cs="宋体"/>
          <w:sz w:val="28"/>
          <w:szCs w:val="28"/>
          <w:highlight w:val="none"/>
        </w:rPr>
        <w:t>为全权代表，参加贵单位组织的</w:t>
      </w:r>
      <w:r>
        <w:rPr>
          <w:rFonts w:hint="eastAsia" w:hAnsi="宋体" w:cs="宋体"/>
          <w:kern w:val="0"/>
          <w:sz w:val="28"/>
          <w:szCs w:val="28"/>
          <w:highlight w:val="none"/>
          <w:u w:val="single"/>
          <w:lang w:eastAsia="zh-CN"/>
        </w:rPr>
        <w:t>浙江中医药大学Ivan Psakhye教授实验室改造项目</w:t>
      </w:r>
      <w:r>
        <w:rPr>
          <w:rFonts w:hint="eastAsia" w:ascii="宋体" w:hAnsi="宋体" w:eastAsia="宋体" w:cs="宋体"/>
          <w:kern w:val="0"/>
          <w:sz w:val="28"/>
          <w:szCs w:val="28"/>
          <w:highlight w:val="none"/>
          <w:u w:val="single"/>
        </w:rPr>
        <w:t>（项目编号：</w:t>
      </w:r>
      <w:r>
        <w:rPr>
          <w:rFonts w:hint="eastAsia" w:hAnsi="宋体" w:cs="宋体"/>
          <w:sz w:val="28"/>
          <w:szCs w:val="28"/>
          <w:highlight w:val="none"/>
          <w:u w:val="single"/>
          <w:lang w:eastAsia="zh-CN"/>
        </w:rPr>
        <w:t>CTZB-2025070039</w:t>
      </w:r>
      <w:r>
        <w:rPr>
          <w:rFonts w:hint="eastAsia" w:ascii="宋体" w:hAnsi="宋体" w:eastAsia="宋体" w:cs="宋体"/>
          <w:sz w:val="28"/>
          <w:szCs w:val="28"/>
          <w:highlight w:val="none"/>
        </w:rPr>
        <w:t>）的采购，签署本项目相关磋商响应文件并全权处理磋商活动中的一切事宜。我单位承认全权代表做出的与本项目采购活动有关的全部行为。</w:t>
      </w:r>
    </w:p>
    <w:p w14:paraId="64732F49">
      <w:pPr>
        <w:pStyle w:val="6"/>
        <w:autoSpaceDN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磋商响应供应商全称（盖单位公章）：</w:t>
      </w:r>
    </w:p>
    <w:p w14:paraId="45DC0DBF">
      <w:pPr>
        <w:pStyle w:val="6"/>
        <w:autoSpaceDN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附：</w:t>
      </w:r>
    </w:p>
    <w:p w14:paraId="08C8A7B0">
      <w:pPr>
        <w:pStyle w:val="6"/>
        <w:autoSpaceDN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全权代表姓名：</w:t>
      </w:r>
    </w:p>
    <w:p w14:paraId="214064F7">
      <w:pPr>
        <w:pStyle w:val="6"/>
        <w:autoSpaceDN w:val="0"/>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职务：          电话：</w:t>
      </w:r>
    </w:p>
    <w:p w14:paraId="52DBBAA4">
      <w:pPr>
        <w:autoSpaceDN w:val="0"/>
        <w:spacing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sz w:val="28"/>
          <w:szCs w:val="28"/>
          <w:highlight w:val="none"/>
        </w:rPr>
        <w:t>全权代表身份证扫描件</w:t>
      </w:r>
    </w:p>
    <w:p w14:paraId="6DD1084B">
      <w:pPr>
        <w:autoSpaceDN w:val="0"/>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注：法人授权其公司员工签署及参加响应的，在磋商响应文件中出具此授权委托书，并附身份证扫描件。</w:t>
      </w:r>
    </w:p>
    <w:p w14:paraId="165048C6">
      <w:pPr>
        <w:autoSpaceDN w:val="0"/>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磋商响应文件格式中所提到的供应商代表是指以上两文件确定的签署人员。</w:t>
      </w:r>
    </w:p>
    <w:p w14:paraId="7EB507C7">
      <w:pPr>
        <w:autoSpaceDN w:val="0"/>
        <w:spacing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sz w:val="28"/>
          <w:szCs w:val="28"/>
          <w:highlight w:val="none"/>
        </w:rPr>
        <w:t>如参加磋商并在磋商过程中签署文件的人员与磋商响应供应商代表不一致，须另行提供授权书。</w:t>
      </w:r>
    </w:p>
    <w:p w14:paraId="587FED90">
      <w:pPr>
        <w:autoSpaceDN w:val="0"/>
        <w:spacing w:line="360" w:lineRule="auto"/>
        <w:ind w:firstLine="560" w:firstLineChars="200"/>
        <w:rPr>
          <w:rFonts w:hint="eastAsia" w:ascii="宋体" w:hAnsi="宋体" w:eastAsia="宋体" w:cs="宋体"/>
          <w:sz w:val="28"/>
          <w:szCs w:val="28"/>
          <w:highlight w:val="none"/>
        </w:rPr>
        <w:sectPr>
          <w:footerReference r:id="rId10" w:type="first"/>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8D6265">
      <w:pPr>
        <w:pStyle w:val="4"/>
        <w:spacing w:before="120" w:after="120"/>
        <w:ind w:firstLine="240"/>
        <w:jc w:val="both"/>
        <w:rPr>
          <w:rFonts w:hint="eastAsia" w:ascii="宋体" w:hAnsi="宋体" w:eastAsia="宋体" w:cs="宋体"/>
          <w:kern w:val="0"/>
          <w:highlight w:val="none"/>
        </w:rPr>
      </w:pPr>
      <w:bookmarkStart w:id="162" w:name="_Toc358842834"/>
      <w:r>
        <w:rPr>
          <w:rFonts w:hint="eastAsia" w:ascii="宋体" w:hAnsi="宋体" w:eastAsia="宋体" w:cs="宋体"/>
          <w:bCs/>
          <w:color w:val="000000"/>
          <w:kern w:val="0"/>
          <w:szCs w:val="24"/>
          <w:highlight w:val="none"/>
        </w:rPr>
        <w:t>2-4类似项目业绩汇总表及证明材料</w:t>
      </w:r>
    </w:p>
    <w:p w14:paraId="31C7F54E">
      <w:pPr>
        <w:autoSpaceDN w:val="0"/>
        <w:spacing w:before="240" w:line="360" w:lineRule="auto"/>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0"/>
          <w:szCs w:val="44"/>
          <w:highlight w:val="none"/>
        </w:rPr>
        <w:t>类似项目业绩汇总表及证明材料</w:t>
      </w:r>
    </w:p>
    <w:p w14:paraId="454B5E18">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05D901C3">
      <w:pPr>
        <w:autoSpaceDN w:val="0"/>
        <w:spacing w:line="360" w:lineRule="auto"/>
        <w:rPr>
          <w:rFonts w:hint="eastAsia" w:ascii="宋体" w:hAnsi="宋体" w:eastAsia="宋体" w:cs="宋体"/>
          <w:color w:val="000000"/>
          <w:kern w:val="0"/>
          <w:sz w:val="24"/>
          <w:highlight w:val="none"/>
          <w:u w:val="singl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14:paraId="7BF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14:paraId="65FAFD44">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序号</w:t>
            </w:r>
          </w:p>
        </w:tc>
        <w:tc>
          <w:tcPr>
            <w:tcW w:w="1697" w:type="dxa"/>
            <w:noWrap/>
            <w:vAlign w:val="center"/>
          </w:tcPr>
          <w:p w14:paraId="4F513E50">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甲方单位</w:t>
            </w:r>
          </w:p>
        </w:tc>
        <w:tc>
          <w:tcPr>
            <w:tcW w:w="1559" w:type="dxa"/>
            <w:noWrap/>
            <w:vAlign w:val="center"/>
          </w:tcPr>
          <w:p w14:paraId="6CFE2FC7">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项目名称</w:t>
            </w:r>
          </w:p>
        </w:tc>
        <w:tc>
          <w:tcPr>
            <w:tcW w:w="1275" w:type="dxa"/>
            <w:noWrap/>
            <w:vAlign w:val="center"/>
          </w:tcPr>
          <w:p w14:paraId="2137AFE9">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合同金额</w:t>
            </w:r>
          </w:p>
        </w:tc>
        <w:tc>
          <w:tcPr>
            <w:tcW w:w="1134" w:type="dxa"/>
            <w:noWrap/>
            <w:vAlign w:val="center"/>
          </w:tcPr>
          <w:p w14:paraId="666A839E">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合同主要内容</w:t>
            </w:r>
          </w:p>
        </w:tc>
        <w:tc>
          <w:tcPr>
            <w:tcW w:w="1134" w:type="dxa"/>
            <w:noWrap/>
            <w:vAlign w:val="center"/>
          </w:tcPr>
          <w:p w14:paraId="49741A07">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合同签订时间</w:t>
            </w:r>
          </w:p>
        </w:tc>
        <w:tc>
          <w:tcPr>
            <w:tcW w:w="993" w:type="dxa"/>
            <w:noWrap/>
            <w:vAlign w:val="center"/>
          </w:tcPr>
          <w:p w14:paraId="1BF3265D">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甲方联系人</w:t>
            </w:r>
          </w:p>
        </w:tc>
        <w:tc>
          <w:tcPr>
            <w:tcW w:w="1040" w:type="dxa"/>
            <w:noWrap/>
            <w:vAlign w:val="center"/>
          </w:tcPr>
          <w:p w14:paraId="7E35701A">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甲方联系电话</w:t>
            </w:r>
          </w:p>
        </w:tc>
      </w:tr>
      <w:tr w14:paraId="555C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14:paraId="22BC4B1D">
            <w:pPr>
              <w:autoSpaceDN w:val="0"/>
              <w:jc w:val="center"/>
              <w:rPr>
                <w:rFonts w:hint="eastAsia" w:ascii="宋体" w:hAnsi="宋体" w:eastAsia="宋体" w:cs="宋体"/>
                <w:color w:val="000000"/>
                <w:sz w:val="24"/>
                <w:highlight w:val="none"/>
              </w:rPr>
            </w:pPr>
          </w:p>
        </w:tc>
        <w:tc>
          <w:tcPr>
            <w:tcW w:w="1697" w:type="dxa"/>
            <w:noWrap/>
            <w:vAlign w:val="center"/>
          </w:tcPr>
          <w:p w14:paraId="4801822B">
            <w:pPr>
              <w:autoSpaceDN w:val="0"/>
              <w:rPr>
                <w:rFonts w:hint="eastAsia" w:ascii="宋体" w:hAnsi="宋体" w:eastAsia="宋体" w:cs="宋体"/>
                <w:color w:val="000000"/>
                <w:sz w:val="24"/>
                <w:highlight w:val="none"/>
              </w:rPr>
            </w:pPr>
          </w:p>
        </w:tc>
        <w:tc>
          <w:tcPr>
            <w:tcW w:w="1559" w:type="dxa"/>
            <w:noWrap/>
            <w:vAlign w:val="center"/>
          </w:tcPr>
          <w:p w14:paraId="0B7AE01E">
            <w:pPr>
              <w:autoSpaceDN w:val="0"/>
              <w:rPr>
                <w:rFonts w:hint="eastAsia" w:ascii="宋体" w:hAnsi="宋体" w:eastAsia="宋体" w:cs="宋体"/>
                <w:color w:val="000000"/>
                <w:sz w:val="24"/>
                <w:highlight w:val="none"/>
              </w:rPr>
            </w:pPr>
          </w:p>
        </w:tc>
        <w:tc>
          <w:tcPr>
            <w:tcW w:w="1275" w:type="dxa"/>
            <w:noWrap/>
            <w:vAlign w:val="center"/>
          </w:tcPr>
          <w:p w14:paraId="6010D58E">
            <w:pPr>
              <w:autoSpaceDN w:val="0"/>
              <w:rPr>
                <w:rFonts w:hint="eastAsia" w:ascii="宋体" w:hAnsi="宋体" w:eastAsia="宋体" w:cs="宋体"/>
                <w:color w:val="000000"/>
                <w:sz w:val="24"/>
                <w:highlight w:val="none"/>
              </w:rPr>
            </w:pPr>
          </w:p>
        </w:tc>
        <w:tc>
          <w:tcPr>
            <w:tcW w:w="1134" w:type="dxa"/>
            <w:noWrap/>
            <w:vAlign w:val="center"/>
          </w:tcPr>
          <w:p w14:paraId="32CC17D3">
            <w:pPr>
              <w:autoSpaceDN w:val="0"/>
              <w:rPr>
                <w:rFonts w:hint="eastAsia" w:ascii="宋体" w:hAnsi="宋体" w:eastAsia="宋体" w:cs="宋体"/>
                <w:color w:val="000000"/>
                <w:sz w:val="24"/>
                <w:highlight w:val="none"/>
              </w:rPr>
            </w:pPr>
          </w:p>
        </w:tc>
        <w:tc>
          <w:tcPr>
            <w:tcW w:w="1134" w:type="dxa"/>
            <w:noWrap/>
            <w:vAlign w:val="center"/>
          </w:tcPr>
          <w:p w14:paraId="6852E430">
            <w:pPr>
              <w:autoSpaceDN w:val="0"/>
              <w:rPr>
                <w:rFonts w:hint="eastAsia" w:ascii="宋体" w:hAnsi="宋体" w:eastAsia="宋体" w:cs="宋体"/>
                <w:color w:val="000000"/>
                <w:sz w:val="24"/>
                <w:highlight w:val="none"/>
              </w:rPr>
            </w:pPr>
          </w:p>
        </w:tc>
        <w:tc>
          <w:tcPr>
            <w:tcW w:w="993" w:type="dxa"/>
            <w:noWrap/>
            <w:vAlign w:val="center"/>
          </w:tcPr>
          <w:p w14:paraId="5D29723D">
            <w:pPr>
              <w:autoSpaceDN w:val="0"/>
              <w:rPr>
                <w:rFonts w:hint="eastAsia" w:ascii="宋体" w:hAnsi="宋体" w:eastAsia="宋体" w:cs="宋体"/>
                <w:color w:val="000000"/>
                <w:sz w:val="24"/>
                <w:highlight w:val="none"/>
              </w:rPr>
            </w:pPr>
          </w:p>
        </w:tc>
        <w:tc>
          <w:tcPr>
            <w:tcW w:w="1040" w:type="dxa"/>
            <w:noWrap/>
            <w:vAlign w:val="center"/>
          </w:tcPr>
          <w:p w14:paraId="283DB9C0">
            <w:pPr>
              <w:autoSpaceDN w:val="0"/>
              <w:rPr>
                <w:rFonts w:hint="eastAsia" w:ascii="宋体" w:hAnsi="宋体" w:eastAsia="宋体" w:cs="宋体"/>
                <w:color w:val="000000"/>
                <w:sz w:val="24"/>
                <w:highlight w:val="none"/>
              </w:rPr>
            </w:pPr>
          </w:p>
        </w:tc>
      </w:tr>
      <w:tr w14:paraId="4167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0090BB6">
            <w:pPr>
              <w:autoSpaceDN w:val="0"/>
              <w:jc w:val="center"/>
              <w:rPr>
                <w:rFonts w:hint="eastAsia" w:ascii="宋体" w:hAnsi="宋体" w:eastAsia="宋体" w:cs="宋体"/>
                <w:color w:val="000000"/>
                <w:sz w:val="24"/>
                <w:highlight w:val="none"/>
              </w:rPr>
            </w:pPr>
          </w:p>
        </w:tc>
        <w:tc>
          <w:tcPr>
            <w:tcW w:w="1697" w:type="dxa"/>
            <w:noWrap/>
            <w:vAlign w:val="center"/>
          </w:tcPr>
          <w:p w14:paraId="3D4DBE27">
            <w:pPr>
              <w:autoSpaceDN w:val="0"/>
              <w:rPr>
                <w:rFonts w:hint="eastAsia" w:ascii="宋体" w:hAnsi="宋体" w:eastAsia="宋体" w:cs="宋体"/>
                <w:color w:val="000000"/>
                <w:sz w:val="24"/>
                <w:highlight w:val="none"/>
              </w:rPr>
            </w:pPr>
          </w:p>
        </w:tc>
        <w:tc>
          <w:tcPr>
            <w:tcW w:w="1559" w:type="dxa"/>
            <w:noWrap/>
            <w:vAlign w:val="center"/>
          </w:tcPr>
          <w:p w14:paraId="716EF99A">
            <w:pPr>
              <w:autoSpaceDN w:val="0"/>
              <w:rPr>
                <w:rFonts w:hint="eastAsia" w:ascii="宋体" w:hAnsi="宋体" w:eastAsia="宋体" w:cs="宋体"/>
                <w:color w:val="000000"/>
                <w:sz w:val="24"/>
                <w:highlight w:val="none"/>
              </w:rPr>
            </w:pPr>
          </w:p>
        </w:tc>
        <w:tc>
          <w:tcPr>
            <w:tcW w:w="1275" w:type="dxa"/>
            <w:noWrap/>
            <w:vAlign w:val="center"/>
          </w:tcPr>
          <w:p w14:paraId="0727FDDD">
            <w:pPr>
              <w:autoSpaceDN w:val="0"/>
              <w:rPr>
                <w:rFonts w:hint="eastAsia" w:ascii="宋体" w:hAnsi="宋体" w:eastAsia="宋体" w:cs="宋体"/>
                <w:color w:val="000000"/>
                <w:sz w:val="24"/>
                <w:highlight w:val="none"/>
              </w:rPr>
            </w:pPr>
          </w:p>
        </w:tc>
        <w:tc>
          <w:tcPr>
            <w:tcW w:w="1134" w:type="dxa"/>
            <w:noWrap/>
            <w:vAlign w:val="center"/>
          </w:tcPr>
          <w:p w14:paraId="5217C305">
            <w:pPr>
              <w:autoSpaceDN w:val="0"/>
              <w:rPr>
                <w:rFonts w:hint="eastAsia" w:ascii="宋体" w:hAnsi="宋体" w:eastAsia="宋体" w:cs="宋体"/>
                <w:color w:val="000000"/>
                <w:sz w:val="24"/>
                <w:highlight w:val="none"/>
              </w:rPr>
            </w:pPr>
          </w:p>
        </w:tc>
        <w:tc>
          <w:tcPr>
            <w:tcW w:w="1134" w:type="dxa"/>
            <w:noWrap/>
            <w:vAlign w:val="center"/>
          </w:tcPr>
          <w:p w14:paraId="0E199565">
            <w:pPr>
              <w:autoSpaceDN w:val="0"/>
              <w:rPr>
                <w:rFonts w:hint="eastAsia" w:ascii="宋体" w:hAnsi="宋体" w:eastAsia="宋体" w:cs="宋体"/>
                <w:color w:val="000000"/>
                <w:sz w:val="24"/>
                <w:highlight w:val="none"/>
              </w:rPr>
            </w:pPr>
          </w:p>
        </w:tc>
        <w:tc>
          <w:tcPr>
            <w:tcW w:w="993" w:type="dxa"/>
            <w:noWrap/>
            <w:vAlign w:val="center"/>
          </w:tcPr>
          <w:p w14:paraId="454DC5CC">
            <w:pPr>
              <w:autoSpaceDN w:val="0"/>
              <w:rPr>
                <w:rFonts w:hint="eastAsia" w:ascii="宋体" w:hAnsi="宋体" w:eastAsia="宋体" w:cs="宋体"/>
                <w:color w:val="000000"/>
                <w:sz w:val="24"/>
                <w:highlight w:val="none"/>
              </w:rPr>
            </w:pPr>
          </w:p>
        </w:tc>
        <w:tc>
          <w:tcPr>
            <w:tcW w:w="1040" w:type="dxa"/>
            <w:noWrap/>
            <w:vAlign w:val="center"/>
          </w:tcPr>
          <w:p w14:paraId="4EA1FCC9">
            <w:pPr>
              <w:autoSpaceDN w:val="0"/>
              <w:rPr>
                <w:rFonts w:hint="eastAsia" w:ascii="宋体" w:hAnsi="宋体" w:eastAsia="宋体" w:cs="宋体"/>
                <w:color w:val="000000"/>
                <w:sz w:val="24"/>
                <w:highlight w:val="none"/>
              </w:rPr>
            </w:pPr>
          </w:p>
        </w:tc>
      </w:tr>
      <w:tr w14:paraId="2C3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4EBFA20A">
            <w:pPr>
              <w:autoSpaceDN w:val="0"/>
              <w:jc w:val="center"/>
              <w:rPr>
                <w:rFonts w:hint="eastAsia" w:ascii="宋体" w:hAnsi="宋体" w:eastAsia="宋体" w:cs="宋体"/>
                <w:color w:val="000000"/>
                <w:sz w:val="24"/>
                <w:highlight w:val="none"/>
              </w:rPr>
            </w:pPr>
          </w:p>
        </w:tc>
        <w:tc>
          <w:tcPr>
            <w:tcW w:w="1697" w:type="dxa"/>
            <w:noWrap/>
            <w:vAlign w:val="center"/>
          </w:tcPr>
          <w:p w14:paraId="1ADF80ED">
            <w:pPr>
              <w:autoSpaceDN w:val="0"/>
              <w:rPr>
                <w:rFonts w:hint="eastAsia" w:ascii="宋体" w:hAnsi="宋体" w:eastAsia="宋体" w:cs="宋体"/>
                <w:color w:val="000000"/>
                <w:sz w:val="24"/>
                <w:highlight w:val="none"/>
              </w:rPr>
            </w:pPr>
          </w:p>
        </w:tc>
        <w:tc>
          <w:tcPr>
            <w:tcW w:w="1559" w:type="dxa"/>
            <w:noWrap/>
            <w:vAlign w:val="center"/>
          </w:tcPr>
          <w:p w14:paraId="5E520522">
            <w:pPr>
              <w:autoSpaceDN w:val="0"/>
              <w:rPr>
                <w:rFonts w:hint="eastAsia" w:ascii="宋体" w:hAnsi="宋体" w:eastAsia="宋体" w:cs="宋体"/>
                <w:color w:val="000000"/>
                <w:sz w:val="24"/>
                <w:highlight w:val="none"/>
              </w:rPr>
            </w:pPr>
          </w:p>
        </w:tc>
        <w:tc>
          <w:tcPr>
            <w:tcW w:w="1275" w:type="dxa"/>
            <w:noWrap/>
            <w:vAlign w:val="center"/>
          </w:tcPr>
          <w:p w14:paraId="0F0D16B4">
            <w:pPr>
              <w:autoSpaceDN w:val="0"/>
              <w:rPr>
                <w:rFonts w:hint="eastAsia" w:ascii="宋体" w:hAnsi="宋体" w:eastAsia="宋体" w:cs="宋体"/>
                <w:color w:val="000000"/>
                <w:sz w:val="24"/>
                <w:highlight w:val="none"/>
              </w:rPr>
            </w:pPr>
          </w:p>
        </w:tc>
        <w:tc>
          <w:tcPr>
            <w:tcW w:w="1134" w:type="dxa"/>
            <w:noWrap/>
            <w:vAlign w:val="center"/>
          </w:tcPr>
          <w:p w14:paraId="1BAEB2D6">
            <w:pPr>
              <w:autoSpaceDN w:val="0"/>
              <w:rPr>
                <w:rFonts w:hint="eastAsia" w:ascii="宋体" w:hAnsi="宋体" w:eastAsia="宋体" w:cs="宋体"/>
                <w:color w:val="000000"/>
                <w:sz w:val="24"/>
                <w:highlight w:val="none"/>
              </w:rPr>
            </w:pPr>
          </w:p>
        </w:tc>
        <w:tc>
          <w:tcPr>
            <w:tcW w:w="1134" w:type="dxa"/>
            <w:noWrap/>
            <w:vAlign w:val="center"/>
          </w:tcPr>
          <w:p w14:paraId="6C500F76">
            <w:pPr>
              <w:autoSpaceDN w:val="0"/>
              <w:rPr>
                <w:rFonts w:hint="eastAsia" w:ascii="宋体" w:hAnsi="宋体" w:eastAsia="宋体" w:cs="宋体"/>
                <w:color w:val="000000"/>
                <w:sz w:val="24"/>
                <w:highlight w:val="none"/>
              </w:rPr>
            </w:pPr>
          </w:p>
        </w:tc>
        <w:tc>
          <w:tcPr>
            <w:tcW w:w="993" w:type="dxa"/>
            <w:noWrap/>
            <w:vAlign w:val="center"/>
          </w:tcPr>
          <w:p w14:paraId="220D0802">
            <w:pPr>
              <w:autoSpaceDN w:val="0"/>
              <w:rPr>
                <w:rFonts w:hint="eastAsia" w:ascii="宋体" w:hAnsi="宋体" w:eastAsia="宋体" w:cs="宋体"/>
                <w:color w:val="000000"/>
                <w:sz w:val="24"/>
                <w:highlight w:val="none"/>
              </w:rPr>
            </w:pPr>
          </w:p>
        </w:tc>
        <w:tc>
          <w:tcPr>
            <w:tcW w:w="1040" w:type="dxa"/>
            <w:noWrap/>
            <w:vAlign w:val="center"/>
          </w:tcPr>
          <w:p w14:paraId="49791C4C">
            <w:pPr>
              <w:autoSpaceDN w:val="0"/>
              <w:rPr>
                <w:rFonts w:hint="eastAsia" w:ascii="宋体" w:hAnsi="宋体" w:eastAsia="宋体" w:cs="宋体"/>
                <w:color w:val="000000"/>
                <w:sz w:val="24"/>
                <w:highlight w:val="none"/>
              </w:rPr>
            </w:pPr>
          </w:p>
        </w:tc>
      </w:tr>
      <w:tr w14:paraId="5E48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34B5F7E">
            <w:pPr>
              <w:autoSpaceDN w:val="0"/>
              <w:jc w:val="center"/>
              <w:rPr>
                <w:rFonts w:hint="eastAsia" w:ascii="宋体" w:hAnsi="宋体" w:eastAsia="宋体" w:cs="宋体"/>
                <w:color w:val="000000"/>
                <w:sz w:val="24"/>
                <w:highlight w:val="none"/>
              </w:rPr>
            </w:pPr>
          </w:p>
        </w:tc>
        <w:tc>
          <w:tcPr>
            <w:tcW w:w="1697" w:type="dxa"/>
            <w:noWrap/>
            <w:vAlign w:val="center"/>
          </w:tcPr>
          <w:p w14:paraId="75144BE6">
            <w:pPr>
              <w:autoSpaceDN w:val="0"/>
              <w:rPr>
                <w:rFonts w:hint="eastAsia" w:ascii="宋体" w:hAnsi="宋体" w:eastAsia="宋体" w:cs="宋体"/>
                <w:color w:val="000000"/>
                <w:sz w:val="24"/>
                <w:highlight w:val="none"/>
              </w:rPr>
            </w:pPr>
          </w:p>
        </w:tc>
        <w:tc>
          <w:tcPr>
            <w:tcW w:w="1559" w:type="dxa"/>
            <w:noWrap/>
            <w:vAlign w:val="center"/>
          </w:tcPr>
          <w:p w14:paraId="75DA5607">
            <w:pPr>
              <w:autoSpaceDN w:val="0"/>
              <w:rPr>
                <w:rFonts w:hint="eastAsia" w:ascii="宋体" w:hAnsi="宋体" w:eastAsia="宋体" w:cs="宋体"/>
                <w:color w:val="000000"/>
                <w:sz w:val="24"/>
                <w:highlight w:val="none"/>
              </w:rPr>
            </w:pPr>
          </w:p>
        </w:tc>
        <w:tc>
          <w:tcPr>
            <w:tcW w:w="1275" w:type="dxa"/>
            <w:noWrap/>
            <w:vAlign w:val="center"/>
          </w:tcPr>
          <w:p w14:paraId="06594672">
            <w:pPr>
              <w:autoSpaceDN w:val="0"/>
              <w:rPr>
                <w:rFonts w:hint="eastAsia" w:ascii="宋体" w:hAnsi="宋体" w:eastAsia="宋体" w:cs="宋体"/>
                <w:color w:val="000000"/>
                <w:sz w:val="24"/>
                <w:highlight w:val="none"/>
              </w:rPr>
            </w:pPr>
          </w:p>
        </w:tc>
        <w:tc>
          <w:tcPr>
            <w:tcW w:w="1134" w:type="dxa"/>
            <w:noWrap/>
            <w:vAlign w:val="center"/>
          </w:tcPr>
          <w:p w14:paraId="5F6F4452">
            <w:pPr>
              <w:autoSpaceDN w:val="0"/>
              <w:rPr>
                <w:rFonts w:hint="eastAsia" w:ascii="宋体" w:hAnsi="宋体" w:eastAsia="宋体" w:cs="宋体"/>
                <w:color w:val="000000"/>
                <w:sz w:val="24"/>
                <w:highlight w:val="none"/>
              </w:rPr>
            </w:pPr>
          </w:p>
        </w:tc>
        <w:tc>
          <w:tcPr>
            <w:tcW w:w="1134" w:type="dxa"/>
            <w:noWrap/>
            <w:vAlign w:val="center"/>
          </w:tcPr>
          <w:p w14:paraId="5EFC57CF">
            <w:pPr>
              <w:autoSpaceDN w:val="0"/>
              <w:rPr>
                <w:rFonts w:hint="eastAsia" w:ascii="宋体" w:hAnsi="宋体" w:eastAsia="宋体" w:cs="宋体"/>
                <w:color w:val="000000"/>
                <w:sz w:val="24"/>
                <w:highlight w:val="none"/>
              </w:rPr>
            </w:pPr>
          </w:p>
        </w:tc>
        <w:tc>
          <w:tcPr>
            <w:tcW w:w="993" w:type="dxa"/>
            <w:noWrap/>
            <w:vAlign w:val="center"/>
          </w:tcPr>
          <w:p w14:paraId="2AB4FE5B">
            <w:pPr>
              <w:autoSpaceDN w:val="0"/>
              <w:rPr>
                <w:rFonts w:hint="eastAsia" w:ascii="宋体" w:hAnsi="宋体" w:eastAsia="宋体" w:cs="宋体"/>
                <w:color w:val="000000"/>
                <w:sz w:val="24"/>
                <w:highlight w:val="none"/>
              </w:rPr>
            </w:pPr>
          </w:p>
        </w:tc>
        <w:tc>
          <w:tcPr>
            <w:tcW w:w="1040" w:type="dxa"/>
            <w:noWrap/>
            <w:vAlign w:val="center"/>
          </w:tcPr>
          <w:p w14:paraId="75640455">
            <w:pPr>
              <w:autoSpaceDN w:val="0"/>
              <w:rPr>
                <w:rFonts w:hint="eastAsia" w:ascii="宋体" w:hAnsi="宋体" w:eastAsia="宋体" w:cs="宋体"/>
                <w:color w:val="000000"/>
                <w:sz w:val="24"/>
                <w:highlight w:val="none"/>
              </w:rPr>
            </w:pPr>
          </w:p>
        </w:tc>
      </w:tr>
      <w:tr w14:paraId="518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3D2A0F7E">
            <w:pPr>
              <w:autoSpaceDN w:val="0"/>
              <w:jc w:val="center"/>
              <w:rPr>
                <w:rFonts w:hint="eastAsia" w:ascii="宋体" w:hAnsi="宋体" w:eastAsia="宋体" w:cs="宋体"/>
                <w:color w:val="000000"/>
                <w:sz w:val="24"/>
                <w:highlight w:val="none"/>
              </w:rPr>
            </w:pPr>
          </w:p>
        </w:tc>
        <w:tc>
          <w:tcPr>
            <w:tcW w:w="1697" w:type="dxa"/>
            <w:noWrap/>
            <w:vAlign w:val="center"/>
          </w:tcPr>
          <w:p w14:paraId="0B80DC0E">
            <w:pPr>
              <w:autoSpaceDN w:val="0"/>
              <w:rPr>
                <w:rFonts w:hint="eastAsia" w:ascii="宋体" w:hAnsi="宋体" w:eastAsia="宋体" w:cs="宋体"/>
                <w:color w:val="000000"/>
                <w:sz w:val="24"/>
                <w:highlight w:val="none"/>
              </w:rPr>
            </w:pPr>
          </w:p>
        </w:tc>
        <w:tc>
          <w:tcPr>
            <w:tcW w:w="1559" w:type="dxa"/>
            <w:noWrap/>
            <w:vAlign w:val="center"/>
          </w:tcPr>
          <w:p w14:paraId="77DBB50B">
            <w:pPr>
              <w:autoSpaceDN w:val="0"/>
              <w:rPr>
                <w:rFonts w:hint="eastAsia" w:ascii="宋体" w:hAnsi="宋体" w:eastAsia="宋体" w:cs="宋体"/>
                <w:color w:val="000000"/>
                <w:sz w:val="24"/>
                <w:highlight w:val="none"/>
              </w:rPr>
            </w:pPr>
          </w:p>
        </w:tc>
        <w:tc>
          <w:tcPr>
            <w:tcW w:w="1275" w:type="dxa"/>
            <w:noWrap/>
            <w:vAlign w:val="center"/>
          </w:tcPr>
          <w:p w14:paraId="71E04760">
            <w:pPr>
              <w:autoSpaceDN w:val="0"/>
              <w:rPr>
                <w:rFonts w:hint="eastAsia" w:ascii="宋体" w:hAnsi="宋体" w:eastAsia="宋体" w:cs="宋体"/>
                <w:color w:val="000000"/>
                <w:sz w:val="24"/>
                <w:highlight w:val="none"/>
              </w:rPr>
            </w:pPr>
          </w:p>
        </w:tc>
        <w:tc>
          <w:tcPr>
            <w:tcW w:w="1134" w:type="dxa"/>
            <w:noWrap/>
            <w:vAlign w:val="center"/>
          </w:tcPr>
          <w:p w14:paraId="7C8F252C">
            <w:pPr>
              <w:autoSpaceDN w:val="0"/>
              <w:rPr>
                <w:rFonts w:hint="eastAsia" w:ascii="宋体" w:hAnsi="宋体" w:eastAsia="宋体" w:cs="宋体"/>
                <w:color w:val="000000"/>
                <w:sz w:val="24"/>
                <w:highlight w:val="none"/>
              </w:rPr>
            </w:pPr>
          </w:p>
        </w:tc>
        <w:tc>
          <w:tcPr>
            <w:tcW w:w="1134" w:type="dxa"/>
            <w:noWrap/>
            <w:vAlign w:val="center"/>
          </w:tcPr>
          <w:p w14:paraId="3C319DB2">
            <w:pPr>
              <w:autoSpaceDN w:val="0"/>
              <w:rPr>
                <w:rFonts w:hint="eastAsia" w:ascii="宋体" w:hAnsi="宋体" w:eastAsia="宋体" w:cs="宋体"/>
                <w:color w:val="000000"/>
                <w:sz w:val="24"/>
                <w:highlight w:val="none"/>
              </w:rPr>
            </w:pPr>
          </w:p>
        </w:tc>
        <w:tc>
          <w:tcPr>
            <w:tcW w:w="993" w:type="dxa"/>
            <w:noWrap/>
            <w:vAlign w:val="center"/>
          </w:tcPr>
          <w:p w14:paraId="1A74CD40">
            <w:pPr>
              <w:autoSpaceDN w:val="0"/>
              <w:rPr>
                <w:rFonts w:hint="eastAsia" w:ascii="宋体" w:hAnsi="宋体" w:eastAsia="宋体" w:cs="宋体"/>
                <w:color w:val="000000"/>
                <w:sz w:val="24"/>
                <w:highlight w:val="none"/>
              </w:rPr>
            </w:pPr>
          </w:p>
        </w:tc>
        <w:tc>
          <w:tcPr>
            <w:tcW w:w="1040" w:type="dxa"/>
            <w:noWrap/>
            <w:vAlign w:val="center"/>
          </w:tcPr>
          <w:p w14:paraId="42A6FEE8">
            <w:pPr>
              <w:autoSpaceDN w:val="0"/>
              <w:rPr>
                <w:rFonts w:hint="eastAsia" w:ascii="宋体" w:hAnsi="宋体" w:eastAsia="宋体" w:cs="宋体"/>
                <w:color w:val="000000"/>
                <w:sz w:val="24"/>
                <w:highlight w:val="none"/>
              </w:rPr>
            </w:pPr>
          </w:p>
        </w:tc>
      </w:tr>
      <w:tr w14:paraId="6D03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1BD3E244">
            <w:pPr>
              <w:autoSpaceDN w:val="0"/>
              <w:jc w:val="center"/>
              <w:rPr>
                <w:rFonts w:hint="eastAsia" w:ascii="宋体" w:hAnsi="宋体" w:eastAsia="宋体" w:cs="宋体"/>
                <w:color w:val="000000"/>
                <w:sz w:val="24"/>
                <w:highlight w:val="none"/>
              </w:rPr>
            </w:pPr>
          </w:p>
        </w:tc>
        <w:tc>
          <w:tcPr>
            <w:tcW w:w="1697" w:type="dxa"/>
            <w:noWrap/>
            <w:vAlign w:val="center"/>
          </w:tcPr>
          <w:p w14:paraId="31B0873E">
            <w:pPr>
              <w:autoSpaceDN w:val="0"/>
              <w:rPr>
                <w:rFonts w:hint="eastAsia" w:ascii="宋体" w:hAnsi="宋体" w:eastAsia="宋体" w:cs="宋体"/>
                <w:color w:val="000000"/>
                <w:sz w:val="24"/>
                <w:highlight w:val="none"/>
              </w:rPr>
            </w:pPr>
          </w:p>
        </w:tc>
        <w:tc>
          <w:tcPr>
            <w:tcW w:w="1559" w:type="dxa"/>
            <w:noWrap/>
            <w:vAlign w:val="center"/>
          </w:tcPr>
          <w:p w14:paraId="2F75E006">
            <w:pPr>
              <w:autoSpaceDN w:val="0"/>
              <w:rPr>
                <w:rFonts w:hint="eastAsia" w:ascii="宋体" w:hAnsi="宋体" w:eastAsia="宋体" w:cs="宋体"/>
                <w:color w:val="000000"/>
                <w:sz w:val="24"/>
                <w:highlight w:val="none"/>
              </w:rPr>
            </w:pPr>
          </w:p>
        </w:tc>
        <w:tc>
          <w:tcPr>
            <w:tcW w:w="1275" w:type="dxa"/>
            <w:noWrap/>
            <w:vAlign w:val="center"/>
          </w:tcPr>
          <w:p w14:paraId="6CDFE8BC">
            <w:pPr>
              <w:autoSpaceDN w:val="0"/>
              <w:rPr>
                <w:rFonts w:hint="eastAsia" w:ascii="宋体" w:hAnsi="宋体" w:eastAsia="宋体" w:cs="宋体"/>
                <w:color w:val="000000"/>
                <w:sz w:val="24"/>
                <w:highlight w:val="none"/>
              </w:rPr>
            </w:pPr>
          </w:p>
        </w:tc>
        <w:tc>
          <w:tcPr>
            <w:tcW w:w="1134" w:type="dxa"/>
            <w:noWrap/>
            <w:vAlign w:val="center"/>
          </w:tcPr>
          <w:p w14:paraId="2985FC6E">
            <w:pPr>
              <w:autoSpaceDN w:val="0"/>
              <w:rPr>
                <w:rFonts w:hint="eastAsia" w:ascii="宋体" w:hAnsi="宋体" w:eastAsia="宋体" w:cs="宋体"/>
                <w:color w:val="000000"/>
                <w:sz w:val="24"/>
                <w:highlight w:val="none"/>
              </w:rPr>
            </w:pPr>
          </w:p>
        </w:tc>
        <w:tc>
          <w:tcPr>
            <w:tcW w:w="1134" w:type="dxa"/>
            <w:noWrap/>
            <w:vAlign w:val="center"/>
          </w:tcPr>
          <w:p w14:paraId="095EC4BD">
            <w:pPr>
              <w:autoSpaceDN w:val="0"/>
              <w:rPr>
                <w:rFonts w:hint="eastAsia" w:ascii="宋体" w:hAnsi="宋体" w:eastAsia="宋体" w:cs="宋体"/>
                <w:color w:val="000000"/>
                <w:sz w:val="24"/>
                <w:highlight w:val="none"/>
              </w:rPr>
            </w:pPr>
          </w:p>
        </w:tc>
        <w:tc>
          <w:tcPr>
            <w:tcW w:w="993" w:type="dxa"/>
            <w:noWrap/>
            <w:vAlign w:val="center"/>
          </w:tcPr>
          <w:p w14:paraId="2882E099">
            <w:pPr>
              <w:autoSpaceDN w:val="0"/>
              <w:rPr>
                <w:rFonts w:hint="eastAsia" w:ascii="宋体" w:hAnsi="宋体" w:eastAsia="宋体" w:cs="宋体"/>
                <w:color w:val="000000"/>
                <w:sz w:val="24"/>
                <w:highlight w:val="none"/>
              </w:rPr>
            </w:pPr>
          </w:p>
        </w:tc>
        <w:tc>
          <w:tcPr>
            <w:tcW w:w="1040" w:type="dxa"/>
            <w:noWrap/>
            <w:vAlign w:val="center"/>
          </w:tcPr>
          <w:p w14:paraId="43F73BDA">
            <w:pPr>
              <w:autoSpaceDN w:val="0"/>
              <w:rPr>
                <w:rFonts w:hint="eastAsia" w:ascii="宋体" w:hAnsi="宋体" w:eastAsia="宋体" w:cs="宋体"/>
                <w:color w:val="000000"/>
                <w:sz w:val="24"/>
                <w:highlight w:val="none"/>
              </w:rPr>
            </w:pPr>
          </w:p>
        </w:tc>
      </w:tr>
      <w:tr w14:paraId="4AB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14:paraId="32EC8F19">
            <w:pPr>
              <w:autoSpaceDN w:val="0"/>
              <w:jc w:val="center"/>
              <w:rPr>
                <w:rFonts w:hint="eastAsia" w:ascii="宋体" w:hAnsi="宋体" w:eastAsia="宋体" w:cs="宋体"/>
                <w:color w:val="000000"/>
                <w:sz w:val="24"/>
                <w:highlight w:val="none"/>
              </w:rPr>
            </w:pPr>
          </w:p>
        </w:tc>
        <w:tc>
          <w:tcPr>
            <w:tcW w:w="1697" w:type="dxa"/>
            <w:noWrap/>
            <w:vAlign w:val="center"/>
          </w:tcPr>
          <w:p w14:paraId="5F012D59">
            <w:pPr>
              <w:autoSpaceDN w:val="0"/>
              <w:rPr>
                <w:rFonts w:hint="eastAsia" w:ascii="宋体" w:hAnsi="宋体" w:eastAsia="宋体" w:cs="宋体"/>
                <w:color w:val="000000"/>
                <w:sz w:val="24"/>
                <w:highlight w:val="none"/>
              </w:rPr>
            </w:pPr>
          </w:p>
        </w:tc>
        <w:tc>
          <w:tcPr>
            <w:tcW w:w="1559" w:type="dxa"/>
            <w:noWrap/>
            <w:vAlign w:val="center"/>
          </w:tcPr>
          <w:p w14:paraId="3B315281">
            <w:pPr>
              <w:autoSpaceDN w:val="0"/>
              <w:rPr>
                <w:rFonts w:hint="eastAsia" w:ascii="宋体" w:hAnsi="宋体" w:eastAsia="宋体" w:cs="宋体"/>
                <w:color w:val="000000"/>
                <w:sz w:val="24"/>
                <w:highlight w:val="none"/>
              </w:rPr>
            </w:pPr>
          </w:p>
        </w:tc>
        <w:tc>
          <w:tcPr>
            <w:tcW w:w="1275" w:type="dxa"/>
            <w:noWrap/>
            <w:vAlign w:val="center"/>
          </w:tcPr>
          <w:p w14:paraId="73AB35A5">
            <w:pPr>
              <w:autoSpaceDN w:val="0"/>
              <w:rPr>
                <w:rFonts w:hint="eastAsia" w:ascii="宋体" w:hAnsi="宋体" w:eastAsia="宋体" w:cs="宋体"/>
                <w:color w:val="000000"/>
                <w:sz w:val="24"/>
                <w:highlight w:val="none"/>
              </w:rPr>
            </w:pPr>
          </w:p>
        </w:tc>
        <w:tc>
          <w:tcPr>
            <w:tcW w:w="1134" w:type="dxa"/>
            <w:noWrap/>
            <w:vAlign w:val="center"/>
          </w:tcPr>
          <w:p w14:paraId="14C3F058">
            <w:pPr>
              <w:autoSpaceDN w:val="0"/>
              <w:rPr>
                <w:rFonts w:hint="eastAsia" w:ascii="宋体" w:hAnsi="宋体" w:eastAsia="宋体" w:cs="宋体"/>
                <w:color w:val="000000"/>
                <w:sz w:val="24"/>
                <w:highlight w:val="none"/>
              </w:rPr>
            </w:pPr>
          </w:p>
        </w:tc>
        <w:tc>
          <w:tcPr>
            <w:tcW w:w="1134" w:type="dxa"/>
            <w:noWrap/>
            <w:vAlign w:val="center"/>
          </w:tcPr>
          <w:p w14:paraId="59956ADD">
            <w:pPr>
              <w:autoSpaceDN w:val="0"/>
              <w:rPr>
                <w:rFonts w:hint="eastAsia" w:ascii="宋体" w:hAnsi="宋体" w:eastAsia="宋体" w:cs="宋体"/>
                <w:color w:val="000000"/>
                <w:sz w:val="24"/>
                <w:highlight w:val="none"/>
              </w:rPr>
            </w:pPr>
          </w:p>
        </w:tc>
        <w:tc>
          <w:tcPr>
            <w:tcW w:w="993" w:type="dxa"/>
            <w:noWrap/>
            <w:vAlign w:val="center"/>
          </w:tcPr>
          <w:p w14:paraId="74A43DD0">
            <w:pPr>
              <w:autoSpaceDN w:val="0"/>
              <w:rPr>
                <w:rFonts w:hint="eastAsia" w:ascii="宋体" w:hAnsi="宋体" w:eastAsia="宋体" w:cs="宋体"/>
                <w:color w:val="000000"/>
                <w:sz w:val="24"/>
                <w:highlight w:val="none"/>
              </w:rPr>
            </w:pPr>
          </w:p>
        </w:tc>
        <w:tc>
          <w:tcPr>
            <w:tcW w:w="1040" w:type="dxa"/>
            <w:noWrap/>
            <w:vAlign w:val="center"/>
          </w:tcPr>
          <w:p w14:paraId="5884186F">
            <w:pPr>
              <w:autoSpaceDN w:val="0"/>
              <w:rPr>
                <w:rFonts w:hint="eastAsia" w:ascii="宋体" w:hAnsi="宋体" w:eastAsia="宋体" w:cs="宋体"/>
                <w:color w:val="000000"/>
                <w:sz w:val="24"/>
                <w:highlight w:val="none"/>
              </w:rPr>
            </w:pPr>
          </w:p>
        </w:tc>
      </w:tr>
    </w:tbl>
    <w:p w14:paraId="66217FD5">
      <w:pPr>
        <w:autoSpaceDN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w:t>
      </w:r>
    </w:p>
    <w:p w14:paraId="2ED16273">
      <w:pPr>
        <w:autoSpaceDN w:val="0"/>
        <w:spacing w:line="360" w:lineRule="auto"/>
        <w:rPr>
          <w:rFonts w:hint="eastAsia" w:ascii="宋体" w:hAnsi="宋体" w:eastAsia="宋体" w:cs="宋体"/>
          <w:b/>
          <w:color w:val="000000"/>
          <w:w w:val="90"/>
          <w:kern w:val="0"/>
          <w:sz w:val="24"/>
          <w:highlight w:val="none"/>
        </w:rPr>
      </w:pPr>
      <w:r>
        <w:rPr>
          <w:rFonts w:hint="eastAsia" w:ascii="宋体" w:hAnsi="宋体" w:eastAsia="宋体" w:cs="宋体"/>
          <w:b/>
          <w:color w:val="000000"/>
          <w:sz w:val="24"/>
          <w:highlight w:val="none"/>
        </w:rPr>
        <w:t>（1）后附证明材料，</w:t>
      </w:r>
      <w:r>
        <w:rPr>
          <w:rFonts w:hint="eastAsia" w:ascii="宋体" w:hAnsi="宋体" w:eastAsia="宋体" w:cs="宋体"/>
          <w:b/>
          <w:color w:val="000000"/>
          <w:w w:val="90"/>
          <w:kern w:val="0"/>
          <w:sz w:val="24"/>
          <w:highlight w:val="none"/>
        </w:rPr>
        <w:t>证明材料详见评审办法要求。</w:t>
      </w:r>
    </w:p>
    <w:p w14:paraId="3770506C">
      <w:pPr>
        <w:autoSpaceDN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（2）没有类似业绩的，此表可以不提供。</w:t>
      </w:r>
    </w:p>
    <w:p w14:paraId="303C9D09">
      <w:pPr>
        <w:autoSpaceDN w:val="0"/>
        <w:spacing w:line="360" w:lineRule="auto"/>
        <w:rPr>
          <w:rFonts w:hint="eastAsia" w:ascii="宋体" w:hAnsi="宋体" w:eastAsia="宋体" w:cs="宋体"/>
          <w:color w:val="000000"/>
          <w:sz w:val="24"/>
          <w:highlight w:val="none"/>
        </w:rPr>
      </w:pPr>
    </w:p>
    <w:p w14:paraId="210AE7F2">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1186AA8A">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0D76FA9B">
      <w:pPr>
        <w:autoSpaceDE w:val="0"/>
        <w:autoSpaceDN w:val="0"/>
        <w:adjustRightInd w:val="0"/>
        <w:spacing w:line="360" w:lineRule="auto"/>
        <w:ind w:firstLine="420"/>
        <w:jc w:val="left"/>
        <w:rPr>
          <w:rFonts w:hint="eastAsia" w:ascii="宋体" w:hAnsi="宋体" w:eastAsia="宋体" w:cs="宋体"/>
          <w:color w:val="000000"/>
          <w:w w:val="90"/>
          <w:kern w:val="0"/>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336B5F">
      <w:pPr>
        <w:pStyle w:val="4"/>
        <w:spacing w:before="120" w:after="120"/>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w:t>
      </w:r>
      <w:r>
        <w:rPr>
          <w:rFonts w:hint="eastAsia" w:ascii="宋体" w:hAnsi="宋体" w:eastAsia="宋体" w:cs="宋体"/>
          <w:bCs/>
          <w:color w:val="000000"/>
          <w:kern w:val="0"/>
          <w:szCs w:val="24"/>
          <w:highlight w:val="none"/>
          <w:lang w:val="en-US" w:eastAsia="zh-CN"/>
        </w:rPr>
        <w:t>5</w:t>
      </w:r>
      <w:r>
        <w:rPr>
          <w:rFonts w:hint="eastAsia" w:ascii="宋体" w:hAnsi="宋体" w:eastAsia="宋体" w:cs="宋体"/>
          <w:bCs/>
          <w:color w:val="000000"/>
          <w:kern w:val="0"/>
          <w:szCs w:val="24"/>
          <w:highlight w:val="none"/>
        </w:rPr>
        <w:t xml:space="preserve"> 商务技术偏离表</w:t>
      </w:r>
    </w:p>
    <w:p w14:paraId="01C61E13">
      <w:pPr>
        <w:autoSpaceDN w:val="0"/>
        <w:spacing w:line="360" w:lineRule="auto"/>
        <w:jc w:val="center"/>
        <w:rPr>
          <w:rFonts w:hint="eastAsia" w:ascii="宋体" w:hAnsi="宋体" w:eastAsia="宋体" w:cs="宋体"/>
          <w:b/>
          <w:color w:val="000000"/>
          <w:kern w:val="0"/>
          <w:sz w:val="44"/>
          <w:szCs w:val="28"/>
          <w:highlight w:val="none"/>
        </w:rPr>
      </w:pPr>
      <w:r>
        <w:rPr>
          <w:rFonts w:hint="eastAsia" w:ascii="宋体" w:hAnsi="宋体" w:eastAsia="宋体" w:cs="宋体"/>
          <w:b/>
          <w:color w:val="000000"/>
          <w:kern w:val="0"/>
          <w:sz w:val="44"/>
          <w:szCs w:val="28"/>
          <w:highlight w:val="none"/>
        </w:rPr>
        <w:t>商务技术偏离表</w:t>
      </w:r>
    </w:p>
    <w:p w14:paraId="453F6DC7">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606E274F">
      <w:pPr>
        <w:autoSpaceDN w:val="0"/>
        <w:spacing w:line="360" w:lineRule="auto"/>
        <w:rPr>
          <w:rFonts w:hint="eastAsia" w:ascii="宋体" w:hAnsi="宋体" w:eastAsia="宋体" w:cs="宋体"/>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3AD2D0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14:paraId="17688438">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序号</w:t>
            </w:r>
          </w:p>
        </w:tc>
        <w:tc>
          <w:tcPr>
            <w:tcW w:w="2565" w:type="dxa"/>
            <w:tcBorders>
              <w:top w:val="single" w:color="auto" w:sz="2" w:space="0"/>
            </w:tcBorders>
            <w:noWrap/>
            <w:vAlign w:val="center"/>
          </w:tcPr>
          <w:p w14:paraId="115389DB">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磋商文件要求</w:t>
            </w:r>
          </w:p>
        </w:tc>
        <w:tc>
          <w:tcPr>
            <w:tcW w:w="2606" w:type="dxa"/>
            <w:tcBorders>
              <w:top w:val="single" w:color="auto" w:sz="2" w:space="0"/>
            </w:tcBorders>
            <w:noWrap/>
            <w:vAlign w:val="center"/>
          </w:tcPr>
          <w:p w14:paraId="0B209B34">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响应情况</w:t>
            </w:r>
          </w:p>
        </w:tc>
        <w:tc>
          <w:tcPr>
            <w:tcW w:w="1437" w:type="dxa"/>
            <w:tcBorders>
              <w:top w:val="single" w:color="auto" w:sz="2" w:space="0"/>
            </w:tcBorders>
            <w:noWrap/>
            <w:vAlign w:val="center"/>
          </w:tcPr>
          <w:p w14:paraId="1B1AF236">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正/负偏离</w:t>
            </w:r>
          </w:p>
        </w:tc>
        <w:tc>
          <w:tcPr>
            <w:tcW w:w="1857" w:type="dxa"/>
            <w:tcBorders>
              <w:top w:val="single" w:color="auto" w:sz="2" w:space="0"/>
              <w:right w:val="single" w:color="auto" w:sz="2" w:space="0"/>
            </w:tcBorders>
            <w:noWrap/>
            <w:vAlign w:val="center"/>
          </w:tcPr>
          <w:p w14:paraId="4826D98F">
            <w:pPr>
              <w:autoSpaceDN w:val="0"/>
              <w:spacing w:line="400" w:lineRule="exact"/>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理由</w:t>
            </w:r>
          </w:p>
        </w:tc>
      </w:tr>
      <w:tr w14:paraId="473142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2EEE53D7">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1</w:t>
            </w:r>
          </w:p>
        </w:tc>
        <w:tc>
          <w:tcPr>
            <w:tcW w:w="2565" w:type="dxa"/>
            <w:noWrap/>
            <w:vAlign w:val="center"/>
          </w:tcPr>
          <w:p w14:paraId="4A9792FF">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1C4D2DD8">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19D678E8">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399A2637">
            <w:pPr>
              <w:autoSpaceDN w:val="0"/>
              <w:spacing w:line="400" w:lineRule="exact"/>
              <w:jc w:val="center"/>
              <w:rPr>
                <w:rFonts w:hint="eastAsia" w:ascii="宋体" w:hAnsi="宋体" w:eastAsia="宋体" w:cs="宋体"/>
                <w:bCs/>
                <w:color w:val="000000"/>
                <w:kern w:val="0"/>
                <w:sz w:val="24"/>
                <w:highlight w:val="none"/>
              </w:rPr>
            </w:pPr>
          </w:p>
        </w:tc>
      </w:tr>
      <w:tr w14:paraId="69C3A8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DF63416">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2</w:t>
            </w:r>
          </w:p>
        </w:tc>
        <w:tc>
          <w:tcPr>
            <w:tcW w:w="2565" w:type="dxa"/>
            <w:noWrap/>
            <w:vAlign w:val="center"/>
          </w:tcPr>
          <w:p w14:paraId="460B17D4">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663BD9E5">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04B32640">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72F5083B">
            <w:pPr>
              <w:autoSpaceDN w:val="0"/>
              <w:spacing w:line="400" w:lineRule="exact"/>
              <w:jc w:val="center"/>
              <w:rPr>
                <w:rFonts w:hint="eastAsia" w:ascii="宋体" w:hAnsi="宋体" w:eastAsia="宋体" w:cs="宋体"/>
                <w:bCs/>
                <w:color w:val="000000"/>
                <w:kern w:val="0"/>
                <w:sz w:val="24"/>
                <w:highlight w:val="none"/>
              </w:rPr>
            </w:pPr>
          </w:p>
        </w:tc>
      </w:tr>
      <w:tr w14:paraId="78737C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2D52770">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3</w:t>
            </w:r>
          </w:p>
        </w:tc>
        <w:tc>
          <w:tcPr>
            <w:tcW w:w="2565" w:type="dxa"/>
            <w:noWrap/>
            <w:vAlign w:val="center"/>
          </w:tcPr>
          <w:p w14:paraId="1F944AA5">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77055A52">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08B13DE7">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249DB89E">
            <w:pPr>
              <w:autoSpaceDN w:val="0"/>
              <w:spacing w:line="400" w:lineRule="exact"/>
              <w:jc w:val="center"/>
              <w:rPr>
                <w:rFonts w:hint="eastAsia" w:ascii="宋体" w:hAnsi="宋体" w:eastAsia="宋体" w:cs="宋体"/>
                <w:bCs/>
                <w:color w:val="000000"/>
                <w:kern w:val="0"/>
                <w:sz w:val="24"/>
                <w:highlight w:val="none"/>
              </w:rPr>
            </w:pPr>
          </w:p>
        </w:tc>
      </w:tr>
      <w:tr w14:paraId="721237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51E81860">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3B336ECC">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66ACAFF9">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11FDBD8E">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5AF129C8">
            <w:pPr>
              <w:autoSpaceDN w:val="0"/>
              <w:spacing w:line="400" w:lineRule="exact"/>
              <w:jc w:val="center"/>
              <w:rPr>
                <w:rFonts w:hint="eastAsia" w:ascii="宋体" w:hAnsi="宋体" w:eastAsia="宋体" w:cs="宋体"/>
                <w:bCs/>
                <w:color w:val="000000"/>
                <w:kern w:val="0"/>
                <w:sz w:val="24"/>
                <w:highlight w:val="none"/>
              </w:rPr>
            </w:pPr>
          </w:p>
        </w:tc>
      </w:tr>
      <w:tr w14:paraId="26A99E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7D423A1">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12345540">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01592B19">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1C9775DC">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78B3929F">
            <w:pPr>
              <w:autoSpaceDN w:val="0"/>
              <w:spacing w:line="400" w:lineRule="exact"/>
              <w:jc w:val="center"/>
              <w:rPr>
                <w:rFonts w:hint="eastAsia" w:ascii="宋体" w:hAnsi="宋体" w:eastAsia="宋体" w:cs="宋体"/>
                <w:bCs/>
                <w:color w:val="000000"/>
                <w:kern w:val="0"/>
                <w:sz w:val="24"/>
                <w:highlight w:val="none"/>
              </w:rPr>
            </w:pPr>
          </w:p>
        </w:tc>
      </w:tr>
      <w:tr w14:paraId="631C1F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CDC1DFB">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3A566CDA">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34C4C802">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5A956EC0">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72B5A0AB">
            <w:pPr>
              <w:autoSpaceDN w:val="0"/>
              <w:spacing w:line="400" w:lineRule="exact"/>
              <w:jc w:val="center"/>
              <w:rPr>
                <w:rFonts w:hint="eastAsia" w:ascii="宋体" w:hAnsi="宋体" w:eastAsia="宋体" w:cs="宋体"/>
                <w:bCs/>
                <w:color w:val="000000"/>
                <w:kern w:val="0"/>
                <w:sz w:val="24"/>
                <w:highlight w:val="none"/>
              </w:rPr>
            </w:pPr>
          </w:p>
        </w:tc>
      </w:tr>
      <w:tr w14:paraId="4398FA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631A1C99">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129808DA">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1175C429">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2E22BACB">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0D7868C1">
            <w:pPr>
              <w:autoSpaceDN w:val="0"/>
              <w:spacing w:line="400" w:lineRule="exact"/>
              <w:jc w:val="center"/>
              <w:rPr>
                <w:rFonts w:hint="eastAsia" w:ascii="宋体" w:hAnsi="宋体" w:eastAsia="宋体" w:cs="宋体"/>
                <w:bCs/>
                <w:color w:val="000000"/>
                <w:kern w:val="0"/>
                <w:sz w:val="24"/>
                <w:highlight w:val="none"/>
              </w:rPr>
            </w:pPr>
          </w:p>
        </w:tc>
      </w:tr>
      <w:tr w14:paraId="7658E4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C84CEF7">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28555E23">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72B81E83">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5586A7E6">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3D4F487F">
            <w:pPr>
              <w:autoSpaceDN w:val="0"/>
              <w:spacing w:line="400" w:lineRule="exact"/>
              <w:jc w:val="center"/>
              <w:rPr>
                <w:rFonts w:hint="eastAsia" w:ascii="宋体" w:hAnsi="宋体" w:eastAsia="宋体" w:cs="宋体"/>
                <w:bCs/>
                <w:color w:val="000000"/>
                <w:kern w:val="0"/>
                <w:sz w:val="24"/>
                <w:highlight w:val="none"/>
              </w:rPr>
            </w:pPr>
          </w:p>
        </w:tc>
      </w:tr>
      <w:tr w14:paraId="2BF0B2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54C3314">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noWrap/>
            <w:vAlign w:val="center"/>
          </w:tcPr>
          <w:p w14:paraId="19F32026">
            <w:pPr>
              <w:autoSpaceDN w:val="0"/>
              <w:spacing w:line="400" w:lineRule="exact"/>
              <w:jc w:val="center"/>
              <w:rPr>
                <w:rFonts w:hint="eastAsia" w:ascii="宋体" w:hAnsi="宋体" w:eastAsia="宋体" w:cs="宋体"/>
                <w:bCs/>
                <w:color w:val="000000"/>
                <w:kern w:val="0"/>
                <w:sz w:val="24"/>
                <w:highlight w:val="none"/>
              </w:rPr>
            </w:pPr>
          </w:p>
        </w:tc>
        <w:tc>
          <w:tcPr>
            <w:tcW w:w="2606" w:type="dxa"/>
            <w:noWrap/>
            <w:vAlign w:val="center"/>
          </w:tcPr>
          <w:p w14:paraId="1222541A">
            <w:pPr>
              <w:autoSpaceDN w:val="0"/>
              <w:spacing w:line="400" w:lineRule="exact"/>
              <w:jc w:val="center"/>
              <w:rPr>
                <w:rFonts w:hint="eastAsia" w:ascii="宋体" w:hAnsi="宋体" w:eastAsia="宋体" w:cs="宋体"/>
                <w:bCs/>
                <w:color w:val="000000"/>
                <w:kern w:val="0"/>
                <w:sz w:val="24"/>
                <w:highlight w:val="none"/>
              </w:rPr>
            </w:pPr>
          </w:p>
        </w:tc>
        <w:tc>
          <w:tcPr>
            <w:tcW w:w="1437" w:type="dxa"/>
            <w:noWrap/>
            <w:vAlign w:val="center"/>
          </w:tcPr>
          <w:p w14:paraId="71123016">
            <w:pPr>
              <w:autoSpaceDN w:val="0"/>
              <w:spacing w:line="400" w:lineRule="exact"/>
              <w:jc w:val="center"/>
              <w:rPr>
                <w:rFonts w:hint="eastAsia" w:ascii="宋体" w:hAnsi="宋体" w:eastAsia="宋体" w:cs="宋体"/>
                <w:bCs/>
                <w:color w:val="000000"/>
                <w:kern w:val="0"/>
                <w:sz w:val="24"/>
                <w:highlight w:val="none"/>
              </w:rPr>
            </w:pPr>
          </w:p>
        </w:tc>
        <w:tc>
          <w:tcPr>
            <w:tcW w:w="1857" w:type="dxa"/>
            <w:tcBorders>
              <w:right w:val="single" w:color="auto" w:sz="2" w:space="0"/>
            </w:tcBorders>
            <w:noWrap/>
            <w:vAlign w:val="center"/>
          </w:tcPr>
          <w:p w14:paraId="034732DD">
            <w:pPr>
              <w:autoSpaceDN w:val="0"/>
              <w:spacing w:line="400" w:lineRule="exact"/>
              <w:jc w:val="center"/>
              <w:rPr>
                <w:rFonts w:hint="eastAsia" w:ascii="宋体" w:hAnsi="宋体" w:eastAsia="宋体" w:cs="宋体"/>
                <w:bCs/>
                <w:color w:val="000000"/>
                <w:kern w:val="0"/>
                <w:sz w:val="24"/>
                <w:highlight w:val="none"/>
              </w:rPr>
            </w:pPr>
          </w:p>
        </w:tc>
      </w:tr>
      <w:tr w14:paraId="2017F3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14:paraId="2272F2EB">
            <w:pPr>
              <w:autoSpaceDN w:val="0"/>
              <w:spacing w:line="400" w:lineRule="exact"/>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p>
        </w:tc>
        <w:tc>
          <w:tcPr>
            <w:tcW w:w="2565" w:type="dxa"/>
            <w:tcBorders>
              <w:bottom w:val="single" w:color="auto" w:sz="2" w:space="0"/>
            </w:tcBorders>
            <w:noWrap/>
            <w:vAlign w:val="center"/>
          </w:tcPr>
          <w:p w14:paraId="32692600">
            <w:pPr>
              <w:autoSpaceDN w:val="0"/>
              <w:spacing w:line="400" w:lineRule="exact"/>
              <w:jc w:val="center"/>
              <w:rPr>
                <w:rFonts w:hint="eastAsia" w:ascii="宋体" w:hAnsi="宋体" w:eastAsia="宋体" w:cs="宋体"/>
                <w:bCs/>
                <w:color w:val="000000"/>
                <w:kern w:val="0"/>
                <w:sz w:val="24"/>
                <w:highlight w:val="none"/>
              </w:rPr>
            </w:pPr>
          </w:p>
        </w:tc>
        <w:tc>
          <w:tcPr>
            <w:tcW w:w="2606" w:type="dxa"/>
            <w:tcBorders>
              <w:bottom w:val="single" w:color="auto" w:sz="2" w:space="0"/>
            </w:tcBorders>
            <w:noWrap/>
            <w:vAlign w:val="center"/>
          </w:tcPr>
          <w:p w14:paraId="41DB8572">
            <w:pPr>
              <w:autoSpaceDN w:val="0"/>
              <w:spacing w:line="400" w:lineRule="exact"/>
              <w:jc w:val="center"/>
              <w:rPr>
                <w:rFonts w:hint="eastAsia" w:ascii="宋体" w:hAnsi="宋体" w:eastAsia="宋体" w:cs="宋体"/>
                <w:bCs/>
                <w:color w:val="000000"/>
                <w:kern w:val="0"/>
                <w:sz w:val="24"/>
                <w:highlight w:val="none"/>
              </w:rPr>
            </w:pPr>
          </w:p>
        </w:tc>
        <w:tc>
          <w:tcPr>
            <w:tcW w:w="1437" w:type="dxa"/>
            <w:tcBorders>
              <w:bottom w:val="single" w:color="auto" w:sz="2" w:space="0"/>
            </w:tcBorders>
            <w:noWrap/>
            <w:vAlign w:val="center"/>
          </w:tcPr>
          <w:p w14:paraId="2B848B64">
            <w:pPr>
              <w:autoSpaceDN w:val="0"/>
              <w:spacing w:line="400" w:lineRule="exact"/>
              <w:jc w:val="center"/>
              <w:rPr>
                <w:rFonts w:hint="eastAsia" w:ascii="宋体" w:hAnsi="宋体" w:eastAsia="宋体" w:cs="宋体"/>
                <w:bCs/>
                <w:color w:val="000000"/>
                <w:kern w:val="0"/>
                <w:sz w:val="24"/>
                <w:highlight w:val="none"/>
              </w:rPr>
            </w:pPr>
          </w:p>
        </w:tc>
        <w:tc>
          <w:tcPr>
            <w:tcW w:w="1857" w:type="dxa"/>
            <w:tcBorders>
              <w:bottom w:val="single" w:color="auto" w:sz="2" w:space="0"/>
              <w:right w:val="single" w:color="auto" w:sz="2" w:space="0"/>
            </w:tcBorders>
            <w:noWrap/>
            <w:vAlign w:val="center"/>
          </w:tcPr>
          <w:p w14:paraId="43464D23">
            <w:pPr>
              <w:autoSpaceDN w:val="0"/>
              <w:spacing w:line="400" w:lineRule="exact"/>
              <w:jc w:val="center"/>
              <w:rPr>
                <w:rFonts w:hint="eastAsia" w:ascii="宋体" w:hAnsi="宋体" w:eastAsia="宋体" w:cs="宋体"/>
                <w:bCs/>
                <w:color w:val="000000"/>
                <w:kern w:val="0"/>
                <w:sz w:val="24"/>
                <w:highlight w:val="none"/>
              </w:rPr>
            </w:pPr>
          </w:p>
        </w:tc>
      </w:tr>
    </w:tbl>
    <w:p w14:paraId="70210BF5">
      <w:pPr>
        <w:autoSpaceDN w:val="0"/>
        <w:spacing w:line="360" w:lineRule="auto"/>
        <w:rPr>
          <w:rFonts w:hint="eastAsia" w:ascii="宋体" w:hAnsi="宋体" w:eastAsia="宋体" w:cs="宋体"/>
          <w:b/>
          <w:color w:val="000000"/>
          <w:w w:val="90"/>
          <w:kern w:val="0"/>
          <w:sz w:val="24"/>
          <w:highlight w:val="none"/>
          <w:lang w:val="zh-CN"/>
        </w:rPr>
      </w:pPr>
      <w:r>
        <w:rPr>
          <w:rFonts w:hint="eastAsia" w:ascii="宋体" w:hAnsi="宋体" w:eastAsia="宋体" w:cs="宋体"/>
          <w:b/>
          <w:color w:val="000000"/>
          <w:w w:val="90"/>
          <w:kern w:val="0"/>
          <w:sz w:val="24"/>
          <w:highlight w:val="none"/>
          <w:lang w:val="zh-CN"/>
        </w:rPr>
        <w:t>备注：根据磋商文件要求，如有偏离均应填写偏离表，不填写或未提供偏离表均视为无偏离且完全响应磋商文件要求。</w:t>
      </w:r>
    </w:p>
    <w:p w14:paraId="728DC917">
      <w:pPr>
        <w:autoSpaceDN w:val="0"/>
        <w:rPr>
          <w:rFonts w:hint="eastAsia" w:ascii="宋体" w:hAnsi="宋体" w:eastAsia="宋体" w:cs="宋体"/>
          <w:highlight w:val="none"/>
        </w:rPr>
      </w:pPr>
    </w:p>
    <w:p w14:paraId="3F0DA95A">
      <w:pPr>
        <w:pStyle w:val="68"/>
        <w:rPr>
          <w:rFonts w:hint="eastAsia" w:ascii="宋体" w:hAnsi="宋体" w:eastAsia="宋体" w:cs="宋体"/>
          <w:highlight w:val="none"/>
        </w:rPr>
      </w:pPr>
    </w:p>
    <w:p w14:paraId="2264D437">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2D2D6D27">
      <w:pPr>
        <w:autoSpaceDN w:val="0"/>
        <w:snapToGrid w:val="0"/>
        <w:spacing w:line="360" w:lineRule="auto"/>
        <w:rPr>
          <w:rFonts w:hint="eastAsia" w:ascii="宋体" w:hAnsi="宋体" w:eastAsia="宋体" w:cs="宋体"/>
          <w:color w:val="000000"/>
          <w:w w:val="90"/>
          <w:kern w:val="0"/>
          <w:sz w:val="22"/>
          <w:szCs w:val="22"/>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5A3962CB">
      <w:pPr>
        <w:pStyle w:val="69"/>
        <w:wordWrap/>
        <w:autoSpaceDN w:val="0"/>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7ABBF3">
      <w:pPr>
        <w:pStyle w:val="4"/>
        <w:spacing w:before="120" w:after="120"/>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w:t>
      </w:r>
      <w:r>
        <w:rPr>
          <w:rFonts w:hint="eastAsia" w:ascii="宋体" w:hAnsi="宋体" w:eastAsia="宋体" w:cs="宋体"/>
          <w:bCs/>
          <w:color w:val="000000"/>
          <w:kern w:val="0"/>
          <w:szCs w:val="24"/>
          <w:highlight w:val="none"/>
          <w:lang w:val="en-US" w:eastAsia="zh-CN"/>
        </w:rPr>
        <w:t>6</w:t>
      </w:r>
      <w:r>
        <w:rPr>
          <w:rFonts w:hint="eastAsia" w:ascii="宋体" w:hAnsi="宋体" w:eastAsia="宋体" w:cs="宋体"/>
          <w:bCs/>
          <w:color w:val="000000"/>
          <w:kern w:val="0"/>
          <w:szCs w:val="24"/>
          <w:highlight w:val="none"/>
        </w:rPr>
        <w:t xml:space="preserve"> 施工组织设计</w:t>
      </w:r>
    </w:p>
    <w:p w14:paraId="24863F49">
      <w:pPr>
        <w:tabs>
          <w:tab w:val="left" w:pos="720"/>
        </w:tabs>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90D3B2D">
      <w:pPr>
        <w:tabs>
          <w:tab w:val="left" w:pos="720"/>
        </w:tabs>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2、施工组织设计除采用文字表述外可附下列图表，图表及格式要求附后。</w:t>
      </w:r>
    </w:p>
    <w:p w14:paraId="30DFCCCC">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附表一  拟投入的主要施工设备表</w:t>
      </w:r>
    </w:p>
    <w:p w14:paraId="4F8C648C">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附表二  拟配备的试验和检测仪器设备表</w:t>
      </w:r>
    </w:p>
    <w:p w14:paraId="34470626">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附表三  项目管理班子配备情况表</w:t>
      </w:r>
    </w:p>
    <w:p w14:paraId="4E30D6C5">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附表四、项目经理简历表</w:t>
      </w:r>
    </w:p>
    <w:p w14:paraId="13F52F04">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附表五、技术负责人简历表</w:t>
      </w:r>
    </w:p>
    <w:p w14:paraId="4CE3A0D5">
      <w:pPr>
        <w:tabs>
          <w:tab w:val="left" w:pos="720"/>
        </w:tabs>
        <w:autoSpaceDN w:val="0"/>
        <w:spacing w:line="440" w:lineRule="exact"/>
        <w:ind w:firstLine="864" w:firstLineChars="360"/>
        <w:rPr>
          <w:rFonts w:hint="eastAsia" w:ascii="宋体" w:hAnsi="宋体" w:eastAsia="宋体" w:cs="宋体"/>
          <w:sz w:val="24"/>
          <w:highlight w:val="none"/>
        </w:rPr>
      </w:pPr>
      <w:r>
        <w:rPr>
          <w:rFonts w:hint="eastAsia" w:ascii="宋体" w:hAnsi="宋体" w:eastAsia="宋体" w:cs="宋体"/>
          <w:sz w:val="24"/>
          <w:highlight w:val="none"/>
        </w:rPr>
        <w:t>附表六：计划开、竣工日期和施工进度网络图</w:t>
      </w:r>
    </w:p>
    <w:p w14:paraId="2AECF8A1">
      <w:pPr>
        <w:tabs>
          <w:tab w:val="left" w:pos="720"/>
        </w:tabs>
        <w:autoSpaceDN w:val="0"/>
        <w:spacing w:line="440" w:lineRule="exact"/>
        <w:jc w:val="left"/>
        <w:rPr>
          <w:rFonts w:hint="eastAsia" w:ascii="宋体" w:hAnsi="宋体" w:eastAsia="宋体" w:cs="宋体"/>
          <w:sz w:val="22"/>
          <w:szCs w:val="22"/>
          <w:highlight w:val="none"/>
        </w:rPr>
      </w:pPr>
      <w:bookmarkStart w:id="163" w:name="_Toc152042586"/>
      <w:bookmarkStart w:id="164" w:name="_Toc246392155"/>
      <w:bookmarkStart w:id="165" w:name="_Toc179632817"/>
      <w:bookmarkStart w:id="166" w:name="_Toc152045797"/>
      <w:bookmarkStart w:id="167" w:name="_Toc144974865"/>
      <w:r>
        <w:rPr>
          <w:rFonts w:hint="eastAsia" w:ascii="宋体" w:hAnsi="宋体" w:eastAsia="宋体" w:cs="宋体"/>
          <w:b/>
          <w:bCs/>
          <w:sz w:val="22"/>
          <w:szCs w:val="22"/>
          <w:highlight w:val="none"/>
        </w:rPr>
        <w:t>附表一：拟投入的主要施工设备表</w:t>
      </w:r>
      <w:bookmarkEnd w:id="163"/>
      <w:bookmarkEnd w:id="164"/>
      <w:bookmarkEnd w:id="165"/>
      <w:bookmarkEnd w:id="166"/>
      <w:bookmarkEnd w:id="167"/>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7D0B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14:paraId="39F9F893">
            <w:pPr>
              <w:autoSpaceDN w:val="0"/>
              <w:spacing w:line="4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107" w:type="dxa"/>
            <w:noWrap/>
            <w:vAlign w:val="center"/>
          </w:tcPr>
          <w:p w14:paraId="1DEBB61D">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设备名称</w:t>
            </w:r>
          </w:p>
        </w:tc>
        <w:tc>
          <w:tcPr>
            <w:tcW w:w="776" w:type="dxa"/>
            <w:noWrap/>
            <w:vAlign w:val="center"/>
          </w:tcPr>
          <w:p w14:paraId="424A0722">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型号</w:t>
            </w:r>
          </w:p>
          <w:p w14:paraId="3215045E">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规格</w:t>
            </w:r>
          </w:p>
        </w:tc>
        <w:tc>
          <w:tcPr>
            <w:tcW w:w="802" w:type="dxa"/>
            <w:noWrap/>
            <w:vAlign w:val="center"/>
          </w:tcPr>
          <w:p w14:paraId="506F544B">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684" w:type="dxa"/>
            <w:noWrap/>
            <w:vAlign w:val="center"/>
          </w:tcPr>
          <w:p w14:paraId="767CD5F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国别</w:t>
            </w:r>
          </w:p>
          <w:p w14:paraId="6B9F7AA9">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产地</w:t>
            </w:r>
          </w:p>
        </w:tc>
        <w:tc>
          <w:tcPr>
            <w:tcW w:w="754" w:type="dxa"/>
            <w:noWrap/>
            <w:vAlign w:val="center"/>
          </w:tcPr>
          <w:p w14:paraId="576C8964">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制造</w:t>
            </w:r>
          </w:p>
          <w:p w14:paraId="3F809FF5">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年份</w:t>
            </w:r>
          </w:p>
        </w:tc>
        <w:tc>
          <w:tcPr>
            <w:tcW w:w="1098" w:type="dxa"/>
            <w:noWrap/>
            <w:vAlign w:val="center"/>
          </w:tcPr>
          <w:p w14:paraId="2CD8EE63">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额定功率（KW）</w:t>
            </w:r>
          </w:p>
        </w:tc>
        <w:tc>
          <w:tcPr>
            <w:tcW w:w="892" w:type="dxa"/>
            <w:noWrap/>
            <w:vAlign w:val="center"/>
          </w:tcPr>
          <w:p w14:paraId="43104A18">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生产</w:t>
            </w:r>
          </w:p>
          <w:p w14:paraId="5C210DBB">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能力</w:t>
            </w:r>
          </w:p>
        </w:tc>
        <w:tc>
          <w:tcPr>
            <w:tcW w:w="1035" w:type="dxa"/>
            <w:noWrap/>
            <w:vAlign w:val="center"/>
          </w:tcPr>
          <w:p w14:paraId="6011D2E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用于施工部位</w:t>
            </w:r>
          </w:p>
        </w:tc>
        <w:tc>
          <w:tcPr>
            <w:tcW w:w="699" w:type="dxa"/>
            <w:noWrap/>
            <w:vAlign w:val="center"/>
          </w:tcPr>
          <w:p w14:paraId="6C890AD0">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25E2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65FF0108">
            <w:pPr>
              <w:autoSpaceDN w:val="0"/>
              <w:spacing w:line="440" w:lineRule="exact"/>
              <w:jc w:val="center"/>
              <w:rPr>
                <w:rFonts w:hint="eastAsia" w:ascii="宋体" w:hAnsi="宋体" w:eastAsia="宋体" w:cs="宋体"/>
                <w:sz w:val="22"/>
                <w:szCs w:val="22"/>
                <w:highlight w:val="none"/>
              </w:rPr>
            </w:pPr>
          </w:p>
        </w:tc>
        <w:tc>
          <w:tcPr>
            <w:tcW w:w="1107" w:type="dxa"/>
            <w:noWrap/>
            <w:vAlign w:val="center"/>
          </w:tcPr>
          <w:p w14:paraId="2B54594E">
            <w:pPr>
              <w:autoSpaceDN w:val="0"/>
              <w:spacing w:line="440" w:lineRule="exact"/>
              <w:jc w:val="center"/>
              <w:rPr>
                <w:rFonts w:hint="eastAsia" w:ascii="宋体" w:hAnsi="宋体" w:eastAsia="宋体" w:cs="宋体"/>
                <w:sz w:val="22"/>
                <w:szCs w:val="22"/>
                <w:highlight w:val="none"/>
              </w:rPr>
            </w:pPr>
          </w:p>
        </w:tc>
        <w:tc>
          <w:tcPr>
            <w:tcW w:w="776" w:type="dxa"/>
            <w:noWrap/>
            <w:vAlign w:val="center"/>
          </w:tcPr>
          <w:p w14:paraId="60B61E94">
            <w:pPr>
              <w:autoSpaceDN w:val="0"/>
              <w:spacing w:line="440" w:lineRule="exact"/>
              <w:jc w:val="center"/>
              <w:rPr>
                <w:rFonts w:hint="eastAsia" w:ascii="宋体" w:hAnsi="宋体" w:eastAsia="宋体" w:cs="宋体"/>
                <w:sz w:val="22"/>
                <w:szCs w:val="22"/>
                <w:highlight w:val="none"/>
              </w:rPr>
            </w:pPr>
          </w:p>
        </w:tc>
        <w:tc>
          <w:tcPr>
            <w:tcW w:w="802" w:type="dxa"/>
            <w:noWrap/>
            <w:vAlign w:val="center"/>
          </w:tcPr>
          <w:p w14:paraId="020CF297">
            <w:pPr>
              <w:autoSpaceDN w:val="0"/>
              <w:spacing w:line="440" w:lineRule="exact"/>
              <w:jc w:val="center"/>
              <w:rPr>
                <w:rFonts w:hint="eastAsia" w:ascii="宋体" w:hAnsi="宋体" w:eastAsia="宋体" w:cs="宋体"/>
                <w:sz w:val="22"/>
                <w:szCs w:val="22"/>
                <w:highlight w:val="none"/>
              </w:rPr>
            </w:pPr>
          </w:p>
        </w:tc>
        <w:tc>
          <w:tcPr>
            <w:tcW w:w="684" w:type="dxa"/>
            <w:noWrap/>
            <w:vAlign w:val="center"/>
          </w:tcPr>
          <w:p w14:paraId="246ECDA0">
            <w:pPr>
              <w:autoSpaceDN w:val="0"/>
              <w:spacing w:line="440" w:lineRule="exact"/>
              <w:jc w:val="center"/>
              <w:rPr>
                <w:rFonts w:hint="eastAsia" w:ascii="宋体" w:hAnsi="宋体" w:eastAsia="宋体" w:cs="宋体"/>
                <w:sz w:val="22"/>
                <w:szCs w:val="22"/>
                <w:highlight w:val="none"/>
              </w:rPr>
            </w:pPr>
          </w:p>
        </w:tc>
        <w:tc>
          <w:tcPr>
            <w:tcW w:w="754" w:type="dxa"/>
            <w:noWrap/>
            <w:vAlign w:val="center"/>
          </w:tcPr>
          <w:p w14:paraId="1B00895E">
            <w:pPr>
              <w:autoSpaceDN w:val="0"/>
              <w:spacing w:line="440" w:lineRule="exact"/>
              <w:jc w:val="center"/>
              <w:rPr>
                <w:rFonts w:hint="eastAsia" w:ascii="宋体" w:hAnsi="宋体" w:eastAsia="宋体" w:cs="宋体"/>
                <w:sz w:val="22"/>
                <w:szCs w:val="22"/>
                <w:highlight w:val="none"/>
              </w:rPr>
            </w:pPr>
          </w:p>
        </w:tc>
        <w:tc>
          <w:tcPr>
            <w:tcW w:w="1098" w:type="dxa"/>
            <w:noWrap/>
            <w:vAlign w:val="center"/>
          </w:tcPr>
          <w:p w14:paraId="68E2D277">
            <w:pPr>
              <w:autoSpaceDN w:val="0"/>
              <w:spacing w:line="440" w:lineRule="exact"/>
              <w:jc w:val="center"/>
              <w:rPr>
                <w:rFonts w:hint="eastAsia" w:ascii="宋体" w:hAnsi="宋体" w:eastAsia="宋体" w:cs="宋体"/>
                <w:sz w:val="22"/>
                <w:szCs w:val="22"/>
                <w:highlight w:val="none"/>
              </w:rPr>
            </w:pPr>
          </w:p>
        </w:tc>
        <w:tc>
          <w:tcPr>
            <w:tcW w:w="892" w:type="dxa"/>
            <w:noWrap/>
            <w:vAlign w:val="center"/>
          </w:tcPr>
          <w:p w14:paraId="0E6BF36A">
            <w:pPr>
              <w:autoSpaceDN w:val="0"/>
              <w:spacing w:line="440" w:lineRule="exact"/>
              <w:jc w:val="center"/>
              <w:rPr>
                <w:rFonts w:hint="eastAsia" w:ascii="宋体" w:hAnsi="宋体" w:eastAsia="宋体" w:cs="宋体"/>
                <w:sz w:val="22"/>
                <w:szCs w:val="22"/>
                <w:highlight w:val="none"/>
              </w:rPr>
            </w:pPr>
          </w:p>
        </w:tc>
        <w:tc>
          <w:tcPr>
            <w:tcW w:w="1035" w:type="dxa"/>
            <w:noWrap/>
            <w:vAlign w:val="center"/>
          </w:tcPr>
          <w:p w14:paraId="71B22809">
            <w:pPr>
              <w:autoSpaceDN w:val="0"/>
              <w:spacing w:line="440" w:lineRule="exact"/>
              <w:jc w:val="center"/>
              <w:rPr>
                <w:rFonts w:hint="eastAsia" w:ascii="宋体" w:hAnsi="宋体" w:eastAsia="宋体" w:cs="宋体"/>
                <w:sz w:val="22"/>
                <w:szCs w:val="22"/>
                <w:highlight w:val="none"/>
              </w:rPr>
            </w:pPr>
          </w:p>
        </w:tc>
        <w:tc>
          <w:tcPr>
            <w:tcW w:w="699" w:type="dxa"/>
            <w:noWrap/>
            <w:vAlign w:val="center"/>
          </w:tcPr>
          <w:p w14:paraId="5776858C">
            <w:pPr>
              <w:autoSpaceDN w:val="0"/>
              <w:spacing w:line="440" w:lineRule="exact"/>
              <w:jc w:val="center"/>
              <w:rPr>
                <w:rFonts w:hint="eastAsia" w:ascii="宋体" w:hAnsi="宋体" w:eastAsia="宋体" w:cs="宋体"/>
                <w:sz w:val="22"/>
                <w:szCs w:val="22"/>
                <w:highlight w:val="none"/>
              </w:rPr>
            </w:pPr>
          </w:p>
        </w:tc>
      </w:tr>
      <w:tr w14:paraId="1763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2B5903CC">
            <w:pPr>
              <w:autoSpaceDN w:val="0"/>
              <w:spacing w:line="440" w:lineRule="exact"/>
              <w:jc w:val="center"/>
              <w:rPr>
                <w:rFonts w:hint="eastAsia" w:ascii="宋体" w:hAnsi="宋体" w:eastAsia="宋体" w:cs="宋体"/>
                <w:sz w:val="22"/>
                <w:szCs w:val="22"/>
                <w:highlight w:val="none"/>
              </w:rPr>
            </w:pPr>
          </w:p>
        </w:tc>
        <w:tc>
          <w:tcPr>
            <w:tcW w:w="1107" w:type="dxa"/>
            <w:noWrap/>
            <w:vAlign w:val="center"/>
          </w:tcPr>
          <w:p w14:paraId="268D8D40">
            <w:pPr>
              <w:autoSpaceDN w:val="0"/>
              <w:spacing w:line="440" w:lineRule="exact"/>
              <w:jc w:val="center"/>
              <w:rPr>
                <w:rFonts w:hint="eastAsia" w:ascii="宋体" w:hAnsi="宋体" w:eastAsia="宋体" w:cs="宋体"/>
                <w:sz w:val="22"/>
                <w:szCs w:val="22"/>
                <w:highlight w:val="none"/>
              </w:rPr>
            </w:pPr>
          </w:p>
        </w:tc>
        <w:tc>
          <w:tcPr>
            <w:tcW w:w="776" w:type="dxa"/>
            <w:noWrap/>
            <w:vAlign w:val="center"/>
          </w:tcPr>
          <w:p w14:paraId="2C540E7A">
            <w:pPr>
              <w:autoSpaceDN w:val="0"/>
              <w:spacing w:line="440" w:lineRule="exact"/>
              <w:jc w:val="center"/>
              <w:rPr>
                <w:rFonts w:hint="eastAsia" w:ascii="宋体" w:hAnsi="宋体" w:eastAsia="宋体" w:cs="宋体"/>
                <w:sz w:val="22"/>
                <w:szCs w:val="22"/>
                <w:highlight w:val="none"/>
              </w:rPr>
            </w:pPr>
          </w:p>
        </w:tc>
        <w:tc>
          <w:tcPr>
            <w:tcW w:w="802" w:type="dxa"/>
            <w:noWrap/>
            <w:vAlign w:val="center"/>
          </w:tcPr>
          <w:p w14:paraId="19E91048">
            <w:pPr>
              <w:autoSpaceDN w:val="0"/>
              <w:spacing w:line="440" w:lineRule="exact"/>
              <w:jc w:val="center"/>
              <w:rPr>
                <w:rFonts w:hint="eastAsia" w:ascii="宋体" w:hAnsi="宋体" w:eastAsia="宋体" w:cs="宋体"/>
                <w:sz w:val="22"/>
                <w:szCs w:val="22"/>
                <w:highlight w:val="none"/>
              </w:rPr>
            </w:pPr>
          </w:p>
        </w:tc>
        <w:tc>
          <w:tcPr>
            <w:tcW w:w="684" w:type="dxa"/>
            <w:noWrap/>
            <w:vAlign w:val="center"/>
          </w:tcPr>
          <w:p w14:paraId="0905BB46">
            <w:pPr>
              <w:autoSpaceDN w:val="0"/>
              <w:spacing w:line="440" w:lineRule="exact"/>
              <w:jc w:val="center"/>
              <w:rPr>
                <w:rFonts w:hint="eastAsia" w:ascii="宋体" w:hAnsi="宋体" w:eastAsia="宋体" w:cs="宋体"/>
                <w:sz w:val="22"/>
                <w:szCs w:val="22"/>
                <w:highlight w:val="none"/>
              </w:rPr>
            </w:pPr>
          </w:p>
        </w:tc>
        <w:tc>
          <w:tcPr>
            <w:tcW w:w="754" w:type="dxa"/>
            <w:noWrap/>
            <w:vAlign w:val="center"/>
          </w:tcPr>
          <w:p w14:paraId="08E09398">
            <w:pPr>
              <w:autoSpaceDN w:val="0"/>
              <w:spacing w:line="440" w:lineRule="exact"/>
              <w:jc w:val="center"/>
              <w:rPr>
                <w:rFonts w:hint="eastAsia" w:ascii="宋体" w:hAnsi="宋体" w:eastAsia="宋体" w:cs="宋体"/>
                <w:sz w:val="22"/>
                <w:szCs w:val="22"/>
                <w:highlight w:val="none"/>
              </w:rPr>
            </w:pPr>
          </w:p>
        </w:tc>
        <w:tc>
          <w:tcPr>
            <w:tcW w:w="1098" w:type="dxa"/>
            <w:noWrap/>
            <w:vAlign w:val="center"/>
          </w:tcPr>
          <w:p w14:paraId="5E891A48">
            <w:pPr>
              <w:autoSpaceDN w:val="0"/>
              <w:spacing w:line="440" w:lineRule="exact"/>
              <w:jc w:val="center"/>
              <w:rPr>
                <w:rFonts w:hint="eastAsia" w:ascii="宋体" w:hAnsi="宋体" w:eastAsia="宋体" w:cs="宋体"/>
                <w:sz w:val="22"/>
                <w:szCs w:val="22"/>
                <w:highlight w:val="none"/>
              </w:rPr>
            </w:pPr>
          </w:p>
        </w:tc>
        <w:tc>
          <w:tcPr>
            <w:tcW w:w="892" w:type="dxa"/>
            <w:noWrap/>
            <w:vAlign w:val="center"/>
          </w:tcPr>
          <w:p w14:paraId="1951B2E6">
            <w:pPr>
              <w:autoSpaceDN w:val="0"/>
              <w:spacing w:line="440" w:lineRule="exact"/>
              <w:jc w:val="center"/>
              <w:rPr>
                <w:rFonts w:hint="eastAsia" w:ascii="宋体" w:hAnsi="宋体" w:eastAsia="宋体" w:cs="宋体"/>
                <w:sz w:val="22"/>
                <w:szCs w:val="22"/>
                <w:highlight w:val="none"/>
              </w:rPr>
            </w:pPr>
          </w:p>
        </w:tc>
        <w:tc>
          <w:tcPr>
            <w:tcW w:w="1035" w:type="dxa"/>
            <w:noWrap/>
            <w:vAlign w:val="center"/>
          </w:tcPr>
          <w:p w14:paraId="619240E6">
            <w:pPr>
              <w:autoSpaceDN w:val="0"/>
              <w:spacing w:line="440" w:lineRule="exact"/>
              <w:jc w:val="center"/>
              <w:rPr>
                <w:rFonts w:hint="eastAsia" w:ascii="宋体" w:hAnsi="宋体" w:eastAsia="宋体" w:cs="宋体"/>
                <w:sz w:val="22"/>
                <w:szCs w:val="22"/>
                <w:highlight w:val="none"/>
              </w:rPr>
            </w:pPr>
          </w:p>
        </w:tc>
        <w:tc>
          <w:tcPr>
            <w:tcW w:w="699" w:type="dxa"/>
            <w:noWrap/>
            <w:vAlign w:val="center"/>
          </w:tcPr>
          <w:p w14:paraId="67A0D55F">
            <w:pPr>
              <w:autoSpaceDN w:val="0"/>
              <w:spacing w:line="440" w:lineRule="exact"/>
              <w:jc w:val="center"/>
              <w:rPr>
                <w:rFonts w:hint="eastAsia" w:ascii="宋体" w:hAnsi="宋体" w:eastAsia="宋体" w:cs="宋体"/>
                <w:sz w:val="22"/>
                <w:szCs w:val="22"/>
                <w:highlight w:val="none"/>
              </w:rPr>
            </w:pPr>
          </w:p>
        </w:tc>
      </w:tr>
      <w:tr w14:paraId="53B0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14:paraId="7F99F16E">
            <w:pPr>
              <w:autoSpaceDN w:val="0"/>
              <w:spacing w:line="440" w:lineRule="exact"/>
              <w:jc w:val="center"/>
              <w:rPr>
                <w:rFonts w:hint="eastAsia" w:ascii="宋体" w:hAnsi="宋体" w:eastAsia="宋体" w:cs="宋体"/>
                <w:sz w:val="22"/>
                <w:szCs w:val="22"/>
                <w:highlight w:val="none"/>
              </w:rPr>
            </w:pPr>
          </w:p>
        </w:tc>
        <w:tc>
          <w:tcPr>
            <w:tcW w:w="1107" w:type="dxa"/>
            <w:noWrap/>
          </w:tcPr>
          <w:p w14:paraId="59C8787A">
            <w:pPr>
              <w:autoSpaceDN w:val="0"/>
              <w:spacing w:line="440" w:lineRule="exact"/>
              <w:jc w:val="center"/>
              <w:rPr>
                <w:rFonts w:hint="eastAsia" w:ascii="宋体" w:hAnsi="宋体" w:eastAsia="宋体" w:cs="宋体"/>
                <w:sz w:val="22"/>
                <w:szCs w:val="22"/>
                <w:highlight w:val="none"/>
              </w:rPr>
            </w:pPr>
          </w:p>
        </w:tc>
        <w:tc>
          <w:tcPr>
            <w:tcW w:w="776" w:type="dxa"/>
            <w:noWrap/>
          </w:tcPr>
          <w:p w14:paraId="4F1EBA19">
            <w:pPr>
              <w:autoSpaceDN w:val="0"/>
              <w:spacing w:line="440" w:lineRule="exact"/>
              <w:jc w:val="center"/>
              <w:rPr>
                <w:rFonts w:hint="eastAsia" w:ascii="宋体" w:hAnsi="宋体" w:eastAsia="宋体" w:cs="宋体"/>
                <w:sz w:val="22"/>
                <w:szCs w:val="22"/>
                <w:highlight w:val="none"/>
              </w:rPr>
            </w:pPr>
          </w:p>
        </w:tc>
        <w:tc>
          <w:tcPr>
            <w:tcW w:w="802" w:type="dxa"/>
            <w:noWrap/>
          </w:tcPr>
          <w:p w14:paraId="4A351ABE">
            <w:pPr>
              <w:autoSpaceDN w:val="0"/>
              <w:spacing w:line="440" w:lineRule="exact"/>
              <w:jc w:val="center"/>
              <w:rPr>
                <w:rFonts w:hint="eastAsia" w:ascii="宋体" w:hAnsi="宋体" w:eastAsia="宋体" w:cs="宋体"/>
                <w:sz w:val="22"/>
                <w:szCs w:val="22"/>
                <w:highlight w:val="none"/>
              </w:rPr>
            </w:pPr>
          </w:p>
        </w:tc>
        <w:tc>
          <w:tcPr>
            <w:tcW w:w="684" w:type="dxa"/>
            <w:noWrap/>
          </w:tcPr>
          <w:p w14:paraId="2B0D93D9">
            <w:pPr>
              <w:autoSpaceDN w:val="0"/>
              <w:spacing w:line="440" w:lineRule="exact"/>
              <w:jc w:val="center"/>
              <w:rPr>
                <w:rFonts w:hint="eastAsia" w:ascii="宋体" w:hAnsi="宋体" w:eastAsia="宋体" w:cs="宋体"/>
                <w:sz w:val="22"/>
                <w:szCs w:val="22"/>
                <w:highlight w:val="none"/>
              </w:rPr>
            </w:pPr>
          </w:p>
        </w:tc>
        <w:tc>
          <w:tcPr>
            <w:tcW w:w="754" w:type="dxa"/>
            <w:noWrap/>
          </w:tcPr>
          <w:p w14:paraId="14EBD070">
            <w:pPr>
              <w:autoSpaceDN w:val="0"/>
              <w:spacing w:line="440" w:lineRule="exact"/>
              <w:jc w:val="center"/>
              <w:rPr>
                <w:rFonts w:hint="eastAsia" w:ascii="宋体" w:hAnsi="宋体" w:eastAsia="宋体" w:cs="宋体"/>
                <w:sz w:val="22"/>
                <w:szCs w:val="22"/>
                <w:highlight w:val="none"/>
              </w:rPr>
            </w:pPr>
          </w:p>
        </w:tc>
        <w:tc>
          <w:tcPr>
            <w:tcW w:w="1098" w:type="dxa"/>
            <w:noWrap/>
          </w:tcPr>
          <w:p w14:paraId="23A0052A">
            <w:pPr>
              <w:autoSpaceDN w:val="0"/>
              <w:spacing w:line="440" w:lineRule="exact"/>
              <w:jc w:val="center"/>
              <w:rPr>
                <w:rFonts w:hint="eastAsia" w:ascii="宋体" w:hAnsi="宋体" w:eastAsia="宋体" w:cs="宋体"/>
                <w:sz w:val="22"/>
                <w:szCs w:val="22"/>
                <w:highlight w:val="none"/>
              </w:rPr>
            </w:pPr>
          </w:p>
        </w:tc>
        <w:tc>
          <w:tcPr>
            <w:tcW w:w="892" w:type="dxa"/>
            <w:noWrap/>
          </w:tcPr>
          <w:p w14:paraId="32FB042C">
            <w:pPr>
              <w:autoSpaceDN w:val="0"/>
              <w:spacing w:line="440" w:lineRule="exact"/>
              <w:jc w:val="center"/>
              <w:rPr>
                <w:rFonts w:hint="eastAsia" w:ascii="宋体" w:hAnsi="宋体" w:eastAsia="宋体" w:cs="宋体"/>
                <w:sz w:val="22"/>
                <w:szCs w:val="22"/>
                <w:highlight w:val="none"/>
              </w:rPr>
            </w:pPr>
          </w:p>
        </w:tc>
        <w:tc>
          <w:tcPr>
            <w:tcW w:w="1035" w:type="dxa"/>
            <w:noWrap/>
          </w:tcPr>
          <w:p w14:paraId="3B0E5BAA">
            <w:pPr>
              <w:autoSpaceDN w:val="0"/>
              <w:spacing w:line="440" w:lineRule="exact"/>
              <w:jc w:val="center"/>
              <w:rPr>
                <w:rFonts w:hint="eastAsia" w:ascii="宋体" w:hAnsi="宋体" w:eastAsia="宋体" w:cs="宋体"/>
                <w:sz w:val="22"/>
                <w:szCs w:val="22"/>
                <w:highlight w:val="none"/>
              </w:rPr>
            </w:pPr>
          </w:p>
        </w:tc>
        <w:tc>
          <w:tcPr>
            <w:tcW w:w="699" w:type="dxa"/>
            <w:noWrap/>
          </w:tcPr>
          <w:p w14:paraId="3EEB3ED5">
            <w:pPr>
              <w:autoSpaceDN w:val="0"/>
              <w:spacing w:line="440" w:lineRule="exact"/>
              <w:jc w:val="center"/>
              <w:rPr>
                <w:rFonts w:hint="eastAsia" w:ascii="宋体" w:hAnsi="宋体" w:eastAsia="宋体" w:cs="宋体"/>
                <w:sz w:val="22"/>
                <w:szCs w:val="22"/>
                <w:highlight w:val="none"/>
              </w:rPr>
            </w:pPr>
          </w:p>
        </w:tc>
      </w:tr>
    </w:tbl>
    <w:p w14:paraId="42709B8F">
      <w:pPr>
        <w:autoSpaceDN w:val="0"/>
        <w:spacing w:line="440" w:lineRule="exact"/>
        <w:rPr>
          <w:rFonts w:hint="eastAsia" w:ascii="宋体" w:hAnsi="宋体" w:eastAsia="宋体" w:cs="宋体"/>
          <w:sz w:val="22"/>
          <w:szCs w:val="22"/>
          <w:highlight w:val="none"/>
        </w:rPr>
      </w:pPr>
    </w:p>
    <w:p w14:paraId="18A1CDBB">
      <w:pPr>
        <w:tabs>
          <w:tab w:val="left" w:pos="720"/>
        </w:tabs>
        <w:autoSpaceDN w:val="0"/>
        <w:spacing w:line="440" w:lineRule="exact"/>
        <w:jc w:val="left"/>
        <w:rPr>
          <w:rFonts w:hint="eastAsia" w:ascii="宋体" w:hAnsi="宋体" w:eastAsia="宋体" w:cs="宋体"/>
          <w:b/>
          <w:bCs/>
          <w:sz w:val="22"/>
          <w:szCs w:val="22"/>
          <w:highlight w:val="none"/>
        </w:rPr>
      </w:pPr>
      <w:bookmarkStart w:id="168" w:name="_Toc152042587"/>
      <w:bookmarkStart w:id="169" w:name="_Toc179632818"/>
      <w:bookmarkStart w:id="170" w:name="_Toc152045798"/>
      <w:bookmarkStart w:id="171" w:name="_Toc144974866"/>
      <w:bookmarkStart w:id="172" w:name="_Toc246392156"/>
      <w:r>
        <w:rPr>
          <w:rFonts w:hint="eastAsia" w:ascii="宋体" w:hAnsi="宋体" w:eastAsia="宋体" w:cs="宋体"/>
          <w:b/>
          <w:bCs/>
          <w:sz w:val="22"/>
          <w:szCs w:val="22"/>
          <w:highlight w:val="none"/>
        </w:rPr>
        <w:t>附表二：拟配备的试验和检测仪器设备表</w:t>
      </w:r>
      <w:bookmarkEnd w:id="168"/>
      <w:bookmarkEnd w:id="169"/>
      <w:bookmarkEnd w:id="170"/>
      <w:bookmarkEnd w:id="171"/>
      <w:bookmarkEnd w:id="172"/>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215B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14:paraId="7D2DEF50">
            <w:pPr>
              <w:autoSpaceDN w:val="0"/>
              <w:spacing w:line="4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177" w:type="dxa"/>
            <w:noWrap/>
            <w:vAlign w:val="center"/>
          </w:tcPr>
          <w:p w14:paraId="650AD750">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仪器设备名称</w:t>
            </w:r>
          </w:p>
        </w:tc>
        <w:tc>
          <w:tcPr>
            <w:tcW w:w="822" w:type="dxa"/>
            <w:noWrap/>
            <w:vAlign w:val="center"/>
          </w:tcPr>
          <w:p w14:paraId="524F31B6">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型号</w:t>
            </w:r>
          </w:p>
          <w:p w14:paraId="0AA10C86">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规格</w:t>
            </w:r>
          </w:p>
        </w:tc>
        <w:tc>
          <w:tcPr>
            <w:tcW w:w="1073" w:type="dxa"/>
            <w:noWrap/>
            <w:vAlign w:val="center"/>
          </w:tcPr>
          <w:p w14:paraId="1C18DE54">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727" w:type="dxa"/>
            <w:noWrap/>
            <w:vAlign w:val="center"/>
          </w:tcPr>
          <w:p w14:paraId="465B078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国别</w:t>
            </w:r>
          </w:p>
          <w:p w14:paraId="75649F44">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产地</w:t>
            </w:r>
          </w:p>
        </w:tc>
        <w:tc>
          <w:tcPr>
            <w:tcW w:w="800" w:type="dxa"/>
            <w:noWrap/>
            <w:vAlign w:val="center"/>
          </w:tcPr>
          <w:p w14:paraId="55866DE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制造</w:t>
            </w:r>
          </w:p>
          <w:p w14:paraId="7126759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年份</w:t>
            </w:r>
          </w:p>
        </w:tc>
        <w:tc>
          <w:tcPr>
            <w:tcW w:w="1312" w:type="dxa"/>
            <w:noWrap/>
            <w:vAlign w:val="center"/>
          </w:tcPr>
          <w:p w14:paraId="36F4F768">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已使用台时数</w:t>
            </w:r>
          </w:p>
        </w:tc>
        <w:tc>
          <w:tcPr>
            <w:tcW w:w="1151" w:type="dxa"/>
            <w:noWrap/>
            <w:vAlign w:val="center"/>
          </w:tcPr>
          <w:p w14:paraId="4D9DD2D9">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用途</w:t>
            </w:r>
          </w:p>
        </w:tc>
        <w:tc>
          <w:tcPr>
            <w:tcW w:w="742" w:type="dxa"/>
            <w:noWrap/>
            <w:vAlign w:val="center"/>
          </w:tcPr>
          <w:p w14:paraId="6D4DA64B">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3142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1F1F9266">
            <w:pPr>
              <w:autoSpaceDN w:val="0"/>
              <w:spacing w:line="440" w:lineRule="exact"/>
              <w:jc w:val="center"/>
              <w:rPr>
                <w:rFonts w:hint="eastAsia" w:ascii="宋体" w:hAnsi="宋体" w:eastAsia="宋体" w:cs="宋体"/>
                <w:sz w:val="22"/>
                <w:szCs w:val="22"/>
                <w:highlight w:val="none"/>
              </w:rPr>
            </w:pPr>
          </w:p>
        </w:tc>
        <w:tc>
          <w:tcPr>
            <w:tcW w:w="1177" w:type="dxa"/>
            <w:noWrap/>
            <w:vAlign w:val="center"/>
          </w:tcPr>
          <w:p w14:paraId="02B0BE30">
            <w:pPr>
              <w:autoSpaceDN w:val="0"/>
              <w:spacing w:line="440" w:lineRule="exact"/>
              <w:jc w:val="center"/>
              <w:rPr>
                <w:rFonts w:hint="eastAsia" w:ascii="宋体" w:hAnsi="宋体" w:eastAsia="宋体" w:cs="宋体"/>
                <w:sz w:val="22"/>
                <w:szCs w:val="22"/>
                <w:highlight w:val="none"/>
              </w:rPr>
            </w:pPr>
          </w:p>
        </w:tc>
        <w:tc>
          <w:tcPr>
            <w:tcW w:w="822" w:type="dxa"/>
            <w:noWrap/>
            <w:vAlign w:val="center"/>
          </w:tcPr>
          <w:p w14:paraId="1B2A88F0">
            <w:pPr>
              <w:autoSpaceDN w:val="0"/>
              <w:spacing w:line="440" w:lineRule="exact"/>
              <w:jc w:val="center"/>
              <w:rPr>
                <w:rFonts w:hint="eastAsia" w:ascii="宋体" w:hAnsi="宋体" w:eastAsia="宋体" w:cs="宋体"/>
                <w:sz w:val="22"/>
                <w:szCs w:val="22"/>
                <w:highlight w:val="none"/>
              </w:rPr>
            </w:pPr>
          </w:p>
        </w:tc>
        <w:tc>
          <w:tcPr>
            <w:tcW w:w="1073" w:type="dxa"/>
            <w:noWrap/>
            <w:vAlign w:val="center"/>
          </w:tcPr>
          <w:p w14:paraId="29511EC7">
            <w:pPr>
              <w:autoSpaceDN w:val="0"/>
              <w:spacing w:line="440" w:lineRule="exact"/>
              <w:jc w:val="center"/>
              <w:rPr>
                <w:rFonts w:hint="eastAsia" w:ascii="宋体" w:hAnsi="宋体" w:eastAsia="宋体" w:cs="宋体"/>
                <w:sz w:val="22"/>
                <w:szCs w:val="22"/>
                <w:highlight w:val="none"/>
              </w:rPr>
            </w:pPr>
          </w:p>
        </w:tc>
        <w:tc>
          <w:tcPr>
            <w:tcW w:w="727" w:type="dxa"/>
            <w:noWrap/>
            <w:vAlign w:val="center"/>
          </w:tcPr>
          <w:p w14:paraId="47529B51">
            <w:pPr>
              <w:autoSpaceDN w:val="0"/>
              <w:spacing w:line="440" w:lineRule="exact"/>
              <w:jc w:val="center"/>
              <w:rPr>
                <w:rFonts w:hint="eastAsia" w:ascii="宋体" w:hAnsi="宋体" w:eastAsia="宋体" w:cs="宋体"/>
                <w:sz w:val="22"/>
                <w:szCs w:val="22"/>
                <w:highlight w:val="none"/>
              </w:rPr>
            </w:pPr>
          </w:p>
        </w:tc>
        <w:tc>
          <w:tcPr>
            <w:tcW w:w="800" w:type="dxa"/>
            <w:noWrap/>
            <w:vAlign w:val="center"/>
          </w:tcPr>
          <w:p w14:paraId="1A208F30">
            <w:pPr>
              <w:autoSpaceDN w:val="0"/>
              <w:spacing w:line="440" w:lineRule="exact"/>
              <w:jc w:val="center"/>
              <w:rPr>
                <w:rFonts w:hint="eastAsia" w:ascii="宋体" w:hAnsi="宋体" w:eastAsia="宋体" w:cs="宋体"/>
                <w:sz w:val="22"/>
                <w:szCs w:val="22"/>
                <w:highlight w:val="none"/>
              </w:rPr>
            </w:pPr>
          </w:p>
        </w:tc>
        <w:tc>
          <w:tcPr>
            <w:tcW w:w="1312" w:type="dxa"/>
            <w:noWrap/>
            <w:vAlign w:val="center"/>
          </w:tcPr>
          <w:p w14:paraId="56205958">
            <w:pPr>
              <w:autoSpaceDN w:val="0"/>
              <w:spacing w:line="440" w:lineRule="exact"/>
              <w:jc w:val="center"/>
              <w:rPr>
                <w:rFonts w:hint="eastAsia" w:ascii="宋体" w:hAnsi="宋体" w:eastAsia="宋体" w:cs="宋体"/>
                <w:sz w:val="22"/>
                <w:szCs w:val="22"/>
                <w:highlight w:val="none"/>
              </w:rPr>
            </w:pPr>
          </w:p>
        </w:tc>
        <w:tc>
          <w:tcPr>
            <w:tcW w:w="1151" w:type="dxa"/>
            <w:noWrap/>
            <w:vAlign w:val="center"/>
          </w:tcPr>
          <w:p w14:paraId="26B61499">
            <w:pPr>
              <w:autoSpaceDN w:val="0"/>
              <w:spacing w:line="440" w:lineRule="exact"/>
              <w:jc w:val="center"/>
              <w:rPr>
                <w:rFonts w:hint="eastAsia" w:ascii="宋体" w:hAnsi="宋体" w:eastAsia="宋体" w:cs="宋体"/>
                <w:sz w:val="22"/>
                <w:szCs w:val="22"/>
                <w:highlight w:val="none"/>
              </w:rPr>
            </w:pPr>
          </w:p>
        </w:tc>
        <w:tc>
          <w:tcPr>
            <w:tcW w:w="742" w:type="dxa"/>
            <w:noWrap/>
            <w:vAlign w:val="center"/>
          </w:tcPr>
          <w:p w14:paraId="5DBFC463">
            <w:pPr>
              <w:autoSpaceDN w:val="0"/>
              <w:spacing w:line="440" w:lineRule="exact"/>
              <w:jc w:val="center"/>
              <w:rPr>
                <w:rFonts w:hint="eastAsia" w:ascii="宋体" w:hAnsi="宋体" w:eastAsia="宋体" w:cs="宋体"/>
                <w:sz w:val="22"/>
                <w:szCs w:val="22"/>
                <w:highlight w:val="none"/>
              </w:rPr>
            </w:pPr>
          </w:p>
        </w:tc>
      </w:tr>
      <w:tr w14:paraId="3622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3B16BD90">
            <w:pPr>
              <w:autoSpaceDN w:val="0"/>
              <w:spacing w:line="440" w:lineRule="exact"/>
              <w:jc w:val="center"/>
              <w:rPr>
                <w:rFonts w:hint="eastAsia" w:ascii="宋体" w:hAnsi="宋体" w:eastAsia="宋体" w:cs="宋体"/>
                <w:sz w:val="22"/>
                <w:szCs w:val="22"/>
                <w:highlight w:val="none"/>
              </w:rPr>
            </w:pPr>
          </w:p>
        </w:tc>
        <w:tc>
          <w:tcPr>
            <w:tcW w:w="1177" w:type="dxa"/>
            <w:noWrap/>
            <w:vAlign w:val="center"/>
          </w:tcPr>
          <w:p w14:paraId="3EE31CDD">
            <w:pPr>
              <w:autoSpaceDN w:val="0"/>
              <w:spacing w:line="440" w:lineRule="exact"/>
              <w:jc w:val="center"/>
              <w:rPr>
                <w:rFonts w:hint="eastAsia" w:ascii="宋体" w:hAnsi="宋体" w:eastAsia="宋体" w:cs="宋体"/>
                <w:sz w:val="22"/>
                <w:szCs w:val="22"/>
                <w:highlight w:val="none"/>
              </w:rPr>
            </w:pPr>
          </w:p>
        </w:tc>
        <w:tc>
          <w:tcPr>
            <w:tcW w:w="822" w:type="dxa"/>
            <w:noWrap/>
            <w:vAlign w:val="center"/>
          </w:tcPr>
          <w:p w14:paraId="7718CDCE">
            <w:pPr>
              <w:autoSpaceDN w:val="0"/>
              <w:spacing w:line="440" w:lineRule="exact"/>
              <w:jc w:val="center"/>
              <w:rPr>
                <w:rFonts w:hint="eastAsia" w:ascii="宋体" w:hAnsi="宋体" w:eastAsia="宋体" w:cs="宋体"/>
                <w:sz w:val="22"/>
                <w:szCs w:val="22"/>
                <w:highlight w:val="none"/>
              </w:rPr>
            </w:pPr>
          </w:p>
        </w:tc>
        <w:tc>
          <w:tcPr>
            <w:tcW w:w="1073" w:type="dxa"/>
            <w:noWrap/>
            <w:vAlign w:val="center"/>
          </w:tcPr>
          <w:p w14:paraId="7B21B1EA">
            <w:pPr>
              <w:autoSpaceDN w:val="0"/>
              <w:spacing w:line="440" w:lineRule="exact"/>
              <w:jc w:val="center"/>
              <w:rPr>
                <w:rFonts w:hint="eastAsia" w:ascii="宋体" w:hAnsi="宋体" w:eastAsia="宋体" w:cs="宋体"/>
                <w:sz w:val="22"/>
                <w:szCs w:val="22"/>
                <w:highlight w:val="none"/>
              </w:rPr>
            </w:pPr>
          </w:p>
        </w:tc>
        <w:tc>
          <w:tcPr>
            <w:tcW w:w="727" w:type="dxa"/>
            <w:noWrap/>
            <w:vAlign w:val="center"/>
          </w:tcPr>
          <w:p w14:paraId="6DA737A6">
            <w:pPr>
              <w:autoSpaceDN w:val="0"/>
              <w:spacing w:line="440" w:lineRule="exact"/>
              <w:jc w:val="center"/>
              <w:rPr>
                <w:rFonts w:hint="eastAsia" w:ascii="宋体" w:hAnsi="宋体" w:eastAsia="宋体" w:cs="宋体"/>
                <w:sz w:val="22"/>
                <w:szCs w:val="22"/>
                <w:highlight w:val="none"/>
              </w:rPr>
            </w:pPr>
          </w:p>
        </w:tc>
        <w:tc>
          <w:tcPr>
            <w:tcW w:w="800" w:type="dxa"/>
            <w:noWrap/>
            <w:vAlign w:val="center"/>
          </w:tcPr>
          <w:p w14:paraId="0B95D9EF">
            <w:pPr>
              <w:autoSpaceDN w:val="0"/>
              <w:spacing w:line="440" w:lineRule="exact"/>
              <w:jc w:val="center"/>
              <w:rPr>
                <w:rFonts w:hint="eastAsia" w:ascii="宋体" w:hAnsi="宋体" w:eastAsia="宋体" w:cs="宋体"/>
                <w:sz w:val="22"/>
                <w:szCs w:val="22"/>
                <w:highlight w:val="none"/>
              </w:rPr>
            </w:pPr>
          </w:p>
        </w:tc>
        <w:tc>
          <w:tcPr>
            <w:tcW w:w="1312" w:type="dxa"/>
            <w:noWrap/>
            <w:vAlign w:val="center"/>
          </w:tcPr>
          <w:p w14:paraId="62046DE2">
            <w:pPr>
              <w:autoSpaceDN w:val="0"/>
              <w:spacing w:line="440" w:lineRule="exact"/>
              <w:jc w:val="center"/>
              <w:rPr>
                <w:rFonts w:hint="eastAsia" w:ascii="宋体" w:hAnsi="宋体" w:eastAsia="宋体" w:cs="宋体"/>
                <w:sz w:val="22"/>
                <w:szCs w:val="22"/>
                <w:highlight w:val="none"/>
              </w:rPr>
            </w:pPr>
          </w:p>
        </w:tc>
        <w:tc>
          <w:tcPr>
            <w:tcW w:w="1151" w:type="dxa"/>
            <w:noWrap/>
            <w:vAlign w:val="center"/>
          </w:tcPr>
          <w:p w14:paraId="5D6ADF9A">
            <w:pPr>
              <w:autoSpaceDN w:val="0"/>
              <w:spacing w:line="440" w:lineRule="exact"/>
              <w:jc w:val="center"/>
              <w:rPr>
                <w:rFonts w:hint="eastAsia" w:ascii="宋体" w:hAnsi="宋体" w:eastAsia="宋体" w:cs="宋体"/>
                <w:sz w:val="22"/>
                <w:szCs w:val="22"/>
                <w:highlight w:val="none"/>
              </w:rPr>
            </w:pPr>
          </w:p>
        </w:tc>
        <w:tc>
          <w:tcPr>
            <w:tcW w:w="742" w:type="dxa"/>
            <w:noWrap/>
            <w:vAlign w:val="center"/>
          </w:tcPr>
          <w:p w14:paraId="0B777658">
            <w:pPr>
              <w:autoSpaceDN w:val="0"/>
              <w:spacing w:line="440" w:lineRule="exact"/>
              <w:jc w:val="center"/>
              <w:rPr>
                <w:rFonts w:hint="eastAsia" w:ascii="宋体" w:hAnsi="宋体" w:eastAsia="宋体" w:cs="宋体"/>
                <w:sz w:val="22"/>
                <w:szCs w:val="22"/>
                <w:highlight w:val="none"/>
              </w:rPr>
            </w:pPr>
          </w:p>
        </w:tc>
      </w:tr>
      <w:tr w14:paraId="2E0B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14:paraId="1566990D">
            <w:pPr>
              <w:autoSpaceDN w:val="0"/>
              <w:spacing w:line="440" w:lineRule="exact"/>
              <w:jc w:val="center"/>
              <w:rPr>
                <w:rFonts w:hint="eastAsia" w:ascii="宋体" w:hAnsi="宋体" w:eastAsia="宋体" w:cs="宋体"/>
                <w:sz w:val="22"/>
                <w:szCs w:val="22"/>
                <w:highlight w:val="none"/>
              </w:rPr>
            </w:pPr>
          </w:p>
        </w:tc>
        <w:tc>
          <w:tcPr>
            <w:tcW w:w="1177" w:type="dxa"/>
            <w:noWrap/>
          </w:tcPr>
          <w:p w14:paraId="315DB750">
            <w:pPr>
              <w:autoSpaceDN w:val="0"/>
              <w:spacing w:line="440" w:lineRule="exact"/>
              <w:jc w:val="center"/>
              <w:rPr>
                <w:rFonts w:hint="eastAsia" w:ascii="宋体" w:hAnsi="宋体" w:eastAsia="宋体" w:cs="宋体"/>
                <w:sz w:val="22"/>
                <w:szCs w:val="22"/>
                <w:highlight w:val="none"/>
              </w:rPr>
            </w:pPr>
          </w:p>
        </w:tc>
        <w:tc>
          <w:tcPr>
            <w:tcW w:w="822" w:type="dxa"/>
            <w:noWrap/>
          </w:tcPr>
          <w:p w14:paraId="45DF8026">
            <w:pPr>
              <w:autoSpaceDN w:val="0"/>
              <w:spacing w:line="440" w:lineRule="exact"/>
              <w:jc w:val="center"/>
              <w:rPr>
                <w:rFonts w:hint="eastAsia" w:ascii="宋体" w:hAnsi="宋体" w:eastAsia="宋体" w:cs="宋体"/>
                <w:sz w:val="22"/>
                <w:szCs w:val="22"/>
                <w:highlight w:val="none"/>
              </w:rPr>
            </w:pPr>
          </w:p>
        </w:tc>
        <w:tc>
          <w:tcPr>
            <w:tcW w:w="1073" w:type="dxa"/>
            <w:noWrap/>
          </w:tcPr>
          <w:p w14:paraId="64F3951C">
            <w:pPr>
              <w:autoSpaceDN w:val="0"/>
              <w:spacing w:line="440" w:lineRule="exact"/>
              <w:jc w:val="center"/>
              <w:rPr>
                <w:rFonts w:hint="eastAsia" w:ascii="宋体" w:hAnsi="宋体" w:eastAsia="宋体" w:cs="宋体"/>
                <w:sz w:val="22"/>
                <w:szCs w:val="22"/>
                <w:highlight w:val="none"/>
              </w:rPr>
            </w:pPr>
          </w:p>
        </w:tc>
        <w:tc>
          <w:tcPr>
            <w:tcW w:w="727" w:type="dxa"/>
            <w:noWrap/>
          </w:tcPr>
          <w:p w14:paraId="3FACFB59">
            <w:pPr>
              <w:autoSpaceDN w:val="0"/>
              <w:spacing w:line="440" w:lineRule="exact"/>
              <w:jc w:val="center"/>
              <w:rPr>
                <w:rFonts w:hint="eastAsia" w:ascii="宋体" w:hAnsi="宋体" w:eastAsia="宋体" w:cs="宋体"/>
                <w:sz w:val="22"/>
                <w:szCs w:val="22"/>
                <w:highlight w:val="none"/>
              </w:rPr>
            </w:pPr>
          </w:p>
        </w:tc>
        <w:tc>
          <w:tcPr>
            <w:tcW w:w="800" w:type="dxa"/>
            <w:noWrap/>
          </w:tcPr>
          <w:p w14:paraId="252E86CB">
            <w:pPr>
              <w:autoSpaceDN w:val="0"/>
              <w:spacing w:line="440" w:lineRule="exact"/>
              <w:jc w:val="center"/>
              <w:rPr>
                <w:rFonts w:hint="eastAsia" w:ascii="宋体" w:hAnsi="宋体" w:eastAsia="宋体" w:cs="宋体"/>
                <w:sz w:val="22"/>
                <w:szCs w:val="22"/>
                <w:highlight w:val="none"/>
              </w:rPr>
            </w:pPr>
          </w:p>
        </w:tc>
        <w:tc>
          <w:tcPr>
            <w:tcW w:w="1312" w:type="dxa"/>
            <w:noWrap/>
          </w:tcPr>
          <w:p w14:paraId="60DB00F0">
            <w:pPr>
              <w:autoSpaceDN w:val="0"/>
              <w:spacing w:line="440" w:lineRule="exact"/>
              <w:jc w:val="center"/>
              <w:rPr>
                <w:rFonts w:hint="eastAsia" w:ascii="宋体" w:hAnsi="宋体" w:eastAsia="宋体" w:cs="宋体"/>
                <w:sz w:val="22"/>
                <w:szCs w:val="22"/>
                <w:highlight w:val="none"/>
              </w:rPr>
            </w:pPr>
          </w:p>
        </w:tc>
        <w:tc>
          <w:tcPr>
            <w:tcW w:w="1151" w:type="dxa"/>
            <w:noWrap/>
          </w:tcPr>
          <w:p w14:paraId="0C07F9D7">
            <w:pPr>
              <w:autoSpaceDN w:val="0"/>
              <w:spacing w:line="440" w:lineRule="exact"/>
              <w:jc w:val="center"/>
              <w:rPr>
                <w:rFonts w:hint="eastAsia" w:ascii="宋体" w:hAnsi="宋体" w:eastAsia="宋体" w:cs="宋体"/>
                <w:sz w:val="22"/>
                <w:szCs w:val="22"/>
                <w:highlight w:val="none"/>
              </w:rPr>
            </w:pPr>
          </w:p>
        </w:tc>
        <w:tc>
          <w:tcPr>
            <w:tcW w:w="742" w:type="dxa"/>
            <w:noWrap/>
          </w:tcPr>
          <w:p w14:paraId="15C45FFE">
            <w:pPr>
              <w:autoSpaceDN w:val="0"/>
              <w:spacing w:line="440" w:lineRule="exact"/>
              <w:jc w:val="center"/>
              <w:rPr>
                <w:rFonts w:hint="eastAsia" w:ascii="宋体" w:hAnsi="宋体" w:eastAsia="宋体" w:cs="宋体"/>
                <w:sz w:val="22"/>
                <w:szCs w:val="22"/>
                <w:highlight w:val="none"/>
              </w:rPr>
            </w:pPr>
          </w:p>
        </w:tc>
      </w:tr>
      <w:tr w14:paraId="4D80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14:paraId="6B029D0E">
            <w:pPr>
              <w:autoSpaceDN w:val="0"/>
              <w:spacing w:line="440" w:lineRule="exact"/>
              <w:jc w:val="center"/>
              <w:rPr>
                <w:rFonts w:hint="eastAsia" w:ascii="宋体" w:hAnsi="宋体" w:eastAsia="宋体" w:cs="宋体"/>
                <w:sz w:val="22"/>
                <w:szCs w:val="22"/>
                <w:highlight w:val="none"/>
              </w:rPr>
            </w:pPr>
          </w:p>
        </w:tc>
        <w:tc>
          <w:tcPr>
            <w:tcW w:w="1177" w:type="dxa"/>
            <w:noWrap/>
          </w:tcPr>
          <w:p w14:paraId="7F7CD2AC">
            <w:pPr>
              <w:autoSpaceDN w:val="0"/>
              <w:spacing w:line="440" w:lineRule="exact"/>
              <w:jc w:val="center"/>
              <w:rPr>
                <w:rFonts w:hint="eastAsia" w:ascii="宋体" w:hAnsi="宋体" w:eastAsia="宋体" w:cs="宋体"/>
                <w:sz w:val="22"/>
                <w:szCs w:val="22"/>
                <w:highlight w:val="none"/>
              </w:rPr>
            </w:pPr>
          </w:p>
        </w:tc>
        <w:tc>
          <w:tcPr>
            <w:tcW w:w="822" w:type="dxa"/>
            <w:noWrap/>
          </w:tcPr>
          <w:p w14:paraId="24B67D3E">
            <w:pPr>
              <w:autoSpaceDN w:val="0"/>
              <w:spacing w:line="440" w:lineRule="exact"/>
              <w:jc w:val="center"/>
              <w:rPr>
                <w:rFonts w:hint="eastAsia" w:ascii="宋体" w:hAnsi="宋体" w:eastAsia="宋体" w:cs="宋体"/>
                <w:sz w:val="22"/>
                <w:szCs w:val="22"/>
                <w:highlight w:val="none"/>
              </w:rPr>
            </w:pPr>
          </w:p>
        </w:tc>
        <w:tc>
          <w:tcPr>
            <w:tcW w:w="1073" w:type="dxa"/>
            <w:noWrap/>
          </w:tcPr>
          <w:p w14:paraId="543FE871">
            <w:pPr>
              <w:autoSpaceDN w:val="0"/>
              <w:spacing w:line="440" w:lineRule="exact"/>
              <w:jc w:val="center"/>
              <w:rPr>
                <w:rFonts w:hint="eastAsia" w:ascii="宋体" w:hAnsi="宋体" w:eastAsia="宋体" w:cs="宋体"/>
                <w:sz w:val="22"/>
                <w:szCs w:val="22"/>
                <w:highlight w:val="none"/>
              </w:rPr>
            </w:pPr>
          </w:p>
        </w:tc>
        <w:tc>
          <w:tcPr>
            <w:tcW w:w="727" w:type="dxa"/>
            <w:noWrap/>
          </w:tcPr>
          <w:p w14:paraId="46284E0A">
            <w:pPr>
              <w:autoSpaceDN w:val="0"/>
              <w:spacing w:line="440" w:lineRule="exact"/>
              <w:jc w:val="center"/>
              <w:rPr>
                <w:rFonts w:hint="eastAsia" w:ascii="宋体" w:hAnsi="宋体" w:eastAsia="宋体" w:cs="宋体"/>
                <w:sz w:val="22"/>
                <w:szCs w:val="22"/>
                <w:highlight w:val="none"/>
              </w:rPr>
            </w:pPr>
          </w:p>
        </w:tc>
        <w:tc>
          <w:tcPr>
            <w:tcW w:w="800" w:type="dxa"/>
            <w:noWrap/>
          </w:tcPr>
          <w:p w14:paraId="78017683">
            <w:pPr>
              <w:autoSpaceDN w:val="0"/>
              <w:spacing w:line="440" w:lineRule="exact"/>
              <w:jc w:val="center"/>
              <w:rPr>
                <w:rFonts w:hint="eastAsia" w:ascii="宋体" w:hAnsi="宋体" w:eastAsia="宋体" w:cs="宋体"/>
                <w:sz w:val="22"/>
                <w:szCs w:val="22"/>
                <w:highlight w:val="none"/>
              </w:rPr>
            </w:pPr>
          </w:p>
        </w:tc>
        <w:tc>
          <w:tcPr>
            <w:tcW w:w="1312" w:type="dxa"/>
            <w:noWrap/>
          </w:tcPr>
          <w:p w14:paraId="65887D51">
            <w:pPr>
              <w:autoSpaceDN w:val="0"/>
              <w:spacing w:line="440" w:lineRule="exact"/>
              <w:jc w:val="center"/>
              <w:rPr>
                <w:rFonts w:hint="eastAsia" w:ascii="宋体" w:hAnsi="宋体" w:eastAsia="宋体" w:cs="宋体"/>
                <w:sz w:val="22"/>
                <w:szCs w:val="22"/>
                <w:highlight w:val="none"/>
              </w:rPr>
            </w:pPr>
          </w:p>
        </w:tc>
        <w:tc>
          <w:tcPr>
            <w:tcW w:w="1151" w:type="dxa"/>
            <w:noWrap/>
          </w:tcPr>
          <w:p w14:paraId="05ECFE46">
            <w:pPr>
              <w:autoSpaceDN w:val="0"/>
              <w:spacing w:line="440" w:lineRule="exact"/>
              <w:jc w:val="center"/>
              <w:rPr>
                <w:rFonts w:hint="eastAsia" w:ascii="宋体" w:hAnsi="宋体" w:eastAsia="宋体" w:cs="宋体"/>
                <w:sz w:val="22"/>
                <w:szCs w:val="22"/>
                <w:highlight w:val="none"/>
              </w:rPr>
            </w:pPr>
          </w:p>
        </w:tc>
        <w:tc>
          <w:tcPr>
            <w:tcW w:w="742" w:type="dxa"/>
            <w:noWrap/>
          </w:tcPr>
          <w:p w14:paraId="11410A3E">
            <w:pPr>
              <w:autoSpaceDN w:val="0"/>
              <w:spacing w:line="440" w:lineRule="exact"/>
              <w:jc w:val="center"/>
              <w:rPr>
                <w:rFonts w:hint="eastAsia" w:ascii="宋体" w:hAnsi="宋体" w:eastAsia="宋体" w:cs="宋体"/>
                <w:sz w:val="22"/>
                <w:szCs w:val="22"/>
                <w:highlight w:val="none"/>
              </w:rPr>
            </w:pPr>
          </w:p>
        </w:tc>
      </w:tr>
    </w:tbl>
    <w:p w14:paraId="21C5CFAE">
      <w:pPr>
        <w:autoSpaceDN w:val="0"/>
        <w:spacing w:line="440" w:lineRule="exact"/>
        <w:rPr>
          <w:rFonts w:hint="eastAsia" w:ascii="宋体" w:hAnsi="宋体" w:eastAsia="宋体" w:cs="宋体"/>
          <w:sz w:val="22"/>
          <w:szCs w:val="22"/>
          <w:highlight w:val="none"/>
        </w:rPr>
      </w:pPr>
    </w:p>
    <w:p w14:paraId="2F479869">
      <w:pPr>
        <w:autoSpaceDN w:val="0"/>
        <w:spacing w:line="44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br w:type="page"/>
      </w:r>
      <w:r>
        <w:rPr>
          <w:rFonts w:hint="eastAsia" w:ascii="宋体" w:hAnsi="宋体" w:eastAsia="宋体" w:cs="宋体"/>
          <w:b/>
          <w:bCs/>
          <w:sz w:val="22"/>
          <w:szCs w:val="22"/>
          <w:highlight w:val="none"/>
        </w:rPr>
        <w:t>附表三、</w:t>
      </w:r>
      <w:r>
        <w:rPr>
          <w:rFonts w:hint="eastAsia" w:ascii="宋体" w:hAnsi="宋体" w:eastAsia="宋体" w:cs="宋体"/>
          <w:b/>
          <w:bCs/>
          <w:kern w:val="0"/>
          <w:sz w:val="22"/>
          <w:szCs w:val="22"/>
          <w:highlight w:val="none"/>
        </w:rPr>
        <w:t>项目管理班子配备情况表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E0F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56C7ECFC">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职务</w:t>
            </w:r>
          </w:p>
        </w:tc>
        <w:tc>
          <w:tcPr>
            <w:tcW w:w="720" w:type="dxa"/>
            <w:vMerge w:val="restart"/>
            <w:noWrap/>
            <w:vAlign w:val="center"/>
          </w:tcPr>
          <w:p w14:paraId="5D8460BB">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姓名</w:t>
            </w:r>
          </w:p>
        </w:tc>
        <w:tc>
          <w:tcPr>
            <w:tcW w:w="720" w:type="dxa"/>
            <w:vMerge w:val="restart"/>
            <w:noWrap/>
            <w:vAlign w:val="center"/>
          </w:tcPr>
          <w:p w14:paraId="5F34D188">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职称</w:t>
            </w:r>
          </w:p>
        </w:tc>
        <w:tc>
          <w:tcPr>
            <w:tcW w:w="5040" w:type="dxa"/>
            <w:gridSpan w:val="5"/>
            <w:noWrap/>
            <w:vAlign w:val="center"/>
          </w:tcPr>
          <w:p w14:paraId="518329DD">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上岗资格证明</w:t>
            </w:r>
          </w:p>
        </w:tc>
        <w:tc>
          <w:tcPr>
            <w:tcW w:w="1800" w:type="dxa"/>
            <w:gridSpan w:val="2"/>
            <w:noWrap/>
            <w:vAlign w:val="center"/>
          </w:tcPr>
          <w:p w14:paraId="06D3FE1B">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已承担在建工程情况</w:t>
            </w:r>
          </w:p>
        </w:tc>
      </w:tr>
      <w:tr w14:paraId="0125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14:paraId="4E27F5BF">
            <w:pPr>
              <w:autoSpaceDN w:val="0"/>
              <w:spacing w:line="360" w:lineRule="auto"/>
              <w:rPr>
                <w:rFonts w:hint="eastAsia" w:ascii="宋体" w:hAnsi="宋体" w:eastAsia="宋体" w:cs="宋体"/>
                <w:kern w:val="0"/>
                <w:sz w:val="22"/>
                <w:szCs w:val="22"/>
                <w:highlight w:val="none"/>
              </w:rPr>
            </w:pPr>
          </w:p>
        </w:tc>
        <w:tc>
          <w:tcPr>
            <w:tcW w:w="720" w:type="dxa"/>
            <w:vMerge w:val="continue"/>
            <w:noWrap/>
          </w:tcPr>
          <w:p w14:paraId="5887EC08">
            <w:pPr>
              <w:autoSpaceDN w:val="0"/>
              <w:spacing w:line="360" w:lineRule="auto"/>
              <w:rPr>
                <w:rFonts w:hint="eastAsia" w:ascii="宋体" w:hAnsi="宋体" w:eastAsia="宋体" w:cs="宋体"/>
                <w:kern w:val="0"/>
                <w:sz w:val="22"/>
                <w:szCs w:val="22"/>
                <w:highlight w:val="none"/>
              </w:rPr>
            </w:pPr>
          </w:p>
        </w:tc>
        <w:tc>
          <w:tcPr>
            <w:tcW w:w="720" w:type="dxa"/>
            <w:vMerge w:val="continue"/>
            <w:noWrap/>
          </w:tcPr>
          <w:p w14:paraId="0EE2149D">
            <w:pPr>
              <w:autoSpaceDN w:val="0"/>
              <w:spacing w:line="360" w:lineRule="auto"/>
              <w:rPr>
                <w:rFonts w:hint="eastAsia" w:ascii="宋体" w:hAnsi="宋体" w:eastAsia="宋体" w:cs="宋体"/>
                <w:kern w:val="0"/>
                <w:sz w:val="22"/>
                <w:szCs w:val="22"/>
                <w:highlight w:val="none"/>
              </w:rPr>
            </w:pPr>
          </w:p>
        </w:tc>
        <w:tc>
          <w:tcPr>
            <w:tcW w:w="888" w:type="dxa"/>
            <w:noWrap/>
            <w:vAlign w:val="center"/>
          </w:tcPr>
          <w:p w14:paraId="6157851D">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证书</w:t>
            </w:r>
          </w:p>
          <w:p w14:paraId="6B37CEC8">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名称</w:t>
            </w:r>
          </w:p>
        </w:tc>
        <w:tc>
          <w:tcPr>
            <w:tcW w:w="888" w:type="dxa"/>
            <w:noWrap/>
            <w:vAlign w:val="center"/>
          </w:tcPr>
          <w:p w14:paraId="40E4F12C">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级别</w:t>
            </w:r>
          </w:p>
        </w:tc>
        <w:tc>
          <w:tcPr>
            <w:tcW w:w="888" w:type="dxa"/>
            <w:noWrap/>
            <w:vAlign w:val="center"/>
          </w:tcPr>
          <w:p w14:paraId="067D4C90">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证号</w:t>
            </w:r>
          </w:p>
        </w:tc>
        <w:tc>
          <w:tcPr>
            <w:tcW w:w="888" w:type="dxa"/>
            <w:noWrap/>
            <w:vAlign w:val="center"/>
          </w:tcPr>
          <w:p w14:paraId="7C89E3B8">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专业</w:t>
            </w:r>
          </w:p>
        </w:tc>
        <w:tc>
          <w:tcPr>
            <w:tcW w:w="1488" w:type="dxa"/>
            <w:noWrap/>
            <w:vAlign w:val="center"/>
          </w:tcPr>
          <w:p w14:paraId="2F0BA4AF">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原服务单位</w:t>
            </w:r>
          </w:p>
        </w:tc>
        <w:tc>
          <w:tcPr>
            <w:tcW w:w="889" w:type="dxa"/>
            <w:noWrap/>
            <w:vAlign w:val="center"/>
          </w:tcPr>
          <w:p w14:paraId="0EE8C96F">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项目数</w:t>
            </w:r>
          </w:p>
        </w:tc>
        <w:tc>
          <w:tcPr>
            <w:tcW w:w="911" w:type="dxa"/>
            <w:noWrap/>
            <w:vAlign w:val="center"/>
          </w:tcPr>
          <w:p w14:paraId="0E424437">
            <w:pPr>
              <w:autoSpaceDN w:val="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主要项目名称</w:t>
            </w:r>
          </w:p>
        </w:tc>
      </w:tr>
      <w:tr w14:paraId="35DD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5296FDDA">
            <w:pPr>
              <w:autoSpaceDN w:val="0"/>
              <w:spacing w:line="360" w:lineRule="auto"/>
              <w:rPr>
                <w:rFonts w:hint="eastAsia" w:ascii="宋体" w:hAnsi="宋体" w:eastAsia="宋体" w:cs="宋体"/>
                <w:kern w:val="0"/>
                <w:sz w:val="22"/>
                <w:szCs w:val="22"/>
                <w:highlight w:val="none"/>
              </w:rPr>
            </w:pPr>
          </w:p>
        </w:tc>
        <w:tc>
          <w:tcPr>
            <w:tcW w:w="720" w:type="dxa"/>
            <w:noWrap/>
          </w:tcPr>
          <w:p w14:paraId="17A92F5C">
            <w:pPr>
              <w:autoSpaceDN w:val="0"/>
              <w:spacing w:line="360" w:lineRule="auto"/>
              <w:rPr>
                <w:rFonts w:hint="eastAsia" w:ascii="宋体" w:hAnsi="宋体" w:eastAsia="宋体" w:cs="宋体"/>
                <w:kern w:val="0"/>
                <w:sz w:val="22"/>
                <w:szCs w:val="22"/>
                <w:highlight w:val="none"/>
              </w:rPr>
            </w:pPr>
          </w:p>
        </w:tc>
        <w:tc>
          <w:tcPr>
            <w:tcW w:w="720" w:type="dxa"/>
            <w:noWrap/>
          </w:tcPr>
          <w:p w14:paraId="50C2E84E">
            <w:pPr>
              <w:autoSpaceDN w:val="0"/>
              <w:spacing w:line="360" w:lineRule="auto"/>
              <w:rPr>
                <w:rFonts w:hint="eastAsia" w:ascii="宋体" w:hAnsi="宋体" w:eastAsia="宋体" w:cs="宋体"/>
                <w:kern w:val="0"/>
                <w:sz w:val="22"/>
                <w:szCs w:val="22"/>
                <w:highlight w:val="none"/>
              </w:rPr>
            </w:pPr>
          </w:p>
        </w:tc>
        <w:tc>
          <w:tcPr>
            <w:tcW w:w="888" w:type="dxa"/>
            <w:noWrap/>
          </w:tcPr>
          <w:p w14:paraId="29467809">
            <w:pPr>
              <w:autoSpaceDN w:val="0"/>
              <w:spacing w:line="360" w:lineRule="auto"/>
              <w:rPr>
                <w:rFonts w:hint="eastAsia" w:ascii="宋体" w:hAnsi="宋体" w:eastAsia="宋体" w:cs="宋体"/>
                <w:kern w:val="0"/>
                <w:sz w:val="22"/>
                <w:szCs w:val="22"/>
                <w:highlight w:val="none"/>
              </w:rPr>
            </w:pPr>
          </w:p>
        </w:tc>
        <w:tc>
          <w:tcPr>
            <w:tcW w:w="888" w:type="dxa"/>
            <w:noWrap/>
          </w:tcPr>
          <w:p w14:paraId="57134465">
            <w:pPr>
              <w:autoSpaceDN w:val="0"/>
              <w:spacing w:line="360" w:lineRule="auto"/>
              <w:rPr>
                <w:rFonts w:hint="eastAsia" w:ascii="宋体" w:hAnsi="宋体" w:eastAsia="宋体" w:cs="宋体"/>
                <w:kern w:val="0"/>
                <w:sz w:val="22"/>
                <w:szCs w:val="22"/>
                <w:highlight w:val="none"/>
              </w:rPr>
            </w:pPr>
          </w:p>
        </w:tc>
        <w:tc>
          <w:tcPr>
            <w:tcW w:w="888" w:type="dxa"/>
            <w:noWrap/>
          </w:tcPr>
          <w:p w14:paraId="332E3B36">
            <w:pPr>
              <w:autoSpaceDN w:val="0"/>
              <w:spacing w:line="360" w:lineRule="auto"/>
              <w:rPr>
                <w:rFonts w:hint="eastAsia" w:ascii="宋体" w:hAnsi="宋体" w:eastAsia="宋体" w:cs="宋体"/>
                <w:kern w:val="0"/>
                <w:sz w:val="22"/>
                <w:szCs w:val="22"/>
                <w:highlight w:val="none"/>
              </w:rPr>
            </w:pPr>
          </w:p>
        </w:tc>
        <w:tc>
          <w:tcPr>
            <w:tcW w:w="888" w:type="dxa"/>
            <w:noWrap/>
          </w:tcPr>
          <w:p w14:paraId="68B1C9A9">
            <w:pPr>
              <w:autoSpaceDN w:val="0"/>
              <w:spacing w:line="360" w:lineRule="auto"/>
              <w:rPr>
                <w:rFonts w:hint="eastAsia" w:ascii="宋体" w:hAnsi="宋体" w:eastAsia="宋体" w:cs="宋体"/>
                <w:kern w:val="0"/>
                <w:sz w:val="22"/>
                <w:szCs w:val="22"/>
                <w:highlight w:val="none"/>
              </w:rPr>
            </w:pPr>
          </w:p>
        </w:tc>
        <w:tc>
          <w:tcPr>
            <w:tcW w:w="1488" w:type="dxa"/>
            <w:noWrap/>
          </w:tcPr>
          <w:p w14:paraId="7576AA4A">
            <w:pPr>
              <w:autoSpaceDN w:val="0"/>
              <w:spacing w:line="360" w:lineRule="auto"/>
              <w:rPr>
                <w:rFonts w:hint="eastAsia" w:ascii="宋体" w:hAnsi="宋体" w:eastAsia="宋体" w:cs="宋体"/>
                <w:kern w:val="0"/>
                <w:sz w:val="22"/>
                <w:szCs w:val="22"/>
                <w:highlight w:val="none"/>
              </w:rPr>
            </w:pPr>
          </w:p>
        </w:tc>
        <w:tc>
          <w:tcPr>
            <w:tcW w:w="889" w:type="dxa"/>
            <w:noWrap/>
          </w:tcPr>
          <w:p w14:paraId="6F71F2A6">
            <w:pPr>
              <w:autoSpaceDN w:val="0"/>
              <w:spacing w:line="360" w:lineRule="auto"/>
              <w:rPr>
                <w:rFonts w:hint="eastAsia" w:ascii="宋体" w:hAnsi="宋体" w:eastAsia="宋体" w:cs="宋体"/>
                <w:kern w:val="0"/>
                <w:sz w:val="22"/>
                <w:szCs w:val="22"/>
                <w:highlight w:val="none"/>
              </w:rPr>
            </w:pPr>
          </w:p>
        </w:tc>
        <w:tc>
          <w:tcPr>
            <w:tcW w:w="911" w:type="dxa"/>
            <w:noWrap/>
          </w:tcPr>
          <w:p w14:paraId="714587D9">
            <w:pPr>
              <w:autoSpaceDN w:val="0"/>
              <w:spacing w:line="360" w:lineRule="auto"/>
              <w:rPr>
                <w:rFonts w:hint="eastAsia" w:ascii="宋体" w:hAnsi="宋体" w:eastAsia="宋体" w:cs="宋体"/>
                <w:kern w:val="0"/>
                <w:sz w:val="22"/>
                <w:szCs w:val="22"/>
                <w:highlight w:val="none"/>
              </w:rPr>
            </w:pPr>
          </w:p>
        </w:tc>
      </w:tr>
      <w:tr w14:paraId="49C0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78D38FD4">
            <w:pPr>
              <w:autoSpaceDN w:val="0"/>
              <w:spacing w:line="360" w:lineRule="auto"/>
              <w:rPr>
                <w:rFonts w:hint="eastAsia" w:ascii="宋体" w:hAnsi="宋体" w:eastAsia="宋体" w:cs="宋体"/>
                <w:kern w:val="0"/>
                <w:sz w:val="22"/>
                <w:szCs w:val="22"/>
                <w:highlight w:val="none"/>
              </w:rPr>
            </w:pPr>
          </w:p>
        </w:tc>
        <w:tc>
          <w:tcPr>
            <w:tcW w:w="720" w:type="dxa"/>
            <w:noWrap/>
          </w:tcPr>
          <w:p w14:paraId="52EF040C">
            <w:pPr>
              <w:autoSpaceDN w:val="0"/>
              <w:spacing w:line="360" w:lineRule="auto"/>
              <w:rPr>
                <w:rFonts w:hint="eastAsia" w:ascii="宋体" w:hAnsi="宋体" w:eastAsia="宋体" w:cs="宋体"/>
                <w:kern w:val="0"/>
                <w:sz w:val="22"/>
                <w:szCs w:val="22"/>
                <w:highlight w:val="none"/>
              </w:rPr>
            </w:pPr>
          </w:p>
        </w:tc>
        <w:tc>
          <w:tcPr>
            <w:tcW w:w="720" w:type="dxa"/>
            <w:noWrap/>
          </w:tcPr>
          <w:p w14:paraId="787D4497">
            <w:pPr>
              <w:autoSpaceDN w:val="0"/>
              <w:spacing w:line="360" w:lineRule="auto"/>
              <w:rPr>
                <w:rFonts w:hint="eastAsia" w:ascii="宋体" w:hAnsi="宋体" w:eastAsia="宋体" w:cs="宋体"/>
                <w:kern w:val="0"/>
                <w:sz w:val="22"/>
                <w:szCs w:val="22"/>
                <w:highlight w:val="none"/>
              </w:rPr>
            </w:pPr>
          </w:p>
        </w:tc>
        <w:tc>
          <w:tcPr>
            <w:tcW w:w="888" w:type="dxa"/>
            <w:noWrap/>
          </w:tcPr>
          <w:p w14:paraId="7DBD4466">
            <w:pPr>
              <w:autoSpaceDN w:val="0"/>
              <w:spacing w:line="360" w:lineRule="auto"/>
              <w:rPr>
                <w:rFonts w:hint="eastAsia" w:ascii="宋体" w:hAnsi="宋体" w:eastAsia="宋体" w:cs="宋体"/>
                <w:kern w:val="0"/>
                <w:sz w:val="22"/>
                <w:szCs w:val="22"/>
                <w:highlight w:val="none"/>
              </w:rPr>
            </w:pPr>
          </w:p>
        </w:tc>
        <w:tc>
          <w:tcPr>
            <w:tcW w:w="888" w:type="dxa"/>
            <w:noWrap/>
          </w:tcPr>
          <w:p w14:paraId="179C14E1">
            <w:pPr>
              <w:autoSpaceDN w:val="0"/>
              <w:spacing w:line="360" w:lineRule="auto"/>
              <w:rPr>
                <w:rFonts w:hint="eastAsia" w:ascii="宋体" w:hAnsi="宋体" w:eastAsia="宋体" w:cs="宋体"/>
                <w:kern w:val="0"/>
                <w:sz w:val="22"/>
                <w:szCs w:val="22"/>
                <w:highlight w:val="none"/>
              </w:rPr>
            </w:pPr>
          </w:p>
        </w:tc>
        <w:tc>
          <w:tcPr>
            <w:tcW w:w="888" w:type="dxa"/>
            <w:noWrap/>
          </w:tcPr>
          <w:p w14:paraId="2C0CCA96">
            <w:pPr>
              <w:autoSpaceDN w:val="0"/>
              <w:spacing w:line="360" w:lineRule="auto"/>
              <w:rPr>
                <w:rFonts w:hint="eastAsia" w:ascii="宋体" w:hAnsi="宋体" w:eastAsia="宋体" w:cs="宋体"/>
                <w:kern w:val="0"/>
                <w:sz w:val="22"/>
                <w:szCs w:val="22"/>
                <w:highlight w:val="none"/>
              </w:rPr>
            </w:pPr>
          </w:p>
        </w:tc>
        <w:tc>
          <w:tcPr>
            <w:tcW w:w="888" w:type="dxa"/>
            <w:noWrap/>
          </w:tcPr>
          <w:p w14:paraId="66CAB414">
            <w:pPr>
              <w:autoSpaceDN w:val="0"/>
              <w:spacing w:line="360" w:lineRule="auto"/>
              <w:rPr>
                <w:rFonts w:hint="eastAsia" w:ascii="宋体" w:hAnsi="宋体" w:eastAsia="宋体" w:cs="宋体"/>
                <w:kern w:val="0"/>
                <w:sz w:val="22"/>
                <w:szCs w:val="22"/>
                <w:highlight w:val="none"/>
              </w:rPr>
            </w:pPr>
          </w:p>
        </w:tc>
        <w:tc>
          <w:tcPr>
            <w:tcW w:w="1488" w:type="dxa"/>
            <w:noWrap/>
          </w:tcPr>
          <w:p w14:paraId="038FDBCB">
            <w:pPr>
              <w:autoSpaceDN w:val="0"/>
              <w:spacing w:line="360" w:lineRule="auto"/>
              <w:rPr>
                <w:rFonts w:hint="eastAsia" w:ascii="宋体" w:hAnsi="宋体" w:eastAsia="宋体" w:cs="宋体"/>
                <w:kern w:val="0"/>
                <w:sz w:val="22"/>
                <w:szCs w:val="22"/>
                <w:highlight w:val="none"/>
              </w:rPr>
            </w:pPr>
          </w:p>
        </w:tc>
        <w:tc>
          <w:tcPr>
            <w:tcW w:w="889" w:type="dxa"/>
            <w:noWrap/>
          </w:tcPr>
          <w:p w14:paraId="25AF3693">
            <w:pPr>
              <w:autoSpaceDN w:val="0"/>
              <w:spacing w:line="360" w:lineRule="auto"/>
              <w:rPr>
                <w:rFonts w:hint="eastAsia" w:ascii="宋体" w:hAnsi="宋体" w:eastAsia="宋体" w:cs="宋体"/>
                <w:kern w:val="0"/>
                <w:sz w:val="22"/>
                <w:szCs w:val="22"/>
                <w:highlight w:val="none"/>
              </w:rPr>
            </w:pPr>
          </w:p>
        </w:tc>
        <w:tc>
          <w:tcPr>
            <w:tcW w:w="911" w:type="dxa"/>
            <w:noWrap/>
          </w:tcPr>
          <w:p w14:paraId="02DD2764">
            <w:pPr>
              <w:autoSpaceDN w:val="0"/>
              <w:spacing w:line="360" w:lineRule="auto"/>
              <w:rPr>
                <w:rFonts w:hint="eastAsia" w:ascii="宋体" w:hAnsi="宋体" w:eastAsia="宋体" w:cs="宋体"/>
                <w:kern w:val="0"/>
                <w:sz w:val="22"/>
                <w:szCs w:val="22"/>
                <w:highlight w:val="none"/>
              </w:rPr>
            </w:pPr>
          </w:p>
        </w:tc>
      </w:tr>
      <w:tr w14:paraId="6BF0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340E502A">
            <w:pPr>
              <w:autoSpaceDN w:val="0"/>
              <w:spacing w:line="360" w:lineRule="auto"/>
              <w:rPr>
                <w:rFonts w:hint="eastAsia" w:ascii="宋体" w:hAnsi="宋体" w:eastAsia="宋体" w:cs="宋体"/>
                <w:kern w:val="0"/>
                <w:sz w:val="22"/>
                <w:szCs w:val="22"/>
                <w:highlight w:val="none"/>
              </w:rPr>
            </w:pPr>
          </w:p>
        </w:tc>
        <w:tc>
          <w:tcPr>
            <w:tcW w:w="720" w:type="dxa"/>
            <w:noWrap/>
          </w:tcPr>
          <w:p w14:paraId="1DEA7D42">
            <w:pPr>
              <w:autoSpaceDN w:val="0"/>
              <w:spacing w:line="360" w:lineRule="auto"/>
              <w:rPr>
                <w:rFonts w:hint="eastAsia" w:ascii="宋体" w:hAnsi="宋体" w:eastAsia="宋体" w:cs="宋体"/>
                <w:kern w:val="0"/>
                <w:sz w:val="22"/>
                <w:szCs w:val="22"/>
                <w:highlight w:val="none"/>
              </w:rPr>
            </w:pPr>
          </w:p>
        </w:tc>
        <w:tc>
          <w:tcPr>
            <w:tcW w:w="720" w:type="dxa"/>
            <w:noWrap/>
          </w:tcPr>
          <w:p w14:paraId="56FD908C">
            <w:pPr>
              <w:autoSpaceDN w:val="0"/>
              <w:spacing w:line="360" w:lineRule="auto"/>
              <w:rPr>
                <w:rFonts w:hint="eastAsia" w:ascii="宋体" w:hAnsi="宋体" w:eastAsia="宋体" w:cs="宋体"/>
                <w:kern w:val="0"/>
                <w:sz w:val="22"/>
                <w:szCs w:val="22"/>
                <w:highlight w:val="none"/>
              </w:rPr>
            </w:pPr>
          </w:p>
        </w:tc>
        <w:tc>
          <w:tcPr>
            <w:tcW w:w="888" w:type="dxa"/>
            <w:noWrap/>
          </w:tcPr>
          <w:p w14:paraId="49D4BD96">
            <w:pPr>
              <w:autoSpaceDN w:val="0"/>
              <w:spacing w:line="360" w:lineRule="auto"/>
              <w:rPr>
                <w:rFonts w:hint="eastAsia" w:ascii="宋体" w:hAnsi="宋体" w:eastAsia="宋体" w:cs="宋体"/>
                <w:kern w:val="0"/>
                <w:sz w:val="22"/>
                <w:szCs w:val="22"/>
                <w:highlight w:val="none"/>
              </w:rPr>
            </w:pPr>
          </w:p>
        </w:tc>
        <w:tc>
          <w:tcPr>
            <w:tcW w:w="888" w:type="dxa"/>
            <w:noWrap/>
          </w:tcPr>
          <w:p w14:paraId="7240AB0B">
            <w:pPr>
              <w:autoSpaceDN w:val="0"/>
              <w:spacing w:line="360" w:lineRule="auto"/>
              <w:rPr>
                <w:rFonts w:hint="eastAsia" w:ascii="宋体" w:hAnsi="宋体" w:eastAsia="宋体" w:cs="宋体"/>
                <w:kern w:val="0"/>
                <w:sz w:val="22"/>
                <w:szCs w:val="22"/>
                <w:highlight w:val="none"/>
              </w:rPr>
            </w:pPr>
          </w:p>
        </w:tc>
        <w:tc>
          <w:tcPr>
            <w:tcW w:w="888" w:type="dxa"/>
            <w:noWrap/>
          </w:tcPr>
          <w:p w14:paraId="2A1D72F0">
            <w:pPr>
              <w:autoSpaceDN w:val="0"/>
              <w:spacing w:line="360" w:lineRule="auto"/>
              <w:rPr>
                <w:rFonts w:hint="eastAsia" w:ascii="宋体" w:hAnsi="宋体" w:eastAsia="宋体" w:cs="宋体"/>
                <w:kern w:val="0"/>
                <w:sz w:val="22"/>
                <w:szCs w:val="22"/>
                <w:highlight w:val="none"/>
              </w:rPr>
            </w:pPr>
          </w:p>
        </w:tc>
        <w:tc>
          <w:tcPr>
            <w:tcW w:w="888" w:type="dxa"/>
            <w:noWrap/>
          </w:tcPr>
          <w:p w14:paraId="53D3894D">
            <w:pPr>
              <w:autoSpaceDN w:val="0"/>
              <w:spacing w:line="360" w:lineRule="auto"/>
              <w:rPr>
                <w:rFonts w:hint="eastAsia" w:ascii="宋体" w:hAnsi="宋体" w:eastAsia="宋体" w:cs="宋体"/>
                <w:kern w:val="0"/>
                <w:sz w:val="22"/>
                <w:szCs w:val="22"/>
                <w:highlight w:val="none"/>
              </w:rPr>
            </w:pPr>
          </w:p>
        </w:tc>
        <w:tc>
          <w:tcPr>
            <w:tcW w:w="1488" w:type="dxa"/>
            <w:noWrap/>
          </w:tcPr>
          <w:p w14:paraId="4F482AA9">
            <w:pPr>
              <w:autoSpaceDN w:val="0"/>
              <w:spacing w:line="360" w:lineRule="auto"/>
              <w:rPr>
                <w:rFonts w:hint="eastAsia" w:ascii="宋体" w:hAnsi="宋体" w:eastAsia="宋体" w:cs="宋体"/>
                <w:kern w:val="0"/>
                <w:sz w:val="22"/>
                <w:szCs w:val="22"/>
                <w:highlight w:val="none"/>
              </w:rPr>
            </w:pPr>
          </w:p>
        </w:tc>
        <w:tc>
          <w:tcPr>
            <w:tcW w:w="889" w:type="dxa"/>
            <w:noWrap/>
          </w:tcPr>
          <w:p w14:paraId="6ECC5732">
            <w:pPr>
              <w:autoSpaceDN w:val="0"/>
              <w:spacing w:line="360" w:lineRule="auto"/>
              <w:rPr>
                <w:rFonts w:hint="eastAsia" w:ascii="宋体" w:hAnsi="宋体" w:eastAsia="宋体" w:cs="宋体"/>
                <w:kern w:val="0"/>
                <w:sz w:val="22"/>
                <w:szCs w:val="22"/>
                <w:highlight w:val="none"/>
              </w:rPr>
            </w:pPr>
          </w:p>
        </w:tc>
        <w:tc>
          <w:tcPr>
            <w:tcW w:w="911" w:type="dxa"/>
            <w:noWrap/>
          </w:tcPr>
          <w:p w14:paraId="79F6FD83">
            <w:pPr>
              <w:autoSpaceDN w:val="0"/>
              <w:spacing w:line="360" w:lineRule="auto"/>
              <w:rPr>
                <w:rFonts w:hint="eastAsia" w:ascii="宋体" w:hAnsi="宋体" w:eastAsia="宋体" w:cs="宋体"/>
                <w:kern w:val="0"/>
                <w:sz w:val="22"/>
                <w:szCs w:val="22"/>
                <w:highlight w:val="none"/>
              </w:rPr>
            </w:pPr>
          </w:p>
        </w:tc>
      </w:tr>
      <w:tr w14:paraId="4CC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6C218F30">
            <w:pPr>
              <w:autoSpaceDN w:val="0"/>
              <w:spacing w:line="360" w:lineRule="auto"/>
              <w:rPr>
                <w:rFonts w:hint="eastAsia" w:ascii="宋体" w:hAnsi="宋体" w:eastAsia="宋体" w:cs="宋体"/>
                <w:kern w:val="0"/>
                <w:sz w:val="22"/>
                <w:szCs w:val="22"/>
                <w:highlight w:val="none"/>
              </w:rPr>
            </w:pPr>
          </w:p>
        </w:tc>
        <w:tc>
          <w:tcPr>
            <w:tcW w:w="720" w:type="dxa"/>
            <w:noWrap/>
          </w:tcPr>
          <w:p w14:paraId="29456244">
            <w:pPr>
              <w:autoSpaceDN w:val="0"/>
              <w:spacing w:line="360" w:lineRule="auto"/>
              <w:rPr>
                <w:rFonts w:hint="eastAsia" w:ascii="宋体" w:hAnsi="宋体" w:eastAsia="宋体" w:cs="宋体"/>
                <w:kern w:val="0"/>
                <w:sz w:val="22"/>
                <w:szCs w:val="22"/>
                <w:highlight w:val="none"/>
              </w:rPr>
            </w:pPr>
          </w:p>
        </w:tc>
        <w:tc>
          <w:tcPr>
            <w:tcW w:w="720" w:type="dxa"/>
            <w:noWrap/>
          </w:tcPr>
          <w:p w14:paraId="4CBE15D0">
            <w:pPr>
              <w:autoSpaceDN w:val="0"/>
              <w:spacing w:line="360" w:lineRule="auto"/>
              <w:rPr>
                <w:rFonts w:hint="eastAsia" w:ascii="宋体" w:hAnsi="宋体" w:eastAsia="宋体" w:cs="宋体"/>
                <w:kern w:val="0"/>
                <w:sz w:val="22"/>
                <w:szCs w:val="22"/>
                <w:highlight w:val="none"/>
              </w:rPr>
            </w:pPr>
          </w:p>
        </w:tc>
        <w:tc>
          <w:tcPr>
            <w:tcW w:w="888" w:type="dxa"/>
            <w:noWrap/>
          </w:tcPr>
          <w:p w14:paraId="67939DB0">
            <w:pPr>
              <w:autoSpaceDN w:val="0"/>
              <w:spacing w:line="360" w:lineRule="auto"/>
              <w:rPr>
                <w:rFonts w:hint="eastAsia" w:ascii="宋体" w:hAnsi="宋体" w:eastAsia="宋体" w:cs="宋体"/>
                <w:kern w:val="0"/>
                <w:sz w:val="22"/>
                <w:szCs w:val="22"/>
                <w:highlight w:val="none"/>
              </w:rPr>
            </w:pPr>
          </w:p>
        </w:tc>
        <w:tc>
          <w:tcPr>
            <w:tcW w:w="888" w:type="dxa"/>
            <w:noWrap/>
          </w:tcPr>
          <w:p w14:paraId="4B92EE56">
            <w:pPr>
              <w:autoSpaceDN w:val="0"/>
              <w:spacing w:line="360" w:lineRule="auto"/>
              <w:rPr>
                <w:rFonts w:hint="eastAsia" w:ascii="宋体" w:hAnsi="宋体" w:eastAsia="宋体" w:cs="宋体"/>
                <w:kern w:val="0"/>
                <w:sz w:val="22"/>
                <w:szCs w:val="22"/>
                <w:highlight w:val="none"/>
              </w:rPr>
            </w:pPr>
          </w:p>
        </w:tc>
        <w:tc>
          <w:tcPr>
            <w:tcW w:w="888" w:type="dxa"/>
            <w:noWrap/>
          </w:tcPr>
          <w:p w14:paraId="0FA0D28B">
            <w:pPr>
              <w:autoSpaceDN w:val="0"/>
              <w:spacing w:line="360" w:lineRule="auto"/>
              <w:rPr>
                <w:rFonts w:hint="eastAsia" w:ascii="宋体" w:hAnsi="宋体" w:eastAsia="宋体" w:cs="宋体"/>
                <w:kern w:val="0"/>
                <w:sz w:val="22"/>
                <w:szCs w:val="22"/>
                <w:highlight w:val="none"/>
              </w:rPr>
            </w:pPr>
          </w:p>
        </w:tc>
        <w:tc>
          <w:tcPr>
            <w:tcW w:w="888" w:type="dxa"/>
            <w:noWrap/>
          </w:tcPr>
          <w:p w14:paraId="5B8C2F25">
            <w:pPr>
              <w:autoSpaceDN w:val="0"/>
              <w:spacing w:line="360" w:lineRule="auto"/>
              <w:rPr>
                <w:rFonts w:hint="eastAsia" w:ascii="宋体" w:hAnsi="宋体" w:eastAsia="宋体" w:cs="宋体"/>
                <w:kern w:val="0"/>
                <w:sz w:val="22"/>
                <w:szCs w:val="22"/>
                <w:highlight w:val="none"/>
              </w:rPr>
            </w:pPr>
          </w:p>
        </w:tc>
        <w:tc>
          <w:tcPr>
            <w:tcW w:w="1488" w:type="dxa"/>
            <w:noWrap/>
          </w:tcPr>
          <w:p w14:paraId="26BAE7F2">
            <w:pPr>
              <w:autoSpaceDN w:val="0"/>
              <w:spacing w:line="360" w:lineRule="auto"/>
              <w:rPr>
                <w:rFonts w:hint="eastAsia" w:ascii="宋体" w:hAnsi="宋体" w:eastAsia="宋体" w:cs="宋体"/>
                <w:kern w:val="0"/>
                <w:sz w:val="22"/>
                <w:szCs w:val="22"/>
                <w:highlight w:val="none"/>
              </w:rPr>
            </w:pPr>
          </w:p>
        </w:tc>
        <w:tc>
          <w:tcPr>
            <w:tcW w:w="889" w:type="dxa"/>
            <w:noWrap/>
          </w:tcPr>
          <w:p w14:paraId="2DC80C75">
            <w:pPr>
              <w:autoSpaceDN w:val="0"/>
              <w:spacing w:line="360" w:lineRule="auto"/>
              <w:rPr>
                <w:rFonts w:hint="eastAsia" w:ascii="宋体" w:hAnsi="宋体" w:eastAsia="宋体" w:cs="宋体"/>
                <w:kern w:val="0"/>
                <w:sz w:val="22"/>
                <w:szCs w:val="22"/>
                <w:highlight w:val="none"/>
              </w:rPr>
            </w:pPr>
          </w:p>
        </w:tc>
        <w:tc>
          <w:tcPr>
            <w:tcW w:w="911" w:type="dxa"/>
            <w:noWrap/>
          </w:tcPr>
          <w:p w14:paraId="1C97B22A">
            <w:pPr>
              <w:autoSpaceDN w:val="0"/>
              <w:spacing w:line="360" w:lineRule="auto"/>
              <w:rPr>
                <w:rFonts w:hint="eastAsia" w:ascii="宋体" w:hAnsi="宋体" w:eastAsia="宋体" w:cs="宋体"/>
                <w:kern w:val="0"/>
                <w:sz w:val="22"/>
                <w:szCs w:val="22"/>
                <w:highlight w:val="none"/>
              </w:rPr>
            </w:pPr>
          </w:p>
        </w:tc>
      </w:tr>
      <w:tr w14:paraId="2C10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14:paraId="382BA552">
            <w:pPr>
              <w:autoSpaceDN w:val="0"/>
              <w:spacing w:line="360" w:lineRule="auto"/>
              <w:ind w:firstLine="495" w:firstLineChars="225"/>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7335327A">
      <w:pPr>
        <w:autoSpaceDN w:val="0"/>
        <w:spacing w:line="440" w:lineRule="exact"/>
        <w:rPr>
          <w:rFonts w:hint="eastAsia" w:ascii="宋体" w:hAnsi="宋体" w:eastAsia="宋体" w:cs="宋体"/>
          <w:b/>
          <w:bCs/>
          <w:sz w:val="22"/>
          <w:szCs w:val="22"/>
          <w:highlight w:val="none"/>
        </w:rPr>
      </w:pPr>
    </w:p>
    <w:p w14:paraId="34ADD41F">
      <w:pPr>
        <w:autoSpaceDN w:val="0"/>
        <w:spacing w:line="44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附表四、</w:t>
      </w:r>
      <w:r>
        <w:rPr>
          <w:rFonts w:hint="eastAsia" w:ascii="宋体" w:hAnsi="宋体" w:eastAsia="宋体" w:cs="宋体"/>
          <w:b/>
          <w:bCs/>
          <w:kern w:val="0"/>
          <w:sz w:val="22"/>
          <w:szCs w:val="22"/>
          <w:highlight w:val="none"/>
        </w:rPr>
        <w:t>项目经理简历表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F0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79D6800D">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姓名</w:t>
            </w:r>
          </w:p>
        </w:tc>
        <w:tc>
          <w:tcPr>
            <w:tcW w:w="1480" w:type="dxa"/>
            <w:noWrap/>
          </w:tcPr>
          <w:p w14:paraId="77120A45">
            <w:pPr>
              <w:autoSpaceDN w:val="0"/>
              <w:spacing w:line="360" w:lineRule="auto"/>
              <w:jc w:val="center"/>
              <w:rPr>
                <w:rFonts w:hint="eastAsia" w:ascii="宋体" w:hAnsi="宋体" w:eastAsia="宋体" w:cs="宋体"/>
                <w:kern w:val="0"/>
                <w:sz w:val="22"/>
                <w:szCs w:val="22"/>
                <w:highlight w:val="none"/>
              </w:rPr>
            </w:pPr>
          </w:p>
        </w:tc>
        <w:tc>
          <w:tcPr>
            <w:tcW w:w="1480" w:type="dxa"/>
            <w:noWrap/>
          </w:tcPr>
          <w:p w14:paraId="6C4A9B23">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性别</w:t>
            </w:r>
          </w:p>
        </w:tc>
        <w:tc>
          <w:tcPr>
            <w:tcW w:w="1608" w:type="dxa"/>
            <w:noWrap/>
          </w:tcPr>
          <w:p w14:paraId="4BFCA8F3">
            <w:pPr>
              <w:autoSpaceDN w:val="0"/>
              <w:spacing w:line="360" w:lineRule="auto"/>
              <w:jc w:val="center"/>
              <w:rPr>
                <w:rFonts w:hint="eastAsia" w:ascii="宋体" w:hAnsi="宋体" w:eastAsia="宋体" w:cs="宋体"/>
                <w:kern w:val="0"/>
                <w:sz w:val="22"/>
                <w:szCs w:val="22"/>
                <w:highlight w:val="none"/>
              </w:rPr>
            </w:pPr>
          </w:p>
        </w:tc>
        <w:tc>
          <w:tcPr>
            <w:tcW w:w="1481" w:type="dxa"/>
            <w:noWrap/>
          </w:tcPr>
          <w:p w14:paraId="04FC4C07">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年龄</w:t>
            </w:r>
          </w:p>
        </w:tc>
        <w:tc>
          <w:tcPr>
            <w:tcW w:w="1481" w:type="dxa"/>
            <w:noWrap/>
          </w:tcPr>
          <w:p w14:paraId="4A6B048B">
            <w:pPr>
              <w:autoSpaceDN w:val="0"/>
              <w:spacing w:line="360" w:lineRule="auto"/>
              <w:jc w:val="center"/>
              <w:rPr>
                <w:rFonts w:hint="eastAsia" w:ascii="宋体" w:hAnsi="宋体" w:eastAsia="宋体" w:cs="宋体"/>
                <w:kern w:val="0"/>
                <w:sz w:val="22"/>
                <w:szCs w:val="22"/>
                <w:highlight w:val="none"/>
              </w:rPr>
            </w:pPr>
          </w:p>
        </w:tc>
      </w:tr>
      <w:tr w14:paraId="42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4F1E6675">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职务</w:t>
            </w:r>
          </w:p>
        </w:tc>
        <w:tc>
          <w:tcPr>
            <w:tcW w:w="1480" w:type="dxa"/>
            <w:noWrap/>
          </w:tcPr>
          <w:p w14:paraId="55C8C254">
            <w:pPr>
              <w:autoSpaceDN w:val="0"/>
              <w:spacing w:line="360" w:lineRule="auto"/>
              <w:jc w:val="center"/>
              <w:rPr>
                <w:rFonts w:hint="eastAsia" w:ascii="宋体" w:hAnsi="宋体" w:eastAsia="宋体" w:cs="宋体"/>
                <w:kern w:val="0"/>
                <w:sz w:val="22"/>
                <w:szCs w:val="22"/>
                <w:highlight w:val="none"/>
              </w:rPr>
            </w:pPr>
          </w:p>
        </w:tc>
        <w:tc>
          <w:tcPr>
            <w:tcW w:w="1480" w:type="dxa"/>
            <w:noWrap/>
          </w:tcPr>
          <w:p w14:paraId="706441DB">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职称</w:t>
            </w:r>
          </w:p>
        </w:tc>
        <w:tc>
          <w:tcPr>
            <w:tcW w:w="1608" w:type="dxa"/>
            <w:noWrap/>
          </w:tcPr>
          <w:p w14:paraId="1E99C1F7">
            <w:pPr>
              <w:autoSpaceDN w:val="0"/>
              <w:spacing w:line="360" w:lineRule="auto"/>
              <w:jc w:val="center"/>
              <w:rPr>
                <w:rFonts w:hint="eastAsia" w:ascii="宋体" w:hAnsi="宋体" w:eastAsia="宋体" w:cs="宋体"/>
                <w:kern w:val="0"/>
                <w:sz w:val="22"/>
                <w:szCs w:val="22"/>
                <w:highlight w:val="none"/>
              </w:rPr>
            </w:pPr>
          </w:p>
        </w:tc>
        <w:tc>
          <w:tcPr>
            <w:tcW w:w="1481" w:type="dxa"/>
            <w:noWrap/>
          </w:tcPr>
          <w:p w14:paraId="4F389C83">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学历</w:t>
            </w:r>
          </w:p>
        </w:tc>
        <w:tc>
          <w:tcPr>
            <w:tcW w:w="1481" w:type="dxa"/>
            <w:noWrap/>
          </w:tcPr>
          <w:p w14:paraId="1C258CFA">
            <w:pPr>
              <w:autoSpaceDN w:val="0"/>
              <w:spacing w:line="360" w:lineRule="auto"/>
              <w:jc w:val="center"/>
              <w:rPr>
                <w:rFonts w:hint="eastAsia" w:ascii="宋体" w:hAnsi="宋体" w:eastAsia="宋体" w:cs="宋体"/>
                <w:kern w:val="0"/>
                <w:sz w:val="22"/>
                <w:szCs w:val="22"/>
                <w:highlight w:val="none"/>
              </w:rPr>
            </w:pPr>
          </w:p>
        </w:tc>
      </w:tr>
      <w:tr w14:paraId="342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636438F0">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参加工作时间</w:t>
            </w:r>
          </w:p>
        </w:tc>
        <w:tc>
          <w:tcPr>
            <w:tcW w:w="1480" w:type="dxa"/>
            <w:noWrap/>
          </w:tcPr>
          <w:p w14:paraId="584CE67D">
            <w:pPr>
              <w:autoSpaceDN w:val="0"/>
              <w:spacing w:line="360" w:lineRule="auto"/>
              <w:jc w:val="center"/>
              <w:rPr>
                <w:rFonts w:hint="eastAsia" w:ascii="宋体" w:hAnsi="宋体" w:eastAsia="宋体" w:cs="宋体"/>
                <w:kern w:val="0"/>
                <w:sz w:val="22"/>
                <w:szCs w:val="22"/>
                <w:highlight w:val="none"/>
              </w:rPr>
            </w:pPr>
          </w:p>
        </w:tc>
        <w:tc>
          <w:tcPr>
            <w:tcW w:w="3089" w:type="dxa"/>
            <w:gridSpan w:val="2"/>
            <w:noWrap/>
          </w:tcPr>
          <w:p w14:paraId="6A3F73CB">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从事项目经理年限</w:t>
            </w:r>
          </w:p>
        </w:tc>
        <w:tc>
          <w:tcPr>
            <w:tcW w:w="1481" w:type="dxa"/>
            <w:noWrap/>
          </w:tcPr>
          <w:p w14:paraId="79A9F303">
            <w:pPr>
              <w:autoSpaceDN w:val="0"/>
              <w:spacing w:line="360" w:lineRule="auto"/>
              <w:jc w:val="center"/>
              <w:rPr>
                <w:rFonts w:hint="eastAsia" w:ascii="宋体" w:hAnsi="宋体" w:eastAsia="宋体" w:cs="宋体"/>
                <w:kern w:val="0"/>
                <w:sz w:val="22"/>
                <w:szCs w:val="22"/>
                <w:highlight w:val="none"/>
              </w:rPr>
            </w:pPr>
          </w:p>
        </w:tc>
      </w:tr>
      <w:tr w14:paraId="6478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02F54857">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项目经理资格证书编号</w:t>
            </w:r>
          </w:p>
        </w:tc>
        <w:tc>
          <w:tcPr>
            <w:tcW w:w="6050" w:type="dxa"/>
            <w:gridSpan w:val="4"/>
            <w:noWrap/>
          </w:tcPr>
          <w:p w14:paraId="542C1DE1">
            <w:pPr>
              <w:autoSpaceDN w:val="0"/>
              <w:spacing w:line="360" w:lineRule="auto"/>
              <w:jc w:val="center"/>
              <w:rPr>
                <w:rFonts w:hint="eastAsia" w:ascii="宋体" w:hAnsi="宋体" w:eastAsia="宋体" w:cs="宋体"/>
                <w:kern w:val="0"/>
                <w:sz w:val="22"/>
                <w:szCs w:val="22"/>
                <w:highlight w:val="none"/>
              </w:rPr>
            </w:pPr>
          </w:p>
        </w:tc>
      </w:tr>
      <w:tr w14:paraId="2F57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77B3B45C">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在建和已完工程项目情况</w:t>
            </w:r>
          </w:p>
        </w:tc>
      </w:tr>
      <w:tr w14:paraId="1CCA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FCDE5D9">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建设单位</w:t>
            </w:r>
          </w:p>
        </w:tc>
        <w:tc>
          <w:tcPr>
            <w:tcW w:w="1480" w:type="dxa"/>
            <w:noWrap/>
          </w:tcPr>
          <w:p w14:paraId="752044E8">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项目名称</w:t>
            </w:r>
          </w:p>
        </w:tc>
        <w:tc>
          <w:tcPr>
            <w:tcW w:w="1480" w:type="dxa"/>
            <w:noWrap/>
          </w:tcPr>
          <w:p w14:paraId="38C76C2E">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建设规模</w:t>
            </w:r>
          </w:p>
        </w:tc>
        <w:tc>
          <w:tcPr>
            <w:tcW w:w="1608" w:type="dxa"/>
            <w:noWrap/>
          </w:tcPr>
          <w:p w14:paraId="7EBF1385">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开、竣工日期</w:t>
            </w:r>
          </w:p>
        </w:tc>
        <w:tc>
          <w:tcPr>
            <w:tcW w:w="1481" w:type="dxa"/>
            <w:noWrap/>
          </w:tcPr>
          <w:p w14:paraId="53E1E410">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在建或已完</w:t>
            </w:r>
          </w:p>
        </w:tc>
        <w:tc>
          <w:tcPr>
            <w:tcW w:w="1481" w:type="dxa"/>
            <w:noWrap/>
          </w:tcPr>
          <w:p w14:paraId="6A6C43ED">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工程质量</w:t>
            </w:r>
          </w:p>
        </w:tc>
      </w:tr>
      <w:tr w14:paraId="763E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30052E7E">
            <w:pPr>
              <w:autoSpaceDN w:val="0"/>
              <w:spacing w:line="360" w:lineRule="auto"/>
              <w:rPr>
                <w:rFonts w:hint="eastAsia" w:ascii="宋体" w:hAnsi="宋体" w:eastAsia="宋体" w:cs="宋体"/>
                <w:kern w:val="0"/>
                <w:sz w:val="22"/>
                <w:szCs w:val="22"/>
                <w:highlight w:val="none"/>
              </w:rPr>
            </w:pPr>
          </w:p>
        </w:tc>
        <w:tc>
          <w:tcPr>
            <w:tcW w:w="1480" w:type="dxa"/>
            <w:noWrap/>
          </w:tcPr>
          <w:p w14:paraId="7AADFD4F">
            <w:pPr>
              <w:autoSpaceDN w:val="0"/>
              <w:spacing w:line="360" w:lineRule="auto"/>
              <w:rPr>
                <w:rFonts w:hint="eastAsia" w:ascii="宋体" w:hAnsi="宋体" w:eastAsia="宋体" w:cs="宋体"/>
                <w:kern w:val="0"/>
                <w:sz w:val="22"/>
                <w:szCs w:val="22"/>
                <w:highlight w:val="none"/>
              </w:rPr>
            </w:pPr>
          </w:p>
        </w:tc>
        <w:tc>
          <w:tcPr>
            <w:tcW w:w="1480" w:type="dxa"/>
            <w:noWrap/>
          </w:tcPr>
          <w:p w14:paraId="7E180211">
            <w:pPr>
              <w:autoSpaceDN w:val="0"/>
              <w:spacing w:line="360" w:lineRule="auto"/>
              <w:rPr>
                <w:rFonts w:hint="eastAsia" w:ascii="宋体" w:hAnsi="宋体" w:eastAsia="宋体" w:cs="宋体"/>
                <w:kern w:val="0"/>
                <w:sz w:val="22"/>
                <w:szCs w:val="22"/>
                <w:highlight w:val="none"/>
              </w:rPr>
            </w:pPr>
          </w:p>
        </w:tc>
        <w:tc>
          <w:tcPr>
            <w:tcW w:w="1608" w:type="dxa"/>
            <w:noWrap/>
          </w:tcPr>
          <w:p w14:paraId="5E1F021A">
            <w:pPr>
              <w:autoSpaceDN w:val="0"/>
              <w:spacing w:line="360" w:lineRule="auto"/>
              <w:rPr>
                <w:rFonts w:hint="eastAsia" w:ascii="宋体" w:hAnsi="宋体" w:eastAsia="宋体" w:cs="宋体"/>
                <w:kern w:val="0"/>
                <w:sz w:val="22"/>
                <w:szCs w:val="22"/>
                <w:highlight w:val="none"/>
              </w:rPr>
            </w:pPr>
          </w:p>
        </w:tc>
        <w:tc>
          <w:tcPr>
            <w:tcW w:w="1481" w:type="dxa"/>
            <w:noWrap/>
          </w:tcPr>
          <w:p w14:paraId="249D89D3">
            <w:pPr>
              <w:autoSpaceDN w:val="0"/>
              <w:spacing w:line="360" w:lineRule="auto"/>
              <w:rPr>
                <w:rFonts w:hint="eastAsia" w:ascii="宋体" w:hAnsi="宋体" w:eastAsia="宋体" w:cs="宋体"/>
                <w:kern w:val="0"/>
                <w:sz w:val="22"/>
                <w:szCs w:val="22"/>
                <w:highlight w:val="none"/>
              </w:rPr>
            </w:pPr>
          </w:p>
        </w:tc>
        <w:tc>
          <w:tcPr>
            <w:tcW w:w="1481" w:type="dxa"/>
            <w:noWrap/>
          </w:tcPr>
          <w:p w14:paraId="56366884">
            <w:pPr>
              <w:autoSpaceDN w:val="0"/>
              <w:spacing w:line="360" w:lineRule="auto"/>
              <w:rPr>
                <w:rFonts w:hint="eastAsia" w:ascii="宋体" w:hAnsi="宋体" w:eastAsia="宋体" w:cs="宋体"/>
                <w:kern w:val="0"/>
                <w:sz w:val="22"/>
                <w:szCs w:val="22"/>
                <w:highlight w:val="none"/>
              </w:rPr>
            </w:pPr>
          </w:p>
        </w:tc>
      </w:tr>
      <w:tr w14:paraId="43D1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40BED7F">
            <w:pPr>
              <w:autoSpaceDN w:val="0"/>
              <w:spacing w:line="360" w:lineRule="auto"/>
              <w:rPr>
                <w:rFonts w:hint="eastAsia" w:ascii="宋体" w:hAnsi="宋体" w:eastAsia="宋体" w:cs="宋体"/>
                <w:kern w:val="0"/>
                <w:sz w:val="22"/>
                <w:szCs w:val="22"/>
                <w:highlight w:val="none"/>
              </w:rPr>
            </w:pPr>
          </w:p>
        </w:tc>
        <w:tc>
          <w:tcPr>
            <w:tcW w:w="1480" w:type="dxa"/>
            <w:noWrap/>
          </w:tcPr>
          <w:p w14:paraId="6256991A">
            <w:pPr>
              <w:autoSpaceDN w:val="0"/>
              <w:spacing w:line="360" w:lineRule="auto"/>
              <w:rPr>
                <w:rFonts w:hint="eastAsia" w:ascii="宋体" w:hAnsi="宋体" w:eastAsia="宋体" w:cs="宋体"/>
                <w:kern w:val="0"/>
                <w:sz w:val="22"/>
                <w:szCs w:val="22"/>
                <w:highlight w:val="none"/>
              </w:rPr>
            </w:pPr>
          </w:p>
        </w:tc>
        <w:tc>
          <w:tcPr>
            <w:tcW w:w="1480" w:type="dxa"/>
            <w:noWrap/>
          </w:tcPr>
          <w:p w14:paraId="487CC5B5">
            <w:pPr>
              <w:autoSpaceDN w:val="0"/>
              <w:spacing w:line="360" w:lineRule="auto"/>
              <w:rPr>
                <w:rFonts w:hint="eastAsia" w:ascii="宋体" w:hAnsi="宋体" w:eastAsia="宋体" w:cs="宋体"/>
                <w:kern w:val="0"/>
                <w:sz w:val="22"/>
                <w:szCs w:val="22"/>
                <w:highlight w:val="none"/>
              </w:rPr>
            </w:pPr>
          </w:p>
        </w:tc>
        <w:tc>
          <w:tcPr>
            <w:tcW w:w="1608" w:type="dxa"/>
            <w:noWrap/>
          </w:tcPr>
          <w:p w14:paraId="768E43AA">
            <w:pPr>
              <w:autoSpaceDN w:val="0"/>
              <w:spacing w:line="360" w:lineRule="auto"/>
              <w:rPr>
                <w:rFonts w:hint="eastAsia" w:ascii="宋体" w:hAnsi="宋体" w:eastAsia="宋体" w:cs="宋体"/>
                <w:kern w:val="0"/>
                <w:sz w:val="22"/>
                <w:szCs w:val="22"/>
                <w:highlight w:val="none"/>
              </w:rPr>
            </w:pPr>
          </w:p>
        </w:tc>
        <w:tc>
          <w:tcPr>
            <w:tcW w:w="1481" w:type="dxa"/>
            <w:noWrap/>
          </w:tcPr>
          <w:p w14:paraId="3FA936A4">
            <w:pPr>
              <w:autoSpaceDN w:val="0"/>
              <w:spacing w:line="360" w:lineRule="auto"/>
              <w:rPr>
                <w:rFonts w:hint="eastAsia" w:ascii="宋体" w:hAnsi="宋体" w:eastAsia="宋体" w:cs="宋体"/>
                <w:kern w:val="0"/>
                <w:sz w:val="22"/>
                <w:szCs w:val="22"/>
                <w:highlight w:val="none"/>
              </w:rPr>
            </w:pPr>
          </w:p>
        </w:tc>
        <w:tc>
          <w:tcPr>
            <w:tcW w:w="1481" w:type="dxa"/>
            <w:noWrap/>
          </w:tcPr>
          <w:p w14:paraId="16B1603E">
            <w:pPr>
              <w:autoSpaceDN w:val="0"/>
              <w:spacing w:line="360" w:lineRule="auto"/>
              <w:rPr>
                <w:rFonts w:hint="eastAsia" w:ascii="宋体" w:hAnsi="宋体" w:eastAsia="宋体" w:cs="宋体"/>
                <w:kern w:val="0"/>
                <w:sz w:val="22"/>
                <w:szCs w:val="22"/>
                <w:highlight w:val="none"/>
              </w:rPr>
            </w:pPr>
          </w:p>
        </w:tc>
      </w:tr>
      <w:tr w14:paraId="7BC2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98324C9">
            <w:pPr>
              <w:autoSpaceDN w:val="0"/>
              <w:spacing w:line="360" w:lineRule="auto"/>
              <w:rPr>
                <w:rFonts w:hint="eastAsia" w:ascii="宋体" w:hAnsi="宋体" w:eastAsia="宋体" w:cs="宋体"/>
                <w:kern w:val="0"/>
                <w:sz w:val="22"/>
                <w:szCs w:val="22"/>
                <w:highlight w:val="none"/>
              </w:rPr>
            </w:pPr>
          </w:p>
        </w:tc>
        <w:tc>
          <w:tcPr>
            <w:tcW w:w="1480" w:type="dxa"/>
            <w:noWrap/>
          </w:tcPr>
          <w:p w14:paraId="51160F2A">
            <w:pPr>
              <w:autoSpaceDN w:val="0"/>
              <w:spacing w:line="360" w:lineRule="auto"/>
              <w:rPr>
                <w:rFonts w:hint="eastAsia" w:ascii="宋体" w:hAnsi="宋体" w:eastAsia="宋体" w:cs="宋体"/>
                <w:kern w:val="0"/>
                <w:sz w:val="22"/>
                <w:szCs w:val="22"/>
                <w:highlight w:val="none"/>
              </w:rPr>
            </w:pPr>
          </w:p>
        </w:tc>
        <w:tc>
          <w:tcPr>
            <w:tcW w:w="1480" w:type="dxa"/>
            <w:noWrap/>
          </w:tcPr>
          <w:p w14:paraId="470EB277">
            <w:pPr>
              <w:autoSpaceDN w:val="0"/>
              <w:spacing w:line="360" w:lineRule="auto"/>
              <w:rPr>
                <w:rFonts w:hint="eastAsia" w:ascii="宋体" w:hAnsi="宋体" w:eastAsia="宋体" w:cs="宋体"/>
                <w:kern w:val="0"/>
                <w:sz w:val="22"/>
                <w:szCs w:val="22"/>
                <w:highlight w:val="none"/>
              </w:rPr>
            </w:pPr>
          </w:p>
        </w:tc>
        <w:tc>
          <w:tcPr>
            <w:tcW w:w="1608" w:type="dxa"/>
            <w:noWrap/>
          </w:tcPr>
          <w:p w14:paraId="73E5D388">
            <w:pPr>
              <w:autoSpaceDN w:val="0"/>
              <w:spacing w:line="360" w:lineRule="auto"/>
              <w:rPr>
                <w:rFonts w:hint="eastAsia" w:ascii="宋体" w:hAnsi="宋体" w:eastAsia="宋体" w:cs="宋体"/>
                <w:kern w:val="0"/>
                <w:sz w:val="22"/>
                <w:szCs w:val="22"/>
                <w:highlight w:val="none"/>
              </w:rPr>
            </w:pPr>
          </w:p>
        </w:tc>
        <w:tc>
          <w:tcPr>
            <w:tcW w:w="1481" w:type="dxa"/>
            <w:noWrap/>
          </w:tcPr>
          <w:p w14:paraId="56618AEB">
            <w:pPr>
              <w:autoSpaceDN w:val="0"/>
              <w:spacing w:line="360" w:lineRule="auto"/>
              <w:rPr>
                <w:rFonts w:hint="eastAsia" w:ascii="宋体" w:hAnsi="宋体" w:eastAsia="宋体" w:cs="宋体"/>
                <w:kern w:val="0"/>
                <w:sz w:val="22"/>
                <w:szCs w:val="22"/>
                <w:highlight w:val="none"/>
              </w:rPr>
            </w:pPr>
          </w:p>
        </w:tc>
        <w:tc>
          <w:tcPr>
            <w:tcW w:w="1481" w:type="dxa"/>
            <w:noWrap/>
          </w:tcPr>
          <w:p w14:paraId="252045CC">
            <w:pPr>
              <w:autoSpaceDN w:val="0"/>
              <w:spacing w:line="360" w:lineRule="auto"/>
              <w:rPr>
                <w:rFonts w:hint="eastAsia" w:ascii="宋体" w:hAnsi="宋体" w:eastAsia="宋体" w:cs="宋体"/>
                <w:kern w:val="0"/>
                <w:sz w:val="22"/>
                <w:szCs w:val="22"/>
                <w:highlight w:val="none"/>
              </w:rPr>
            </w:pPr>
          </w:p>
        </w:tc>
      </w:tr>
    </w:tbl>
    <w:p w14:paraId="4BEC3D99">
      <w:pPr>
        <w:autoSpaceDN w:val="0"/>
        <w:spacing w:line="360" w:lineRule="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备注：后附项目经理注册证书、B证、职称证等</w:t>
      </w:r>
    </w:p>
    <w:p w14:paraId="7D79A410">
      <w:pPr>
        <w:autoSpaceDN w:val="0"/>
        <w:spacing w:line="360" w:lineRule="auto"/>
        <w:jc w:val="left"/>
        <w:rPr>
          <w:rFonts w:hint="eastAsia" w:ascii="宋体" w:hAnsi="宋体" w:eastAsia="宋体" w:cs="宋体"/>
          <w:b/>
          <w:bCs/>
          <w:kern w:val="0"/>
          <w:sz w:val="22"/>
          <w:szCs w:val="22"/>
          <w:highlight w:val="none"/>
        </w:rPr>
      </w:pPr>
      <w:r>
        <w:rPr>
          <w:rFonts w:hint="eastAsia" w:ascii="宋体" w:hAnsi="宋体" w:eastAsia="宋体" w:cs="宋体"/>
          <w:sz w:val="22"/>
          <w:szCs w:val="22"/>
          <w:highlight w:val="none"/>
        </w:rPr>
        <w:br w:type="page"/>
      </w:r>
      <w:r>
        <w:rPr>
          <w:rFonts w:hint="eastAsia" w:ascii="宋体" w:hAnsi="宋体" w:eastAsia="宋体" w:cs="宋体"/>
          <w:b/>
          <w:bCs/>
          <w:sz w:val="22"/>
          <w:szCs w:val="22"/>
          <w:highlight w:val="none"/>
        </w:rPr>
        <w:t>附表五、</w:t>
      </w:r>
      <w:r>
        <w:rPr>
          <w:rFonts w:hint="eastAsia" w:ascii="宋体" w:hAnsi="宋体" w:eastAsia="宋体" w:cs="宋体"/>
          <w:b/>
          <w:bCs/>
          <w:kern w:val="0"/>
          <w:sz w:val="22"/>
          <w:szCs w:val="22"/>
          <w:highlight w:val="none"/>
        </w:rPr>
        <w:t>技术负责人简历表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BB8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86AC32F">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姓名</w:t>
            </w:r>
          </w:p>
        </w:tc>
        <w:tc>
          <w:tcPr>
            <w:tcW w:w="1480" w:type="dxa"/>
            <w:noWrap/>
          </w:tcPr>
          <w:p w14:paraId="067382AE">
            <w:pPr>
              <w:autoSpaceDN w:val="0"/>
              <w:spacing w:line="360" w:lineRule="auto"/>
              <w:jc w:val="center"/>
              <w:rPr>
                <w:rFonts w:hint="eastAsia" w:ascii="宋体" w:hAnsi="宋体" w:eastAsia="宋体" w:cs="宋体"/>
                <w:kern w:val="0"/>
                <w:sz w:val="22"/>
                <w:szCs w:val="22"/>
                <w:highlight w:val="none"/>
              </w:rPr>
            </w:pPr>
          </w:p>
        </w:tc>
        <w:tc>
          <w:tcPr>
            <w:tcW w:w="1480" w:type="dxa"/>
            <w:noWrap/>
          </w:tcPr>
          <w:p w14:paraId="035533A4">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性别</w:t>
            </w:r>
          </w:p>
        </w:tc>
        <w:tc>
          <w:tcPr>
            <w:tcW w:w="1608" w:type="dxa"/>
            <w:noWrap/>
          </w:tcPr>
          <w:p w14:paraId="5A817996">
            <w:pPr>
              <w:autoSpaceDN w:val="0"/>
              <w:spacing w:line="360" w:lineRule="auto"/>
              <w:jc w:val="center"/>
              <w:rPr>
                <w:rFonts w:hint="eastAsia" w:ascii="宋体" w:hAnsi="宋体" w:eastAsia="宋体" w:cs="宋体"/>
                <w:kern w:val="0"/>
                <w:sz w:val="22"/>
                <w:szCs w:val="22"/>
                <w:highlight w:val="none"/>
              </w:rPr>
            </w:pPr>
          </w:p>
        </w:tc>
        <w:tc>
          <w:tcPr>
            <w:tcW w:w="1481" w:type="dxa"/>
            <w:noWrap/>
          </w:tcPr>
          <w:p w14:paraId="196495F5">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年龄</w:t>
            </w:r>
          </w:p>
        </w:tc>
        <w:tc>
          <w:tcPr>
            <w:tcW w:w="1481" w:type="dxa"/>
            <w:noWrap/>
          </w:tcPr>
          <w:p w14:paraId="2FE25F32">
            <w:pPr>
              <w:autoSpaceDN w:val="0"/>
              <w:spacing w:line="360" w:lineRule="auto"/>
              <w:jc w:val="center"/>
              <w:rPr>
                <w:rFonts w:hint="eastAsia" w:ascii="宋体" w:hAnsi="宋体" w:eastAsia="宋体" w:cs="宋体"/>
                <w:kern w:val="0"/>
                <w:sz w:val="22"/>
                <w:szCs w:val="22"/>
                <w:highlight w:val="none"/>
              </w:rPr>
            </w:pPr>
          </w:p>
        </w:tc>
      </w:tr>
      <w:tr w14:paraId="12E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27D98B57">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职务</w:t>
            </w:r>
          </w:p>
        </w:tc>
        <w:tc>
          <w:tcPr>
            <w:tcW w:w="1480" w:type="dxa"/>
            <w:noWrap/>
          </w:tcPr>
          <w:p w14:paraId="16B76057">
            <w:pPr>
              <w:autoSpaceDN w:val="0"/>
              <w:spacing w:line="360" w:lineRule="auto"/>
              <w:jc w:val="center"/>
              <w:rPr>
                <w:rFonts w:hint="eastAsia" w:ascii="宋体" w:hAnsi="宋体" w:eastAsia="宋体" w:cs="宋体"/>
                <w:kern w:val="0"/>
                <w:sz w:val="22"/>
                <w:szCs w:val="22"/>
                <w:highlight w:val="none"/>
              </w:rPr>
            </w:pPr>
          </w:p>
        </w:tc>
        <w:tc>
          <w:tcPr>
            <w:tcW w:w="1480" w:type="dxa"/>
            <w:noWrap/>
          </w:tcPr>
          <w:p w14:paraId="26DC1FD0">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职称</w:t>
            </w:r>
          </w:p>
        </w:tc>
        <w:tc>
          <w:tcPr>
            <w:tcW w:w="1608" w:type="dxa"/>
            <w:noWrap/>
          </w:tcPr>
          <w:p w14:paraId="42A17F29">
            <w:pPr>
              <w:autoSpaceDN w:val="0"/>
              <w:spacing w:line="360" w:lineRule="auto"/>
              <w:jc w:val="center"/>
              <w:rPr>
                <w:rFonts w:hint="eastAsia" w:ascii="宋体" w:hAnsi="宋体" w:eastAsia="宋体" w:cs="宋体"/>
                <w:kern w:val="0"/>
                <w:sz w:val="22"/>
                <w:szCs w:val="22"/>
                <w:highlight w:val="none"/>
              </w:rPr>
            </w:pPr>
          </w:p>
        </w:tc>
        <w:tc>
          <w:tcPr>
            <w:tcW w:w="1481" w:type="dxa"/>
            <w:noWrap/>
          </w:tcPr>
          <w:p w14:paraId="4B8F8F53">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学历</w:t>
            </w:r>
          </w:p>
        </w:tc>
        <w:tc>
          <w:tcPr>
            <w:tcW w:w="1481" w:type="dxa"/>
            <w:noWrap/>
          </w:tcPr>
          <w:p w14:paraId="1011A17F">
            <w:pPr>
              <w:autoSpaceDN w:val="0"/>
              <w:spacing w:line="360" w:lineRule="auto"/>
              <w:jc w:val="center"/>
              <w:rPr>
                <w:rFonts w:hint="eastAsia" w:ascii="宋体" w:hAnsi="宋体" w:eastAsia="宋体" w:cs="宋体"/>
                <w:kern w:val="0"/>
                <w:sz w:val="22"/>
                <w:szCs w:val="22"/>
                <w:highlight w:val="none"/>
              </w:rPr>
            </w:pPr>
          </w:p>
        </w:tc>
      </w:tr>
      <w:tr w14:paraId="632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2F1E9801">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参加工作时间</w:t>
            </w:r>
          </w:p>
        </w:tc>
        <w:tc>
          <w:tcPr>
            <w:tcW w:w="1480" w:type="dxa"/>
            <w:noWrap/>
          </w:tcPr>
          <w:p w14:paraId="72B6EE92">
            <w:pPr>
              <w:autoSpaceDN w:val="0"/>
              <w:spacing w:line="360" w:lineRule="auto"/>
              <w:jc w:val="center"/>
              <w:rPr>
                <w:rFonts w:hint="eastAsia" w:ascii="宋体" w:hAnsi="宋体" w:eastAsia="宋体" w:cs="宋体"/>
                <w:kern w:val="0"/>
                <w:sz w:val="22"/>
                <w:szCs w:val="22"/>
                <w:highlight w:val="none"/>
              </w:rPr>
            </w:pPr>
          </w:p>
        </w:tc>
        <w:tc>
          <w:tcPr>
            <w:tcW w:w="3089" w:type="dxa"/>
            <w:gridSpan w:val="2"/>
            <w:noWrap/>
          </w:tcPr>
          <w:p w14:paraId="7626184C">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从事技术负责人年限</w:t>
            </w:r>
          </w:p>
        </w:tc>
        <w:tc>
          <w:tcPr>
            <w:tcW w:w="1481" w:type="dxa"/>
            <w:noWrap/>
          </w:tcPr>
          <w:p w14:paraId="2B24D287">
            <w:pPr>
              <w:autoSpaceDN w:val="0"/>
              <w:spacing w:line="360" w:lineRule="auto"/>
              <w:jc w:val="center"/>
              <w:rPr>
                <w:rFonts w:hint="eastAsia" w:ascii="宋体" w:hAnsi="宋体" w:eastAsia="宋体" w:cs="宋体"/>
                <w:kern w:val="0"/>
                <w:sz w:val="22"/>
                <w:szCs w:val="22"/>
                <w:highlight w:val="none"/>
              </w:rPr>
            </w:pPr>
          </w:p>
        </w:tc>
      </w:tr>
      <w:tr w14:paraId="5A6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31B87552">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资格证书名称及编号</w:t>
            </w:r>
          </w:p>
        </w:tc>
        <w:tc>
          <w:tcPr>
            <w:tcW w:w="6050" w:type="dxa"/>
            <w:gridSpan w:val="4"/>
            <w:noWrap/>
          </w:tcPr>
          <w:p w14:paraId="4CE27EB2">
            <w:pPr>
              <w:autoSpaceDN w:val="0"/>
              <w:spacing w:line="360" w:lineRule="auto"/>
              <w:jc w:val="center"/>
              <w:rPr>
                <w:rFonts w:hint="eastAsia" w:ascii="宋体" w:hAnsi="宋体" w:eastAsia="宋体" w:cs="宋体"/>
                <w:kern w:val="0"/>
                <w:sz w:val="22"/>
                <w:szCs w:val="22"/>
                <w:highlight w:val="none"/>
              </w:rPr>
            </w:pPr>
          </w:p>
        </w:tc>
      </w:tr>
      <w:tr w14:paraId="754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27501C35">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在建和已完工程项目情况</w:t>
            </w:r>
          </w:p>
        </w:tc>
      </w:tr>
      <w:tr w14:paraId="7A3C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478A0C6">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建设单位</w:t>
            </w:r>
          </w:p>
        </w:tc>
        <w:tc>
          <w:tcPr>
            <w:tcW w:w="1480" w:type="dxa"/>
            <w:noWrap/>
          </w:tcPr>
          <w:p w14:paraId="601700F7">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项目名称</w:t>
            </w:r>
          </w:p>
        </w:tc>
        <w:tc>
          <w:tcPr>
            <w:tcW w:w="1480" w:type="dxa"/>
            <w:noWrap/>
          </w:tcPr>
          <w:p w14:paraId="2D76A621">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建设规模</w:t>
            </w:r>
          </w:p>
        </w:tc>
        <w:tc>
          <w:tcPr>
            <w:tcW w:w="1608" w:type="dxa"/>
            <w:noWrap/>
          </w:tcPr>
          <w:p w14:paraId="0F003C05">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开、竣工日期</w:t>
            </w:r>
          </w:p>
        </w:tc>
        <w:tc>
          <w:tcPr>
            <w:tcW w:w="1481" w:type="dxa"/>
            <w:noWrap/>
          </w:tcPr>
          <w:p w14:paraId="03758D09">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在建或已完</w:t>
            </w:r>
          </w:p>
        </w:tc>
        <w:tc>
          <w:tcPr>
            <w:tcW w:w="1481" w:type="dxa"/>
            <w:noWrap/>
          </w:tcPr>
          <w:p w14:paraId="7DFDFCB1">
            <w:pPr>
              <w:autoSpaceDN w:val="0"/>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工程质量</w:t>
            </w:r>
          </w:p>
        </w:tc>
      </w:tr>
      <w:tr w14:paraId="3A3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218A3418">
            <w:pPr>
              <w:autoSpaceDN w:val="0"/>
              <w:spacing w:line="360" w:lineRule="auto"/>
              <w:rPr>
                <w:rFonts w:hint="eastAsia" w:ascii="宋体" w:hAnsi="宋体" w:eastAsia="宋体" w:cs="宋体"/>
                <w:kern w:val="0"/>
                <w:sz w:val="22"/>
                <w:szCs w:val="22"/>
                <w:highlight w:val="none"/>
              </w:rPr>
            </w:pPr>
          </w:p>
        </w:tc>
        <w:tc>
          <w:tcPr>
            <w:tcW w:w="1480" w:type="dxa"/>
            <w:noWrap/>
          </w:tcPr>
          <w:p w14:paraId="5235E32D">
            <w:pPr>
              <w:autoSpaceDN w:val="0"/>
              <w:spacing w:line="360" w:lineRule="auto"/>
              <w:rPr>
                <w:rFonts w:hint="eastAsia" w:ascii="宋体" w:hAnsi="宋体" w:eastAsia="宋体" w:cs="宋体"/>
                <w:kern w:val="0"/>
                <w:sz w:val="22"/>
                <w:szCs w:val="22"/>
                <w:highlight w:val="none"/>
              </w:rPr>
            </w:pPr>
          </w:p>
        </w:tc>
        <w:tc>
          <w:tcPr>
            <w:tcW w:w="1480" w:type="dxa"/>
            <w:noWrap/>
          </w:tcPr>
          <w:p w14:paraId="343D8E15">
            <w:pPr>
              <w:autoSpaceDN w:val="0"/>
              <w:spacing w:line="360" w:lineRule="auto"/>
              <w:rPr>
                <w:rFonts w:hint="eastAsia" w:ascii="宋体" w:hAnsi="宋体" w:eastAsia="宋体" w:cs="宋体"/>
                <w:kern w:val="0"/>
                <w:sz w:val="22"/>
                <w:szCs w:val="22"/>
                <w:highlight w:val="none"/>
              </w:rPr>
            </w:pPr>
          </w:p>
        </w:tc>
        <w:tc>
          <w:tcPr>
            <w:tcW w:w="1608" w:type="dxa"/>
            <w:noWrap/>
          </w:tcPr>
          <w:p w14:paraId="11825050">
            <w:pPr>
              <w:autoSpaceDN w:val="0"/>
              <w:spacing w:line="360" w:lineRule="auto"/>
              <w:rPr>
                <w:rFonts w:hint="eastAsia" w:ascii="宋体" w:hAnsi="宋体" w:eastAsia="宋体" w:cs="宋体"/>
                <w:kern w:val="0"/>
                <w:sz w:val="22"/>
                <w:szCs w:val="22"/>
                <w:highlight w:val="none"/>
              </w:rPr>
            </w:pPr>
          </w:p>
        </w:tc>
        <w:tc>
          <w:tcPr>
            <w:tcW w:w="1481" w:type="dxa"/>
            <w:noWrap/>
          </w:tcPr>
          <w:p w14:paraId="1617D0BD">
            <w:pPr>
              <w:autoSpaceDN w:val="0"/>
              <w:spacing w:line="360" w:lineRule="auto"/>
              <w:rPr>
                <w:rFonts w:hint="eastAsia" w:ascii="宋体" w:hAnsi="宋体" w:eastAsia="宋体" w:cs="宋体"/>
                <w:kern w:val="0"/>
                <w:sz w:val="22"/>
                <w:szCs w:val="22"/>
                <w:highlight w:val="none"/>
              </w:rPr>
            </w:pPr>
          </w:p>
        </w:tc>
        <w:tc>
          <w:tcPr>
            <w:tcW w:w="1481" w:type="dxa"/>
            <w:noWrap/>
          </w:tcPr>
          <w:p w14:paraId="41F41F64">
            <w:pPr>
              <w:autoSpaceDN w:val="0"/>
              <w:spacing w:line="360" w:lineRule="auto"/>
              <w:rPr>
                <w:rFonts w:hint="eastAsia" w:ascii="宋体" w:hAnsi="宋体" w:eastAsia="宋体" w:cs="宋体"/>
                <w:kern w:val="0"/>
                <w:sz w:val="22"/>
                <w:szCs w:val="22"/>
                <w:highlight w:val="none"/>
              </w:rPr>
            </w:pPr>
          </w:p>
        </w:tc>
      </w:tr>
      <w:tr w14:paraId="77A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69125A3A">
            <w:pPr>
              <w:autoSpaceDN w:val="0"/>
              <w:spacing w:line="360" w:lineRule="auto"/>
              <w:rPr>
                <w:rFonts w:hint="eastAsia" w:ascii="宋体" w:hAnsi="宋体" w:eastAsia="宋体" w:cs="宋体"/>
                <w:kern w:val="0"/>
                <w:sz w:val="22"/>
                <w:szCs w:val="22"/>
                <w:highlight w:val="none"/>
              </w:rPr>
            </w:pPr>
          </w:p>
        </w:tc>
        <w:tc>
          <w:tcPr>
            <w:tcW w:w="1480" w:type="dxa"/>
            <w:noWrap/>
          </w:tcPr>
          <w:p w14:paraId="5C875382">
            <w:pPr>
              <w:autoSpaceDN w:val="0"/>
              <w:spacing w:line="360" w:lineRule="auto"/>
              <w:rPr>
                <w:rFonts w:hint="eastAsia" w:ascii="宋体" w:hAnsi="宋体" w:eastAsia="宋体" w:cs="宋体"/>
                <w:kern w:val="0"/>
                <w:sz w:val="22"/>
                <w:szCs w:val="22"/>
                <w:highlight w:val="none"/>
              </w:rPr>
            </w:pPr>
          </w:p>
        </w:tc>
        <w:tc>
          <w:tcPr>
            <w:tcW w:w="1480" w:type="dxa"/>
            <w:noWrap/>
          </w:tcPr>
          <w:p w14:paraId="2320C0D5">
            <w:pPr>
              <w:autoSpaceDN w:val="0"/>
              <w:spacing w:line="360" w:lineRule="auto"/>
              <w:rPr>
                <w:rFonts w:hint="eastAsia" w:ascii="宋体" w:hAnsi="宋体" w:eastAsia="宋体" w:cs="宋体"/>
                <w:kern w:val="0"/>
                <w:sz w:val="22"/>
                <w:szCs w:val="22"/>
                <w:highlight w:val="none"/>
              </w:rPr>
            </w:pPr>
          </w:p>
        </w:tc>
        <w:tc>
          <w:tcPr>
            <w:tcW w:w="1608" w:type="dxa"/>
            <w:noWrap/>
          </w:tcPr>
          <w:p w14:paraId="65D345CE">
            <w:pPr>
              <w:autoSpaceDN w:val="0"/>
              <w:spacing w:line="360" w:lineRule="auto"/>
              <w:rPr>
                <w:rFonts w:hint="eastAsia" w:ascii="宋体" w:hAnsi="宋体" w:eastAsia="宋体" w:cs="宋体"/>
                <w:kern w:val="0"/>
                <w:sz w:val="22"/>
                <w:szCs w:val="22"/>
                <w:highlight w:val="none"/>
              </w:rPr>
            </w:pPr>
          </w:p>
        </w:tc>
        <w:tc>
          <w:tcPr>
            <w:tcW w:w="1481" w:type="dxa"/>
            <w:noWrap/>
          </w:tcPr>
          <w:p w14:paraId="39E06AB3">
            <w:pPr>
              <w:autoSpaceDN w:val="0"/>
              <w:spacing w:line="360" w:lineRule="auto"/>
              <w:rPr>
                <w:rFonts w:hint="eastAsia" w:ascii="宋体" w:hAnsi="宋体" w:eastAsia="宋体" w:cs="宋体"/>
                <w:kern w:val="0"/>
                <w:sz w:val="22"/>
                <w:szCs w:val="22"/>
                <w:highlight w:val="none"/>
              </w:rPr>
            </w:pPr>
          </w:p>
        </w:tc>
        <w:tc>
          <w:tcPr>
            <w:tcW w:w="1481" w:type="dxa"/>
            <w:noWrap/>
          </w:tcPr>
          <w:p w14:paraId="52E08429">
            <w:pPr>
              <w:autoSpaceDN w:val="0"/>
              <w:spacing w:line="360" w:lineRule="auto"/>
              <w:rPr>
                <w:rFonts w:hint="eastAsia" w:ascii="宋体" w:hAnsi="宋体" w:eastAsia="宋体" w:cs="宋体"/>
                <w:kern w:val="0"/>
                <w:sz w:val="22"/>
                <w:szCs w:val="22"/>
                <w:highlight w:val="none"/>
              </w:rPr>
            </w:pPr>
          </w:p>
        </w:tc>
      </w:tr>
      <w:tr w14:paraId="1EFB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11D7686D">
            <w:pPr>
              <w:autoSpaceDN w:val="0"/>
              <w:spacing w:line="360" w:lineRule="auto"/>
              <w:rPr>
                <w:rFonts w:hint="eastAsia" w:ascii="宋体" w:hAnsi="宋体" w:eastAsia="宋体" w:cs="宋体"/>
                <w:kern w:val="0"/>
                <w:sz w:val="22"/>
                <w:szCs w:val="22"/>
                <w:highlight w:val="none"/>
              </w:rPr>
            </w:pPr>
          </w:p>
        </w:tc>
        <w:tc>
          <w:tcPr>
            <w:tcW w:w="1480" w:type="dxa"/>
            <w:noWrap/>
          </w:tcPr>
          <w:p w14:paraId="4EEE9CF6">
            <w:pPr>
              <w:autoSpaceDN w:val="0"/>
              <w:spacing w:line="360" w:lineRule="auto"/>
              <w:rPr>
                <w:rFonts w:hint="eastAsia" w:ascii="宋体" w:hAnsi="宋体" w:eastAsia="宋体" w:cs="宋体"/>
                <w:kern w:val="0"/>
                <w:sz w:val="22"/>
                <w:szCs w:val="22"/>
                <w:highlight w:val="none"/>
              </w:rPr>
            </w:pPr>
          </w:p>
        </w:tc>
        <w:tc>
          <w:tcPr>
            <w:tcW w:w="1480" w:type="dxa"/>
            <w:noWrap/>
          </w:tcPr>
          <w:p w14:paraId="4A0407F3">
            <w:pPr>
              <w:autoSpaceDN w:val="0"/>
              <w:spacing w:line="360" w:lineRule="auto"/>
              <w:rPr>
                <w:rFonts w:hint="eastAsia" w:ascii="宋体" w:hAnsi="宋体" w:eastAsia="宋体" w:cs="宋体"/>
                <w:kern w:val="0"/>
                <w:sz w:val="22"/>
                <w:szCs w:val="22"/>
                <w:highlight w:val="none"/>
              </w:rPr>
            </w:pPr>
          </w:p>
        </w:tc>
        <w:tc>
          <w:tcPr>
            <w:tcW w:w="1608" w:type="dxa"/>
            <w:noWrap/>
          </w:tcPr>
          <w:p w14:paraId="7C8FC218">
            <w:pPr>
              <w:autoSpaceDN w:val="0"/>
              <w:spacing w:line="360" w:lineRule="auto"/>
              <w:rPr>
                <w:rFonts w:hint="eastAsia" w:ascii="宋体" w:hAnsi="宋体" w:eastAsia="宋体" w:cs="宋体"/>
                <w:kern w:val="0"/>
                <w:sz w:val="22"/>
                <w:szCs w:val="22"/>
                <w:highlight w:val="none"/>
              </w:rPr>
            </w:pPr>
          </w:p>
        </w:tc>
        <w:tc>
          <w:tcPr>
            <w:tcW w:w="1481" w:type="dxa"/>
            <w:noWrap/>
          </w:tcPr>
          <w:p w14:paraId="30D8C7A9">
            <w:pPr>
              <w:autoSpaceDN w:val="0"/>
              <w:spacing w:line="360" w:lineRule="auto"/>
              <w:rPr>
                <w:rFonts w:hint="eastAsia" w:ascii="宋体" w:hAnsi="宋体" w:eastAsia="宋体" w:cs="宋体"/>
                <w:kern w:val="0"/>
                <w:sz w:val="22"/>
                <w:szCs w:val="22"/>
                <w:highlight w:val="none"/>
              </w:rPr>
            </w:pPr>
          </w:p>
        </w:tc>
        <w:tc>
          <w:tcPr>
            <w:tcW w:w="1481" w:type="dxa"/>
            <w:noWrap/>
          </w:tcPr>
          <w:p w14:paraId="43C011FE">
            <w:pPr>
              <w:autoSpaceDN w:val="0"/>
              <w:spacing w:line="360" w:lineRule="auto"/>
              <w:rPr>
                <w:rFonts w:hint="eastAsia" w:ascii="宋体" w:hAnsi="宋体" w:eastAsia="宋体" w:cs="宋体"/>
                <w:kern w:val="0"/>
                <w:sz w:val="22"/>
                <w:szCs w:val="22"/>
                <w:highlight w:val="none"/>
              </w:rPr>
            </w:pPr>
          </w:p>
        </w:tc>
      </w:tr>
    </w:tbl>
    <w:p w14:paraId="4683E5A9">
      <w:pPr>
        <w:autoSpaceDN w:val="0"/>
        <w:spacing w:line="360" w:lineRule="auto"/>
        <w:rPr>
          <w:rFonts w:hint="eastAsia" w:ascii="宋体" w:hAnsi="宋体" w:eastAsia="宋体" w:cs="宋体"/>
          <w:b/>
          <w:bCs/>
          <w:kern w:val="0"/>
          <w:sz w:val="22"/>
          <w:szCs w:val="22"/>
          <w:highlight w:val="none"/>
        </w:rPr>
      </w:pPr>
    </w:p>
    <w:p w14:paraId="63DA1E0A">
      <w:pPr>
        <w:tabs>
          <w:tab w:val="left" w:pos="720"/>
        </w:tabs>
        <w:autoSpaceDN w:val="0"/>
        <w:spacing w:line="440" w:lineRule="exact"/>
        <w:jc w:val="left"/>
        <w:rPr>
          <w:rFonts w:hint="eastAsia" w:ascii="宋体" w:hAnsi="宋体" w:eastAsia="宋体" w:cs="宋体"/>
          <w:b/>
          <w:bCs/>
          <w:sz w:val="22"/>
          <w:szCs w:val="22"/>
          <w:highlight w:val="none"/>
        </w:rPr>
      </w:pPr>
      <w:bookmarkStart w:id="173" w:name="_Toc246392157"/>
      <w:bookmarkStart w:id="174" w:name="_Toc144974867"/>
      <w:bookmarkStart w:id="175" w:name="_Toc152042588"/>
      <w:bookmarkStart w:id="176" w:name="_Toc152045799"/>
      <w:bookmarkStart w:id="177" w:name="_Toc179632819"/>
      <w:r>
        <w:rPr>
          <w:rFonts w:hint="eastAsia" w:ascii="宋体" w:hAnsi="宋体" w:eastAsia="宋体" w:cs="宋体"/>
          <w:b/>
          <w:bCs/>
          <w:sz w:val="22"/>
          <w:szCs w:val="22"/>
          <w:highlight w:val="none"/>
        </w:rPr>
        <w:t>附表五：劳动力计划表</w:t>
      </w:r>
      <w:bookmarkEnd w:id="173"/>
      <w:bookmarkEnd w:id="174"/>
      <w:bookmarkEnd w:id="175"/>
      <w:bookmarkEnd w:id="176"/>
      <w:bookmarkEnd w:id="177"/>
    </w:p>
    <w:p w14:paraId="4AC2E2F3">
      <w:pPr>
        <w:autoSpaceDN w:val="0"/>
        <w:spacing w:line="440" w:lineRule="exact"/>
        <w:ind w:right="410"/>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单位：人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0B7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56CFABDC">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工种</w:t>
            </w:r>
          </w:p>
        </w:tc>
        <w:tc>
          <w:tcPr>
            <w:tcW w:w="7622" w:type="dxa"/>
            <w:gridSpan w:val="7"/>
            <w:noWrap/>
            <w:vAlign w:val="center"/>
          </w:tcPr>
          <w:p w14:paraId="6D15D3A6">
            <w:pPr>
              <w:autoSpaceDN w:val="0"/>
              <w:spacing w:line="44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按工程施工阶段投入劳动力情况</w:t>
            </w:r>
          </w:p>
        </w:tc>
      </w:tr>
      <w:tr w14:paraId="1E57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798F8E68">
            <w:pPr>
              <w:autoSpaceDN w:val="0"/>
              <w:spacing w:line="440" w:lineRule="exact"/>
              <w:jc w:val="center"/>
              <w:rPr>
                <w:rFonts w:hint="eastAsia" w:ascii="宋体" w:hAnsi="宋体" w:eastAsia="宋体" w:cs="宋体"/>
                <w:sz w:val="22"/>
                <w:szCs w:val="22"/>
                <w:highlight w:val="none"/>
              </w:rPr>
            </w:pPr>
          </w:p>
        </w:tc>
        <w:tc>
          <w:tcPr>
            <w:tcW w:w="872" w:type="dxa"/>
            <w:noWrap/>
            <w:vAlign w:val="center"/>
          </w:tcPr>
          <w:p w14:paraId="4F3AE228">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73E35F5F">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0DF9AD1E">
            <w:pPr>
              <w:autoSpaceDN w:val="0"/>
              <w:spacing w:line="440" w:lineRule="exact"/>
              <w:jc w:val="center"/>
              <w:rPr>
                <w:rFonts w:hint="eastAsia" w:ascii="宋体" w:hAnsi="宋体" w:eastAsia="宋体" w:cs="宋体"/>
                <w:sz w:val="22"/>
                <w:szCs w:val="22"/>
                <w:highlight w:val="none"/>
              </w:rPr>
            </w:pPr>
          </w:p>
        </w:tc>
        <w:tc>
          <w:tcPr>
            <w:tcW w:w="875" w:type="dxa"/>
            <w:noWrap/>
            <w:vAlign w:val="center"/>
          </w:tcPr>
          <w:p w14:paraId="55F5510B">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73A629E1">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23FFFE9A">
            <w:pPr>
              <w:autoSpaceDN w:val="0"/>
              <w:spacing w:line="440" w:lineRule="exact"/>
              <w:jc w:val="center"/>
              <w:rPr>
                <w:rFonts w:hint="eastAsia" w:ascii="宋体" w:hAnsi="宋体" w:eastAsia="宋体" w:cs="宋体"/>
                <w:sz w:val="22"/>
                <w:szCs w:val="22"/>
                <w:highlight w:val="none"/>
              </w:rPr>
            </w:pPr>
          </w:p>
        </w:tc>
        <w:tc>
          <w:tcPr>
            <w:tcW w:w="1343" w:type="dxa"/>
            <w:noWrap/>
            <w:vAlign w:val="center"/>
          </w:tcPr>
          <w:p w14:paraId="465EBC18">
            <w:pPr>
              <w:autoSpaceDN w:val="0"/>
              <w:spacing w:line="440" w:lineRule="exact"/>
              <w:jc w:val="center"/>
              <w:rPr>
                <w:rFonts w:hint="eastAsia" w:ascii="宋体" w:hAnsi="宋体" w:eastAsia="宋体" w:cs="宋体"/>
                <w:sz w:val="22"/>
                <w:szCs w:val="22"/>
                <w:highlight w:val="none"/>
              </w:rPr>
            </w:pPr>
          </w:p>
        </w:tc>
      </w:tr>
      <w:tr w14:paraId="4AC2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487A4E23">
            <w:pPr>
              <w:autoSpaceDN w:val="0"/>
              <w:spacing w:line="440" w:lineRule="exact"/>
              <w:jc w:val="center"/>
              <w:rPr>
                <w:rFonts w:hint="eastAsia" w:ascii="宋体" w:hAnsi="宋体" w:eastAsia="宋体" w:cs="宋体"/>
                <w:sz w:val="22"/>
                <w:szCs w:val="22"/>
                <w:highlight w:val="none"/>
              </w:rPr>
            </w:pPr>
          </w:p>
        </w:tc>
        <w:tc>
          <w:tcPr>
            <w:tcW w:w="872" w:type="dxa"/>
            <w:noWrap/>
            <w:vAlign w:val="center"/>
          </w:tcPr>
          <w:p w14:paraId="3AA9FFEF">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0F7ECE72">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105F2356">
            <w:pPr>
              <w:autoSpaceDN w:val="0"/>
              <w:spacing w:line="440" w:lineRule="exact"/>
              <w:jc w:val="center"/>
              <w:rPr>
                <w:rFonts w:hint="eastAsia" w:ascii="宋体" w:hAnsi="宋体" w:eastAsia="宋体" w:cs="宋体"/>
                <w:sz w:val="22"/>
                <w:szCs w:val="22"/>
                <w:highlight w:val="none"/>
              </w:rPr>
            </w:pPr>
          </w:p>
        </w:tc>
        <w:tc>
          <w:tcPr>
            <w:tcW w:w="875" w:type="dxa"/>
            <w:noWrap/>
            <w:vAlign w:val="center"/>
          </w:tcPr>
          <w:p w14:paraId="0C239034">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104AA19B">
            <w:pPr>
              <w:autoSpaceDN w:val="0"/>
              <w:spacing w:line="440" w:lineRule="exact"/>
              <w:jc w:val="center"/>
              <w:rPr>
                <w:rFonts w:hint="eastAsia" w:ascii="宋体" w:hAnsi="宋体" w:eastAsia="宋体" w:cs="宋体"/>
                <w:sz w:val="22"/>
                <w:szCs w:val="22"/>
                <w:highlight w:val="none"/>
              </w:rPr>
            </w:pPr>
          </w:p>
        </w:tc>
        <w:tc>
          <w:tcPr>
            <w:tcW w:w="1133" w:type="dxa"/>
            <w:noWrap/>
            <w:vAlign w:val="center"/>
          </w:tcPr>
          <w:p w14:paraId="119FFDCA">
            <w:pPr>
              <w:autoSpaceDN w:val="0"/>
              <w:spacing w:line="440" w:lineRule="exact"/>
              <w:jc w:val="center"/>
              <w:rPr>
                <w:rFonts w:hint="eastAsia" w:ascii="宋体" w:hAnsi="宋体" w:eastAsia="宋体" w:cs="宋体"/>
                <w:sz w:val="22"/>
                <w:szCs w:val="22"/>
                <w:highlight w:val="none"/>
              </w:rPr>
            </w:pPr>
          </w:p>
        </w:tc>
        <w:tc>
          <w:tcPr>
            <w:tcW w:w="1343" w:type="dxa"/>
            <w:noWrap/>
            <w:vAlign w:val="center"/>
          </w:tcPr>
          <w:p w14:paraId="44BA6AB1">
            <w:pPr>
              <w:autoSpaceDN w:val="0"/>
              <w:spacing w:line="440" w:lineRule="exact"/>
              <w:jc w:val="center"/>
              <w:rPr>
                <w:rFonts w:hint="eastAsia" w:ascii="宋体" w:hAnsi="宋体" w:eastAsia="宋体" w:cs="宋体"/>
                <w:sz w:val="22"/>
                <w:szCs w:val="22"/>
                <w:highlight w:val="none"/>
              </w:rPr>
            </w:pPr>
          </w:p>
        </w:tc>
      </w:tr>
      <w:tr w14:paraId="76A8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6459FBEB">
            <w:pPr>
              <w:autoSpaceDN w:val="0"/>
              <w:spacing w:line="440" w:lineRule="exact"/>
              <w:jc w:val="center"/>
              <w:rPr>
                <w:rFonts w:hint="eastAsia" w:ascii="宋体" w:hAnsi="宋体" w:eastAsia="宋体" w:cs="宋体"/>
                <w:sz w:val="22"/>
                <w:szCs w:val="22"/>
                <w:highlight w:val="none"/>
              </w:rPr>
            </w:pPr>
          </w:p>
        </w:tc>
        <w:tc>
          <w:tcPr>
            <w:tcW w:w="872" w:type="dxa"/>
            <w:noWrap/>
          </w:tcPr>
          <w:p w14:paraId="07A33EB5">
            <w:pPr>
              <w:autoSpaceDN w:val="0"/>
              <w:spacing w:line="440" w:lineRule="exact"/>
              <w:jc w:val="center"/>
              <w:rPr>
                <w:rFonts w:hint="eastAsia" w:ascii="宋体" w:hAnsi="宋体" w:eastAsia="宋体" w:cs="宋体"/>
                <w:sz w:val="22"/>
                <w:szCs w:val="22"/>
                <w:highlight w:val="none"/>
              </w:rPr>
            </w:pPr>
          </w:p>
        </w:tc>
        <w:tc>
          <w:tcPr>
            <w:tcW w:w="1133" w:type="dxa"/>
            <w:noWrap/>
          </w:tcPr>
          <w:p w14:paraId="17F9B120">
            <w:pPr>
              <w:autoSpaceDN w:val="0"/>
              <w:spacing w:line="440" w:lineRule="exact"/>
              <w:jc w:val="center"/>
              <w:rPr>
                <w:rFonts w:hint="eastAsia" w:ascii="宋体" w:hAnsi="宋体" w:eastAsia="宋体" w:cs="宋体"/>
                <w:sz w:val="22"/>
                <w:szCs w:val="22"/>
                <w:highlight w:val="none"/>
              </w:rPr>
            </w:pPr>
          </w:p>
        </w:tc>
        <w:tc>
          <w:tcPr>
            <w:tcW w:w="1133" w:type="dxa"/>
            <w:noWrap/>
          </w:tcPr>
          <w:p w14:paraId="5B3E27AB">
            <w:pPr>
              <w:autoSpaceDN w:val="0"/>
              <w:spacing w:line="440" w:lineRule="exact"/>
              <w:jc w:val="center"/>
              <w:rPr>
                <w:rFonts w:hint="eastAsia" w:ascii="宋体" w:hAnsi="宋体" w:eastAsia="宋体" w:cs="宋体"/>
                <w:sz w:val="22"/>
                <w:szCs w:val="22"/>
                <w:highlight w:val="none"/>
              </w:rPr>
            </w:pPr>
          </w:p>
        </w:tc>
        <w:tc>
          <w:tcPr>
            <w:tcW w:w="875" w:type="dxa"/>
            <w:noWrap/>
          </w:tcPr>
          <w:p w14:paraId="4AB78343">
            <w:pPr>
              <w:autoSpaceDN w:val="0"/>
              <w:spacing w:line="440" w:lineRule="exact"/>
              <w:jc w:val="center"/>
              <w:rPr>
                <w:rFonts w:hint="eastAsia" w:ascii="宋体" w:hAnsi="宋体" w:eastAsia="宋体" w:cs="宋体"/>
                <w:sz w:val="22"/>
                <w:szCs w:val="22"/>
                <w:highlight w:val="none"/>
              </w:rPr>
            </w:pPr>
          </w:p>
        </w:tc>
        <w:tc>
          <w:tcPr>
            <w:tcW w:w="1133" w:type="dxa"/>
            <w:noWrap/>
          </w:tcPr>
          <w:p w14:paraId="42A9DFBC">
            <w:pPr>
              <w:autoSpaceDN w:val="0"/>
              <w:spacing w:line="440" w:lineRule="exact"/>
              <w:jc w:val="center"/>
              <w:rPr>
                <w:rFonts w:hint="eastAsia" w:ascii="宋体" w:hAnsi="宋体" w:eastAsia="宋体" w:cs="宋体"/>
                <w:sz w:val="22"/>
                <w:szCs w:val="22"/>
                <w:highlight w:val="none"/>
              </w:rPr>
            </w:pPr>
          </w:p>
        </w:tc>
        <w:tc>
          <w:tcPr>
            <w:tcW w:w="1133" w:type="dxa"/>
            <w:noWrap/>
          </w:tcPr>
          <w:p w14:paraId="0C69C613">
            <w:pPr>
              <w:autoSpaceDN w:val="0"/>
              <w:spacing w:line="440" w:lineRule="exact"/>
              <w:jc w:val="center"/>
              <w:rPr>
                <w:rFonts w:hint="eastAsia" w:ascii="宋体" w:hAnsi="宋体" w:eastAsia="宋体" w:cs="宋体"/>
                <w:sz w:val="22"/>
                <w:szCs w:val="22"/>
                <w:highlight w:val="none"/>
              </w:rPr>
            </w:pPr>
          </w:p>
        </w:tc>
        <w:tc>
          <w:tcPr>
            <w:tcW w:w="1343" w:type="dxa"/>
            <w:noWrap/>
          </w:tcPr>
          <w:p w14:paraId="0378D19A">
            <w:pPr>
              <w:autoSpaceDN w:val="0"/>
              <w:spacing w:line="440" w:lineRule="exact"/>
              <w:jc w:val="center"/>
              <w:rPr>
                <w:rFonts w:hint="eastAsia" w:ascii="宋体" w:hAnsi="宋体" w:eastAsia="宋体" w:cs="宋体"/>
                <w:sz w:val="22"/>
                <w:szCs w:val="22"/>
                <w:highlight w:val="none"/>
              </w:rPr>
            </w:pPr>
          </w:p>
        </w:tc>
      </w:tr>
      <w:tr w14:paraId="550C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4BDB918B">
            <w:pPr>
              <w:autoSpaceDN w:val="0"/>
              <w:spacing w:line="440" w:lineRule="exact"/>
              <w:jc w:val="center"/>
              <w:rPr>
                <w:rFonts w:hint="eastAsia" w:ascii="宋体" w:hAnsi="宋体" w:eastAsia="宋体" w:cs="宋体"/>
                <w:sz w:val="22"/>
                <w:szCs w:val="22"/>
                <w:highlight w:val="none"/>
              </w:rPr>
            </w:pPr>
          </w:p>
        </w:tc>
        <w:tc>
          <w:tcPr>
            <w:tcW w:w="872" w:type="dxa"/>
            <w:noWrap/>
          </w:tcPr>
          <w:p w14:paraId="40448F3E">
            <w:pPr>
              <w:autoSpaceDN w:val="0"/>
              <w:spacing w:line="440" w:lineRule="exact"/>
              <w:jc w:val="center"/>
              <w:rPr>
                <w:rFonts w:hint="eastAsia" w:ascii="宋体" w:hAnsi="宋体" w:eastAsia="宋体" w:cs="宋体"/>
                <w:sz w:val="22"/>
                <w:szCs w:val="22"/>
                <w:highlight w:val="none"/>
              </w:rPr>
            </w:pPr>
          </w:p>
        </w:tc>
        <w:tc>
          <w:tcPr>
            <w:tcW w:w="1133" w:type="dxa"/>
            <w:noWrap/>
          </w:tcPr>
          <w:p w14:paraId="14A869CC">
            <w:pPr>
              <w:autoSpaceDN w:val="0"/>
              <w:spacing w:line="440" w:lineRule="exact"/>
              <w:jc w:val="center"/>
              <w:rPr>
                <w:rFonts w:hint="eastAsia" w:ascii="宋体" w:hAnsi="宋体" w:eastAsia="宋体" w:cs="宋体"/>
                <w:sz w:val="22"/>
                <w:szCs w:val="22"/>
                <w:highlight w:val="none"/>
              </w:rPr>
            </w:pPr>
          </w:p>
        </w:tc>
        <w:tc>
          <w:tcPr>
            <w:tcW w:w="1133" w:type="dxa"/>
            <w:noWrap/>
          </w:tcPr>
          <w:p w14:paraId="2F585EE7">
            <w:pPr>
              <w:autoSpaceDN w:val="0"/>
              <w:spacing w:line="440" w:lineRule="exact"/>
              <w:jc w:val="center"/>
              <w:rPr>
                <w:rFonts w:hint="eastAsia" w:ascii="宋体" w:hAnsi="宋体" w:eastAsia="宋体" w:cs="宋体"/>
                <w:sz w:val="22"/>
                <w:szCs w:val="22"/>
                <w:highlight w:val="none"/>
              </w:rPr>
            </w:pPr>
          </w:p>
        </w:tc>
        <w:tc>
          <w:tcPr>
            <w:tcW w:w="875" w:type="dxa"/>
            <w:noWrap/>
          </w:tcPr>
          <w:p w14:paraId="1BAD3CD6">
            <w:pPr>
              <w:autoSpaceDN w:val="0"/>
              <w:spacing w:line="440" w:lineRule="exact"/>
              <w:jc w:val="center"/>
              <w:rPr>
                <w:rFonts w:hint="eastAsia" w:ascii="宋体" w:hAnsi="宋体" w:eastAsia="宋体" w:cs="宋体"/>
                <w:sz w:val="22"/>
                <w:szCs w:val="22"/>
                <w:highlight w:val="none"/>
              </w:rPr>
            </w:pPr>
          </w:p>
        </w:tc>
        <w:tc>
          <w:tcPr>
            <w:tcW w:w="1133" w:type="dxa"/>
            <w:noWrap/>
          </w:tcPr>
          <w:p w14:paraId="7FDEE562">
            <w:pPr>
              <w:autoSpaceDN w:val="0"/>
              <w:spacing w:line="440" w:lineRule="exact"/>
              <w:jc w:val="center"/>
              <w:rPr>
                <w:rFonts w:hint="eastAsia" w:ascii="宋体" w:hAnsi="宋体" w:eastAsia="宋体" w:cs="宋体"/>
                <w:sz w:val="22"/>
                <w:szCs w:val="22"/>
                <w:highlight w:val="none"/>
              </w:rPr>
            </w:pPr>
          </w:p>
        </w:tc>
        <w:tc>
          <w:tcPr>
            <w:tcW w:w="1133" w:type="dxa"/>
            <w:noWrap/>
          </w:tcPr>
          <w:p w14:paraId="54BD5EA1">
            <w:pPr>
              <w:autoSpaceDN w:val="0"/>
              <w:spacing w:line="440" w:lineRule="exact"/>
              <w:jc w:val="center"/>
              <w:rPr>
                <w:rFonts w:hint="eastAsia" w:ascii="宋体" w:hAnsi="宋体" w:eastAsia="宋体" w:cs="宋体"/>
                <w:sz w:val="22"/>
                <w:szCs w:val="22"/>
                <w:highlight w:val="none"/>
              </w:rPr>
            </w:pPr>
          </w:p>
        </w:tc>
        <w:tc>
          <w:tcPr>
            <w:tcW w:w="1343" w:type="dxa"/>
            <w:noWrap/>
          </w:tcPr>
          <w:p w14:paraId="532450AF">
            <w:pPr>
              <w:autoSpaceDN w:val="0"/>
              <w:spacing w:line="440" w:lineRule="exact"/>
              <w:jc w:val="center"/>
              <w:rPr>
                <w:rFonts w:hint="eastAsia" w:ascii="宋体" w:hAnsi="宋体" w:eastAsia="宋体" w:cs="宋体"/>
                <w:sz w:val="22"/>
                <w:szCs w:val="22"/>
                <w:highlight w:val="none"/>
              </w:rPr>
            </w:pPr>
          </w:p>
        </w:tc>
      </w:tr>
      <w:tr w14:paraId="00E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53C09FB6">
            <w:pPr>
              <w:autoSpaceDN w:val="0"/>
              <w:spacing w:line="440" w:lineRule="exact"/>
              <w:jc w:val="center"/>
              <w:rPr>
                <w:rFonts w:hint="eastAsia" w:ascii="宋体" w:hAnsi="宋体" w:eastAsia="宋体" w:cs="宋体"/>
                <w:sz w:val="22"/>
                <w:szCs w:val="22"/>
                <w:highlight w:val="none"/>
              </w:rPr>
            </w:pPr>
          </w:p>
        </w:tc>
        <w:tc>
          <w:tcPr>
            <w:tcW w:w="872" w:type="dxa"/>
            <w:noWrap/>
          </w:tcPr>
          <w:p w14:paraId="15FB40D8">
            <w:pPr>
              <w:autoSpaceDN w:val="0"/>
              <w:spacing w:line="440" w:lineRule="exact"/>
              <w:jc w:val="center"/>
              <w:rPr>
                <w:rFonts w:hint="eastAsia" w:ascii="宋体" w:hAnsi="宋体" w:eastAsia="宋体" w:cs="宋体"/>
                <w:sz w:val="22"/>
                <w:szCs w:val="22"/>
                <w:highlight w:val="none"/>
              </w:rPr>
            </w:pPr>
          </w:p>
        </w:tc>
        <w:tc>
          <w:tcPr>
            <w:tcW w:w="1133" w:type="dxa"/>
            <w:noWrap/>
          </w:tcPr>
          <w:p w14:paraId="2DF31F7A">
            <w:pPr>
              <w:autoSpaceDN w:val="0"/>
              <w:spacing w:line="440" w:lineRule="exact"/>
              <w:jc w:val="center"/>
              <w:rPr>
                <w:rFonts w:hint="eastAsia" w:ascii="宋体" w:hAnsi="宋体" w:eastAsia="宋体" w:cs="宋体"/>
                <w:sz w:val="22"/>
                <w:szCs w:val="22"/>
                <w:highlight w:val="none"/>
              </w:rPr>
            </w:pPr>
          </w:p>
        </w:tc>
        <w:tc>
          <w:tcPr>
            <w:tcW w:w="1133" w:type="dxa"/>
            <w:noWrap/>
          </w:tcPr>
          <w:p w14:paraId="43E822E7">
            <w:pPr>
              <w:autoSpaceDN w:val="0"/>
              <w:spacing w:line="440" w:lineRule="exact"/>
              <w:jc w:val="center"/>
              <w:rPr>
                <w:rFonts w:hint="eastAsia" w:ascii="宋体" w:hAnsi="宋体" w:eastAsia="宋体" w:cs="宋体"/>
                <w:sz w:val="22"/>
                <w:szCs w:val="22"/>
                <w:highlight w:val="none"/>
              </w:rPr>
            </w:pPr>
          </w:p>
        </w:tc>
        <w:tc>
          <w:tcPr>
            <w:tcW w:w="875" w:type="dxa"/>
            <w:noWrap/>
          </w:tcPr>
          <w:p w14:paraId="19BFDD67">
            <w:pPr>
              <w:autoSpaceDN w:val="0"/>
              <w:spacing w:line="440" w:lineRule="exact"/>
              <w:jc w:val="center"/>
              <w:rPr>
                <w:rFonts w:hint="eastAsia" w:ascii="宋体" w:hAnsi="宋体" w:eastAsia="宋体" w:cs="宋体"/>
                <w:sz w:val="22"/>
                <w:szCs w:val="22"/>
                <w:highlight w:val="none"/>
              </w:rPr>
            </w:pPr>
          </w:p>
        </w:tc>
        <w:tc>
          <w:tcPr>
            <w:tcW w:w="1133" w:type="dxa"/>
            <w:noWrap/>
          </w:tcPr>
          <w:p w14:paraId="6C253C5E">
            <w:pPr>
              <w:autoSpaceDN w:val="0"/>
              <w:spacing w:line="440" w:lineRule="exact"/>
              <w:jc w:val="center"/>
              <w:rPr>
                <w:rFonts w:hint="eastAsia" w:ascii="宋体" w:hAnsi="宋体" w:eastAsia="宋体" w:cs="宋体"/>
                <w:sz w:val="22"/>
                <w:szCs w:val="22"/>
                <w:highlight w:val="none"/>
              </w:rPr>
            </w:pPr>
          </w:p>
        </w:tc>
        <w:tc>
          <w:tcPr>
            <w:tcW w:w="1133" w:type="dxa"/>
            <w:noWrap/>
          </w:tcPr>
          <w:p w14:paraId="59C4184C">
            <w:pPr>
              <w:autoSpaceDN w:val="0"/>
              <w:spacing w:line="440" w:lineRule="exact"/>
              <w:jc w:val="center"/>
              <w:rPr>
                <w:rFonts w:hint="eastAsia" w:ascii="宋体" w:hAnsi="宋体" w:eastAsia="宋体" w:cs="宋体"/>
                <w:sz w:val="22"/>
                <w:szCs w:val="22"/>
                <w:highlight w:val="none"/>
              </w:rPr>
            </w:pPr>
          </w:p>
        </w:tc>
        <w:tc>
          <w:tcPr>
            <w:tcW w:w="1343" w:type="dxa"/>
            <w:noWrap/>
          </w:tcPr>
          <w:p w14:paraId="3E17D498">
            <w:pPr>
              <w:autoSpaceDN w:val="0"/>
              <w:spacing w:line="440" w:lineRule="exact"/>
              <w:jc w:val="center"/>
              <w:rPr>
                <w:rFonts w:hint="eastAsia" w:ascii="宋体" w:hAnsi="宋体" w:eastAsia="宋体" w:cs="宋体"/>
                <w:sz w:val="22"/>
                <w:szCs w:val="22"/>
                <w:highlight w:val="none"/>
              </w:rPr>
            </w:pPr>
          </w:p>
        </w:tc>
      </w:tr>
    </w:tbl>
    <w:p w14:paraId="03B145B0">
      <w:pPr>
        <w:topLinePunct/>
        <w:autoSpaceDN w:val="0"/>
        <w:spacing w:line="440" w:lineRule="exact"/>
        <w:jc w:val="center"/>
        <w:rPr>
          <w:rFonts w:hint="eastAsia" w:ascii="宋体" w:hAnsi="宋体" w:eastAsia="宋体" w:cs="宋体"/>
          <w:sz w:val="22"/>
          <w:szCs w:val="22"/>
          <w:highlight w:val="none"/>
        </w:rPr>
      </w:pPr>
    </w:p>
    <w:p w14:paraId="42A71CB4">
      <w:pPr>
        <w:tabs>
          <w:tab w:val="left" w:pos="720"/>
        </w:tabs>
        <w:autoSpaceDN w:val="0"/>
        <w:spacing w:line="440" w:lineRule="exact"/>
        <w:jc w:val="left"/>
        <w:rPr>
          <w:rFonts w:hint="eastAsia" w:ascii="宋体" w:hAnsi="宋体" w:eastAsia="宋体" w:cs="宋体"/>
          <w:b/>
          <w:bCs/>
          <w:sz w:val="22"/>
          <w:szCs w:val="22"/>
          <w:highlight w:val="none"/>
        </w:rPr>
      </w:pPr>
      <w:bookmarkStart w:id="178" w:name="_Toc179632820"/>
      <w:bookmarkStart w:id="179" w:name="_Toc246392158"/>
      <w:bookmarkStart w:id="180" w:name="_Toc144974868"/>
      <w:bookmarkStart w:id="181" w:name="_Toc152042589"/>
      <w:bookmarkStart w:id="182" w:name="_Toc152045800"/>
      <w:r>
        <w:rPr>
          <w:rFonts w:hint="eastAsia" w:ascii="宋体" w:hAnsi="宋体" w:eastAsia="宋体" w:cs="宋体"/>
          <w:b/>
          <w:bCs/>
          <w:sz w:val="22"/>
          <w:szCs w:val="22"/>
          <w:highlight w:val="none"/>
        </w:rPr>
        <w:t>附表六：计划开、竣工日期和施工进度网络图</w:t>
      </w:r>
      <w:bookmarkEnd w:id="178"/>
      <w:bookmarkEnd w:id="179"/>
      <w:bookmarkEnd w:id="180"/>
      <w:bookmarkEnd w:id="181"/>
      <w:bookmarkEnd w:id="182"/>
    </w:p>
    <w:p w14:paraId="17A1B18D">
      <w:pPr>
        <w:autoSpaceDN w:val="0"/>
        <w:spacing w:line="440" w:lineRule="exact"/>
        <w:rPr>
          <w:rFonts w:hint="eastAsia" w:ascii="宋体" w:hAnsi="宋体" w:eastAsia="宋体" w:cs="宋体"/>
          <w:sz w:val="22"/>
          <w:szCs w:val="22"/>
          <w:highlight w:val="none"/>
        </w:rPr>
      </w:pPr>
    </w:p>
    <w:p w14:paraId="5C8D23EB">
      <w:pPr>
        <w:autoSpaceDN w:val="0"/>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 磋商响应供应商应递交施工进度网络图或施工进度表，说明按磋商文件要求的计划工期进行施工的各个关键日期。</w:t>
      </w:r>
    </w:p>
    <w:p w14:paraId="634C0977">
      <w:pPr>
        <w:autoSpaceDN w:val="0"/>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 施工进度表可采用网络图（或横道图）表示。</w:t>
      </w:r>
    </w:p>
    <w:p w14:paraId="6E77B3DC">
      <w:pPr>
        <w:pStyle w:val="4"/>
        <w:spacing w:before="120" w:after="120"/>
        <w:ind w:firstLine="221"/>
        <w:rPr>
          <w:rFonts w:hint="eastAsia" w:ascii="宋体" w:hAnsi="宋体" w:eastAsia="宋体" w:cs="宋体"/>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CAF150">
      <w:pPr>
        <w:pStyle w:val="4"/>
        <w:spacing w:before="120" w:after="120"/>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w:t>
      </w:r>
      <w:r>
        <w:rPr>
          <w:rFonts w:hint="eastAsia" w:ascii="宋体" w:hAnsi="宋体" w:eastAsia="宋体" w:cs="宋体"/>
          <w:bCs/>
          <w:color w:val="000000"/>
          <w:kern w:val="0"/>
          <w:szCs w:val="24"/>
          <w:highlight w:val="none"/>
          <w:lang w:val="en-US" w:eastAsia="zh-CN"/>
        </w:rPr>
        <w:t>7</w:t>
      </w:r>
      <w:r>
        <w:rPr>
          <w:rFonts w:hint="eastAsia" w:ascii="宋体" w:hAnsi="宋体" w:eastAsia="宋体" w:cs="宋体"/>
          <w:bCs/>
          <w:color w:val="000000"/>
          <w:kern w:val="0"/>
          <w:szCs w:val="24"/>
          <w:highlight w:val="none"/>
        </w:rPr>
        <w:t xml:space="preserve"> 技术（服务）方案</w:t>
      </w:r>
    </w:p>
    <w:p w14:paraId="3B07FEE3">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kern w:val="0"/>
          <w:sz w:val="44"/>
          <w:szCs w:val="28"/>
          <w:highlight w:val="none"/>
        </w:rPr>
        <w:t>技术（服务）方案</w:t>
      </w:r>
    </w:p>
    <w:p w14:paraId="5CA599BE">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768651A0">
      <w:pPr>
        <w:autoSpaceDN w:val="0"/>
        <w:spacing w:line="360" w:lineRule="auto"/>
        <w:rPr>
          <w:rFonts w:hint="eastAsia" w:ascii="宋体" w:hAnsi="宋体" w:eastAsia="宋体" w:cs="宋体"/>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2A85DA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4C6CE06A">
            <w:pPr>
              <w:autoSpaceDN w:val="0"/>
              <w:spacing w:line="360" w:lineRule="auto"/>
              <w:rPr>
                <w:rFonts w:hint="eastAsia" w:ascii="宋体" w:hAnsi="宋体" w:eastAsia="宋体" w:cs="宋体"/>
                <w:color w:val="000000"/>
                <w:sz w:val="22"/>
                <w:szCs w:val="21"/>
                <w:highlight w:val="none"/>
              </w:rPr>
            </w:pPr>
            <w:r>
              <w:rPr>
                <w:rFonts w:hint="eastAsia" w:ascii="宋体" w:hAnsi="宋体" w:eastAsia="宋体" w:cs="宋体"/>
                <w:b/>
                <w:color w:val="000000"/>
                <w:sz w:val="28"/>
                <w:highlight w:val="none"/>
              </w:rPr>
              <w:t>自行对照评审细则，但不仅限于。</w:t>
            </w:r>
          </w:p>
        </w:tc>
      </w:tr>
    </w:tbl>
    <w:p w14:paraId="1F0A01AC">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58AAC56D">
      <w:pPr>
        <w:autoSpaceDN w:val="0"/>
        <w:snapToGrid w:val="0"/>
        <w:spacing w:line="360" w:lineRule="auto"/>
        <w:rPr>
          <w:rFonts w:hint="eastAsia" w:ascii="宋体" w:hAnsi="宋体" w:eastAsia="宋体" w:cs="宋体"/>
          <w:color w:val="000000"/>
          <w:w w:val="90"/>
          <w:kern w:val="0"/>
          <w:sz w:val="22"/>
          <w:szCs w:val="22"/>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10CF9DD7">
      <w:pPr>
        <w:pStyle w:val="6"/>
        <w:autoSpaceDN w:val="0"/>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8D6933">
      <w:pPr>
        <w:pStyle w:val="4"/>
        <w:spacing w:before="120" w:after="120"/>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w:t>
      </w:r>
      <w:r>
        <w:rPr>
          <w:rFonts w:hint="eastAsia" w:ascii="宋体" w:hAnsi="宋体" w:eastAsia="宋体" w:cs="宋体"/>
          <w:bCs/>
          <w:color w:val="000000"/>
          <w:kern w:val="0"/>
          <w:szCs w:val="24"/>
          <w:highlight w:val="none"/>
          <w:lang w:val="en-US" w:eastAsia="zh-CN"/>
        </w:rPr>
        <w:t>8</w:t>
      </w:r>
      <w:r>
        <w:rPr>
          <w:rFonts w:hint="eastAsia" w:ascii="宋体" w:hAnsi="宋体" w:eastAsia="宋体" w:cs="宋体"/>
          <w:bCs/>
          <w:color w:val="000000"/>
          <w:kern w:val="0"/>
          <w:szCs w:val="24"/>
          <w:highlight w:val="none"/>
        </w:rPr>
        <w:t xml:space="preserve"> 节能、环保产品证明材料（如有）</w:t>
      </w:r>
    </w:p>
    <w:p w14:paraId="7E77A07C">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highlight w:val="none"/>
        </w:rPr>
        <w:t>节能、环保产品证明材料</w:t>
      </w:r>
    </w:p>
    <w:p w14:paraId="5B63EA90">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319E8AFE">
      <w:pPr>
        <w:autoSpaceDN w:val="0"/>
        <w:spacing w:line="360" w:lineRule="auto"/>
        <w:rPr>
          <w:rFonts w:hint="eastAsia" w:ascii="宋体" w:hAnsi="宋体" w:eastAsia="宋体" w:cs="宋体"/>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AA6A6B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5D0A4877">
            <w:pPr>
              <w:autoSpaceDN w:val="0"/>
              <w:spacing w:line="360" w:lineRule="auto"/>
              <w:rPr>
                <w:rFonts w:hint="eastAsia" w:ascii="宋体" w:hAnsi="宋体" w:eastAsia="宋体" w:cs="宋体"/>
                <w:color w:val="000000"/>
                <w:sz w:val="22"/>
                <w:szCs w:val="21"/>
                <w:highlight w:val="none"/>
              </w:rPr>
            </w:pPr>
            <w:r>
              <w:rPr>
                <w:rFonts w:hint="eastAsia" w:ascii="宋体" w:hAnsi="宋体" w:eastAsia="宋体" w:cs="宋体"/>
                <w:b/>
                <w:color w:val="000000"/>
                <w:sz w:val="28"/>
                <w:highlight w:val="none"/>
              </w:rPr>
              <w:t>在本项目实施过程中使用到的节能、环保产品。</w:t>
            </w:r>
          </w:p>
        </w:tc>
      </w:tr>
    </w:tbl>
    <w:p w14:paraId="34C167CD">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4B6A661C">
      <w:pPr>
        <w:autoSpaceDN w:val="0"/>
        <w:snapToGrid w:val="0"/>
        <w:spacing w:line="360" w:lineRule="auto"/>
        <w:rPr>
          <w:rFonts w:hint="eastAsia" w:ascii="宋体" w:hAnsi="宋体" w:eastAsia="宋体" w:cs="宋体"/>
          <w:color w:val="000000"/>
          <w:w w:val="90"/>
          <w:kern w:val="0"/>
          <w:sz w:val="22"/>
          <w:szCs w:val="22"/>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222DAA15">
      <w:pPr>
        <w:pStyle w:val="4"/>
        <w:spacing w:before="120" w:after="120" w:line="324" w:lineRule="auto"/>
        <w:ind w:firstLine="221"/>
        <w:jc w:val="both"/>
        <w:rPr>
          <w:rFonts w:hint="eastAsia" w:ascii="宋体" w:hAnsi="宋体" w:eastAsia="宋体" w:cs="宋体"/>
          <w:sz w:val="22"/>
          <w:szCs w:val="22"/>
          <w:highlight w:val="none"/>
        </w:rPr>
      </w:pPr>
      <w:r>
        <w:rPr>
          <w:rFonts w:hint="eastAsia" w:ascii="宋体" w:hAnsi="宋体" w:eastAsia="宋体" w:cs="宋体"/>
          <w:sz w:val="22"/>
          <w:szCs w:val="22"/>
          <w:highlight w:val="none"/>
        </w:rPr>
        <w:br w:type="page"/>
      </w:r>
      <w:bookmarkEnd w:id="162"/>
      <w:r>
        <w:rPr>
          <w:rFonts w:hint="eastAsia" w:ascii="宋体" w:hAnsi="宋体" w:eastAsia="宋体" w:cs="宋体"/>
          <w:bCs/>
          <w:color w:val="000000"/>
          <w:kern w:val="0"/>
          <w:szCs w:val="24"/>
          <w:highlight w:val="none"/>
        </w:rPr>
        <w:t>2-</w:t>
      </w:r>
      <w:r>
        <w:rPr>
          <w:rFonts w:hint="eastAsia" w:ascii="宋体" w:hAnsi="宋体" w:eastAsia="宋体" w:cs="宋体"/>
          <w:bCs/>
          <w:color w:val="000000"/>
          <w:kern w:val="0"/>
          <w:szCs w:val="24"/>
          <w:highlight w:val="none"/>
          <w:lang w:val="en-US" w:eastAsia="zh-CN"/>
        </w:rPr>
        <w:t>9</w:t>
      </w:r>
      <w:r>
        <w:rPr>
          <w:rFonts w:hint="eastAsia" w:ascii="宋体" w:hAnsi="宋体" w:eastAsia="宋体" w:cs="宋体"/>
          <w:bCs/>
          <w:color w:val="000000"/>
          <w:kern w:val="0"/>
          <w:szCs w:val="24"/>
          <w:highlight w:val="none"/>
        </w:rPr>
        <w:t xml:space="preserve"> 主要材料品牌表</w:t>
      </w:r>
    </w:p>
    <w:p w14:paraId="59E735ED">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highlight w:val="none"/>
        </w:rPr>
        <w:t>主要材料品牌表</w:t>
      </w:r>
    </w:p>
    <w:p w14:paraId="344F2BC2">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52FFE2D3">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8789" w:type="dxa"/>
        <w:jc w:val="center"/>
        <w:tblLayout w:type="fixed"/>
        <w:tblCellMar>
          <w:top w:w="0" w:type="dxa"/>
          <w:left w:w="10" w:type="dxa"/>
          <w:bottom w:w="0" w:type="dxa"/>
          <w:right w:w="10" w:type="dxa"/>
        </w:tblCellMar>
      </w:tblPr>
      <w:tblGrid>
        <w:gridCol w:w="846"/>
        <w:gridCol w:w="1984"/>
        <w:gridCol w:w="3738"/>
        <w:gridCol w:w="2221"/>
      </w:tblGrid>
      <w:tr w14:paraId="50B8633B">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F75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F186B7">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材料名称</w:t>
            </w: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F8966B">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推荐品牌或制造商</w:t>
            </w: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4B78E9">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所投品牌及型号</w:t>
            </w:r>
          </w:p>
        </w:tc>
      </w:tr>
      <w:tr w14:paraId="76D2CD3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D529">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3B14C4">
            <w:pPr>
              <w:autoSpaceDN w:val="0"/>
              <w:spacing w:line="440" w:lineRule="exact"/>
              <w:rPr>
                <w:rFonts w:hint="eastAsia" w:ascii="宋体" w:hAnsi="宋体" w:eastAsia="宋体" w:cs="宋体"/>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6C1F21">
            <w:pPr>
              <w:spacing w:beforeLines="0" w:afterLines="0"/>
              <w:jc w:val="left"/>
              <w:rPr>
                <w:rFonts w:hint="eastAsia" w:ascii="宋体" w:hAnsi="宋体" w:eastAsia="宋体" w:cs="宋体"/>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E916F2">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583ABB7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A18B">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D8704C">
            <w:pPr>
              <w:autoSpaceDN w:val="0"/>
              <w:spacing w:line="440" w:lineRule="exact"/>
              <w:rPr>
                <w:rFonts w:hint="eastAsia" w:ascii="宋体" w:hAnsi="宋体" w:eastAsia="宋体" w:cs="宋体"/>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D9337D">
            <w:pPr>
              <w:spacing w:beforeLines="0" w:afterLines="0"/>
              <w:jc w:val="left"/>
              <w:rPr>
                <w:rFonts w:hint="eastAsia" w:ascii="宋体" w:hAnsi="宋体" w:eastAsia="宋体" w:cs="宋体"/>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C81EF6">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4C5CAD1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AD42">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69240C">
            <w:pPr>
              <w:autoSpaceDN w:val="0"/>
              <w:spacing w:line="440" w:lineRule="exact"/>
              <w:rPr>
                <w:rFonts w:hint="eastAsia" w:ascii="宋体" w:hAnsi="宋体" w:eastAsia="宋体" w:cs="宋体"/>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D763BC">
            <w:pPr>
              <w:spacing w:beforeLines="0" w:afterLines="0"/>
              <w:jc w:val="left"/>
              <w:rPr>
                <w:rFonts w:hint="eastAsia" w:ascii="宋体" w:hAnsi="宋体" w:eastAsia="宋体" w:cs="宋体"/>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CEF4FE">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3C7A6F7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1D5D">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734DCF2">
            <w:pPr>
              <w:autoSpaceDN w:val="0"/>
              <w:spacing w:line="440" w:lineRule="exact"/>
              <w:rPr>
                <w:rFonts w:hint="eastAsia" w:ascii="宋体" w:hAnsi="宋体" w:eastAsia="宋体" w:cs="宋体"/>
                <w:sz w:val="22"/>
                <w:szCs w:val="22"/>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E03326">
            <w:pPr>
              <w:spacing w:beforeLines="0" w:afterLines="0"/>
              <w:jc w:val="left"/>
              <w:rPr>
                <w:rFonts w:hint="eastAsia" w:ascii="宋体" w:hAnsi="宋体" w:eastAsia="宋体" w:cs="宋体"/>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67F1317">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39597F1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6A96">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B6C2C3">
            <w:pPr>
              <w:spacing w:beforeLines="0" w:afterLines="0"/>
              <w:jc w:val="left"/>
              <w:rPr>
                <w:rFonts w:hint="eastAsia" w:ascii="宋体" w:hAnsi="宋体" w:eastAsia="宋体" w:cs="宋体"/>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AE8CF5">
            <w:pPr>
              <w:spacing w:beforeLines="0" w:afterLines="0"/>
              <w:jc w:val="left"/>
              <w:rPr>
                <w:rFonts w:hint="eastAsia" w:ascii="宋体" w:hAnsi="宋体" w:eastAsia="宋体" w:cs="宋体"/>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A0DA27">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53E0C93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2D7F">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ECBFAB">
            <w:pPr>
              <w:spacing w:beforeLines="0" w:afterLines="0"/>
              <w:jc w:val="left"/>
              <w:rPr>
                <w:rFonts w:hint="eastAsia" w:ascii="宋体" w:hAnsi="宋体" w:eastAsia="宋体" w:cs="宋体"/>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1D950B">
            <w:pPr>
              <w:spacing w:beforeLines="0" w:afterLines="0"/>
              <w:jc w:val="left"/>
              <w:rPr>
                <w:rFonts w:hint="eastAsia" w:ascii="宋体" w:hAnsi="宋体" w:eastAsia="宋体" w:cs="宋体"/>
                <w:sz w:val="28"/>
                <w:szCs w:val="28"/>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BDC7D4">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6E19824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92C">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370D75">
            <w:pPr>
              <w:spacing w:beforeLines="0" w:afterLines="0"/>
              <w:jc w:val="left"/>
              <w:rPr>
                <w:rFonts w:hint="eastAsia" w:ascii="宋体" w:hAnsi="宋体" w:eastAsia="宋体" w:cs="宋体"/>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23C02E">
            <w:pPr>
              <w:spacing w:beforeLines="0" w:afterLines="0"/>
              <w:jc w:val="left"/>
              <w:rPr>
                <w:rFonts w:hint="eastAsia" w:ascii="宋体" w:hAnsi="宋体" w:eastAsia="宋体" w:cs="宋体"/>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E86379">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56C2C06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D06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D27964">
            <w:pPr>
              <w:spacing w:beforeLines="0" w:afterLines="0"/>
              <w:jc w:val="left"/>
              <w:rPr>
                <w:rFonts w:hint="eastAsia" w:ascii="宋体" w:hAnsi="宋体" w:eastAsia="宋体" w:cs="宋体"/>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10AEA3">
            <w:pPr>
              <w:spacing w:beforeLines="0" w:afterLines="0"/>
              <w:jc w:val="left"/>
              <w:rPr>
                <w:rFonts w:hint="eastAsia" w:ascii="宋体" w:hAnsi="宋体" w:eastAsia="宋体" w:cs="宋体"/>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58BD45">
            <w:pPr>
              <w:widowControl/>
              <w:spacing w:beforeLines="0" w:afterLines="0"/>
              <w:jc w:val="center"/>
              <w:rPr>
                <w:rFonts w:hint="eastAsia" w:ascii="宋体" w:hAnsi="宋体" w:eastAsia="宋体" w:cs="宋体"/>
                <w:szCs w:val="21"/>
                <w:highlight w:val="none"/>
              </w:rPr>
            </w:pPr>
            <w:r>
              <w:rPr>
                <w:rFonts w:hint="default" w:ascii="宋体" w:hAnsi="宋体" w:cs="宋体"/>
                <w:color w:val="FF0000"/>
                <w:kern w:val="0"/>
                <w:sz w:val="21"/>
                <w:szCs w:val="21"/>
                <w:highlight w:val="none"/>
              </w:rPr>
              <w:t>　</w:t>
            </w:r>
          </w:p>
        </w:tc>
      </w:tr>
      <w:tr w14:paraId="5B22BE5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7498">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C42FBB">
            <w:pPr>
              <w:spacing w:beforeLines="0" w:afterLines="0"/>
              <w:jc w:val="left"/>
              <w:rPr>
                <w:rFonts w:hint="eastAsia" w:ascii="宋体" w:hAnsi="宋体" w:eastAsia="宋体" w:cs="宋体"/>
                <w:sz w:val="28"/>
                <w:szCs w:val="28"/>
                <w:highlight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47E4AA">
            <w:pPr>
              <w:spacing w:beforeLines="0" w:afterLines="0"/>
              <w:jc w:val="left"/>
              <w:rPr>
                <w:rFonts w:hint="eastAsia" w:ascii="宋体" w:hAnsi="宋体" w:eastAsia="宋体" w:cs="宋体"/>
                <w:sz w:val="28"/>
                <w:szCs w:val="24"/>
                <w:highlight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DEBDA7">
            <w:pPr>
              <w:widowControl/>
              <w:spacing w:beforeLines="0" w:afterLines="0"/>
              <w:jc w:val="center"/>
              <w:rPr>
                <w:rFonts w:hint="default" w:ascii="宋体" w:hAnsi="宋体" w:cs="宋体"/>
                <w:color w:val="FF0000"/>
                <w:kern w:val="0"/>
                <w:sz w:val="21"/>
                <w:szCs w:val="21"/>
                <w:highlight w:val="none"/>
              </w:rPr>
            </w:pPr>
          </w:p>
        </w:tc>
      </w:tr>
    </w:tbl>
    <w:p w14:paraId="5C6BA053">
      <w:pPr>
        <w:autoSpaceDN w:val="0"/>
        <w:jc w:val="center"/>
        <w:rPr>
          <w:rFonts w:hint="eastAsia" w:ascii="宋体" w:hAnsi="宋体" w:eastAsia="宋体" w:cs="宋体"/>
          <w:b/>
          <w:sz w:val="22"/>
          <w:szCs w:val="22"/>
          <w:highlight w:val="none"/>
        </w:rPr>
      </w:pPr>
      <w:r>
        <w:rPr>
          <w:rFonts w:hint="eastAsia" w:ascii="宋体" w:hAnsi="宋体" w:eastAsia="宋体" w:cs="宋体"/>
          <w:szCs w:val="21"/>
          <w:highlight w:val="none"/>
        </w:rPr>
        <w:t>注：①</w:t>
      </w:r>
      <w:r>
        <w:rPr>
          <w:rFonts w:hint="eastAsia" w:ascii="宋体" w:hAnsi="宋体" w:eastAsia="宋体" w:cs="宋体"/>
          <w:b/>
          <w:szCs w:val="21"/>
          <w:highlight w:val="none"/>
        </w:rPr>
        <w:t>磋商响应供应商可在</w:t>
      </w:r>
      <w:r>
        <w:rPr>
          <w:rFonts w:hint="eastAsia" w:ascii="宋体" w:hAnsi="宋体" w:eastAsia="宋体" w:cs="宋体"/>
          <w:b/>
          <w:kern w:val="0"/>
          <w:sz w:val="22"/>
          <w:szCs w:val="22"/>
          <w:highlight w:val="none"/>
        </w:rPr>
        <w:t>“备选品牌、厂家”选择一项填写在“投标品牌”一栏中，如在此表“备选品牌、厂家”之外选择的，需要在“投标品牌”一栏中注明所选品牌</w:t>
      </w:r>
      <w:r>
        <w:rPr>
          <w:rFonts w:hint="eastAsia" w:ascii="宋体" w:hAnsi="宋体" w:eastAsia="宋体" w:cs="宋体"/>
          <w:b/>
          <w:sz w:val="22"/>
          <w:szCs w:val="22"/>
          <w:highlight w:val="none"/>
        </w:rPr>
        <w:t>。</w:t>
      </w:r>
    </w:p>
    <w:p w14:paraId="5C20137B">
      <w:pPr>
        <w:pStyle w:val="119"/>
        <w:autoSpaceDN w:val="0"/>
        <w:spacing w:line="324" w:lineRule="auto"/>
        <w:ind w:left="-283" w:leftChars="-135" w:right="-334" w:rightChars="-159" w:firstLine="330" w:firstLineChars="150"/>
        <w:rPr>
          <w:rFonts w:hint="eastAsia" w:ascii="宋体" w:hAnsi="宋体" w:eastAsia="宋体" w:cs="宋体"/>
          <w:b/>
          <w:sz w:val="22"/>
          <w:szCs w:val="22"/>
          <w:highlight w:val="none"/>
        </w:rPr>
      </w:pPr>
      <w:r>
        <w:rPr>
          <w:rFonts w:hint="eastAsia" w:ascii="宋体" w:hAnsi="宋体" w:eastAsia="宋体" w:cs="宋体"/>
          <w:sz w:val="22"/>
          <w:szCs w:val="22"/>
          <w:highlight w:val="none"/>
        </w:rPr>
        <w:t>②</w:t>
      </w:r>
      <w:r>
        <w:rPr>
          <w:rFonts w:hint="eastAsia" w:ascii="宋体" w:hAnsi="宋体" w:eastAsia="宋体" w:cs="宋体"/>
          <w:b/>
          <w:sz w:val="22"/>
          <w:szCs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2E51D999">
      <w:pPr>
        <w:pStyle w:val="6"/>
        <w:tabs>
          <w:tab w:val="left" w:pos="0"/>
        </w:tabs>
        <w:autoSpaceDN w:val="0"/>
        <w:spacing w:line="324" w:lineRule="auto"/>
        <w:ind w:left="-283" w:leftChars="-135" w:right="-334" w:rightChars="-159" w:firstLine="330" w:firstLineChars="150"/>
        <w:rPr>
          <w:rFonts w:hint="eastAsia" w:ascii="宋体" w:hAnsi="宋体" w:eastAsia="宋体" w:cs="宋体"/>
          <w:b/>
          <w:sz w:val="22"/>
          <w:szCs w:val="22"/>
          <w:highlight w:val="none"/>
        </w:rPr>
      </w:pPr>
      <w:r>
        <w:rPr>
          <w:rFonts w:hint="eastAsia" w:ascii="宋体" w:hAnsi="宋体" w:eastAsia="宋体" w:cs="宋体"/>
          <w:sz w:val="22"/>
          <w:szCs w:val="22"/>
          <w:highlight w:val="none"/>
        </w:rPr>
        <w:t>③</w:t>
      </w:r>
      <w:r>
        <w:rPr>
          <w:rFonts w:hint="eastAsia" w:ascii="宋体" w:hAnsi="宋体" w:eastAsia="宋体" w:cs="宋体"/>
          <w:b/>
          <w:sz w:val="22"/>
          <w:szCs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7CC24162">
      <w:pPr>
        <w:pStyle w:val="6"/>
        <w:tabs>
          <w:tab w:val="left" w:pos="0"/>
        </w:tabs>
        <w:autoSpaceDN w:val="0"/>
        <w:spacing w:line="324" w:lineRule="auto"/>
        <w:ind w:left="-283" w:leftChars="-135" w:right="-334" w:rightChars="-159" w:firstLine="331" w:firstLineChars="150"/>
        <w:rPr>
          <w:rFonts w:hint="eastAsia" w:ascii="宋体" w:hAnsi="宋体" w:eastAsia="宋体" w:cs="宋体"/>
          <w:kern w:val="0"/>
          <w:sz w:val="22"/>
          <w:szCs w:val="22"/>
          <w:highlight w:val="none"/>
        </w:rPr>
      </w:pPr>
      <w:r>
        <w:rPr>
          <w:rFonts w:hint="eastAsia" w:ascii="宋体" w:hAnsi="宋体" w:eastAsia="宋体" w:cs="宋体"/>
          <w:b/>
          <w:kern w:val="0"/>
          <w:sz w:val="22"/>
          <w:szCs w:val="22"/>
          <w:highlight w:val="none"/>
        </w:rPr>
        <w:t>④发包人有权根据实际情况在发包人推荐的供应商（厂家）或品牌范围内进行调整，承包人须接受调整，并不得因此而要求调价</w:t>
      </w:r>
      <w:r>
        <w:rPr>
          <w:rFonts w:hint="eastAsia" w:ascii="宋体" w:hAnsi="宋体" w:eastAsia="宋体" w:cs="宋体"/>
          <w:kern w:val="0"/>
          <w:sz w:val="22"/>
          <w:szCs w:val="22"/>
          <w:highlight w:val="none"/>
        </w:rPr>
        <w:t>。</w:t>
      </w:r>
    </w:p>
    <w:p w14:paraId="6FB051CB">
      <w:pPr>
        <w:pStyle w:val="6"/>
        <w:tabs>
          <w:tab w:val="left" w:pos="0"/>
        </w:tabs>
        <w:autoSpaceDN w:val="0"/>
        <w:spacing w:line="324" w:lineRule="auto"/>
        <w:ind w:left="-283" w:leftChars="-135" w:right="-334" w:rightChars="-159" w:firstLine="331" w:firstLineChars="150"/>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⑤若磋商响应供应商未明确品牌，采购人将在此表 “推荐品牌或厂家”中指定品牌及型号，磋商报价不予调整。</w:t>
      </w:r>
    </w:p>
    <w:p w14:paraId="5A13CBF4">
      <w:pPr>
        <w:shd w:val="clear" w:color="auto" w:fill="FFFFFF"/>
        <w:autoSpaceDN w:val="0"/>
        <w:spacing w:line="324" w:lineRule="auto"/>
        <w:ind w:left="-283" w:leftChars="-135" w:right="-334" w:rightChars="-159" w:firstLine="331" w:firstLineChars="150"/>
        <w:rPr>
          <w:rFonts w:hint="eastAsia" w:ascii="宋体" w:hAnsi="宋体" w:eastAsia="宋体" w:cs="宋体"/>
          <w:highlight w:val="none"/>
        </w:rPr>
      </w:pPr>
      <w:r>
        <w:rPr>
          <w:rFonts w:hint="eastAsia" w:ascii="宋体" w:hAnsi="宋体" w:eastAsia="宋体" w:cs="宋体"/>
          <w:b/>
          <w:kern w:val="0"/>
          <w:sz w:val="22"/>
          <w:szCs w:val="22"/>
          <w:highlight w:val="none"/>
        </w:rPr>
        <w:t>⑥</w:t>
      </w:r>
      <w:r>
        <w:rPr>
          <w:rFonts w:hint="eastAsia" w:ascii="宋体" w:hAnsi="宋体" w:eastAsia="宋体" w:cs="宋体"/>
          <w:b/>
          <w:kern w:val="0"/>
          <w:sz w:val="22"/>
          <w:szCs w:val="22"/>
          <w:highlight w:val="none"/>
          <w:u w:val="single"/>
        </w:rPr>
        <w:t>请将本表放置在商务技术文件中最后一页。若磋商响应文件未按要求放置或未填写，磋商小组可能做出不利于该磋商响应供应商的评审。</w:t>
      </w:r>
    </w:p>
    <w:p w14:paraId="10E8AFED">
      <w:pPr>
        <w:pStyle w:val="3"/>
        <w:autoSpaceDN w:val="0"/>
        <w:spacing w:before="360"/>
        <w:ind w:firstLine="643"/>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7F43766">
      <w:pPr>
        <w:pStyle w:val="4"/>
        <w:spacing w:before="156" w:after="156" w:line="324" w:lineRule="auto"/>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2-1</w:t>
      </w:r>
      <w:r>
        <w:rPr>
          <w:rFonts w:hint="eastAsia" w:ascii="宋体" w:hAnsi="宋体" w:eastAsia="宋体" w:cs="宋体"/>
          <w:bCs/>
          <w:color w:val="000000"/>
          <w:kern w:val="0"/>
          <w:szCs w:val="24"/>
          <w:highlight w:val="none"/>
          <w:lang w:val="en-US" w:eastAsia="zh-CN"/>
        </w:rPr>
        <w:t>0</w:t>
      </w:r>
      <w:r>
        <w:rPr>
          <w:rFonts w:hint="eastAsia" w:ascii="宋体" w:hAnsi="宋体" w:eastAsia="宋体" w:cs="宋体"/>
          <w:bCs/>
          <w:color w:val="000000"/>
          <w:kern w:val="0"/>
          <w:szCs w:val="24"/>
          <w:highlight w:val="none"/>
        </w:rPr>
        <w:t xml:space="preserve"> 关于对竞争性磋商文件中有关条款的拒绝声明</w:t>
      </w:r>
    </w:p>
    <w:p w14:paraId="3254EC05">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highlight w:val="none"/>
        </w:rPr>
        <w:t>关于对竞争性磋商文件中有关条款的拒绝声明</w:t>
      </w:r>
    </w:p>
    <w:p w14:paraId="2EA82349">
      <w:pPr>
        <w:autoSpaceDN w:val="0"/>
        <w:spacing w:line="360" w:lineRule="auto"/>
        <w:rPr>
          <w:rFonts w:hint="eastAsia" w:ascii="宋体" w:hAnsi="宋体" w:eastAsia="宋体" w:cs="宋体"/>
          <w:b/>
          <w:color w:val="000000"/>
          <w:sz w:val="24"/>
          <w:highlight w:val="none"/>
          <w:u w:val="single"/>
        </w:rPr>
      </w:pPr>
    </w:p>
    <w:p w14:paraId="1EEE552F">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42F6A38C">
      <w:pPr>
        <w:autoSpaceDN w:val="0"/>
        <w:spacing w:line="360" w:lineRule="auto"/>
        <w:rPr>
          <w:rFonts w:hint="eastAsia" w:ascii="宋体" w:hAnsi="宋体" w:eastAsia="宋体" w:cs="宋体"/>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D2D150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5447684E">
            <w:pPr>
              <w:autoSpaceDN w:val="0"/>
              <w:spacing w:line="360" w:lineRule="auto"/>
              <w:jc w:val="center"/>
              <w:rPr>
                <w:rFonts w:hint="eastAsia" w:ascii="宋体" w:hAnsi="宋体" w:eastAsia="宋体" w:cs="宋体"/>
                <w:color w:val="000000"/>
                <w:sz w:val="22"/>
                <w:szCs w:val="21"/>
                <w:highlight w:val="none"/>
              </w:rPr>
            </w:pPr>
            <w:r>
              <w:rPr>
                <w:rFonts w:hint="eastAsia" w:ascii="宋体" w:hAnsi="宋体" w:eastAsia="宋体" w:cs="宋体"/>
                <w:i/>
                <w:color w:val="000000"/>
                <w:kern w:val="0"/>
                <w:sz w:val="28"/>
                <w:szCs w:val="22"/>
                <w:highlight w:val="none"/>
              </w:rPr>
              <w:t>（标注“▲”的实质性条款不得拒绝，否则投标响应无效）</w:t>
            </w:r>
          </w:p>
        </w:tc>
      </w:tr>
    </w:tbl>
    <w:p w14:paraId="2F63D67D">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0766EBAD">
      <w:pPr>
        <w:autoSpaceDN w:val="0"/>
        <w:snapToGrid w:val="0"/>
        <w:spacing w:line="360" w:lineRule="auto"/>
        <w:rPr>
          <w:rFonts w:hint="eastAsia" w:ascii="宋体" w:hAnsi="宋体" w:eastAsia="宋体" w:cs="宋体"/>
          <w:color w:val="000000"/>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79D36006">
      <w:pPr>
        <w:pStyle w:val="4"/>
        <w:spacing w:before="156" w:after="156" w:line="324" w:lineRule="auto"/>
        <w:ind w:firstLine="240"/>
        <w:jc w:val="both"/>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2-1</w:t>
      </w:r>
      <w:r>
        <w:rPr>
          <w:rFonts w:hint="eastAsia" w:ascii="宋体" w:hAnsi="宋体" w:eastAsia="宋体" w:cs="宋体"/>
          <w:bCs/>
          <w:color w:val="000000"/>
          <w:kern w:val="0"/>
          <w:szCs w:val="24"/>
          <w:highlight w:val="none"/>
          <w:lang w:val="en-US" w:eastAsia="zh-CN"/>
        </w:rPr>
        <w:t>1</w:t>
      </w:r>
      <w:r>
        <w:rPr>
          <w:rFonts w:hint="eastAsia" w:ascii="宋体" w:hAnsi="宋体" w:eastAsia="宋体" w:cs="宋体"/>
          <w:bCs/>
          <w:color w:val="000000"/>
          <w:kern w:val="0"/>
          <w:szCs w:val="24"/>
          <w:highlight w:val="none"/>
        </w:rPr>
        <w:t xml:space="preserve"> 其他与技术服务有关的资料或说明（如有）</w:t>
      </w:r>
    </w:p>
    <w:p w14:paraId="741F7A9C">
      <w:pPr>
        <w:autoSpaceDN w:val="0"/>
        <w:spacing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highlight w:val="none"/>
        </w:rPr>
        <w:t>其他与技术服务有关的资料或说明（如有）</w:t>
      </w:r>
    </w:p>
    <w:p w14:paraId="365C4F50">
      <w:pPr>
        <w:autoSpaceDN w:val="0"/>
        <w:spacing w:line="360" w:lineRule="auto"/>
        <w:rPr>
          <w:rFonts w:hint="eastAsia" w:ascii="宋体" w:hAnsi="宋体" w:eastAsia="宋体" w:cs="宋体"/>
          <w:b/>
          <w:color w:val="000000"/>
          <w:sz w:val="24"/>
          <w:highlight w:val="none"/>
          <w:u w:val="single"/>
        </w:rPr>
      </w:pPr>
    </w:p>
    <w:p w14:paraId="70EA8966">
      <w:pPr>
        <w:autoSpaceDN w:val="0"/>
        <w:spacing w:line="360" w:lineRule="auto"/>
        <w:rPr>
          <w:rFonts w:hint="eastAsia" w:ascii="宋体" w:hAnsi="宋体" w:eastAsia="宋体" w:cs="宋体"/>
          <w:b/>
          <w:color w:val="000000"/>
          <w:sz w:val="24"/>
          <w:highlight w:val="none"/>
          <w:u w:val="single"/>
          <w:lang w:eastAsia="zh-CN"/>
        </w:rPr>
      </w:pPr>
      <w:r>
        <w:rPr>
          <w:rFonts w:hint="eastAsia" w:ascii="宋体" w:hAnsi="宋体" w:eastAsia="宋体" w:cs="宋体"/>
          <w:b/>
          <w:color w:val="000000"/>
          <w:sz w:val="24"/>
          <w:highlight w:val="none"/>
        </w:rPr>
        <w:t>项目名称：</w:t>
      </w:r>
      <w:r>
        <w:rPr>
          <w:rFonts w:hint="eastAsia" w:ascii="宋体" w:hAnsi="宋体" w:cs="宋体"/>
          <w:b/>
          <w:color w:val="000000"/>
          <w:sz w:val="24"/>
          <w:highlight w:val="none"/>
          <w:u w:val="single"/>
          <w:lang w:eastAsia="zh-CN"/>
        </w:rPr>
        <w:t>浙江中医药大学Ivan Psakhye教授实验室改造项目</w:t>
      </w:r>
    </w:p>
    <w:p w14:paraId="7AD77793">
      <w:pPr>
        <w:autoSpaceDN w:val="0"/>
        <w:spacing w:line="360" w:lineRule="auto"/>
        <w:rPr>
          <w:rFonts w:hint="eastAsia" w:ascii="宋体" w:hAnsi="宋体" w:eastAsia="宋体" w:cs="宋体"/>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u w:val="single"/>
          <w:lang w:eastAsia="zh-CN"/>
        </w:rPr>
        <w:t>CTZB-2025070039</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65F39C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20DED4A4">
            <w:pPr>
              <w:autoSpaceDN w:val="0"/>
              <w:spacing w:line="360" w:lineRule="auto"/>
              <w:jc w:val="center"/>
              <w:rPr>
                <w:rFonts w:hint="eastAsia" w:ascii="宋体" w:hAnsi="宋体" w:eastAsia="宋体" w:cs="宋体"/>
                <w:color w:val="000000"/>
                <w:sz w:val="22"/>
                <w:szCs w:val="21"/>
                <w:highlight w:val="none"/>
              </w:rPr>
            </w:pPr>
            <w:r>
              <w:rPr>
                <w:rFonts w:hint="eastAsia" w:ascii="宋体" w:hAnsi="宋体" w:eastAsia="宋体" w:cs="宋体"/>
                <w:i/>
                <w:color w:val="000000"/>
                <w:sz w:val="28"/>
                <w:szCs w:val="21"/>
                <w:highlight w:val="none"/>
              </w:rPr>
              <w:t>（加盖公章，否则视为未提供）</w:t>
            </w:r>
          </w:p>
        </w:tc>
      </w:tr>
    </w:tbl>
    <w:p w14:paraId="0D5F07FE">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5D324D56">
      <w:pPr>
        <w:autoSpaceDN w:val="0"/>
        <w:snapToGrid w:val="0"/>
        <w:spacing w:line="360" w:lineRule="auto"/>
        <w:rPr>
          <w:rFonts w:hint="eastAsia" w:ascii="宋体" w:hAnsi="宋体" w:eastAsia="宋体" w:cs="宋体"/>
          <w:color w:val="000000"/>
          <w:w w:val="90"/>
          <w:kern w:val="0"/>
          <w:sz w:val="22"/>
          <w:szCs w:val="22"/>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________年____月____日</w:t>
      </w:r>
    </w:p>
    <w:p w14:paraId="0415C4E7">
      <w:pPr>
        <w:pStyle w:val="68"/>
        <w:rPr>
          <w:rFonts w:hint="eastAsia" w:ascii="宋体" w:hAnsi="宋体" w:eastAsia="宋体" w:cs="宋体"/>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E4F4D88">
      <w:pPr>
        <w:pStyle w:val="6"/>
        <w:autoSpaceDN w:val="0"/>
        <w:rPr>
          <w:rFonts w:hint="eastAsia" w:ascii="宋体" w:hAnsi="宋体" w:eastAsia="宋体" w:cs="宋体"/>
          <w:highlight w:val="none"/>
        </w:rPr>
      </w:pPr>
    </w:p>
    <w:p w14:paraId="74C2FDDB">
      <w:pPr>
        <w:pStyle w:val="3"/>
        <w:autoSpaceDN w:val="0"/>
        <w:spacing w:before="360"/>
        <w:ind w:firstLine="0" w:firstLineChars="0"/>
        <w:rPr>
          <w:rFonts w:hint="eastAsia" w:ascii="宋体" w:hAnsi="宋体" w:eastAsia="宋体" w:cs="宋体"/>
          <w:sz w:val="28"/>
          <w:szCs w:val="28"/>
          <w:highlight w:val="none"/>
        </w:rPr>
      </w:pPr>
      <w:bookmarkStart w:id="183" w:name="_Toc422431990"/>
      <w:bookmarkStart w:id="184" w:name="_Toc345575534"/>
      <w:bookmarkStart w:id="185" w:name="_Toc12784"/>
      <w:bookmarkStart w:id="186" w:name="_Toc12366"/>
      <w:r>
        <w:rPr>
          <w:rFonts w:hint="eastAsia" w:ascii="宋体" w:hAnsi="宋体" w:eastAsia="宋体" w:cs="宋体"/>
          <w:sz w:val="28"/>
          <w:szCs w:val="28"/>
          <w:highlight w:val="none"/>
        </w:rPr>
        <w:t>第三部分“报价文件</w:t>
      </w:r>
      <w:bookmarkEnd w:id="183"/>
      <w:bookmarkEnd w:id="184"/>
      <w:r>
        <w:rPr>
          <w:rFonts w:hint="eastAsia" w:ascii="宋体" w:hAnsi="宋体" w:eastAsia="宋体" w:cs="宋体"/>
          <w:sz w:val="28"/>
          <w:szCs w:val="28"/>
          <w:highlight w:val="none"/>
        </w:rPr>
        <w:t>”格式</w:t>
      </w:r>
      <w:bookmarkEnd w:id="185"/>
      <w:bookmarkEnd w:id="186"/>
    </w:p>
    <w:p w14:paraId="69CFFF54">
      <w:pPr>
        <w:pStyle w:val="4"/>
        <w:spacing w:before="120" w:after="120" w:line="324" w:lineRule="auto"/>
        <w:ind w:firstLine="280"/>
        <w:jc w:val="both"/>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3-1 “报价文件”封面</w:t>
      </w:r>
    </w:p>
    <w:p w14:paraId="2C74DBBA">
      <w:pPr>
        <w:tabs>
          <w:tab w:val="left" w:pos="2580"/>
          <w:tab w:val="left" w:pos="5940"/>
        </w:tabs>
        <w:autoSpaceDE w:val="0"/>
        <w:autoSpaceDN w:val="0"/>
        <w:adjustRightInd w:val="0"/>
        <w:spacing w:line="360" w:lineRule="auto"/>
        <w:ind w:right="-20"/>
        <w:rPr>
          <w:rFonts w:hint="eastAsia" w:ascii="宋体" w:hAnsi="宋体" w:eastAsia="宋体" w:cs="宋体"/>
          <w:kern w:val="0"/>
          <w:sz w:val="28"/>
          <w:highlight w:val="none"/>
        </w:rPr>
      </w:pPr>
    </w:p>
    <w:p w14:paraId="6F581F8B">
      <w:pPr>
        <w:autoSpaceDN w:val="0"/>
        <w:spacing w:line="276" w:lineRule="auto"/>
        <w:jc w:val="center"/>
        <w:rPr>
          <w:rFonts w:hint="eastAsia" w:ascii="宋体" w:hAnsi="宋体" w:eastAsia="宋体" w:cs="宋体"/>
          <w:b/>
          <w:color w:val="000000"/>
          <w:sz w:val="90"/>
          <w:szCs w:val="90"/>
          <w:highlight w:val="none"/>
        </w:rPr>
      </w:pPr>
      <w:r>
        <w:rPr>
          <w:rFonts w:hint="eastAsia" w:ascii="宋体" w:hAnsi="宋体" w:eastAsia="宋体" w:cs="宋体"/>
          <w:b/>
          <w:color w:val="000000"/>
          <w:kern w:val="0"/>
          <w:sz w:val="52"/>
          <w:szCs w:val="90"/>
          <w:highlight w:val="none"/>
        </w:rPr>
        <w:t>浙江省政府采购电子交易项目</w:t>
      </w:r>
    </w:p>
    <w:p w14:paraId="21146A19">
      <w:pPr>
        <w:autoSpaceDN w:val="0"/>
        <w:spacing w:line="360" w:lineRule="auto"/>
        <w:rPr>
          <w:rFonts w:hint="eastAsia" w:ascii="宋体" w:hAnsi="宋体" w:eastAsia="宋体" w:cs="宋体"/>
          <w:color w:val="000000"/>
          <w:sz w:val="24"/>
          <w:highlight w:val="none"/>
        </w:rPr>
      </w:pPr>
    </w:p>
    <w:p w14:paraId="716EC343">
      <w:pPr>
        <w:autoSpaceDN w:val="0"/>
        <w:spacing w:line="276" w:lineRule="auto"/>
        <w:jc w:val="center"/>
        <w:rPr>
          <w:rFonts w:hint="eastAsia" w:ascii="宋体" w:hAnsi="宋体" w:eastAsia="宋体" w:cs="宋体"/>
          <w:color w:val="000000"/>
          <w:kern w:val="0"/>
          <w:sz w:val="120"/>
          <w:szCs w:val="120"/>
          <w:highlight w:val="none"/>
        </w:rPr>
      </w:pPr>
      <w:r>
        <w:rPr>
          <w:rFonts w:hint="eastAsia" w:ascii="宋体" w:hAnsi="宋体" w:eastAsia="宋体" w:cs="宋体"/>
          <w:color w:val="000000"/>
          <w:kern w:val="0"/>
          <w:sz w:val="120"/>
          <w:szCs w:val="120"/>
          <w:highlight w:val="none"/>
        </w:rPr>
        <w:t>磋商响应文件</w:t>
      </w:r>
    </w:p>
    <w:p w14:paraId="341D8F26">
      <w:pPr>
        <w:autoSpaceDN w:val="0"/>
        <w:spacing w:line="360" w:lineRule="auto"/>
        <w:jc w:val="center"/>
        <w:rPr>
          <w:rFonts w:hint="eastAsia" w:ascii="宋体" w:hAnsi="宋体" w:eastAsia="宋体" w:cs="宋体"/>
          <w:b/>
          <w:color w:val="000000"/>
          <w:kern w:val="0"/>
          <w:sz w:val="48"/>
          <w:szCs w:val="84"/>
          <w:highlight w:val="none"/>
        </w:rPr>
      </w:pPr>
      <w:r>
        <w:rPr>
          <w:rFonts w:hint="eastAsia" w:ascii="宋体" w:hAnsi="宋体" w:eastAsia="宋体" w:cs="宋体"/>
          <w:b/>
          <w:color w:val="000000"/>
          <w:kern w:val="0"/>
          <w:sz w:val="48"/>
          <w:szCs w:val="84"/>
          <w:highlight w:val="none"/>
        </w:rPr>
        <w:t>（三、报价文件）</w:t>
      </w:r>
    </w:p>
    <w:p w14:paraId="17FE71A4">
      <w:pPr>
        <w:autoSpaceDN w:val="0"/>
        <w:spacing w:line="360" w:lineRule="auto"/>
        <w:jc w:val="center"/>
        <w:rPr>
          <w:rFonts w:hint="eastAsia" w:ascii="宋体" w:hAnsi="宋体" w:eastAsia="宋体" w:cs="宋体"/>
          <w:color w:val="000000"/>
          <w:sz w:val="24"/>
          <w:highlight w:val="none"/>
        </w:rPr>
      </w:pPr>
    </w:p>
    <w:tbl>
      <w:tblPr>
        <w:tblStyle w:val="51"/>
        <w:tblW w:w="0" w:type="auto"/>
        <w:tblInd w:w="108" w:type="dxa"/>
        <w:tblLayout w:type="fixed"/>
        <w:tblCellMar>
          <w:top w:w="0" w:type="dxa"/>
          <w:left w:w="108" w:type="dxa"/>
          <w:bottom w:w="0" w:type="dxa"/>
          <w:right w:w="108" w:type="dxa"/>
        </w:tblCellMar>
      </w:tblPr>
      <w:tblGrid>
        <w:gridCol w:w="8931"/>
      </w:tblGrid>
      <w:tr w14:paraId="6D24BC04">
        <w:tblPrEx>
          <w:tblCellMar>
            <w:top w:w="0" w:type="dxa"/>
            <w:left w:w="108" w:type="dxa"/>
            <w:bottom w:w="0" w:type="dxa"/>
            <w:right w:w="108" w:type="dxa"/>
          </w:tblCellMar>
        </w:tblPrEx>
        <w:trPr>
          <w:trHeight w:val="680" w:hRule="atLeast"/>
        </w:trPr>
        <w:tc>
          <w:tcPr>
            <w:tcW w:w="8931" w:type="dxa"/>
            <w:vAlign w:val="center"/>
          </w:tcPr>
          <w:p w14:paraId="047F5612">
            <w:pPr>
              <w:autoSpaceDN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项目名称：</w:t>
            </w:r>
            <w:r>
              <w:rPr>
                <w:rFonts w:hint="eastAsia" w:ascii="宋体" w:hAnsi="宋体" w:cs="宋体"/>
                <w:b/>
                <w:color w:val="000000"/>
                <w:w w:val="90"/>
                <w:sz w:val="28"/>
                <w:szCs w:val="28"/>
                <w:highlight w:val="none"/>
                <w:lang w:eastAsia="zh-CN"/>
              </w:rPr>
              <w:t>浙江中医药大学Ivan Psakhye教授实验室改造项目</w:t>
            </w:r>
          </w:p>
        </w:tc>
      </w:tr>
      <w:tr w14:paraId="6A5C5E51">
        <w:tblPrEx>
          <w:tblCellMar>
            <w:top w:w="0" w:type="dxa"/>
            <w:left w:w="108" w:type="dxa"/>
            <w:bottom w:w="0" w:type="dxa"/>
            <w:right w:w="108" w:type="dxa"/>
          </w:tblCellMar>
        </w:tblPrEx>
        <w:trPr>
          <w:trHeight w:val="680" w:hRule="atLeast"/>
        </w:trPr>
        <w:tc>
          <w:tcPr>
            <w:tcW w:w="8931" w:type="dxa"/>
            <w:vAlign w:val="center"/>
          </w:tcPr>
          <w:p w14:paraId="5275C9C7">
            <w:pPr>
              <w:autoSpaceDN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项目编号：</w:t>
            </w:r>
            <w:r>
              <w:rPr>
                <w:rFonts w:hint="eastAsia" w:ascii="宋体" w:hAnsi="宋体" w:cs="宋体"/>
                <w:b/>
                <w:color w:val="000000"/>
                <w:sz w:val="28"/>
                <w:szCs w:val="28"/>
                <w:highlight w:val="none"/>
                <w:lang w:eastAsia="zh-CN"/>
              </w:rPr>
              <w:t>CTZB-2025070039</w:t>
            </w:r>
          </w:p>
        </w:tc>
      </w:tr>
      <w:tr w14:paraId="25FC2D3D">
        <w:tblPrEx>
          <w:tblCellMar>
            <w:top w:w="0" w:type="dxa"/>
            <w:left w:w="108" w:type="dxa"/>
            <w:bottom w:w="0" w:type="dxa"/>
            <w:right w:w="108" w:type="dxa"/>
          </w:tblCellMar>
        </w:tblPrEx>
        <w:trPr>
          <w:trHeight w:val="680" w:hRule="atLeast"/>
        </w:trPr>
        <w:tc>
          <w:tcPr>
            <w:tcW w:w="8931" w:type="dxa"/>
            <w:vAlign w:val="center"/>
          </w:tcPr>
          <w:p w14:paraId="709867D8">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磋商响应供应商名称（盖章）：</w:t>
            </w:r>
            <w:r>
              <w:rPr>
                <w:rFonts w:hint="eastAsia" w:ascii="宋体" w:hAnsi="宋体" w:eastAsia="宋体" w:cs="宋体"/>
                <w:color w:val="000000"/>
                <w:w w:val="90"/>
                <w:kern w:val="0"/>
                <w:sz w:val="22"/>
                <w:szCs w:val="22"/>
                <w:highlight w:val="none"/>
              </w:rPr>
              <w:t>_________________________________________________</w:t>
            </w:r>
          </w:p>
        </w:tc>
      </w:tr>
      <w:tr w14:paraId="479A4F99">
        <w:tblPrEx>
          <w:tblCellMar>
            <w:top w:w="0" w:type="dxa"/>
            <w:left w:w="108" w:type="dxa"/>
            <w:bottom w:w="0" w:type="dxa"/>
            <w:right w:w="108" w:type="dxa"/>
          </w:tblCellMar>
        </w:tblPrEx>
        <w:trPr>
          <w:trHeight w:val="680" w:hRule="atLeast"/>
        </w:trPr>
        <w:tc>
          <w:tcPr>
            <w:tcW w:w="8931" w:type="dxa"/>
            <w:vAlign w:val="center"/>
          </w:tcPr>
          <w:p w14:paraId="67FA5994">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磋商响应供应商地址：</w:t>
            </w:r>
            <w:r>
              <w:rPr>
                <w:rFonts w:hint="eastAsia" w:ascii="宋体" w:hAnsi="宋体" w:eastAsia="宋体" w:cs="宋体"/>
                <w:color w:val="000000"/>
                <w:w w:val="90"/>
                <w:kern w:val="0"/>
                <w:sz w:val="22"/>
                <w:szCs w:val="22"/>
                <w:highlight w:val="none"/>
              </w:rPr>
              <w:t>___________________________________________________________</w:t>
            </w:r>
          </w:p>
        </w:tc>
      </w:tr>
      <w:tr w14:paraId="03B37CF7">
        <w:tblPrEx>
          <w:tblCellMar>
            <w:top w:w="0" w:type="dxa"/>
            <w:left w:w="108" w:type="dxa"/>
            <w:bottom w:w="0" w:type="dxa"/>
            <w:right w:w="108" w:type="dxa"/>
          </w:tblCellMar>
        </w:tblPrEx>
        <w:trPr>
          <w:trHeight w:val="680" w:hRule="atLeast"/>
        </w:trPr>
        <w:tc>
          <w:tcPr>
            <w:tcW w:w="8931" w:type="dxa"/>
            <w:vAlign w:val="center"/>
          </w:tcPr>
          <w:p w14:paraId="2CC7E375">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highlight w:val="none"/>
              </w:rPr>
              <w:t>磋商响应供应商联系电话：</w:t>
            </w:r>
            <w:r>
              <w:rPr>
                <w:rFonts w:hint="eastAsia" w:ascii="宋体" w:hAnsi="宋体" w:eastAsia="宋体" w:cs="宋体"/>
                <w:color w:val="000000"/>
                <w:w w:val="90"/>
                <w:kern w:val="0"/>
                <w:sz w:val="22"/>
                <w:szCs w:val="22"/>
                <w:highlight w:val="none"/>
              </w:rPr>
              <w:t>______________________________________________________</w:t>
            </w:r>
          </w:p>
        </w:tc>
      </w:tr>
      <w:tr w14:paraId="16D06716">
        <w:tblPrEx>
          <w:tblCellMar>
            <w:top w:w="0" w:type="dxa"/>
            <w:left w:w="108" w:type="dxa"/>
            <w:bottom w:w="0" w:type="dxa"/>
            <w:right w:w="108" w:type="dxa"/>
          </w:tblCellMar>
        </w:tblPrEx>
        <w:trPr>
          <w:trHeight w:val="680" w:hRule="atLeast"/>
        </w:trPr>
        <w:tc>
          <w:tcPr>
            <w:tcW w:w="8931" w:type="dxa"/>
            <w:vAlign w:val="center"/>
          </w:tcPr>
          <w:p w14:paraId="23F50758">
            <w:pPr>
              <w:autoSpaceDN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w:t>
            </w:r>
            <w:r>
              <w:rPr>
                <w:rFonts w:hint="eastAsia" w:ascii="宋体" w:hAnsi="宋体" w:eastAsia="宋体" w:cs="宋体"/>
                <w:color w:val="000000"/>
                <w:w w:val="90"/>
                <w:kern w:val="0"/>
                <w:sz w:val="22"/>
                <w:szCs w:val="22"/>
                <w:highlight w:val="none"/>
              </w:rPr>
              <w:t>_________________________________________________________________________</w:t>
            </w:r>
          </w:p>
        </w:tc>
      </w:tr>
      <w:tr w14:paraId="4FF359E1">
        <w:tblPrEx>
          <w:tblCellMar>
            <w:top w:w="0" w:type="dxa"/>
            <w:left w:w="108" w:type="dxa"/>
            <w:bottom w:w="0" w:type="dxa"/>
            <w:right w:w="108" w:type="dxa"/>
          </w:tblCellMar>
        </w:tblPrEx>
        <w:trPr>
          <w:trHeight w:val="680" w:hRule="atLeast"/>
        </w:trPr>
        <w:tc>
          <w:tcPr>
            <w:tcW w:w="8931" w:type="dxa"/>
            <w:vAlign w:val="center"/>
          </w:tcPr>
          <w:p w14:paraId="0505CFBA">
            <w:pPr>
              <w:autoSpaceDN w:val="0"/>
              <w:jc w:val="center"/>
              <w:rPr>
                <w:rFonts w:hint="eastAsia" w:ascii="宋体" w:hAnsi="宋体" w:eastAsia="宋体" w:cs="宋体"/>
                <w:b/>
                <w:color w:val="000000"/>
                <w:sz w:val="28"/>
                <w:szCs w:val="28"/>
                <w:highlight w:val="none"/>
              </w:rPr>
            </w:pPr>
            <w:r>
              <w:rPr>
                <w:rFonts w:hint="eastAsia" w:ascii="宋体" w:hAnsi="宋体" w:eastAsia="宋体" w:cs="宋体"/>
                <w:color w:val="000000"/>
                <w:sz w:val="28"/>
                <w:highlight w:val="none"/>
              </w:rPr>
              <w:t>投标截止时间前其他单位或个人不得解密、提取</w:t>
            </w:r>
          </w:p>
        </w:tc>
      </w:tr>
    </w:tbl>
    <w:p w14:paraId="6C2DBDED">
      <w:pPr>
        <w:pStyle w:val="4"/>
        <w:spacing w:before="120" w:after="120" w:line="324" w:lineRule="auto"/>
        <w:ind w:firstLine="240"/>
        <w:jc w:val="both"/>
        <w:rPr>
          <w:rFonts w:hint="eastAsia" w:ascii="宋体" w:hAnsi="宋体" w:eastAsia="宋体" w:cs="宋体"/>
          <w:bCs/>
          <w:color w:val="000000"/>
          <w:kern w:val="0"/>
          <w:szCs w:val="24"/>
          <w:highlight w:val="none"/>
        </w:rPr>
      </w:pPr>
      <w:r>
        <w:rPr>
          <w:rFonts w:hint="eastAsia" w:ascii="宋体" w:hAnsi="宋体" w:eastAsia="宋体" w:cs="宋体"/>
          <w:szCs w:val="32"/>
          <w:highlight w:val="none"/>
        </w:rPr>
        <w:br w:type="page"/>
      </w:r>
      <w:r>
        <w:rPr>
          <w:rFonts w:hint="eastAsia" w:ascii="宋体" w:hAnsi="宋体" w:eastAsia="宋体" w:cs="宋体"/>
          <w:bCs/>
          <w:color w:val="000000"/>
          <w:kern w:val="0"/>
          <w:sz w:val="28"/>
          <w:szCs w:val="28"/>
          <w:highlight w:val="none"/>
        </w:rPr>
        <w:t>3-2▲投标函</w:t>
      </w:r>
    </w:p>
    <w:p w14:paraId="237D9489">
      <w:pPr>
        <w:autoSpaceDN w:val="0"/>
        <w:spacing w:line="360" w:lineRule="auto"/>
        <w:jc w:val="center"/>
        <w:rPr>
          <w:rFonts w:hint="eastAsia" w:ascii="宋体" w:hAnsi="宋体" w:eastAsia="宋体" w:cs="宋体"/>
          <w:highlight w:val="none"/>
        </w:rPr>
      </w:pPr>
      <w:r>
        <w:rPr>
          <w:rFonts w:hint="eastAsia" w:ascii="宋体" w:hAnsi="宋体" w:eastAsia="宋体" w:cs="宋体"/>
          <w:b/>
          <w:color w:val="000000"/>
          <w:sz w:val="40"/>
          <w:highlight w:val="none"/>
        </w:rPr>
        <w:t>投标函</w:t>
      </w:r>
    </w:p>
    <w:p w14:paraId="57E108CA">
      <w:pPr>
        <w:autoSpaceDN w:val="0"/>
        <w:spacing w:after="240" w:afterLines="100" w:line="360" w:lineRule="auto"/>
        <w:rPr>
          <w:rFonts w:hint="eastAsia" w:ascii="宋体" w:hAnsi="宋体" w:eastAsia="宋体" w:cs="宋体"/>
          <w:b/>
          <w:bCs/>
          <w:sz w:val="24"/>
          <w:highlight w:val="none"/>
        </w:rPr>
      </w:pPr>
      <w:r>
        <w:rPr>
          <w:rFonts w:hint="eastAsia" w:ascii="宋体" w:hAnsi="宋体" w:eastAsia="宋体" w:cs="宋体"/>
          <w:b/>
          <w:bCs/>
          <w:sz w:val="24"/>
          <w:highlight w:val="none"/>
          <w:u w:val="single"/>
          <w:lang w:eastAsia="zh-CN"/>
        </w:rPr>
        <w:t>浙江中医药大学</w:t>
      </w:r>
      <w:r>
        <w:rPr>
          <w:rFonts w:hint="eastAsia" w:ascii="宋体" w:hAnsi="宋体" w:eastAsia="宋体" w:cs="宋体"/>
          <w:b/>
          <w:bCs/>
          <w:sz w:val="24"/>
          <w:highlight w:val="none"/>
        </w:rPr>
        <w:t>：</w:t>
      </w:r>
    </w:p>
    <w:p w14:paraId="47F61E33">
      <w:pPr>
        <w:pStyle w:val="68"/>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1．我方已仔细研究了</w:t>
      </w:r>
      <w:r>
        <w:rPr>
          <w:rFonts w:hint="eastAsia" w:hAnsi="宋体" w:cs="宋体"/>
          <w:highlight w:val="none"/>
          <w:u w:val="single"/>
          <w:lang w:eastAsia="zh-CN"/>
        </w:rPr>
        <w:t>浙江中医药大学Ivan Psakhye教授实验室改造项目</w:t>
      </w:r>
      <w:r>
        <w:rPr>
          <w:rFonts w:hint="eastAsia" w:ascii="宋体" w:hAnsi="宋体" w:eastAsia="宋体" w:cs="宋体"/>
          <w:highlight w:val="none"/>
          <w:u w:val="single"/>
        </w:rPr>
        <w:t>（项目编号：</w:t>
      </w:r>
      <w:r>
        <w:rPr>
          <w:rFonts w:hint="eastAsia" w:hAnsi="宋体" w:cs="宋体"/>
          <w:highlight w:val="none"/>
          <w:u w:val="single"/>
          <w:lang w:eastAsia="zh-CN"/>
        </w:rPr>
        <w:t>CTZB-2025070039</w:t>
      </w:r>
      <w:r>
        <w:rPr>
          <w:rFonts w:hint="eastAsia" w:ascii="宋体" w:hAnsi="宋体" w:eastAsia="宋体" w:cs="宋体"/>
          <w:highlight w:val="none"/>
          <w:u w:val="single"/>
        </w:rPr>
        <w:t>）</w:t>
      </w:r>
      <w:r>
        <w:rPr>
          <w:rFonts w:hint="eastAsia" w:ascii="宋体" w:hAnsi="宋体" w:eastAsia="宋体" w:cs="宋体"/>
          <w:highlight w:val="none"/>
        </w:rPr>
        <w:t>施工磋商文件的全部内容，愿意以人民币</w:t>
      </w:r>
      <w:r>
        <w:rPr>
          <w:rFonts w:hint="eastAsia" w:ascii="宋体" w:hAnsi="宋体" w:eastAsia="宋体" w:cs="宋体"/>
          <w:highlight w:val="none"/>
          <w:u w:val="single"/>
        </w:rPr>
        <w:t xml:space="preserve"> （大写） </w:t>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rPr>
        <w:t>）的磋商总报价，工期</w:t>
      </w:r>
      <w:r>
        <w:rPr>
          <w:rFonts w:hint="eastAsia" w:ascii="宋体" w:hAnsi="宋体" w:eastAsia="宋体" w:cs="宋体"/>
          <w:highlight w:val="none"/>
          <w:u w:val="single"/>
        </w:rPr>
        <w:t xml:space="preserve">           </w:t>
      </w:r>
      <w:r>
        <w:rPr>
          <w:rFonts w:hint="eastAsia" w:ascii="宋体" w:hAnsi="宋体" w:eastAsia="宋体" w:cs="宋体"/>
          <w:highlight w:val="none"/>
        </w:rPr>
        <w:t>日历天， 项目经理：</w:t>
      </w:r>
      <w:r>
        <w:rPr>
          <w:rFonts w:hint="eastAsia" w:ascii="宋体" w:hAnsi="宋体" w:eastAsia="宋体" w:cs="宋体"/>
          <w:highlight w:val="none"/>
          <w:u w:val="single"/>
        </w:rPr>
        <w:t xml:space="preserve">        （</w:t>
      </w: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r>
        <w:rPr>
          <w:rFonts w:hint="eastAsia" w:ascii="宋体" w:hAnsi="宋体" w:eastAsia="宋体" w:cs="宋体"/>
          <w:highlight w:val="none"/>
        </w:rPr>
        <w:t>，按合同约定实施和完成承包工程，修补工程中的任何缺陷，工程质量达到</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1A10DD27">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2．我方承诺在竞争性磋商有效期内不修改、撤销磋商响应文件。</w:t>
      </w:r>
    </w:p>
    <w:p w14:paraId="5A16AC6B">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3．如我方成交：</w:t>
      </w:r>
    </w:p>
    <w:p w14:paraId="73D719DF">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（1）我方承诺在收到成交通知书后，在成交通知书规定的期限内与你方签订合同。</w:t>
      </w:r>
    </w:p>
    <w:p w14:paraId="4F638163">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（2）我方承诺按照磋商文件规定向你方递交预付款担保。</w:t>
      </w:r>
    </w:p>
    <w:p w14:paraId="19E89E57">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（3）我方承诺在合同约定的期限内完成并移交全部合同工程。</w:t>
      </w:r>
    </w:p>
    <w:p w14:paraId="5BD26182">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4．我方在此声明，所递交的磋商响应文件及有关资料内容完整、真实和准确。</w:t>
      </w:r>
    </w:p>
    <w:p w14:paraId="299B61BC">
      <w:pPr>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14:paraId="3A3EA0DE">
      <w:pPr>
        <w:autoSpaceDN w:val="0"/>
        <w:spacing w:line="360" w:lineRule="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说明：</w:t>
      </w:r>
      <w:r>
        <w:rPr>
          <w:rFonts w:hint="eastAsia" w:ascii="宋体" w:hAnsi="宋体" w:eastAsia="宋体" w:cs="宋体"/>
          <w:b/>
          <w:color w:val="000000"/>
          <w:kern w:val="0"/>
          <w:sz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宋体" w:hAnsi="宋体" w:eastAsia="宋体" w:cs="宋体"/>
          <w:b/>
          <w:color w:val="000000"/>
          <w:kern w:val="0"/>
          <w:sz w:val="24"/>
          <w:highlight w:val="none"/>
        </w:rPr>
        <w:t>。</w:t>
      </w:r>
    </w:p>
    <w:p w14:paraId="1CC1D1B7">
      <w:pPr>
        <w:autoSpaceDN w:val="0"/>
        <w:spacing w:line="360" w:lineRule="auto"/>
        <w:rPr>
          <w:rFonts w:hint="eastAsia" w:ascii="宋体" w:hAnsi="宋体" w:eastAsia="宋体" w:cs="宋体"/>
          <w:sz w:val="24"/>
          <w:highlight w:val="none"/>
        </w:rPr>
      </w:pPr>
    </w:p>
    <w:p w14:paraId="0743255A">
      <w:pPr>
        <w:autoSpaceDN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磋商响应供应商（盖章）：</w:t>
      </w:r>
    </w:p>
    <w:p w14:paraId="10EEEBE0">
      <w:pPr>
        <w:autoSpaceDN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地址：</w:t>
      </w:r>
    </w:p>
    <w:p w14:paraId="594B17F9">
      <w:pPr>
        <w:autoSpaceDN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电话：</w:t>
      </w:r>
    </w:p>
    <w:p w14:paraId="3C1CF976">
      <w:pPr>
        <w:autoSpaceDN w:val="0"/>
        <w:spacing w:line="360" w:lineRule="auto"/>
        <w:ind w:firstLine="240" w:firstLineChars="100"/>
        <w:rPr>
          <w:rFonts w:hint="eastAsia" w:ascii="宋体" w:hAnsi="宋体" w:eastAsia="宋体" w:cs="宋体"/>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sz w:val="24"/>
          <w:highlight w:val="none"/>
        </w:rPr>
        <w:t>年 月 日</w:t>
      </w:r>
    </w:p>
    <w:p w14:paraId="5476D016">
      <w:pPr>
        <w:pStyle w:val="4"/>
        <w:spacing w:before="156" w:after="156" w:line="324" w:lineRule="auto"/>
        <w:ind w:firstLine="280"/>
        <w:jc w:val="both"/>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3-3工程量清单及计价表式（</w:t>
      </w:r>
      <w:r>
        <w:rPr>
          <w:rFonts w:hint="eastAsia" w:ascii="宋体" w:hAnsi="宋体" w:eastAsia="宋体" w:cs="宋体"/>
          <w:bCs/>
          <w:color w:val="0000FF"/>
          <w:kern w:val="0"/>
          <w:sz w:val="28"/>
          <w:szCs w:val="28"/>
          <w:highlight w:val="none"/>
        </w:rPr>
        <w:t>具体按清单格式</w:t>
      </w:r>
      <w:r>
        <w:rPr>
          <w:rFonts w:hint="eastAsia" w:ascii="宋体" w:hAnsi="宋体" w:eastAsia="宋体" w:cs="宋体"/>
          <w:bCs/>
          <w:color w:val="000000"/>
          <w:kern w:val="0"/>
          <w:sz w:val="28"/>
          <w:szCs w:val="28"/>
          <w:highlight w:val="none"/>
        </w:rPr>
        <w:t>）：</w:t>
      </w:r>
    </w:p>
    <w:p w14:paraId="691AC8CF">
      <w:pPr>
        <w:tabs>
          <w:tab w:val="center" w:pos="4755"/>
          <w:tab w:val="right" w:pos="9070"/>
        </w:tabs>
        <w:autoSpaceDN w:val="0"/>
        <w:spacing w:line="440" w:lineRule="exact"/>
        <w:ind w:firstLine="110" w:firstLineChars="50"/>
        <w:rPr>
          <w:rFonts w:hint="eastAsia" w:ascii="宋体" w:hAnsi="宋体" w:eastAsia="宋体" w:cs="宋体"/>
          <w:kern w:val="0"/>
          <w:sz w:val="22"/>
          <w:szCs w:val="22"/>
          <w:highlight w:val="none"/>
        </w:rPr>
      </w:pPr>
      <w:r>
        <w:rPr>
          <w:rFonts w:hint="eastAsia" w:ascii="宋体" w:hAnsi="宋体" w:eastAsia="宋体" w:cs="宋体"/>
          <w:b/>
          <w:bCs/>
          <w:sz w:val="22"/>
          <w:szCs w:val="22"/>
          <w:highlight w:val="none"/>
        </w:rPr>
        <w:t>格式一：</w:t>
      </w:r>
    </w:p>
    <w:p w14:paraId="4603764C">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kern w:val="0"/>
          <w:sz w:val="22"/>
          <w:szCs w:val="22"/>
          <w:highlight w:val="none"/>
        </w:rPr>
      </w:pPr>
    </w:p>
    <w:p w14:paraId="22C4592B">
      <w:pPr>
        <w:pStyle w:val="5"/>
        <w:autoSpaceDN w:val="0"/>
        <w:ind w:firstLine="801"/>
        <w:rPr>
          <w:rFonts w:hint="eastAsia" w:ascii="宋体" w:hAnsi="宋体" w:eastAsia="宋体" w:cs="宋体"/>
          <w:sz w:val="40"/>
          <w:szCs w:val="40"/>
          <w:highlight w:val="none"/>
        </w:rPr>
      </w:pPr>
      <w:r>
        <w:rPr>
          <w:rFonts w:hint="eastAsia" w:ascii="宋体" w:hAnsi="宋体" w:eastAsia="宋体" w:cs="宋体"/>
          <w:sz w:val="40"/>
          <w:szCs w:val="40"/>
          <w:highlight w:val="none"/>
        </w:rPr>
        <w:t>磋商总价</w:t>
      </w:r>
    </w:p>
    <w:p w14:paraId="671EEB72">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kern w:val="0"/>
          <w:sz w:val="22"/>
          <w:szCs w:val="22"/>
          <w:highlight w:val="none"/>
        </w:rPr>
      </w:pPr>
    </w:p>
    <w:p w14:paraId="587ABB03">
      <w:pPr>
        <w:widowControl/>
        <w:tabs>
          <w:tab w:val="center" w:pos="4755"/>
          <w:tab w:val="right" w:pos="9070"/>
        </w:tabs>
        <w:autoSpaceDN w:val="0"/>
        <w:spacing w:after="100" w:afterAutospacing="1"/>
        <w:ind w:left="1260" w:leftChars="600"/>
        <w:jc w:val="left"/>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采 购 人：</w:t>
      </w:r>
      <w:r>
        <w:rPr>
          <w:rFonts w:hint="eastAsia" w:ascii="宋体" w:hAnsi="宋体" w:eastAsia="宋体" w:cs="宋体"/>
          <w:kern w:val="0"/>
          <w:sz w:val="28"/>
          <w:szCs w:val="28"/>
          <w:highlight w:val="none"/>
          <w:u w:val="single"/>
        </w:rPr>
        <w:t xml:space="preserve">                                </w:t>
      </w:r>
    </w:p>
    <w:p w14:paraId="2B0E90EA">
      <w:pPr>
        <w:widowControl/>
        <w:tabs>
          <w:tab w:val="center" w:pos="4755"/>
          <w:tab w:val="right" w:pos="9070"/>
        </w:tabs>
        <w:autoSpaceDN w:val="0"/>
        <w:spacing w:after="100" w:afterAutospacing="1"/>
        <w:ind w:left="1260" w:leftChars="6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r>
        <w:rPr>
          <w:rFonts w:hint="eastAsia" w:ascii="宋体" w:hAnsi="宋体" w:eastAsia="宋体" w:cs="宋体"/>
          <w:kern w:val="0"/>
          <w:sz w:val="28"/>
          <w:szCs w:val="28"/>
          <w:highlight w:val="none"/>
          <w:u w:val="single"/>
        </w:rPr>
        <w:t xml:space="preserve">                                </w:t>
      </w:r>
    </w:p>
    <w:p w14:paraId="599AA460">
      <w:pPr>
        <w:widowControl/>
        <w:tabs>
          <w:tab w:val="center" w:pos="4755"/>
          <w:tab w:val="right" w:pos="9070"/>
        </w:tabs>
        <w:autoSpaceDN w:val="0"/>
        <w:spacing w:after="100" w:afterAutospacing="1"/>
        <w:ind w:left="1260" w:leftChars="600"/>
        <w:jc w:val="left"/>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磋商总价（小写）：</w:t>
      </w:r>
      <w:r>
        <w:rPr>
          <w:rFonts w:hint="eastAsia" w:ascii="宋体" w:hAnsi="宋体" w:eastAsia="宋体" w:cs="宋体"/>
          <w:kern w:val="0"/>
          <w:sz w:val="28"/>
          <w:szCs w:val="28"/>
          <w:highlight w:val="none"/>
          <w:u w:val="single"/>
        </w:rPr>
        <w:t xml:space="preserve">                        </w:t>
      </w:r>
    </w:p>
    <w:p w14:paraId="718C325B">
      <w:pPr>
        <w:widowControl/>
        <w:tabs>
          <w:tab w:val="center" w:pos="4755"/>
          <w:tab w:val="right" w:pos="9070"/>
        </w:tabs>
        <w:autoSpaceDN w:val="0"/>
        <w:spacing w:after="100" w:afterAutospacing="1"/>
        <w:ind w:left="2415" w:leftChars="1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w:t>
      </w:r>
      <w:r>
        <w:rPr>
          <w:rFonts w:hint="eastAsia" w:ascii="宋体" w:hAnsi="宋体" w:eastAsia="宋体" w:cs="宋体"/>
          <w:kern w:val="0"/>
          <w:sz w:val="28"/>
          <w:szCs w:val="28"/>
          <w:highlight w:val="none"/>
          <w:u w:val="single"/>
        </w:rPr>
        <w:t xml:space="preserve">                        </w:t>
      </w:r>
    </w:p>
    <w:p w14:paraId="40C48D6A">
      <w:pPr>
        <w:widowControl/>
        <w:tabs>
          <w:tab w:val="center" w:pos="4755"/>
          <w:tab w:val="right" w:pos="9070"/>
        </w:tabs>
        <w:autoSpaceDN w:val="0"/>
        <w:spacing w:after="100" w:afterAutospacing="1"/>
        <w:ind w:left="1260" w:leftChars="6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（单位盖章）</w:t>
      </w:r>
    </w:p>
    <w:p w14:paraId="2B0ED442">
      <w:pPr>
        <w:pStyle w:val="45"/>
        <w:autoSpaceDN w:val="0"/>
        <w:spacing w:before="0" w:beforeAutospacing="0" w:line="720" w:lineRule="auto"/>
        <w:ind w:left="1260" w:leftChars="6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15CB849">
      <w:pPr>
        <w:widowControl/>
        <w:tabs>
          <w:tab w:val="center" w:pos="4755"/>
          <w:tab w:val="right" w:pos="9070"/>
        </w:tabs>
        <w:autoSpaceDN w:val="0"/>
        <w:spacing w:after="100" w:afterAutospacing="1" w:line="720" w:lineRule="auto"/>
        <w:ind w:left="1260" w:leftChars="6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编制人员：</w:t>
      </w:r>
      <w:r>
        <w:rPr>
          <w:rFonts w:hint="eastAsia" w:ascii="宋体" w:hAnsi="宋体" w:eastAsia="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kern w:val="0"/>
          <w:sz w:val="28"/>
          <w:szCs w:val="28"/>
          <w:highlight w:val="none"/>
        </w:rPr>
        <w:t>（签字或盖章）</w:t>
      </w:r>
    </w:p>
    <w:p w14:paraId="0BF08850">
      <w:pPr>
        <w:widowControl/>
        <w:tabs>
          <w:tab w:val="center" w:pos="4755"/>
          <w:tab w:val="right" w:pos="9070"/>
        </w:tabs>
        <w:autoSpaceDN w:val="0"/>
        <w:spacing w:line="400" w:lineRule="exact"/>
        <w:ind w:left="1260" w:leftChars="600"/>
        <w:rPr>
          <w:rFonts w:hint="eastAsia" w:ascii="宋体" w:hAnsi="宋体" w:eastAsia="宋体" w:cs="宋体"/>
          <w:b/>
          <w:kern w:val="0"/>
          <w:sz w:val="28"/>
          <w:szCs w:val="28"/>
          <w:highlight w:val="none"/>
        </w:rPr>
      </w:pPr>
      <w:r>
        <w:rPr>
          <w:rFonts w:hint="eastAsia" w:ascii="宋体" w:hAnsi="宋体" w:eastAsia="宋体" w:cs="宋体"/>
          <w:kern w:val="0"/>
          <w:sz w:val="28"/>
          <w:szCs w:val="28"/>
          <w:highlight w:val="none"/>
        </w:rPr>
        <w:t>编制时间：</w:t>
      </w:r>
      <w:r>
        <w:rPr>
          <w:rFonts w:hint="eastAsia" w:ascii="宋体" w:hAnsi="宋体" w:eastAsia="宋体" w:cs="宋体"/>
          <w:sz w:val="28"/>
          <w:szCs w:val="28"/>
          <w:highlight w:val="none"/>
          <w:u w:val="single"/>
        </w:rPr>
        <w:t>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w:t>
      </w:r>
      <w:r>
        <w:rPr>
          <w:rFonts w:hint="eastAsia" w:ascii="宋体" w:hAnsi="宋体" w:eastAsia="宋体" w:cs="宋体"/>
          <w:kern w:val="0"/>
          <w:sz w:val="28"/>
          <w:szCs w:val="28"/>
          <w:highlight w:val="none"/>
          <w:u w:val="single"/>
        </w:rPr>
        <w:t xml:space="preserve"> </w:t>
      </w:r>
      <w:r>
        <w:rPr>
          <w:rFonts w:hint="eastAsia" w:ascii="宋体" w:hAnsi="宋体" w:eastAsia="宋体" w:cs="宋体"/>
          <w:sz w:val="28"/>
          <w:szCs w:val="28"/>
          <w:highlight w:val="none"/>
          <w:u w:val="single"/>
        </w:rPr>
        <w:t>      </w:t>
      </w:r>
    </w:p>
    <w:p w14:paraId="30D2FCCC">
      <w:pPr>
        <w:pStyle w:val="5"/>
        <w:autoSpaceDN w:val="0"/>
        <w:ind w:firstLine="0" w:firstLineChars="0"/>
        <w:rPr>
          <w:rFonts w:hint="eastAsia" w:ascii="宋体" w:hAnsi="宋体" w:eastAsia="宋体" w:cs="宋体"/>
          <w:b w:val="0"/>
          <w:kern w:val="0"/>
          <w:sz w:val="22"/>
          <w:szCs w:val="22"/>
          <w:highlight w:val="none"/>
        </w:rPr>
      </w:pPr>
      <w:r>
        <w:rPr>
          <w:rFonts w:hint="eastAsia" w:ascii="宋体" w:hAnsi="宋体" w:eastAsia="宋体" w:cs="宋体"/>
          <w:sz w:val="22"/>
          <w:szCs w:val="22"/>
          <w:highlight w:val="none"/>
        </w:rPr>
        <w:br w:type="page"/>
      </w:r>
      <w:r>
        <w:rPr>
          <w:rFonts w:hint="eastAsia" w:ascii="宋体" w:hAnsi="宋体" w:eastAsia="宋体" w:cs="宋体"/>
          <w:highlight w:val="none"/>
        </w:rPr>
        <w:t>工程量清单报价说明</w:t>
      </w:r>
    </w:p>
    <w:p w14:paraId="09469637">
      <w:pPr>
        <w:autoSpaceDN w:val="0"/>
        <w:rPr>
          <w:rFonts w:hint="eastAsia" w:ascii="宋体" w:hAnsi="宋体" w:eastAsia="宋体" w:cs="宋体"/>
          <w:sz w:val="24"/>
          <w:highlight w:val="none"/>
        </w:rPr>
      </w:pPr>
      <w:r>
        <w:rPr>
          <w:rFonts w:hint="eastAsia" w:ascii="宋体" w:hAnsi="宋体" w:eastAsia="宋体" w:cs="宋体"/>
          <w:sz w:val="24"/>
          <w:highlight w:val="none"/>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EEB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noWrap/>
          </w:tcPr>
          <w:p w14:paraId="36A1AEB3">
            <w:pPr>
              <w:autoSpaceDN w:val="0"/>
              <w:rPr>
                <w:rFonts w:hint="eastAsia" w:ascii="宋体" w:hAnsi="宋体" w:eastAsia="宋体" w:cs="宋体"/>
                <w:sz w:val="24"/>
                <w:highlight w:val="none"/>
              </w:rPr>
            </w:pPr>
          </w:p>
        </w:tc>
      </w:tr>
    </w:tbl>
    <w:p w14:paraId="1EACD880">
      <w:pPr>
        <w:autoSpaceDN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磋商响应供应商名称（盖章）：_______________________________</w:t>
      </w:r>
    </w:p>
    <w:p w14:paraId="040A45C7">
      <w:pPr>
        <w:autoSpaceDN w:val="0"/>
        <w:snapToGrid w:val="0"/>
        <w:spacing w:line="360" w:lineRule="auto"/>
        <w:rPr>
          <w:rFonts w:hint="eastAsia" w:ascii="宋体" w:hAnsi="宋体" w:eastAsia="宋体" w:cs="宋体"/>
          <w:color w:val="000000"/>
          <w:kern w:val="0"/>
          <w:sz w:val="24"/>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000000"/>
          <w:sz w:val="24"/>
          <w:highlight w:val="none"/>
        </w:rPr>
        <w:t>日期：</w:t>
      </w:r>
      <w:r>
        <w:rPr>
          <w:rFonts w:hint="eastAsia" w:ascii="宋体" w:hAnsi="宋体" w:eastAsia="宋体" w:cs="宋体"/>
          <w:color w:val="000000"/>
          <w:kern w:val="0"/>
          <w:sz w:val="24"/>
          <w:highlight w:val="none"/>
        </w:rPr>
        <w:t>________年____月___</w:t>
      </w:r>
    </w:p>
    <w:bookmarkEnd w:id="147"/>
    <w:bookmarkEnd w:id="148"/>
    <w:bookmarkEnd w:id="149"/>
    <w:p w14:paraId="694933E0">
      <w:pPr>
        <w:pStyle w:val="4"/>
        <w:spacing w:before="120" w:after="120" w:line="324" w:lineRule="auto"/>
        <w:ind w:firstLine="280"/>
        <w:jc w:val="both"/>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3-4 其他与报价有关的资料或说明（如有）</w:t>
      </w:r>
    </w:p>
    <w:p w14:paraId="2163AA7E">
      <w:pPr>
        <w:autoSpaceDN w:val="0"/>
        <w:spacing w:before="240" w:line="360" w:lineRule="auto"/>
        <w:jc w:val="center"/>
        <w:rPr>
          <w:rFonts w:hint="eastAsia" w:ascii="宋体" w:hAnsi="宋体" w:eastAsia="宋体" w:cs="宋体"/>
          <w:b/>
          <w:color w:val="000000"/>
          <w:sz w:val="40"/>
          <w:highlight w:val="none"/>
        </w:rPr>
      </w:pPr>
      <w:r>
        <w:rPr>
          <w:rFonts w:hint="eastAsia" w:ascii="宋体" w:hAnsi="宋体" w:eastAsia="宋体" w:cs="宋体"/>
          <w:b/>
          <w:color w:val="000000"/>
          <w:sz w:val="40"/>
          <w:szCs w:val="44"/>
          <w:highlight w:val="none"/>
        </w:rPr>
        <w:t>其他资料或说明</w:t>
      </w:r>
    </w:p>
    <w:tbl>
      <w:tblPr>
        <w:tblStyle w:val="51"/>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721F8E2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5EDB9AEF">
            <w:pPr>
              <w:autoSpaceDN w:val="0"/>
              <w:spacing w:line="360" w:lineRule="auto"/>
              <w:jc w:val="center"/>
              <w:rPr>
                <w:rFonts w:hint="eastAsia" w:ascii="宋体" w:hAnsi="宋体" w:eastAsia="宋体" w:cs="宋体"/>
                <w:i/>
                <w:color w:val="000000"/>
                <w:sz w:val="28"/>
                <w:szCs w:val="21"/>
                <w:highlight w:val="none"/>
              </w:rPr>
            </w:pPr>
            <w:r>
              <w:rPr>
                <w:rFonts w:hint="eastAsia" w:ascii="宋体" w:hAnsi="宋体" w:eastAsia="宋体" w:cs="宋体"/>
                <w:i/>
                <w:color w:val="000000"/>
                <w:sz w:val="28"/>
                <w:szCs w:val="21"/>
                <w:highlight w:val="none"/>
              </w:rPr>
              <w:t>（加盖公章，否则视为未提供）</w:t>
            </w:r>
          </w:p>
        </w:tc>
      </w:tr>
    </w:tbl>
    <w:p w14:paraId="43C64C03">
      <w:pPr>
        <w:autoSpaceDN w:val="0"/>
        <w:spacing w:after="360" w:afterLines="150"/>
        <w:rPr>
          <w:rFonts w:hint="eastAsia" w:ascii="宋体" w:hAnsi="宋体" w:eastAsia="宋体" w:cs="宋体"/>
          <w:szCs w:val="21"/>
          <w:highlight w:val="none"/>
        </w:rPr>
        <w:sectPr>
          <w:headerReference r:id="rId11" w:type="default"/>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D8201F">
      <w:pPr>
        <w:pStyle w:val="2"/>
        <w:autoSpaceDN w:val="0"/>
        <w:spacing w:before="240"/>
        <w:rPr>
          <w:rFonts w:hint="eastAsia" w:ascii="宋体" w:hAnsi="宋体" w:eastAsia="宋体" w:cs="宋体"/>
          <w:bCs/>
          <w:kern w:val="44"/>
          <w:sz w:val="44"/>
          <w:szCs w:val="44"/>
          <w:highlight w:val="none"/>
        </w:rPr>
      </w:pPr>
      <w:bookmarkStart w:id="187" w:name="_Toc23664"/>
      <w:r>
        <w:rPr>
          <w:rFonts w:hint="eastAsia" w:ascii="宋体" w:hAnsi="宋体" w:eastAsia="宋体" w:cs="宋体"/>
          <w:bCs/>
          <w:kern w:val="44"/>
          <w:sz w:val="44"/>
          <w:szCs w:val="44"/>
          <w:highlight w:val="none"/>
        </w:rPr>
        <w:t>第七章  评审办法</w:t>
      </w:r>
      <w:bookmarkEnd w:id="187"/>
    </w:p>
    <w:p w14:paraId="11ABB523">
      <w:pPr>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为公正、公平、科学地选择中标（成交）供应商，根据《政府采购竞争性磋商采购方式管理暂行办法》等有关法律法规的规定，并结合本项目的实际，制定本办法。</w:t>
      </w:r>
    </w:p>
    <w:p w14:paraId="6002AA06">
      <w:pPr>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本办法适用于</w:t>
      </w:r>
      <w:r>
        <w:rPr>
          <w:rFonts w:hint="eastAsia" w:ascii="宋体" w:hAnsi="宋体" w:cs="宋体"/>
          <w:b/>
          <w:color w:val="000000"/>
          <w:sz w:val="21"/>
          <w:szCs w:val="21"/>
          <w:highlight w:val="none"/>
          <w:u w:val="single"/>
          <w:lang w:eastAsia="zh-CN"/>
        </w:rPr>
        <w:t>浙江中医药大学Ivan Psakhye教授实验室改造项目</w:t>
      </w:r>
      <w:r>
        <w:rPr>
          <w:rFonts w:hint="eastAsia" w:ascii="宋体" w:hAnsi="宋体" w:eastAsia="宋体" w:cs="宋体"/>
          <w:b/>
          <w:color w:val="000000"/>
          <w:sz w:val="21"/>
          <w:szCs w:val="21"/>
          <w:highlight w:val="none"/>
          <w:u w:val="single"/>
        </w:rPr>
        <w:t>（项目编号：</w:t>
      </w:r>
      <w:r>
        <w:rPr>
          <w:rFonts w:hint="eastAsia" w:ascii="宋体" w:hAnsi="宋体" w:cs="宋体"/>
          <w:b/>
          <w:color w:val="000000"/>
          <w:sz w:val="21"/>
          <w:szCs w:val="21"/>
          <w:highlight w:val="none"/>
          <w:u w:val="single"/>
          <w:lang w:eastAsia="zh-CN"/>
        </w:rPr>
        <w:t>CTZB-2025070039</w:t>
      </w:r>
      <w:r>
        <w:rPr>
          <w:rFonts w:hint="eastAsia" w:ascii="宋体" w:hAnsi="宋体" w:eastAsia="宋体" w:cs="宋体"/>
          <w:b/>
          <w:color w:val="000000"/>
          <w:sz w:val="21"/>
          <w:szCs w:val="21"/>
          <w:highlight w:val="none"/>
          <w:u w:val="single"/>
        </w:rPr>
        <w:t>）</w:t>
      </w:r>
      <w:r>
        <w:rPr>
          <w:rFonts w:hint="eastAsia" w:ascii="宋体" w:hAnsi="宋体" w:eastAsia="宋体" w:cs="宋体"/>
          <w:color w:val="000000"/>
          <w:kern w:val="0"/>
          <w:sz w:val="21"/>
          <w:szCs w:val="21"/>
          <w:highlight w:val="none"/>
        </w:rPr>
        <w:t>的评审。</w:t>
      </w:r>
    </w:p>
    <w:p w14:paraId="35C45747">
      <w:pPr>
        <w:pStyle w:val="3"/>
        <w:autoSpaceDN w:val="0"/>
        <w:spacing w:before="360"/>
        <w:ind w:firstLine="0" w:firstLineChars="0"/>
        <w:rPr>
          <w:rFonts w:hint="eastAsia" w:ascii="宋体" w:hAnsi="宋体" w:eastAsia="宋体" w:cs="宋体"/>
          <w:sz w:val="21"/>
          <w:szCs w:val="21"/>
          <w:highlight w:val="none"/>
        </w:rPr>
      </w:pPr>
      <w:bookmarkStart w:id="188" w:name="_Toc15230"/>
      <w:bookmarkStart w:id="189" w:name="_Toc520824345"/>
      <w:bookmarkStart w:id="190" w:name="_Toc8133"/>
      <w:bookmarkStart w:id="191" w:name="_Toc482590097"/>
      <w:r>
        <w:rPr>
          <w:rFonts w:hint="eastAsia" w:ascii="宋体" w:hAnsi="宋体" w:eastAsia="宋体" w:cs="宋体"/>
          <w:sz w:val="21"/>
          <w:szCs w:val="21"/>
          <w:highlight w:val="none"/>
        </w:rPr>
        <w:t>一、总则</w:t>
      </w:r>
      <w:bookmarkEnd w:id="188"/>
      <w:bookmarkEnd w:id="189"/>
      <w:bookmarkEnd w:id="190"/>
      <w:bookmarkEnd w:id="191"/>
    </w:p>
    <w:p w14:paraId="2E40A8F8">
      <w:pPr>
        <w:autoSpaceDE w:val="0"/>
        <w:autoSpaceDN w:val="0"/>
        <w:adjustRightInd w:val="0"/>
        <w:spacing w:line="360" w:lineRule="auto"/>
        <w:ind w:firstLine="405" w:firstLineChars="192"/>
        <w:jc w:val="left"/>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本项目为工程类项目，采用综合评分法，满分100分，</w:t>
      </w:r>
      <w:r>
        <w:rPr>
          <w:rFonts w:hint="eastAsia" w:ascii="宋体" w:hAnsi="宋体" w:eastAsia="宋体" w:cs="宋体"/>
          <w:b/>
          <w:sz w:val="21"/>
          <w:szCs w:val="21"/>
          <w:highlight w:val="none"/>
        </w:rPr>
        <w:t>其中包括“商务技术”</w:t>
      </w: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rPr>
        <w:t>0分、“最终报价”</w:t>
      </w:r>
      <w:r>
        <w:rPr>
          <w:rFonts w:hint="eastAsia" w:ascii="宋体" w:hAnsi="宋体" w:cs="宋体"/>
          <w:b/>
          <w:sz w:val="21"/>
          <w:szCs w:val="21"/>
          <w:highlight w:val="none"/>
          <w:lang w:val="en-US" w:eastAsia="zh-CN"/>
        </w:rPr>
        <w:t>3</w:t>
      </w:r>
      <w:r>
        <w:rPr>
          <w:rFonts w:hint="eastAsia" w:ascii="宋体" w:hAnsi="宋体" w:eastAsia="宋体" w:cs="宋体"/>
          <w:b/>
          <w:sz w:val="21"/>
          <w:szCs w:val="21"/>
          <w:highlight w:val="none"/>
        </w:rPr>
        <w:t>0分。</w:t>
      </w:r>
      <w:r>
        <w:rPr>
          <w:rFonts w:hint="eastAsia" w:ascii="宋体" w:hAnsi="宋体" w:eastAsia="宋体" w:cs="宋体"/>
          <w:sz w:val="21"/>
          <w:szCs w:val="21"/>
          <w:highlight w:val="none"/>
        </w:rPr>
        <w:t>磋商小组将对经磋商确定最终采购需求和提交最后报价的磋商响应供应商，根据商务技术、最终报价情况由各成员独立记名打分。评分过程中采用四舍五入法，并保留小数2位。</w:t>
      </w:r>
    </w:p>
    <w:p w14:paraId="37C81F3E">
      <w:pPr>
        <w:autoSpaceDE w:val="0"/>
        <w:autoSpaceDN w:val="0"/>
        <w:adjustRightInd w:val="0"/>
        <w:spacing w:line="360" w:lineRule="auto"/>
        <w:ind w:firstLine="405" w:firstLineChars="192"/>
        <w:jc w:val="left"/>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rPr>
        <w:t>磋商响应供应商最终得分=商务技术分+最后报价分</w:t>
      </w:r>
    </w:p>
    <w:p w14:paraId="289E5141">
      <w:pPr>
        <w:pStyle w:val="3"/>
        <w:autoSpaceDN w:val="0"/>
        <w:spacing w:before="360"/>
        <w:ind w:firstLine="0" w:firstLineChars="0"/>
        <w:rPr>
          <w:rFonts w:hint="eastAsia" w:ascii="宋体" w:hAnsi="宋体" w:eastAsia="宋体" w:cs="宋体"/>
          <w:sz w:val="21"/>
          <w:szCs w:val="21"/>
          <w:highlight w:val="none"/>
        </w:rPr>
      </w:pPr>
      <w:bookmarkStart w:id="192" w:name="_Toc520824346"/>
      <w:bookmarkStart w:id="193" w:name="_Toc482590098"/>
      <w:bookmarkStart w:id="194" w:name="_Toc21175"/>
      <w:bookmarkStart w:id="195" w:name="_Toc14055"/>
      <w:r>
        <w:rPr>
          <w:rFonts w:hint="eastAsia" w:ascii="宋体" w:hAnsi="宋体" w:eastAsia="宋体" w:cs="宋体"/>
          <w:sz w:val="21"/>
          <w:szCs w:val="21"/>
          <w:highlight w:val="none"/>
        </w:rPr>
        <w:t>二、评审程序</w:t>
      </w:r>
      <w:bookmarkEnd w:id="192"/>
      <w:bookmarkEnd w:id="193"/>
      <w:bookmarkEnd w:id="194"/>
      <w:bookmarkEnd w:id="195"/>
    </w:p>
    <w:p w14:paraId="38221609">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2.1评审前</w:t>
      </w:r>
    </w:p>
    <w:p w14:paraId="42A76831">
      <w:pPr>
        <w:autoSpaceDN w:val="0"/>
        <w:spacing w:line="360" w:lineRule="auto"/>
        <w:ind w:firstLine="401" w:firstLineChars="191"/>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组织磋商小组签到、核对评委身份，推选磋商小组组长，由组长召集成员阅读磋商文件及相关补充、质疑、答复文件、项目书面说明等材料，了解采购项目基本情况、磋商有关事项等。</w:t>
      </w:r>
    </w:p>
    <w:p w14:paraId="27D37251">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2.2磋商响应文件的资格、符合性审查</w:t>
      </w:r>
    </w:p>
    <w:p w14:paraId="6F1CAAE3">
      <w:pPr>
        <w:autoSpaceDN w:val="0"/>
        <w:spacing w:line="360" w:lineRule="auto"/>
        <w:ind w:firstLine="371" w:firstLineChars="177"/>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2.2.1</w:t>
      </w:r>
      <w:r>
        <w:rPr>
          <w:rFonts w:hint="eastAsia" w:ascii="宋体" w:hAnsi="宋体" w:eastAsia="宋体" w:cs="宋体"/>
          <w:bCs/>
          <w:color w:val="000000"/>
          <w:kern w:val="0"/>
          <w:sz w:val="21"/>
          <w:szCs w:val="21"/>
          <w:highlight w:val="none"/>
        </w:rPr>
        <w:t>开标（标书信息开启）后，磋商小组首先依法对磋商响应供应商的资格文件进行审查，审查各磋商响应供应商的资格符合情况。</w:t>
      </w:r>
      <w:r>
        <w:rPr>
          <w:rFonts w:hint="eastAsia" w:ascii="宋体" w:hAnsi="宋体" w:eastAsia="宋体" w:cs="宋体"/>
          <w:color w:val="000000"/>
          <w:sz w:val="21"/>
          <w:szCs w:val="21"/>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7B31F8D3">
      <w:pPr>
        <w:autoSpaceDN w:val="0"/>
        <w:spacing w:line="360" w:lineRule="auto"/>
        <w:ind w:firstLine="373" w:firstLineChars="177"/>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w:t>
      </w:r>
      <w:r>
        <w:rPr>
          <w:rFonts w:hint="eastAsia" w:ascii="宋体" w:hAnsi="宋体" w:eastAsia="宋体" w:cs="宋体"/>
          <w:b/>
          <w:color w:val="000000"/>
          <w:kern w:val="0"/>
          <w:sz w:val="21"/>
          <w:szCs w:val="21"/>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6BF2F6A3">
      <w:pPr>
        <w:autoSpaceDN w:val="0"/>
        <w:spacing w:line="360" w:lineRule="auto"/>
        <w:ind w:firstLine="373" w:firstLineChars="177"/>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（2）</w:t>
      </w:r>
      <w:r>
        <w:rPr>
          <w:rFonts w:hint="eastAsia" w:ascii="宋体" w:hAnsi="宋体" w:eastAsia="宋体" w:cs="宋体"/>
          <w:b/>
          <w:color w:val="000000"/>
          <w:kern w:val="0"/>
          <w:sz w:val="21"/>
          <w:szCs w:val="21"/>
          <w:highlight w:val="none"/>
          <w:u w:val="single"/>
        </w:rPr>
        <w:t>单位负责人为同一人或者存在直接控股、管理关系的不同供应商参加同一合同项下的政府采购活动的，相关磋商响应供应商均作资格无效处理。</w:t>
      </w:r>
    </w:p>
    <w:p w14:paraId="2AAAD9A9">
      <w:pPr>
        <w:autoSpaceDN w:val="0"/>
        <w:spacing w:line="360" w:lineRule="auto"/>
        <w:ind w:firstLine="373" w:firstLineChars="177"/>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（3）供应商</w:t>
      </w:r>
      <w:r>
        <w:rPr>
          <w:rFonts w:hint="eastAsia" w:ascii="宋体" w:hAnsi="宋体" w:eastAsia="宋体" w:cs="宋体"/>
          <w:b/>
          <w:color w:val="000000"/>
          <w:sz w:val="21"/>
          <w:szCs w:val="21"/>
          <w:highlight w:val="none"/>
        </w:rPr>
        <w:t>信用记录查询与使用：</w:t>
      </w:r>
      <w:r>
        <w:rPr>
          <w:rFonts w:hint="eastAsia" w:ascii="宋体" w:hAnsi="宋体" w:eastAsia="宋体" w:cs="宋体"/>
          <w:b/>
          <w:color w:val="000000"/>
          <w:kern w:val="0"/>
          <w:sz w:val="21"/>
          <w:szCs w:val="21"/>
          <w:highlight w:val="none"/>
          <w:u w:val="single"/>
        </w:rPr>
        <w:t>见《磋商须知前附表》</w:t>
      </w:r>
      <w:r>
        <w:rPr>
          <w:rFonts w:hint="eastAsia" w:ascii="宋体" w:hAnsi="宋体" w:eastAsia="宋体" w:cs="宋体"/>
          <w:b/>
          <w:color w:val="000000"/>
          <w:sz w:val="21"/>
          <w:szCs w:val="21"/>
          <w:highlight w:val="none"/>
        </w:rPr>
        <w:t>；</w:t>
      </w:r>
    </w:p>
    <w:p w14:paraId="43BAFECD">
      <w:pPr>
        <w:autoSpaceDN w:val="0"/>
        <w:spacing w:line="360" w:lineRule="auto"/>
        <w:ind w:firstLine="371" w:firstLineChars="176"/>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（4）资格审查合格的磋商响应供应商不足三家的，项目不再进行评审。除采购任务取消情形外，采购人可选择以下方式之一处理：</w:t>
      </w:r>
    </w:p>
    <w:p w14:paraId="055BDDE2">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1）将本标项作废标处理，重新组织采购；</w:t>
      </w:r>
    </w:p>
    <w:p w14:paraId="60C8B9C1">
      <w:pPr>
        <w:autoSpaceDN w:val="0"/>
        <w:spacing w:line="360" w:lineRule="auto"/>
        <w:ind w:firstLine="371" w:firstLineChars="177"/>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2）按同级政府采购监督管理部门的审批意见采用其他采购方式组织采购。</w:t>
      </w:r>
    </w:p>
    <w:p w14:paraId="5C59FD12">
      <w:pPr>
        <w:autoSpaceDN w:val="0"/>
        <w:spacing w:line="360" w:lineRule="auto"/>
        <w:ind w:firstLine="373" w:firstLineChars="177"/>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2.2.2对符合资格的磋商响应供应商的磋商响应文件进行符合性审查，以确定其是否满足采购文件的实质性要求。</w:t>
      </w:r>
    </w:p>
    <w:p w14:paraId="406C1744">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2.2.3《商务技术文件》存在下列情形之一的，经磋商小组认定后作无效标处理：</w:t>
      </w:r>
    </w:p>
    <w:p w14:paraId="18886794">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w:t>
      </w:r>
      <w:r>
        <w:rPr>
          <w:rFonts w:hint="eastAsia" w:ascii="宋体" w:hAnsi="宋体" w:eastAsia="宋体" w:cs="宋体"/>
          <w:b/>
          <w:color w:val="000000"/>
          <w:kern w:val="0"/>
          <w:sz w:val="21"/>
          <w:szCs w:val="21"/>
          <w:highlight w:val="none"/>
          <w:u w:val="single"/>
        </w:rPr>
        <w:t>磋商响应文件没有对本采购文件作出实质性响应的，或不满足（不响应）本磋商文件中标注“▲”的实质性要求条款的</w:t>
      </w:r>
      <w:r>
        <w:rPr>
          <w:rFonts w:hint="eastAsia" w:ascii="宋体" w:hAnsi="宋体" w:eastAsia="宋体" w:cs="宋体"/>
          <w:b/>
          <w:color w:val="000000"/>
          <w:w w:val="90"/>
          <w:kern w:val="0"/>
          <w:sz w:val="21"/>
          <w:szCs w:val="21"/>
          <w:highlight w:val="none"/>
        </w:rPr>
        <w:t>；</w:t>
      </w:r>
    </w:p>
    <w:p w14:paraId="5BFE10AA">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w:t>
      </w:r>
      <w:r>
        <w:rPr>
          <w:rFonts w:hint="eastAsia" w:ascii="宋体" w:hAnsi="宋体" w:eastAsia="宋体" w:cs="宋体"/>
          <w:b/>
          <w:color w:val="000000"/>
          <w:kern w:val="0"/>
          <w:sz w:val="21"/>
          <w:szCs w:val="21"/>
          <w:highlight w:val="none"/>
          <w:u w:val="single"/>
        </w:rPr>
        <w:t>磋商响应文件存在一个或一个以上备选（替代）方案的</w:t>
      </w:r>
      <w:r>
        <w:rPr>
          <w:rFonts w:hint="eastAsia" w:ascii="宋体" w:hAnsi="宋体" w:eastAsia="宋体" w:cs="宋体"/>
          <w:b/>
          <w:color w:val="000000"/>
          <w:kern w:val="0"/>
          <w:sz w:val="21"/>
          <w:szCs w:val="21"/>
          <w:highlight w:val="none"/>
        </w:rPr>
        <w:t>；</w:t>
      </w:r>
    </w:p>
    <w:p w14:paraId="4D4EB759">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（3）</w:t>
      </w:r>
      <w:r>
        <w:rPr>
          <w:rFonts w:hint="eastAsia" w:ascii="宋体" w:hAnsi="宋体" w:eastAsia="宋体" w:cs="宋体"/>
          <w:b/>
          <w:color w:val="000000"/>
          <w:sz w:val="21"/>
          <w:szCs w:val="21"/>
          <w:highlight w:val="none"/>
          <w:u w:val="single"/>
        </w:rPr>
        <w:t>仅提交“备份磋商响应文件”的</w:t>
      </w:r>
      <w:r>
        <w:rPr>
          <w:rFonts w:hint="eastAsia" w:ascii="宋体" w:hAnsi="宋体" w:eastAsia="宋体" w:cs="宋体"/>
          <w:b/>
          <w:color w:val="000000"/>
          <w:kern w:val="0"/>
          <w:sz w:val="21"/>
          <w:szCs w:val="21"/>
          <w:highlight w:val="none"/>
        </w:rPr>
        <w:t>；</w:t>
      </w:r>
    </w:p>
    <w:p w14:paraId="1F5166BC">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w:t>
      </w:r>
      <w:r>
        <w:rPr>
          <w:rFonts w:hint="eastAsia" w:ascii="宋体" w:hAnsi="宋体" w:eastAsia="宋体" w:cs="宋体"/>
          <w:b/>
          <w:color w:val="000000"/>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000000"/>
          <w:kern w:val="0"/>
          <w:sz w:val="21"/>
          <w:szCs w:val="21"/>
          <w:highlight w:val="none"/>
        </w:rPr>
        <w:t>；</w:t>
      </w:r>
    </w:p>
    <w:p w14:paraId="2F0FF590">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（5）</w:t>
      </w:r>
      <w:r>
        <w:rPr>
          <w:rFonts w:hint="eastAsia" w:ascii="宋体" w:hAnsi="宋体" w:eastAsia="宋体" w:cs="宋体"/>
          <w:b/>
          <w:color w:val="000000"/>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000000"/>
          <w:kern w:val="0"/>
          <w:sz w:val="21"/>
          <w:szCs w:val="21"/>
          <w:highlight w:val="none"/>
        </w:rPr>
        <w:t>；</w:t>
      </w:r>
    </w:p>
    <w:p w14:paraId="42E5C175">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（6）</w:t>
      </w:r>
      <w:r>
        <w:rPr>
          <w:rFonts w:hint="eastAsia" w:ascii="宋体" w:hAnsi="宋体" w:eastAsia="宋体" w:cs="宋体"/>
          <w:b/>
          <w:color w:val="000000"/>
          <w:kern w:val="0"/>
          <w:sz w:val="21"/>
          <w:szCs w:val="21"/>
          <w:highlight w:val="none"/>
          <w:u w:val="single"/>
        </w:rPr>
        <w:t>磋商响应文件标注的响应或偏离情况与事实不符，或提供了虚假材料的</w:t>
      </w:r>
      <w:r>
        <w:rPr>
          <w:rFonts w:hint="eastAsia" w:ascii="宋体" w:hAnsi="宋体" w:eastAsia="宋体" w:cs="宋体"/>
          <w:b/>
          <w:color w:val="000000"/>
          <w:kern w:val="0"/>
          <w:sz w:val="21"/>
          <w:szCs w:val="21"/>
          <w:highlight w:val="none"/>
        </w:rPr>
        <w:t>；</w:t>
      </w:r>
    </w:p>
    <w:p w14:paraId="33CA102C">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（7）</w:t>
      </w:r>
      <w:r>
        <w:rPr>
          <w:rFonts w:hint="eastAsia" w:ascii="宋体" w:hAnsi="宋体" w:eastAsia="宋体" w:cs="宋体"/>
          <w:b/>
          <w:color w:val="000000"/>
          <w:kern w:val="0"/>
          <w:sz w:val="21"/>
          <w:szCs w:val="21"/>
          <w:highlight w:val="none"/>
          <w:u w:val="single"/>
        </w:rPr>
        <w:t>磋商响应文件有效期不符合本磋商文件要求的</w:t>
      </w:r>
      <w:r>
        <w:rPr>
          <w:rFonts w:hint="eastAsia" w:ascii="宋体" w:hAnsi="宋体" w:eastAsia="宋体" w:cs="宋体"/>
          <w:b/>
          <w:color w:val="000000"/>
          <w:kern w:val="0"/>
          <w:sz w:val="21"/>
          <w:szCs w:val="21"/>
          <w:highlight w:val="none"/>
        </w:rPr>
        <w:t>；</w:t>
      </w:r>
    </w:p>
    <w:p w14:paraId="4DD5C6CD">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（8）</w:t>
      </w:r>
      <w:r>
        <w:rPr>
          <w:rFonts w:hint="eastAsia" w:ascii="宋体" w:hAnsi="宋体" w:eastAsia="宋体" w:cs="宋体"/>
          <w:b/>
          <w:color w:val="000000"/>
          <w:kern w:val="0"/>
          <w:sz w:val="21"/>
          <w:szCs w:val="21"/>
          <w:highlight w:val="none"/>
          <w:u w:val="single"/>
        </w:rPr>
        <w:t>磋商响应文件含有采购人不能接受的附加条件的</w:t>
      </w:r>
      <w:r>
        <w:rPr>
          <w:rFonts w:hint="eastAsia" w:ascii="宋体" w:hAnsi="宋体" w:eastAsia="宋体" w:cs="宋体"/>
          <w:b/>
          <w:color w:val="000000"/>
          <w:kern w:val="0"/>
          <w:sz w:val="21"/>
          <w:szCs w:val="21"/>
          <w:highlight w:val="none"/>
        </w:rPr>
        <w:t>；</w:t>
      </w:r>
    </w:p>
    <w:p w14:paraId="5F915DCF">
      <w:pPr>
        <w:autoSpaceDN w:val="0"/>
        <w:spacing w:line="360" w:lineRule="auto"/>
        <w:ind w:firstLine="371" w:firstLineChars="176"/>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（9）</w:t>
      </w:r>
      <w:r>
        <w:rPr>
          <w:rFonts w:hint="eastAsia" w:ascii="宋体" w:hAnsi="宋体" w:eastAsia="宋体" w:cs="宋体"/>
          <w:b/>
          <w:color w:val="000000"/>
          <w:kern w:val="0"/>
          <w:sz w:val="21"/>
          <w:szCs w:val="21"/>
          <w:highlight w:val="none"/>
          <w:u w:val="single"/>
        </w:rPr>
        <w:t>参加同一合同项下政府采购活动的不同供应商之间存在利害关系的；</w:t>
      </w:r>
    </w:p>
    <w:p w14:paraId="37B40F83">
      <w:pPr>
        <w:autoSpaceDN w:val="0"/>
        <w:spacing w:line="360" w:lineRule="auto"/>
        <w:ind w:firstLine="371" w:firstLineChars="176"/>
        <w:rPr>
          <w:rFonts w:hint="eastAsia" w:ascii="宋体" w:hAnsi="宋体" w:eastAsia="宋体" w:cs="宋体"/>
          <w:b/>
          <w:color w:val="000000"/>
          <w:kern w:val="0"/>
          <w:sz w:val="21"/>
          <w:szCs w:val="21"/>
          <w:highlight w:val="none"/>
          <w:u w:val="single"/>
          <w:lang w:eastAsia="zh-CN"/>
        </w:rPr>
      </w:pPr>
      <w:r>
        <w:rPr>
          <w:rFonts w:hint="eastAsia" w:ascii="宋体" w:hAnsi="宋体" w:cs="宋体"/>
          <w:b/>
          <w:color w:val="000000"/>
          <w:kern w:val="0"/>
          <w:sz w:val="21"/>
          <w:szCs w:val="21"/>
          <w:highlight w:val="none"/>
          <w:u w:val="single"/>
          <w:lang w:eastAsia="zh-CN"/>
        </w:rPr>
        <w:t>（</w:t>
      </w:r>
      <w:r>
        <w:rPr>
          <w:rFonts w:hint="eastAsia" w:ascii="宋体" w:hAnsi="宋体" w:cs="宋体"/>
          <w:b/>
          <w:color w:val="000000"/>
          <w:kern w:val="0"/>
          <w:sz w:val="21"/>
          <w:szCs w:val="21"/>
          <w:highlight w:val="none"/>
          <w:u w:val="single"/>
          <w:lang w:val="en-US" w:eastAsia="zh-CN"/>
        </w:rPr>
        <w:t>10</w:t>
      </w:r>
      <w:r>
        <w:rPr>
          <w:rFonts w:hint="eastAsia" w:ascii="宋体" w:hAnsi="宋体" w:cs="宋体"/>
          <w:b/>
          <w:color w:val="000000"/>
          <w:kern w:val="0"/>
          <w:sz w:val="21"/>
          <w:szCs w:val="21"/>
          <w:highlight w:val="none"/>
          <w:u w:val="single"/>
          <w:lang w:eastAsia="zh-CN"/>
        </w:rPr>
        <w:t>）</w:t>
      </w:r>
      <w:r>
        <w:rPr>
          <w:rFonts w:hint="eastAsia" w:ascii="宋体" w:hAnsi="宋体" w:cs="宋体"/>
          <w:b/>
          <w:color w:val="FF0000"/>
          <w:kern w:val="0"/>
          <w:sz w:val="21"/>
          <w:szCs w:val="21"/>
          <w:highlight w:val="none"/>
          <w:u w:val="single"/>
          <w:lang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ABAC95">
      <w:pPr>
        <w:autoSpaceDN w:val="0"/>
        <w:spacing w:line="360" w:lineRule="auto"/>
        <w:ind w:firstLine="373" w:firstLineChars="177"/>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w:t>
      </w:r>
      <w:r>
        <w:rPr>
          <w:rFonts w:hint="eastAsia" w:ascii="宋体" w:hAnsi="宋体" w:cs="宋体"/>
          <w:b/>
          <w:color w:val="000000"/>
          <w:kern w:val="0"/>
          <w:sz w:val="21"/>
          <w:szCs w:val="21"/>
          <w:highlight w:val="none"/>
          <w:lang w:val="en-US" w:eastAsia="zh-CN"/>
        </w:rPr>
        <w:t>11</w:t>
      </w:r>
      <w:r>
        <w:rPr>
          <w:rFonts w:hint="eastAsia" w:ascii="宋体" w:hAnsi="宋体" w:eastAsia="宋体" w:cs="宋体"/>
          <w:b/>
          <w:color w:val="000000"/>
          <w:kern w:val="0"/>
          <w:sz w:val="21"/>
          <w:szCs w:val="21"/>
          <w:highlight w:val="none"/>
        </w:rPr>
        <w:t>）</w:t>
      </w:r>
      <w:r>
        <w:rPr>
          <w:rFonts w:hint="eastAsia" w:ascii="宋体" w:hAnsi="宋体" w:eastAsia="宋体" w:cs="宋体"/>
          <w:b/>
          <w:color w:val="000000"/>
          <w:kern w:val="0"/>
          <w:sz w:val="21"/>
          <w:szCs w:val="21"/>
          <w:highlight w:val="none"/>
          <w:u w:val="single"/>
        </w:rPr>
        <w:t>存在法律、法规和采购文件规定的其他无效情形的。</w:t>
      </w:r>
    </w:p>
    <w:p w14:paraId="4740459A">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2.2.4《报价文件》存在下列情形之一的，经磋商小组认定后作无效标处理：</w:t>
      </w:r>
    </w:p>
    <w:p w14:paraId="7158BBB2">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w:t>
      </w:r>
      <w:r>
        <w:rPr>
          <w:rFonts w:hint="eastAsia" w:ascii="宋体" w:hAnsi="宋体" w:eastAsia="宋体" w:cs="宋体"/>
          <w:b/>
          <w:color w:val="000000"/>
          <w:kern w:val="0"/>
          <w:sz w:val="21"/>
          <w:szCs w:val="21"/>
          <w:highlight w:val="none"/>
          <w:u w:val="single"/>
        </w:rPr>
        <w:t>磋商响应文件没有对本采购文件作出实质性响应的，或不满足（不响应）本采购文件中标注“▲”的实质性要求条款的</w:t>
      </w:r>
      <w:r>
        <w:rPr>
          <w:rFonts w:hint="eastAsia" w:ascii="宋体" w:hAnsi="宋体" w:eastAsia="宋体" w:cs="宋体"/>
          <w:b/>
          <w:color w:val="000000"/>
          <w:w w:val="90"/>
          <w:kern w:val="0"/>
          <w:sz w:val="21"/>
          <w:szCs w:val="21"/>
          <w:highlight w:val="none"/>
        </w:rPr>
        <w:t>；</w:t>
      </w:r>
    </w:p>
    <w:p w14:paraId="751581CA">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w:t>
      </w:r>
      <w:r>
        <w:rPr>
          <w:rFonts w:hint="eastAsia" w:ascii="宋体" w:hAnsi="宋体" w:eastAsia="宋体" w:cs="宋体"/>
          <w:b/>
          <w:color w:val="000000"/>
          <w:kern w:val="0"/>
          <w:sz w:val="21"/>
          <w:szCs w:val="21"/>
          <w:highlight w:val="none"/>
          <w:u w:val="single"/>
        </w:rPr>
        <w:t>磋商响应文件存在一个或一个以上备选（替代）投标方案的</w:t>
      </w:r>
      <w:r>
        <w:rPr>
          <w:rFonts w:hint="eastAsia" w:ascii="宋体" w:hAnsi="宋体" w:eastAsia="宋体" w:cs="宋体"/>
          <w:b/>
          <w:color w:val="000000"/>
          <w:kern w:val="0"/>
          <w:sz w:val="21"/>
          <w:szCs w:val="21"/>
          <w:highlight w:val="none"/>
        </w:rPr>
        <w:t>；</w:t>
      </w:r>
    </w:p>
    <w:p w14:paraId="6E28F0A9">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（3）</w:t>
      </w:r>
      <w:r>
        <w:rPr>
          <w:rFonts w:hint="eastAsia" w:ascii="宋体" w:hAnsi="宋体" w:eastAsia="宋体" w:cs="宋体"/>
          <w:b/>
          <w:color w:val="000000"/>
          <w:kern w:val="0"/>
          <w:sz w:val="21"/>
          <w:szCs w:val="21"/>
          <w:highlight w:val="none"/>
          <w:u w:val="single"/>
        </w:rPr>
        <w:t>未按照磋商文件标明的币种报价的，或者磋商报价涵盖的内容不符合磋商文件要求的</w:t>
      </w:r>
      <w:r>
        <w:rPr>
          <w:rFonts w:hint="eastAsia" w:ascii="宋体" w:hAnsi="宋体" w:eastAsia="宋体" w:cs="宋体"/>
          <w:b/>
          <w:color w:val="000000"/>
          <w:kern w:val="0"/>
          <w:sz w:val="21"/>
          <w:szCs w:val="21"/>
          <w:highlight w:val="none"/>
        </w:rPr>
        <w:t>；</w:t>
      </w:r>
    </w:p>
    <w:p w14:paraId="34611C73">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w:t>
      </w:r>
      <w:r>
        <w:rPr>
          <w:rFonts w:hint="eastAsia" w:ascii="宋体" w:hAnsi="宋体" w:eastAsia="宋体" w:cs="宋体"/>
          <w:b/>
          <w:color w:val="000000"/>
          <w:kern w:val="0"/>
          <w:sz w:val="21"/>
          <w:szCs w:val="21"/>
          <w:highlight w:val="none"/>
          <w:u w:val="single"/>
        </w:rPr>
        <w:t>报价出现前后不一致时拒绝按照磋商文件规定的错误修正原则进行修正的</w:t>
      </w:r>
      <w:r>
        <w:rPr>
          <w:rFonts w:hint="eastAsia" w:ascii="宋体" w:hAnsi="宋体" w:eastAsia="宋体" w:cs="宋体"/>
          <w:b/>
          <w:color w:val="000000"/>
          <w:kern w:val="0"/>
          <w:sz w:val="21"/>
          <w:szCs w:val="21"/>
          <w:highlight w:val="none"/>
        </w:rPr>
        <w:t>；</w:t>
      </w:r>
    </w:p>
    <w:p w14:paraId="138AA44A">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（5）</w:t>
      </w:r>
      <w:r>
        <w:rPr>
          <w:rFonts w:hint="eastAsia" w:ascii="宋体" w:hAnsi="宋体" w:eastAsia="宋体" w:cs="宋体"/>
          <w:b/>
          <w:color w:val="000000"/>
          <w:kern w:val="0"/>
          <w:sz w:val="21"/>
          <w:szCs w:val="21"/>
          <w:highlight w:val="none"/>
          <w:u w:val="single"/>
        </w:rPr>
        <w:t>磋商报价具有选择性的</w:t>
      </w:r>
      <w:r>
        <w:rPr>
          <w:rFonts w:hint="eastAsia" w:ascii="宋体" w:hAnsi="宋体" w:eastAsia="宋体" w:cs="宋体"/>
          <w:b/>
          <w:color w:val="000000"/>
          <w:kern w:val="0"/>
          <w:sz w:val="21"/>
          <w:szCs w:val="21"/>
          <w:highlight w:val="none"/>
        </w:rPr>
        <w:t>；</w:t>
      </w:r>
    </w:p>
    <w:p w14:paraId="36C3AB7B">
      <w:pPr>
        <w:autoSpaceDN w:val="0"/>
        <w:spacing w:line="360" w:lineRule="auto"/>
        <w:ind w:firstLine="371" w:firstLineChars="176"/>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（6）</w:t>
      </w:r>
      <w:r>
        <w:rPr>
          <w:rFonts w:hint="eastAsia" w:ascii="宋体" w:hAnsi="宋体" w:eastAsia="宋体" w:cs="宋体"/>
          <w:b/>
          <w:color w:val="000000"/>
          <w:kern w:val="0"/>
          <w:sz w:val="21"/>
          <w:szCs w:val="21"/>
          <w:highlight w:val="none"/>
          <w:u w:val="single"/>
        </w:rPr>
        <w:t>报价超过磋商文件中规定的预算金额或者最高限价的</w:t>
      </w:r>
      <w:r>
        <w:rPr>
          <w:rFonts w:hint="eastAsia" w:ascii="宋体" w:hAnsi="宋体" w:eastAsia="宋体" w:cs="宋体"/>
          <w:b/>
          <w:color w:val="000000"/>
          <w:kern w:val="0"/>
          <w:sz w:val="21"/>
          <w:szCs w:val="21"/>
          <w:highlight w:val="none"/>
        </w:rPr>
        <w:t>；</w:t>
      </w:r>
    </w:p>
    <w:p w14:paraId="43F4097D">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（7）</w:t>
      </w:r>
      <w:r>
        <w:rPr>
          <w:rFonts w:hint="eastAsia" w:ascii="宋体" w:hAnsi="宋体" w:eastAsia="宋体" w:cs="宋体"/>
          <w:b/>
          <w:color w:val="000000"/>
          <w:kern w:val="0"/>
          <w:sz w:val="21"/>
          <w:szCs w:val="21"/>
          <w:highlight w:val="none"/>
          <w:u w:val="single"/>
        </w:rPr>
        <w:t>磋商响应文件工程量清单报价中的项目编码、项目名称、项目特征、计量单位和工程量与磋商文件提供的清单不一致的</w:t>
      </w:r>
      <w:r>
        <w:rPr>
          <w:rFonts w:hint="eastAsia" w:ascii="宋体" w:hAnsi="宋体" w:eastAsia="宋体" w:cs="宋体"/>
          <w:b/>
          <w:color w:val="000000"/>
          <w:kern w:val="0"/>
          <w:sz w:val="21"/>
          <w:szCs w:val="21"/>
          <w:highlight w:val="none"/>
        </w:rPr>
        <w:t xml:space="preserve">； </w:t>
      </w:r>
    </w:p>
    <w:p w14:paraId="35ACA922">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（8）</w:t>
      </w:r>
      <w:r>
        <w:rPr>
          <w:rFonts w:hint="eastAsia" w:ascii="宋体" w:hAnsi="宋体" w:eastAsia="宋体" w:cs="宋体"/>
          <w:b/>
          <w:color w:val="000000"/>
          <w:kern w:val="0"/>
          <w:sz w:val="21"/>
          <w:szCs w:val="21"/>
          <w:highlight w:val="none"/>
          <w:u w:val="single"/>
        </w:rPr>
        <w:t>磋商响应文件未按清单要求列明暂列金额</w:t>
      </w:r>
      <w:r>
        <w:rPr>
          <w:rFonts w:hint="eastAsia" w:ascii="宋体" w:hAnsi="宋体" w:cs="宋体"/>
          <w:b/>
          <w:color w:val="000000"/>
          <w:kern w:val="0"/>
          <w:sz w:val="21"/>
          <w:szCs w:val="21"/>
          <w:highlight w:val="none"/>
          <w:u w:val="single"/>
          <w:lang w:eastAsia="zh-CN"/>
        </w:rPr>
        <w:t>（</w:t>
      </w:r>
      <w:r>
        <w:rPr>
          <w:rFonts w:hint="eastAsia" w:ascii="宋体" w:hAnsi="宋体" w:cs="宋体"/>
          <w:b/>
          <w:color w:val="000000"/>
          <w:kern w:val="0"/>
          <w:sz w:val="21"/>
          <w:szCs w:val="21"/>
          <w:highlight w:val="none"/>
          <w:u w:val="single"/>
          <w:lang w:val="en-US" w:eastAsia="zh-CN"/>
        </w:rPr>
        <w:t>如有</w:t>
      </w:r>
      <w:r>
        <w:rPr>
          <w:rFonts w:hint="eastAsia" w:ascii="宋体" w:hAnsi="宋体" w:cs="宋体"/>
          <w:b/>
          <w:color w:val="000000"/>
          <w:kern w:val="0"/>
          <w:sz w:val="21"/>
          <w:szCs w:val="21"/>
          <w:highlight w:val="none"/>
          <w:u w:val="single"/>
          <w:lang w:eastAsia="zh-CN"/>
        </w:rPr>
        <w:t>）</w:t>
      </w:r>
      <w:r>
        <w:rPr>
          <w:rFonts w:hint="eastAsia" w:ascii="宋体" w:hAnsi="宋体" w:eastAsia="宋体" w:cs="宋体"/>
          <w:b/>
          <w:color w:val="000000"/>
          <w:kern w:val="0"/>
          <w:sz w:val="21"/>
          <w:szCs w:val="21"/>
          <w:highlight w:val="none"/>
          <w:u w:val="single"/>
        </w:rPr>
        <w:t>的</w:t>
      </w:r>
      <w:r>
        <w:rPr>
          <w:rFonts w:hint="eastAsia" w:ascii="宋体" w:hAnsi="宋体" w:eastAsia="宋体" w:cs="宋体"/>
          <w:b/>
          <w:color w:val="000000"/>
          <w:kern w:val="0"/>
          <w:sz w:val="21"/>
          <w:szCs w:val="21"/>
          <w:highlight w:val="none"/>
        </w:rPr>
        <w:t>；</w:t>
      </w:r>
    </w:p>
    <w:p w14:paraId="35F4CBB4">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（9）</w:t>
      </w:r>
      <w:r>
        <w:rPr>
          <w:rFonts w:hint="eastAsia" w:ascii="宋体" w:hAnsi="宋体" w:eastAsia="宋体" w:cs="宋体"/>
          <w:b/>
          <w:color w:val="000000"/>
          <w:kern w:val="0"/>
          <w:sz w:val="21"/>
          <w:szCs w:val="21"/>
          <w:highlight w:val="none"/>
          <w:u w:val="single"/>
        </w:rPr>
        <w:t>磋商响应文件中的取费低于清单编制说明中的最低取费标准的</w:t>
      </w:r>
      <w:r>
        <w:rPr>
          <w:rFonts w:hint="eastAsia" w:ascii="宋体" w:hAnsi="宋体" w:eastAsia="宋体" w:cs="宋体"/>
          <w:b/>
          <w:color w:val="000000"/>
          <w:kern w:val="0"/>
          <w:sz w:val="21"/>
          <w:szCs w:val="21"/>
          <w:highlight w:val="none"/>
        </w:rPr>
        <w:t>；</w:t>
      </w:r>
    </w:p>
    <w:p w14:paraId="2EDBC322">
      <w:pPr>
        <w:autoSpaceDN w:val="0"/>
        <w:spacing w:line="358" w:lineRule="auto"/>
        <w:ind w:firstLine="371" w:firstLineChars="176"/>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（10）</w:t>
      </w:r>
      <w:r>
        <w:rPr>
          <w:rFonts w:hint="eastAsia" w:ascii="宋体" w:hAnsi="宋体" w:eastAsia="宋体" w:cs="宋体"/>
          <w:b/>
          <w:color w:val="000000"/>
          <w:kern w:val="0"/>
          <w:sz w:val="21"/>
          <w:szCs w:val="21"/>
          <w:highlight w:val="none"/>
          <w:u w:val="single"/>
        </w:rPr>
        <w:t>磋商报价中的规费、税金、措施费等国家、省、市强制性要求的费用报价不足或未报价的</w:t>
      </w:r>
      <w:r>
        <w:rPr>
          <w:rFonts w:hint="eastAsia" w:ascii="宋体" w:hAnsi="宋体" w:eastAsia="宋体" w:cs="宋体"/>
          <w:b/>
          <w:color w:val="000000"/>
          <w:kern w:val="0"/>
          <w:sz w:val="21"/>
          <w:szCs w:val="21"/>
          <w:highlight w:val="none"/>
        </w:rPr>
        <w:t>；</w:t>
      </w:r>
    </w:p>
    <w:p w14:paraId="52B100D2">
      <w:pPr>
        <w:autoSpaceDN w:val="0"/>
        <w:spacing w:line="358" w:lineRule="auto"/>
        <w:ind w:firstLine="371" w:firstLineChars="176"/>
        <w:rPr>
          <w:rFonts w:hint="eastAsia" w:ascii="宋体" w:hAnsi="宋体" w:eastAsia="宋体" w:cs="宋体"/>
          <w:b/>
          <w:color w:val="000000"/>
          <w:kern w:val="0"/>
          <w:sz w:val="21"/>
          <w:szCs w:val="21"/>
          <w:highlight w:val="none"/>
          <w:u w:val="single"/>
        </w:rPr>
      </w:pPr>
      <w:r>
        <w:rPr>
          <w:rFonts w:hint="eastAsia" w:ascii="宋体" w:hAnsi="宋体" w:eastAsia="宋体" w:cs="宋体"/>
          <w:b/>
          <w:color w:val="000000"/>
          <w:kern w:val="0"/>
          <w:sz w:val="21"/>
          <w:szCs w:val="21"/>
          <w:highlight w:val="none"/>
        </w:rPr>
        <w:t>（11）</w:t>
      </w:r>
      <w:r>
        <w:rPr>
          <w:rFonts w:hint="eastAsia" w:ascii="宋体" w:hAnsi="宋体" w:eastAsia="宋体" w:cs="宋体"/>
          <w:b/>
          <w:color w:val="000000"/>
          <w:kern w:val="0"/>
          <w:sz w:val="21"/>
          <w:szCs w:val="21"/>
          <w:highlight w:val="none"/>
          <w:u w:val="single"/>
        </w:rPr>
        <w:t>磋商响应文件未按本磋商文件《第三章磋商须知》或《第六章磋商响应文件格式》标注的要求进行盖章或签署的</w:t>
      </w:r>
      <w:r>
        <w:rPr>
          <w:rFonts w:hint="eastAsia" w:ascii="宋体" w:hAnsi="宋体" w:eastAsia="宋体" w:cs="宋体"/>
          <w:b/>
          <w:color w:val="000000"/>
          <w:kern w:val="0"/>
          <w:sz w:val="21"/>
          <w:szCs w:val="21"/>
          <w:highlight w:val="none"/>
        </w:rPr>
        <w:t>；</w:t>
      </w:r>
    </w:p>
    <w:p w14:paraId="2F5211CE">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（12）</w:t>
      </w:r>
      <w:r>
        <w:rPr>
          <w:rFonts w:hint="eastAsia" w:ascii="宋体" w:hAnsi="宋体" w:eastAsia="宋体" w:cs="宋体"/>
          <w:b/>
          <w:color w:val="000000"/>
          <w:kern w:val="0"/>
          <w:sz w:val="21"/>
          <w:szCs w:val="21"/>
          <w:highlight w:val="none"/>
          <w:u w:val="single"/>
        </w:rPr>
        <w:t>磋商响应文件组成内容不齐全，本磋商文件规定必须提供而未提供的（属于资格审查范围的除外）</w:t>
      </w:r>
      <w:r>
        <w:rPr>
          <w:rFonts w:hint="eastAsia" w:ascii="宋体" w:hAnsi="宋体" w:eastAsia="宋体" w:cs="宋体"/>
          <w:b/>
          <w:color w:val="000000"/>
          <w:kern w:val="0"/>
          <w:sz w:val="21"/>
          <w:szCs w:val="21"/>
          <w:highlight w:val="none"/>
        </w:rPr>
        <w:t>；</w:t>
      </w:r>
    </w:p>
    <w:p w14:paraId="4878E64B">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（13）</w:t>
      </w:r>
      <w:r>
        <w:rPr>
          <w:rFonts w:hint="eastAsia" w:ascii="宋体" w:hAnsi="宋体" w:eastAsia="宋体" w:cs="宋体"/>
          <w:b/>
          <w:color w:val="000000"/>
          <w:sz w:val="21"/>
          <w:szCs w:val="21"/>
          <w:highlight w:val="none"/>
          <w:u w:val="single"/>
        </w:rPr>
        <w:t>磋商小组认为磋商响应供应商的报价明显低于其他通过符合性审查的磋商响应供应商的报价</w:t>
      </w:r>
      <w:bookmarkStart w:id="196" w:name="_Hlk136872381"/>
      <w:r>
        <w:rPr>
          <w:rFonts w:hint="eastAsia" w:ascii="宋体" w:hAnsi="宋体" w:eastAsia="宋体" w:cs="宋体"/>
          <w:b/>
          <w:color w:val="000000"/>
          <w:sz w:val="21"/>
          <w:szCs w:val="21"/>
          <w:highlight w:val="none"/>
          <w:u w:val="single"/>
        </w:rPr>
        <w:t>或报价低于最高限价50%的，</w:t>
      </w:r>
      <w:bookmarkEnd w:id="196"/>
      <w:r>
        <w:rPr>
          <w:rFonts w:hint="eastAsia" w:ascii="宋体" w:hAnsi="宋体" w:eastAsia="宋体" w:cs="宋体"/>
          <w:b/>
          <w:color w:val="000000"/>
          <w:sz w:val="21"/>
          <w:szCs w:val="21"/>
          <w:highlight w:val="none"/>
          <w:u w:val="single"/>
        </w:rPr>
        <w:t>有可能影响产品质量或者不能诚信履约时，磋商响应供应商不能在规定的时间证明其报价合理性的</w:t>
      </w:r>
      <w:r>
        <w:rPr>
          <w:rFonts w:hint="eastAsia" w:ascii="宋体" w:hAnsi="宋体" w:eastAsia="宋体" w:cs="宋体"/>
          <w:b/>
          <w:color w:val="000000"/>
          <w:sz w:val="21"/>
          <w:szCs w:val="21"/>
          <w:highlight w:val="none"/>
        </w:rPr>
        <w:t>；</w:t>
      </w:r>
    </w:p>
    <w:p w14:paraId="1E46B125">
      <w:pPr>
        <w:autoSpaceDN w:val="0"/>
        <w:spacing w:line="358"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（14）</w:t>
      </w:r>
      <w:r>
        <w:rPr>
          <w:rFonts w:hint="eastAsia" w:ascii="宋体" w:hAnsi="宋体" w:eastAsia="宋体" w:cs="宋体"/>
          <w:b/>
          <w:color w:val="000000"/>
          <w:kern w:val="0"/>
          <w:sz w:val="21"/>
          <w:szCs w:val="21"/>
          <w:highlight w:val="none"/>
          <w:u w:val="single"/>
        </w:rPr>
        <w:t>磋商响应文件含有采购人不能接受的附加条件的</w:t>
      </w:r>
      <w:r>
        <w:rPr>
          <w:rFonts w:hint="eastAsia" w:ascii="宋体" w:hAnsi="宋体" w:eastAsia="宋体" w:cs="宋体"/>
          <w:b/>
          <w:color w:val="000000"/>
          <w:kern w:val="0"/>
          <w:sz w:val="21"/>
          <w:szCs w:val="21"/>
          <w:highlight w:val="none"/>
        </w:rPr>
        <w:t>；</w:t>
      </w:r>
    </w:p>
    <w:p w14:paraId="29AF42D3">
      <w:pPr>
        <w:autoSpaceDN w:val="0"/>
        <w:spacing w:line="358" w:lineRule="auto"/>
        <w:ind w:firstLine="373" w:firstLineChars="177"/>
        <w:rPr>
          <w:rFonts w:hint="eastAsia" w:ascii="宋体" w:hAnsi="宋体" w:eastAsia="宋体" w:cs="宋体"/>
          <w:color w:val="000000"/>
          <w:w w:val="90"/>
          <w:kern w:val="0"/>
          <w:sz w:val="21"/>
          <w:szCs w:val="21"/>
          <w:highlight w:val="none"/>
        </w:rPr>
      </w:pPr>
      <w:r>
        <w:rPr>
          <w:rFonts w:hint="eastAsia" w:ascii="宋体" w:hAnsi="宋体" w:eastAsia="宋体" w:cs="宋体"/>
          <w:b/>
          <w:color w:val="000000"/>
          <w:kern w:val="0"/>
          <w:sz w:val="21"/>
          <w:szCs w:val="21"/>
          <w:highlight w:val="none"/>
        </w:rPr>
        <w:t>（15）</w:t>
      </w:r>
      <w:r>
        <w:rPr>
          <w:rFonts w:hint="eastAsia" w:ascii="宋体" w:hAnsi="宋体" w:eastAsia="宋体" w:cs="宋体"/>
          <w:b/>
          <w:color w:val="000000"/>
          <w:kern w:val="0"/>
          <w:sz w:val="21"/>
          <w:szCs w:val="21"/>
          <w:highlight w:val="none"/>
          <w:u w:val="single"/>
        </w:rPr>
        <w:t>存在法律、法规和磋商文件规定的其他无效情形的</w:t>
      </w:r>
      <w:r>
        <w:rPr>
          <w:rFonts w:hint="eastAsia" w:ascii="宋体" w:hAnsi="宋体" w:eastAsia="宋体" w:cs="宋体"/>
          <w:b/>
          <w:color w:val="000000"/>
          <w:kern w:val="0"/>
          <w:sz w:val="21"/>
          <w:szCs w:val="21"/>
          <w:highlight w:val="none"/>
        </w:rPr>
        <w:t>。</w:t>
      </w:r>
    </w:p>
    <w:p w14:paraId="2AD28BB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 磋商响应文件的磋商、澄清、说明或补正</w:t>
      </w:r>
    </w:p>
    <w:p w14:paraId="3CF43F2D">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2.3.1对于磋商响应文件中含义不明确、同类问题表述不一致或者有明显文字和计算错误的内容，</w:t>
      </w:r>
      <w:r>
        <w:rPr>
          <w:rFonts w:hint="eastAsia" w:ascii="宋体" w:hAnsi="宋体" w:eastAsia="宋体" w:cs="宋体"/>
          <w:b/>
          <w:color w:val="000000"/>
          <w:kern w:val="0"/>
          <w:sz w:val="21"/>
          <w:szCs w:val="21"/>
          <w:highlight w:val="none"/>
        </w:rPr>
        <w:t>磋商小组将通过“政府采购云平台”在线询标的方式</w:t>
      </w:r>
      <w:r>
        <w:rPr>
          <w:rFonts w:hint="eastAsia" w:ascii="宋体" w:hAnsi="宋体" w:eastAsia="宋体" w:cs="宋体"/>
          <w:color w:val="000000"/>
          <w:kern w:val="0"/>
          <w:sz w:val="21"/>
          <w:szCs w:val="21"/>
          <w:highlight w:val="none"/>
        </w:rPr>
        <w:t>要求磋商响应供应商在规定的时间内作出必要的澄清、说明或者补正，磋商响应供应商澄清、说明或补正时间为30分钟。</w:t>
      </w:r>
    </w:p>
    <w:p w14:paraId="07C3C5A7">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14:paraId="4647CD18">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14:paraId="40EDA267">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2.3.4在磋商过程中，</w:t>
      </w:r>
      <w:r>
        <w:rPr>
          <w:rFonts w:hint="eastAsia" w:ascii="宋体" w:hAnsi="宋体" w:eastAsia="宋体" w:cs="宋体"/>
          <w:b/>
          <w:bCs/>
          <w:color w:val="000000"/>
          <w:kern w:val="0"/>
          <w:sz w:val="21"/>
          <w:szCs w:val="21"/>
          <w:highlight w:val="none"/>
        </w:rPr>
        <w:t>磋商小组可以根据磋商文件和磋商情况实质性变动采购需求中的技术、服务要求以及合同草案条款</w:t>
      </w:r>
      <w:r>
        <w:rPr>
          <w:rFonts w:hint="eastAsia" w:ascii="宋体" w:hAnsi="宋体" w:eastAsia="宋体" w:cs="宋体"/>
          <w:color w:val="000000"/>
          <w:kern w:val="0"/>
          <w:sz w:val="21"/>
          <w:szCs w:val="21"/>
          <w:highlight w:val="none"/>
        </w:rPr>
        <w:t>，但不得变动磋商文件中的其他内容。实质性变动的内容，须经采购人代表确认。</w:t>
      </w:r>
    </w:p>
    <w:p w14:paraId="5C339A69">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2.3.5对磋商文件作出的实质性变动是磋商文件的有效组成部分，磋商小组通过“政府采购云平台”在线询标的方式同时通知所有参加磋商的供应商。</w:t>
      </w:r>
    </w:p>
    <w:p w14:paraId="126C3132">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2.3.6按磋商程序规定开始并完成磋商。</w:t>
      </w:r>
    </w:p>
    <w:p w14:paraId="60302C1E">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2.3.7所有磋商结束后，确定提交最后报价的供应商名单，确定提交最后报价的时间，并告知相关供应商，要求在规定时间内（30分钟内）通过“政府采购云平台”在线上传最后报价（须加盖公章，或者由其授权的代表签字）。</w:t>
      </w:r>
    </w:p>
    <w:p w14:paraId="4CF04679">
      <w:pPr>
        <w:autoSpaceDN w:val="0"/>
        <w:spacing w:line="360" w:lineRule="auto"/>
        <w:ind w:firstLine="373" w:firstLineChars="177"/>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rPr>
        <w:t>2.3.7上述询标、澄清、说明和补正工作如因客观原因无法通过“政府采购云平台”在线进行的，将采用书面（含邮件）形式进行。</w:t>
      </w:r>
    </w:p>
    <w:p w14:paraId="37B6686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 磋商响应文件的错误修正</w:t>
      </w:r>
    </w:p>
    <w:p w14:paraId="2AE76074">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2.4.1</w:t>
      </w:r>
      <w:r>
        <w:rPr>
          <w:rFonts w:hint="eastAsia" w:ascii="宋体" w:hAnsi="宋体" w:eastAsia="宋体" w:cs="宋体"/>
          <w:b/>
          <w:color w:val="000000"/>
          <w:kern w:val="0"/>
          <w:sz w:val="21"/>
          <w:szCs w:val="21"/>
          <w:highlight w:val="none"/>
          <w:u w:val="single"/>
        </w:rPr>
        <w:t>《磋商响应文件》报价出现前后不一致的，按照下列规定修正</w:t>
      </w:r>
      <w:r>
        <w:rPr>
          <w:rFonts w:hint="eastAsia" w:ascii="宋体" w:hAnsi="宋体" w:eastAsia="宋体" w:cs="宋体"/>
          <w:b/>
          <w:color w:val="000000"/>
          <w:kern w:val="0"/>
          <w:sz w:val="21"/>
          <w:szCs w:val="21"/>
          <w:highlight w:val="none"/>
        </w:rPr>
        <w:t>：</w:t>
      </w:r>
    </w:p>
    <w:p w14:paraId="217F3ECD">
      <w:pPr>
        <w:autoSpaceDN w:val="0"/>
        <w:spacing w:line="360" w:lineRule="auto"/>
        <w:ind w:firstLine="369" w:firstLineChars="175"/>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（1）《磋商响应文件》中投标函与磋商响应文件中相应内容不一致的，以投标函为准</w:t>
      </w:r>
      <w:r>
        <w:rPr>
          <w:rFonts w:hint="eastAsia" w:ascii="宋体" w:hAnsi="宋体" w:eastAsia="宋体" w:cs="宋体"/>
          <w:color w:val="000000"/>
          <w:kern w:val="0"/>
          <w:sz w:val="21"/>
          <w:szCs w:val="21"/>
          <w:highlight w:val="none"/>
        </w:rPr>
        <w:t>。</w:t>
      </w:r>
    </w:p>
    <w:p w14:paraId="6BF3C5ED">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（2）大写金额和小写金额不一致的，以大写金额为准；</w:t>
      </w:r>
    </w:p>
    <w:p w14:paraId="0677D6EE">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（3）单价金额小数点或者百分比有明显错位的，应以开标一览表（报价表）的总价为准，并修改单价；</w:t>
      </w:r>
    </w:p>
    <w:p w14:paraId="506027F0">
      <w:pPr>
        <w:autoSpaceDN w:val="0"/>
        <w:spacing w:line="360" w:lineRule="auto"/>
        <w:ind w:firstLine="369" w:firstLineChars="175"/>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（4）总价金额与按单价汇总金额不一致的，以单价金额计算结果为准。</w:t>
      </w:r>
    </w:p>
    <w:p w14:paraId="2361757B">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备注：</w:t>
      </w:r>
      <w:r>
        <w:rPr>
          <w:rFonts w:hint="eastAsia" w:ascii="宋体" w:hAnsi="宋体" w:eastAsia="宋体" w:cs="宋体"/>
          <w:b/>
          <w:color w:val="000000"/>
          <w:kern w:val="0"/>
          <w:sz w:val="21"/>
          <w:szCs w:val="21"/>
          <w:highlight w:val="none"/>
          <w:u w:val="single"/>
        </w:rPr>
        <w:t>同时出现两种以上不一致的，按照前款规定的顺序修正。修正后的报价按本章节第2.3.2款的规定经磋商响应供应商确认后产生约束力，磋商响应供应商不确认的，其投标无效</w:t>
      </w:r>
      <w:r>
        <w:rPr>
          <w:rFonts w:hint="eastAsia" w:ascii="宋体" w:hAnsi="宋体" w:eastAsia="宋体" w:cs="宋体"/>
          <w:b/>
          <w:color w:val="000000"/>
          <w:kern w:val="0"/>
          <w:sz w:val="21"/>
          <w:szCs w:val="21"/>
          <w:highlight w:val="none"/>
        </w:rPr>
        <w:t>。</w:t>
      </w:r>
    </w:p>
    <w:p w14:paraId="59862214">
      <w:pPr>
        <w:autoSpaceDN w:val="0"/>
        <w:spacing w:line="360" w:lineRule="auto"/>
        <w:ind w:firstLine="369" w:firstLineChars="175"/>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2.4.2对不同文字文本《磋商响应文件》的解释发生异议的，以中文文本为准。</w:t>
      </w:r>
    </w:p>
    <w:p w14:paraId="33BBF263">
      <w:pPr>
        <w:autoSpaceDN w:val="0"/>
        <w:spacing w:line="360" w:lineRule="auto"/>
        <w:ind w:firstLine="369" w:firstLineChars="175"/>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2.4.3《磋商响应文件》要求提供正、副本时，正、副本内容不一致的，以正本为准。</w:t>
      </w:r>
    </w:p>
    <w:p w14:paraId="56B24732">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2.5 磋商响应文件的评价、评分</w:t>
      </w:r>
    </w:p>
    <w:p w14:paraId="6767C4D9">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2BE12CA">
      <w:pPr>
        <w:autoSpaceDN w:val="0"/>
        <w:spacing w:line="360" w:lineRule="auto"/>
        <w:ind w:firstLine="371" w:firstLineChars="177"/>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207C37DC">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2.6 修改评审结果</w:t>
      </w:r>
    </w:p>
    <w:p w14:paraId="3DF6E422">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2.6.1评标结果汇总完成后，除下列情形外，任何人不得修改评标结果：</w:t>
      </w:r>
    </w:p>
    <w:p w14:paraId="4160C023">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（1）分值汇总计算错误的；</w:t>
      </w:r>
    </w:p>
    <w:p w14:paraId="7EE9E185">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（2）分项评分超出评分标准范围的；</w:t>
      </w:r>
    </w:p>
    <w:p w14:paraId="62BF1516">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（3）磋商小组成员对客观评审因素评分不一致的；</w:t>
      </w:r>
    </w:p>
    <w:p w14:paraId="2E0F9230">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（4）经磋商小组认定评分畸高、畸低的。</w:t>
      </w:r>
    </w:p>
    <w:p w14:paraId="5D63EA1C">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2.6.2评标报告签署前，经复核发现存在以上情形之一的，磋商小组将当场修改评标结果，并在评标报告中记载。</w:t>
      </w:r>
    </w:p>
    <w:p w14:paraId="719D2DC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2.7 供应商排序及推荐中标（成交）候选供应商</w:t>
      </w:r>
    </w:p>
    <w:p w14:paraId="0BCFD61E">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磋商小组根据以下规定确定供应商排名并推荐中标（成交）候选供应商。</w:t>
      </w:r>
    </w:p>
    <w:p w14:paraId="02667B5C">
      <w:pPr>
        <w:autoSpaceDN w:val="0"/>
        <w:spacing w:line="360" w:lineRule="auto"/>
        <w:ind w:firstLine="371" w:firstLineChars="176"/>
        <w:rPr>
          <w:rFonts w:hint="eastAsia" w:ascii="宋体" w:hAnsi="宋体" w:eastAsia="宋体" w:cs="宋体"/>
          <w:color w:val="000000"/>
          <w:kern w:val="0"/>
          <w:sz w:val="21"/>
          <w:szCs w:val="21"/>
          <w:highlight w:val="none"/>
        </w:rPr>
      </w:pPr>
      <w:r>
        <w:rPr>
          <w:rFonts w:hint="eastAsia" w:ascii="宋体" w:hAnsi="宋体" w:eastAsia="宋体" w:cs="宋体"/>
          <w:b/>
          <w:color w:val="000000"/>
          <w:sz w:val="21"/>
          <w:szCs w:val="21"/>
          <w:highlight w:val="none"/>
        </w:rPr>
        <w:t>2.7.1磋商小组根据各磋商响应供应商的综合得分（商务技术分与最后报价得分之和）从高到低依次进行排名排序。特殊情形按以下原则处理：</w:t>
      </w:r>
    </w:p>
    <w:p w14:paraId="5DB41338">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（1）综合得分相同的，按最后报价低的优先原则确定排名；</w:t>
      </w:r>
    </w:p>
    <w:p w14:paraId="7929AACC">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（2）综合得分和最后报价均相同的，按商务技术得分从高到低确定排名；</w:t>
      </w:r>
    </w:p>
    <w:p w14:paraId="2B288386">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（3）综合得分、最后报价和商务技术得分均相同的由磋商小组全体成员记名投票按少数服从多数的原则确定排名。</w:t>
      </w:r>
    </w:p>
    <w:p w14:paraId="533219F5">
      <w:pPr>
        <w:autoSpaceDN w:val="0"/>
        <w:spacing w:line="360" w:lineRule="auto"/>
        <w:ind w:firstLine="371" w:firstLineChars="176"/>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2.7.2根据最终得分排序，通过书面评审报告的形式，向采购人推荐综合得分由高到低顺序推荐3名以上</w:t>
      </w:r>
      <w:r>
        <w:rPr>
          <w:rFonts w:hint="eastAsia" w:ascii="宋体" w:hAnsi="宋体" w:eastAsia="宋体" w:cs="宋体"/>
          <w:b/>
          <w:color w:val="000000"/>
          <w:kern w:val="0"/>
          <w:sz w:val="21"/>
          <w:szCs w:val="21"/>
          <w:highlight w:val="none"/>
        </w:rPr>
        <w:t>中标（成交）候选供应商</w:t>
      </w:r>
      <w:r>
        <w:rPr>
          <w:rFonts w:hint="eastAsia" w:ascii="宋体" w:hAnsi="宋体" w:eastAsia="宋体" w:cs="宋体"/>
          <w:b/>
          <w:color w:val="000000"/>
          <w:sz w:val="21"/>
          <w:szCs w:val="21"/>
          <w:highlight w:val="none"/>
        </w:rPr>
        <w:t>。</w:t>
      </w:r>
    </w:p>
    <w:p w14:paraId="6127709D">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2.8 起草、签署评审报告</w:t>
      </w:r>
    </w:p>
    <w:p w14:paraId="485678BD">
      <w:pPr>
        <w:autoSpaceDN w:val="0"/>
        <w:spacing w:line="360" w:lineRule="auto"/>
        <w:ind w:firstLine="371" w:firstLineChars="17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结束后，磋商小组将通过“政府采购云平台”起草评审报告，磋商小组成员应当在评审报告上签字（或加注电子签章），对自己的评审意见承担法律责任。对评审报告有异议的，应当在评审报告上签署不同意见，并说明理由，否则视为同意评审报告。</w:t>
      </w:r>
    </w:p>
    <w:p w14:paraId="5337FF04">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2.9 重新评审</w:t>
      </w:r>
    </w:p>
    <w:p w14:paraId="66C17699">
      <w:pPr>
        <w:autoSpaceDN w:val="0"/>
        <w:spacing w:line="360" w:lineRule="auto"/>
        <w:ind w:firstLine="373" w:firstLineChars="177"/>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评审报告签署后，采购人或者采购代理机构发现存在下列情形之一的，将组织原磋商小组进行重新评审，重新评审改变评标结果的，将书面报告同级财政部门：</w:t>
      </w:r>
    </w:p>
    <w:p w14:paraId="2665677F">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（1）分值汇总计算错误的；</w:t>
      </w:r>
    </w:p>
    <w:p w14:paraId="3E1DADD0">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（2）分项评分超出评分标准范围的；</w:t>
      </w:r>
    </w:p>
    <w:p w14:paraId="07CA19C1">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（3）磋商小组成员对客观评审因素评分不一致的；</w:t>
      </w:r>
    </w:p>
    <w:p w14:paraId="0AD3E027">
      <w:pPr>
        <w:autoSpaceDN w:val="0"/>
        <w:spacing w:line="360" w:lineRule="auto"/>
        <w:ind w:firstLine="371" w:firstLineChars="17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（4）经磋商小组认定评分畸高、畸低的。</w:t>
      </w:r>
    </w:p>
    <w:p w14:paraId="7CF9DA3A">
      <w:pPr>
        <w:pStyle w:val="3"/>
        <w:autoSpaceDN w:val="0"/>
        <w:spacing w:before="360"/>
        <w:ind w:firstLine="0" w:firstLineChars="0"/>
        <w:rPr>
          <w:rFonts w:hint="eastAsia" w:ascii="宋体" w:hAnsi="宋体" w:eastAsia="宋体" w:cs="宋体"/>
          <w:sz w:val="21"/>
          <w:szCs w:val="21"/>
          <w:highlight w:val="none"/>
        </w:rPr>
      </w:pPr>
      <w:bookmarkStart w:id="197" w:name="_Toc12999"/>
      <w:bookmarkStart w:id="198" w:name="_Toc520824347"/>
      <w:bookmarkStart w:id="199" w:name="_Toc482590099"/>
      <w:bookmarkStart w:id="200" w:name="_Toc29214"/>
      <w:r>
        <w:rPr>
          <w:rFonts w:hint="eastAsia" w:ascii="宋体" w:hAnsi="宋体" w:eastAsia="宋体" w:cs="宋体"/>
          <w:sz w:val="21"/>
          <w:szCs w:val="21"/>
          <w:highlight w:val="none"/>
        </w:rPr>
        <w:t>三、评分标准</w:t>
      </w:r>
      <w:bookmarkEnd w:id="197"/>
      <w:bookmarkEnd w:id="198"/>
      <w:bookmarkEnd w:id="199"/>
      <w:bookmarkEnd w:id="200"/>
    </w:p>
    <w:p w14:paraId="25A9D3F7">
      <w:pPr>
        <w:keepNext/>
        <w:keepLines/>
        <w:autoSpaceDN w:val="0"/>
        <w:spacing w:before="72" w:beforeLines="30" w:after="72" w:afterLines="30" w:line="360" w:lineRule="auto"/>
        <w:ind w:firstLine="249" w:firstLineChars="118"/>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3.1 商务技术分（</w:t>
      </w:r>
      <w:r>
        <w:rPr>
          <w:rFonts w:hint="eastAsia" w:ascii="宋体" w:hAnsi="宋体" w:cs="宋体"/>
          <w:b/>
          <w:bCs/>
          <w:sz w:val="21"/>
          <w:szCs w:val="21"/>
          <w:highlight w:val="none"/>
          <w:lang w:val="en-US" w:eastAsia="zh-CN"/>
        </w:rPr>
        <w:t>70</w:t>
      </w:r>
      <w:r>
        <w:rPr>
          <w:rFonts w:hint="eastAsia" w:ascii="宋体" w:hAnsi="宋体" w:eastAsia="宋体" w:cs="宋体"/>
          <w:b/>
          <w:bCs/>
          <w:sz w:val="21"/>
          <w:szCs w:val="21"/>
          <w:highlight w:val="none"/>
        </w:rPr>
        <w:t>分）</w:t>
      </w:r>
    </w:p>
    <w:tbl>
      <w:tblPr>
        <w:tblStyle w:val="51"/>
        <w:tblW w:w="9342" w:type="dxa"/>
        <w:jc w:val="center"/>
        <w:tblLayout w:type="fixed"/>
        <w:tblCellMar>
          <w:top w:w="0" w:type="dxa"/>
          <w:left w:w="108" w:type="dxa"/>
          <w:bottom w:w="0" w:type="dxa"/>
          <w:right w:w="108" w:type="dxa"/>
        </w:tblCellMar>
      </w:tblPr>
      <w:tblGrid>
        <w:gridCol w:w="704"/>
        <w:gridCol w:w="1418"/>
        <w:gridCol w:w="6435"/>
        <w:gridCol w:w="785"/>
      </w:tblGrid>
      <w:tr w14:paraId="4EA6C349">
        <w:tblPrEx>
          <w:tblCellMar>
            <w:top w:w="0" w:type="dxa"/>
            <w:left w:w="108" w:type="dxa"/>
            <w:bottom w:w="0" w:type="dxa"/>
            <w:right w:w="108" w:type="dxa"/>
          </w:tblCellMar>
        </w:tblPrEx>
        <w:trPr>
          <w:trHeight w:val="454" w:hRule="atLeast"/>
          <w:jc w:val="center"/>
        </w:trPr>
        <w:tc>
          <w:tcPr>
            <w:tcW w:w="704" w:type="dxa"/>
            <w:tcBorders>
              <w:top w:val="double" w:color="auto" w:sz="4" w:space="0"/>
              <w:left w:val="double" w:color="auto" w:sz="4" w:space="0"/>
              <w:bottom w:val="single" w:color="auto" w:sz="4" w:space="0"/>
              <w:right w:val="single" w:color="000000" w:sz="8" w:space="0"/>
            </w:tcBorders>
            <w:shd w:val="clear" w:color="auto" w:fill="FFFFFF"/>
            <w:noWrap w:val="0"/>
            <w:vAlign w:val="center"/>
          </w:tcPr>
          <w:p w14:paraId="56FE1BC4">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序号</w:t>
            </w:r>
          </w:p>
        </w:tc>
        <w:tc>
          <w:tcPr>
            <w:tcW w:w="1418" w:type="dxa"/>
            <w:tcBorders>
              <w:top w:val="double" w:color="auto" w:sz="4" w:space="0"/>
              <w:left w:val="single" w:color="000000" w:sz="8" w:space="0"/>
              <w:bottom w:val="single" w:color="auto" w:sz="4" w:space="0"/>
              <w:right w:val="single" w:color="000000" w:sz="8" w:space="0"/>
            </w:tcBorders>
            <w:shd w:val="clear" w:color="auto" w:fill="FFFFFF"/>
            <w:noWrap w:val="0"/>
            <w:vAlign w:val="center"/>
          </w:tcPr>
          <w:p w14:paraId="7767E8D6">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内容</w:t>
            </w:r>
          </w:p>
        </w:tc>
        <w:tc>
          <w:tcPr>
            <w:tcW w:w="6435" w:type="dxa"/>
            <w:tcBorders>
              <w:top w:val="double" w:color="auto" w:sz="4" w:space="0"/>
              <w:left w:val="single" w:color="auto" w:sz="4" w:space="0"/>
              <w:bottom w:val="single" w:color="auto" w:sz="4" w:space="0"/>
              <w:right w:val="single" w:color="000000" w:sz="8" w:space="0"/>
            </w:tcBorders>
            <w:shd w:val="clear" w:color="auto" w:fill="FFFFFF"/>
            <w:noWrap w:val="0"/>
            <w:vAlign w:val="center"/>
          </w:tcPr>
          <w:p w14:paraId="0B33DA2A">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评分细则</w:t>
            </w:r>
          </w:p>
          <w:p w14:paraId="13AE2A8C">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注:评审结束后，合同签订前中标人应配合采购代理机构完成涉及客观分评审内容的证明材料真实性核对，中标人自行准备证明材料（业绩合同、履约情况证明、节能环保证书等）原件。</w:t>
            </w:r>
          </w:p>
        </w:tc>
        <w:tc>
          <w:tcPr>
            <w:tcW w:w="785" w:type="dxa"/>
            <w:tcBorders>
              <w:top w:val="double" w:color="auto" w:sz="4" w:space="0"/>
              <w:left w:val="single" w:color="000000" w:sz="8" w:space="0"/>
              <w:bottom w:val="single" w:color="auto" w:sz="4" w:space="0"/>
              <w:right w:val="double" w:color="auto" w:sz="4" w:space="0"/>
            </w:tcBorders>
            <w:shd w:val="clear" w:color="auto" w:fill="FFFFFF"/>
            <w:noWrap w:val="0"/>
            <w:vAlign w:val="center"/>
          </w:tcPr>
          <w:p w14:paraId="114F0AAB">
            <w:pPr>
              <w:widowControl/>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分值</w:t>
            </w:r>
          </w:p>
        </w:tc>
      </w:tr>
      <w:tr w14:paraId="0B303F9A">
        <w:tblPrEx>
          <w:tblCellMar>
            <w:top w:w="0" w:type="dxa"/>
            <w:left w:w="108" w:type="dxa"/>
            <w:bottom w:w="0" w:type="dxa"/>
            <w:right w:w="108" w:type="dxa"/>
          </w:tblCellMar>
        </w:tblPrEx>
        <w:trPr>
          <w:trHeight w:val="1079"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4E9C2A29">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1</w:t>
            </w:r>
          </w:p>
        </w:tc>
        <w:tc>
          <w:tcPr>
            <w:tcW w:w="1418" w:type="dxa"/>
            <w:tcBorders>
              <w:top w:val="single" w:color="auto" w:sz="4" w:space="0"/>
              <w:left w:val="single" w:color="auto" w:sz="4" w:space="0"/>
              <w:right w:val="single" w:color="auto" w:sz="4" w:space="0"/>
            </w:tcBorders>
            <w:shd w:val="clear" w:color="auto" w:fill="FFFFFF"/>
            <w:noWrap w:val="0"/>
            <w:vAlign w:val="center"/>
          </w:tcPr>
          <w:p w14:paraId="4148C5D6">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类似业绩</w:t>
            </w:r>
          </w:p>
          <w:p w14:paraId="00D5CB44">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（1分）</w:t>
            </w:r>
          </w:p>
        </w:tc>
        <w:tc>
          <w:tcPr>
            <w:tcW w:w="6435" w:type="dxa"/>
            <w:tcBorders>
              <w:top w:val="single" w:color="auto" w:sz="4" w:space="0"/>
              <w:left w:val="single" w:color="auto" w:sz="4" w:space="0"/>
              <w:right w:val="single" w:color="auto" w:sz="4" w:space="0"/>
            </w:tcBorders>
            <w:shd w:val="clear" w:color="auto" w:fill="FFFFFF"/>
            <w:noWrap w:val="0"/>
            <w:vAlign w:val="top"/>
          </w:tcPr>
          <w:p w14:paraId="77FEBFEB">
            <w:pPr>
              <w:snapToGrid w:val="0"/>
              <w:spacing w:line="320" w:lineRule="exact"/>
              <w:rPr>
                <w:rFonts w:ascii="宋体" w:hAnsi="宋体" w:cs="Times New Roman"/>
                <w:b/>
                <w:color w:val="auto"/>
                <w:kern w:val="0"/>
                <w:szCs w:val="21"/>
                <w:highlight w:val="none"/>
              </w:rPr>
            </w:pPr>
            <w:r>
              <w:rPr>
                <w:rFonts w:hint="eastAsia" w:ascii="Times New Roman" w:hAnsi="Times New Roman" w:cs="Times New Roman"/>
                <w:color w:val="auto"/>
                <w:highlight w:val="none"/>
              </w:rPr>
              <w:t>拟派项目负责人自2021年1月1日以来（以合同签订时间为准）以项目经理（或项目负责人）身份完成过类似项目业绩的（类似项目指洁净室、手术室、生物实验室或其他实验室等），得1分。（同时提供施工合同及竣工验收报告复印件</w:t>
            </w:r>
            <w:r>
              <w:rPr>
                <w:rFonts w:hint="eastAsia" w:cs="Times New Roman"/>
                <w:color w:val="auto"/>
                <w:highlight w:val="none"/>
                <w:lang w:eastAsia="zh-CN"/>
              </w:rPr>
              <w:t>，如未能体现评分要素的可提供项目业主证明，上述证明材料中未体现评分要素的不得分</w:t>
            </w:r>
            <w:r>
              <w:rPr>
                <w:rFonts w:hint="eastAsia" w:ascii="Times New Roman" w:hAnsi="Times New Roman" w:cs="Times New Roman"/>
                <w:color w:val="auto"/>
                <w:highlight w:val="none"/>
              </w:rPr>
              <w:t>）。</w:t>
            </w:r>
          </w:p>
        </w:tc>
        <w:tc>
          <w:tcPr>
            <w:tcW w:w="785" w:type="dxa"/>
            <w:tcBorders>
              <w:top w:val="single" w:color="auto" w:sz="4" w:space="0"/>
              <w:left w:val="single" w:color="auto" w:sz="4" w:space="0"/>
              <w:right w:val="double" w:color="auto" w:sz="4" w:space="0"/>
            </w:tcBorders>
            <w:shd w:val="clear" w:color="auto" w:fill="FFFFFF"/>
            <w:noWrap w:val="0"/>
            <w:vAlign w:val="center"/>
          </w:tcPr>
          <w:p w14:paraId="03AF8409">
            <w:pPr>
              <w:snapToGrid w:val="0"/>
              <w:spacing w:line="320" w:lineRule="exact"/>
              <w:jc w:val="center"/>
              <w:rPr>
                <w:rFonts w:hint="eastAsia" w:ascii="宋体" w:hAnsi="宋体" w:cs="Times New Roman"/>
                <w:bCs/>
                <w:color w:val="auto"/>
                <w:kern w:val="0"/>
                <w:szCs w:val="21"/>
                <w:highlight w:val="none"/>
              </w:rPr>
            </w:pPr>
            <w:r>
              <w:rPr>
                <w:rFonts w:hint="eastAsia" w:ascii="宋体" w:hAnsi="宋体" w:cs="Times New Roman"/>
                <w:bCs/>
                <w:color w:val="auto"/>
                <w:kern w:val="0"/>
                <w:szCs w:val="21"/>
                <w:highlight w:val="none"/>
              </w:rPr>
              <w:t>1</w:t>
            </w:r>
          </w:p>
        </w:tc>
      </w:tr>
      <w:tr w14:paraId="1826D2A9">
        <w:tblPrEx>
          <w:tblCellMar>
            <w:top w:w="0" w:type="dxa"/>
            <w:left w:w="108" w:type="dxa"/>
            <w:bottom w:w="0" w:type="dxa"/>
            <w:right w:w="108" w:type="dxa"/>
          </w:tblCellMar>
        </w:tblPrEx>
        <w:trPr>
          <w:trHeight w:val="1396"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57D47B3D">
            <w:pPr>
              <w:snapToGrid w:val="0"/>
              <w:spacing w:line="320" w:lineRule="exact"/>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2</w:t>
            </w:r>
          </w:p>
        </w:tc>
        <w:tc>
          <w:tcPr>
            <w:tcW w:w="1418" w:type="dxa"/>
            <w:tcBorders>
              <w:top w:val="single" w:color="auto" w:sz="4" w:space="0"/>
              <w:left w:val="single" w:color="auto" w:sz="4" w:space="0"/>
              <w:right w:val="single" w:color="auto" w:sz="4" w:space="0"/>
            </w:tcBorders>
            <w:shd w:val="clear" w:color="auto" w:fill="FFFFFF"/>
            <w:noWrap w:val="0"/>
            <w:vAlign w:val="center"/>
          </w:tcPr>
          <w:p w14:paraId="6CC78C1A">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认证体系</w:t>
            </w:r>
          </w:p>
          <w:p w14:paraId="65D6F109">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（3分）</w:t>
            </w:r>
          </w:p>
        </w:tc>
        <w:tc>
          <w:tcPr>
            <w:tcW w:w="6435" w:type="dxa"/>
            <w:tcBorders>
              <w:top w:val="single" w:color="auto" w:sz="4" w:space="0"/>
              <w:left w:val="single" w:color="auto" w:sz="4" w:space="0"/>
              <w:right w:val="single" w:color="auto" w:sz="4" w:space="0"/>
            </w:tcBorders>
            <w:shd w:val="clear" w:color="auto" w:fill="FFFFFF"/>
            <w:noWrap w:val="0"/>
            <w:vAlign w:val="top"/>
          </w:tcPr>
          <w:p w14:paraId="7568D15F">
            <w:pPr>
              <w:snapToGrid w:val="0"/>
              <w:spacing w:line="32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785" w:type="dxa"/>
            <w:tcBorders>
              <w:top w:val="single" w:color="auto" w:sz="4" w:space="0"/>
              <w:left w:val="single" w:color="auto" w:sz="4" w:space="0"/>
              <w:right w:val="double" w:color="auto" w:sz="4" w:space="0"/>
            </w:tcBorders>
            <w:shd w:val="clear" w:color="auto" w:fill="FFFFFF"/>
            <w:noWrap w:val="0"/>
            <w:vAlign w:val="center"/>
          </w:tcPr>
          <w:p w14:paraId="5EC98744">
            <w:pPr>
              <w:snapToGrid w:val="0"/>
              <w:spacing w:line="320" w:lineRule="exact"/>
              <w:jc w:val="center"/>
              <w:rPr>
                <w:rFonts w:ascii="宋体" w:hAnsi="宋体" w:cs="Times New Roman"/>
                <w:bCs/>
                <w:color w:val="auto"/>
                <w:kern w:val="0"/>
                <w:szCs w:val="21"/>
                <w:highlight w:val="none"/>
              </w:rPr>
            </w:pPr>
            <w:r>
              <w:rPr>
                <w:rFonts w:ascii="宋体" w:hAnsi="宋体" w:cs="Times New Roman"/>
                <w:bCs/>
                <w:color w:val="auto"/>
                <w:kern w:val="0"/>
                <w:szCs w:val="21"/>
                <w:highlight w:val="none"/>
              </w:rPr>
              <w:t>3</w:t>
            </w:r>
          </w:p>
        </w:tc>
      </w:tr>
      <w:tr w14:paraId="2BF3BBFA">
        <w:tblPrEx>
          <w:tblCellMar>
            <w:top w:w="0" w:type="dxa"/>
            <w:left w:w="108" w:type="dxa"/>
            <w:bottom w:w="0" w:type="dxa"/>
            <w:right w:w="108" w:type="dxa"/>
          </w:tblCellMar>
        </w:tblPrEx>
        <w:trPr>
          <w:trHeight w:val="270"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noWrap w:val="0"/>
            <w:vAlign w:val="center"/>
          </w:tcPr>
          <w:p w14:paraId="5847C304">
            <w:pPr>
              <w:widowControl/>
              <w:snapToGrid w:val="0"/>
              <w:spacing w:line="320" w:lineRule="exact"/>
              <w:jc w:val="center"/>
              <w:rPr>
                <w:rFonts w:ascii="宋体" w:hAnsi="宋体" w:cs="Times New Roman"/>
                <w:b/>
                <w:color w:val="auto"/>
                <w:kern w:val="0"/>
                <w:szCs w:val="21"/>
                <w:highlight w:val="none"/>
              </w:rPr>
            </w:pPr>
            <w:r>
              <w:rPr>
                <w:rFonts w:ascii="宋体" w:hAnsi="宋体" w:cs="Times New Roman"/>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84F0E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响应程度</w:t>
            </w:r>
          </w:p>
          <w:p w14:paraId="6E629E2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10</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135D8">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全部满足或明显优于磋商文件要求的，得</w:t>
            </w:r>
            <w:r>
              <w:rPr>
                <w:rFonts w:hint="eastAsia" w:ascii="宋体" w:hAnsi="宋体" w:cs="Times New Roman"/>
                <w:color w:val="auto"/>
                <w:kern w:val="0"/>
                <w:szCs w:val="21"/>
                <w:highlight w:val="none"/>
                <w:lang w:val="en-US" w:eastAsia="zh-CN"/>
              </w:rPr>
              <w:t>10</w:t>
            </w:r>
            <w:r>
              <w:rPr>
                <w:rFonts w:hint="eastAsia" w:ascii="宋体" w:hAnsi="宋体" w:cs="Times New Roman"/>
                <w:color w:val="auto"/>
                <w:kern w:val="0"/>
                <w:szCs w:val="21"/>
                <w:highlight w:val="none"/>
              </w:rPr>
              <w:t>分；</w:t>
            </w:r>
          </w:p>
          <w:p w14:paraId="00EE815E">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不符合（负偏离）采购需求中标注“▲”条款（不可偏离）的响应无效；允许偏离的条款低于采购需求（负偏离）的每项扣</w:t>
            </w: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rPr>
              <w:t>分，扣完为止。</w:t>
            </w:r>
            <w:r>
              <w:rPr>
                <w:rFonts w:hint="eastAsia" w:ascii="宋体" w:hAnsi="宋体" w:cs="Times New Roman"/>
                <w:color w:val="auto"/>
                <w:kern w:val="0"/>
                <w:szCs w:val="21"/>
                <w:highlight w:val="none"/>
                <w:lang w:val="en-US" w:eastAsia="zh-CN"/>
              </w:rPr>
              <w:t>以商务技术偏离表为准。</w:t>
            </w:r>
            <w:r>
              <w:rPr>
                <w:rFonts w:hint="eastAsia" w:ascii="宋体" w:hAnsi="宋体" w:cs="Times New Roman"/>
                <w:color w:val="auto"/>
                <w:kern w:val="0"/>
                <w:szCs w:val="21"/>
                <w:highlight w:val="none"/>
              </w:rPr>
              <w:tab/>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1D83ED9">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10</w:t>
            </w:r>
          </w:p>
        </w:tc>
      </w:tr>
      <w:tr w14:paraId="1F73E672">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right w:val="single" w:color="auto" w:sz="4" w:space="0"/>
            </w:tcBorders>
            <w:shd w:val="clear" w:color="auto" w:fill="FFFFFF"/>
            <w:noWrap w:val="0"/>
            <w:vAlign w:val="center"/>
          </w:tcPr>
          <w:p w14:paraId="23CF02C8">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4</w:t>
            </w:r>
          </w:p>
        </w:tc>
        <w:tc>
          <w:tcPr>
            <w:tcW w:w="1418" w:type="dxa"/>
            <w:vMerge w:val="restart"/>
            <w:tcBorders>
              <w:top w:val="single" w:color="auto" w:sz="4" w:space="0"/>
              <w:left w:val="single" w:color="auto" w:sz="4" w:space="0"/>
              <w:right w:val="single" w:color="auto" w:sz="4" w:space="0"/>
            </w:tcBorders>
            <w:shd w:val="clear" w:color="auto" w:fill="FFFFFF"/>
            <w:noWrap w:val="0"/>
            <w:vAlign w:val="center"/>
          </w:tcPr>
          <w:p w14:paraId="12C2BB32">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总体施工</w:t>
            </w:r>
          </w:p>
          <w:p w14:paraId="4831679D">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技术方案</w:t>
            </w:r>
          </w:p>
          <w:p w14:paraId="7BAFA185">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14</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7AC42">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施工总体安排计划、施工场地布置方案的详细性和周密性（包括临时设施及场地安排、施工用水用电、施工便道等）。（分值</w:t>
            </w:r>
            <w:r>
              <w:rPr>
                <w:rFonts w:hint="eastAsia" w:ascii="宋体" w:hAnsi="宋体" w:cs="Courier New"/>
                <w:color w:val="auto"/>
                <w:szCs w:val="20"/>
                <w:highlight w:val="none"/>
                <w:lang w:val="en-US" w:eastAsia="zh-CN"/>
              </w:rPr>
              <w:t>0,</w:t>
            </w:r>
            <w:r>
              <w:rPr>
                <w:rFonts w:hint="eastAsia" w:ascii="宋体" w:hAnsi="宋体" w:cs="Courier New"/>
                <w:color w:val="auto"/>
                <w:szCs w:val="20"/>
                <w:highlight w:val="none"/>
              </w:rPr>
              <w:t>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8B7B196">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4</w:t>
            </w:r>
          </w:p>
        </w:tc>
      </w:tr>
      <w:tr w14:paraId="0FE42B2F">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7C530F07">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51A9A47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A9788">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Courier New"/>
                <w:color w:val="auto"/>
                <w:szCs w:val="20"/>
                <w:highlight w:val="none"/>
              </w:rPr>
              <w:t>项目的重难点分析及解决措施，合理性建议。（分值0,1,2,3）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3459D77">
            <w:pPr>
              <w:tabs>
                <w:tab w:val="left" w:pos="1500"/>
              </w:tabs>
              <w:adjustRightInd w:val="0"/>
              <w:snapToGrid w:val="0"/>
              <w:jc w:val="center"/>
              <w:rPr>
                <w:rFonts w:hint="eastAsia"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3</w:t>
            </w:r>
          </w:p>
        </w:tc>
      </w:tr>
      <w:tr w14:paraId="663E773C">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19080F1B">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BEAB16F">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171A1D">
            <w:pPr>
              <w:tabs>
                <w:tab w:val="left" w:pos="1500"/>
              </w:tabs>
              <w:adjustRightInd w:val="0"/>
              <w:snapToGrid w:val="0"/>
              <w:jc w:val="left"/>
              <w:rPr>
                <w:rFonts w:hint="default" w:ascii="宋体" w:hAnsi="宋体" w:eastAsia="宋体" w:cs="Courier New"/>
                <w:color w:val="auto"/>
                <w:szCs w:val="20"/>
                <w:highlight w:val="none"/>
                <w:lang w:val="en-US" w:eastAsia="zh-CN"/>
              </w:rPr>
            </w:pPr>
            <w:r>
              <w:rPr>
                <w:rFonts w:hint="eastAsia" w:ascii="宋体" w:hAnsi="宋体" w:cs="Courier New"/>
                <w:color w:val="auto"/>
                <w:szCs w:val="20"/>
                <w:highlight w:val="none"/>
                <w:lang w:val="en-US" w:eastAsia="zh-CN"/>
              </w:rPr>
              <w:t>现场成品（设备）的保护，配合其他专业工程（配电、给排水、消防、安防、空调）的组织措施。（分值0,1,2,3,4）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8E2599C">
            <w:pPr>
              <w:tabs>
                <w:tab w:val="left" w:pos="1500"/>
              </w:tabs>
              <w:adjustRightInd w:val="0"/>
              <w:snapToGrid w:val="0"/>
              <w:jc w:val="center"/>
              <w:rPr>
                <w:rFonts w:hint="default" w:ascii="宋体" w:hAnsi="宋体" w:cs="Courier New"/>
                <w:color w:val="auto"/>
                <w:szCs w:val="20"/>
                <w:highlight w:val="none"/>
                <w:lang w:val="en-US" w:eastAsia="zh-CN"/>
              </w:rPr>
            </w:pPr>
            <w:r>
              <w:rPr>
                <w:rFonts w:hint="eastAsia" w:ascii="宋体" w:hAnsi="宋体" w:cs="Courier New"/>
                <w:color w:val="auto"/>
                <w:szCs w:val="20"/>
                <w:highlight w:val="none"/>
                <w:lang w:val="en-US" w:eastAsia="zh-CN"/>
              </w:rPr>
              <w:t>4</w:t>
            </w:r>
          </w:p>
        </w:tc>
      </w:tr>
      <w:tr w14:paraId="20D03895">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096C28F">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201DCA28">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4DA9D">
            <w:pPr>
              <w:tabs>
                <w:tab w:val="left" w:pos="1500"/>
              </w:tabs>
              <w:adjustRightInd w:val="0"/>
              <w:snapToGrid w:val="0"/>
              <w:jc w:val="left"/>
              <w:rPr>
                <w:rFonts w:ascii="宋体" w:hAnsi="宋体" w:cs="Courier New"/>
                <w:color w:val="auto"/>
                <w:szCs w:val="20"/>
                <w:highlight w:val="none"/>
              </w:rPr>
            </w:pPr>
            <w:r>
              <w:rPr>
                <w:rFonts w:hint="eastAsia" w:hAnsi="宋体" w:cs="Courier New"/>
                <w:color w:val="auto"/>
                <w:highlight w:val="none"/>
              </w:rPr>
              <w:t>对项目整体充分了解，</w:t>
            </w:r>
            <w:r>
              <w:rPr>
                <w:rFonts w:hint="eastAsia" w:hAnsi="宋体" w:cs="Courier New"/>
                <w:color w:val="auto"/>
                <w:highlight w:val="none"/>
                <w:lang w:val="en-US" w:eastAsia="zh-CN"/>
              </w:rPr>
              <w:t>与使用用户的交流、</w:t>
            </w:r>
            <w:r>
              <w:rPr>
                <w:rFonts w:hint="eastAsia" w:hAnsi="宋体" w:cs="Courier New"/>
                <w:color w:val="auto"/>
                <w:highlight w:val="none"/>
              </w:rPr>
              <w:t>资源整合及合理利用周边有效措施</w:t>
            </w:r>
            <w:r>
              <w:rPr>
                <w:rFonts w:hint="eastAsia" w:ascii="宋体" w:hAnsi="宋体" w:cs="Courier New"/>
                <w:color w:val="auto"/>
                <w:szCs w:val="20"/>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A2E704C">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2FC20A0F">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6E3E2D46">
            <w:pPr>
              <w:widowControl/>
              <w:snapToGrid w:val="0"/>
              <w:spacing w:line="320" w:lineRule="exact"/>
              <w:jc w:val="center"/>
              <w:rPr>
                <w:rFonts w:ascii="宋体" w:hAnsi="宋体" w:cs="Times New Roman"/>
                <w:color w:val="auto"/>
                <w:kern w:val="0"/>
                <w:szCs w:val="21"/>
                <w:highlight w:val="none"/>
              </w:rPr>
            </w:pPr>
          </w:p>
          <w:p w14:paraId="478FDC31">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5</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B24231">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施工进度计划和保证措施</w:t>
            </w:r>
          </w:p>
          <w:p w14:paraId="765A80EF">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（1</w:t>
            </w:r>
            <w:r>
              <w:rPr>
                <w:rFonts w:hint="eastAsia" w:ascii="宋体" w:hAnsi="宋体" w:cs="Courier New"/>
                <w:color w:val="auto"/>
                <w:szCs w:val="20"/>
                <w:highlight w:val="none"/>
                <w:lang w:val="en-US" w:eastAsia="zh-CN"/>
              </w:rPr>
              <w:t>6</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58158">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确保工程工期及节点工期技术组织措施；赶工期方案措施、材料安排、劳动力安排、技术等方面的具体措施。（分值0,1,2,3）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1B2DCBF3">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6087E956">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noWrap w:val="0"/>
            <w:vAlign w:val="center"/>
          </w:tcPr>
          <w:p w14:paraId="31023219">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left w:val="single" w:color="auto" w:sz="4" w:space="0"/>
              <w:right w:val="single" w:color="auto" w:sz="4" w:space="0"/>
            </w:tcBorders>
            <w:shd w:val="clear" w:color="auto" w:fill="FFFFFF"/>
            <w:noWrap w:val="0"/>
            <w:vAlign w:val="center"/>
          </w:tcPr>
          <w:p w14:paraId="77C5586B">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6FDED7">
            <w:pPr>
              <w:tabs>
                <w:tab w:val="left" w:pos="1500"/>
              </w:tabs>
              <w:adjustRightInd w:val="0"/>
              <w:snapToGrid w:val="0"/>
              <w:jc w:val="left"/>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rPr>
              <w:t>拟派项目团队成员的专业能力及经验是否满足施工要求</w:t>
            </w:r>
            <w:r>
              <w:rPr>
                <w:rFonts w:hint="eastAsia" w:ascii="宋体" w:hAnsi="宋体" w:cs="Courier New"/>
                <w:color w:val="auto"/>
                <w:szCs w:val="20"/>
                <w:highlight w:val="none"/>
                <w:lang w:eastAsia="zh-CN"/>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59F38D67">
            <w:pPr>
              <w:tabs>
                <w:tab w:val="left" w:pos="1500"/>
              </w:tabs>
              <w:adjustRightInd w:val="0"/>
              <w:snapToGrid w:val="0"/>
              <w:jc w:val="center"/>
              <w:rPr>
                <w:rFonts w:hint="eastAsia" w:ascii="宋体" w:hAnsi="宋体" w:cs="Courier New"/>
                <w:color w:val="auto"/>
                <w:szCs w:val="20"/>
                <w:highlight w:val="none"/>
              </w:rPr>
            </w:pPr>
            <w:r>
              <w:rPr>
                <w:rFonts w:hint="eastAsia" w:ascii="宋体" w:hAnsi="宋体" w:cs="Courier New"/>
                <w:color w:val="auto"/>
                <w:szCs w:val="20"/>
                <w:highlight w:val="none"/>
              </w:rPr>
              <w:t>3</w:t>
            </w:r>
          </w:p>
        </w:tc>
      </w:tr>
      <w:tr w14:paraId="0E551B71">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5DAC4591">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1780C3">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32AF7">
            <w:pPr>
              <w:tabs>
                <w:tab w:val="left" w:pos="1500"/>
              </w:tabs>
              <w:adjustRightInd w:val="0"/>
              <w:snapToGrid w:val="0"/>
              <w:jc w:val="left"/>
              <w:rPr>
                <w:rFonts w:ascii="宋体" w:hAnsi="宋体" w:cs="Courier New"/>
                <w:color w:val="auto"/>
                <w:szCs w:val="20"/>
                <w:highlight w:val="none"/>
              </w:rPr>
            </w:pPr>
            <w:r>
              <w:rPr>
                <w:rFonts w:hint="eastAsia" w:ascii="宋体" w:hAnsi="宋体" w:cs="Times New Roman"/>
                <w:color w:val="auto"/>
                <w:szCs w:val="20"/>
                <w:highlight w:val="none"/>
              </w:rPr>
              <w:t>各阶段劳动力安排计划及保证措施。（分值0,1,2,3）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F9FFFC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3</w:t>
            </w:r>
          </w:p>
        </w:tc>
      </w:tr>
      <w:tr w14:paraId="54196750">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E1A2E4A">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340D2F">
            <w:pPr>
              <w:tabs>
                <w:tab w:val="left" w:pos="1500"/>
              </w:tabs>
              <w:adjustRightInd w:val="0"/>
              <w:snapToGrid w:val="0"/>
              <w:jc w:val="center"/>
              <w:rPr>
                <w:rFonts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8303A">
            <w:pPr>
              <w:tabs>
                <w:tab w:val="left" w:pos="1500"/>
              </w:tabs>
              <w:adjustRightInd w:val="0"/>
              <w:snapToGrid w:val="0"/>
              <w:jc w:val="left"/>
              <w:rPr>
                <w:rFonts w:hint="eastAsia" w:ascii="宋体" w:hAnsi="宋体" w:cs="Times New Roman"/>
                <w:color w:val="auto"/>
                <w:szCs w:val="20"/>
                <w:highlight w:val="none"/>
              </w:rPr>
            </w:pPr>
            <w:r>
              <w:rPr>
                <w:rFonts w:hint="eastAsia" w:ascii="宋体" w:hAnsi="宋体" w:cs="Times New Roman"/>
                <w:color w:val="auto"/>
                <w:szCs w:val="20"/>
                <w:highlight w:val="none"/>
              </w:rPr>
              <w:t>关键节点施工工艺或施工方法（如根据现场室内高度进行实验室通风设备安装、实验室家具电线排路、自控系统、气路系统调试等）、关键节点施工保障措施，包括组织措施及技术措施等。（分值0,1,2,3,4）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2426FA0">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602B8ECC">
        <w:tblPrEx>
          <w:tblCellMar>
            <w:top w:w="0" w:type="dxa"/>
            <w:left w:w="108" w:type="dxa"/>
            <w:bottom w:w="0" w:type="dxa"/>
            <w:right w:w="108" w:type="dxa"/>
          </w:tblCellMar>
        </w:tblPrEx>
        <w:trPr>
          <w:trHeight w:val="551"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37FFD4B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C3D09">
            <w:pPr>
              <w:tabs>
                <w:tab w:val="left" w:pos="1500"/>
              </w:tabs>
              <w:adjustRightInd w:val="0"/>
              <w:snapToGrid w:val="0"/>
              <w:jc w:val="center"/>
              <w:rPr>
                <w:rFonts w:ascii="宋体" w:hAnsi="宋体" w:cs="Courier New"/>
                <w:b/>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5E96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拟投入的主要施工机械设备情况和主要施工机械进场计划的满足性和合理性。（分值0,1,2,3）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E34A789">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highlight w:val="none"/>
                <w:lang w:val="en-US" w:eastAsia="zh-CN"/>
              </w:rPr>
              <w:t>3</w:t>
            </w:r>
          </w:p>
        </w:tc>
      </w:tr>
      <w:tr w14:paraId="6A295973">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0877AD6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6</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7D6073">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工程质量</w:t>
            </w:r>
          </w:p>
          <w:p w14:paraId="3929C217">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保证措施</w:t>
            </w:r>
          </w:p>
          <w:p w14:paraId="3AF9FED0">
            <w:pPr>
              <w:tabs>
                <w:tab w:val="left" w:pos="1500"/>
              </w:tabs>
              <w:adjustRightInd w:val="0"/>
              <w:snapToGrid w:val="0"/>
              <w:jc w:val="center"/>
              <w:rPr>
                <w:rFonts w:ascii="宋体" w:hAnsi="宋体" w:cs="Courier New"/>
                <w:b/>
                <w:color w:val="auto"/>
                <w:szCs w:val="20"/>
                <w:highlight w:val="none"/>
              </w:rPr>
            </w:pPr>
            <w:r>
              <w:rPr>
                <w:rFonts w:hint="eastAsia" w:ascii="宋体" w:hAnsi="宋体" w:cs="Courier New"/>
                <w:color w:val="auto"/>
                <w:szCs w:val="20"/>
                <w:highlight w:val="none"/>
              </w:rPr>
              <w:t>（</w:t>
            </w:r>
            <w:r>
              <w:rPr>
                <w:rFonts w:hint="eastAsia" w:ascii="宋体" w:hAnsi="宋体" w:cs="Courier New"/>
                <w:color w:val="auto"/>
                <w:szCs w:val="20"/>
                <w:highlight w:val="none"/>
                <w:lang w:val="en-US" w:eastAsia="zh-CN"/>
              </w:rPr>
              <w:t>12</w:t>
            </w:r>
            <w:r>
              <w:rPr>
                <w:rFonts w:hint="eastAsia" w:ascii="宋体" w:hAnsi="宋体" w:cs="Courier New"/>
                <w:color w:val="auto"/>
                <w:szCs w:val="20"/>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6C68D">
            <w:pPr>
              <w:tabs>
                <w:tab w:val="left" w:pos="1500"/>
              </w:tabs>
              <w:adjustRightInd w:val="0"/>
              <w:snapToGrid w:val="0"/>
              <w:jc w:val="left"/>
              <w:rPr>
                <w:rFonts w:ascii="宋体" w:hAnsi="宋体" w:cs="Courier New"/>
                <w:color w:val="auto"/>
                <w:szCs w:val="20"/>
                <w:highlight w:val="none"/>
              </w:rPr>
            </w:pPr>
            <w:r>
              <w:rPr>
                <w:rFonts w:hint="eastAsia" w:ascii="宋体" w:hAnsi="宋体" w:cs="Courier New"/>
                <w:color w:val="auto"/>
                <w:szCs w:val="20"/>
                <w:highlight w:val="none"/>
              </w:rPr>
              <w:t>所用设备（材料）品牌选用优劣。（分值0,1,2,3,4）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079BB541">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Courier New"/>
                <w:color w:val="auto"/>
                <w:szCs w:val="20"/>
                <w:highlight w:val="none"/>
                <w:lang w:val="en-US" w:eastAsia="zh-CN"/>
              </w:rPr>
              <w:t>4</w:t>
            </w:r>
          </w:p>
        </w:tc>
      </w:tr>
      <w:tr w14:paraId="291CE5E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0138F80D">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71AA77">
            <w:pPr>
              <w:tabs>
                <w:tab w:val="left" w:pos="1500"/>
              </w:tabs>
              <w:adjustRightInd w:val="0"/>
              <w:snapToGrid w:val="0"/>
              <w:jc w:val="center"/>
              <w:rPr>
                <w:rFonts w:hint="eastAsia" w:ascii="宋体" w:hAnsi="宋体" w:cs="Courier New"/>
                <w:color w:val="auto"/>
                <w:szCs w:val="20"/>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9FCDB">
            <w:pPr>
              <w:tabs>
                <w:tab w:val="left" w:pos="1500"/>
              </w:tabs>
              <w:adjustRightInd w:val="0"/>
              <w:snapToGrid w:val="0"/>
              <w:jc w:val="left"/>
              <w:rPr>
                <w:rFonts w:hint="eastAsia" w:ascii="宋体" w:hAnsi="宋体" w:cs="Courier New"/>
                <w:color w:val="auto"/>
                <w:szCs w:val="20"/>
                <w:highlight w:val="none"/>
              </w:rPr>
            </w:pPr>
            <w:r>
              <w:rPr>
                <w:rFonts w:hint="eastAsia" w:ascii="宋体" w:hAnsi="宋体" w:cs="Times New Roman"/>
                <w:color w:val="auto"/>
                <w:szCs w:val="21"/>
                <w:highlight w:val="none"/>
              </w:rPr>
              <w:t>质量管理体系和保障措施，主要工序质量技术保证措施及手段，自控体系完整，能有效保证技术质量，达到承诺的质量标准。严禁使用（利旧）其他工程的材料的相关承诺及措施。（分值0,1,2,3,4）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456A065D">
            <w:pPr>
              <w:tabs>
                <w:tab w:val="left" w:pos="1500"/>
              </w:tabs>
              <w:adjustRightInd w:val="0"/>
              <w:snapToGrid w:val="0"/>
              <w:jc w:val="center"/>
              <w:rPr>
                <w:rFonts w:hint="eastAsia" w:ascii="宋体" w:hAnsi="宋体" w:eastAsia="宋体" w:cs="Courier New"/>
                <w:color w:val="auto"/>
                <w:szCs w:val="20"/>
                <w:highlight w:val="none"/>
                <w:lang w:eastAsia="zh-CN"/>
              </w:rPr>
            </w:pPr>
            <w:r>
              <w:rPr>
                <w:rFonts w:hint="eastAsia" w:ascii="宋体" w:hAnsi="宋体" w:cs="Times New Roman"/>
                <w:color w:val="auto"/>
                <w:kern w:val="0"/>
                <w:szCs w:val="21"/>
                <w:highlight w:val="none"/>
                <w:lang w:val="en-US" w:eastAsia="zh-CN"/>
              </w:rPr>
              <w:t>4</w:t>
            </w:r>
          </w:p>
        </w:tc>
      </w:tr>
      <w:tr w14:paraId="33FD6D8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73A0BB54">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9DF61">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CCE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质量管理重点环节实施方案：原材料进场检测、原材料存储管理、中间环节检验、防水检测、联合检测及竣工验收是否完善。（分值0,1,2,3,4）</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C658430">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4</w:t>
            </w:r>
          </w:p>
        </w:tc>
      </w:tr>
      <w:tr w14:paraId="6B406778">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noWrap w:val="0"/>
            <w:vAlign w:val="center"/>
          </w:tcPr>
          <w:p w14:paraId="79D835C1">
            <w:pPr>
              <w:widowControl/>
              <w:snapToGrid w:val="0"/>
              <w:spacing w:line="320" w:lineRule="exact"/>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7</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C1CB2">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安全保证体系及安全文明施工措施要点</w:t>
            </w:r>
          </w:p>
          <w:p w14:paraId="488D3DB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9</w:t>
            </w:r>
            <w:r>
              <w:rPr>
                <w:rFonts w:hint="eastAsia" w:ascii="Times New Roman" w:hAnsi="宋体" w:cs="Times New Roman"/>
                <w:color w:val="auto"/>
                <w:szCs w:val="21"/>
                <w:highlight w:val="none"/>
              </w:rPr>
              <w:t>分</w:t>
            </w:r>
            <w:r>
              <w:rPr>
                <w:rFonts w:hint="eastAsia" w:ascii="宋体" w:hAnsi="宋体" w:cs="Times New Roman"/>
                <w:color w:val="auto"/>
                <w:kern w:val="0"/>
                <w:szCs w:val="21"/>
                <w:highlight w:val="none"/>
              </w:rPr>
              <w:t>）</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DAB95">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现场安全管理体系、安全施工措施、文明施工措施。（分值0,1,2,3）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212A2B7F">
            <w:pPr>
              <w:widowControl/>
              <w:snapToGrid w:val="0"/>
              <w:spacing w:line="320" w:lineRule="exact"/>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3</w:t>
            </w:r>
          </w:p>
        </w:tc>
      </w:tr>
      <w:tr w14:paraId="4BE7A719">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402D47CC">
            <w:pPr>
              <w:widowControl/>
              <w:snapToGrid w:val="0"/>
              <w:spacing w:line="320" w:lineRule="exact"/>
              <w:jc w:val="center"/>
              <w:rPr>
                <w:rFonts w:ascii="宋体" w:hAnsi="宋体" w:cs="Times New Roman"/>
                <w:color w:val="auto"/>
                <w:kern w:val="0"/>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394B34">
            <w:pPr>
              <w:widowControl/>
              <w:snapToGrid w:val="0"/>
              <w:spacing w:line="320" w:lineRule="exact"/>
              <w:jc w:val="center"/>
              <w:rPr>
                <w:rFonts w:ascii="宋体" w:hAnsi="宋体" w:cs="Times New Roman"/>
                <w:color w:val="auto"/>
                <w:kern w:val="0"/>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B9C6A">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环境保护、噪音控制</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学校教学错峰</w:t>
            </w:r>
            <w:r>
              <w:rPr>
                <w:rFonts w:hint="eastAsia" w:ascii="宋体" w:hAnsi="宋体" w:cs="Times New Roman"/>
                <w:color w:val="auto"/>
                <w:kern w:val="0"/>
                <w:szCs w:val="21"/>
                <w:highlight w:val="none"/>
              </w:rPr>
              <w:t>措施</w:t>
            </w:r>
            <w:r>
              <w:rPr>
                <w:rFonts w:hint="eastAsia" w:ascii="宋体" w:hAnsi="宋体" w:cs="Times New Roman"/>
                <w:color w:val="auto"/>
                <w:kern w:val="0"/>
                <w:szCs w:val="21"/>
                <w:highlight w:val="none"/>
                <w:lang w:val="en-US" w:eastAsia="zh-CN"/>
              </w:rPr>
              <w:t>等</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60632AE7">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7D82700">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noWrap w:val="0"/>
            <w:vAlign w:val="center"/>
          </w:tcPr>
          <w:p w14:paraId="2FAF8096">
            <w:pPr>
              <w:widowControl/>
              <w:snapToGrid w:val="0"/>
              <w:spacing w:line="320" w:lineRule="exact"/>
              <w:jc w:val="left"/>
              <w:rPr>
                <w:rFonts w:ascii="宋体" w:hAnsi="宋体" w:cs="Times New Roman"/>
                <w:color w:val="auto"/>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9B68E">
            <w:pPr>
              <w:widowControl/>
              <w:snapToGrid w:val="0"/>
              <w:spacing w:line="320" w:lineRule="exact"/>
              <w:jc w:val="center"/>
              <w:rPr>
                <w:rFonts w:ascii="宋体" w:hAnsi="宋体" w:cs="Times New Roman"/>
                <w:color w:val="auto"/>
                <w:szCs w:val="21"/>
                <w:highlight w:val="none"/>
              </w:rPr>
            </w:pP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46F588">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项目重大风险源（人身安全、</w:t>
            </w:r>
            <w:r>
              <w:rPr>
                <w:rFonts w:hint="eastAsia" w:ascii="宋体" w:hAnsi="宋体" w:cs="Times New Roman"/>
                <w:color w:val="auto"/>
                <w:kern w:val="0"/>
                <w:szCs w:val="21"/>
                <w:highlight w:val="none"/>
                <w:lang w:val="en-US" w:eastAsia="zh-CN"/>
              </w:rPr>
              <w:t>防台、</w:t>
            </w:r>
            <w:r>
              <w:rPr>
                <w:rFonts w:hint="eastAsia" w:ascii="宋体" w:hAnsi="宋体" w:cs="Times New Roman"/>
                <w:color w:val="auto"/>
                <w:kern w:val="0"/>
                <w:szCs w:val="21"/>
                <w:highlight w:val="none"/>
              </w:rPr>
              <w:t>火灾预防）识别及预防措施，安全生产事故（人身安全、火灾预防）应急处理预案。（分值0,1,2,3）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E60D408">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7B1A9376">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right w:val="single" w:color="auto" w:sz="4" w:space="0"/>
            </w:tcBorders>
            <w:shd w:val="clear" w:color="auto" w:fill="FFFFFF"/>
            <w:noWrap w:val="0"/>
            <w:vAlign w:val="center"/>
          </w:tcPr>
          <w:p w14:paraId="1152C1CD">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8</w:t>
            </w:r>
          </w:p>
        </w:tc>
        <w:tc>
          <w:tcPr>
            <w:tcW w:w="1418" w:type="dxa"/>
            <w:tcBorders>
              <w:top w:val="single" w:color="auto" w:sz="4" w:space="0"/>
              <w:left w:val="single" w:color="auto" w:sz="4" w:space="0"/>
              <w:right w:val="single" w:color="auto" w:sz="4" w:space="0"/>
            </w:tcBorders>
            <w:shd w:val="clear" w:color="auto" w:fill="FFFFFF"/>
            <w:noWrap w:val="0"/>
            <w:vAlign w:val="center"/>
          </w:tcPr>
          <w:p w14:paraId="0A9B1329">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保修措施</w:t>
            </w:r>
            <w:r>
              <w:rPr>
                <w:rFonts w:hint="eastAsia" w:ascii="宋体" w:hAnsi="宋体" w:cs="Times New Roman"/>
                <w:color w:val="auto"/>
                <w:kern w:val="0"/>
                <w:szCs w:val="21"/>
                <w:highlight w:val="none"/>
              </w:rPr>
              <w:t>（</w:t>
            </w:r>
            <w:r>
              <w:rPr>
                <w:rFonts w:hint="eastAsia" w:ascii="宋体" w:hAnsi="宋体" w:cs="Times New Roman"/>
                <w:color w:val="auto"/>
                <w:kern w:val="0"/>
                <w:szCs w:val="21"/>
                <w:highlight w:val="none"/>
                <w:lang w:val="en-US" w:eastAsia="zh-CN"/>
              </w:rPr>
              <w:t>3</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025251">
            <w:pPr>
              <w:widowControl/>
              <w:snapToGrid w:val="0"/>
              <w:spacing w:line="320" w:lineRule="exact"/>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工程竣工后的保修服务的承诺和保证措施</w:t>
            </w:r>
            <w:r>
              <w:rPr>
                <w:rFonts w:hint="eastAsia" w:ascii="宋体" w:hAnsi="宋体" w:cs="Times New Roman"/>
                <w:color w:val="auto"/>
                <w:kern w:val="0"/>
                <w:szCs w:val="21"/>
                <w:highlight w:val="none"/>
              </w:rPr>
              <w:t>。（分值0,1,2,3）</w:t>
            </w:r>
          </w:p>
        </w:tc>
        <w:tc>
          <w:tcPr>
            <w:tcW w:w="78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14:paraId="3C4697CD">
            <w:pPr>
              <w:widowControl/>
              <w:snapToGrid w:val="0"/>
              <w:spacing w:line="320" w:lineRule="exact"/>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3</w:t>
            </w:r>
          </w:p>
        </w:tc>
      </w:tr>
      <w:tr w14:paraId="02BA9E18">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bottom w:val="single" w:color="000000" w:sz="8" w:space="0"/>
              <w:right w:val="single" w:color="auto" w:sz="4" w:space="0"/>
            </w:tcBorders>
            <w:shd w:val="clear" w:color="auto" w:fill="FFFFFF"/>
            <w:noWrap w:val="0"/>
            <w:vAlign w:val="center"/>
          </w:tcPr>
          <w:p w14:paraId="3ABCE35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9</w:t>
            </w:r>
          </w:p>
        </w:tc>
        <w:tc>
          <w:tcPr>
            <w:tcW w:w="1418"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2ED65E97">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政策响应</w:t>
            </w:r>
          </w:p>
          <w:p w14:paraId="35C7A991">
            <w:pPr>
              <w:widowControl/>
              <w:snapToGrid w:val="0"/>
              <w:spacing w:line="320" w:lineRule="exact"/>
              <w:jc w:val="center"/>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w:t>
            </w:r>
            <w:r>
              <w:rPr>
                <w:rFonts w:hint="eastAsia" w:ascii="宋体" w:hAnsi="宋体" w:cs="Times New Roman"/>
                <w:color w:val="auto"/>
                <w:kern w:val="0"/>
                <w:szCs w:val="21"/>
                <w:highlight w:val="none"/>
              </w:rPr>
              <w:t>分）</w:t>
            </w:r>
          </w:p>
        </w:tc>
        <w:tc>
          <w:tcPr>
            <w:tcW w:w="6435" w:type="dxa"/>
            <w:tcBorders>
              <w:top w:val="single" w:color="auto" w:sz="4" w:space="0"/>
              <w:left w:val="single" w:color="auto" w:sz="4" w:space="0"/>
              <w:bottom w:val="single" w:color="000000" w:sz="8" w:space="0"/>
              <w:right w:val="single" w:color="auto" w:sz="4" w:space="0"/>
            </w:tcBorders>
            <w:shd w:val="clear" w:color="auto" w:fill="FFFFFF"/>
            <w:noWrap w:val="0"/>
            <w:vAlign w:val="center"/>
          </w:tcPr>
          <w:p w14:paraId="1F189D4E">
            <w:pPr>
              <w:widowControl/>
              <w:snapToGrid w:val="0"/>
              <w:jc w:val="left"/>
              <w:rPr>
                <w:rStyle w:val="299"/>
                <w:rFonts w:hint="default" w:ascii="Times New Roman" w:hAnsi="Times New Roman" w:cs="Times New Roman"/>
                <w:color w:val="auto"/>
                <w:highlight w:val="none"/>
                <w:lang w:bidi="ar"/>
              </w:rPr>
            </w:pPr>
            <w:r>
              <w:rPr>
                <w:rFonts w:hint="eastAsia" w:ascii="宋体" w:hAnsi="宋体" w:cs="宋体"/>
                <w:color w:val="auto"/>
                <w:kern w:val="0"/>
                <w:szCs w:val="21"/>
                <w:highlight w:val="none"/>
                <w:lang w:bidi="ar"/>
              </w:rPr>
              <w:t>（1）选用的主要材料（设备）取得有效的节能产品认证证书的得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 xml:space="preserve">分（列入强制采购节能产品清单目录的产品不计分）； </w:t>
            </w:r>
            <w:r>
              <w:rPr>
                <w:rFonts w:hint="eastAsia" w:ascii="宋体" w:hAnsi="宋体" w:cs="宋体"/>
                <w:color w:val="auto"/>
                <w:kern w:val="0"/>
                <w:szCs w:val="21"/>
                <w:highlight w:val="none"/>
                <w:lang w:bidi="ar"/>
              </w:rPr>
              <w:cr/>
            </w:r>
            <w:r>
              <w:rPr>
                <w:rFonts w:hint="eastAsia" w:ascii="宋体" w:hAnsi="宋体" w:cs="宋体"/>
                <w:color w:val="auto"/>
                <w:kern w:val="0"/>
                <w:szCs w:val="21"/>
                <w:highlight w:val="none"/>
                <w:lang w:bidi="ar"/>
              </w:rPr>
              <w:t>（2）选用的主要材料（设备）取得有效的环境标志产品认证证书的得</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分。</w:t>
            </w:r>
          </w:p>
          <w:p w14:paraId="53912697">
            <w:pPr>
              <w:widowControl/>
              <w:snapToGrid w:val="0"/>
              <w:spacing w:line="320" w:lineRule="exact"/>
              <w:jc w:val="left"/>
              <w:rPr>
                <w:rFonts w:ascii="宋体" w:hAnsi="宋体" w:cs="Times New Roman"/>
                <w:color w:val="auto"/>
                <w:kern w:val="0"/>
                <w:szCs w:val="21"/>
                <w:highlight w:val="none"/>
              </w:rPr>
            </w:pPr>
            <w:r>
              <w:rPr>
                <w:rStyle w:val="299"/>
                <w:rFonts w:hint="default"/>
                <w:color w:val="auto"/>
                <w:highlight w:val="none"/>
              </w:rPr>
              <w:t>证明材料：提供国家确定的认证机构出具的、处于有效期之内的认证证书复印件加盖公章。</w:t>
            </w:r>
          </w:p>
        </w:tc>
        <w:tc>
          <w:tcPr>
            <w:tcW w:w="785" w:type="dxa"/>
            <w:tcBorders>
              <w:top w:val="single" w:color="auto" w:sz="4" w:space="0"/>
              <w:left w:val="single" w:color="auto" w:sz="4" w:space="0"/>
              <w:bottom w:val="single" w:color="000000" w:sz="8" w:space="0"/>
              <w:right w:val="double" w:color="auto" w:sz="4" w:space="0"/>
            </w:tcBorders>
            <w:shd w:val="clear" w:color="auto" w:fill="FFFFFF"/>
            <w:noWrap w:val="0"/>
            <w:vAlign w:val="center"/>
          </w:tcPr>
          <w:p w14:paraId="6B47845A">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2</w:t>
            </w:r>
          </w:p>
        </w:tc>
      </w:tr>
      <w:tr w14:paraId="5B616F3A">
        <w:tblPrEx>
          <w:tblCellMar>
            <w:top w:w="0" w:type="dxa"/>
            <w:left w:w="108" w:type="dxa"/>
            <w:bottom w:w="0" w:type="dxa"/>
            <w:right w:w="108" w:type="dxa"/>
          </w:tblCellMar>
        </w:tblPrEx>
        <w:trPr>
          <w:trHeight w:val="447" w:hRule="atLeast"/>
          <w:jc w:val="center"/>
        </w:trPr>
        <w:tc>
          <w:tcPr>
            <w:tcW w:w="704" w:type="dxa"/>
            <w:tcBorders>
              <w:top w:val="single" w:color="000000" w:sz="8" w:space="0"/>
              <w:left w:val="double" w:color="auto" w:sz="4" w:space="0"/>
              <w:bottom w:val="double" w:color="auto" w:sz="4" w:space="0"/>
              <w:right w:val="single" w:color="000000" w:sz="8" w:space="0"/>
            </w:tcBorders>
            <w:shd w:val="clear" w:color="auto" w:fill="FFFFFF"/>
            <w:noWrap w:val="0"/>
            <w:vAlign w:val="center"/>
          </w:tcPr>
          <w:p w14:paraId="4F413B02">
            <w:pPr>
              <w:widowControl/>
              <w:snapToGrid w:val="0"/>
              <w:spacing w:line="32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10</w:t>
            </w:r>
          </w:p>
        </w:tc>
        <w:tc>
          <w:tcPr>
            <w:tcW w:w="7853" w:type="dxa"/>
            <w:gridSpan w:val="2"/>
            <w:tcBorders>
              <w:top w:val="single" w:color="000000" w:sz="8" w:space="0"/>
              <w:left w:val="single" w:color="000000" w:sz="8" w:space="0"/>
              <w:bottom w:val="double" w:color="auto" w:sz="4" w:space="0"/>
              <w:right w:val="single" w:color="auto" w:sz="4" w:space="0"/>
            </w:tcBorders>
            <w:shd w:val="clear" w:color="auto" w:fill="FFFFFF"/>
            <w:noWrap w:val="0"/>
            <w:vAlign w:val="center"/>
          </w:tcPr>
          <w:p w14:paraId="16924971">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合    计</w:t>
            </w:r>
          </w:p>
        </w:tc>
        <w:tc>
          <w:tcPr>
            <w:tcW w:w="785" w:type="dxa"/>
            <w:tcBorders>
              <w:top w:val="single" w:color="000000" w:sz="8" w:space="0"/>
              <w:left w:val="single" w:color="auto" w:sz="4" w:space="0"/>
              <w:bottom w:val="double" w:color="auto" w:sz="4" w:space="0"/>
              <w:right w:val="double" w:color="auto" w:sz="4" w:space="0"/>
            </w:tcBorders>
            <w:shd w:val="clear" w:color="auto" w:fill="FFFFFF"/>
            <w:noWrap w:val="0"/>
            <w:vAlign w:val="center"/>
          </w:tcPr>
          <w:p w14:paraId="09A44A05">
            <w:pPr>
              <w:snapToGrid w:val="0"/>
              <w:spacing w:line="320" w:lineRule="exact"/>
              <w:jc w:val="center"/>
              <w:rPr>
                <w:rFonts w:ascii="宋体" w:hAnsi="宋体" w:cs="Times New Roman"/>
                <w:b/>
                <w:color w:val="auto"/>
                <w:kern w:val="0"/>
                <w:szCs w:val="21"/>
                <w:highlight w:val="none"/>
              </w:rPr>
            </w:pPr>
            <w:r>
              <w:rPr>
                <w:rFonts w:hint="eastAsia" w:ascii="宋体" w:hAnsi="宋体" w:cs="Times New Roman"/>
                <w:b/>
                <w:color w:val="auto"/>
                <w:kern w:val="0"/>
                <w:szCs w:val="21"/>
                <w:highlight w:val="none"/>
              </w:rPr>
              <w:t>7</w:t>
            </w:r>
            <w:r>
              <w:rPr>
                <w:rFonts w:ascii="宋体" w:hAnsi="宋体" w:cs="Times New Roman"/>
                <w:b/>
                <w:color w:val="auto"/>
                <w:kern w:val="0"/>
                <w:szCs w:val="21"/>
                <w:highlight w:val="none"/>
              </w:rPr>
              <w:t>0</w:t>
            </w:r>
            <w:r>
              <w:rPr>
                <w:rFonts w:hint="eastAsia" w:ascii="宋体" w:hAnsi="宋体" w:cs="Times New Roman"/>
                <w:b/>
                <w:color w:val="auto"/>
                <w:kern w:val="0"/>
                <w:szCs w:val="21"/>
                <w:highlight w:val="none"/>
              </w:rPr>
              <w:t>分</w:t>
            </w:r>
          </w:p>
        </w:tc>
      </w:tr>
    </w:tbl>
    <w:p w14:paraId="367DCBD6">
      <w:pPr>
        <w:autoSpaceDN w:val="0"/>
        <w:rPr>
          <w:rFonts w:hint="eastAsia" w:ascii="宋体" w:hAnsi="宋体" w:eastAsia="宋体" w:cs="宋体"/>
          <w:b/>
          <w:sz w:val="24"/>
          <w:highlight w:val="none"/>
        </w:rPr>
      </w:pPr>
    </w:p>
    <w:p w14:paraId="26FAA032">
      <w:pPr>
        <w:autoSpaceDN w:val="0"/>
        <w:rPr>
          <w:rFonts w:hint="eastAsia" w:ascii="宋体" w:hAnsi="宋体" w:eastAsia="宋体" w:cs="宋体"/>
          <w:sz w:val="21"/>
          <w:szCs w:val="21"/>
          <w:highlight w:val="none"/>
        </w:rPr>
      </w:pPr>
      <w:r>
        <w:rPr>
          <w:rFonts w:hint="eastAsia" w:ascii="宋体" w:hAnsi="宋体" w:eastAsia="宋体" w:cs="宋体"/>
          <w:b/>
          <w:sz w:val="21"/>
          <w:szCs w:val="21"/>
          <w:highlight w:val="none"/>
        </w:rPr>
        <w:t>备注：商务技术分=（磋商小组所有成员评分合计数）/（磋商小组人数）</w:t>
      </w:r>
    </w:p>
    <w:p w14:paraId="14CEABDE">
      <w:pPr>
        <w:keepNext/>
        <w:keepLines/>
        <w:autoSpaceDN w:val="0"/>
        <w:spacing w:before="72" w:beforeLines="30" w:after="72" w:afterLines="30" w:line="360" w:lineRule="auto"/>
        <w:ind w:firstLine="422" w:firstLineChars="200"/>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3.2 报价分（</w:t>
      </w: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rPr>
        <w:t>0分）</w:t>
      </w:r>
    </w:p>
    <w:p w14:paraId="18F39B83">
      <w:pPr>
        <w:autoSpaceDN w:val="0"/>
        <w:spacing w:line="360" w:lineRule="auto"/>
        <w:ind w:firstLine="403" w:firstLineChars="19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3.2.1最后报价的合理性：分析最后报价是否合理，最后报价范围是否完整，有否重大错漏项。</w:t>
      </w:r>
    </w:p>
    <w:p w14:paraId="21523A1E">
      <w:pPr>
        <w:autoSpaceDN w:val="0"/>
        <w:spacing w:line="360" w:lineRule="auto"/>
        <w:ind w:firstLine="403" w:firstLineChars="19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3.2.2磋商报价分计算方法：</w:t>
      </w:r>
      <w:r>
        <w:rPr>
          <w:rFonts w:hint="eastAsia" w:ascii="宋体" w:hAnsi="宋体" w:eastAsia="宋体" w:cs="宋体"/>
          <w:b/>
          <w:color w:val="000000"/>
          <w:sz w:val="21"/>
          <w:szCs w:val="21"/>
          <w:highlight w:val="none"/>
        </w:rPr>
        <w:t>满足《磋商文件》要求且最后报价最低的有效供应商的最后报价为磋商基准价，其价格分为</w:t>
      </w:r>
      <w:r>
        <w:rPr>
          <w:rFonts w:hint="eastAsia" w:ascii="宋体" w:hAnsi="宋体" w:cs="宋体"/>
          <w:b/>
          <w:color w:val="000000"/>
          <w:sz w:val="21"/>
          <w:szCs w:val="21"/>
          <w:highlight w:val="none"/>
          <w:lang w:val="en-US" w:eastAsia="zh-CN"/>
        </w:rPr>
        <w:t>3</w:t>
      </w:r>
      <w:r>
        <w:rPr>
          <w:rFonts w:hint="eastAsia" w:ascii="宋体" w:hAnsi="宋体" w:eastAsia="宋体" w:cs="宋体"/>
          <w:b/>
          <w:color w:val="000000"/>
          <w:sz w:val="21"/>
          <w:szCs w:val="21"/>
          <w:highlight w:val="none"/>
        </w:rPr>
        <w:t>0分（即价格权值为</w:t>
      </w:r>
      <w:r>
        <w:rPr>
          <w:rFonts w:hint="eastAsia" w:ascii="宋体" w:hAnsi="宋体" w:cs="宋体"/>
          <w:b/>
          <w:color w:val="000000"/>
          <w:sz w:val="21"/>
          <w:szCs w:val="21"/>
          <w:highlight w:val="none"/>
          <w:lang w:val="en-US" w:eastAsia="zh-CN"/>
        </w:rPr>
        <w:t>3</w:t>
      </w:r>
      <w:r>
        <w:rPr>
          <w:rFonts w:hint="eastAsia" w:ascii="宋体" w:hAnsi="宋体" w:eastAsia="宋体" w:cs="宋体"/>
          <w:b/>
          <w:color w:val="000000"/>
          <w:sz w:val="21"/>
          <w:szCs w:val="21"/>
          <w:highlight w:val="none"/>
        </w:rPr>
        <w:t>0%）。</w:t>
      </w:r>
      <w:r>
        <w:rPr>
          <w:rFonts w:hint="eastAsia" w:ascii="宋体" w:hAnsi="宋体" w:eastAsia="宋体" w:cs="宋体"/>
          <w:color w:val="000000"/>
          <w:sz w:val="21"/>
          <w:szCs w:val="21"/>
          <w:highlight w:val="none"/>
        </w:rPr>
        <w:t>其他磋商响应供应商的价格分统一按照下列公式计算（精确到小数点后二位）：</w:t>
      </w:r>
    </w:p>
    <w:p w14:paraId="00B2A8E3">
      <w:pPr>
        <w:autoSpaceDN w:val="0"/>
        <w:spacing w:line="360" w:lineRule="auto"/>
        <w:ind w:firstLine="405" w:firstLineChars="192"/>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报价分=（磋商基准价／最后报价）×</w:t>
      </w:r>
      <w:r>
        <w:rPr>
          <w:rFonts w:hint="eastAsia" w:ascii="宋体" w:hAnsi="宋体" w:cs="宋体"/>
          <w:b/>
          <w:color w:val="000000"/>
          <w:kern w:val="0"/>
          <w:sz w:val="21"/>
          <w:szCs w:val="21"/>
          <w:highlight w:val="none"/>
          <w:lang w:val="en-US" w:eastAsia="zh-CN"/>
        </w:rPr>
        <w:t>3</w:t>
      </w:r>
      <w:r>
        <w:rPr>
          <w:rFonts w:hint="eastAsia" w:ascii="宋体" w:hAnsi="宋体" w:eastAsia="宋体" w:cs="宋体"/>
          <w:b/>
          <w:color w:val="000000"/>
          <w:kern w:val="0"/>
          <w:sz w:val="21"/>
          <w:szCs w:val="21"/>
          <w:highlight w:val="none"/>
        </w:rPr>
        <w:t>0%×100</w:t>
      </w:r>
    </w:p>
    <w:p w14:paraId="106BA296">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3.2.3</w:t>
      </w:r>
      <w:r>
        <w:rPr>
          <w:rFonts w:hint="eastAsia" w:ascii="宋体" w:hAnsi="宋体" w:eastAsia="宋体" w:cs="宋体"/>
          <w:b/>
          <w:color w:val="000000"/>
          <w:kern w:val="0"/>
          <w:sz w:val="21"/>
          <w:szCs w:val="21"/>
          <w:highlight w:val="none"/>
        </w:rPr>
        <w:t>重要提示：</w:t>
      </w:r>
    </w:p>
    <w:p w14:paraId="451AFB41">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w:t>
      </w:r>
      <w:r>
        <w:rPr>
          <w:rFonts w:hint="eastAsia" w:ascii="宋体" w:hAnsi="宋体" w:eastAsia="宋体" w:cs="宋体"/>
          <w:b/>
          <w:color w:val="000000"/>
          <w:kern w:val="0"/>
          <w:sz w:val="21"/>
          <w:szCs w:val="21"/>
          <w:highlight w:val="none"/>
          <w:u w:val="single"/>
        </w:rPr>
        <w:t>本项目专门面向中小企业采购，小型、微型、监狱及残疾人福利性企业评审价格不予扣除</w:t>
      </w:r>
      <w:r>
        <w:rPr>
          <w:rFonts w:hint="eastAsia" w:ascii="宋体" w:hAnsi="宋体" w:eastAsia="宋体" w:cs="宋体"/>
          <w:b/>
          <w:color w:val="000000"/>
          <w:kern w:val="0"/>
          <w:sz w:val="21"/>
          <w:szCs w:val="21"/>
          <w:highlight w:val="none"/>
        </w:rPr>
        <w:t>；</w:t>
      </w:r>
    </w:p>
    <w:p w14:paraId="23370F99">
      <w:pPr>
        <w:autoSpaceDN w:val="0"/>
        <w:spacing w:line="360" w:lineRule="auto"/>
        <w:ind w:firstLine="405" w:firstLineChars="192"/>
        <w:rPr>
          <w:rFonts w:hint="eastAsia"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（2）</w:t>
      </w:r>
      <w:r>
        <w:rPr>
          <w:rFonts w:hint="eastAsia" w:ascii="宋体" w:hAnsi="宋体" w:eastAsia="宋体" w:cs="宋体"/>
          <w:b/>
          <w:color w:val="000000"/>
          <w:sz w:val="21"/>
          <w:szCs w:val="21"/>
          <w:highlight w:val="none"/>
          <w:u w:val="single"/>
        </w:rPr>
        <w:t>为防止围标串标和低价恶意竞标的行为，评审时如发现磋商响应供应商的报价明显高于市场价格或低于成本价，磋商响应供应商必须按照磋商小组的要求做出书面说明并提供相关证明材料。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磋商响应供应商不能合理说明原因并提供相关证明材料的，磋商小组将对其投标作无效处理，同时由采购组织机构向同级财政部门通报情况，视情将其列入不良供应商名单</w:t>
      </w:r>
      <w:r>
        <w:rPr>
          <w:rFonts w:hint="eastAsia" w:ascii="宋体" w:hAnsi="宋体" w:eastAsia="宋体" w:cs="宋体"/>
          <w:b/>
          <w:color w:val="000000"/>
          <w:sz w:val="21"/>
          <w:szCs w:val="21"/>
          <w:highlight w:val="none"/>
        </w:rPr>
        <w:t>。</w:t>
      </w:r>
    </w:p>
    <w:p w14:paraId="1AFF1C13">
      <w:pPr>
        <w:pStyle w:val="3"/>
        <w:autoSpaceDN w:val="0"/>
        <w:spacing w:before="360"/>
        <w:ind w:firstLine="0" w:firstLineChars="0"/>
        <w:rPr>
          <w:rFonts w:hint="eastAsia" w:ascii="宋体" w:hAnsi="宋体" w:eastAsia="宋体" w:cs="宋体"/>
          <w:sz w:val="21"/>
          <w:szCs w:val="21"/>
          <w:highlight w:val="none"/>
        </w:rPr>
      </w:pPr>
      <w:bookmarkStart w:id="201" w:name="_Toc19029"/>
      <w:bookmarkStart w:id="202" w:name="_Toc4750"/>
      <w:r>
        <w:rPr>
          <w:rFonts w:hint="eastAsia" w:ascii="宋体" w:hAnsi="宋体" w:eastAsia="宋体" w:cs="宋体"/>
          <w:sz w:val="21"/>
          <w:szCs w:val="21"/>
          <w:highlight w:val="none"/>
        </w:rPr>
        <w:t>四、其他评审事项规定</w:t>
      </w:r>
      <w:bookmarkEnd w:id="201"/>
      <w:bookmarkEnd w:id="202"/>
    </w:p>
    <w:p w14:paraId="707F6D75">
      <w:pPr>
        <w:autoSpaceDN w:val="0"/>
        <w:spacing w:line="360" w:lineRule="auto"/>
        <w:ind w:firstLine="405" w:firstLineChars="19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4.1 串通投标的认定</w:t>
      </w:r>
    </w:p>
    <w:p w14:paraId="07E07FCA">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4.1.1在评审过程中发现以下情形，被视为串通投标的：</w:t>
      </w:r>
    </w:p>
    <w:p w14:paraId="2FF1CD4F">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（1）</w:t>
      </w:r>
      <w:r>
        <w:rPr>
          <w:rFonts w:hint="eastAsia" w:ascii="宋体" w:hAnsi="宋体" w:eastAsia="宋体" w:cs="宋体"/>
          <w:b/>
          <w:color w:val="000000"/>
          <w:kern w:val="0"/>
          <w:sz w:val="21"/>
          <w:szCs w:val="21"/>
          <w:highlight w:val="none"/>
          <w:u w:val="single"/>
        </w:rPr>
        <w:t>不同磋商响应供应商的磋商响应文件由同一单位或个人编制</w:t>
      </w:r>
      <w:r>
        <w:rPr>
          <w:rFonts w:hint="eastAsia" w:ascii="宋体" w:hAnsi="宋体" w:eastAsia="宋体" w:cs="宋体"/>
          <w:b/>
          <w:color w:val="000000"/>
          <w:kern w:val="0"/>
          <w:sz w:val="21"/>
          <w:szCs w:val="21"/>
          <w:highlight w:val="none"/>
        </w:rPr>
        <w:t>；</w:t>
      </w:r>
    </w:p>
    <w:p w14:paraId="0BE94F21">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w:t>
      </w:r>
      <w:r>
        <w:rPr>
          <w:rFonts w:hint="eastAsia" w:ascii="宋体" w:hAnsi="宋体" w:eastAsia="宋体" w:cs="宋体"/>
          <w:b/>
          <w:color w:val="000000"/>
          <w:kern w:val="0"/>
          <w:sz w:val="21"/>
          <w:szCs w:val="21"/>
          <w:highlight w:val="none"/>
          <w:u w:val="single"/>
        </w:rPr>
        <w:t>不同磋商响应供应商委托同一单位或个人办理投标事宜</w:t>
      </w:r>
      <w:r>
        <w:rPr>
          <w:rFonts w:hint="eastAsia" w:ascii="宋体" w:hAnsi="宋体" w:eastAsia="宋体" w:cs="宋体"/>
          <w:b/>
          <w:color w:val="000000"/>
          <w:kern w:val="0"/>
          <w:sz w:val="21"/>
          <w:szCs w:val="21"/>
          <w:highlight w:val="none"/>
        </w:rPr>
        <w:t>；</w:t>
      </w:r>
    </w:p>
    <w:p w14:paraId="24C67C37">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（3）</w:t>
      </w:r>
      <w:r>
        <w:rPr>
          <w:rFonts w:hint="eastAsia" w:ascii="宋体" w:hAnsi="宋体" w:eastAsia="宋体" w:cs="宋体"/>
          <w:b/>
          <w:color w:val="000000"/>
          <w:kern w:val="0"/>
          <w:sz w:val="21"/>
          <w:szCs w:val="21"/>
          <w:highlight w:val="none"/>
          <w:u w:val="single"/>
        </w:rPr>
        <w:t>不同磋商响应供应商的磋商响应文件载明的项目管理成员或联系人员为同一人</w:t>
      </w:r>
      <w:r>
        <w:rPr>
          <w:rFonts w:hint="eastAsia" w:ascii="宋体" w:hAnsi="宋体" w:eastAsia="宋体" w:cs="宋体"/>
          <w:b/>
          <w:color w:val="000000"/>
          <w:kern w:val="0"/>
          <w:sz w:val="21"/>
          <w:szCs w:val="21"/>
          <w:highlight w:val="none"/>
        </w:rPr>
        <w:t>；</w:t>
      </w:r>
    </w:p>
    <w:p w14:paraId="74BB8642">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w:t>
      </w:r>
      <w:r>
        <w:rPr>
          <w:rFonts w:hint="eastAsia" w:ascii="宋体" w:hAnsi="宋体" w:eastAsia="宋体" w:cs="宋体"/>
          <w:b/>
          <w:color w:val="000000"/>
          <w:kern w:val="0"/>
          <w:sz w:val="21"/>
          <w:szCs w:val="21"/>
          <w:highlight w:val="none"/>
          <w:u w:val="single"/>
        </w:rPr>
        <w:t>不同磋商响应供应商的磋商响应文件异常一致或者投标报价呈规律性差异</w:t>
      </w:r>
      <w:r>
        <w:rPr>
          <w:rFonts w:hint="eastAsia" w:ascii="宋体" w:hAnsi="宋体" w:eastAsia="宋体" w:cs="宋体"/>
          <w:b/>
          <w:color w:val="000000"/>
          <w:kern w:val="0"/>
          <w:sz w:val="21"/>
          <w:szCs w:val="21"/>
          <w:highlight w:val="none"/>
        </w:rPr>
        <w:t>；</w:t>
      </w:r>
    </w:p>
    <w:p w14:paraId="002E797C">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（5）</w:t>
      </w:r>
      <w:r>
        <w:rPr>
          <w:rFonts w:hint="eastAsia" w:ascii="宋体" w:hAnsi="宋体" w:eastAsia="宋体" w:cs="宋体"/>
          <w:b/>
          <w:color w:val="000000"/>
          <w:kern w:val="0"/>
          <w:sz w:val="21"/>
          <w:szCs w:val="21"/>
          <w:highlight w:val="none"/>
          <w:u w:val="single"/>
        </w:rPr>
        <w:t>不同磋商响应供应商的磋商响应文件互相混装</w:t>
      </w:r>
      <w:r>
        <w:rPr>
          <w:rFonts w:hint="eastAsia" w:ascii="宋体" w:hAnsi="宋体" w:eastAsia="宋体" w:cs="宋体"/>
          <w:b/>
          <w:color w:val="000000"/>
          <w:kern w:val="0"/>
          <w:sz w:val="21"/>
          <w:szCs w:val="21"/>
          <w:highlight w:val="none"/>
        </w:rPr>
        <w:t>。</w:t>
      </w:r>
    </w:p>
    <w:p w14:paraId="04E90B0F">
      <w:pPr>
        <w:autoSpaceDN w:val="0"/>
        <w:spacing w:line="360" w:lineRule="auto"/>
        <w:ind w:firstLine="405" w:firstLineChars="192"/>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4B8D8070">
      <w:pPr>
        <w:pStyle w:val="4"/>
        <w:spacing w:before="120" w:after="120"/>
        <w:ind w:firstLine="24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 磋商响应供应商违法等重大事项的处理</w:t>
      </w:r>
    </w:p>
    <w:p w14:paraId="117F53D7">
      <w:pPr>
        <w:autoSpaceDN w:val="0"/>
        <w:spacing w:line="360" w:lineRule="auto"/>
        <w:ind w:firstLine="371" w:firstLineChars="176"/>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磋商响应供应商有下列情形之一的，投标无效且将《磋商响应文件》、《询标记录》等报同级政府采购监管部门或有关职能部门查处：</w:t>
      </w:r>
    </w:p>
    <w:p w14:paraId="2F58FFCC">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（1）未如实提供债权债务、重大违法记录、利害关系等信息，影响或者可能影响成交结果的；</w:t>
      </w:r>
    </w:p>
    <w:p w14:paraId="02D03B0B">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（2）不遵循公平竞争原则、恶意串通、妨碍其他磋商响应供应商的竞争、损害采购人或其他磋商响应供应商合法权益的；</w:t>
      </w:r>
    </w:p>
    <w:p w14:paraId="5FB05893">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（3）政府采购活动中存在违法行为的；</w:t>
      </w:r>
    </w:p>
    <w:p w14:paraId="4E630233">
      <w:pPr>
        <w:autoSpaceDN w:val="0"/>
        <w:spacing w:line="360" w:lineRule="auto"/>
        <w:ind w:firstLine="369" w:firstLineChars="176"/>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（3）其他严重干扰招投标秩序的行为的。</w:t>
      </w:r>
    </w:p>
    <w:p w14:paraId="33432DFB">
      <w:pPr>
        <w:pStyle w:val="4"/>
        <w:spacing w:before="120" w:after="120"/>
        <w:ind w:firstLine="24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 评审中合格磋商响应供应商不足法定数量的处理</w:t>
      </w:r>
    </w:p>
    <w:p w14:paraId="056CBFA0">
      <w:pPr>
        <w:autoSpaceDN w:val="0"/>
        <w:spacing w:line="360" w:lineRule="auto"/>
        <w:ind w:firstLine="369" w:firstLineChars="175"/>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公开招标的采购项目，在评审过程中，若某个标项的有效磋商响应供应商不足三家的，除采购任务取消情形外，采购人可选择以下方式之一处理：</w:t>
      </w:r>
    </w:p>
    <w:p w14:paraId="12AC132E">
      <w:pPr>
        <w:autoSpaceDN w:val="0"/>
        <w:spacing w:line="360" w:lineRule="auto"/>
        <w:ind w:firstLine="367" w:firstLineChars="17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（1）将本标项作废标处理，重新组织采购；</w:t>
      </w:r>
    </w:p>
    <w:p w14:paraId="2E985D2E">
      <w:pPr>
        <w:autoSpaceDN w:val="0"/>
        <w:spacing w:line="360" w:lineRule="auto"/>
        <w:ind w:firstLine="367" w:firstLineChars="175"/>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rPr>
        <w:t>（2）按同级政府采购监督管理部门的审批意见采用其他采购方式组织采购。</w:t>
      </w:r>
    </w:p>
    <w:p w14:paraId="643BBBD6">
      <w:pPr>
        <w:pStyle w:val="4"/>
        <w:spacing w:before="120" w:after="120"/>
        <w:ind w:firstLine="240"/>
        <w:rPr>
          <w:rFonts w:hint="eastAsia" w:ascii="宋体" w:hAnsi="宋体" w:eastAsia="宋体" w:cs="宋体"/>
          <w:bCs/>
          <w:sz w:val="21"/>
          <w:szCs w:val="21"/>
          <w:highlight w:val="none"/>
        </w:rPr>
      </w:pPr>
      <w:r>
        <w:rPr>
          <w:rFonts w:hint="eastAsia" w:ascii="宋体" w:hAnsi="宋体" w:eastAsia="宋体" w:cs="宋体"/>
          <w:bCs/>
          <w:sz w:val="21"/>
          <w:szCs w:val="21"/>
          <w:highlight w:val="none"/>
        </w:rPr>
        <w:t>4.4 废标适用情形</w:t>
      </w:r>
    </w:p>
    <w:p w14:paraId="758CAB4D">
      <w:pPr>
        <w:autoSpaceDN w:val="0"/>
        <w:spacing w:line="360" w:lineRule="auto"/>
        <w:ind w:firstLine="371" w:firstLineChars="17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在招标采购中，出现下列情形之一的，项目将予以废标：</w:t>
      </w:r>
    </w:p>
    <w:p w14:paraId="23E3DD79">
      <w:pPr>
        <w:widowControl/>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（1）符合专业条件的供应商或者对竞争性磋商文件作实质响应的供应商不足三家的；</w:t>
      </w:r>
    </w:p>
    <w:p w14:paraId="4B4A53F6">
      <w:pPr>
        <w:widowControl/>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（2）出现影响采购公正的违法、违规行为的；</w:t>
      </w:r>
    </w:p>
    <w:p w14:paraId="43B0401F">
      <w:pPr>
        <w:widowControl/>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（3）磋商响应供应商的报价均超过了采购预算，采购人不能支付的；</w:t>
      </w:r>
    </w:p>
    <w:p w14:paraId="033C33DF">
      <w:pPr>
        <w:widowControl/>
        <w:autoSpaceDN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（4）因重大变故，采购任务取消的。</w:t>
      </w:r>
    </w:p>
    <w:p w14:paraId="4C523659">
      <w:pPr>
        <w:pStyle w:val="4"/>
        <w:spacing w:before="120" w:after="120"/>
        <w:ind w:firstLine="240"/>
        <w:rPr>
          <w:rFonts w:hint="eastAsia" w:ascii="宋体" w:hAnsi="宋体" w:eastAsia="宋体" w:cs="宋体"/>
          <w:bCs/>
          <w:sz w:val="21"/>
          <w:szCs w:val="21"/>
          <w:highlight w:val="none"/>
        </w:rPr>
      </w:pPr>
      <w:r>
        <w:rPr>
          <w:rFonts w:hint="eastAsia" w:ascii="宋体" w:hAnsi="宋体" w:eastAsia="宋体" w:cs="宋体"/>
          <w:bCs/>
          <w:sz w:val="21"/>
          <w:szCs w:val="21"/>
          <w:highlight w:val="none"/>
        </w:rPr>
        <w:t>4.5 可中止电子交易活动的情形</w:t>
      </w:r>
    </w:p>
    <w:p w14:paraId="1DD350D4">
      <w:pPr>
        <w:autoSpaceDN w:val="0"/>
        <w:spacing w:line="360" w:lineRule="auto"/>
        <w:ind w:firstLine="371" w:firstLineChars="176"/>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采购过程中出现以下情形，导致电子交易平台无法正常运行，或者无法保证电子交易的公平、公正和安全时，采购组织机构可中止电子交易活动：</w:t>
      </w:r>
    </w:p>
    <w:p w14:paraId="3DBA9BDA">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（一）电子交易平台发生故障而无法登录访问的；</w:t>
      </w:r>
    </w:p>
    <w:p w14:paraId="7CE67F8A">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（二）电子交易平台应用或数据库出现错误，不能进行正常操作的；</w:t>
      </w:r>
    </w:p>
    <w:p w14:paraId="69711CED">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（三）电子交易平台发现严重安全漏洞，有潜在泄密危险的；</w:t>
      </w:r>
    </w:p>
    <w:p w14:paraId="090CC27B">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（四）病毒发作导致不能进行正常操作的；</w:t>
      </w:r>
    </w:p>
    <w:p w14:paraId="3B2803BF">
      <w:pPr>
        <w:autoSpaceDN w:val="0"/>
        <w:spacing w:line="360" w:lineRule="auto"/>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（五）其他无法保证电子交易的公平、公正和安全的情况。</w:t>
      </w:r>
    </w:p>
    <w:p w14:paraId="00C6CF49">
      <w:pPr>
        <w:autoSpaceDN w:val="0"/>
        <w:spacing w:line="360" w:lineRule="auto"/>
        <w:ind w:firstLine="407" w:firstLineChars="193"/>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73A301F1">
      <w:pPr>
        <w:autoSpaceDN w:val="0"/>
        <w:spacing w:line="360" w:lineRule="auto"/>
        <w:ind w:firstLine="426" w:firstLineChars="193"/>
        <w:rPr>
          <w:rFonts w:hint="eastAsia" w:ascii="宋体" w:hAnsi="宋体" w:eastAsia="宋体" w:cs="宋体"/>
          <w:b/>
          <w:color w:val="000000"/>
          <w:sz w:val="22"/>
          <w:szCs w:val="22"/>
          <w:highlight w:val="none"/>
        </w:rPr>
        <w:sectPr>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3F198A">
      <w:pPr>
        <w:pStyle w:val="2"/>
        <w:autoSpaceDN w:val="0"/>
        <w:spacing w:before="240"/>
        <w:rPr>
          <w:rFonts w:hint="eastAsia" w:ascii="宋体" w:hAnsi="宋体" w:eastAsia="宋体" w:cs="宋体"/>
          <w:b w:val="0"/>
          <w:bCs/>
          <w:sz w:val="44"/>
          <w:szCs w:val="32"/>
          <w:highlight w:val="none"/>
        </w:rPr>
      </w:pPr>
      <w:bookmarkStart w:id="203" w:name="_Toc7988416"/>
      <w:bookmarkStart w:id="204" w:name="_Toc27569"/>
      <w:bookmarkStart w:id="205" w:name="_Toc35391913"/>
      <w:bookmarkStart w:id="206" w:name="_Toc522830350"/>
      <w:r>
        <w:rPr>
          <w:rFonts w:hint="eastAsia" w:ascii="宋体" w:hAnsi="宋体" w:eastAsia="宋体" w:cs="宋体"/>
          <w:b w:val="0"/>
          <w:bCs/>
          <w:sz w:val="44"/>
          <w:szCs w:val="32"/>
          <w:highlight w:val="none"/>
        </w:rPr>
        <w:t>第八章 附件</w:t>
      </w:r>
      <w:bookmarkEnd w:id="203"/>
      <w:bookmarkEnd w:id="204"/>
      <w:bookmarkEnd w:id="205"/>
      <w:bookmarkEnd w:id="206"/>
    </w:p>
    <w:p w14:paraId="265FD539">
      <w:pPr>
        <w:autoSpaceDN w:val="0"/>
        <w:spacing w:line="360" w:lineRule="auto"/>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（以下相关文件及规定如与最新规定不一致的，以最新发布的为准）</w:t>
      </w:r>
    </w:p>
    <w:p w14:paraId="00F09AD6">
      <w:pPr>
        <w:keepNext/>
        <w:keepLines/>
        <w:autoSpaceDN w:val="0"/>
        <w:spacing w:before="240" w:line="360" w:lineRule="auto"/>
        <w:jc w:val="left"/>
        <w:outlineLvl w:val="2"/>
        <w:rPr>
          <w:rFonts w:hint="eastAsia" w:ascii="宋体" w:hAnsi="宋体" w:eastAsia="宋体" w:cs="宋体"/>
          <w:b/>
          <w:bCs/>
          <w:color w:val="000000"/>
          <w:kern w:val="0"/>
          <w:sz w:val="30"/>
          <w:highlight w:val="none"/>
        </w:rPr>
      </w:pPr>
      <w:bookmarkStart w:id="207" w:name="_Toc4294376"/>
      <w:bookmarkStart w:id="208" w:name="_Toc7542912"/>
      <w:bookmarkStart w:id="209" w:name="_Toc24471814"/>
      <w:bookmarkStart w:id="210" w:name="_Toc7988471"/>
      <w:bookmarkStart w:id="211" w:name="_Toc25765006"/>
      <w:bookmarkStart w:id="212" w:name="_Toc7664193"/>
      <w:bookmarkStart w:id="213" w:name="_Toc17428250"/>
      <w:bookmarkStart w:id="214" w:name="_Toc8007001"/>
      <w:bookmarkStart w:id="215" w:name="_Toc7488755"/>
      <w:bookmarkStart w:id="216" w:name="_Toc7492524"/>
      <w:bookmarkStart w:id="217" w:name="_Toc7574701"/>
      <w:bookmarkStart w:id="218" w:name="_Toc7663593"/>
      <w:bookmarkStart w:id="219" w:name="_Toc17428345"/>
      <w:bookmarkStart w:id="220" w:name="_Toc7668946"/>
      <w:bookmarkStart w:id="221" w:name="_Toc7988417"/>
      <w:bookmarkStart w:id="222" w:name="_Toc7993637"/>
      <w:bookmarkStart w:id="223" w:name="_Toc10432454"/>
      <w:bookmarkStart w:id="224" w:name="_Toc20358288"/>
      <w:bookmarkStart w:id="225" w:name="_Toc2002574"/>
      <w:bookmarkStart w:id="226" w:name="_Toc4649580"/>
      <w:bookmarkStart w:id="227" w:name="_Toc522830351"/>
      <w:bookmarkStart w:id="228" w:name="_Toc532440701"/>
      <w:bookmarkStart w:id="229" w:name="_Toc522417531"/>
      <w:r>
        <w:rPr>
          <w:rFonts w:hint="eastAsia" w:ascii="宋体" w:hAnsi="宋体" w:eastAsia="宋体" w:cs="宋体"/>
          <w:b/>
          <w:bCs/>
          <w:color w:val="000000"/>
          <w:kern w:val="0"/>
          <w:sz w:val="30"/>
          <w:highlight w:val="none"/>
        </w:rPr>
        <w:t>一、</w:t>
      </w:r>
      <w:bookmarkEnd w:id="207"/>
      <w:r>
        <w:rPr>
          <w:rFonts w:hint="eastAsia" w:ascii="宋体" w:hAnsi="宋体" w:eastAsia="宋体" w:cs="宋体"/>
          <w:b/>
          <w:bCs/>
          <w:color w:val="000000"/>
          <w:kern w:val="0"/>
          <w:sz w:val="30"/>
          <w:highlight w:val="none"/>
        </w:rPr>
        <w:t>政府采购支持中小企业信用融资相关事项通知</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51"/>
        <w:tblW w:w="961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610"/>
      </w:tblGrid>
      <w:tr w14:paraId="60E698B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610" w:type="dxa"/>
            <w:noWrap/>
          </w:tcPr>
          <w:p w14:paraId="78CDA73F">
            <w:pPr>
              <w:autoSpaceDN w:val="0"/>
              <w:spacing w:line="336" w:lineRule="auto"/>
              <w:jc w:val="center"/>
              <w:rPr>
                <w:rFonts w:hint="eastAsia" w:ascii="宋体" w:hAnsi="宋体" w:eastAsia="宋体" w:cs="宋体"/>
                <w:color w:val="000000"/>
                <w:highlight w:val="none"/>
              </w:rPr>
            </w:pPr>
            <w:r>
              <w:rPr>
                <w:rFonts w:hint="eastAsia" w:ascii="宋体" w:hAnsi="宋体" w:eastAsia="宋体" w:cs="宋体"/>
                <w:b/>
                <w:color w:val="000000"/>
                <w:sz w:val="36"/>
                <w:highlight w:val="none"/>
              </w:rPr>
              <w:t>政府采购支持中小企业信用融资相关事项通知</w:t>
            </w:r>
          </w:p>
          <w:p w14:paraId="0C2C029E">
            <w:pPr>
              <w:autoSpaceDN w:val="0"/>
              <w:spacing w:line="336" w:lineRule="auto"/>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为支持和促进中小企业发展，进一步发挥政府采购政策功能，浙江省财政厅，中国银行业监督管理委员会浙江监管局，浙江省人民政府金融工作办公室共同出台了《关于印发浙江省政府采购支持中小企业信用融资试点办法的通知》浙财采监[2012]13号文，并从2012年5月31日起正式启动信用融资工作，现将相关事项通知如下：</w:t>
            </w:r>
          </w:p>
          <w:p w14:paraId="58EB8A3C">
            <w:pPr>
              <w:autoSpaceDN w:val="0"/>
              <w:spacing w:line="336" w:lineRule="auto"/>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一、适用对象</w:t>
            </w:r>
          </w:p>
          <w:p w14:paraId="538645BA">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在杭州市政府采购网上注册入库，并取得杭州市政府采购合同的杭州市内中小企业供应商。</w:t>
            </w:r>
          </w:p>
          <w:p w14:paraId="17EF204E">
            <w:pPr>
              <w:autoSpaceDN w:val="0"/>
              <w:spacing w:line="336" w:lineRule="auto"/>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二、相关信息获取方式</w:t>
            </w:r>
          </w:p>
          <w:p w14:paraId="31C13713">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请登陆浙江政府采购网（http:// zfcg.czt.zj.gov.cn/）获取服务方案。</w:t>
            </w:r>
          </w:p>
          <w:p w14:paraId="527E7A56">
            <w:pPr>
              <w:autoSpaceDN w:val="0"/>
              <w:spacing w:line="336" w:lineRule="auto"/>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三、申请方式和步骤</w:t>
            </w:r>
          </w:p>
          <w:p w14:paraId="2F1E9B28">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1、供应商若有融资意向，需先与六家合作银行对接，办理相关融资前期手续；</w:t>
            </w:r>
          </w:p>
          <w:p w14:paraId="769CE935">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2、中标/成交后，供应商应与采购单位或者采购代理机构及时联系，告知融资需求；</w:t>
            </w:r>
          </w:p>
          <w:p w14:paraId="286DDFB9">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3、采购单位或者采购代理机构在政府采购信息系统录入中标合同信息时，须在合同备案页“是否为可融资合同”前打勾，并选择相应的信用融资合作银行，录入账号信息；</w:t>
            </w:r>
          </w:p>
          <w:p w14:paraId="2EE41466">
            <w:pPr>
              <w:autoSpaceDN w:val="0"/>
              <w:spacing w:line="336"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4、相关信息录入后，相关合作银行将在政府采购信息系统查询到合同备案信息，经审核，与供应商联系并办理相关融资事宜。</w:t>
            </w:r>
          </w:p>
          <w:p w14:paraId="471B6EE0">
            <w:pPr>
              <w:autoSpaceDN w:val="0"/>
              <w:spacing w:line="336" w:lineRule="auto"/>
              <w:ind w:firstLine="422" w:firstLineChars="175"/>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四、注意事项</w:t>
            </w:r>
          </w:p>
          <w:p w14:paraId="68BB115C">
            <w:pPr>
              <w:autoSpaceDN w:val="0"/>
              <w:spacing w:line="336" w:lineRule="auto"/>
              <w:jc w:val="center"/>
              <w:rPr>
                <w:rFonts w:hint="eastAsia" w:ascii="宋体" w:hAnsi="宋体" w:eastAsia="宋体" w:cs="宋体"/>
                <w:b/>
                <w:color w:val="000000"/>
                <w:sz w:val="36"/>
                <w:highlight w:val="none"/>
              </w:rPr>
            </w:pPr>
            <w:r>
              <w:rPr>
                <w:rFonts w:hint="eastAsia" w:ascii="宋体" w:hAnsi="宋体" w:eastAsia="宋体" w:cs="宋体"/>
                <w:color w:val="000000"/>
                <w:sz w:val="24"/>
                <w:highlight w:val="none"/>
              </w:rPr>
              <w:t>请各采购单位和采购代理机构积极支持和配合政府采购信用融资工作，在合同备案节务必请仔细核对收款银行、账号信息等内容，一旦录入将无法修改。</w:t>
            </w:r>
          </w:p>
        </w:tc>
      </w:tr>
    </w:tbl>
    <w:p w14:paraId="13537DAC">
      <w:pPr>
        <w:keepNext/>
        <w:keepLines/>
        <w:autoSpaceDN w:val="0"/>
        <w:spacing w:before="240" w:line="360" w:lineRule="auto"/>
        <w:jc w:val="left"/>
        <w:outlineLvl w:val="2"/>
        <w:rPr>
          <w:rFonts w:hint="eastAsia" w:ascii="宋体" w:hAnsi="宋体" w:eastAsia="宋体" w:cs="宋体"/>
          <w:b/>
          <w:bCs/>
          <w:color w:val="000000"/>
          <w:kern w:val="0"/>
          <w:sz w:val="30"/>
          <w:highlight w:val="none"/>
        </w:rPr>
      </w:pPr>
      <w:r>
        <w:rPr>
          <w:rFonts w:hint="eastAsia" w:ascii="宋体" w:hAnsi="宋体" w:eastAsia="宋体" w:cs="宋体"/>
          <w:sz w:val="30"/>
          <w:highlight w:val="none"/>
        </w:rPr>
        <w:br w:type="page"/>
      </w:r>
      <w:bookmarkStart w:id="230" w:name="_Toc4294377"/>
      <w:bookmarkStart w:id="231" w:name="_Toc7668947"/>
      <w:bookmarkStart w:id="232" w:name="_Toc7574702"/>
      <w:bookmarkStart w:id="233" w:name="_Toc7488756"/>
      <w:bookmarkStart w:id="234" w:name="_Toc7663594"/>
      <w:bookmarkStart w:id="235" w:name="_Toc7988472"/>
      <w:bookmarkStart w:id="236" w:name="_Toc20358289"/>
      <w:bookmarkStart w:id="237" w:name="_Toc8007002"/>
      <w:bookmarkStart w:id="238" w:name="_Toc7492525"/>
      <w:bookmarkStart w:id="239" w:name="_Toc17428346"/>
      <w:bookmarkStart w:id="240" w:name="_Toc17428251"/>
      <w:bookmarkStart w:id="241" w:name="_Toc7664194"/>
      <w:bookmarkStart w:id="242" w:name="_Toc10432455"/>
      <w:bookmarkStart w:id="243" w:name="_Toc25765007"/>
      <w:bookmarkStart w:id="244" w:name="_Toc24471815"/>
      <w:bookmarkStart w:id="245" w:name="_Toc7988418"/>
      <w:bookmarkStart w:id="246" w:name="_Toc7542913"/>
      <w:bookmarkStart w:id="247" w:name="_Toc7993638"/>
      <w:r>
        <w:rPr>
          <w:rFonts w:hint="eastAsia" w:ascii="宋体" w:hAnsi="宋体" w:eastAsia="宋体" w:cs="宋体"/>
          <w:b/>
          <w:bCs/>
          <w:color w:val="000000"/>
          <w:kern w:val="0"/>
          <w:sz w:val="30"/>
          <w:highlight w:val="none"/>
        </w:rPr>
        <w:t>二、</w:t>
      </w:r>
      <w:bookmarkEnd w:id="230"/>
      <w:r>
        <w:rPr>
          <w:rFonts w:hint="eastAsia" w:ascii="宋体" w:hAnsi="宋体" w:eastAsia="宋体" w:cs="宋体"/>
          <w:b/>
          <w:bCs/>
          <w:color w:val="000000"/>
          <w:kern w:val="0"/>
          <w:sz w:val="30"/>
          <w:highlight w:val="none"/>
        </w:rPr>
        <w:t>关于调整优化节能产品、环境标志产品政府采购执行机制的通知（财库[2019]9号）</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Style w:val="51"/>
        <w:tblW w:w="98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805"/>
      </w:tblGrid>
      <w:tr w14:paraId="1EA08631">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805" w:type="dxa"/>
            <w:noWrap/>
          </w:tcPr>
          <w:p w14:paraId="59FAD7AF">
            <w:pPr>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财政部 发展改革委 生态环境部 市场监管总局</w:t>
            </w:r>
          </w:p>
          <w:p w14:paraId="5B6A6A49">
            <w:pPr>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关于调整优化节能产品、环境标志产品政府采购执行机制的通知</w:t>
            </w:r>
          </w:p>
          <w:p w14:paraId="6745C6BD">
            <w:pPr>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财库〔2019〕9号</w:t>
            </w:r>
          </w:p>
          <w:p w14:paraId="1789ED21">
            <w:pPr>
              <w:autoSpaceDN w:val="0"/>
              <w:spacing w:line="360" w:lineRule="auto"/>
              <w:jc w:val="center"/>
              <w:rPr>
                <w:rFonts w:hint="eastAsia" w:ascii="宋体" w:hAnsi="宋体" w:eastAsia="宋体" w:cs="宋体"/>
                <w:b/>
                <w:color w:val="000000"/>
                <w:sz w:val="24"/>
                <w:highlight w:val="none"/>
              </w:rPr>
            </w:pPr>
          </w:p>
          <w:p w14:paraId="34B1BEFE">
            <w:pPr>
              <w:autoSpaceDN w:val="0"/>
              <w:spacing w:line="360" w:lineRule="auto"/>
              <w:ind w:firstLine="487"/>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3B624C4B">
            <w:pPr>
              <w:autoSpaceDN w:val="0"/>
              <w:spacing w:line="360" w:lineRule="auto"/>
              <w:ind w:firstLine="424" w:firstLineChars="177"/>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BEF95C4">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一、对政府采购节能产品、环境标志产品实施品目清单管理。</w:t>
            </w:r>
            <w:r>
              <w:rPr>
                <w:rFonts w:hint="eastAsia" w:ascii="宋体" w:hAnsi="宋体" w:eastAsia="宋体" w:cs="宋体"/>
                <w:color w:val="000000"/>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E01FDA9">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二、依据品目清单和认证证书实施政府优先采购和强制采购。</w:t>
            </w:r>
            <w:r>
              <w:rPr>
                <w:rFonts w:hint="eastAsia" w:ascii="宋体" w:hAnsi="宋体" w:eastAsia="宋体" w:cs="宋体"/>
                <w:color w:val="000000"/>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C2EB393">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三、逐步扩大节能产品、环境标志产品认证机构范围。</w:t>
            </w:r>
            <w:r>
              <w:rPr>
                <w:rFonts w:hint="eastAsia" w:ascii="宋体" w:hAnsi="宋体" w:eastAsia="宋体" w:cs="宋体"/>
                <w:color w:val="000000"/>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B1FE754">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四、发布认证机构和获证产品信息。</w:t>
            </w:r>
            <w:r>
              <w:rPr>
                <w:rFonts w:hint="eastAsia" w:ascii="宋体" w:hAnsi="宋体" w:eastAsia="宋体" w:cs="宋体"/>
                <w:color w:val="000000"/>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D2B2C57">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五、加大政府绿色采购力度。</w:t>
            </w:r>
            <w:r>
              <w:rPr>
                <w:rFonts w:hint="eastAsia" w:ascii="宋体" w:hAnsi="宋体" w:eastAsia="宋体" w:cs="宋体"/>
                <w:color w:val="000000"/>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8F3E616">
            <w:pPr>
              <w:autoSpaceDN w:val="0"/>
              <w:spacing w:line="360" w:lineRule="auto"/>
              <w:ind w:firstLine="426" w:firstLineChars="177"/>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六、本通知自2019年4月1日起执行。</w:t>
            </w:r>
            <w:r>
              <w:rPr>
                <w:rFonts w:hint="eastAsia" w:ascii="宋体" w:hAnsi="宋体" w:eastAsia="宋体" w:cs="宋体"/>
                <w:color w:val="000000"/>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88857B9">
            <w:pPr>
              <w:autoSpaceDN w:val="0"/>
              <w:spacing w:line="360" w:lineRule="auto"/>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财政部 发展改革委 生态环境部 市场监管总局</w:t>
            </w:r>
          </w:p>
          <w:p w14:paraId="2D745370">
            <w:pPr>
              <w:autoSpaceDN w:val="0"/>
              <w:spacing w:line="360" w:lineRule="auto"/>
              <w:jc w:val="right"/>
              <w:rPr>
                <w:rFonts w:hint="eastAsia" w:ascii="宋体" w:hAnsi="宋体" w:eastAsia="宋体" w:cs="宋体"/>
                <w:color w:val="000000"/>
                <w:kern w:val="0"/>
                <w:sz w:val="30"/>
                <w:szCs w:val="30"/>
                <w:highlight w:val="none"/>
              </w:rPr>
            </w:pPr>
            <w:r>
              <w:rPr>
                <w:rFonts w:hint="eastAsia" w:ascii="宋体" w:hAnsi="宋体" w:eastAsia="宋体" w:cs="宋体"/>
                <w:color w:val="000000"/>
                <w:sz w:val="24"/>
                <w:highlight w:val="none"/>
              </w:rPr>
              <w:t>2019年2月1日</w:t>
            </w:r>
          </w:p>
        </w:tc>
      </w:tr>
    </w:tbl>
    <w:p w14:paraId="39EF035F">
      <w:pPr>
        <w:widowControl/>
        <w:shd w:val="clear" w:color="auto" w:fill="FFFFFF"/>
        <w:autoSpaceDN w:val="0"/>
        <w:spacing w:line="360" w:lineRule="auto"/>
        <w:jc w:val="center"/>
        <w:textAlignment w:val="baseline"/>
        <w:rPr>
          <w:rFonts w:hint="eastAsia" w:ascii="宋体" w:hAnsi="宋体" w:eastAsia="宋体" w:cs="宋体"/>
          <w:color w:val="000000"/>
          <w:kern w:val="0"/>
          <w:sz w:val="30"/>
          <w:szCs w:val="30"/>
          <w:highlight w:val="none"/>
        </w:rPr>
      </w:pPr>
    </w:p>
    <w:p w14:paraId="584BEACA">
      <w:pPr>
        <w:widowControl/>
        <w:autoSpaceDN w:val="0"/>
        <w:spacing w:line="360" w:lineRule="auto"/>
        <w:jc w:val="right"/>
        <w:rPr>
          <w:rFonts w:hint="eastAsia" w:ascii="宋体" w:hAnsi="宋体" w:eastAsia="宋体" w:cs="宋体"/>
          <w:color w:val="000000"/>
          <w:kern w:val="0"/>
          <w:sz w:val="24"/>
          <w:szCs w:val="28"/>
          <w:highlight w:val="none"/>
        </w:rPr>
      </w:pPr>
    </w:p>
    <w:p w14:paraId="24579480">
      <w:pPr>
        <w:keepNext/>
        <w:keepLines/>
        <w:autoSpaceDN w:val="0"/>
        <w:spacing w:before="240" w:line="360" w:lineRule="auto"/>
        <w:jc w:val="left"/>
        <w:outlineLvl w:val="2"/>
        <w:rPr>
          <w:rFonts w:hint="eastAsia" w:ascii="宋体" w:hAnsi="宋体" w:eastAsia="宋体" w:cs="宋体"/>
          <w:b/>
          <w:bCs/>
          <w:color w:val="000000"/>
          <w:kern w:val="0"/>
          <w:sz w:val="30"/>
          <w:szCs w:val="28"/>
          <w:highlight w:val="none"/>
        </w:rPr>
      </w:pPr>
      <w:r>
        <w:rPr>
          <w:rFonts w:hint="eastAsia" w:ascii="宋体" w:hAnsi="宋体" w:eastAsia="宋体" w:cs="宋体"/>
          <w:b/>
          <w:bCs/>
          <w:color w:val="000000"/>
          <w:kern w:val="0"/>
          <w:sz w:val="30"/>
          <w:szCs w:val="28"/>
          <w:highlight w:val="none"/>
        </w:rPr>
        <w:br w:type="page"/>
      </w:r>
      <w:bookmarkStart w:id="248" w:name="_Toc7488757"/>
      <w:bookmarkStart w:id="249" w:name="_Toc8007003"/>
      <w:bookmarkStart w:id="250" w:name="_Toc7988419"/>
      <w:bookmarkStart w:id="251" w:name="_Toc10432456"/>
      <w:bookmarkStart w:id="252" w:name="_Toc17428347"/>
      <w:bookmarkStart w:id="253" w:name="_Toc7542914"/>
      <w:bookmarkStart w:id="254" w:name="_Toc20358290"/>
      <w:bookmarkStart w:id="255" w:name="_Toc7988473"/>
      <w:bookmarkStart w:id="256" w:name="_Toc7664195"/>
      <w:bookmarkStart w:id="257" w:name="_Toc17428252"/>
      <w:bookmarkStart w:id="258" w:name="_Toc7574703"/>
      <w:bookmarkStart w:id="259" w:name="_Toc25765008"/>
      <w:bookmarkStart w:id="260" w:name="_Toc7993639"/>
      <w:bookmarkStart w:id="261" w:name="_Toc24471816"/>
      <w:bookmarkStart w:id="262" w:name="_Toc7668948"/>
      <w:bookmarkStart w:id="263" w:name="_Toc7492526"/>
      <w:bookmarkStart w:id="264" w:name="_Toc7663595"/>
      <w:r>
        <w:rPr>
          <w:rFonts w:hint="eastAsia" w:ascii="宋体" w:hAnsi="宋体" w:eastAsia="宋体" w:cs="宋体"/>
          <w:b/>
          <w:bCs/>
          <w:color w:val="000000"/>
          <w:kern w:val="0"/>
          <w:sz w:val="30"/>
          <w:szCs w:val="28"/>
          <w:highlight w:val="none"/>
        </w:rPr>
        <w:t>三、</w:t>
      </w:r>
      <w:r>
        <w:rPr>
          <w:rFonts w:hint="eastAsia" w:ascii="宋体" w:hAnsi="宋体" w:eastAsia="宋体" w:cs="宋体"/>
          <w:b/>
          <w:bCs/>
          <w:color w:val="000000"/>
          <w:kern w:val="0"/>
          <w:sz w:val="30"/>
          <w:highlight w:val="none"/>
        </w:rPr>
        <w:t>关于印发节能产品政府采购品目清单的通知（财库〔2019〕19号）</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Style w:val="51"/>
        <w:tblW w:w="970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700"/>
      </w:tblGrid>
      <w:tr w14:paraId="2554A6E9">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700" w:type="dxa"/>
            <w:noWrap/>
          </w:tcPr>
          <w:p w14:paraId="47FC4091">
            <w:pPr>
              <w:widowControl/>
              <w:autoSpaceDN w:val="0"/>
              <w:spacing w:line="360" w:lineRule="auto"/>
              <w:jc w:val="center"/>
              <w:rPr>
                <w:rFonts w:hint="eastAsia" w:ascii="宋体" w:hAnsi="宋体" w:eastAsia="宋体" w:cs="宋体"/>
                <w:b/>
                <w:color w:val="000000"/>
                <w:kern w:val="0"/>
                <w:sz w:val="32"/>
                <w:highlight w:val="none"/>
              </w:rPr>
            </w:pPr>
            <w:r>
              <w:rPr>
                <w:rFonts w:hint="eastAsia" w:ascii="宋体" w:hAnsi="宋体" w:eastAsia="宋体" w:cs="宋体"/>
                <w:b/>
                <w:color w:val="000000"/>
                <w:kern w:val="0"/>
                <w:sz w:val="32"/>
                <w:highlight w:val="none"/>
              </w:rPr>
              <w:t>关于印发节能产品政府采购品目清单的通知</w:t>
            </w:r>
          </w:p>
          <w:p w14:paraId="562AFF3E">
            <w:pPr>
              <w:widowControl/>
              <w:autoSpaceDN w:val="0"/>
              <w:spacing w:line="360" w:lineRule="auto"/>
              <w:jc w:val="center"/>
              <w:rPr>
                <w:rFonts w:hint="eastAsia" w:ascii="宋体" w:hAnsi="宋体" w:eastAsia="宋体" w:cs="宋体"/>
                <w:color w:val="000000"/>
                <w:kern w:val="0"/>
                <w:sz w:val="28"/>
                <w:highlight w:val="none"/>
              </w:rPr>
            </w:pPr>
            <w:r>
              <w:rPr>
                <w:rFonts w:hint="eastAsia" w:ascii="宋体" w:hAnsi="宋体" w:eastAsia="宋体" w:cs="宋体"/>
                <w:b/>
                <w:color w:val="000000"/>
                <w:kern w:val="0"/>
                <w:sz w:val="32"/>
                <w:highlight w:val="none"/>
              </w:rPr>
              <w:t>财库〔2019〕19号</w:t>
            </w:r>
          </w:p>
          <w:p w14:paraId="173990CA">
            <w:pPr>
              <w:widowControl/>
              <w:autoSpaceDN w:val="0"/>
              <w:spacing w:line="360" w:lineRule="auto"/>
              <w:jc w:val="center"/>
              <w:rPr>
                <w:rFonts w:hint="eastAsia" w:ascii="宋体" w:hAnsi="宋体" w:eastAsia="宋体" w:cs="宋体"/>
                <w:color w:val="000000"/>
                <w:kern w:val="0"/>
                <w:sz w:val="28"/>
                <w:highlight w:val="none"/>
              </w:rPr>
            </w:pPr>
          </w:p>
          <w:p w14:paraId="172D249A">
            <w:pPr>
              <w:widowControl/>
              <w:autoSpaceDN w:val="0"/>
              <w:spacing w:line="360" w:lineRule="auto"/>
              <w:jc w:val="lef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有关中央预算单位，各省、自治区、直辖市、计划单列市财政厅（局）、发展改革委（经信委、工信委、工信厅、经信局），新疆生产建设兵团财政局、发展改革委：</w:t>
            </w:r>
          </w:p>
          <w:p w14:paraId="7C93E593">
            <w:pPr>
              <w:widowControl/>
              <w:autoSpaceDN w:val="0"/>
              <w:spacing w:line="360" w:lineRule="auto"/>
              <w:jc w:val="left"/>
              <w:rPr>
                <w:rFonts w:hint="eastAsia" w:ascii="宋体" w:hAnsi="宋体" w:eastAsia="宋体" w:cs="宋体"/>
                <w:color w:val="000000"/>
                <w:kern w:val="0"/>
                <w:sz w:val="28"/>
                <w:highlight w:val="none"/>
              </w:rPr>
            </w:pPr>
          </w:p>
          <w:p w14:paraId="45C37C69">
            <w:pPr>
              <w:widowControl/>
              <w:autoSpaceDN w:val="0"/>
              <w:spacing w:line="360" w:lineRule="auto"/>
              <w:ind w:firstLine="565" w:firstLineChars="202"/>
              <w:jc w:val="lef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75CB01A3">
            <w:pPr>
              <w:widowControl/>
              <w:autoSpaceDN w:val="0"/>
              <w:spacing w:line="360" w:lineRule="auto"/>
              <w:jc w:val="left"/>
              <w:rPr>
                <w:rFonts w:hint="eastAsia" w:ascii="宋体" w:hAnsi="宋体" w:eastAsia="宋体" w:cs="宋体"/>
                <w:color w:val="000000"/>
                <w:kern w:val="0"/>
                <w:sz w:val="28"/>
                <w:highlight w:val="none"/>
              </w:rPr>
            </w:pPr>
          </w:p>
          <w:p w14:paraId="53F472AE">
            <w:pPr>
              <w:widowControl/>
              <w:autoSpaceDN w:val="0"/>
              <w:spacing w:line="360" w:lineRule="auto"/>
              <w:jc w:val="left"/>
              <w:rPr>
                <w:rFonts w:hint="eastAsia" w:ascii="宋体" w:hAnsi="宋体" w:eastAsia="宋体" w:cs="宋体"/>
                <w:color w:val="000000"/>
                <w:kern w:val="0"/>
                <w:sz w:val="28"/>
                <w:highlight w:val="none"/>
              </w:rPr>
            </w:pPr>
          </w:p>
          <w:p w14:paraId="480F7B6D">
            <w:pPr>
              <w:widowControl/>
              <w:autoSpaceDN w:val="0"/>
              <w:spacing w:line="360" w:lineRule="auto"/>
              <w:jc w:val="left"/>
              <w:rPr>
                <w:rFonts w:hint="eastAsia" w:ascii="宋体" w:hAnsi="宋体" w:eastAsia="宋体" w:cs="宋体"/>
                <w:color w:val="000000"/>
                <w:kern w:val="0"/>
                <w:sz w:val="28"/>
                <w:highlight w:val="none"/>
              </w:rPr>
            </w:pPr>
          </w:p>
          <w:p w14:paraId="4D7129E3">
            <w:pPr>
              <w:widowControl/>
              <w:autoSpaceDN w:val="0"/>
              <w:spacing w:line="360" w:lineRule="auto"/>
              <w:jc w:val="left"/>
              <w:rPr>
                <w:rFonts w:hint="eastAsia" w:ascii="宋体" w:hAnsi="宋体" w:eastAsia="宋体" w:cs="宋体"/>
                <w:color w:val="000000"/>
                <w:kern w:val="0"/>
                <w:sz w:val="28"/>
                <w:highlight w:val="none"/>
              </w:rPr>
            </w:pPr>
          </w:p>
          <w:p w14:paraId="6ABC9238">
            <w:pPr>
              <w:widowControl/>
              <w:autoSpaceDN w:val="0"/>
              <w:spacing w:line="360" w:lineRule="auto"/>
              <w:jc w:val="lef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附件：节能产品政府采购品目清单</w:t>
            </w:r>
          </w:p>
          <w:p w14:paraId="357C4AAB">
            <w:pPr>
              <w:widowControl/>
              <w:autoSpaceDN w:val="0"/>
              <w:spacing w:line="360" w:lineRule="auto"/>
              <w:jc w:val="left"/>
              <w:rPr>
                <w:rFonts w:hint="eastAsia" w:ascii="宋体" w:hAnsi="宋体" w:eastAsia="宋体" w:cs="宋体"/>
                <w:color w:val="000000"/>
                <w:kern w:val="0"/>
                <w:sz w:val="28"/>
                <w:highlight w:val="none"/>
              </w:rPr>
            </w:pPr>
          </w:p>
          <w:p w14:paraId="5C60C41F">
            <w:pPr>
              <w:widowControl/>
              <w:autoSpaceDN w:val="0"/>
              <w:spacing w:line="360" w:lineRule="auto"/>
              <w:jc w:val="left"/>
              <w:rPr>
                <w:rFonts w:hint="eastAsia" w:ascii="宋体" w:hAnsi="宋体" w:eastAsia="宋体" w:cs="宋体"/>
                <w:color w:val="000000"/>
                <w:kern w:val="0"/>
                <w:sz w:val="28"/>
                <w:highlight w:val="none"/>
              </w:rPr>
            </w:pPr>
          </w:p>
          <w:p w14:paraId="6C84930E">
            <w:pPr>
              <w:widowControl/>
              <w:autoSpaceDN w:val="0"/>
              <w:spacing w:line="360" w:lineRule="auto"/>
              <w:jc w:val="righ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财政部发展改革委</w:t>
            </w:r>
          </w:p>
          <w:p w14:paraId="2A517933">
            <w:pPr>
              <w:widowControl/>
              <w:autoSpaceDN w:val="0"/>
              <w:spacing w:line="360" w:lineRule="auto"/>
              <w:jc w:val="right"/>
              <w:rPr>
                <w:rFonts w:hint="eastAsia" w:ascii="宋体" w:hAnsi="宋体" w:eastAsia="宋体" w:cs="宋体"/>
                <w:b/>
                <w:color w:val="000000"/>
                <w:kern w:val="0"/>
                <w:sz w:val="32"/>
                <w:highlight w:val="none"/>
              </w:rPr>
            </w:pPr>
            <w:r>
              <w:rPr>
                <w:rFonts w:hint="eastAsia" w:ascii="宋体" w:hAnsi="宋体" w:eastAsia="宋体" w:cs="宋体"/>
                <w:color w:val="000000"/>
                <w:kern w:val="0"/>
                <w:sz w:val="28"/>
                <w:highlight w:val="none"/>
              </w:rPr>
              <w:t>2019年4月2日</w:t>
            </w:r>
          </w:p>
        </w:tc>
      </w:tr>
    </w:tbl>
    <w:p w14:paraId="6D3116F8">
      <w:pPr>
        <w:keepNext/>
        <w:keepLines/>
        <w:autoSpaceDN w:val="0"/>
        <w:spacing w:before="240" w:line="360" w:lineRule="auto"/>
        <w:jc w:val="left"/>
        <w:outlineLvl w:val="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附：节能产品政府采购品目清单</w:t>
      </w:r>
    </w:p>
    <w:tbl>
      <w:tblPr>
        <w:tblStyle w:val="51"/>
        <w:tblW w:w="1004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692"/>
      </w:tblGrid>
      <w:tr w14:paraId="30BBF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14:paraId="7F19E47E">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品目序号</w:t>
            </w:r>
          </w:p>
        </w:tc>
        <w:tc>
          <w:tcPr>
            <w:tcW w:w="5676" w:type="dxa"/>
            <w:gridSpan w:val="3"/>
            <w:shd w:val="clear" w:color="auto" w:fill="DAEEF3"/>
            <w:noWrap/>
            <w:vAlign w:val="center"/>
          </w:tcPr>
          <w:p w14:paraId="05F1F24D">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名称</w:t>
            </w:r>
          </w:p>
        </w:tc>
        <w:tc>
          <w:tcPr>
            <w:tcW w:w="3692" w:type="dxa"/>
            <w:shd w:val="clear" w:color="auto" w:fill="DAEEF3"/>
            <w:noWrap/>
            <w:vAlign w:val="center"/>
          </w:tcPr>
          <w:p w14:paraId="0BF41EFF">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依据的标准</w:t>
            </w:r>
          </w:p>
        </w:tc>
      </w:tr>
      <w:tr w14:paraId="75384C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81407F2">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w:t>
            </w:r>
          </w:p>
        </w:tc>
        <w:tc>
          <w:tcPr>
            <w:tcW w:w="1858" w:type="dxa"/>
            <w:vMerge w:val="restart"/>
            <w:noWrap/>
            <w:vAlign w:val="center"/>
          </w:tcPr>
          <w:p w14:paraId="5A60D0E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A020101计算机设备</w:t>
            </w:r>
          </w:p>
        </w:tc>
        <w:tc>
          <w:tcPr>
            <w:tcW w:w="2268" w:type="dxa"/>
            <w:noWrap/>
            <w:vAlign w:val="center"/>
          </w:tcPr>
          <w:p w14:paraId="0ABA6056">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A02010104台式计算机</w:t>
            </w:r>
          </w:p>
        </w:tc>
        <w:tc>
          <w:tcPr>
            <w:tcW w:w="1550" w:type="dxa"/>
            <w:noWrap/>
            <w:vAlign w:val="center"/>
          </w:tcPr>
          <w:p w14:paraId="6BB73641">
            <w:pPr>
              <w:autoSpaceDN w:val="0"/>
              <w:jc w:val="center"/>
              <w:rPr>
                <w:rFonts w:hint="eastAsia" w:ascii="宋体" w:hAnsi="宋体" w:eastAsia="宋体" w:cs="宋体"/>
                <w:color w:val="000000"/>
                <w:w w:val="90"/>
                <w:szCs w:val="21"/>
                <w:highlight w:val="none"/>
              </w:rPr>
            </w:pPr>
          </w:p>
        </w:tc>
        <w:tc>
          <w:tcPr>
            <w:tcW w:w="3692" w:type="dxa"/>
            <w:noWrap/>
            <w:vAlign w:val="center"/>
          </w:tcPr>
          <w:p w14:paraId="6DFD8682">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《微型计算机能效限定值及能效等级》（GB 28380）</w:t>
            </w:r>
          </w:p>
        </w:tc>
      </w:tr>
      <w:tr w14:paraId="5B9F91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E10C89D">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374143F">
            <w:pPr>
              <w:autoSpaceDN w:val="0"/>
              <w:jc w:val="left"/>
              <w:rPr>
                <w:rFonts w:hint="eastAsia" w:ascii="宋体" w:hAnsi="宋体" w:eastAsia="宋体" w:cs="宋体"/>
                <w:color w:val="000000"/>
                <w:w w:val="90"/>
                <w:szCs w:val="21"/>
                <w:highlight w:val="none"/>
              </w:rPr>
            </w:pPr>
          </w:p>
        </w:tc>
        <w:tc>
          <w:tcPr>
            <w:tcW w:w="2268" w:type="dxa"/>
            <w:noWrap/>
            <w:vAlign w:val="center"/>
          </w:tcPr>
          <w:p w14:paraId="1D042E04">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A02010105便携式计算</w:t>
            </w:r>
          </w:p>
        </w:tc>
        <w:tc>
          <w:tcPr>
            <w:tcW w:w="1550" w:type="dxa"/>
            <w:noWrap/>
            <w:vAlign w:val="center"/>
          </w:tcPr>
          <w:p w14:paraId="2E989A24">
            <w:pPr>
              <w:autoSpaceDN w:val="0"/>
              <w:jc w:val="center"/>
              <w:rPr>
                <w:rFonts w:hint="eastAsia" w:ascii="宋体" w:hAnsi="宋体" w:eastAsia="宋体" w:cs="宋体"/>
                <w:color w:val="000000"/>
                <w:w w:val="90"/>
                <w:szCs w:val="21"/>
                <w:highlight w:val="none"/>
              </w:rPr>
            </w:pPr>
          </w:p>
        </w:tc>
        <w:tc>
          <w:tcPr>
            <w:tcW w:w="3692" w:type="dxa"/>
            <w:noWrap/>
            <w:vAlign w:val="center"/>
          </w:tcPr>
          <w:p w14:paraId="12645EB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《微型计算机能效限定值及能效等级》（GB 28380）</w:t>
            </w:r>
          </w:p>
        </w:tc>
      </w:tr>
      <w:tr w14:paraId="7600C0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C0B110E">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4213C50">
            <w:pPr>
              <w:autoSpaceDN w:val="0"/>
              <w:jc w:val="left"/>
              <w:rPr>
                <w:rFonts w:hint="eastAsia" w:ascii="宋体" w:hAnsi="宋体" w:eastAsia="宋体" w:cs="宋体"/>
                <w:color w:val="000000"/>
                <w:w w:val="90"/>
                <w:szCs w:val="21"/>
                <w:highlight w:val="none"/>
              </w:rPr>
            </w:pPr>
          </w:p>
        </w:tc>
        <w:tc>
          <w:tcPr>
            <w:tcW w:w="2268" w:type="dxa"/>
            <w:noWrap/>
            <w:vAlign w:val="center"/>
          </w:tcPr>
          <w:p w14:paraId="0D05130E">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A02010107平板式微型计算机</w:t>
            </w:r>
          </w:p>
        </w:tc>
        <w:tc>
          <w:tcPr>
            <w:tcW w:w="1550" w:type="dxa"/>
            <w:noWrap/>
            <w:vAlign w:val="center"/>
          </w:tcPr>
          <w:p w14:paraId="70A27CD5">
            <w:pPr>
              <w:autoSpaceDN w:val="0"/>
              <w:jc w:val="center"/>
              <w:rPr>
                <w:rFonts w:hint="eastAsia" w:ascii="宋体" w:hAnsi="宋体" w:eastAsia="宋体" w:cs="宋体"/>
                <w:color w:val="000000"/>
                <w:w w:val="90"/>
                <w:szCs w:val="21"/>
                <w:highlight w:val="none"/>
              </w:rPr>
            </w:pPr>
          </w:p>
        </w:tc>
        <w:tc>
          <w:tcPr>
            <w:tcW w:w="3692" w:type="dxa"/>
            <w:noWrap/>
            <w:vAlign w:val="center"/>
          </w:tcPr>
          <w:p w14:paraId="4F3C375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《微型计算机能效限定值及能效等级》（GB 28380）</w:t>
            </w:r>
          </w:p>
        </w:tc>
      </w:tr>
      <w:tr w14:paraId="27070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A4E99E2">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w:t>
            </w:r>
          </w:p>
        </w:tc>
        <w:tc>
          <w:tcPr>
            <w:tcW w:w="1858" w:type="dxa"/>
            <w:vMerge w:val="restart"/>
            <w:noWrap/>
            <w:vAlign w:val="center"/>
          </w:tcPr>
          <w:p w14:paraId="082A55C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A020106输入输出设备</w:t>
            </w:r>
          </w:p>
        </w:tc>
        <w:tc>
          <w:tcPr>
            <w:tcW w:w="2268" w:type="dxa"/>
            <w:vMerge w:val="restart"/>
            <w:noWrap/>
            <w:vAlign w:val="center"/>
          </w:tcPr>
          <w:p w14:paraId="6F2D43DA">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A02010601打印设备</w:t>
            </w:r>
          </w:p>
        </w:tc>
        <w:tc>
          <w:tcPr>
            <w:tcW w:w="1550" w:type="dxa"/>
            <w:noWrap/>
            <w:vAlign w:val="center"/>
          </w:tcPr>
          <w:p w14:paraId="5ABB6F0A">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A0201060101喷墨打印机</w:t>
            </w:r>
          </w:p>
        </w:tc>
        <w:tc>
          <w:tcPr>
            <w:tcW w:w="3692" w:type="dxa"/>
            <w:noWrap/>
            <w:vAlign w:val="center"/>
          </w:tcPr>
          <w:p w14:paraId="772ED97E">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《复印机、打印机和传真机能效限定值及能效等级》（GB 21521）</w:t>
            </w:r>
          </w:p>
        </w:tc>
      </w:tr>
      <w:tr w14:paraId="69EB8C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033C772">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2BDA4003">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5A3F84A4">
            <w:pPr>
              <w:autoSpaceDN w:val="0"/>
              <w:jc w:val="left"/>
              <w:rPr>
                <w:rFonts w:hint="eastAsia" w:ascii="宋体" w:hAnsi="宋体" w:eastAsia="宋体" w:cs="宋体"/>
                <w:color w:val="000000"/>
                <w:w w:val="90"/>
                <w:szCs w:val="21"/>
                <w:highlight w:val="none"/>
              </w:rPr>
            </w:pPr>
          </w:p>
        </w:tc>
        <w:tc>
          <w:tcPr>
            <w:tcW w:w="1550" w:type="dxa"/>
            <w:noWrap/>
            <w:vAlign w:val="center"/>
          </w:tcPr>
          <w:p w14:paraId="1D4549B5">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A0201060102激光打印机</w:t>
            </w:r>
          </w:p>
        </w:tc>
        <w:tc>
          <w:tcPr>
            <w:tcW w:w="3692" w:type="dxa"/>
            <w:noWrap/>
            <w:vAlign w:val="center"/>
          </w:tcPr>
          <w:p w14:paraId="2FDFE71D">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《复印机、打印机和传真机能效限定值及能效等级》（GB 21521）</w:t>
            </w:r>
          </w:p>
        </w:tc>
      </w:tr>
      <w:tr w14:paraId="5EFD0E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59E17CA">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726680D0">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56451643">
            <w:pPr>
              <w:autoSpaceDN w:val="0"/>
              <w:jc w:val="left"/>
              <w:rPr>
                <w:rFonts w:hint="eastAsia" w:ascii="宋体" w:hAnsi="宋体" w:eastAsia="宋体" w:cs="宋体"/>
                <w:color w:val="000000"/>
                <w:w w:val="90"/>
                <w:szCs w:val="21"/>
                <w:highlight w:val="none"/>
              </w:rPr>
            </w:pPr>
          </w:p>
        </w:tc>
        <w:tc>
          <w:tcPr>
            <w:tcW w:w="1550" w:type="dxa"/>
            <w:noWrap/>
            <w:vAlign w:val="center"/>
          </w:tcPr>
          <w:p w14:paraId="1A08FE42">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A0201060104针式打印机</w:t>
            </w:r>
          </w:p>
        </w:tc>
        <w:tc>
          <w:tcPr>
            <w:tcW w:w="3692" w:type="dxa"/>
            <w:noWrap/>
            <w:vAlign w:val="center"/>
          </w:tcPr>
          <w:p w14:paraId="5028CCF8">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《复印机、打印机和传真机能效限定值及能效等级》（GB 21521）</w:t>
            </w:r>
          </w:p>
        </w:tc>
      </w:tr>
      <w:tr w14:paraId="0E998F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E2FA7FD">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1FE0FAF6">
            <w:pPr>
              <w:autoSpaceDN w:val="0"/>
              <w:jc w:val="left"/>
              <w:rPr>
                <w:rFonts w:hint="eastAsia" w:ascii="宋体" w:hAnsi="宋体" w:eastAsia="宋体" w:cs="宋体"/>
                <w:color w:val="000000"/>
                <w:w w:val="90"/>
                <w:szCs w:val="21"/>
                <w:highlight w:val="none"/>
              </w:rPr>
            </w:pPr>
          </w:p>
        </w:tc>
        <w:tc>
          <w:tcPr>
            <w:tcW w:w="2268" w:type="dxa"/>
            <w:noWrap/>
            <w:vAlign w:val="center"/>
          </w:tcPr>
          <w:p w14:paraId="75E21EA7">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A02010604显示设备</w:t>
            </w:r>
          </w:p>
        </w:tc>
        <w:tc>
          <w:tcPr>
            <w:tcW w:w="1550" w:type="dxa"/>
            <w:noWrap/>
            <w:vAlign w:val="center"/>
          </w:tcPr>
          <w:p w14:paraId="3E06CCAE">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A0201060401液晶显示器</w:t>
            </w:r>
          </w:p>
        </w:tc>
        <w:tc>
          <w:tcPr>
            <w:tcW w:w="3692" w:type="dxa"/>
            <w:noWrap/>
            <w:vAlign w:val="center"/>
          </w:tcPr>
          <w:p w14:paraId="73EFA76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《计算机显示器能效限定值及能效等级》（GB 21520）</w:t>
            </w:r>
          </w:p>
        </w:tc>
      </w:tr>
      <w:tr w14:paraId="6FC6E5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95BEFAA">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78D3F642">
            <w:pPr>
              <w:autoSpaceDN w:val="0"/>
              <w:jc w:val="left"/>
              <w:rPr>
                <w:rFonts w:hint="eastAsia" w:ascii="宋体" w:hAnsi="宋体" w:eastAsia="宋体" w:cs="宋体"/>
                <w:color w:val="000000"/>
                <w:w w:val="90"/>
                <w:szCs w:val="21"/>
                <w:highlight w:val="none"/>
              </w:rPr>
            </w:pPr>
          </w:p>
        </w:tc>
        <w:tc>
          <w:tcPr>
            <w:tcW w:w="2268" w:type="dxa"/>
            <w:noWrap/>
            <w:vAlign w:val="center"/>
          </w:tcPr>
          <w:p w14:paraId="58B80684">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A02010609图形图像输入设备</w:t>
            </w:r>
          </w:p>
        </w:tc>
        <w:tc>
          <w:tcPr>
            <w:tcW w:w="1550" w:type="dxa"/>
            <w:noWrap/>
            <w:vAlign w:val="center"/>
          </w:tcPr>
          <w:p w14:paraId="5C8ADAB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A0201060901扫描仪</w:t>
            </w:r>
          </w:p>
        </w:tc>
        <w:tc>
          <w:tcPr>
            <w:tcW w:w="3692" w:type="dxa"/>
            <w:noWrap/>
            <w:vAlign w:val="center"/>
          </w:tcPr>
          <w:p w14:paraId="3B7B64D7">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参照《复印机、打印机和传真机能效限定值及能效等级》（GB 21521中打印速度为 15 页/分的针式打印机相关要求</w:t>
            </w:r>
          </w:p>
        </w:tc>
      </w:tr>
      <w:tr w14:paraId="744B4E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6A29742">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3</w:t>
            </w:r>
          </w:p>
        </w:tc>
        <w:tc>
          <w:tcPr>
            <w:tcW w:w="1858" w:type="dxa"/>
            <w:noWrap/>
            <w:vAlign w:val="center"/>
          </w:tcPr>
          <w:p w14:paraId="46E594DE">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A020202投影仪</w:t>
            </w:r>
          </w:p>
        </w:tc>
        <w:tc>
          <w:tcPr>
            <w:tcW w:w="2268" w:type="dxa"/>
            <w:noWrap/>
            <w:vAlign w:val="center"/>
          </w:tcPr>
          <w:p w14:paraId="651D988B">
            <w:pPr>
              <w:autoSpaceDN w:val="0"/>
              <w:jc w:val="left"/>
              <w:rPr>
                <w:rFonts w:hint="eastAsia" w:ascii="宋体" w:hAnsi="宋体" w:eastAsia="宋体" w:cs="宋体"/>
                <w:color w:val="000000"/>
                <w:w w:val="90"/>
                <w:szCs w:val="21"/>
                <w:highlight w:val="none"/>
              </w:rPr>
            </w:pPr>
          </w:p>
        </w:tc>
        <w:tc>
          <w:tcPr>
            <w:tcW w:w="1550" w:type="dxa"/>
            <w:noWrap/>
            <w:vAlign w:val="center"/>
          </w:tcPr>
          <w:p w14:paraId="285C3FE3">
            <w:pPr>
              <w:autoSpaceDN w:val="0"/>
              <w:jc w:val="center"/>
              <w:rPr>
                <w:rFonts w:hint="eastAsia" w:ascii="宋体" w:hAnsi="宋体" w:eastAsia="宋体" w:cs="宋体"/>
                <w:color w:val="000000"/>
                <w:w w:val="90"/>
                <w:szCs w:val="21"/>
                <w:highlight w:val="none"/>
              </w:rPr>
            </w:pPr>
          </w:p>
        </w:tc>
        <w:tc>
          <w:tcPr>
            <w:tcW w:w="3692" w:type="dxa"/>
            <w:noWrap/>
            <w:vAlign w:val="center"/>
          </w:tcPr>
          <w:p w14:paraId="0EBA585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《投影机能效限定值及能效等级（GB 32028）</w:t>
            </w:r>
          </w:p>
        </w:tc>
      </w:tr>
      <w:tr w14:paraId="2116CC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6CE569D">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4</w:t>
            </w:r>
          </w:p>
        </w:tc>
        <w:tc>
          <w:tcPr>
            <w:tcW w:w="1858" w:type="dxa"/>
            <w:noWrap/>
            <w:vAlign w:val="center"/>
          </w:tcPr>
          <w:p w14:paraId="1BD001B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A020204多功能一体机</w:t>
            </w:r>
          </w:p>
        </w:tc>
        <w:tc>
          <w:tcPr>
            <w:tcW w:w="2268" w:type="dxa"/>
            <w:noWrap/>
            <w:vAlign w:val="center"/>
          </w:tcPr>
          <w:p w14:paraId="11FEACE7">
            <w:pPr>
              <w:autoSpaceDN w:val="0"/>
              <w:jc w:val="left"/>
              <w:rPr>
                <w:rFonts w:hint="eastAsia" w:ascii="宋体" w:hAnsi="宋体" w:eastAsia="宋体" w:cs="宋体"/>
                <w:color w:val="000000"/>
                <w:w w:val="90"/>
                <w:szCs w:val="21"/>
                <w:highlight w:val="none"/>
              </w:rPr>
            </w:pPr>
          </w:p>
        </w:tc>
        <w:tc>
          <w:tcPr>
            <w:tcW w:w="1550" w:type="dxa"/>
            <w:noWrap/>
            <w:vAlign w:val="center"/>
          </w:tcPr>
          <w:p w14:paraId="7B513ACC">
            <w:pPr>
              <w:autoSpaceDN w:val="0"/>
              <w:jc w:val="center"/>
              <w:rPr>
                <w:rFonts w:hint="eastAsia" w:ascii="宋体" w:hAnsi="宋体" w:eastAsia="宋体" w:cs="宋体"/>
                <w:color w:val="000000"/>
                <w:w w:val="90"/>
                <w:szCs w:val="21"/>
                <w:highlight w:val="none"/>
              </w:rPr>
            </w:pPr>
          </w:p>
        </w:tc>
        <w:tc>
          <w:tcPr>
            <w:tcW w:w="3692" w:type="dxa"/>
            <w:noWrap/>
            <w:vAlign w:val="center"/>
          </w:tcPr>
          <w:p w14:paraId="70851EED">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《复印机、打印机和传真机能效限定值及能效等级》（GB 21521）</w:t>
            </w:r>
          </w:p>
        </w:tc>
      </w:tr>
      <w:tr w14:paraId="3E08B9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5BFF02D">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5</w:t>
            </w:r>
          </w:p>
        </w:tc>
        <w:tc>
          <w:tcPr>
            <w:tcW w:w="1858" w:type="dxa"/>
            <w:noWrap/>
            <w:vAlign w:val="center"/>
          </w:tcPr>
          <w:p w14:paraId="2DE3A7B8">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A020519泵</w:t>
            </w:r>
          </w:p>
        </w:tc>
        <w:tc>
          <w:tcPr>
            <w:tcW w:w="2268" w:type="dxa"/>
            <w:noWrap/>
            <w:vAlign w:val="center"/>
          </w:tcPr>
          <w:p w14:paraId="0AB5835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A02051901离心泵</w:t>
            </w:r>
          </w:p>
        </w:tc>
        <w:tc>
          <w:tcPr>
            <w:tcW w:w="1550" w:type="dxa"/>
            <w:noWrap/>
            <w:vAlign w:val="center"/>
          </w:tcPr>
          <w:p w14:paraId="3C50ACDF">
            <w:pPr>
              <w:autoSpaceDN w:val="0"/>
              <w:jc w:val="center"/>
              <w:rPr>
                <w:rFonts w:hint="eastAsia" w:ascii="宋体" w:hAnsi="宋体" w:eastAsia="宋体" w:cs="宋体"/>
                <w:color w:val="000000"/>
                <w:w w:val="90"/>
                <w:szCs w:val="21"/>
                <w:highlight w:val="none"/>
              </w:rPr>
            </w:pPr>
          </w:p>
        </w:tc>
        <w:tc>
          <w:tcPr>
            <w:tcW w:w="3692" w:type="dxa"/>
            <w:noWrap/>
            <w:vAlign w:val="center"/>
          </w:tcPr>
          <w:p w14:paraId="3DB21E9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《清水离心泵能效限定值及节能评价值》（GB 19762）</w:t>
            </w:r>
          </w:p>
        </w:tc>
      </w:tr>
      <w:tr w14:paraId="38BCDC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78D225C3">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6</w:t>
            </w:r>
          </w:p>
        </w:tc>
        <w:tc>
          <w:tcPr>
            <w:tcW w:w="1858" w:type="dxa"/>
            <w:vMerge w:val="restart"/>
            <w:noWrap/>
            <w:vAlign w:val="center"/>
          </w:tcPr>
          <w:p w14:paraId="0C83D07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A020523制冷空调设备</w:t>
            </w:r>
          </w:p>
        </w:tc>
        <w:tc>
          <w:tcPr>
            <w:tcW w:w="2268" w:type="dxa"/>
            <w:vMerge w:val="restart"/>
            <w:noWrap/>
            <w:vAlign w:val="center"/>
          </w:tcPr>
          <w:p w14:paraId="3ADE7B85">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A02052301制冷压缩机</w:t>
            </w:r>
          </w:p>
        </w:tc>
        <w:tc>
          <w:tcPr>
            <w:tcW w:w="1550" w:type="dxa"/>
            <w:noWrap/>
            <w:vAlign w:val="center"/>
          </w:tcPr>
          <w:p w14:paraId="71D6DE93">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冷水机组</w:t>
            </w:r>
          </w:p>
        </w:tc>
        <w:tc>
          <w:tcPr>
            <w:tcW w:w="3692" w:type="dxa"/>
            <w:noWrap/>
            <w:vAlign w:val="center"/>
          </w:tcPr>
          <w:p w14:paraId="01BCFCA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《冷水机组能效限定值及能效等级》（GB 19577），《低环境温度空气源热泵（冷水）机组能效限定值及能效等级》（GB 37480）</w:t>
            </w:r>
          </w:p>
        </w:tc>
      </w:tr>
      <w:tr w14:paraId="64287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46B9A16">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47A4758B">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686DB673">
            <w:pPr>
              <w:autoSpaceDN w:val="0"/>
              <w:jc w:val="left"/>
              <w:rPr>
                <w:rFonts w:hint="eastAsia" w:ascii="宋体" w:hAnsi="宋体" w:eastAsia="宋体" w:cs="宋体"/>
                <w:b/>
                <w:color w:val="000000"/>
                <w:w w:val="90"/>
                <w:szCs w:val="21"/>
                <w:highlight w:val="none"/>
              </w:rPr>
            </w:pPr>
          </w:p>
        </w:tc>
        <w:tc>
          <w:tcPr>
            <w:tcW w:w="1550" w:type="dxa"/>
            <w:noWrap/>
            <w:vAlign w:val="center"/>
          </w:tcPr>
          <w:p w14:paraId="2A981352">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水源热泵机组</w:t>
            </w:r>
          </w:p>
        </w:tc>
        <w:tc>
          <w:tcPr>
            <w:tcW w:w="3692" w:type="dxa"/>
            <w:noWrap/>
            <w:vAlign w:val="center"/>
          </w:tcPr>
          <w:p w14:paraId="2621815D">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《水（地）源热泵机组能效限定值及能效等级》（GB 30721）</w:t>
            </w:r>
          </w:p>
        </w:tc>
      </w:tr>
      <w:tr w14:paraId="7D1CDB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AFB4AFA">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308B56B3">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698E239A">
            <w:pPr>
              <w:autoSpaceDN w:val="0"/>
              <w:jc w:val="left"/>
              <w:rPr>
                <w:rFonts w:hint="eastAsia" w:ascii="宋体" w:hAnsi="宋体" w:eastAsia="宋体" w:cs="宋体"/>
                <w:b/>
                <w:color w:val="000000"/>
                <w:w w:val="90"/>
                <w:szCs w:val="21"/>
                <w:highlight w:val="none"/>
              </w:rPr>
            </w:pPr>
          </w:p>
        </w:tc>
        <w:tc>
          <w:tcPr>
            <w:tcW w:w="1550" w:type="dxa"/>
            <w:noWrap/>
            <w:vAlign w:val="center"/>
          </w:tcPr>
          <w:p w14:paraId="295CE1C0">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溴化锂吸收式冷水机组</w:t>
            </w:r>
          </w:p>
        </w:tc>
        <w:tc>
          <w:tcPr>
            <w:tcW w:w="3692" w:type="dxa"/>
            <w:noWrap/>
            <w:vAlign w:val="center"/>
          </w:tcPr>
          <w:p w14:paraId="49F973E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《溴化锂吸收式冷水机组能效限定值及能效等级》（GB 29540）</w:t>
            </w:r>
          </w:p>
        </w:tc>
      </w:tr>
      <w:tr w14:paraId="1F5FC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D973A11">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893711C">
            <w:pPr>
              <w:autoSpaceDN w:val="0"/>
              <w:jc w:val="left"/>
              <w:rPr>
                <w:rFonts w:hint="eastAsia" w:ascii="宋体" w:hAnsi="宋体" w:eastAsia="宋体" w:cs="宋体"/>
                <w:color w:val="000000"/>
                <w:w w:val="90"/>
                <w:szCs w:val="21"/>
                <w:highlight w:val="none"/>
              </w:rPr>
            </w:pPr>
          </w:p>
        </w:tc>
        <w:tc>
          <w:tcPr>
            <w:tcW w:w="2268" w:type="dxa"/>
            <w:vMerge w:val="restart"/>
            <w:noWrap/>
            <w:vAlign w:val="center"/>
          </w:tcPr>
          <w:p w14:paraId="33F478D2">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A02052305 空调机组</w:t>
            </w:r>
          </w:p>
        </w:tc>
        <w:tc>
          <w:tcPr>
            <w:tcW w:w="1550" w:type="dxa"/>
            <w:noWrap/>
            <w:vAlign w:val="center"/>
          </w:tcPr>
          <w:p w14:paraId="6AED8008">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多联式空调（热泵）机组(制冷量&gt;14000W)</w:t>
            </w:r>
          </w:p>
        </w:tc>
        <w:tc>
          <w:tcPr>
            <w:tcW w:w="3692" w:type="dxa"/>
            <w:noWrap/>
            <w:vAlign w:val="center"/>
          </w:tcPr>
          <w:p w14:paraId="7D36EC92">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《多联式空调（热泵）机组能效限定值及能源效率等级》（GB 21454</w:t>
            </w:r>
          </w:p>
        </w:tc>
      </w:tr>
      <w:tr w14:paraId="752F71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B8298A7">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0DD0E74A">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047999E8">
            <w:pPr>
              <w:autoSpaceDN w:val="0"/>
              <w:jc w:val="left"/>
              <w:rPr>
                <w:rFonts w:hint="eastAsia" w:ascii="宋体" w:hAnsi="宋体" w:eastAsia="宋体" w:cs="宋体"/>
                <w:b/>
                <w:color w:val="000000"/>
                <w:w w:val="90"/>
                <w:szCs w:val="21"/>
                <w:highlight w:val="none"/>
              </w:rPr>
            </w:pPr>
          </w:p>
        </w:tc>
        <w:tc>
          <w:tcPr>
            <w:tcW w:w="1550" w:type="dxa"/>
            <w:noWrap/>
            <w:vAlign w:val="center"/>
          </w:tcPr>
          <w:p w14:paraId="619180A5">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单元式空气调节机(制冷量&gt;14000W)</w:t>
            </w:r>
          </w:p>
        </w:tc>
        <w:tc>
          <w:tcPr>
            <w:tcW w:w="3692" w:type="dxa"/>
            <w:noWrap/>
            <w:vAlign w:val="center"/>
          </w:tcPr>
          <w:p w14:paraId="282DC46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《单元式空气调节机能效限定值及能效等级》（GB 19576）《风管送风式空调机组能效限定值及能效等级》（GB 37479）</w:t>
            </w:r>
          </w:p>
        </w:tc>
      </w:tr>
      <w:tr w14:paraId="2A3793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6CA3369">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1B1DDB8F">
            <w:pPr>
              <w:autoSpaceDN w:val="0"/>
              <w:jc w:val="left"/>
              <w:rPr>
                <w:rFonts w:hint="eastAsia" w:ascii="宋体" w:hAnsi="宋体" w:eastAsia="宋体" w:cs="宋体"/>
                <w:color w:val="000000"/>
                <w:w w:val="90"/>
                <w:szCs w:val="21"/>
                <w:highlight w:val="none"/>
              </w:rPr>
            </w:pPr>
          </w:p>
        </w:tc>
        <w:tc>
          <w:tcPr>
            <w:tcW w:w="2268" w:type="dxa"/>
            <w:noWrap/>
            <w:vAlign w:val="center"/>
          </w:tcPr>
          <w:p w14:paraId="69F8A2C3">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A02052309 专用制冷、空调设备</w:t>
            </w:r>
          </w:p>
        </w:tc>
        <w:tc>
          <w:tcPr>
            <w:tcW w:w="1550" w:type="dxa"/>
            <w:noWrap/>
            <w:vAlign w:val="center"/>
          </w:tcPr>
          <w:p w14:paraId="4B76A84A">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机房空调</w:t>
            </w:r>
          </w:p>
        </w:tc>
        <w:tc>
          <w:tcPr>
            <w:tcW w:w="3692" w:type="dxa"/>
            <w:noWrap/>
            <w:vAlign w:val="center"/>
          </w:tcPr>
          <w:p w14:paraId="7871902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《单元式空气调节机能效限定值及能效等级》（GB 19576）</w:t>
            </w:r>
          </w:p>
        </w:tc>
      </w:tr>
      <w:tr w14:paraId="27738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00547C2">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4D25A121">
            <w:pPr>
              <w:autoSpaceDN w:val="0"/>
              <w:jc w:val="left"/>
              <w:rPr>
                <w:rFonts w:hint="eastAsia" w:ascii="宋体" w:hAnsi="宋体" w:eastAsia="宋体" w:cs="宋体"/>
                <w:color w:val="000000"/>
                <w:w w:val="90"/>
                <w:szCs w:val="21"/>
                <w:highlight w:val="none"/>
              </w:rPr>
            </w:pPr>
          </w:p>
        </w:tc>
        <w:tc>
          <w:tcPr>
            <w:tcW w:w="2268" w:type="dxa"/>
            <w:noWrap/>
            <w:vAlign w:val="center"/>
          </w:tcPr>
          <w:p w14:paraId="007080F3">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A02052399 其他制冷空调设备</w:t>
            </w:r>
          </w:p>
        </w:tc>
        <w:tc>
          <w:tcPr>
            <w:tcW w:w="1550" w:type="dxa"/>
            <w:noWrap/>
            <w:vAlign w:val="center"/>
          </w:tcPr>
          <w:p w14:paraId="23593C6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冷却塔</w:t>
            </w:r>
          </w:p>
        </w:tc>
        <w:tc>
          <w:tcPr>
            <w:tcW w:w="3692" w:type="dxa"/>
            <w:noWrap/>
            <w:vAlign w:val="center"/>
          </w:tcPr>
          <w:p w14:paraId="2BC02E54">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《机械通风冷却塔 第 1 部分：中小型开式冷却塔》（GB /T 7190.1）</w:t>
            </w:r>
          </w:p>
          <w:p w14:paraId="52E116A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《机械通风冷却塔 第 2 部分：大型开式冷却塔》（GB /T 7190.2</w:t>
            </w:r>
          </w:p>
        </w:tc>
      </w:tr>
      <w:tr w14:paraId="3400E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B18751F">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7</w:t>
            </w:r>
          </w:p>
        </w:tc>
        <w:tc>
          <w:tcPr>
            <w:tcW w:w="1858" w:type="dxa"/>
            <w:noWrap/>
            <w:vAlign w:val="center"/>
          </w:tcPr>
          <w:p w14:paraId="28225FA8">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A020601电机</w:t>
            </w:r>
          </w:p>
        </w:tc>
        <w:tc>
          <w:tcPr>
            <w:tcW w:w="2268" w:type="dxa"/>
            <w:noWrap/>
            <w:vAlign w:val="center"/>
          </w:tcPr>
          <w:p w14:paraId="1DBDEC65">
            <w:pPr>
              <w:autoSpaceDN w:val="0"/>
              <w:jc w:val="left"/>
              <w:rPr>
                <w:rFonts w:hint="eastAsia" w:ascii="宋体" w:hAnsi="宋体" w:eastAsia="宋体" w:cs="宋体"/>
                <w:color w:val="000000"/>
                <w:w w:val="90"/>
                <w:szCs w:val="21"/>
                <w:highlight w:val="none"/>
              </w:rPr>
            </w:pPr>
          </w:p>
        </w:tc>
        <w:tc>
          <w:tcPr>
            <w:tcW w:w="1550" w:type="dxa"/>
            <w:noWrap/>
            <w:vAlign w:val="center"/>
          </w:tcPr>
          <w:p w14:paraId="429F568C">
            <w:pPr>
              <w:autoSpaceDN w:val="0"/>
              <w:jc w:val="center"/>
              <w:rPr>
                <w:rFonts w:hint="eastAsia" w:ascii="宋体" w:hAnsi="宋体" w:eastAsia="宋体" w:cs="宋体"/>
                <w:color w:val="000000"/>
                <w:w w:val="90"/>
                <w:szCs w:val="21"/>
                <w:highlight w:val="none"/>
              </w:rPr>
            </w:pPr>
          </w:p>
        </w:tc>
        <w:tc>
          <w:tcPr>
            <w:tcW w:w="3692" w:type="dxa"/>
            <w:noWrap/>
            <w:vAlign w:val="center"/>
          </w:tcPr>
          <w:p w14:paraId="261EC1E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《中小型三相异步电动机能效限定值及能效等级》（GB 18613）</w:t>
            </w:r>
          </w:p>
        </w:tc>
      </w:tr>
      <w:tr w14:paraId="6640DC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56C0F9">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8</w:t>
            </w:r>
          </w:p>
        </w:tc>
        <w:tc>
          <w:tcPr>
            <w:tcW w:w="1858" w:type="dxa"/>
            <w:noWrap/>
            <w:vAlign w:val="center"/>
          </w:tcPr>
          <w:p w14:paraId="4B02B55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A020602变压器</w:t>
            </w:r>
          </w:p>
        </w:tc>
        <w:tc>
          <w:tcPr>
            <w:tcW w:w="2268" w:type="dxa"/>
            <w:noWrap/>
            <w:vAlign w:val="center"/>
          </w:tcPr>
          <w:p w14:paraId="15F52B9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配电变压器</w:t>
            </w:r>
          </w:p>
        </w:tc>
        <w:tc>
          <w:tcPr>
            <w:tcW w:w="1550" w:type="dxa"/>
            <w:noWrap/>
            <w:vAlign w:val="center"/>
          </w:tcPr>
          <w:p w14:paraId="0EE59D6E">
            <w:pPr>
              <w:autoSpaceDN w:val="0"/>
              <w:jc w:val="center"/>
              <w:rPr>
                <w:rFonts w:hint="eastAsia" w:ascii="宋体" w:hAnsi="宋体" w:eastAsia="宋体" w:cs="宋体"/>
                <w:color w:val="000000"/>
                <w:w w:val="90"/>
                <w:szCs w:val="21"/>
                <w:highlight w:val="none"/>
              </w:rPr>
            </w:pPr>
          </w:p>
        </w:tc>
        <w:tc>
          <w:tcPr>
            <w:tcW w:w="3692" w:type="dxa"/>
            <w:noWrap/>
            <w:vAlign w:val="center"/>
          </w:tcPr>
          <w:p w14:paraId="6169DB66">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《三相配电变压器能效限定值及能效等级》（GB 20052）</w:t>
            </w:r>
          </w:p>
        </w:tc>
      </w:tr>
      <w:tr w14:paraId="65653A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3A1B935">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9</w:t>
            </w:r>
          </w:p>
        </w:tc>
        <w:tc>
          <w:tcPr>
            <w:tcW w:w="1858" w:type="dxa"/>
            <w:noWrap/>
            <w:vAlign w:val="center"/>
          </w:tcPr>
          <w:p w14:paraId="6D905B22">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A020609 镇流器</w:t>
            </w:r>
          </w:p>
        </w:tc>
        <w:tc>
          <w:tcPr>
            <w:tcW w:w="2268" w:type="dxa"/>
            <w:noWrap/>
            <w:vAlign w:val="center"/>
          </w:tcPr>
          <w:p w14:paraId="0FC47769">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管型荧光灯镇流器</w:t>
            </w:r>
          </w:p>
        </w:tc>
        <w:tc>
          <w:tcPr>
            <w:tcW w:w="1550" w:type="dxa"/>
            <w:noWrap/>
            <w:vAlign w:val="center"/>
          </w:tcPr>
          <w:p w14:paraId="7EFF2983">
            <w:pPr>
              <w:autoSpaceDN w:val="0"/>
              <w:jc w:val="center"/>
              <w:rPr>
                <w:rFonts w:hint="eastAsia" w:ascii="宋体" w:hAnsi="宋体" w:eastAsia="宋体" w:cs="宋体"/>
                <w:color w:val="000000"/>
                <w:w w:val="90"/>
                <w:szCs w:val="21"/>
                <w:highlight w:val="none"/>
              </w:rPr>
            </w:pPr>
          </w:p>
        </w:tc>
        <w:tc>
          <w:tcPr>
            <w:tcW w:w="3692" w:type="dxa"/>
            <w:noWrap/>
            <w:vAlign w:val="center"/>
          </w:tcPr>
          <w:p w14:paraId="3D44E0D6">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《管形荧光灯镇流器能效限定值及能效等级》（GB 17896）</w:t>
            </w:r>
          </w:p>
        </w:tc>
      </w:tr>
      <w:tr w14:paraId="13B28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70EEF2F">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10</w:t>
            </w:r>
          </w:p>
        </w:tc>
        <w:tc>
          <w:tcPr>
            <w:tcW w:w="1858" w:type="dxa"/>
            <w:vMerge w:val="restart"/>
            <w:noWrap/>
            <w:vAlign w:val="center"/>
          </w:tcPr>
          <w:p w14:paraId="71F2307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 生活用电器</w:t>
            </w:r>
          </w:p>
        </w:tc>
        <w:tc>
          <w:tcPr>
            <w:tcW w:w="2268" w:type="dxa"/>
            <w:noWrap/>
            <w:vAlign w:val="center"/>
          </w:tcPr>
          <w:p w14:paraId="34D010F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A0206180101 电冰箱</w:t>
            </w:r>
          </w:p>
        </w:tc>
        <w:tc>
          <w:tcPr>
            <w:tcW w:w="1550" w:type="dxa"/>
            <w:noWrap/>
            <w:vAlign w:val="center"/>
          </w:tcPr>
          <w:p w14:paraId="7683412A">
            <w:pPr>
              <w:autoSpaceDN w:val="0"/>
              <w:jc w:val="center"/>
              <w:rPr>
                <w:rFonts w:hint="eastAsia" w:ascii="宋体" w:hAnsi="宋体" w:eastAsia="宋体" w:cs="宋体"/>
                <w:color w:val="000000"/>
                <w:w w:val="90"/>
                <w:szCs w:val="21"/>
                <w:highlight w:val="none"/>
              </w:rPr>
            </w:pPr>
          </w:p>
        </w:tc>
        <w:tc>
          <w:tcPr>
            <w:tcW w:w="3692" w:type="dxa"/>
            <w:noWrap/>
            <w:vAlign w:val="center"/>
          </w:tcPr>
          <w:p w14:paraId="50F2B662">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《家用电冰箱耗电量限定值及能效等级》（GB</w:t>
            </w:r>
            <w:r>
              <w:rPr>
                <w:rFonts w:hint="eastAsia" w:ascii="宋体" w:hAnsi="宋体" w:eastAsia="宋体" w:cs="宋体"/>
                <w:color w:val="000000"/>
                <w:w w:val="90"/>
                <w:szCs w:val="21"/>
                <w:highlight w:val="none"/>
              </w:rPr>
              <w:tab/>
            </w:r>
            <w:r>
              <w:rPr>
                <w:rFonts w:hint="eastAsia" w:ascii="宋体" w:hAnsi="宋体" w:eastAsia="宋体" w:cs="宋体"/>
                <w:color w:val="000000"/>
                <w:w w:val="90"/>
                <w:szCs w:val="21"/>
                <w:highlight w:val="none"/>
              </w:rPr>
              <w:t>12021.2）</w:t>
            </w:r>
          </w:p>
        </w:tc>
      </w:tr>
      <w:tr w14:paraId="52D421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F44A1E6">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423D9418">
            <w:pPr>
              <w:autoSpaceDN w:val="0"/>
              <w:jc w:val="left"/>
              <w:rPr>
                <w:rFonts w:hint="eastAsia" w:ascii="宋体" w:hAnsi="宋体" w:eastAsia="宋体" w:cs="宋体"/>
                <w:color w:val="000000"/>
                <w:w w:val="90"/>
                <w:szCs w:val="21"/>
                <w:highlight w:val="none"/>
              </w:rPr>
            </w:pPr>
          </w:p>
        </w:tc>
        <w:tc>
          <w:tcPr>
            <w:tcW w:w="2268" w:type="dxa"/>
            <w:vMerge w:val="restart"/>
            <w:noWrap/>
            <w:vAlign w:val="center"/>
          </w:tcPr>
          <w:p w14:paraId="5DBB4657">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A0206180203 空调机</w:t>
            </w:r>
          </w:p>
        </w:tc>
        <w:tc>
          <w:tcPr>
            <w:tcW w:w="1550" w:type="dxa"/>
            <w:noWrap/>
            <w:vAlign w:val="center"/>
          </w:tcPr>
          <w:p w14:paraId="29C95E27">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房间空气调节器</w:t>
            </w:r>
          </w:p>
        </w:tc>
        <w:tc>
          <w:tcPr>
            <w:tcW w:w="3692" w:type="dxa"/>
            <w:noWrap/>
            <w:vAlign w:val="center"/>
          </w:tcPr>
          <w:p w14:paraId="534A031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《转速可控型房间空气调节器能效限定值及能效等级》（GB21455-2013），待 2019 年修订发布后，按《房间空气调节器能效限定值及能效等级》（GB21455-2019</w:t>
            </w:r>
          </w:p>
          <w:p w14:paraId="7F53B74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实施。</w:t>
            </w:r>
          </w:p>
        </w:tc>
      </w:tr>
      <w:tr w14:paraId="78E44A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ABD6F71">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0FD05328">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1E63EA4E">
            <w:pPr>
              <w:autoSpaceDN w:val="0"/>
              <w:jc w:val="left"/>
              <w:rPr>
                <w:rFonts w:hint="eastAsia" w:ascii="宋体" w:hAnsi="宋体" w:eastAsia="宋体" w:cs="宋体"/>
                <w:b/>
                <w:color w:val="000000"/>
                <w:w w:val="90"/>
                <w:szCs w:val="21"/>
                <w:highlight w:val="none"/>
              </w:rPr>
            </w:pPr>
          </w:p>
        </w:tc>
        <w:tc>
          <w:tcPr>
            <w:tcW w:w="1550" w:type="dxa"/>
            <w:noWrap/>
            <w:vAlign w:val="center"/>
          </w:tcPr>
          <w:p w14:paraId="1A55C77F">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多联式空调（热泵）机组（制冷量≤ 14000W）</w:t>
            </w:r>
          </w:p>
        </w:tc>
        <w:tc>
          <w:tcPr>
            <w:tcW w:w="3692" w:type="dxa"/>
            <w:noWrap/>
            <w:vAlign w:val="center"/>
          </w:tcPr>
          <w:p w14:paraId="79E3B40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《多联式空调（热泵）机组能效限定值及能源效率等级》（GB 21454</w:t>
            </w:r>
          </w:p>
        </w:tc>
      </w:tr>
      <w:tr w14:paraId="69FD3F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784A6CD">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4D79344D">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5C052EB5">
            <w:pPr>
              <w:autoSpaceDN w:val="0"/>
              <w:jc w:val="left"/>
              <w:rPr>
                <w:rFonts w:hint="eastAsia" w:ascii="宋体" w:hAnsi="宋体" w:eastAsia="宋体" w:cs="宋体"/>
                <w:b/>
                <w:color w:val="000000"/>
                <w:w w:val="90"/>
                <w:szCs w:val="21"/>
                <w:highlight w:val="none"/>
              </w:rPr>
            </w:pPr>
          </w:p>
        </w:tc>
        <w:tc>
          <w:tcPr>
            <w:tcW w:w="1550" w:type="dxa"/>
            <w:noWrap/>
            <w:vAlign w:val="center"/>
          </w:tcPr>
          <w:p w14:paraId="4E5B92D3">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单元式空气调节机(制冷量≤14000W)</w:t>
            </w:r>
          </w:p>
        </w:tc>
        <w:tc>
          <w:tcPr>
            <w:tcW w:w="3692" w:type="dxa"/>
            <w:noWrap/>
            <w:vAlign w:val="center"/>
          </w:tcPr>
          <w:p w14:paraId="4B570A5B">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《单元式空气调节机能效限定值及能源效率等级》（GB 19576）《风管送风式空调机组能效限定值及</w:t>
            </w:r>
          </w:p>
          <w:p w14:paraId="352F4382">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能效等级》（GB 37479）</w:t>
            </w:r>
          </w:p>
        </w:tc>
      </w:tr>
      <w:tr w14:paraId="73ADB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343B43D">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407756C3">
            <w:pPr>
              <w:autoSpaceDN w:val="0"/>
              <w:jc w:val="left"/>
              <w:rPr>
                <w:rFonts w:hint="eastAsia" w:ascii="宋体" w:hAnsi="宋体" w:eastAsia="宋体" w:cs="宋体"/>
                <w:color w:val="000000"/>
                <w:w w:val="90"/>
                <w:szCs w:val="21"/>
                <w:highlight w:val="none"/>
              </w:rPr>
            </w:pPr>
          </w:p>
        </w:tc>
        <w:tc>
          <w:tcPr>
            <w:tcW w:w="2268" w:type="dxa"/>
            <w:noWrap/>
            <w:vAlign w:val="center"/>
          </w:tcPr>
          <w:p w14:paraId="553A839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A0206180301洗衣机</w:t>
            </w:r>
          </w:p>
        </w:tc>
        <w:tc>
          <w:tcPr>
            <w:tcW w:w="1550" w:type="dxa"/>
            <w:noWrap/>
            <w:vAlign w:val="center"/>
          </w:tcPr>
          <w:p w14:paraId="2B94643F">
            <w:pPr>
              <w:autoSpaceDN w:val="0"/>
              <w:jc w:val="left"/>
              <w:rPr>
                <w:rFonts w:hint="eastAsia" w:ascii="宋体" w:hAnsi="宋体" w:eastAsia="宋体" w:cs="宋体"/>
                <w:color w:val="000000"/>
                <w:w w:val="90"/>
                <w:szCs w:val="21"/>
                <w:highlight w:val="none"/>
              </w:rPr>
            </w:pPr>
          </w:p>
        </w:tc>
        <w:tc>
          <w:tcPr>
            <w:tcW w:w="3692" w:type="dxa"/>
            <w:noWrap/>
            <w:vAlign w:val="center"/>
          </w:tcPr>
          <w:p w14:paraId="0561AF4A">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《电动洗衣机能效水效限定值及等级》（GB 12021.4）</w:t>
            </w:r>
          </w:p>
        </w:tc>
      </w:tr>
      <w:tr w14:paraId="59C93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2C31720">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3AE621F">
            <w:pPr>
              <w:autoSpaceDN w:val="0"/>
              <w:jc w:val="left"/>
              <w:rPr>
                <w:rFonts w:hint="eastAsia" w:ascii="宋体" w:hAnsi="宋体" w:eastAsia="宋体" w:cs="宋体"/>
                <w:color w:val="000000"/>
                <w:w w:val="90"/>
                <w:szCs w:val="21"/>
                <w:highlight w:val="none"/>
              </w:rPr>
            </w:pPr>
          </w:p>
        </w:tc>
        <w:tc>
          <w:tcPr>
            <w:tcW w:w="2268" w:type="dxa"/>
            <w:vMerge w:val="restart"/>
            <w:noWrap/>
            <w:vAlign w:val="center"/>
          </w:tcPr>
          <w:p w14:paraId="55AF8E0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A02061808 热水器</w:t>
            </w:r>
          </w:p>
        </w:tc>
        <w:tc>
          <w:tcPr>
            <w:tcW w:w="1550" w:type="dxa"/>
            <w:noWrap/>
            <w:vAlign w:val="center"/>
          </w:tcPr>
          <w:p w14:paraId="15F8DA1E">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电热水器</w:t>
            </w:r>
          </w:p>
        </w:tc>
        <w:tc>
          <w:tcPr>
            <w:tcW w:w="3692" w:type="dxa"/>
            <w:noWrap/>
            <w:vAlign w:val="center"/>
          </w:tcPr>
          <w:p w14:paraId="4908BEDA">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《储水式电热水器能效限定值及能效等级》（GB</w:t>
            </w:r>
            <w:r>
              <w:rPr>
                <w:rFonts w:hint="eastAsia" w:ascii="宋体" w:hAnsi="宋体" w:eastAsia="宋体" w:cs="宋体"/>
                <w:color w:val="000000"/>
                <w:w w:val="90"/>
                <w:szCs w:val="21"/>
                <w:highlight w:val="none"/>
              </w:rPr>
              <w:tab/>
            </w:r>
            <w:r>
              <w:rPr>
                <w:rFonts w:hint="eastAsia" w:ascii="宋体" w:hAnsi="宋体" w:eastAsia="宋体" w:cs="宋体"/>
                <w:color w:val="000000"/>
                <w:w w:val="90"/>
                <w:szCs w:val="21"/>
                <w:highlight w:val="none"/>
              </w:rPr>
              <w:t>21519）</w:t>
            </w:r>
          </w:p>
        </w:tc>
      </w:tr>
      <w:tr w14:paraId="0E3647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B834895">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682D532D">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16C50B79">
            <w:pPr>
              <w:autoSpaceDN w:val="0"/>
              <w:jc w:val="left"/>
              <w:rPr>
                <w:rFonts w:hint="eastAsia" w:ascii="宋体" w:hAnsi="宋体" w:eastAsia="宋体" w:cs="宋体"/>
                <w:color w:val="000000"/>
                <w:w w:val="90"/>
                <w:szCs w:val="21"/>
                <w:highlight w:val="none"/>
              </w:rPr>
            </w:pPr>
          </w:p>
        </w:tc>
        <w:tc>
          <w:tcPr>
            <w:tcW w:w="1550" w:type="dxa"/>
            <w:noWrap/>
            <w:vAlign w:val="center"/>
          </w:tcPr>
          <w:p w14:paraId="21C1FEF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燃气热水器</w:t>
            </w:r>
          </w:p>
        </w:tc>
        <w:tc>
          <w:tcPr>
            <w:tcW w:w="3692" w:type="dxa"/>
            <w:noWrap/>
            <w:vAlign w:val="center"/>
          </w:tcPr>
          <w:p w14:paraId="33F691A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《家用燃气快速热水器和燃气采暖热水炉能效限定值及能效等级（GB 20665）</w:t>
            </w:r>
          </w:p>
        </w:tc>
      </w:tr>
      <w:tr w14:paraId="3F0501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C2B79E9">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CDAC9ED">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62597B29">
            <w:pPr>
              <w:autoSpaceDN w:val="0"/>
              <w:jc w:val="left"/>
              <w:rPr>
                <w:rFonts w:hint="eastAsia" w:ascii="宋体" w:hAnsi="宋体" w:eastAsia="宋体" w:cs="宋体"/>
                <w:color w:val="000000"/>
                <w:w w:val="90"/>
                <w:szCs w:val="21"/>
                <w:highlight w:val="none"/>
              </w:rPr>
            </w:pPr>
          </w:p>
        </w:tc>
        <w:tc>
          <w:tcPr>
            <w:tcW w:w="1550" w:type="dxa"/>
            <w:noWrap/>
            <w:vAlign w:val="center"/>
          </w:tcPr>
          <w:p w14:paraId="17D02363">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热泵热水器</w:t>
            </w:r>
          </w:p>
        </w:tc>
        <w:tc>
          <w:tcPr>
            <w:tcW w:w="3692" w:type="dxa"/>
            <w:noWrap/>
            <w:vAlign w:val="center"/>
          </w:tcPr>
          <w:p w14:paraId="18366DD7">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《热泵热水机（器）能效限定值及能效等级》（GB 29541）</w:t>
            </w:r>
          </w:p>
        </w:tc>
      </w:tr>
      <w:tr w14:paraId="41E8E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5E9C770">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348C59FF">
            <w:pPr>
              <w:autoSpaceDN w:val="0"/>
              <w:jc w:val="left"/>
              <w:rPr>
                <w:rFonts w:hint="eastAsia" w:ascii="宋体" w:hAnsi="宋体" w:eastAsia="宋体" w:cs="宋体"/>
                <w:color w:val="000000"/>
                <w:w w:val="90"/>
                <w:szCs w:val="21"/>
                <w:highlight w:val="none"/>
              </w:rPr>
            </w:pPr>
          </w:p>
        </w:tc>
        <w:tc>
          <w:tcPr>
            <w:tcW w:w="2268" w:type="dxa"/>
            <w:vMerge w:val="continue"/>
            <w:noWrap/>
            <w:vAlign w:val="center"/>
          </w:tcPr>
          <w:p w14:paraId="284808D6">
            <w:pPr>
              <w:autoSpaceDN w:val="0"/>
              <w:jc w:val="left"/>
              <w:rPr>
                <w:rFonts w:hint="eastAsia" w:ascii="宋体" w:hAnsi="宋体" w:eastAsia="宋体" w:cs="宋体"/>
                <w:color w:val="000000"/>
                <w:w w:val="90"/>
                <w:szCs w:val="21"/>
                <w:highlight w:val="none"/>
              </w:rPr>
            </w:pPr>
          </w:p>
        </w:tc>
        <w:tc>
          <w:tcPr>
            <w:tcW w:w="1550" w:type="dxa"/>
            <w:noWrap/>
            <w:vAlign w:val="center"/>
          </w:tcPr>
          <w:p w14:paraId="1390BA86">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太阳能热水系统</w:t>
            </w:r>
          </w:p>
        </w:tc>
        <w:tc>
          <w:tcPr>
            <w:tcW w:w="3692" w:type="dxa"/>
            <w:noWrap/>
            <w:vAlign w:val="center"/>
          </w:tcPr>
          <w:p w14:paraId="552C0C56">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《家用太阳能热水系统能效限定值及能效等级》（GB 26969）</w:t>
            </w:r>
          </w:p>
        </w:tc>
      </w:tr>
      <w:tr w14:paraId="54E983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02054E79">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11</w:t>
            </w:r>
          </w:p>
        </w:tc>
        <w:tc>
          <w:tcPr>
            <w:tcW w:w="1858" w:type="dxa"/>
            <w:vMerge w:val="restart"/>
            <w:noWrap/>
            <w:vAlign w:val="center"/>
          </w:tcPr>
          <w:p w14:paraId="3E48726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A020619 照明设备</w:t>
            </w:r>
          </w:p>
        </w:tc>
        <w:tc>
          <w:tcPr>
            <w:tcW w:w="2268" w:type="dxa"/>
            <w:noWrap/>
            <w:vAlign w:val="center"/>
          </w:tcPr>
          <w:p w14:paraId="564D7B27">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普通照明用双端荧光灯</w:t>
            </w:r>
          </w:p>
        </w:tc>
        <w:tc>
          <w:tcPr>
            <w:tcW w:w="1550" w:type="dxa"/>
            <w:noWrap/>
            <w:vAlign w:val="center"/>
          </w:tcPr>
          <w:p w14:paraId="0ED28656">
            <w:pPr>
              <w:autoSpaceDN w:val="0"/>
              <w:jc w:val="center"/>
              <w:rPr>
                <w:rFonts w:hint="eastAsia" w:ascii="宋体" w:hAnsi="宋体" w:eastAsia="宋体" w:cs="宋体"/>
                <w:color w:val="000000"/>
                <w:w w:val="90"/>
                <w:szCs w:val="21"/>
                <w:highlight w:val="none"/>
              </w:rPr>
            </w:pPr>
          </w:p>
        </w:tc>
        <w:tc>
          <w:tcPr>
            <w:tcW w:w="3692" w:type="dxa"/>
            <w:noWrap/>
            <w:vAlign w:val="center"/>
          </w:tcPr>
          <w:p w14:paraId="1B0BA43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《普通照明用双端荧光灯能效限定值及能效等级》（GB 19043）</w:t>
            </w:r>
          </w:p>
        </w:tc>
      </w:tr>
      <w:tr w14:paraId="0A7C65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64B7A65">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6BAD58FD">
            <w:pPr>
              <w:autoSpaceDN w:val="0"/>
              <w:jc w:val="left"/>
              <w:rPr>
                <w:rFonts w:hint="eastAsia" w:ascii="宋体" w:hAnsi="宋体" w:eastAsia="宋体" w:cs="宋体"/>
                <w:color w:val="000000"/>
                <w:w w:val="90"/>
                <w:szCs w:val="21"/>
                <w:highlight w:val="none"/>
              </w:rPr>
            </w:pPr>
          </w:p>
        </w:tc>
        <w:tc>
          <w:tcPr>
            <w:tcW w:w="2268" w:type="dxa"/>
            <w:noWrap/>
            <w:vAlign w:val="center"/>
          </w:tcPr>
          <w:p w14:paraId="5892CD2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LED道路/隧道照明产品</w:t>
            </w:r>
          </w:p>
        </w:tc>
        <w:tc>
          <w:tcPr>
            <w:tcW w:w="1550" w:type="dxa"/>
            <w:noWrap/>
            <w:vAlign w:val="center"/>
          </w:tcPr>
          <w:p w14:paraId="3F93B761">
            <w:pPr>
              <w:autoSpaceDN w:val="0"/>
              <w:jc w:val="center"/>
              <w:rPr>
                <w:rFonts w:hint="eastAsia" w:ascii="宋体" w:hAnsi="宋体" w:eastAsia="宋体" w:cs="宋体"/>
                <w:color w:val="000000"/>
                <w:w w:val="90"/>
                <w:szCs w:val="21"/>
                <w:highlight w:val="none"/>
              </w:rPr>
            </w:pPr>
          </w:p>
        </w:tc>
        <w:tc>
          <w:tcPr>
            <w:tcW w:w="3692" w:type="dxa"/>
            <w:noWrap/>
            <w:vAlign w:val="center"/>
          </w:tcPr>
          <w:p w14:paraId="64AAAA95">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《道路和隧道照明用 LED 灯具能效限定值及能效等级》（GB 37478</w:t>
            </w:r>
          </w:p>
        </w:tc>
      </w:tr>
      <w:tr w14:paraId="3FA3A9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7EF1349">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5BF98295">
            <w:pPr>
              <w:autoSpaceDN w:val="0"/>
              <w:jc w:val="left"/>
              <w:rPr>
                <w:rFonts w:hint="eastAsia" w:ascii="宋体" w:hAnsi="宋体" w:eastAsia="宋体" w:cs="宋体"/>
                <w:color w:val="000000"/>
                <w:w w:val="90"/>
                <w:szCs w:val="21"/>
                <w:highlight w:val="none"/>
              </w:rPr>
            </w:pPr>
          </w:p>
        </w:tc>
        <w:tc>
          <w:tcPr>
            <w:tcW w:w="2268" w:type="dxa"/>
            <w:noWrap/>
            <w:vAlign w:val="center"/>
          </w:tcPr>
          <w:p w14:paraId="6081D9F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LED筒灯</w:t>
            </w:r>
          </w:p>
        </w:tc>
        <w:tc>
          <w:tcPr>
            <w:tcW w:w="1550" w:type="dxa"/>
            <w:noWrap/>
            <w:vAlign w:val="center"/>
          </w:tcPr>
          <w:p w14:paraId="4F197721">
            <w:pPr>
              <w:autoSpaceDN w:val="0"/>
              <w:jc w:val="center"/>
              <w:rPr>
                <w:rFonts w:hint="eastAsia" w:ascii="宋体" w:hAnsi="宋体" w:eastAsia="宋体" w:cs="宋体"/>
                <w:color w:val="000000"/>
                <w:w w:val="90"/>
                <w:szCs w:val="21"/>
                <w:highlight w:val="none"/>
              </w:rPr>
            </w:pPr>
          </w:p>
        </w:tc>
        <w:tc>
          <w:tcPr>
            <w:tcW w:w="3692" w:type="dxa"/>
            <w:noWrap/>
            <w:vAlign w:val="center"/>
          </w:tcPr>
          <w:p w14:paraId="7D9CD74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《室内照明用LED产品能效限定值及能效等级》（GB 30255）</w:t>
            </w:r>
          </w:p>
        </w:tc>
      </w:tr>
      <w:tr w14:paraId="2E250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66405C8">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69749736">
            <w:pPr>
              <w:autoSpaceDN w:val="0"/>
              <w:jc w:val="left"/>
              <w:rPr>
                <w:rFonts w:hint="eastAsia" w:ascii="宋体" w:hAnsi="宋体" w:eastAsia="宋体" w:cs="宋体"/>
                <w:color w:val="000000"/>
                <w:w w:val="90"/>
                <w:szCs w:val="21"/>
                <w:highlight w:val="none"/>
              </w:rPr>
            </w:pPr>
          </w:p>
        </w:tc>
        <w:tc>
          <w:tcPr>
            <w:tcW w:w="2268" w:type="dxa"/>
            <w:noWrap/>
            <w:vAlign w:val="center"/>
          </w:tcPr>
          <w:p w14:paraId="072C8D2D">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普通照明用非定向自镇流LED灯</w:t>
            </w:r>
          </w:p>
        </w:tc>
        <w:tc>
          <w:tcPr>
            <w:tcW w:w="1550" w:type="dxa"/>
            <w:noWrap/>
            <w:vAlign w:val="center"/>
          </w:tcPr>
          <w:p w14:paraId="30F1287F">
            <w:pPr>
              <w:autoSpaceDN w:val="0"/>
              <w:jc w:val="center"/>
              <w:rPr>
                <w:rFonts w:hint="eastAsia" w:ascii="宋体" w:hAnsi="宋体" w:eastAsia="宋体" w:cs="宋体"/>
                <w:color w:val="000000"/>
                <w:w w:val="90"/>
                <w:szCs w:val="21"/>
                <w:highlight w:val="none"/>
              </w:rPr>
            </w:pPr>
          </w:p>
        </w:tc>
        <w:tc>
          <w:tcPr>
            <w:tcW w:w="3692" w:type="dxa"/>
            <w:noWrap/>
            <w:vAlign w:val="center"/>
          </w:tcPr>
          <w:p w14:paraId="1AD7D9EE">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《室内照明用 LED 产品能效限定值及能效等级》（GB 30255）</w:t>
            </w:r>
          </w:p>
        </w:tc>
      </w:tr>
      <w:tr w14:paraId="45123C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DA4C1FF">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12</w:t>
            </w:r>
          </w:p>
        </w:tc>
        <w:tc>
          <w:tcPr>
            <w:tcW w:w="1858" w:type="dxa"/>
            <w:noWrap/>
            <w:vAlign w:val="center"/>
          </w:tcPr>
          <w:p w14:paraId="537385D5">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A020910电视设备</w:t>
            </w:r>
          </w:p>
        </w:tc>
        <w:tc>
          <w:tcPr>
            <w:tcW w:w="2268" w:type="dxa"/>
            <w:noWrap/>
            <w:vAlign w:val="center"/>
          </w:tcPr>
          <w:p w14:paraId="3581F7B4">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A02091001普通电视设备（电视机）</w:t>
            </w:r>
          </w:p>
        </w:tc>
        <w:tc>
          <w:tcPr>
            <w:tcW w:w="1550" w:type="dxa"/>
            <w:noWrap/>
            <w:vAlign w:val="center"/>
          </w:tcPr>
          <w:p w14:paraId="162E4739">
            <w:pPr>
              <w:autoSpaceDN w:val="0"/>
              <w:jc w:val="center"/>
              <w:rPr>
                <w:rFonts w:hint="eastAsia" w:ascii="宋体" w:hAnsi="宋体" w:eastAsia="宋体" w:cs="宋体"/>
                <w:color w:val="000000"/>
                <w:w w:val="90"/>
                <w:szCs w:val="21"/>
                <w:highlight w:val="none"/>
              </w:rPr>
            </w:pPr>
          </w:p>
        </w:tc>
        <w:tc>
          <w:tcPr>
            <w:tcW w:w="3692" w:type="dxa"/>
            <w:noWrap/>
            <w:vAlign w:val="center"/>
          </w:tcPr>
          <w:p w14:paraId="4FC3A6FF">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《平板电视能效限定值及能效等级》（GB 24850）</w:t>
            </w:r>
          </w:p>
        </w:tc>
      </w:tr>
      <w:tr w14:paraId="4308DF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7EC274D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13</w:t>
            </w:r>
          </w:p>
        </w:tc>
        <w:tc>
          <w:tcPr>
            <w:tcW w:w="1858" w:type="dxa"/>
            <w:noWrap/>
            <w:vAlign w:val="center"/>
          </w:tcPr>
          <w:p w14:paraId="4C502D27">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A020911视频设备</w:t>
            </w:r>
          </w:p>
        </w:tc>
        <w:tc>
          <w:tcPr>
            <w:tcW w:w="2268" w:type="dxa"/>
            <w:noWrap/>
            <w:vAlign w:val="center"/>
          </w:tcPr>
          <w:p w14:paraId="53A06392">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A02091107 视频监控设备</w:t>
            </w:r>
          </w:p>
        </w:tc>
        <w:tc>
          <w:tcPr>
            <w:tcW w:w="1550" w:type="dxa"/>
            <w:noWrap/>
            <w:vAlign w:val="center"/>
          </w:tcPr>
          <w:p w14:paraId="753D1993">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监视器</w:t>
            </w:r>
          </w:p>
        </w:tc>
        <w:tc>
          <w:tcPr>
            <w:tcW w:w="3692" w:type="dxa"/>
            <w:noWrap/>
            <w:vAlign w:val="center"/>
          </w:tcPr>
          <w:p w14:paraId="2BC4DBBA">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0483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34A479A5">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14</w:t>
            </w:r>
          </w:p>
        </w:tc>
        <w:tc>
          <w:tcPr>
            <w:tcW w:w="1858" w:type="dxa"/>
            <w:noWrap/>
            <w:vAlign w:val="center"/>
          </w:tcPr>
          <w:p w14:paraId="735604EC">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A031210饮食炊事机械</w:t>
            </w:r>
          </w:p>
        </w:tc>
        <w:tc>
          <w:tcPr>
            <w:tcW w:w="2268" w:type="dxa"/>
            <w:noWrap/>
            <w:vAlign w:val="center"/>
          </w:tcPr>
          <w:p w14:paraId="69A62DB2">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商用燃气灶具</w:t>
            </w:r>
          </w:p>
        </w:tc>
        <w:tc>
          <w:tcPr>
            <w:tcW w:w="1550" w:type="dxa"/>
            <w:noWrap/>
            <w:vAlign w:val="center"/>
          </w:tcPr>
          <w:p w14:paraId="7503D2A0">
            <w:pPr>
              <w:autoSpaceDN w:val="0"/>
              <w:jc w:val="center"/>
              <w:rPr>
                <w:rFonts w:hint="eastAsia" w:ascii="宋体" w:hAnsi="宋体" w:eastAsia="宋体" w:cs="宋体"/>
                <w:color w:val="000000"/>
                <w:w w:val="90"/>
                <w:szCs w:val="21"/>
                <w:highlight w:val="none"/>
              </w:rPr>
            </w:pPr>
          </w:p>
        </w:tc>
        <w:tc>
          <w:tcPr>
            <w:tcW w:w="3692" w:type="dxa"/>
            <w:noWrap/>
            <w:vAlign w:val="center"/>
          </w:tcPr>
          <w:p w14:paraId="1A7A8D8A">
            <w:pPr>
              <w:autoSpaceDN w:val="0"/>
              <w:jc w:val="left"/>
              <w:rPr>
                <w:rFonts w:hint="eastAsia" w:ascii="宋体" w:hAnsi="宋体" w:eastAsia="宋体" w:cs="宋体"/>
                <w:color w:val="000000"/>
                <w:w w:val="90"/>
                <w:szCs w:val="21"/>
                <w:highlight w:val="none"/>
              </w:rPr>
            </w:pPr>
          </w:p>
        </w:tc>
      </w:tr>
      <w:tr w14:paraId="3C1932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1E8A443C">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15</w:t>
            </w:r>
          </w:p>
        </w:tc>
        <w:tc>
          <w:tcPr>
            <w:tcW w:w="1858" w:type="dxa"/>
            <w:vMerge w:val="restart"/>
            <w:noWrap/>
            <w:vAlign w:val="center"/>
          </w:tcPr>
          <w:p w14:paraId="6D8018D2">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A060805便器</w:t>
            </w:r>
          </w:p>
        </w:tc>
        <w:tc>
          <w:tcPr>
            <w:tcW w:w="2268" w:type="dxa"/>
            <w:noWrap/>
            <w:vAlign w:val="center"/>
          </w:tcPr>
          <w:p w14:paraId="69A99AFA">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坐便器</w:t>
            </w:r>
          </w:p>
        </w:tc>
        <w:tc>
          <w:tcPr>
            <w:tcW w:w="1550" w:type="dxa"/>
            <w:noWrap/>
            <w:vAlign w:val="center"/>
          </w:tcPr>
          <w:p w14:paraId="2A99FA9E">
            <w:pPr>
              <w:autoSpaceDN w:val="0"/>
              <w:jc w:val="center"/>
              <w:rPr>
                <w:rFonts w:hint="eastAsia" w:ascii="宋体" w:hAnsi="宋体" w:eastAsia="宋体" w:cs="宋体"/>
                <w:color w:val="000000"/>
                <w:w w:val="90"/>
                <w:szCs w:val="21"/>
                <w:highlight w:val="none"/>
              </w:rPr>
            </w:pPr>
          </w:p>
        </w:tc>
        <w:tc>
          <w:tcPr>
            <w:tcW w:w="3692" w:type="dxa"/>
            <w:noWrap/>
            <w:vAlign w:val="center"/>
          </w:tcPr>
          <w:p w14:paraId="1A947C26">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《坐便器水效限定值及水效等级</w:t>
            </w:r>
          </w:p>
          <w:p w14:paraId="156B16D7">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（GB 25502）</w:t>
            </w:r>
          </w:p>
        </w:tc>
      </w:tr>
      <w:tr w14:paraId="713838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809F269">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6DC2AC75">
            <w:pPr>
              <w:autoSpaceDN w:val="0"/>
              <w:jc w:val="left"/>
              <w:rPr>
                <w:rFonts w:hint="eastAsia" w:ascii="宋体" w:hAnsi="宋体" w:eastAsia="宋体" w:cs="宋体"/>
                <w:b/>
                <w:color w:val="000000"/>
                <w:w w:val="90"/>
                <w:szCs w:val="21"/>
                <w:highlight w:val="none"/>
              </w:rPr>
            </w:pPr>
          </w:p>
        </w:tc>
        <w:tc>
          <w:tcPr>
            <w:tcW w:w="2268" w:type="dxa"/>
            <w:noWrap/>
            <w:vAlign w:val="center"/>
          </w:tcPr>
          <w:p w14:paraId="7CC7772F">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蹲便器</w:t>
            </w:r>
          </w:p>
        </w:tc>
        <w:tc>
          <w:tcPr>
            <w:tcW w:w="1550" w:type="dxa"/>
            <w:noWrap/>
            <w:vAlign w:val="center"/>
          </w:tcPr>
          <w:p w14:paraId="664ACA8A">
            <w:pPr>
              <w:autoSpaceDN w:val="0"/>
              <w:jc w:val="center"/>
              <w:rPr>
                <w:rFonts w:hint="eastAsia" w:ascii="宋体" w:hAnsi="宋体" w:eastAsia="宋体" w:cs="宋体"/>
                <w:color w:val="000000"/>
                <w:w w:val="90"/>
                <w:szCs w:val="21"/>
                <w:highlight w:val="none"/>
              </w:rPr>
            </w:pPr>
          </w:p>
        </w:tc>
        <w:tc>
          <w:tcPr>
            <w:tcW w:w="3692" w:type="dxa"/>
            <w:noWrap/>
            <w:vAlign w:val="center"/>
          </w:tcPr>
          <w:p w14:paraId="1D0961D1">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《蹲便器用水效率限定值及用水效率等级》（GB 30717）</w:t>
            </w:r>
          </w:p>
        </w:tc>
      </w:tr>
      <w:tr w14:paraId="53996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EBF2520">
            <w:pPr>
              <w:autoSpaceDN w:val="0"/>
              <w:jc w:val="center"/>
              <w:rPr>
                <w:rFonts w:hint="eastAsia" w:ascii="宋体" w:hAnsi="宋体" w:eastAsia="宋体" w:cs="宋体"/>
                <w:color w:val="000000"/>
                <w:w w:val="90"/>
                <w:szCs w:val="21"/>
                <w:highlight w:val="none"/>
              </w:rPr>
            </w:pPr>
          </w:p>
        </w:tc>
        <w:tc>
          <w:tcPr>
            <w:tcW w:w="1858" w:type="dxa"/>
            <w:vMerge w:val="continue"/>
            <w:noWrap/>
            <w:vAlign w:val="center"/>
          </w:tcPr>
          <w:p w14:paraId="31CF1F73">
            <w:pPr>
              <w:autoSpaceDN w:val="0"/>
              <w:jc w:val="left"/>
              <w:rPr>
                <w:rFonts w:hint="eastAsia" w:ascii="宋体" w:hAnsi="宋体" w:eastAsia="宋体" w:cs="宋体"/>
                <w:b/>
                <w:color w:val="000000"/>
                <w:w w:val="90"/>
                <w:szCs w:val="21"/>
                <w:highlight w:val="none"/>
              </w:rPr>
            </w:pPr>
          </w:p>
        </w:tc>
        <w:tc>
          <w:tcPr>
            <w:tcW w:w="2268" w:type="dxa"/>
            <w:noWrap/>
            <w:vAlign w:val="center"/>
          </w:tcPr>
          <w:p w14:paraId="1D8988EA">
            <w:pPr>
              <w:autoSpaceDN w:val="0"/>
              <w:jc w:val="left"/>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小便器</w:t>
            </w:r>
          </w:p>
        </w:tc>
        <w:tc>
          <w:tcPr>
            <w:tcW w:w="1550" w:type="dxa"/>
            <w:noWrap/>
            <w:vAlign w:val="center"/>
          </w:tcPr>
          <w:p w14:paraId="503EB962">
            <w:pPr>
              <w:autoSpaceDN w:val="0"/>
              <w:jc w:val="center"/>
              <w:rPr>
                <w:rFonts w:hint="eastAsia" w:ascii="宋体" w:hAnsi="宋体" w:eastAsia="宋体" w:cs="宋体"/>
                <w:color w:val="000000"/>
                <w:w w:val="90"/>
                <w:szCs w:val="21"/>
                <w:highlight w:val="none"/>
              </w:rPr>
            </w:pPr>
          </w:p>
        </w:tc>
        <w:tc>
          <w:tcPr>
            <w:tcW w:w="3692" w:type="dxa"/>
            <w:noWrap/>
            <w:vAlign w:val="center"/>
          </w:tcPr>
          <w:p w14:paraId="0906EB37">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《小便器用水效率限定值及用水效率等级》（GB 28377）</w:t>
            </w:r>
          </w:p>
        </w:tc>
      </w:tr>
      <w:tr w14:paraId="19ED23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2D1A829">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16</w:t>
            </w:r>
          </w:p>
        </w:tc>
        <w:tc>
          <w:tcPr>
            <w:tcW w:w="1858" w:type="dxa"/>
            <w:noWrap/>
            <w:vAlign w:val="center"/>
          </w:tcPr>
          <w:p w14:paraId="63A80CFF">
            <w:pPr>
              <w:autoSpaceDN w:val="0"/>
              <w:jc w:val="left"/>
              <w:rPr>
                <w:rFonts w:hint="eastAsia" w:ascii="宋体" w:hAnsi="宋体" w:eastAsia="宋体" w:cs="宋体"/>
                <w:b/>
                <w:color w:val="000000"/>
                <w:w w:val="90"/>
                <w:szCs w:val="21"/>
                <w:highlight w:val="none"/>
              </w:rPr>
            </w:pPr>
            <w:r>
              <w:rPr>
                <w:rFonts w:hint="eastAsia" w:ascii="宋体" w:hAnsi="宋体" w:eastAsia="宋体" w:cs="宋体"/>
                <w:color w:val="000000"/>
                <w:w w:val="90"/>
                <w:szCs w:val="21"/>
                <w:highlight w:val="none"/>
              </w:rPr>
              <w:t>★</w:t>
            </w:r>
            <w:r>
              <w:rPr>
                <w:rFonts w:hint="eastAsia" w:ascii="宋体" w:hAnsi="宋体" w:eastAsia="宋体" w:cs="宋体"/>
                <w:b/>
                <w:color w:val="000000"/>
                <w:w w:val="90"/>
                <w:szCs w:val="21"/>
                <w:highlight w:val="none"/>
              </w:rPr>
              <w:t>A060806水嘴</w:t>
            </w:r>
          </w:p>
        </w:tc>
        <w:tc>
          <w:tcPr>
            <w:tcW w:w="2268" w:type="dxa"/>
            <w:noWrap/>
            <w:vAlign w:val="center"/>
          </w:tcPr>
          <w:p w14:paraId="5B428552">
            <w:pPr>
              <w:autoSpaceDN w:val="0"/>
              <w:jc w:val="left"/>
              <w:rPr>
                <w:rFonts w:hint="eastAsia" w:ascii="宋体" w:hAnsi="宋体" w:eastAsia="宋体" w:cs="宋体"/>
                <w:color w:val="000000"/>
                <w:w w:val="90"/>
                <w:szCs w:val="21"/>
                <w:highlight w:val="none"/>
              </w:rPr>
            </w:pPr>
          </w:p>
        </w:tc>
        <w:tc>
          <w:tcPr>
            <w:tcW w:w="1550" w:type="dxa"/>
            <w:noWrap/>
            <w:vAlign w:val="center"/>
          </w:tcPr>
          <w:p w14:paraId="3536CBAB">
            <w:pPr>
              <w:autoSpaceDN w:val="0"/>
              <w:jc w:val="center"/>
              <w:rPr>
                <w:rFonts w:hint="eastAsia" w:ascii="宋体" w:hAnsi="宋体" w:eastAsia="宋体" w:cs="宋体"/>
                <w:color w:val="000000"/>
                <w:w w:val="90"/>
                <w:szCs w:val="21"/>
                <w:highlight w:val="none"/>
              </w:rPr>
            </w:pPr>
          </w:p>
        </w:tc>
        <w:tc>
          <w:tcPr>
            <w:tcW w:w="3692" w:type="dxa"/>
            <w:noWrap/>
            <w:vAlign w:val="center"/>
          </w:tcPr>
          <w:p w14:paraId="3A5CA739">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《水嘴用水效率限定值及用水效率等级》（GB 25501）</w:t>
            </w:r>
          </w:p>
        </w:tc>
      </w:tr>
      <w:tr w14:paraId="0E18E7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4FDDF839">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17</w:t>
            </w:r>
          </w:p>
        </w:tc>
        <w:tc>
          <w:tcPr>
            <w:tcW w:w="1858" w:type="dxa"/>
            <w:noWrap/>
            <w:vAlign w:val="center"/>
          </w:tcPr>
          <w:p w14:paraId="5129A623">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A060807便器冲洗阀</w:t>
            </w:r>
          </w:p>
        </w:tc>
        <w:tc>
          <w:tcPr>
            <w:tcW w:w="2268" w:type="dxa"/>
            <w:noWrap/>
            <w:vAlign w:val="center"/>
          </w:tcPr>
          <w:p w14:paraId="05A0C6CD">
            <w:pPr>
              <w:autoSpaceDN w:val="0"/>
              <w:jc w:val="left"/>
              <w:rPr>
                <w:rFonts w:hint="eastAsia" w:ascii="宋体" w:hAnsi="宋体" w:eastAsia="宋体" w:cs="宋体"/>
                <w:color w:val="000000"/>
                <w:w w:val="90"/>
                <w:szCs w:val="21"/>
                <w:highlight w:val="none"/>
              </w:rPr>
            </w:pPr>
          </w:p>
        </w:tc>
        <w:tc>
          <w:tcPr>
            <w:tcW w:w="1550" w:type="dxa"/>
            <w:noWrap/>
            <w:vAlign w:val="center"/>
          </w:tcPr>
          <w:p w14:paraId="5DAD159C">
            <w:pPr>
              <w:autoSpaceDN w:val="0"/>
              <w:jc w:val="center"/>
              <w:rPr>
                <w:rFonts w:hint="eastAsia" w:ascii="宋体" w:hAnsi="宋体" w:eastAsia="宋体" w:cs="宋体"/>
                <w:color w:val="000000"/>
                <w:w w:val="90"/>
                <w:szCs w:val="21"/>
                <w:highlight w:val="none"/>
              </w:rPr>
            </w:pPr>
          </w:p>
        </w:tc>
        <w:tc>
          <w:tcPr>
            <w:tcW w:w="3692" w:type="dxa"/>
            <w:noWrap/>
            <w:vAlign w:val="center"/>
          </w:tcPr>
          <w:p w14:paraId="02261C00">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《便器冲洗阀用水效率限定值及用水效率等级》（GB 28379）</w:t>
            </w:r>
          </w:p>
        </w:tc>
      </w:tr>
      <w:tr w14:paraId="3B29B9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0361ABE">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18</w:t>
            </w:r>
          </w:p>
        </w:tc>
        <w:tc>
          <w:tcPr>
            <w:tcW w:w="1858" w:type="dxa"/>
            <w:noWrap/>
            <w:vAlign w:val="center"/>
          </w:tcPr>
          <w:p w14:paraId="670C6053">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A060810淋浴器</w:t>
            </w:r>
          </w:p>
        </w:tc>
        <w:tc>
          <w:tcPr>
            <w:tcW w:w="2268" w:type="dxa"/>
            <w:noWrap/>
            <w:vAlign w:val="center"/>
          </w:tcPr>
          <w:p w14:paraId="0BE0ACA4">
            <w:pPr>
              <w:autoSpaceDN w:val="0"/>
              <w:jc w:val="left"/>
              <w:rPr>
                <w:rFonts w:hint="eastAsia" w:ascii="宋体" w:hAnsi="宋体" w:eastAsia="宋体" w:cs="宋体"/>
                <w:color w:val="000000"/>
                <w:w w:val="90"/>
                <w:szCs w:val="21"/>
                <w:highlight w:val="none"/>
              </w:rPr>
            </w:pPr>
          </w:p>
        </w:tc>
        <w:tc>
          <w:tcPr>
            <w:tcW w:w="1550" w:type="dxa"/>
            <w:noWrap/>
            <w:vAlign w:val="center"/>
          </w:tcPr>
          <w:p w14:paraId="4A6B4992">
            <w:pPr>
              <w:autoSpaceDN w:val="0"/>
              <w:jc w:val="center"/>
              <w:rPr>
                <w:rFonts w:hint="eastAsia" w:ascii="宋体" w:hAnsi="宋体" w:eastAsia="宋体" w:cs="宋体"/>
                <w:color w:val="000000"/>
                <w:w w:val="90"/>
                <w:szCs w:val="21"/>
                <w:highlight w:val="none"/>
              </w:rPr>
            </w:pPr>
          </w:p>
        </w:tc>
        <w:tc>
          <w:tcPr>
            <w:tcW w:w="3692" w:type="dxa"/>
            <w:noWrap/>
            <w:vAlign w:val="center"/>
          </w:tcPr>
          <w:p w14:paraId="34FE2E43">
            <w:pPr>
              <w:autoSpaceDN w:val="0"/>
              <w:jc w:val="left"/>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《淋浴器用水效率限定值及用水效率等级》（GB 28378）</w:t>
            </w:r>
          </w:p>
        </w:tc>
      </w:tr>
    </w:tbl>
    <w:p w14:paraId="3D32EAF0">
      <w:pPr>
        <w:autoSpaceDN w:val="0"/>
        <w:spacing w:line="360" w:lineRule="auto"/>
        <w:ind w:left="-850" w:leftChars="-405" w:right="-1050" w:rightChars="-500" w:firstLine="382" w:firstLineChars="201"/>
        <w:rPr>
          <w:rFonts w:hint="eastAsia" w:ascii="宋体" w:hAnsi="宋体" w:eastAsia="宋体" w:cs="宋体"/>
          <w:b/>
          <w:color w:val="000000"/>
          <w:w w:val="90"/>
          <w:highlight w:val="none"/>
        </w:rPr>
      </w:pPr>
      <w:r>
        <w:rPr>
          <w:rFonts w:hint="eastAsia" w:ascii="宋体" w:hAnsi="宋体" w:eastAsia="宋体" w:cs="宋体"/>
          <w:b/>
          <w:color w:val="000000"/>
          <w:w w:val="90"/>
          <w:highlight w:val="none"/>
        </w:rPr>
        <w:t>注：1、节能产品认证应依据相关国家标准的最新版本，依据国家标准中二级能效（水效）指标。</w:t>
      </w:r>
    </w:p>
    <w:p w14:paraId="00A322A1">
      <w:pPr>
        <w:autoSpaceDN w:val="0"/>
        <w:spacing w:line="360" w:lineRule="auto"/>
        <w:ind w:left="-850" w:leftChars="-405" w:right="-1050" w:rightChars="-500" w:firstLine="382" w:firstLineChars="201"/>
        <w:rPr>
          <w:rFonts w:hint="eastAsia" w:ascii="宋体" w:hAnsi="宋体" w:eastAsia="宋体" w:cs="宋体"/>
          <w:b/>
          <w:color w:val="000000"/>
          <w:w w:val="90"/>
          <w:highlight w:val="none"/>
        </w:rPr>
      </w:pPr>
      <w:r>
        <w:rPr>
          <w:rFonts w:hint="eastAsia" w:ascii="宋体" w:hAnsi="宋体" w:eastAsia="宋体" w:cs="宋体"/>
          <w:b/>
          <w:color w:val="000000"/>
          <w:w w:val="90"/>
          <w:highlight w:val="none"/>
        </w:rPr>
        <w:t>2、上述产品中认证标准发生变更的，依据原认证标准获得的、仍在有效期内的认证证书可使用至2019年6月1日。</w:t>
      </w:r>
    </w:p>
    <w:p w14:paraId="48FCC4C3">
      <w:pPr>
        <w:autoSpaceDN w:val="0"/>
        <w:spacing w:line="360" w:lineRule="auto"/>
        <w:ind w:left="-850" w:leftChars="-405" w:right="-1050" w:rightChars="-500" w:firstLine="382" w:firstLineChars="201"/>
        <w:rPr>
          <w:rFonts w:hint="eastAsia" w:ascii="宋体" w:hAnsi="宋体" w:eastAsia="宋体" w:cs="宋体"/>
          <w:color w:val="000000"/>
          <w:highlight w:val="none"/>
        </w:rPr>
      </w:pPr>
      <w:r>
        <w:rPr>
          <w:rFonts w:hint="eastAsia" w:ascii="宋体" w:hAnsi="宋体" w:eastAsia="宋体" w:cs="宋体"/>
          <w:b/>
          <w:color w:val="000000"/>
          <w:w w:val="90"/>
          <w:highlight w:val="none"/>
        </w:rPr>
        <w:t>3、以“★”标注的为政府强制采购产品。</w:t>
      </w:r>
    </w:p>
    <w:p w14:paraId="26AF5852">
      <w:pPr>
        <w:keepNext/>
        <w:keepLines/>
        <w:autoSpaceDN w:val="0"/>
        <w:spacing w:before="240" w:line="360" w:lineRule="auto"/>
        <w:jc w:val="left"/>
        <w:outlineLvl w:val="2"/>
        <w:rPr>
          <w:rFonts w:hint="eastAsia" w:ascii="宋体" w:hAnsi="宋体" w:eastAsia="宋体" w:cs="宋体"/>
          <w:b/>
          <w:bCs/>
          <w:color w:val="000000"/>
          <w:kern w:val="0"/>
          <w:sz w:val="30"/>
          <w:highlight w:val="none"/>
        </w:rPr>
      </w:pPr>
      <w:r>
        <w:rPr>
          <w:rFonts w:hint="eastAsia" w:ascii="宋体" w:hAnsi="宋体" w:eastAsia="宋体" w:cs="宋体"/>
          <w:b/>
          <w:bCs/>
          <w:color w:val="000000"/>
          <w:kern w:val="0"/>
          <w:sz w:val="24"/>
          <w:szCs w:val="28"/>
          <w:highlight w:val="none"/>
        </w:rPr>
        <w:br w:type="page"/>
      </w:r>
      <w:bookmarkStart w:id="265" w:name="_Toc7988474"/>
      <w:bookmarkStart w:id="266" w:name="_Toc20358291"/>
      <w:bookmarkStart w:id="267" w:name="_Toc7993640"/>
      <w:bookmarkStart w:id="268" w:name="_Toc7668949"/>
      <w:bookmarkStart w:id="269" w:name="_Toc8007004"/>
      <w:bookmarkStart w:id="270" w:name="_Toc7988420"/>
      <w:bookmarkStart w:id="271" w:name="_Toc7574704"/>
      <w:bookmarkStart w:id="272" w:name="_Toc7488758"/>
      <w:bookmarkStart w:id="273" w:name="_Toc7663596"/>
      <w:bookmarkStart w:id="274" w:name="_Toc17428253"/>
      <w:bookmarkStart w:id="275" w:name="_Toc17428348"/>
      <w:bookmarkStart w:id="276" w:name="_Toc7492527"/>
      <w:bookmarkStart w:id="277" w:name="_Toc24471817"/>
      <w:bookmarkStart w:id="278" w:name="_Toc10432457"/>
      <w:bookmarkStart w:id="279" w:name="_Toc25765009"/>
      <w:bookmarkStart w:id="280" w:name="_Toc7542915"/>
      <w:bookmarkStart w:id="281" w:name="_Toc7664196"/>
      <w:r>
        <w:rPr>
          <w:rFonts w:hint="eastAsia" w:ascii="宋体" w:hAnsi="宋体" w:eastAsia="宋体" w:cs="宋体"/>
          <w:b/>
          <w:bCs/>
          <w:color w:val="000000"/>
          <w:kern w:val="0"/>
          <w:sz w:val="30"/>
          <w:szCs w:val="28"/>
          <w:highlight w:val="none"/>
        </w:rPr>
        <w:t>四、</w:t>
      </w:r>
      <w:r>
        <w:rPr>
          <w:rFonts w:hint="eastAsia" w:ascii="宋体" w:hAnsi="宋体" w:eastAsia="宋体" w:cs="宋体"/>
          <w:b/>
          <w:bCs/>
          <w:color w:val="000000"/>
          <w:kern w:val="0"/>
          <w:sz w:val="30"/>
          <w:highlight w:val="none"/>
        </w:rPr>
        <w:t>关于印发环境标志产品政府采购品目清单的通知（财库〔2019〕18号）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E5A31CB">
      <w:pPr>
        <w:autoSpaceDN w:val="0"/>
        <w:jc w:val="center"/>
        <w:rPr>
          <w:rFonts w:hint="eastAsia" w:ascii="宋体" w:hAnsi="宋体" w:eastAsia="宋体" w:cs="宋体"/>
          <w:color w:val="000000"/>
          <w:kern w:val="0"/>
          <w:sz w:val="24"/>
          <w:szCs w:val="28"/>
          <w:highlight w:val="none"/>
        </w:rPr>
      </w:pPr>
    </w:p>
    <w:p w14:paraId="0294F4C7">
      <w:pPr>
        <w:autoSpaceDN w:val="0"/>
        <w:jc w:val="center"/>
        <w:rPr>
          <w:rFonts w:hint="eastAsia" w:ascii="宋体" w:hAnsi="宋体" w:eastAsia="宋体" w:cs="宋体"/>
          <w:b/>
          <w:color w:val="000000"/>
          <w:kern w:val="0"/>
          <w:sz w:val="32"/>
          <w:highlight w:val="none"/>
        </w:rPr>
      </w:pPr>
      <w:r>
        <w:rPr>
          <w:rFonts w:hint="eastAsia" w:ascii="宋体" w:hAnsi="宋体" w:eastAsia="宋体" w:cs="宋体"/>
          <w:b/>
          <w:color w:val="000000"/>
          <w:kern w:val="0"/>
          <w:sz w:val="32"/>
          <w:highlight w:val="none"/>
        </w:rPr>
        <w:t>关于印发环境标志产品政府采购品目清单的通知</w:t>
      </w:r>
    </w:p>
    <w:p w14:paraId="5A4E1D7D">
      <w:pPr>
        <w:autoSpaceDN w:val="0"/>
        <w:jc w:val="center"/>
        <w:rPr>
          <w:rFonts w:hint="eastAsia" w:ascii="宋体" w:hAnsi="宋体" w:eastAsia="宋体" w:cs="宋体"/>
          <w:color w:val="000000"/>
          <w:highlight w:val="none"/>
        </w:rPr>
      </w:pPr>
      <w:r>
        <w:rPr>
          <w:rFonts w:hint="eastAsia" w:ascii="宋体" w:hAnsi="宋体" w:eastAsia="宋体" w:cs="宋体"/>
          <w:b/>
          <w:color w:val="000000"/>
          <w:kern w:val="0"/>
          <w:sz w:val="32"/>
          <w:highlight w:val="none"/>
        </w:rPr>
        <w:t>财库〔2019〕18号</w:t>
      </w:r>
    </w:p>
    <w:p w14:paraId="4E6CD816">
      <w:pPr>
        <w:autoSpaceDN w:val="0"/>
        <w:spacing w:line="360" w:lineRule="auto"/>
        <w:rPr>
          <w:rFonts w:hint="eastAsia" w:ascii="宋体" w:hAnsi="宋体" w:eastAsia="宋体" w:cs="宋体"/>
          <w:color w:val="000000"/>
          <w:kern w:val="0"/>
          <w:sz w:val="28"/>
          <w:highlight w:val="none"/>
        </w:rPr>
      </w:pPr>
    </w:p>
    <w:p w14:paraId="77D88B79">
      <w:pPr>
        <w:autoSpaceDN w:val="0"/>
        <w:spacing w:line="360" w:lineRule="auto"/>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有关中央预算单位，各省、自治区、直辖市、计划单列市财政厅（局）、生态环境厅（局），新疆生产建设兵团财政局、环境保护局：</w:t>
      </w:r>
    </w:p>
    <w:p w14:paraId="5B144DEA">
      <w:pPr>
        <w:autoSpaceDN w:val="0"/>
        <w:spacing w:line="360" w:lineRule="auto"/>
        <w:rPr>
          <w:rFonts w:hint="eastAsia" w:ascii="宋体" w:hAnsi="宋体" w:eastAsia="宋体" w:cs="宋体"/>
          <w:color w:val="000000"/>
          <w:kern w:val="0"/>
          <w:sz w:val="28"/>
          <w:highlight w:val="none"/>
        </w:rPr>
      </w:pPr>
    </w:p>
    <w:p w14:paraId="6EF600F8">
      <w:pPr>
        <w:autoSpaceDN w:val="0"/>
        <w:spacing w:line="360" w:lineRule="auto"/>
        <w:ind w:firstLine="565" w:firstLineChars="202"/>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DEDF4E7">
      <w:pPr>
        <w:autoSpaceDN w:val="0"/>
        <w:spacing w:line="360" w:lineRule="auto"/>
        <w:ind w:firstLine="565" w:firstLineChars="202"/>
        <w:rPr>
          <w:rFonts w:hint="eastAsia" w:ascii="宋体" w:hAnsi="宋体" w:eastAsia="宋体" w:cs="宋体"/>
          <w:color w:val="000000"/>
          <w:kern w:val="0"/>
          <w:sz w:val="28"/>
          <w:highlight w:val="none"/>
        </w:rPr>
      </w:pPr>
    </w:p>
    <w:p w14:paraId="1E44BA9E">
      <w:pPr>
        <w:autoSpaceDN w:val="0"/>
        <w:spacing w:line="360" w:lineRule="auto"/>
        <w:ind w:firstLine="3360"/>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附件：环境标志产品政府采购品目清单</w:t>
      </w:r>
    </w:p>
    <w:p w14:paraId="6B3DDCAA">
      <w:pPr>
        <w:autoSpaceDN w:val="0"/>
        <w:spacing w:line="360" w:lineRule="auto"/>
        <w:ind w:firstLine="3360"/>
        <w:rPr>
          <w:rFonts w:hint="eastAsia" w:ascii="宋体" w:hAnsi="宋体" w:eastAsia="宋体" w:cs="宋体"/>
          <w:color w:val="000000"/>
          <w:kern w:val="0"/>
          <w:sz w:val="28"/>
          <w:highlight w:val="none"/>
        </w:rPr>
      </w:pPr>
    </w:p>
    <w:p w14:paraId="6DB43B0A">
      <w:pPr>
        <w:autoSpaceDN w:val="0"/>
        <w:spacing w:line="360" w:lineRule="auto"/>
        <w:jc w:val="righ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财政部   生态环境部</w:t>
      </w:r>
    </w:p>
    <w:p w14:paraId="5E19CF22">
      <w:pPr>
        <w:autoSpaceDN w:val="0"/>
        <w:spacing w:line="360" w:lineRule="auto"/>
        <w:jc w:val="right"/>
        <w:rPr>
          <w:rFonts w:hint="eastAsia" w:ascii="宋体" w:hAnsi="宋体" w:eastAsia="宋体" w:cs="宋体"/>
          <w:color w:val="000000"/>
          <w:kern w:val="0"/>
          <w:sz w:val="28"/>
          <w:highlight w:val="none"/>
        </w:rPr>
      </w:pPr>
      <w:r>
        <w:rPr>
          <w:rFonts w:hint="eastAsia" w:ascii="宋体" w:hAnsi="宋体" w:eastAsia="宋体" w:cs="宋体"/>
          <w:color w:val="000000"/>
          <w:kern w:val="0"/>
          <w:sz w:val="28"/>
          <w:highlight w:val="none"/>
        </w:rPr>
        <w:t>2019年3月29日</w:t>
      </w:r>
    </w:p>
    <w:p w14:paraId="7AD3AA39">
      <w:pPr>
        <w:keepNext/>
        <w:keepLines/>
        <w:autoSpaceDN w:val="0"/>
        <w:spacing w:before="240" w:line="360" w:lineRule="auto"/>
        <w:jc w:val="left"/>
        <w:outlineLvl w:val="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附：环境标志产品政府采购品目清单</w:t>
      </w:r>
    </w:p>
    <w:tbl>
      <w:tblPr>
        <w:tblStyle w:val="51"/>
        <w:tblW w:w="10519"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702"/>
      </w:tblGrid>
      <w:tr w14:paraId="73F11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noWrap/>
            <w:vAlign w:val="center"/>
          </w:tcPr>
          <w:p w14:paraId="694C8CF2">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品目序号</w:t>
            </w:r>
          </w:p>
        </w:tc>
        <w:tc>
          <w:tcPr>
            <w:tcW w:w="6108" w:type="dxa"/>
            <w:gridSpan w:val="3"/>
            <w:shd w:val="clear" w:color="auto" w:fill="DAEEF3"/>
            <w:noWrap/>
            <w:vAlign w:val="center"/>
          </w:tcPr>
          <w:p w14:paraId="4C190834">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名称</w:t>
            </w:r>
          </w:p>
        </w:tc>
        <w:tc>
          <w:tcPr>
            <w:tcW w:w="3702" w:type="dxa"/>
            <w:shd w:val="clear" w:color="auto" w:fill="DAEEF3"/>
            <w:noWrap/>
            <w:vAlign w:val="center"/>
          </w:tcPr>
          <w:p w14:paraId="6F52CCC9">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依据的标准</w:t>
            </w:r>
          </w:p>
        </w:tc>
      </w:tr>
      <w:tr w14:paraId="14370A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5C064BE">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w:t>
            </w:r>
          </w:p>
        </w:tc>
        <w:tc>
          <w:tcPr>
            <w:tcW w:w="1985" w:type="dxa"/>
            <w:vMerge w:val="restart"/>
            <w:noWrap/>
            <w:vAlign w:val="center"/>
          </w:tcPr>
          <w:p w14:paraId="17B45A6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A020101计算机设备</w:t>
            </w:r>
          </w:p>
        </w:tc>
        <w:tc>
          <w:tcPr>
            <w:tcW w:w="2268" w:type="dxa"/>
            <w:noWrap/>
            <w:vAlign w:val="center"/>
          </w:tcPr>
          <w:p w14:paraId="6C2E9DF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A02010103服务器</w:t>
            </w:r>
          </w:p>
        </w:tc>
        <w:tc>
          <w:tcPr>
            <w:tcW w:w="1855" w:type="dxa"/>
            <w:noWrap/>
            <w:vAlign w:val="center"/>
          </w:tcPr>
          <w:p w14:paraId="111212BF">
            <w:pPr>
              <w:autoSpaceDN w:val="0"/>
              <w:rPr>
                <w:rFonts w:hint="eastAsia" w:ascii="宋体" w:hAnsi="宋体" w:eastAsia="宋体" w:cs="宋体"/>
                <w:color w:val="000000"/>
                <w:w w:val="90"/>
                <w:szCs w:val="21"/>
                <w:highlight w:val="none"/>
              </w:rPr>
            </w:pPr>
          </w:p>
        </w:tc>
        <w:tc>
          <w:tcPr>
            <w:tcW w:w="3702" w:type="dxa"/>
            <w:noWrap/>
            <w:vAlign w:val="center"/>
          </w:tcPr>
          <w:p w14:paraId="72A7BE69">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HJ2507网络服务器</w:t>
            </w:r>
          </w:p>
        </w:tc>
      </w:tr>
      <w:tr w14:paraId="4FBE72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5B9DE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0BBECEE3">
            <w:pPr>
              <w:autoSpaceDN w:val="0"/>
              <w:rPr>
                <w:rFonts w:hint="eastAsia" w:ascii="宋体" w:hAnsi="宋体" w:eastAsia="宋体" w:cs="宋体"/>
                <w:color w:val="000000"/>
                <w:w w:val="90"/>
                <w:szCs w:val="21"/>
                <w:highlight w:val="none"/>
              </w:rPr>
            </w:pPr>
          </w:p>
        </w:tc>
        <w:tc>
          <w:tcPr>
            <w:tcW w:w="2268" w:type="dxa"/>
            <w:noWrap/>
            <w:vAlign w:val="center"/>
          </w:tcPr>
          <w:p w14:paraId="26596DC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A02010104台式计算机</w:t>
            </w:r>
          </w:p>
        </w:tc>
        <w:tc>
          <w:tcPr>
            <w:tcW w:w="1855" w:type="dxa"/>
            <w:noWrap/>
            <w:vAlign w:val="center"/>
          </w:tcPr>
          <w:p w14:paraId="528983A9">
            <w:pPr>
              <w:autoSpaceDN w:val="0"/>
              <w:rPr>
                <w:rFonts w:hint="eastAsia" w:ascii="宋体" w:hAnsi="宋体" w:eastAsia="宋体" w:cs="宋体"/>
                <w:color w:val="000000"/>
                <w:w w:val="90"/>
                <w:szCs w:val="21"/>
                <w:highlight w:val="none"/>
              </w:rPr>
            </w:pPr>
          </w:p>
        </w:tc>
        <w:tc>
          <w:tcPr>
            <w:tcW w:w="3702" w:type="dxa"/>
            <w:noWrap/>
            <w:vAlign w:val="center"/>
          </w:tcPr>
          <w:p w14:paraId="65BC39A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4E28B3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274D77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1A4A8AC7">
            <w:pPr>
              <w:autoSpaceDN w:val="0"/>
              <w:rPr>
                <w:rFonts w:hint="eastAsia" w:ascii="宋体" w:hAnsi="宋体" w:eastAsia="宋体" w:cs="宋体"/>
                <w:color w:val="000000"/>
                <w:w w:val="90"/>
                <w:szCs w:val="21"/>
                <w:highlight w:val="none"/>
              </w:rPr>
            </w:pPr>
          </w:p>
        </w:tc>
        <w:tc>
          <w:tcPr>
            <w:tcW w:w="2268" w:type="dxa"/>
            <w:noWrap/>
            <w:vAlign w:val="center"/>
          </w:tcPr>
          <w:p w14:paraId="0B0388B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A02010105便携式计算机</w:t>
            </w:r>
          </w:p>
        </w:tc>
        <w:tc>
          <w:tcPr>
            <w:tcW w:w="1855" w:type="dxa"/>
            <w:noWrap/>
            <w:vAlign w:val="center"/>
          </w:tcPr>
          <w:p w14:paraId="37CF923B">
            <w:pPr>
              <w:autoSpaceDN w:val="0"/>
              <w:rPr>
                <w:rFonts w:hint="eastAsia" w:ascii="宋体" w:hAnsi="宋体" w:eastAsia="宋体" w:cs="宋体"/>
                <w:color w:val="000000"/>
                <w:w w:val="90"/>
                <w:szCs w:val="21"/>
                <w:highlight w:val="none"/>
              </w:rPr>
            </w:pPr>
          </w:p>
        </w:tc>
        <w:tc>
          <w:tcPr>
            <w:tcW w:w="3702" w:type="dxa"/>
            <w:noWrap/>
            <w:vAlign w:val="center"/>
          </w:tcPr>
          <w:p w14:paraId="41F8950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18B567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E3DB0E">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7585FB09">
            <w:pPr>
              <w:autoSpaceDN w:val="0"/>
              <w:rPr>
                <w:rFonts w:hint="eastAsia" w:ascii="宋体" w:hAnsi="宋体" w:eastAsia="宋体" w:cs="宋体"/>
                <w:color w:val="000000"/>
                <w:w w:val="90"/>
                <w:szCs w:val="21"/>
                <w:highlight w:val="none"/>
              </w:rPr>
            </w:pPr>
          </w:p>
        </w:tc>
        <w:tc>
          <w:tcPr>
            <w:tcW w:w="2268" w:type="dxa"/>
            <w:noWrap/>
            <w:vAlign w:val="center"/>
          </w:tcPr>
          <w:p w14:paraId="3CF17A3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A02010107平板式微型计算机</w:t>
            </w:r>
          </w:p>
        </w:tc>
        <w:tc>
          <w:tcPr>
            <w:tcW w:w="1855" w:type="dxa"/>
            <w:noWrap/>
            <w:vAlign w:val="center"/>
          </w:tcPr>
          <w:p w14:paraId="0CA6242A">
            <w:pPr>
              <w:autoSpaceDN w:val="0"/>
              <w:rPr>
                <w:rFonts w:hint="eastAsia" w:ascii="宋体" w:hAnsi="宋体" w:eastAsia="宋体" w:cs="宋体"/>
                <w:color w:val="000000"/>
                <w:w w:val="90"/>
                <w:szCs w:val="21"/>
                <w:highlight w:val="none"/>
              </w:rPr>
            </w:pPr>
          </w:p>
        </w:tc>
        <w:tc>
          <w:tcPr>
            <w:tcW w:w="3702" w:type="dxa"/>
            <w:noWrap/>
            <w:vAlign w:val="center"/>
          </w:tcPr>
          <w:p w14:paraId="73D4CB7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3F8553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F635E69">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2CBABCDA">
            <w:pPr>
              <w:autoSpaceDN w:val="0"/>
              <w:rPr>
                <w:rFonts w:hint="eastAsia" w:ascii="宋体" w:hAnsi="宋体" w:eastAsia="宋体" w:cs="宋体"/>
                <w:color w:val="000000"/>
                <w:w w:val="90"/>
                <w:szCs w:val="21"/>
                <w:highlight w:val="none"/>
              </w:rPr>
            </w:pPr>
          </w:p>
        </w:tc>
        <w:tc>
          <w:tcPr>
            <w:tcW w:w="2268" w:type="dxa"/>
            <w:noWrap/>
            <w:vAlign w:val="center"/>
          </w:tcPr>
          <w:p w14:paraId="0CFF852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A02010108网络计算机</w:t>
            </w:r>
          </w:p>
        </w:tc>
        <w:tc>
          <w:tcPr>
            <w:tcW w:w="1855" w:type="dxa"/>
            <w:noWrap/>
            <w:vAlign w:val="center"/>
          </w:tcPr>
          <w:p w14:paraId="212EE00C">
            <w:pPr>
              <w:autoSpaceDN w:val="0"/>
              <w:rPr>
                <w:rFonts w:hint="eastAsia" w:ascii="宋体" w:hAnsi="宋体" w:eastAsia="宋体" w:cs="宋体"/>
                <w:color w:val="000000"/>
                <w:w w:val="90"/>
                <w:szCs w:val="21"/>
                <w:highlight w:val="none"/>
              </w:rPr>
            </w:pPr>
          </w:p>
        </w:tc>
        <w:tc>
          <w:tcPr>
            <w:tcW w:w="3702" w:type="dxa"/>
            <w:noWrap/>
            <w:vAlign w:val="center"/>
          </w:tcPr>
          <w:p w14:paraId="34C1893F">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49A4F8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7E2C38C">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7C25A9B8">
            <w:pPr>
              <w:autoSpaceDN w:val="0"/>
              <w:rPr>
                <w:rFonts w:hint="eastAsia" w:ascii="宋体" w:hAnsi="宋体" w:eastAsia="宋体" w:cs="宋体"/>
                <w:color w:val="000000"/>
                <w:w w:val="90"/>
                <w:szCs w:val="21"/>
                <w:highlight w:val="none"/>
              </w:rPr>
            </w:pPr>
          </w:p>
        </w:tc>
        <w:tc>
          <w:tcPr>
            <w:tcW w:w="2268" w:type="dxa"/>
            <w:noWrap/>
            <w:vAlign w:val="center"/>
          </w:tcPr>
          <w:p w14:paraId="1C79157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A02010109计算机工作站</w:t>
            </w:r>
          </w:p>
        </w:tc>
        <w:tc>
          <w:tcPr>
            <w:tcW w:w="1855" w:type="dxa"/>
            <w:noWrap/>
            <w:vAlign w:val="center"/>
          </w:tcPr>
          <w:p w14:paraId="5A3FC64B">
            <w:pPr>
              <w:autoSpaceDN w:val="0"/>
              <w:rPr>
                <w:rFonts w:hint="eastAsia" w:ascii="宋体" w:hAnsi="宋体" w:eastAsia="宋体" w:cs="宋体"/>
                <w:color w:val="000000"/>
                <w:w w:val="90"/>
                <w:szCs w:val="21"/>
                <w:highlight w:val="none"/>
              </w:rPr>
            </w:pPr>
          </w:p>
        </w:tc>
        <w:tc>
          <w:tcPr>
            <w:tcW w:w="3702" w:type="dxa"/>
            <w:noWrap/>
            <w:vAlign w:val="center"/>
          </w:tcPr>
          <w:p w14:paraId="50D0AEB1">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7C03C3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CDA09A2">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4243B095">
            <w:pPr>
              <w:autoSpaceDN w:val="0"/>
              <w:rPr>
                <w:rFonts w:hint="eastAsia" w:ascii="宋体" w:hAnsi="宋体" w:eastAsia="宋体" w:cs="宋体"/>
                <w:color w:val="000000"/>
                <w:w w:val="90"/>
                <w:szCs w:val="21"/>
                <w:highlight w:val="none"/>
              </w:rPr>
            </w:pPr>
          </w:p>
        </w:tc>
        <w:tc>
          <w:tcPr>
            <w:tcW w:w="2268" w:type="dxa"/>
            <w:noWrap/>
            <w:vAlign w:val="center"/>
          </w:tcPr>
          <w:p w14:paraId="30DAAE4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A02010199其他计算机设备</w:t>
            </w:r>
          </w:p>
        </w:tc>
        <w:tc>
          <w:tcPr>
            <w:tcW w:w="1855" w:type="dxa"/>
            <w:noWrap/>
            <w:vAlign w:val="center"/>
          </w:tcPr>
          <w:p w14:paraId="524A7616">
            <w:pPr>
              <w:autoSpaceDN w:val="0"/>
              <w:rPr>
                <w:rFonts w:hint="eastAsia" w:ascii="宋体" w:hAnsi="宋体" w:eastAsia="宋体" w:cs="宋体"/>
                <w:color w:val="000000"/>
                <w:w w:val="90"/>
                <w:szCs w:val="21"/>
                <w:highlight w:val="none"/>
              </w:rPr>
            </w:pPr>
          </w:p>
        </w:tc>
        <w:tc>
          <w:tcPr>
            <w:tcW w:w="3702" w:type="dxa"/>
            <w:noWrap/>
            <w:vAlign w:val="center"/>
          </w:tcPr>
          <w:p w14:paraId="63FAEC0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17A4EC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3692E62">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w:t>
            </w:r>
          </w:p>
        </w:tc>
        <w:tc>
          <w:tcPr>
            <w:tcW w:w="1985" w:type="dxa"/>
            <w:vMerge w:val="restart"/>
            <w:noWrap/>
            <w:vAlign w:val="center"/>
          </w:tcPr>
          <w:p w14:paraId="7426A98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A020106输入输出设备</w:t>
            </w:r>
          </w:p>
        </w:tc>
        <w:tc>
          <w:tcPr>
            <w:tcW w:w="2268" w:type="dxa"/>
            <w:vMerge w:val="restart"/>
            <w:noWrap/>
            <w:vAlign w:val="center"/>
          </w:tcPr>
          <w:p w14:paraId="383EA1F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A02010601打印设备</w:t>
            </w:r>
          </w:p>
        </w:tc>
        <w:tc>
          <w:tcPr>
            <w:tcW w:w="1855" w:type="dxa"/>
            <w:noWrap/>
            <w:vAlign w:val="center"/>
          </w:tcPr>
          <w:p w14:paraId="794A441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A0201060101喷墨打印机</w:t>
            </w:r>
          </w:p>
        </w:tc>
        <w:tc>
          <w:tcPr>
            <w:tcW w:w="3702" w:type="dxa"/>
            <w:noWrap/>
            <w:vAlign w:val="center"/>
          </w:tcPr>
          <w:p w14:paraId="2441DBF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HJ2512打印机、传真机及多功能一体机</w:t>
            </w:r>
          </w:p>
        </w:tc>
      </w:tr>
      <w:tr w14:paraId="4E6130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EF4078D">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6115F204">
            <w:pPr>
              <w:autoSpaceDN w:val="0"/>
              <w:rPr>
                <w:rFonts w:hint="eastAsia" w:ascii="宋体" w:hAnsi="宋体" w:eastAsia="宋体" w:cs="宋体"/>
                <w:color w:val="000000"/>
                <w:w w:val="90"/>
                <w:szCs w:val="21"/>
                <w:highlight w:val="none"/>
              </w:rPr>
            </w:pPr>
          </w:p>
        </w:tc>
        <w:tc>
          <w:tcPr>
            <w:tcW w:w="2268" w:type="dxa"/>
            <w:vMerge w:val="continue"/>
            <w:noWrap/>
            <w:vAlign w:val="center"/>
          </w:tcPr>
          <w:p w14:paraId="367A4C71">
            <w:pPr>
              <w:autoSpaceDN w:val="0"/>
              <w:rPr>
                <w:rFonts w:hint="eastAsia" w:ascii="宋体" w:hAnsi="宋体" w:eastAsia="宋体" w:cs="宋体"/>
                <w:color w:val="000000"/>
                <w:w w:val="90"/>
                <w:szCs w:val="21"/>
                <w:highlight w:val="none"/>
              </w:rPr>
            </w:pPr>
          </w:p>
        </w:tc>
        <w:tc>
          <w:tcPr>
            <w:tcW w:w="1855" w:type="dxa"/>
            <w:noWrap/>
            <w:vAlign w:val="center"/>
          </w:tcPr>
          <w:p w14:paraId="23FFD49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A0201060102激光打印机</w:t>
            </w:r>
          </w:p>
        </w:tc>
        <w:tc>
          <w:tcPr>
            <w:tcW w:w="3702" w:type="dxa"/>
            <w:noWrap/>
            <w:vAlign w:val="center"/>
          </w:tcPr>
          <w:p w14:paraId="7E0D2D8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HJ2512打印机、传真机及多功能一体机</w:t>
            </w:r>
          </w:p>
        </w:tc>
      </w:tr>
      <w:tr w14:paraId="4E08AE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29F99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210DED0E">
            <w:pPr>
              <w:autoSpaceDN w:val="0"/>
              <w:rPr>
                <w:rFonts w:hint="eastAsia" w:ascii="宋体" w:hAnsi="宋体" w:eastAsia="宋体" w:cs="宋体"/>
                <w:color w:val="000000"/>
                <w:w w:val="90"/>
                <w:szCs w:val="21"/>
                <w:highlight w:val="none"/>
              </w:rPr>
            </w:pPr>
          </w:p>
        </w:tc>
        <w:tc>
          <w:tcPr>
            <w:tcW w:w="2268" w:type="dxa"/>
            <w:vMerge w:val="continue"/>
            <w:noWrap/>
            <w:vAlign w:val="center"/>
          </w:tcPr>
          <w:p w14:paraId="0706ED7E">
            <w:pPr>
              <w:autoSpaceDN w:val="0"/>
              <w:rPr>
                <w:rFonts w:hint="eastAsia" w:ascii="宋体" w:hAnsi="宋体" w:eastAsia="宋体" w:cs="宋体"/>
                <w:color w:val="000000"/>
                <w:w w:val="90"/>
                <w:szCs w:val="21"/>
                <w:highlight w:val="none"/>
              </w:rPr>
            </w:pPr>
          </w:p>
        </w:tc>
        <w:tc>
          <w:tcPr>
            <w:tcW w:w="1855" w:type="dxa"/>
            <w:noWrap/>
            <w:vAlign w:val="center"/>
          </w:tcPr>
          <w:p w14:paraId="3F67213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A0201060103热式打印机</w:t>
            </w:r>
          </w:p>
        </w:tc>
        <w:tc>
          <w:tcPr>
            <w:tcW w:w="3702" w:type="dxa"/>
            <w:noWrap/>
            <w:vAlign w:val="center"/>
          </w:tcPr>
          <w:p w14:paraId="4523A5A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HJ2512打印机、传真机及多功能一体机</w:t>
            </w:r>
          </w:p>
        </w:tc>
      </w:tr>
      <w:tr w14:paraId="6ED151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6C31B85">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3EE57E15">
            <w:pPr>
              <w:autoSpaceDN w:val="0"/>
              <w:rPr>
                <w:rFonts w:hint="eastAsia" w:ascii="宋体" w:hAnsi="宋体" w:eastAsia="宋体" w:cs="宋体"/>
                <w:color w:val="000000"/>
                <w:w w:val="90"/>
                <w:szCs w:val="21"/>
                <w:highlight w:val="none"/>
              </w:rPr>
            </w:pPr>
          </w:p>
        </w:tc>
        <w:tc>
          <w:tcPr>
            <w:tcW w:w="2268" w:type="dxa"/>
            <w:vMerge w:val="continue"/>
            <w:noWrap/>
            <w:vAlign w:val="center"/>
          </w:tcPr>
          <w:p w14:paraId="35872978">
            <w:pPr>
              <w:autoSpaceDN w:val="0"/>
              <w:rPr>
                <w:rFonts w:hint="eastAsia" w:ascii="宋体" w:hAnsi="宋体" w:eastAsia="宋体" w:cs="宋体"/>
                <w:color w:val="000000"/>
                <w:w w:val="90"/>
                <w:szCs w:val="21"/>
                <w:highlight w:val="none"/>
              </w:rPr>
            </w:pPr>
          </w:p>
        </w:tc>
        <w:tc>
          <w:tcPr>
            <w:tcW w:w="1855" w:type="dxa"/>
            <w:noWrap/>
            <w:vAlign w:val="center"/>
          </w:tcPr>
          <w:p w14:paraId="75D81C6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A0201060104针式打印机</w:t>
            </w:r>
          </w:p>
        </w:tc>
        <w:tc>
          <w:tcPr>
            <w:tcW w:w="3702" w:type="dxa"/>
            <w:noWrap/>
            <w:vAlign w:val="center"/>
          </w:tcPr>
          <w:p w14:paraId="2C2DBB4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HJ2512打印机、传真机及多功能一体机</w:t>
            </w:r>
          </w:p>
        </w:tc>
      </w:tr>
      <w:tr w14:paraId="7464AD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1B86A1">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451B15D2">
            <w:pPr>
              <w:autoSpaceDN w:val="0"/>
              <w:rPr>
                <w:rFonts w:hint="eastAsia" w:ascii="宋体" w:hAnsi="宋体" w:eastAsia="宋体" w:cs="宋体"/>
                <w:color w:val="000000"/>
                <w:w w:val="90"/>
                <w:szCs w:val="21"/>
                <w:highlight w:val="none"/>
              </w:rPr>
            </w:pPr>
          </w:p>
        </w:tc>
        <w:tc>
          <w:tcPr>
            <w:tcW w:w="2268" w:type="dxa"/>
            <w:vMerge w:val="restart"/>
            <w:noWrap/>
            <w:vAlign w:val="center"/>
          </w:tcPr>
          <w:p w14:paraId="3B99B11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A02010604显示设备</w:t>
            </w:r>
          </w:p>
        </w:tc>
        <w:tc>
          <w:tcPr>
            <w:tcW w:w="1855" w:type="dxa"/>
            <w:noWrap/>
            <w:vAlign w:val="center"/>
          </w:tcPr>
          <w:p w14:paraId="04D2BCC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A0201060401液晶显示器</w:t>
            </w:r>
          </w:p>
        </w:tc>
        <w:tc>
          <w:tcPr>
            <w:tcW w:w="3702" w:type="dxa"/>
            <w:noWrap/>
            <w:vAlign w:val="center"/>
          </w:tcPr>
          <w:p w14:paraId="3CAACFB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7F571A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F44867">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0167BFAC">
            <w:pPr>
              <w:autoSpaceDN w:val="0"/>
              <w:rPr>
                <w:rFonts w:hint="eastAsia" w:ascii="宋体" w:hAnsi="宋体" w:eastAsia="宋体" w:cs="宋体"/>
                <w:color w:val="000000"/>
                <w:w w:val="90"/>
                <w:szCs w:val="21"/>
                <w:highlight w:val="none"/>
              </w:rPr>
            </w:pPr>
          </w:p>
        </w:tc>
        <w:tc>
          <w:tcPr>
            <w:tcW w:w="2268" w:type="dxa"/>
            <w:vMerge w:val="continue"/>
            <w:noWrap/>
            <w:vAlign w:val="center"/>
          </w:tcPr>
          <w:p w14:paraId="0DA1748A">
            <w:pPr>
              <w:autoSpaceDN w:val="0"/>
              <w:rPr>
                <w:rFonts w:hint="eastAsia" w:ascii="宋体" w:hAnsi="宋体" w:eastAsia="宋体" w:cs="宋体"/>
                <w:color w:val="000000"/>
                <w:w w:val="90"/>
                <w:szCs w:val="21"/>
                <w:highlight w:val="none"/>
              </w:rPr>
            </w:pPr>
          </w:p>
        </w:tc>
        <w:tc>
          <w:tcPr>
            <w:tcW w:w="1855" w:type="dxa"/>
            <w:noWrap/>
            <w:vAlign w:val="center"/>
          </w:tcPr>
          <w:p w14:paraId="517EFE0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A0201060499其他显示器</w:t>
            </w:r>
          </w:p>
        </w:tc>
        <w:tc>
          <w:tcPr>
            <w:tcW w:w="3702" w:type="dxa"/>
            <w:noWrap/>
            <w:vAlign w:val="center"/>
          </w:tcPr>
          <w:p w14:paraId="60A255D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HJ2536微型计算机、显示器</w:t>
            </w:r>
          </w:p>
        </w:tc>
      </w:tr>
      <w:tr w14:paraId="14542B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EF67983">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29F33210">
            <w:pPr>
              <w:autoSpaceDN w:val="0"/>
              <w:rPr>
                <w:rFonts w:hint="eastAsia" w:ascii="宋体" w:hAnsi="宋体" w:eastAsia="宋体" w:cs="宋体"/>
                <w:color w:val="000000"/>
                <w:w w:val="90"/>
                <w:szCs w:val="21"/>
                <w:highlight w:val="none"/>
              </w:rPr>
            </w:pPr>
          </w:p>
        </w:tc>
        <w:tc>
          <w:tcPr>
            <w:tcW w:w="2268" w:type="dxa"/>
            <w:noWrap/>
            <w:vAlign w:val="center"/>
          </w:tcPr>
          <w:p w14:paraId="297053F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A02010609图形图像输入设备</w:t>
            </w:r>
          </w:p>
        </w:tc>
        <w:tc>
          <w:tcPr>
            <w:tcW w:w="1855" w:type="dxa"/>
            <w:noWrap/>
            <w:vAlign w:val="center"/>
          </w:tcPr>
          <w:p w14:paraId="50C9F4F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A0201060901扫描仪</w:t>
            </w:r>
          </w:p>
        </w:tc>
        <w:tc>
          <w:tcPr>
            <w:tcW w:w="3702" w:type="dxa"/>
            <w:noWrap/>
            <w:vAlign w:val="center"/>
          </w:tcPr>
          <w:p w14:paraId="0CEE3729">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HJ2517扫描仪</w:t>
            </w:r>
          </w:p>
        </w:tc>
      </w:tr>
      <w:tr w14:paraId="2E2B02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6C8254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3</w:t>
            </w:r>
          </w:p>
        </w:tc>
        <w:tc>
          <w:tcPr>
            <w:tcW w:w="1985" w:type="dxa"/>
            <w:noWrap/>
            <w:vAlign w:val="center"/>
          </w:tcPr>
          <w:p w14:paraId="0634667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A020202投影仪</w:t>
            </w:r>
          </w:p>
        </w:tc>
        <w:tc>
          <w:tcPr>
            <w:tcW w:w="2268" w:type="dxa"/>
            <w:noWrap/>
            <w:vAlign w:val="center"/>
          </w:tcPr>
          <w:p w14:paraId="76A809B9">
            <w:pPr>
              <w:autoSpaceDN w:val="0"/>
              <w:rPr>
                <w:rFonts w:hint="eastAsia" w:ascii="宋体" w:hAnsi="宋体" w:eastAsia="宋体" w:cs="宋体"/>
                <w:color w:val="000000"/>
                <w:w w:val="90"/>
                <w:szCs w:val="21"/>
                <w:highlight w:val="none"/>
              </w:rPr>
            </w:pPr>
          </w:p>
        </w:tc>
        <w:tc>
          <w:tcPr>
            <w:tcW w:w="1855" w:type="dxa"/>
            <w:noWrap/>
            <w:vAlign w:val="center"/>
          </w:tcPr>
          <w:p w14:paraId="3CFAF2CC">
            <w:pPr>
              <w:autoSpaceDN w:val="0"/>
              <w:rPr>
                <w:rFonts w:hint="eastAsia" w:ascii="宋体" w:hAnsi="宋体" w:eastAsia="宋体" w:cs="宋体"/>
                <w:color w:val="000000"/>
                <w:w w:val="90"/>
                <w:szCs w:val="21"/>
                <w:highlight w:val="none"/>
              </w:rPr>
            </w:pPr>
          </w:p>
        </w:tc>
        <w:tc>
          <w:tcPr>
            <w:tcW w:w="3702" w:type="dxa"/>
            <w:noWrap/>
            <w:vAlign w:val="center"/>
          </w:tcPr>
          <w:p w14:paraId="09D91F9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HJ2516投影仪</w:t>
            </w:r>
          </w:p>
        </w:tc>
      </w:tr>
      <w:tr w14:paraId="066A9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2946441">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4</w:t>
            </w:r>
          </w:p>
        </w:tc>
        <w:tc>
          <w:tcPr>
            <w:tcW w:w="1985" w:type="dxa"/>
            <w:noWrap/>
            <w:vAlign w:val="center"/>
          </w:tcPr>
          <w:p w14:paraId="17CBA20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A020201复印机</w:t>
            </w:r>
          </w:p>
        </w:tc>
        <w:tc>
          <w:tcPr>
            <w:tcW w:w="2268" w:type="dxa"/>
            <w:noWrap/>
            <w:vAlign w:val="center"/>
          </w:tcPr>
          <w:p w14:paraId="4631E705">
            <w:pPr>
              <w:autoSpaceDN w:val="0"/>
              <w:rPr>
                <w:rFonts w:hint="eastAsia" w:ascii="宋体" w:hAnsi="宋体" w:eastAsia="宋体" w:cs="宋体"/>
                <w:color w:val="000000"/>
                <w:w w:val="90"/>
                <w:szCs w:val="21"/>
                <w:highlight w:val="none"/>
              </w:rPr>
            </w:pPr>
          </w:p>
        </w:tc>
        <w:tc>
          <w:tcPr>
            <w:tcW w:w="1855" w:type="dxa"/>
            <w:noWrap/>
            <w:vAlign w:val="center"/>
          </w:tcPr>
          <w:p w14:paraId="35284438">
            <w:pPr>
              <w:autoSpaceDN w:val="0"/>
              <w:rPr>
                <w:rFonts w:hint="eastAsia" w:ascii="宋体" w:hAnsi="宋体" w:eastAsia="宋体" w:cs="宋体"/>
                <w:color w:val="000000"/>
                <w:w w:val="90"/>
                <w:szCs w:val="21"/>
                <w:highlight w:val="none"/>
              </w:rPr>
            </w:pPr>
          </w:p>
        </w:tc>
        <w:tc>
          <w:tcPr>
            <w:tcW w:w="3702" w:type="dxa"/>
            <w:noWrap/>
            <w:vAlign w:val="center"/>
          </w:tcPr>
          <w:p w14:paraId="7F98C2A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HJ424数字式复印（包括多功能）设备</w:t>
            </w:r>
          </w:p>
        </w:tc>
      </w:tr>
      <w:tr w14:paraId="0049AA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45C1615">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5</w:t>
            </w:r>
          </w:p>
        </w:tc>
        <w:tc>
          <w:tcPr>
            <w:tcW w:w="1985" w:type="dxa"/>
            <w:noWrap/>
            <w:vAlign w:val="center"/>
          </w:tcPr>
          <w:p w14:paraId="01534DA1">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A020204多功能一体机</w:t>
            </w:r>
          </w:p>
        </w:tc>
        <w:tc>
          <w:tcPr>
            <w:tcW w:w="2268" w:type="dxa"/>
            <w:noWrap/>
            <w:vAlign w:val="center"/>
          </w:tcPr>
          <w:p w14:paraId="1D84ACC2">
            <w:pPr>
              <w:autoSpaceDN w:val="0"/>
              <w:rPr>
                <w:rFonts w:hint="eastAsia" w:ascii="宋体" w:hAnsi="宋体" w:eastAsia="宋体" w:cs="宋体"/>
                <w:color w:val="000000"/>
                <w:w w:val="90"/>
                <w:szCs w:val="21"/>
                <w:highlight w:val="none"/>
              </w:rPr>
            </w:pPr>
          </w:p>
        </w:tc>
        <w:tc>
          <w:tcPr>
            <w:tcW w:w="1855" w:type="dxa"/>
            <w:noWrap/>
            <w:vAlign w:val="center"/>
          </w:tcPr>
          <w:p w14:paraId="31792079">
            <w:pPr>
              <w:autoSpaceDN w:val="0"/>
              <w:rPr>
                <w:rFonts w:hint="eastAsia" w:ascii="宋体" w:hAnsi="宋体" w:eastAsia="宋体" w:cs="宋体"/>
                <w:color w:val="000000"/>
                <w:w w:val="90"/>
                <w:szCs w:val="21"/>
                <w:highlight w:val="none"/>
              </w:rPr>
            </w:pPr>
          </w:p>
        </w:tc>
        <w:tc>
          <w:tcPr>
            <w:tcW w:w="3702" w:type="dxa"/>
            <w:noWrap/>
            <w:vAlign w:val="center"/>
          </w:tcPr>
          <w:p w14:paraId="2687314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HJ424数字式复印（包括多功能）设备</w:t>
            </w:r>
          </w:p>
        </w:tc>
      </w:tr>
      <w:tr w14:paraId="40CF77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FE4831A">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6</w:t>
            </w:r>
          </w:p>
        </w:tc>
        <w:tc>
          <w:tcPr>
            <w:tcW w:w="1985" w:type="dxa"/>
            <w:noWrap/>
            <w:vAlign w:val="center"/>
          </w:tcPr>
          <w:p w14:paraId="6860382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A020210文印设备</w:t>
            </w:r>
          </w:p>
        </w:tc>
        <w:tc>
          <w:tcPr>
            <w:tcW w:w="2268" w:type="dxa"/>
            <w:noWrap/>
            <w:vAlign w:val="center"/>
          </w:tcPr>
          <w:p w14:paraId="05B8061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A02021001速印机</w:t>
            </w:r>
          </w:p>
        </w:tc>
        <w:tc>
          <w:tcPr>
            <w:tcW w:w="1855" w:type="dxa"/>
            <w:noWrap/>
            <w:vAlign w:val="center"/>
          </w:tcPr>
          <w:p w14:paraId="40A59901">
            <w:pPr>
              <w:autoSpaceDN w:val="0"/>
              <w:rPr>
                <w:rFonts w:hint="eastAsia" w:ascii="宋体" w:hAnsi="宋体" w:eastAsia="宋体" w:cs="宋体"/>
                <w:color w:val="000000"/>
                <w:w w:val="90"/>
                <w:szCs w:val="21"/>
                <w:highlight w:val="none"/>
              </w:rPr>
            </w:pPr>
          </w:p>
        </w:tc>
        <w:tc>
          <w:tcPr>
            <w:tcW w:w="3702" w:type="dxa"/>
            <w:noWrap/>
            <w:vAlign w:val="center"/>
          </w:tcPr>
          <w:p w14:paraId="1C0D239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HJ472数字式一体化速印机</w:t>
            </w:r>
          </w:p>
        </w:tc>
      </w:tr>
      <w:tr w14:paraId="065DB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295E08">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7</w:t>
            </w:r>
          </w:p>
        </w:tc>
        <w:tc>
          <w:tcPr>
            <w:tcW w:w="1985" w:type="dxa"/>
            <w:noWrap/>
            <w:vAlign w:val="center"/>
          </w:tcPr>
          <w:p w14:paraId="3285A4E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A020301载货汽车（含自卸汽车）</w:t>
            </w:r>
          </w:p>
        </w:tc>
        <w:tc>
          <w:tcPr>
            <w:tcW w:w="2268" w:type="dxa"/>
            <w:noWrap/>
            <w:vAlign w:val="center"/>
          </w:tcPr>
          <w:p w14:paraId="0392D57A">
            <w:pPr>
              <w:autoSpaceDN w:val="0"/>
              <w:rPr>
                <w:rFonts w:hint="eastAsia" w:ascii="宋体" w:hAnsi="宋体" w:eastAsia="宋体" w:cs="宋体"/>
                <w:color w:val="000000"/>
                <w:w w:val="90"/>
                <w:szCs w:val="21"/>
                <w:highlight w:val="none"/>
              </w:rPr>
            </w:pPr>
          </w:p>
        </w:tc>
        <w:tc>
          <w:tcPr>
            <w:tcW w:w="1855" w:type="dxa"/>
            <w:noWrap/>
            <w:vAlign w:val="center"/>
          </w:tcPr>
          <w:p w14:paraId="7374B3F9">
            <w:pPr>
              <w:autoSpaceDN w:val="0"/>
              <w:rPr>
                <w:rFonts w:hint="eastAsia" w:ascii="宋体" w:hAnsi="宋体" w:eastAsia="宋体" w:cs="宋体"/>
                <w:color w:val="000000"/>
                <w:w w:val="90"/>
                <w:szCs w:val="21"/>
                <w:highlight w:val="none"/>
              </w:rPr>
            </w:pPr>
          </w:p>
        </w:tc>
        <w:tc>
          <w:tcPr>
            <w:tcW w:w="3702" w:type="dxa"/>
            <w:noWrap/>
            <w:vAlign w:val="center"/>
          </w:tcPr>
          <w:p w14:paraId="544FE59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HJ2532轻型汽车</w:t>
            </w:r>
          </w:p>
        </w:tc>
      </w:tr>
      <w:tr w14:paraId="06C64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1667246">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8</w:t>
            </w:r>
          </w:p>
        </w:tc>
        <w:tc>
          <w:tcPr>
            <w:tcW w:w="1985" w:type="dxa"/>
            <w:vMerge w:val="restart"/>
            <w:noWrap/>
            <w:vAlign w:val="center"/>
          </w:tcPr>
          <w:p w14:paraId="072C0CD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A020305乘用车（轿车）</w:t>
            </w:r>
          </w:p>
        </w:tc>
        <w:tc>
          <w:tcPr>
            <w:tcW w:w="2268" w:type="dxa"/>
            <w:noWrap/>
            <w:vAlign w:val="center"/>
          </w:tcPr>
          <w:p w14:paraId="55D408C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A02030501轿车</w:t>
            </w:r>
          </w:p>
        </w:tc>
        <w:tc>
          <w:tcPr>
            <w:tcW w:w="1855" w:type="dxa"/>
            <w:noWrap/>
            <w:vAlign w:val="center"/>
          </w:tcPr>
          <w:p w14:paraId="4AC59C2F">
            <w:pPr>
              <w:autoSpaceDN w:val="0"/>
              <w:rPr>
                <w:rFonts w:hint="eastAsia" w:ascii="宋体" w:hAnsi="宋体" w:eastAsia="宋体" w:cs="宋体"/>
                <w:color w:val="000000"/>
                <w:w w:val="90"/>
                <w:szCs w:val="21"/>
                <w:highlight w:val="none"/>
              </w:rPr>
            </w:pPr>
          </w:p>
        </w:tc>
        <w:tc>
          <w:tcPr>
            <w:tcW w:w="3702" w:type="dxa"/>
            <w:noWrap/>
            <w:vAlign w:val="center"/>
          </w:tcPr>
          <w:p w14:paraId="7BA7E9A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HJ2532轻型汽车</w:t>
            </w:r>
          </w:p>
        </w:tc>
      </w:tr>
      <w:tr w14:paraId="1D699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060DBE3">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50405A34">
            <w:pPr>
              <w:autoSpaceDN w:val="0"/>
              <w:rPr>
                <w:rFonts w:hint="eastAsia" w:ascii="宋体" w:hAnsi="宋体" w:eastAsia="宋体" w:cs="宋体"/>
                <w:color w:val="000000"/>
                <w:w w:val="90"/>
                <w:szCs w:val="21"/>
                <w:highlight w:val="none"/>
              </w:rPr>
            </w:pPr>
          </w:p>
        </w:tc>
        <w:tc>
          <w:tcPr>
            <w:tcW w:w="2268" w:type="dxa"/>
            <w:noWrap/>
            <w:vAlign w:val="center"/>
          </w:tcPr>
          <w:p w14:paraId="0A77097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A02030599其他乘用车（轿车）</w:t>
            </w:r>
          </w:p>
        </w:tc>
        <w:tc>
          <w:tcPr>
            <w:tcW w:w="1855" w:type="dxa"/>
            <w:noWrap/>
            <w:vAlign w:val="center"/>
          </w:tcPr>
          <w:p w14:paraId="4F814BB3">
            <w:pPr>
              <w:autoSpaceDN w:val="0"/>
              <w:rPr>
                <w:rFonts w:hint="eastAsia" w:ascii="宋体" w:hAnsi="宋体" w:eastAsia="宋体" w:cs="宋体"/>
                <w:color w:val="000000"/>
                <w:w w:val="90"/>
                <w:szCs w:val="21"/>
                <w:highlight w:val="none"/>
              </w:rPr>
            </w:pPr>
          </w:p>
        </w:tc>
        <w:tc>
          <w:tcPr>
            <w:tcW w:w="3702" w:type="dxa"/>
            <w:noWrap/>
            <w:vAlign w:val="center"/>
          </w:tcPr>
          <w:p w14:paraId="079585F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HJ2532轻型汽车</w:t>
            </w:r>
          </w:p>
        </w:tc>
      </w:tr>
      <w:tr w14:paraId="326BE8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C8EB76C">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9</w:t>
            </w:r>
          </w:p>
        </w:tc>
        <w:tc>
          <w:tcPr>
            <w:tcW w:w="1985" w:type="dxa"/>
            <w:noWrap/>
            <w:vAlign w:val="center"/>
          </w:tcPr>
          <w:p w14:paraId="5EEB7B6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A020306客车</w:t>
            </w:r>
          </w:p>
        </w:tc>
        <w:tc>
          <w:tcPr>
            <w:tcW w:w="2268" w:type="dxa"/>
            <w:noWrap/>
            <w:vAlign w:val="center"/>
          </w:tcPr>
          <w:p w14:paraId="28FD58B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A02030601小型客车</w:t>
            </w:r>
          </w:p>
        </w:tc>
        <w:tc>
          <w:tcPr>
            <w:tcW w:w="1855" w:type="dxa"/>
            <w:noWrap/>
            <w:vAlign w:val="center"/>
          </w:tcPr>
          <w:p w14:paraId="2A2A6521">
            <w:pPr>
              <w:autoSpaceDN w:val="0"/>
              <w:rPr>
                <w:rFonts w:hint="eastAsia" w:ascii="宋体" w:hAnsi="宋体" w:eastAsia="宋体" w:cs="宋体"/>
                <w:color w:val="000000"/>
                <w:w w:val="90"/>
                <w:szCs w:val="21"/>
                <w:highlight w:val="none"/>
              </w:rPr>
            </w:pPr>
          </w:p>
        </w:tc>
        <w:tc>
          <w:tcPr>
            <w:tcW w:w="3702" w:type="dxa"/>
            <w:noWrap/>
            <w:vAlign w:val="center"/>
          </w:tcPr>
          <w:p w14:paraId="0BC4D3A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HJ2532轻型汽车</w:t>
            </w:r>
          </w:p>
        </w:tc>
      </w:tr>
      <w:tr w14:paraId="7F60D9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1B3BC82">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10</w:t>
            </w:r>
          </w:p>
        </w:tc>
        <w:tc>
          <w:tcPr>
            <w:tcW w:w="1985" w:type="dxa"/>
            <w:noWrap/>
            <w:vAlign w:val="center"/>
          </w:tcPr>
          <w:p w14:paraId="309EC39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A020307专用车辆</w:t>
            </w:r>
          </w:p>
        </w:tc>
        <w:tc>
          <w:tcPr>
            <w:tcW w:w="2268" w:type="dxa"/>
            <w:noWrap/>
            <w:vAlign w:val="center"/>
          </w:tcPr>
          <w:p w14:paraId="052FFA49">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A02030799其他专用汽车</w:t>
            </w:r>
          </w:p>
        </w:tc>
        <w:tc>
          <w:tcPr>
            <w:tcW w:w="1855" w:type="dxa"/>
            <w:noWrap/>
            <w:vAlign w:val="center"/>
          </w:tcPr>
          <w:p w14:paraId="543E075D">
            <w:pPr>
              <w:autoSpaceDN w:val="0"/>
              <w:rPr>
                <w:rFonts w:hint="eastAsia" w:ascii="宋体" w:hAnsi="宋体" w:eastAsia="宋体" w:cs="宋体"/>
                <w:color w:val="000000"/>
                <w:w w:val="90"/>
                <w:szCs w:val="21"/>
                <w:highlight w:val="none"/>
              </w:rPr>
            </w:pPr>
          </w:p>
        </w:tc>
        <w:tc>
          <w:tcPr>
            <w:tcW w:w="3702" w:type="dxa"/>
            <w:noWrap/>
            <w:vAlign w:val="center"/>
          </w:tcPr>
          <w:p w14:paraId="766257E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HJ2532轻型汽车</w:t>
            </w:r>
          </w:p>
        </w:tc>
      </w:tr>
      <w:tr w14:paraId="3C390C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5B183B6">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11</w:t>
            </w:r>
          </w:p>
        </w:tc>
        <w:tc>
          <w:tcPr>
            <w:tcW w:w="1985" w:type="dxa"/>
            <w:vMerge w:val="restart"/>
            <w:noWrap/>
            <w:vAlign w:val="center"/>
          </w:tcPr>
          <w:p w14:paraId="2120249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A020523制冷空调设备</w:t>
            </w:r>
          </w:p>
        </w:tc>
        <w:tc>
          <w:tcPr>
            <w:tcW w:w="2268" w:type="dxa"/>
            <w:noWrap/>
            <w:vAlign w:val="center"/>
          </w:tcPr>
          <w:p w14:paraId="623BF6E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A02052301制冷压缩机</w:t>
            </w:r>
          </w:p>
        </w:tc>
        <w:tc>
          <w:tcPr>
            <w:tcW w:w="1855" w:type="dxa"/>
            <w:noWrap/>
            <w:vAlign w:val="center"/>
          </w:tcPr>
          <w:p w14:paraId="3A2D3DEB">
            <w:pPr>
              <w:autoSpaceDN w:val="0"/>
              <w:rPr>
                <w:rFonts w:hint="eastAsia" w:ascii="宋体" w:hAnsi="宋体" w:eastAsia="宋体" w:cs="宋体"/>
                <w:color w:val="000000"/>
                <w:w w:val="90"/>
                <w:szCs w:val="21"/>
                <w:highlight w:val="none"/>
              </w:rPr>
            </w:pPr>
          </w:p>
        </w:tc>
        <w:tc>
          <w:tcPr>
            <w:tcW w:w="3702" w:type="dxa"/>
            <w:noWrap/>
            <w:vAlign w:val="center"/>
          </w:tcPr>
          <w:p w14:paraId="1D19F1D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HJ2531工商用制冷设备</w:t>
            </w:r>
          </w:p>
        </w:tc>
      </w:tr>
      <w:tr w14:paraId="58F871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0AEA17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2FBCEA70">
            <w:pPr>
              <w:autoSpaceDN w:val="0"/>
              <w:rPr>
                <w:rFonts w:hint="eastAsia" w:ascii="宋体" w:hAnsi="宋体" w:eastAsia="宋体" w:cs="宋体"/>
                <w:color w:val="000000"/>
                <w:w w:val="90"/>
                <w:szCs w:val="21"/>
                <w:highlight w:val="none"/>
              </w:rPr>
            </w:pPr>
          </w:p>
        </w:tc>
        <w:tc>
          <w:tcPr>
            <w:tcW w:w="2268" w:type="dxa"/>
            <w:noWrap/>
            <w:vAlign w:val="center"/>
          </w:tcPr>
          <w:p w14:paraId="3011075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A02052305空调机组</w:t>
            </w:r>
          </w:p>
        </w:tc>
        <w:tc>
          <w:tcPr>
            <w:tcW w:w="1855" w:type="dxa"/>
            <w:noWrap/>
            <w:vAlign w:val="center"/>
          </w:tcPr>
          <w:p w14:paraId="38149909">
            <w:pPr>
              <w:autoSpaceDN w:val="0"/>
              <w:rPr>
                <w:rFonts w:hint="eastAsia" w:ascii="宋体" w:hAnsi="宋体" w:eastAsia="宋体" w:cs="宋体"/>
                <w:color w:val="000000"/>
                <w:w w:val="90"/>
                <w:szCs w:val="21"/>
                <w:highlight w:val="none"/>
              </w:rPr>
            </w:pPr>
          </w:p>
        </w:tc>
        <w:tc>
          <w:tcPr>
            <w:tcW w:w="3702" w:type="dxa"/>
            <w:noWrap/>
            <w:vAlign w:val="center"/>
          </w:tcPr>
          <w:p w14:paraId="057ABFA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HJ2531工商用制冷设备</w:t>
            </w:r>
          </w:p>
        </w:tc>
      </w:tr>
      <w:tr w14:paraId="005927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A531B7C">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0FA4F306">
            <w:pPr>
              <w:autoSpaceDN w:val="0"/>
              <w:rPr>
                <w:rFonts w:hint="eastAsia" w:ascii="宋体" w:hAnsi="宋体" w:eastAsia="宋体" w:cs="宋体"/>
                <w:color w:val="000000"/>
                <w:w w:val="90"/>
                <w:szCs w:val="21"/>
                <w:highlight w:val="none"/>
              </w:rPr>
            </w:pPr>
          </w:p>
        </w:tc>
        <w:tc>
          <w:tcPr>
            <w:tcW w:w="2268" w:type="dxa"/>
            <w:noWrap/>
            <w:vAlign w:val="center"/>
          </w:tcPr>
          <w:p w14:paraId="253C91D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A02052309专用制冷、空调设备</w:t>
            </w:r>
          </w:p>
        </w:tc>
        <w:tc>
          <w:tcPr>
            <w:tcW w:w="1855" w:type="dxa"/>
            <w:noWrap/>
            <w:vAlign w:val="center"/>
          </w:tcPr>
          <w:p w14:paraId="6E8D6059">
            <w:pPr>
              <w:autoSpaceDN w:val="0"/>
              <w:rPr>
                <w:rFonts w:hint="eastAsia" w:ascii="宋体" w:hAnsi="宋体" w:eastAsia="宋体" w:cs="宋体"/>
                <w:color w:val="000000"/>
                <w:w w:val="90"/>
                <w:szCs w:val="21"/>
                <w:highlight w:val="none"/>
              </w:rPr>
            </w:pPr>
          </w:p>
        </w:tc>
        <w:tc>
          <w:tcPr>
            <w:tcW w:w="3702" w:type="dxa"/>
            <w:noWrap/>
            <w:vAlign w:val="center"/>
          </w:tcPr>
          <w:p w14:paraId="1809D0B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HJ2531工商用制冷设备</w:t>
            </w:r>
          </w:p>
        </w:tc>
      </w:tr>
      <w:tr w14:paraId="75F583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B6423FA">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12</w:t>
            </w:r>
          </w:p>
        </w:tc>
        <w:tc>
          <w:tcPr>
            <w:tcW w:w="1985" w:type="dxa"/>
            <w:vMerge w:val="restart"/>
            <w:noWrap/>
            <w:vAlign w:val="center"/>
          </w:tcPr>
          <w:p w14:paraId="7FEAEA01">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A020618生活用电器</w:t>
            </w:r>
          </w:p>
        </w:tc>
        <w:tc>
          <w:tcPr>
            <w:tcW w:w="2268" w:type="dxa"/>
            <w:noWrap/>
            <w:vAlign w:val="center"/>
          </w:tcPr>
          <w:p w14:paraId="02750FF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A02061802空气调节电器</w:t>
            </w:r>
          </w:p>
        </w:tc>
        <w:tc>
          <w:tcPr>
            <w:tcW w:w="1855" w:type="dxa"/>
            <w:noWrap/>
            <w:vAlign w:val="center"/>
          </w:tcPr>
          <w:p w14:paraId="4C671DD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A0206180203空调机</w:t>
            </w:r>
          </w:p>
        </w:tc>
        <w:tc>
          <w:tcPr>
            <w:tcW w:w="3702" w:type="dxa"/>
            <w:noWrap/>
            <w:vAlign w:val="center"/>
          </w:tcPr>
          <w:p w14:paraId="6483CCC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HJ2535房间空气调节器</w:t>
            </w:r>
          </w:p>
        </w:tc>
      </w:tr>
      <w:tr w14:paraId="1ED6CC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4270DC">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72DDAA3B">
            <w:pPr>
              <w:autoSpaceDN w:val="0"/>
              <w:rPr>
                <w:rFonts w:hint="eastAsia" w:ascii="宋体" w:hAnsi="宋体" w:eastAsia="宋体" w:cs="宋体"/>
                <w:color w:val="000000"/>
                <w:w w:val="90"/>
                <w:szCs w:val="21"/>
                <w:highlight w:val="none"/>
              </w:rPr>
            </w:pPr>
          </w:p>
        </w:tc>
        <w:tc>
          <w:tcPr>
            <w:tcW w:w="2268" w:type="dxa"/>
            <w:noWrap/>
            <w:vAlign w:val="center"/>
          </w:tcPr>
          <w:p w14:paraId="672EA66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A02061808热水器</w:t>
            </w:r>
          </w:p>
        </w:tc>
        <w:tc>
          <w:tcPr>
            <w:tcW w:w="1855" w:type="dxa"/>
            <w:noWrap/>
            <w:vAlign w:val="center"/>
          </w:tcPr>
          <w:p w14:paraId="75C64E58">
            <w:pPr>
              <w:autoSpaceDN w:val="0"/>
              <w:rPr>
                <w:rFonts w:hint="eastAsia" w:ascii="宋体" w:hAnsi="宋体" w:eastAsia="宋体" w:cs="宋体"/>
                <w:color w:val="000000"/>
                <w:w w:val="90"/>
                <w:szCs w:val="21"/>
                <w:highlight w:val="none"/>
              </w:rPr>
            </w:pPr>
          </w:p>
        </w:tc>
        <w:tc>
          <w:tcPr>
            <w:tcW w:w="3702" w:type="dxa"/>
            <w:noWrap/>
            <w:vAlign w:val="center"/>
          </w:tcPr>
          <w:p w14:paraId="68CC0A6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HJ/T362太阳能集热器</w:t>
            </w:r>
          </w:p>
        </w:tc>
      </w:tr>
      <w:tr w14:paraId="2FD250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CF2AE3">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13</w:t>
            </w:r>
          </w:p>
        </w:tc>
        <w:tc>
          <w:tcPr>
            <w:tcW w:w="1985" w:type="dxa"/>
            <w:noWrap/>
            <w:vAlign w:val="center"/>
          </w:tcPr>
          <w:p w14:paraId="3955F64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A020619照明设备</w:t>
            </w:r>
          </w:p>
        </w:tc>
        <w:tc>
          <w:tcPr>
            <w:tcW w:w="2268" w:type="dxa"/>
            <w:noWrap/>
            <w:vAlign w:val="center"/>
          </w:tcPr>
          <w:p w14:paraId="2245B57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A02061908室内照明灯具</w:t>
            </w:r>
          </w:p>
        </w:tc>
        <w:tc>
          <w:tcPr>
            <w:tcW w:w="1855" w:type="dxa"/>
            <w:noWrap/>
            <w:vAlign w:val="center"/>
          </w:tcPr>
          <w:p w14:paraId="38B2E825">
            <w:pPr>
              <w:autoSpaceDN w:val="0"/>
              <w:rPr>
                <w:rFonts w:hint="eastAsia" w:ascii="宋体" w:hAnsi="宋体" w:eastAsia="宋体" w:cs="宋体"/>
                <w:color w:val="000000"/>
                <w:w w:val="90"/>
                <w:szCs w:val="21"/>
                <w:highlight w:val="none"/>
              </w:rPr>
            </w:pPr>
          </w:p>
        </w:tc>
        <w:tc>
          <w:tcPr>
            <w:tcW w:w="3702" w:type="dxa"/>
            <w:noWrap/>
            <w:vAlign w:val="center"/>
          </w:tcPr>
          <w:p w14:paraId="614B2931">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HJ2518照明光源</w:t>
            </w:r>
          </w:p>
        </w:tc>
      </w:tr>
      <w:tr w14:paraId="01F0DF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C54C7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14</w:t>
            </w:r>
          </w:p>
        </w:tc>
        <w:tc>
          <w:tcPr>
            <w:tcW w:w="1985" w:type="dxa"/>
            <w:noWrap/>
            <w:vAlign w:val="center"/>
          </w:tcPr>
          <w:p w14:paraId="52AAD06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A020810传真及数据数字通信设备</w:t>
            </w:r>
          </w:p>
        </w:tc>
        <w:tc>
          <w:tcPr>
            <w:tcW w:w="2268" w:type="dxa"/>
            <w:noWrap/>
            <w:vAlign w:val="center"/>
          </w:tcPr>
          <w:p w14:paraId="0EB7BD5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A02081001传真通信设备</w:t>
            </w:r>
          </w:p>
        </w:tc>
        <w:tc>
          <w:tcPr>
            <w:tcW w:w="1855" w:type="dxa"/>
            <w:noWrap/>
            <w:vAlign w:val="center"/>
          </w:tcPr>
          <w:p w14:paraId="6664FE7A">
            <w:pPr>
              <w:autoSpaceDN w:val="0"/>
              <w:rPr>
                <w:rFonts w:hint="eastAsia" w:ascii="宋体" w:hAnsi="宋体" w:eastAsia="宋体" w:cs="宋体"/>
                <w:color w:val="000000"/>
                <w:w w:val="90"/>
                <w:szCs w:val="21"/>
                <w:highlight w:val="none"/>
              </w:rPr>
            </w:pPr>
          </w:p>
        </w:tc>
        <w:tc>
          <w:tcPr>
            <w:tcW w:w="3702" w:type="dxa"/>
            <w:noWrap/>
            <w:vAlign w:val="center"/>
          </w:tcPr>
          <w:p w14:paraId="5F5752C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HJ2512打印机、传真机及多功能一体机</w:t>
            </w:r>
          </w:p>
        </w:tc>
      </w:tr>
      <w:tr w14:paraId="79255B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5A76DCC">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15</w:t>
            </w:r>
          </w:p>
        </w:tc>
        <w:tc>
          <w:tcPr>
            <w:tcW w:w="1985" w:type="dxa"/>
            <w:vMerge w:val="restart"/>
            <w:noWrap/>
            <w:vAlign w:val="center"/>
          </w:tcPr>
          <w:p w14:paraId="735EB0E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A020910 电视设备</w:t>
            </w:r>
          </w:p>
        </w:tc>
        <w:tc>
          <w:tcPr>
            <w:tcW w:w="2268" w:type="dxa"/>
            <w:noWrap/>
            <w:vAlign w:val="center"/>
          </w:tcPr>
          <w:p w14:paraId="04E09AC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A02091001普通电视设备（电视机）</w:t>
            </w:r>
          </w:p>
        </w:tc>
        <w:tc>
          <w:tcPr>
            <w:tcW w:w="1855" w:type="dxa"/>
            <w:noWrap/>
            <w:vAlign w:val="center"/>
          </w:tcPr>
          <w:p w14:paraId="270598E1">
            <w:pPr>
              <w:autoSpaceDN w:val="0"/>
              <w:rPr>
                <w:rFonts w:hint="eastAsia" w:ascii="宋体" w:hAnsi="宋体" w:eastAsia="宋体" w:cs="宋体"/>
                <w:color w:val="000000"/>
                <w:w w:val="90"/>
                <w:szCs w:val="21"/>
                <w:highlight w:val="none"/>
              </w:rPr>
            </w:pPr>
          </w:p>
        </w:tc>
        <w:tc>
          <w:tcPr>
            <w:tcW w:w="3702" w:type="dxa"/>
            <w:noWrap/>
            <w:vAlign w:val="center"/>
          </w:tcPr>
          <w:p w14:paraId="1AB0858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HJ2506彩色电视广播接收机</w:t>
            </w:r>
          </w:p>
        </w:tc>
      </w:tr>
      <w:tr w14:paraId="0BB253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8C7D63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14AD6BAC">
            <w:pPr>
              <w:autoSpaceDN w:val="0"/>
              <w:rPr>
                <w:rFonts w:hint="eastAsia" w:ascii="宋体" w:hAnsi="宋体" w:eastAsia="宋体" w:cs="宋体"/>
                <w:color w:val="000000"/>
                <w:w w:val="90"/>
                <w:szCs w:val="21"/>
                <w:highlight w:val="none"/>
              </w:rPr>
            </w:pPr>
          </w:p>
        </w:tc>
        <w:tc>
          <w:tcPr>
            <w:tcW w:w="2268" w:type="dxa"/>
            <w:noWrap/>
            <w:vAlign w:val="center"/>
          </w:tcPr>
          <w:p w14:paraId="2CF8053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A02091003特殊功能应用电视设备</w:t>
            </w:r>
          </w:p>
        </w:tc>
        <w:tc>
          <w:tcPr>
            <w:tcW w:w="1855" w:type="dxa"/>
            <w:noWrap/>
            <w:vAlign w:val="center"/>
          </w:tcPr>
          <w:p w14:paraId="2B9202F8">
            <w:pPr>
              <w:autoSpaceDN w:val="0"/>
              <w:rPr>
                <w:rFonts w:hint="eastAsia" w:ascii="宋体" w:hAnsi="宋体" w:eastAsia="宋体" w:cs="宋体"/>
                <w:color w:val="000000"/>
                <w:w w:val="90"/>
                <w:szCs w:val="21"/>
                <w:highlight w:val="none"/>
              </w:rPr>
            </w:pPr>
          </w:p>
        </w:tc>
        <w:tc>
          <w:tcPr>
            <w:tcW w:w="3702" w:type="dxa"/>
            <w:noWrap/>
            <w:vAlign w:val="center"/>
          </w:tcPr>
          <w:p w14:paraId="647B2C5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HJ2506彩色电视广播接收机</w:t>
            </w:r>
          </w:p>
        </w:tc>
      </w:tr>
      <w:tr w14:paraId="2581B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FBDCCF3">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16</w:t>
            </w:r>
          </w:p>
        </w:tc>
        <w:tc>
          <w:tcPr>
            <w:tcW w:w="1985" w:type="dxa"/>
            <w:vMerge w:val="restart"/>
            <w:noWrap/>
            <w:vAlign w:val="center"/>
          </w:tcPr>
          <w:p w14:paraId="6844825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A0601床类</w:t>
            </w:r>
          </w:p>
        </w:tc>
        <w:tc>
          <w:tcPr>
            <w:tcW w:w="2268" w:type="dxa"/>
            <w:noWrap/>
            <w:vAlign w:val="center"/>
          </w:tcPr>
          <w:p w14:paraId="48DD7A5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A060101钢木床类</w:t>
            </w:r>
          </w:p>
        </w:tc>
        <w:tc>
          <w:tcPr>
            <w:tcW w:w="1855" w:type="dxa"/>
            <w:noWrap/>
            <w:vAlign w:val="center"/>
          </w:tcPr>
          <w:p w14:paraId="2062BC2C">
            <w:pPr>
              <w:autoSpaceDN w:val="0"/>
              <w:rPr>
                <w:rFonts w:hint="eastAsia" w:ascii="宋体" w:hAnsi="宋体" w:eastAsia="宋体" w:cs="宋体"/>
                <w:color w:val="000000"/>
                <w:w w:val="90"/>
                <w:szCs w:val="21"/>
                <w:highlight w:val="none"/>
              </w:rPr>
            </w:pPr>
          </w:p>
        </w:tc>
        <w:tc>
          <w:tcPr>
            <w:tcW w:w="3702" w:type="dxa"/>
            <w:noWrap/>
            <w:vAlign w:val="center"/>
          </w:tcPr>
          <w:p w14:paraId="78DB091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3B7A91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1AC76C4">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4DBD99B9">
            <w:pPr>
              <w:autoSpaceDN w:val="0"/>
              <w:rPr>
                <w:rFonts w:hint="eastAsia" w:ascii="宋体" w:hAnsi="宋体" w:eastAsia="宋体" w:cs="宋体"/>
                <w:color w:val="000000"/>
                <w:w w:val="90"/>
                <w:szCs w:val="21"/>
                <w:highlight w:val="none"/>
              </w:rPr>
            </w:pPr>
          </w:p>
        </w:tc>
        <w:tc>
          <w:tcPr>
            <w:tcW w:w="2268" w:type="dxa"/>
            <w:noWrap/>
            <w:vAlign w:val="center"/>
          </w:tcPr>
          <w:p w14:paraId="73A7A3A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A060104木制床类</w:t>
            </w:r>
          </w:p>
        </w:tc>
        <w:tc>
          <w:tcPr>
            <w:tcW w:w="1855" w:type="dxa"/>
            <w:noWrap/>
            <w:vAlign w:val="center"/>
          </w:tcPr>
          <w:p w14:paraId="7B2D6544">
            <w:pPr>
              <w:autoSpaceDN w:val="0"/>
              <w:rPr>
                <w:rFonts w:hint="eastAsia" w:ascii="宋体" w:hAnsi="宋体" w:eastAsia="宋体" w:cs="宋体"/>
                <w:color w:val="000000"/>
                <w:w w:val="90"/>
                <w:szCs w:val="21"/>
                <w:highlight w:val="none"/>
              </w:rPr>
            </w:pPr>
          </w:p>
        </w:tc>
        <w:tc>
          <w:tcPr>
            <w:tcW w:w="3702" w:type="dxa"/>
            <w:noWrap/>
            <w:vAlign w:val="center"/>
          </w:tcPr>
          <w:p w14:paraId="795B0A9F">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069F4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137FEA4">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0BB434B1">
            <w:pPr>
              <w:autoSpaceDN w:val="0"/>
              <w:rPr>
                <w:rFonts w:hint="eastAsia" w:ascii="宋体" w:hAnsi="宋体" w:eastAsia="宋体" w:cs="宋体"/>
                <w:color w:val="000000"/>
                <w:w w:val="90"/>
                <w:szCs w:val="21"/>
                <w:highlight w:val="none"/>
              </w:rPr>
            </w:pPr>
          </w:p>
        </w:tc>
        <w:tc>
          <w:tcPr>
            <w:tcW w:w="2268" w:type="dxa"/>
            <w:noWrap/>
            <w:vAlign w:val="center"/>
          </w:tcPr>
          <w:p w14:paraId="7455C56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A060199其他床类</w:t>
            </w:r>
          </w:p>
        </w:tc>
        <w:tc>
          <w:tcPr>
            <w:tcW w:w="1855" w:type="dxa"/>
            <w:noWrap/>
            <w:vAlign w:val="center"/>
          </w:tcPr>
          <w:p w14:paraId="712E2D1C">
            <w:pPr>
              <w:autoSpaceDN w:val="0"/>
              <w:rPr>
                <w:rFonts w:hint="eastAsia" w:ascii="宋体" w:hAnsi="宋体" w:eastAsia="宋体" w:cs="宋体"/>
                <w:color w:val="000000"/>
                <w:w w:val="90"/>
                <w:szCs w:val="21"/>
                <w:highlight w:val="none"/>
              </w:rPr>
            </w:pPr>
          </w:p>
        </w:tc>
        <w:tc>
          <w:tcPr>
            <w:tcW w:w="3702" w:type="dxa"/>
            <w:noWrap/>
            <w:vAlign w:val="center"/>
          </w:tcPr>
          <w:p w14:paraId="0D4E40C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71029A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9F4BC26">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17</w:t>
            </w:r>
          </w:p>
        </w:tc>
        <w:tc>
          <w:tcPr>
            <w:tcW w:w="1985" w:type="dxa"/>
            <w:vMerge w:val="restart"/>
            <w:noWrap/>
            <w:vAlign w:val="center"/>
          </w:tcPr>
          <w:p w14:paraId="32E1C5F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A0602台、桌类</w:t>
            </w:r>
          </w:p>
        </w:tc>
        <w:tc>
          <w:tcPr>
            <w:tcW w:w="2268" w:type="dxa"/>
            <w:noWrap/>
            <w:vAlign w:val="center"/>
          </w:tcPr>
          <w:p w14:paraId="7AF77739">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A060201钢木台、桌类</w:t>
            </w:r>
          </w:p>
        </w:tc>
        <w:tc>
          <w:tcPr>
            <w:tcW w:w="1855" w:type="dxa"/>
            <w:noWrap/>
            <w:vAlign w:val="center"/>
          </w:tcPr>
          <w:p w14:paraId="44A139B2">
            <w:pPr>
              <w:autoSpaceDN w:val="0"/>
              <w:rPr>
                <w:rFonts w:hint="eastAsia" w:ascii="宋体" w:hAnsi="宋体" w:eastAsia="宋体" w:cs="宋体"/>
                <w:color w:val="000000"/>
                <w:w w:val="90"/>
                <w:szCs w:val="21"/>
                <w:highlight w:val="none"/>
              </w:rPr>
            </w:pPr>
          </w:p>
        </w:tc>
        <w:tc>
          <w:tcPr>
            <w:tcW w:w="3702" w:type="dxa"/>
            <w:noWrap/>
            <w:vAlign w:val="center"/>
          </w:tcPr>
          <w:p w14:paraId="4F81516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7C3F52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DEA571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331A6C66">
            <w:pPr>
              <w:autoSpaceDN w:val="0"/>
              <w:rPr>
                <w:rFonts w:hint="eastAsia" w:ascii="宋体" w:hAnsi="宋体" w:eastAsia="宋体" w:cs="宋体"/>
                <w:color w:val="000000"/>
                <w:w w:val="90"/>
                <w:szCs w:val="21"/>
                <w:highlight w:val="none"/>
              </w:rPr>
            </w:pPr>
          </w:p>
        </w:tc>
        <w:tc>
          <w:tcPr>
            <w:tcW w:w="2268" w:type="dxa"/>
            <w:noWrap/>
            <w:vAlign w:val="center"/>
          </w:tcPr>
          <w:p w14:paraId="31C0CFB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A060205木制台、桌类</w:t>
            </w:r>
          </w:p>
        </w:tc>
        <w:tc>
          <w:tcPr>
            <w:tcW w:w="1855" w:type="dxa"/>
            <w:noWrap/>
            <w:vAlign w:val="center"/>
          </w:tcPr>
          <w:p w14:paraId="77517761">
            <w:pPr>
              <w:autoSpaceDN w:val="0"/>
              <w:rPr>
                <w:rFonts w:hint="eastAsia" w:ascii="宋体" w:hAnsi="宋体" w:eastAsia="宋体" w:cs="宋体"/>
                <w:color w:val="000000"/>
                <w:w w:val="90"/>
                <w:szCs w:val="21"/>
                <w:highlight w:val="none"/>
              </w:rPr>
            </w:pPr>
          </w:p>
        </w:tc>
        <w:tc>
          <w:tcPr>
            <w:tcW w:w="3702" w:type="dxa"/>
            <w:noWrap/>
            <w:vAlign w:val="center"/>
          </w:tcPr>
          <w:p w14:paraId="26DF2FC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280307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8177E7E">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5FC6790C">
            <w:pPr>
              <w:autoSpaceDN w:val="0"/>
              <w:rPr>
                <w:rFonts w:hint="eastAsia" w:ascii="宋体" w:hAnsi="宋体" w:eastAsia="宋体" w:cs="宋体"/>
                <w:color w:val="000000"/>
                <w:w w:val="90"/>
                <w:szCs w:val="21"/>
                <w:highlight w:val="none"/>
              </w:rPr>
            </w:pPr>
          </w:p>
        </w:tc>
        <w:tc>
          <w:tcPr>
            <w:tcW w:w="2268" w:type="dxa"/>
            <w:noWrap/>
            <w:vAlign w:val="center"/>
          </w:tcPr>
          <w:p w14:paraId="0314135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A060299其他台、桌类</w:t>
            </w:r>
          </w:p>
        </w:tc>
        <w:tc>
          <w:tcPr>
            <w:tcW w:w="1855" w:type="dxa"/>
            <w:noWrap/>
            <w:vAlign w:val="center"/>
          </w:tcPr>
          <w:p w14:paraId="30FF7E2D">
            <w:pPr>
              <w:autoSpaceDN w:val="0"/>
              <w:rPr>
                <w:rFonts w:hint="eastAsia" w:ascii="宋体" w:hAnsi="宋体" w:eastAsia="宋体" w:cs="宋体"/>
                <w:color w:val="000000"/>
                <w:w w:val="90"/>
                <w:szCs w:val="21"/>
                <w:highlight w:val="none"/>
              </w:rPr>
            </w:pPr>
          </w:p>
        </w:tc>
        <w:tc>
          <w:tcPr>
            <w:tcW w:w="3702" w:type="dxa"/>
            <w:noWrap/>
            <w:vAlign w:val="center"/>
          </w:tcPr>
          <w:p w14:paraId="50D48C7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01313B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FC5637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18</w:t>
            </w:r>
          </w:p>
        </w:tc>
        <w:tc>
          <w:tcPr>
            <w:tcW w:w="1985" w:type="dxa"/>
            <w:vMerge w:val="restart"/>
            <w:noWrap/>
            <w:vAlign w:val="center"/>
          </w:tcPr>
          <w:p w14:paraId="48F11FF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A0603椅凳类</w:t>
            </w:r>
          </w:p>
        </w:tc>
        <w:tc>
          <w:tcPr>
            <w:tcW w:w="2268" w:type="dxa"/>
            <w:noWrap/>
            <w:vAlign w:val="center"/>
          </w:tcPr>
          <w:p w14:paraId="1BB7953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A060301金属骨架为主的椅凳类</w:t>
            </w:r>
          </w:p>
        </w:tc>
        <w:tc>
          <w:tcPr>
            <w:tcW w:w="1855" w:type="dxa"/>
            <w:noWrap/>
            <w:vAlign w:val="center"/>
          </w:tcPr>
          <w:p w14:paraId="17248B30">
            <w:pPr>
              <w:autoSpaceDN w:val="0"/>
              <w:rPr>
                <w:rFonts w:hint="eastAsia" w:ascii="宋体" w:hAnsi="宋体" w:eastAsia="宋体" w:cs="宋体"/>
                <w:color w:val="000000"/>
                <w:w w:val="90"/>
                <w:szCs w:val="21"/>
                <w:highlight w:val="none"/>
              </w:rPr>
            </w:pPr>
          </w:p>
        </w:tc>
        <w:tc>
          <w:tcPr>
            <w:tcW w:w="3702" w:type="dxa"/>
            <w:noWrap/>
            <w:vAlign w:val="center"/>
          </w:tcPr>
          <w:p w14:paraId="362F1EE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52D4A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8A078">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6D9118D8">
            <w:pPr>
              <w:autoSpaceDN w:val="0"/>
              <w:rPr>
                <w:rFonts w:hint="eastAsia" w:ascii="宋体" w:hAnsi="宋体" w:eastAsia="宋体" w:cs="宋体"/>
                <w:color w:val="000000"/>
                <w:w w:val="90"/>
                <w:szCs w:val="21"/>
                <w:highlight w:val="none"/>
              </w:rPr>
            </w:pPr>
          </w:p>
        </w:tc>
        <w:tc>
          <w:tcPr>
            <w:tcW w:w="2268" w:type="dxa"/>
            <w:noWrap/>
            <w:vAlign w:val="center"/>
          </w:tcPr>
          <w:p w14:paraId="0436F18D">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A060302木骨架为主的椅凳类</w:t>
            </w:r>
          </w:p>
        </w:tc>
        <w:tc>
          <w:tcPr>
            <w:tcW w:w="1855" w:type="dxa"/>
            <w:noWrap/>
            <w:vAlign w:val="center"/>
          </w:tcPr>
          <w:p w14:paraId="07EF5C5A">
            <w:pPr>
              <w:autoSpaceDN w:val="0"/>
              <w:rPr>
                <w:rFonts w:hint="eastAsia" w:ascii="宋体" w:hAnsi="宋体" w:eastAsia="宋体" w:cs="宋体"/>
                <w:color w:val="000000"/>
                <w:w w:val="90"/>
                <w:szCs w:val="21"/>
                <w:highlight w:val="none"/>
              </w:rPr>
            </w:pPr>
          </w:p>
        </w:tc>
        <w:tc>
          <w:tcPr>
            <w:tcW w:w="3702" w:type="dxa"/>
            <w:noWrap/>
            <w:vAlign w:val="center"/>
          </w:tcPr>
          <w:p w14:paraId="40E5883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0A1D5A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6E4E219">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6DE44D17">
            <w:pPr>
              <w:autoSpaceDN w:val="0"/>
              <w:rPr>
                <w:rFonts w:hint="eastAsia" w:ascii="宋体" w:hAnsi="宋体" w:eastAsia="宋体" w:cs="宋体"/>
                <w:color w:val="000000"/>
                <w:w w:val="90"/>
                <w:szCs w:val="21"/>
                <w:highlight w:val="none"/>
              </w:rPr>
            </w:pPr>
          </w:p>
        </w:tc>
        <w:tc>
          <w:tcPr>
            <w:tcW w:w="2268" w:type="dxa"/>
            <w:noWrap/>
            <w:vAlign w:val="center"/>
          </w:tcPr>
          <w:p w14:paraId="4D99B06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A060399其他椅凳类</w:t>
            </w:r>
          </w:p>
        </w:tc>
        <w:tc>
          <w:tcPr>
            <w:tcW w:w="1855" w:type="dxa"/>
            <w:noWrap/>
            <w:vAlign w:val="center"/>
          </w:tcPr>
          <w:p w14:paraId="63FFFC14">
            <w:pPr>
              <w:autoSpaceDN w:val="0"/>
              <w:rPr>
                <w:rFonts w:hint="eastAsia" w:ascii="宋体" w:hAnsi="宋体" w:eastAsia="宋体" w:cs="宋体"/>
                <w:color w:val="000000"/>
                <w:w w:val="90"/>
                <w:szCs w:val="21"/>
                <w:highlight w:val="none"/>
              </w:rPr>
            </w:pPr>
          </w:p>
        </w:tc>
        <w:tc>
          <w:tcPr>
            <w:tcW w:w="3702" w:type="dxa"/>
            <w:noWrap/>
            <w:vAlign w:val="center"/>
          </w:tcPr>
          <w:p w14:paraId="5D597D31">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5DE76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738A4C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19</w:t>
            </w:r>
          </w:p>
        </w:tc>
        <w:tc>
          <w:tcPr>
            <w:tcW w:w="1985" w:type="dxa"/>
            <w:noWrap/>
            <w:vAlign w:val="center"/>
          </w:tcPr>
          <w:p w14:paraId="127B252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A0604沙发类</w:t>
            </w:r>
          </w:p>
        </w:tc>
        <w:tc>
          <w:tcPr>
            <w:tcW w:w="2268" w:type="dxa"/>
            <w:noWrap/>
            <w:vAlign w:val="center"/>
          </w:tcPr>
          <w:p w14:paraId="781F843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A060499其他沙发类</w:t>
            </w:r>
          </w:p>
        </w:tc>
        <w:tc>
          <w:tcPr>
            <w:tcW w:w="1855" w:type="dxa"/>
            <w:noWrap/>
            <w:vAlign w:val="center"/>
          </w:tcPr>
          <w:p w14:paraId="66CDACE4">
            <w:pPr>
              <w:autoSpaceDN w:val="0"/>
              <w:rPr>
                <w:rFonts w:hint="eastAsia" w:ascii="宋体" w:hAnsi="宋体" w:eastAsia="宋体" w:cs="宋体"/>
                <w:color w:val="000000"/>
                <w:w w:val="90"/>
                <w:szCs w:val="21"/>
                <w:highlight w:val="none"/>
              </w:rPr>
            </w:pPr>
          </w:p>
        </w:tc>
        <w:tc>
          <w:tcPr>
            <w:tcW w:w="3702" w:type="dxa"/>
            <w:noWrap/>
            <w:vAlign w:val="center"/>
          </w:tcPr>
          <w:p w14:paraId="64BA0544">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72B24E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7DB3094">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20</w:t>
            </w:r>
          </w:p>
        </w:tc>
        <w:tc>
          <w:tcPr>
            <w:tcW w:w="1985" w:type="dxa"/>
            <w:vMerge w:val="restart"/>
            <w:noWrap/>
            <w:vAlign w:val="center"/>
          </w:tcPr>
          <w:p w14:paraId="05B1A38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A0605柜类</w:t>
            </w:r>
          </w:p>
        </w:tc>
        <w:tc>
          <w:tcPr>
            <w:tcW w:w="2268" w:type="dxa"/>
            <w:noWrap/>
            <w:vAlign w:val="center"/>
          </w:tcPr>
          <w:p w14:paraId="7DB0DC8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A060501木质柜类</w:t>
            </w:r>
          </w:p>
        </w:tc>
        <w:tc>
          <w:tcPr>
            <w:tcW w:w="1855" w:type="dxa"/>
            <w:noWrap/>
            <w:vAlign w:val="center"/>
          </w:tcPr>
          <w:p w14:paraId="777D7E5C">
            <w:pPr>
              <w:autoSpaceDN w:val="0"/>
              <w:rPr>
                <w:rFonts w:hint="eastAsia" w:ascii="宋体" w:hAnsi="宋体" w:eastAsia="宋体" w:cs="宋体"/>
                <w:color w:val="000000"/>
                <w:w w:val="90"/>
                <w:szCs w:val="21"/>
                <w:highlight w:val="none"/>
              </w:rPr>
            </w:pPr>
          </w:p>
        </w:tc>
        <w:tc>
          <w:tcPr>
            <w:tcW w:w="3702" w:type="dxa"/>
            <w:noWrap/>
            <w:vAlign w:val="center"/>
          </w:tcPr>
          <w:p w14:paraId="4113B76F">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36F32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785E4B7">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2AD5F621">
            <w:pPr>
              <w:autoSpaceDN w:val="0"/>
              <w:rPr>
                <w:rFonts w:hint="eastAsia" w:ascii="宋体" w:hAnsi="宋体" w:eastAsia="宋体" w:cs="宋体"/>
                <w:color w:val="000000"/>
                <w:w w:val="90"/>
                <w:szCs w:val="21"/>
                <w:highlight w:val="none"/>
              </w:rPr>
            </w:pPr>
          </w:p>
        </w:tc>
        <w:tc>
          <w:tcPr>
            <w:tcW w:w="2268" w:type="dxa"/>
            <w:noWrap/>
            <w:vAlign w:val="center"/>
          </w:tcPr>
          <w:p w14:paraId="0D16A8F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A060503金属质柜类</w:t>
            </w:r>
          </w:p>
        </w:tc>
        <w:tc>
          <w:tcPr>
            <w:tcW w:w="1855" w:type="dxa"/>
            <w:noWrap/>
            <w:vAlign w:val="center"/>
          </w:tcPr>
          <w:p w14:paraId="2F4F2A2E">
            <w:pPr>
              <w:autoSpaceDN w:val="0"/>
              <w:rPr>
                <w:rFonts w:hint="eastAsia" w:ascii="宋体" w:hAnsi="宋体" w:eastAsia="宋体" w:cs="宋体"/>
                <w:color w:val="000000"/>
                <w:w w:val="90"/>
                <w:szCs w:val="21"/>
                <w:highlight w:val="none"/>
              </w:rPr>
            </w:pPr>
          </w:p>
        </w:tc>
        <w:tc>
          <w:tcPr>
            <w:tcW w:w="3702" w:type="dxa"/>
            <w:noWrap/>
            <w:vAlign w:val="center"/>
          </w:tcPr>
          <w:p w14:paraId="7D54577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54878C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FAD02CF">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78AECBFC">
            <w:pPr>
              <w:autoSpaceDN w:val="0"/>
              <w:rPr>
                <w:rFonts w:hint="eastAsia" w:ascii="宋体" w:hAnsi="宋体" w:eastAsia="宋体" w:cs="宋体"/>
                <w:color w:val="000000"/>
                <w:w w:val="90"/>
                <w:szCs w:val="21"/>
                <w:highlight w:val="none"/>
              </w:rPr>
            </w:pPr>
          </w:p>
        </w:tc>
        <w:tc>
          <w:tcPr>
            <w:tcW w:w="2268" w:type="dxa"/>
            <w:noWrap/>
            <w:vAlign w:val="center"/>
          </w:tcPr>
          <w:p w14:paraId="7B219E1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A060599其他柜类</w:t>
            </w:r>
          </w:p>
        </w:tc>
        <w:tc>
          <w:tcPr>
            <w:tcW w:w="1855" w:type="dxa"/>
            <w:noWrap/>
            <w:vAlign w:val="center"/>
          </w:tcPr>
          <w:p w14:paraId="0D6BDF27">
            <w:pPr>
              <w:autoSpaceDN w:val="0"/>
              <w:rPr>
                <w:rFonts w:hint="eastAsia" w:ascii="宋体" w:hAnsi="宋体" w:eastAsia="宋体" w:cs="宋体"/>
                <w:color w:val="000000"/>
                <w:w w:val="90"/>
                <w:szCs w:val="21"/>
                <w:highlight w:val="none"/>
              </w:rPr>
            </w:pPr>
          </w:p>
        </w:tc>
        <w:tc>
          <w:tcPr>
            <w:tcW w:w="3702" w:type="dxa"/>
            <w:noWrap/>
            <w:vAlign w:val="center"/>
          </w:tcPr>
          <w:p w14:paraId="7758A94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5D0E8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34D339">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21</w:t>
            </w:r>
          </w:p>
        </w:tc>
        <w:tc>
          <w:tcPr>
            <w:tcW w:w="1985" w:type="dxa"/>
            <w:vMerge w:val="restart"/>
            <w:noWrap/>
            <w:vAlign w:val="center"/>
          </w:tcPr>
          <w:p w14:paraId="3AB40F8F">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A0606架类</w:t>
            </w:r>
          </w:p>
        </w:tc>
        <w:tc>
          <w:tcPr>
            <w:tcW w:w="2268" w:type="dxa"/>
            <w:noWrap/>
            <w:vAlign w:val="center"/>
          </w:tcPr>
          <w:p w14:paraId="4A249AE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A060601木质架类</w:t>
            </w:r>
          </w:p>
        </w:tc>
        <w:tc>
          <w:tcPr>
            <w:tcW w:w="1855" w:type="dxa"/>
            <w:noWrap/>
            <w:vAlign w:val="center"/>
          </w:tcPr>
          <w:p w14:paraId="552DA6EC">
            <w:pPr>
              <w:autoSpaceDN w:val="0"/>
              <w:rPr>
                <w:rFonts w:hint="eastAsia" w:ascii="宋体" w:hAnsi="宋体" w:eastAsia="宋体" w:cs="宋体"/>
                <w:color w:val="000000"/>
                <w:w w:val="90"/>
                <w:szCs w:val="21"/>
                <w:highlight w:val="none"/>
              </w:rPr>
            </w:pPr>
          </w:p>
        </w:tc>
        <w:tc>
          <w:tcPr>
            <w:tcW w:w="3702" w:type="dxa"/>
            <w:noWrap/>
            <w:vAlign w:val="center"/>
          </w:tcPr>
          <w:p w14:paraId="77204D7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4B4A08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15A959F">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47D6E273">
            <w:pPr>
              <w:autoSpaceDN w:val="0"/>
              <w:rPr>
                <w:rFonts w:hint="eastAsia" w:ascii="宋体" w:hAnsi="宋体" w:eastAsia="宋体" w:cs="宋体"/>
                <w:color w:val="000000"/>
                <w:w w:val="90"/>
                <w:szCs w:val="21"/>
                <w:highlight w:val="none"/>
              </w:rPr>
            </w:pPr>
          </w:p>
        </w:tc>
        <w:tc>
          <w:tcPr>
            <w:tcW w:w="2268" w:type="dxa"/>
            <w:noWrap/>
            <w:vAlign w:val="center"/>
          </w:tcPr>
          <w:p w14:paraId="22705B6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A060602金属质架类</w:t>
            </w:r>
          </w:p>
        </w:tc>
        <w:tc>
          <w:tcPr>
            <w:tcW w:w="1855" w:type="dxa"/>
            <w:noWrap/>
            <w:vAlign w:val="center"/>
          </w:tcPr>
          <w:p w14:paraId="60887207">
            <w:pPr>
              <w:autoSpaceDN w:val="0"/>
              <w:rPr>
                <w:rFonts w:hint="eastAsia" w:ascii="宋体" w:hAnsi="宋体" w:eastAsia="宋体" w:cs="宋体"/>
                <w:color w:val="000000"/>
                <w:w w:val="90"/>
                <w:szCs w:val="21"/>
                <w:highlight w:val="none"/>
              </w:rPr>
            </w:pPr>
          </w:p>
        </w:tc>
        <w:tc>
          <w:tcPr>
            <w:tcW w:w="3702" w:type="dxa"/>
            <w:noWrap/>
            <w:vAlign w:val="center"/>
          </w:tcPr>
          <w:p w14:paraId="402C1CE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473B5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F97171B">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22</w:t>
            </w:r>
          </w:p>
        </w:tc>
        <w:tc>
          <w:tcPr>
            <w:tcW w:w="1985" w:type="dxa"/>
            <w:vMerge w:val="restart"/>
            <w:noWrap/>
            <w:vAlign w:val="center"/>
          </w:tcPr>
          <w:p w14:paraId="3156593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A0607屏风类</w:t>
            </w:r>
          </w:p>
        </w:tc>
        <w:tc>
          <w:tcPr>
            <w:tcW w:w="2268" w:type="dxa"/>
            <w:noWrap/>
            <w:vAlign w:val="center"/>
          </w:tcPr>
          <w:p w14:paraId="571E005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A060701木质屏风类</w:t>
            </w:r>
          </w:p>
        </w:tc>
        <w:tc>
          <w:tcPr>
            <w:tcW w:w="1855" w:type="dxa"/>
            <w:noWrap/>
            <w:vAlign w:val="center"/>
          </w:tcPr>
          <w:p w14:paraId="217C2840">
            <w:pPr>
              <w:autoSpaceDN w:val="0"/>
              <w:rPr>
                <w:rFonts w:hint="eastAsia" w:ascii="宋体" w:hAnsi="宋体" w:eastAsia="宋体" w:cs="宋体"/>
                <w:color w:val="000000"/>
                <w:w w:val="90"/>
                <w:szCs w:val="21"/>
                <w:highlight w:val="none"/>
              </w:rPr>
            </w:pPr>
          </w:p>
        </w:tc>
        <w:tc>
          <w:tcPr>
            <w:tcW w:w="3702" w:type="dxa"/>
            <w:noWrap/>
            <w:vAlign w:val="center"/>
          </w:tcPr>
          <w:p w14:paraId="711E11B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61D8D9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B4752FF">
            <w:pPr>
              <w:autoSpaceDN w:val="0"/>
              <w:jc w:val="center"/>
              <w:rPr>
                <w:rFonts w:hint="eastAsia" w:ascii="宋体" w:hAnsi="宋体" w:eastAsia="宋体" w:cs="宋体"/>
                <w:color w:val="000000"/>
                <w:w w:val="90"/>
                <w:szCs w:val="21"/>
                <w:highlight w:val="none"/>
              </w:rPr>
            </w:pPr>
          </w:p>
        </w:tc>
        <w:tc>
          <w:tcPr>
            <w:tcW w:w="1985" w:type="dxa"/>
            <w:vMerge w:val="continue"/>
            <w:noWrap/>
            <w:vAlign w:val="center"/>
          </w:tcPr>
          <w:p w14:paraId="66E788DF">
            <w:pPr>
              <w:autoSpaceDN w:val="0"/>
              <w:rPr>
                <w:rFonts w:hint="eastAsia" w:ascii="宋体" w:hAnsi="宋体" w:eastAsia="宋体" w:cs="宋体"/>
                <w:color w:val="000000"/>
                <w:w w:val="90"/>
                <w:szCs w:val="21"/>
                <w:highlight w:val="none"/>
              </w:rPr>
            </w:pPr>
          </w:p>
        </w:tc>
        <w:tc>
          <w:tcPr>
            <w:tcW w:w="2268" w:type="dxa"/>
            <w:noWrap/>
            <w:vAlign w:val="center"/>
          </w:tcPr>
          <w:p w14:paraId="15A885A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A060702金属质屏风类</w:t>
            </w:r>
          </w:p>
        </w:tc>
        <w:tc>
          <w:tcPr>
            <w:tcW w:w="1855" w:type="dxa"/>
            <w:noWrap/>
            <w:vAlign w:val="center"/>
          </w:tcPr>
          <w:p w14:paraId="67F228E9">
            <w:pPr>
              <w:autoSpaceDN w:val="0"/>
              <w:rPr>
                <w:rFonts w:hint="eastAsia" w:ascii="宋体" w:hAnsi="宋体" w:eastAsia="宋体" w:cs="宋体"/>
                <w:color w:val="000000"/>
                <w:w w:val="90"/>
                <w:szCs w:val="21"/>
                <w:highlight w:val="none"/>
              </w:rPr>
            </w:pPr>
          </w:p>
        </w:tc>
        <w:tc>
          <w:tcPr>
            <w:tcW w:w="3702" w:type="dxa"/>
            <w:noWrap/>
            <w:vAlign w:val="center"/>
          </w:tcPr>
          <w:p w14:paraId="37E4755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50210B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A2168C3">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23</w:t>
            </w:r>
          </w:p>
        </w:tc>
        <w:tc>
          <w:tcPr>
            <w:tcW w:w="1985" w:type="dxa"/>
            <w:noWrap/>
            <w:vAlign w:val="center"/>
          </w:tcPr>
          <w:p w14:paraId="5B415B0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A060804水池</w:t>
            </w:r>
          </w:p>
        </w:tc>
        <w:tc>
          <w:tcPr>
            <w:tcW w:w="2268" w:type="dxa"/>
            <w:noWrap/>
            <w:vAlign w:val="center"/>
          </w:tcPr>
          <w:p w14:paraId="30B4BA2B">
            <w:pPr>
              <w:autoSpaceDN w:val="0"/>
              <w:rPr>
                <w:rFonts w:hint="eastAsia" w:ascii="宋体" w:hAnsi="宋体" w:eastAsia="宋体" w:cs="宋体"/>
                <w:color w:val="000000"/>
                <w:w w:val="90"/>
                <w:szCs w:val="21"/>
                <w:highlight w:val="none"/>
              </w:rPr>
            </w:pPr>
          </w:p>
        </w:tc>
        <w:tc>
          <w:tcPr>
            <w:tcW w:w="1855" w:type="dxa"/>
            <w:noWrap/>
            <w:vAlign w:val="center"/>
          </w:tcPr>
          <w:p w14:paraId="593AB167">
            <w:pPr>
              <w:autoSpaceDN w:val="0"/>
              <w:rPr>
                <w:rFonts w:hint="eastAsia" w:ascii="宋体" w:hAnsi="宋体" w:eastAsia="宋体" w:cs="宋体"/>
                <w:color w:val="000000"/>
                <w:w w:val="90"/>
                <w:szCs w:val="21"/>
                <w:highlight w:val="none"/>
              </w:rPr>
            </w:pPr>
          </w:p>
        </w:tc>
        <w:tc>
          <w:tcPr>
            <w:tcW w:w="3702" w:type="dxa"/>
            <w:noWrap/>
            <w:vAlign w:val="center"/>
          </w:tcPr>
          <w:p w14:paraId="131F0DF9">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HJ/T296卫生陶瓷</w:t>
            </w:r>
          </w:p>
        </w:tc>
      </w:tr>
      <w:tr w14:paraId="1B98A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9E4F18F">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24</w:t>
            </w:r>
          </w:p>
        </w:tc>
        <w:tc>
          <w:tcPr>
            <w:tcW w:w="1985" w:type="dxa"/>
            <w:noWrap/>
            <w:vAlign w:val="center"/>
          </w:tcPr>
          <w:p w14:paraId="58A1851B">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A060805便器</w:t>
            </w:r>
          </w:p>
        </w:tc>
        <w:tc>
          <w:tcPr>
            <w:tcW w:w="2268" w:type="dxa"/>
            <w:noWrap/>
            <w:vAlign w:val="center"/>
          </w:tcPr>
          <w:p w14:paraId="5B293CBF">
            <w:pPr>
              <w:autoSpaceDN w:val="0"/>
              <w:rPr>
                <w:rFonts w:hint="eastAsia" w:ascii="宋体" w:hAnsi="宋体" w:eastAsia="宋体" w:cs="宋体"/>
                <w:color w:val="000000"/>
                <w:w w:val="90"/>
                <w:szCs w:val="21"/>
                <w:highlight w:val="none"/>
              </w:rPr>
            </w:pPr>
          </w:p>
        </w:tc>
        <w:tc>
          <w:tcPr>
            <w:tcW w:w="1855" w:type="dxa"/>
            <w:noWrap/>
            <w:vAlign w:val="center"/>
          </w:tcPr>
          <w:p w14:paraId="4A2EF481">
            <w:pPr>
              <w:autoSpaceDN w:val="0"/>
              <w:rPr>
                <w:rFonts w:hint="eastAsia" w:ascii="宋体" w:hAnsi="宋体" w:eastAsia="宋体" w:cs="宋体"/>
                <w:color w:val="000000"/>
                <w:w w:val="90"/>
                <w:szCs w:val="21"/>
                <w:highlight w:val="none"/>
              </w:rPr>
            </w:pPr>
          </w:p>
        </w:tc>
        <w:tc>
          <w:tcPr>
            <w:tcW w:w="3702" w:type="dxa"/>
            <w:noWrap/>
            <w:vAlign w:val="center"/>
          </w:tcPr>
          <w:p w14:paraId="5AA99BA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HJ/T296卫生陶瓷</w:t>
            </w:r>
          </w:p>
        </w:tc>
      </w:tr>
      <w:tr w14:paraId="2DA759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092ECA1">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25</w:t>
            </w:r>
          </w:p>
        </w:tc>
        <w:tc>
          <w:tcPr>
            <w:tcW w:w="1985" w:type="dxa"/>
            <w:noWrap/>
            <w:vAlign w:val="center"/>
          </w:tcPr>
          <w:p w14:paraId="113E99BE">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A060806水嘴</w:t>
            </w:r>
          </w:p>
        </w:tc>
        <w:tc>
          <w:tcPr>
            <w:tcW w:w="2268" w:type="dxa"/>
            <w:noWrap/>
            <w:vAlign w:val="center"/>
          </w:tcPr>
          <w:p w14:paraId="446EAA8D">
            <w:pPr>
              <w:autoSpaceDN w:val="0"/>
              <w:rPr>
                <w:rFonts w:hint="eastAsia" w:ascii="宋体" w:hAnsi="宋体" w:eastAsia="宋体" w:cs="宋体"/>
                <w:color w:val="000000"/>
                <w:w w:val="90"/>
                <w:szCs w:val="21"/>
                <w:highlight w:val="none"/>
              </w:rPr>
            </w:pPr>
          </w:p>
        </w:tc>
        <w:tc>
          <w:tcPr>
            <w:tcW w:w="1855" w:type="dxa"/>
            <w:noWrap/>
            <w:vAlign w:val="center"/>
          </w:tcPr>
          <w:p w14:paraId="78EC7C4B">
            <w:pPr>
              <w:autoSpaceDN w:val="0"/>
              <w:rPr>
                <w:rFonts w:hint="eastAsia" w:ascii="宋体" w:hAnsi="宋体" w:eastAsia="宋体" w:cs="宋体"/>
                <w:color w:val="000000"/>
                <w:w w:val="90"/>
                <w:szCs w:val="21"/>
                <w:highlight w:val="none"/>
              </w:rPr>
            </w:pPr>
          </w:p>
        </w:tc>
        <w:tc>
          <w:tcPr>
            <w:tcW w:w="3702" w:type="dxa"/>
            <w:noWrap/>
            <w:vAlign w:val="center"/>
          </w:tcPr>
          <w:p w14:paraId="0B0E8E6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HJ/T411水嘴</w:t>
            </w:r>
          </w:p>
        </w:tc>
      </w:tr>
      <w:tr w14:paraId="6B3F11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09548A3">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26</w:t>
            </w:r>
          </w:p>
        </w:tc>
        <w:tc>
          <w:tcPr>
            <w:tcW w:w="1985" w:type="dxa"/>
            <w:noWrap/>
            <w:vAlign w:val="center"/>
          </w:tcPr>
          <w:p w14:paraId="5D69D002">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A0609组合家具</w:t>
            </w:r>
          </w:p>
        </w:tc>
        <w:tc>
          <w:tcPr>
            <w:tcW w:w="2268" w:type="dxa"/>
            <w:noWrap/>
            <w:vAlign w:val="center"/>
          </w:tcPr>
          <w:p w14:paraId="19238536">
            <w:pPr>
              <w:autoSpaceDN w:val="0"/>
              <w:rPr>
                <w:rFonts w:hint="eastAsia" w:ascii="宋体" w:hAnsi="宋体" w:eastAsia="宋体" w:cs="宋体"/>
                <w:color w:val="000000"/>
                <w:w w:val="90"/>
                <w:szCs w:val="21"/>
                <w:highlight w:val="none"/>
              </w:rPr>
            </w:pPr>
          </w:p>
        </w:tc>
        <w:tc>
          <w:tcPr>
            <w:tcW w:w="1855" w:type="dxa"/>
            <w:noWrap/>
            <w:vAlign w:val="center"/>
          </w:tcPr>
          <w:p w14:paraId="74675842">
            <w:pPr>
              <w:autoSpaceDN w:val="0"/>
              <w:rPr>
                <w:rFonts w:hint="eastAsia" w:ascii="宋体" w:hAnsi="宋体" w:eastAsia="宋体" w:cs="宋体"/>
                <w:color w:val="000000"/>
                <w:w w:val="90"/>
                <w:szCs w:val="21"/>
                <w:highlight w:val="none"/>
              </w:rPr>
            </w:pPr>
          </w:p>
        </w:tc>
        <w:tc>
          <w:tcPr>
            <w:tcW w:w="3702" w:type="dxa"/>
            <w:noWrap/>
            <w:vAlign w:val="center"/>
          </w:tcPr>
          <w:p w14:paraId="7BA01B96">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6C4A25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0F001EC">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27</w:t>
            </w:r>
          </w:p>
        </w:tc>
        <w:tc>
          <w:tcPr>
            <w:tcW w:w="1985" w:type="dxa"/>
            <w:noWrap/>
            <w:vAlign w:val="center"/>
          </w:tcPr>
          <w:p w14:paraId="204F7F5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A0610家用家具零配件</w:t>
            </w:r>
          </w:p>
        </w:tc>
        <w:tc>
          <w:tcPr>
            <w:tcW w:w="2268" w:type="dxa"/>
            <w:noWrap/>
            <w:vAlign w:val="center"/>
          </w:tcPr>
          <w:p w14:paraId="0CAB9431">
            <w:pPr>
              <w:autoSpaceDN w:val="0"/>
              <w:rPr>
                <w:rFonts w:hint="eastAsia" w:ascii="宋体" w:hAnsi="宋体" w:eastAsia="宋体" w:cs="宋体"/>
                <w:color w:val="000000"/>
                <w:w w:val="90"/>
                <w:szCs w:val="21"/>
                <w:highlight w:val="none"/>
              </w:rPr>
            </w:pPr>
          </w:p>
        </w:tc>
        <w:tc>
          <w:tcPr>
            <w:tcW w:w="1855" w:type="dxa"/>
            <w:noWrap/>
            <w:vAlign w:val="center"/>
          </w:tcPr>
          <w:p w14:paraId="51190B16">
            <w:pPr>
              <w:autoSpaceDN w:val="0"/>
              <w:rPr>
                <w:rFonts w:hint="eastAsia" w:ascii="宋体" w:hAnsi="宋体" w:eastAsia="宋体" w:cs="宋体"/>
                <w:color w:val="000000"/>
                <w:w w:val="90"/>
                <w:szCs w:val="21"/>
                <w:highlight w:val="none"/>
              </w:rPr>
            </w:pPr>
          </w:p>
        </w:tc>
        <w:tc>
          <w:tcPr>
            <w:tcW w:w="3702" w:type="dxa"/>
            <w:noWrap/>
            <w:vAlign w:val="center"/>
          </w:tcPr>
          <w:p w14:paraId="47E87A65">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07FAC9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3D83BE7">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28</w:t>
            </w:r>
          </w:p>
        </w:tc>
        <w:tc>
          <w:tcPr>
            <w:tcW w:w="1985" w:type="dxa"/>
            <w:noWrap/>
            <w:vAlign w:val="center"/>
          </w:tcPr>
          <w:p w14:paraId="206A531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A0699其他家具</w:t>
            </w:r>
          </w:p>
          <w:p w14:paraId="31D3D32A">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用具</w:t>
            </w:r>
          </w:p>
        </w:tc>
        <w:tc>
          <w:tcPr>
            <w:tcW w:w="2268" w:type="dxa"/>
            <w:noWrap/>
            <w:vAlign w:val="center"/>
          </w:tcPr>
          <w:p w14:paraId="2E6695FD">
            <w:pPr>
              <w:autoSpaceDN w:val="0"/>
              <w:rPr>
                <w:rFonts w:hint="eastAsia" w:ascii="宋体" w:hAnsi="宋体" w:eastAsia="宋体" w:cs="宋体"/>
                <w:color w:val="000000"/>
                <w:w w:val="90"/>
                <w:szCs w:val="21"/>
                <w:highlight w:val="none"/>
              </w:rPr>
            </w:pPr>
          </w:p>
        </w:tc>
        <w:tc>
          <w:tcPr>
            <w:tcW w:w="1855" w:type="dxa"/>
            <w:noWrap/>
            <w:vAlign w:val="center"/>
          </w:tcPr>
          <w:p w14:paraId="49127DA1">
            <w:pPr>
              <w:autoSpaceDN w:val="0"/>
              <w:rPr>
                <w:rFonts w:hint="eastAsia" w:ascii="宋体" w:hAnsi="宋体" w:eastAsia="宋体" w:cs="宋体"/>
                <w:color w:val="000000"/>
                <w:w w:val="90"/>
                <w:szCs w:val="21"/>
                <w:highlight w:val="none"/>
              </w:rPr>
            </w:pPr>
          </w:p>
        </w:tc>
        <w:tc>
          <w:tcPr>
            <w:tcW w:w="3702" w:type="dxa"/>
            <w:noWrap/>
            <w:vAlign w:val="center"/>
          </w:tcPr>
          <w:p w14:paraId="78E94E03">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HJ2547家具/HJ2540 木塑制品</w:t>
            </w:r>
          </w:p>
        </w:tc>
      </w:tr>
      <w:tr w14:paraId="772787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DC671D">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29</w:t>
            </w:r>
          </w:p>
        </w:tc>
        <w:tc>
          <w:tcPr>
            <w:tcW w:w="1985" w:type="dxa"/>
            <w:noWrap/>
            <w:vAlign w:val="center"/>
          </w:tcPr>
          <w:p w14:paraId="09EE0EC7">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A070101棉、化纤纺织及印染原料</w:t>
            </w:r>
          </w:p>
        </w:tc>
        <w:tc>
          <w:tcPr>
            <w:tcW w:w="2268" w:type="dxa"/>
            <w:noWrap/>
            <w:vAlign w:val="center"/>
          </w:tcPr>
          <w:p w14:paraId="60485500">
            <w:pPr>
              <w:autoSpaceDN w:val="0"/>
              <w:rPr>
                <w:rFonts w:hint="eastAsia" w:ascii="宋体" w:hAnsi="宋体" w:eastAsia="宋体" w:cs="宋体"/>
                <w:color w:val="000000"/>
                <w:w w:val="90"/>
                <w:szCs w:val="21"/>
                <w:highlight w:val="none"/>
              </w:rPr>
            </w:pPr>
          </w:p>
        </w:tc>
        <w:tc>
          <w:tcPr>
            <w:tcW w:w="1855" w:type="dxa"/>
            <w:noWrap/>
            <w:vAlign w:val="center"/>
          </w:tcPr>
          <w:p w14:paraId="62C98DED">
            <w:pPr>
              <w:autoSpaceDN w:val="0"/>
              <w:rPr>
                <w:rFonts w:hint="eastAsia" w:ascii="宋体" w:hAnsi="宋体" w:eastAsia="宋体" w:cs="宋体"/>
                <w:color w:val="000000"/>
                <w:w w:val="90"/>
                <w:szCs w:val="21"/>
                <w:highlight w:val="none"/>
              </w:rPr>
            </w:pPr>
          </w:p>
        </w:tc>
        <w:tc>
          <w:tcPr>
            <w:tcW w:w="3702" w:type="dxa"/>
            <w:noWrap/>
            <w:vAlign w:val="center"/>
          </w:tcPr>
          <w:p w14:paraId="79B9A11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HJ2546纺织产品</w:t>
            </w:r>
          </w:p>
        </w:tc>
      </w:tr>
      <w:tr w14:paraId="01485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D9F7C5D">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30</w:t>
            </w:r>
          </w:p>
        </w:tc>
        <w:tc>
          <w:tcPr>
            <w:tcW w:w="1985" w:type="dxa"/>
            <w:noWrap/>
            <w:vAlign w:val="center"/>
          </w:tcPr>
          <w:p w14:paraId="6D75243C">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A090101复印纸（包括再生复印纸）</w:t>
            </w:r>
          </w:p>
        </w:tc>
        <w:tc>
          <w:tcPr>
            <w:tcW w:w="2268" w:type="dxa"/>
            <w:noWrap/>
            <w:vAlign w:val="center"/>
          </w:tcPr>
          <w:p w14:paraId="464586EE">
            <w:pPr>
              <w:autoSpaceDN w:val="0"/>
              <w:rPr>
                <w:rFonts w:hint="eastAsia" w:ascii="宋体" w:hAnsi="宋体" w:eastAsia="宋体" w:cs="宋体"/>
                <w:color w:val="000000"/>
                <w:w w:val="90"/>
                <w:szCs w:val="21"/>
                <w:highlight w:val="none"/>
              </w:rPr>
            </w:pPr>
          </w:p>
        </w:tc>
        <w:tc>
          <w:tcPr>
            <w:tcW w:w="1855" w:type="dxa"/>
            <w:noWrap/>
            <w:vAlign w:val="center"/>
          </w:tcPr>
          <w:p w14:paraId="04E4B1BE">
            <w:pPr>
              <w:autoSpaceDN w:val="0"/>
              <w:rPr>
                <w:rFonts w:hint="eastAsia" w:ascii="宋体" w:hAnsi="宋体" w:eastAsia="宋体" w:cs="宋体"/>
                <w:color w:val="000000"/>
                <w:w w:val="90"/>
                <w:szCs w:val="21"/>
                <w:highlight w:val="none"/>
              </w:rPr>
            </w:pPr>
          </w:p>
        </w:tc>
        <w:tc>
          <w:tcPr>
            <w:tcW w:w="3702" w:type="dxa"/>
            <w:noWrap/>
            <w:vAlign w:val="center"/>
          </w:tcPr>
          <w:p w14:paraId="199C6968">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HJ410文化用纸</w:t>
            </w:r>
          </w:p>
        </w:tc>
      </w:tr>
      <w:tr w14:paraId="2733C5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E73A3FF">
            <w:pPr>
              <w:autoSpaceDN w:val="0"/>
              <w:jc w:val="center"/>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31</w:t>
            </w:r>
          </w:p>
        </w:tc>
        <w:tc>
          <w:tcPr>
            <w:tcW w:w="1985" w:type="dxa"/>
            <w:noWrap/>
            <w:vAlign w:val="center"/>
          </w:tcPr>
          <w:p w14:paraId="1B980060">
            <w:pPr>
              <w:autoSpaceDN w:val="0"/>
              <w:rPr>
                <w:rFonts w:hint="eastAsia" w:ascii="宋体" w:hAnsi="宋体" w:eastAsia="宋体" w:cs="宋体"/>
                <w:color w:val="000000"/>
                <w:w w:val="90"/>
                <w:szCs w:val="21"/>
                <w:highlight w:val="none"/>
              </w:rPr>
            </w:pPr>
            <w:r>
              <w:rPr>
                <w:rFonts w:hint="eastAsia" w:ascii="宋体" w:hAnsi="宋体" w:eastAsia="宋体" w:cs="宋体"/>
                <w:color w:val="000000"/>
                <w:w w:val="90"/>
                <w:szCs w:val="21"/>
                <w:highlight w:val="none"/>
              </w:rPr>
              <w:t>A090201鼓粉盒（包括再生鼓粉盒）</w:t>
            </w:r>
          </w:p>
        </w:tc>
        <w:tc>
          <w:tcPr>
            <w:tcW w:w="2268" w:type="dxa"/>
            <w:noWrap/>
            <w:vAlign w:val="center"/>
          </w:tcPr>
          <w:p w14:paraId="412CD00F">
            <w:pPr>
              <w:autoSpaceDN w:val="0"/>
              <w:rPr>
                <w:rFonts w:hint="eastAsia" w:ascii="宋体" w:hAnsi="宋体" w:eastAsia="宋体" w:cs="宋体"/>
                <w:color w:val="000000"/>
                <w:w w:val="90"/>
                <w:szCs w:val="21"/>
                <w:highlight w:val="none"/>
              </w:rPr>
            </w:pPr>
          </w:p>
        </w:tc>
        <w:tc>
          <w:tcPr>
            <w:tcW w:w="1855" w:type="dxa"/>
            <w:noWrap/>
            <w:vAlign w:val="center"/>
          </w:tcPr>
          <w:p w14:paraId="0E5DD0B1">
            <w:pPr>
              <w:autoSpaceDN w:val="0"/>
              <w:rPr>
                <w:rFonts w:hint="eastAsia" w:ascii="宋体" w:hAnsi="宋体" w:eastAsia="宋体" w:cs="宋体"/>
                <w:color w:val="000000"/>
                <w:w w:val="90"/>
                <w:szCs w:val="21"/>
                <w:highlight w:val="none"/>
              </w:rPr>
            </w:pPr>
          </w:p>
        </w:tc>
        <w:tc>
          <w:tcPr>
            <w:tcW w:w="3702" w:type="dxa"/>
            <w:noWrap/>
            <w:vAlign w:val="center"/>
          </w:tcPr>
          <w:p w14:paraId="2CF99E0C">
            <w:pPr>
              <w:autoSpaceDN w:val="0"/>
              <w:rPr>
                <w:rFonts w:hint="eastAsia" w:ascii="宋体" w:hAnsi="宋体" w:eastAsia="宋体" w:cs="宋体"/>
                <w:color w:val="000000"/>
                <w:w w:val="90"/>
                <w:szCs w:val="21"/>
                <w:highlight w:val="none"/>
              </w:rPr>
            </w:pPr>
          </w:p>
        </w:tc>
      </w:tr>
      <w:tr w14:paraId="25E722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1985FA0">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32</w:t>
            </w:r>
          </w:p>
        </w:tc>
        <w:tc>
          <w:tcPr>
            <w:tcW w:w="1985" w:type="dxa"/>
            <w:vMerge w:val="restart"/>
            <w:noWrap/>
            <w:vAlign w:val="center"/>
          </w:tcPr>
          <w:p w14:paraId="6C571566">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A100203人造板</w:t>
            </w:r>
          </w:p>
        </w:tc>
        <w:tc>
          <w:tcPr>
            <w:tcW w:w="2268" w:type="dxa"/>
            <w:noWrap/>
            <w:vAlign w:val="center"/>
          </w:tcPr>
          <w:p w14:paraId="0273286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A10020301胶合板</w:t>
            </w:r>
          </w:p>
        </w:tc>
        <w:tc>
          <w:tcPr>
            <w:tcW w:w="1855" w:type="dxa"/>
            <w:noWrap/>
            <w:vAlign w:val="center"/>
          </w:tcPr>
          <w:p w14:paraId="678CBA93">
            <w:pPr>
              <w:autoSpaceDN w:val="0"/>
              <w:rPr>
                <w:rFonts w:hint="eastAsia" w:ascii="宋体" w:hAnsi="宋体" w:eastAsia="宋体" w:cs="宋体"/>
                <w:b/>
                <w:color w:val="000000"/>
                <w:w w:val="90"/>
                <w:szCs w:val="21"/>
                <w:highlight w:val="none"/>
              </w:rPr>
            </w:pPr>
          </w:p>
        </w:tc>
        <w:tc>
          <w:tcPr>
            <w:tcW w:w="3702" w:type="dxa"/>
            <w:noWrap/>
            <w:vAlign w:val="center"/>
          </w:tcPr>
          <w:p w14:paraId="0532119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w:t>
            </w:r>
          </w:p>
        </w:tc>
      </w:tr>
      <w:tr w14:paraId="100200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EAD9191">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0DFADB4A">
            <w:pPr>
              <w:autoSpaceDN w:val="0"/>
              <w:rPr>
                <w:rFonts w:hint="eastAsia" w:ascii="宋体" w:hAnsi="宋体" w:eastAsia="宋体" w:cs="宋体"/>
                <w:b/>
                <w:color w:val="000000"/>
                <w:w w:val="90"/>
                <w:szCs w:val="21"/>
                <w:highlight w:val="none"/>
              </w:rPr>
            </w:pPr>
          </w:p>
        </w:tc>
        <w:tc>
          <w:tcPr>
            <w:tcW w:w="2268" w:type="dxa"/>
            <w:noWrap/>
            <w:vAlign w:val="center"/>
          </w:tcPr>
          <w:p w14:paraId="3C7900A7">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A10020302纤维板</w:t>
            </w:r>
          </w:p>
        </w:tc>
        <w:tc>
          <w:tcPr>
            <w:tcW w:w="1855" w:type="dxa"/>
            <w:noWrap/>
            <w:vAlign w:val="center"/>
          </w:tcPr>
          <w:p w14:paraId="337751F0">
            <w:pPr>
              <w:autoSpaceDN w:val="0"/>
              <w:rPr>
                <w:rFonts w:hint="eastAsia" w:ascii="宋体" w:hAnsi="宋体" w:eastAsia="宋体" w:cs="宋体"/>
                <w:b/>
                <w:color w:val="000000"/>
                <w:w w:val="90"/>
                <w:szCs w:val="21"/>
                <w:highlight w:val="none"/>
              </w:rPr>
            </w:pPr>
          </w:p>
        </w:tc>
        <w:tc>
          <w:tcPr>
            <w:tcW w:w="3702" w:type="dxa"/>
            <w:noWrap/>
            <w:vAlign w:val="center"/>
          </w:tcPr>
          <w:p w14:paraId="283F8B46">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w:t>
            </w:r>
          </w:p>
        </w:tc>
      </w:tr>
      <w:tr w14:paraId="69101E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E0CDDBF">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6B4A8E5D">
            <w:pPr>
              <w:autoSpaceDN w:val="0"/>
              <w:rPr>
                <w:rFonts w:hint="eastAsia" w:ascii="宋体" w:hAnsi="宋体" w:eastAsia="宋体" w:cs="宋体"/>
                <w:b/>
                <w:color w:val="000000"/>
                <w:w w:val="90"/>
                <w:szCs w:val="21"/>
                <w:highlight w:val="none"/>
              </w:rPr>
            </w:pPr>
          </w:p>
        </w:tc>
        <w:tc>
          <w:tcPr>
            <w:tcW w:w="2268" w:type="dxa"/>
            <w:noWrap/>
            <w:vAlign w:val="center"/>
          </w:tcPr>
          <w:p w14:paraId="0038B142">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A10020303刨花板</w:t>
            </w:r>
          </w:p>
        </w:tc>
        <w:tc>
          <w:tcPr>
            <w:tcW w:w="1855" w:type="dxa"/>
            <w:noWrap/>
            <w:vAlign w:val="center"/>
          </w:tcPr>
          <w:p w14:paraId="4B2B3BDC">
            <w:pPr>
              <w:autoSpaceDN w:val="0"/>
              <w:rPr>
                <w:rFonts w:hint="eastAsia" w:ascii="宋体" w:hAnsi="宋体" w:eastAsia="宋体" w:cs="宋体"/>
                <w:b/>
                <w:color w:val="000000"/>
                <w:w w:val="90"/>
                <w:szCs w:val="21"/>
                <w:highlight w:val="none"/>
              </w:rPr>
            </w:pPr>
          </w:p>
        </w:tc>
        <w:tc>
          <w:tcPr>
            <w:tcW w:w="3702" w:type="dxa"/>
            <w:noWrap/>
            <w:vAlign w:val="center"/>
          </w:tcPr>
          <w:p w14:paraId="2B7DAA62">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w:t>
            </w:r>
          </w:p>
        </w:tc>
      </w:tr>
      <w:tr w14:paraId="0A86FB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7EC419">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01B8E962">
            <w:pPr>
              <w:autoSpaceDN w:val="0"/>
              <w:rPr>
                <w:rFonts w:hint="eastAsia" w:ascii="宋体" w:hAnsi="宋体" w:eastAsia="宋体" w:cs="宋体"/>
                <w:b/>
                <w:color w:val="000000"/>
                <w:w w:val="90"/>
                <w:szCs w:val="21"/>
                <w:highlight w:val="none"/>
              </w:rPr>
            </w:pPr>
          </w:p>
        </w:tc>
        <w:tc>
          <w:tcPr>
            <w:tcW w:w="2268" w:type="dxa"/>
            <w:noWrap/>
            <w:vAlign w:val="center"/>
          </w:tcPr>
          <w:p w14:paraId="0EBC6D53">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A10020304细木工板</w:t>
            </w:r>
          </w:p>
        </w:tc>
        <w:tc>
          <w:tcPr>
            <w:tcW w:w="1855" w:type="dxa"/>
            <w:noWrap/>
            <w:vAlign w:val="center"/>
          </w:tcPr>
          <w:p w14:paraId="19819AB2">
            <w:pPr>
              <w:autoSpaceDN w:val="0"/>
              <w:rPr>
                <w:rFonts w:hint="eastAsia" w:ascii="宋体" w:hAnsi="宋体" w:eastAsia="宋体" w:cs="宋体"/>
                <w:b/>
                <w:color w:val="000000"/>
                <w:w w:val="90"/>
                <w:szCs w:val="21"/>
                <w:highlight w:val="none"/>
              </w:rPr>
            </w:pPr>
          </w:p>
        </w:tc>
        <w:tc>
          <w:tcPr>
            <w:tcW w:w="3702" w:type="dxa"/>
            <w:noWrap/>
            <w:vAlign w:val="center"/>
          </w:tcPr>
          <w:p w14:paraId="50C96FB4">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w:t>
            </w:r>
          </w:p>
        </w:tc>
      </w:tr>
      <w:tr w14:paraId="479BAC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6822EF6">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1BFE1674">
            <w:pPr>
              <w:autoSpaceDN w:val="0"/>
              <w:rPr>
                <w:rFonts w:hint="eastAsia" w:ascii="宋体" w:hAnsi="宋体" w:eastAsia="宋体" w:cs="宋体"/>
                <w:b/>
                <w:color w:val="000000"/>
                <w:w w:val="90"/>
                <w:szCs w:val="21"/>
                <w:highlight w:val="none"/>
              </w:rPr>
            </w:pPr>
          </w:p>
        </w:tc>
        <w:tc>
          <w:tcPr>
            <w:tcW w:w="2268" w:type="dxa"/>
            <w:noWrap/>
            <w:vAlign w:val="center"/>
          </w:tcPr>
          <w:p w14:paraId="13C8C7B6">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A10020399其他人造板</w:t>
            </w:r>
          </w:p>
        </w:tc>
        <w:tc>
          <w:tcPr>
            <w:tcW w:w="1855" w:type="dxa"/>
            <w:noWrap/>
            <w:vAlign w:val="center"/>
          </w:tcPr>
          <w:p w14:paraId="323DE177">
            <w:pPr>
              <w:autoSpaceDN w:val="0"/>
              <w:rPr>
                <w:rFonts w:hint="eastAsia" w:ascii="宋体" w:hAnsi="宋体" w:eastAsia="宋体" w:cs="宋体"/>
                <w:b/>
                <w:color w:val="000000"/>
                <w:w w:val="90"/>
                <w:szCs w:val="21"/>
                <w:highlight w:val="none"/>
              </w:rPr>
            </w:pPr>
          </w:p>
        </w:tc>
        <w:tc>
          <w:tcPr>
            <w:tcW w:w="3702" w:type="dxa"/>
            <w:noWrap/>
            <w:vAlign w:val="center"/>
          </w:tcPr>
          <w:p w14:paraId="0DE9154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w:t>
            </w:r>
          </w:p>
        </w:tc>
      </w:tr>
      <w:tr w14:paraId="20D459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A90FCE1">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33</w:t>
            </w:r>
          </w:p>
        </w:tc>
        <w:tc>
          <w:tcPr>
            <w:tcW w:w="1985" w:type="dxa"/>
            <w:vMerge w:val="restart"/>
            <w:noWrap/>
            <w:vAlign w:val="center"/>
          </w:tcPr>
          <w:p w14:paraId="64879B2C">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A100204二次加工材,相关板材</w:t>
            </w:r>
          </w:p>
        </w:tc>
        <w:tc>
          <w:tcPr>
            <w:tcW w:w="2268" w:type="dxa"/>
            <w:noWrap/>
            <w:vAlign w:val="center"/>
          </w:tcPr>
          <w:p w14:paraId="17409C64">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A10020404人造板表面装饰板</w:t>
            </w:r>
          </w:p>
        </w:tc>
        <w:tc>
          <w:tcPr>
            <w:tcW w:w="1855" w:type="dxa"/>
            <w:noWrap/>
            <w:vAlign w:val="center"/>
          </w:tcPr>
          <w:p w14:paraId="30739706">
            <w:pPr>
              <w:autoSpaceDN w:val="0"/>
              <w:rPr>
                <w:rFonts w:hint="eastAsia" w:ascii="宋体" w:hAnsi="宋体" w:eastAsia="宋体" w:cs="宋体"/>
                <w:b/>
                <w:color w:val="000000"/>
                <w:w w:val="90"/>
                <w:szCs w:val="21"/>
                <w:highlight w:val="none"/>
              </w:rPr>
            </w:pPr>
          </w:p>
        </w:tc>
        <w:tc>
          <w:tcPr>
            <w:tcW w:w="3702" w:type="dxa"/>
            <w:noWrap/>
            <w:vAlign w:val="center"/>
          </w:tcPr>
          <w:p w14:paraId="683C403A">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HJ571人造板及其制品/HJ2540 木塑制品</w:t>
            </w:r>
          </w:p>
        </w:tc>
      </w:tr>
      <w:tr w14:paraId="493BB5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18B277D">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413E3FAC">
            <w:pPr>
              <w:autoSpaceDN w:val="0"/>
              <w:rPr>
                <w:rFonts w:hint="eastAsia" w:ascii="宋体" w:hAnsi="宋体" w:eastAsia="宋体" w:cs="宋体"/>
                <w:b/>
                <w:color w:val="000000"/>
                <w:w w:val="90"/>
                <w:szCs w:val="21"/>
                <w:highlight w:val="none"/>
              </w:rPr>
            </w:pPr>
          </w:p>
        </w:tc>
        <w:tc>
          <w:tcPr>
            <w:tcW w:w="2268" w:type="dxa"/>
            <w:noWrap/>
            <w:vAlign w:val="center"/>
          </w:tcPr>
          <w:p w14:paraId="7CE6470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A10020404人造板表面装饰板（地板）</w:t>
            </w:r>
          </w:p>
        </w:tc>
        <w:tc>
          <w:tcPr>
            <w:tcW w:w="1855" w:type="dxa"/>
            <w:noWrap/>
            <w:vAlign w:val="center"/>
          </w:tcPr>
          <w:p w14:paraId="5697A2FD">
            <w:pPr>
              <w:autoSpaceDN w:val="0"/>
              <w:rPr>
                <w:rFonts w:hint="eastAsia" w:ascii="宋体" w:hAnsi="宋体" w:eastAsia="宋体" w:cs="宋体"/>
                <w:b/>
                <w:color w:val="000000"/>
                <w:w w:val="90"/>
                <w:szCs w:val="21"/>
                <w:highlight w:val="none"/>
              </w:rPr>
            </w:pPr>
          </w:p>
        </w:tc>
        <w:tc>
          <w:tcPr>
            <w:tcW w:w="3702" w:type="dxa"/>
            <w:noWrap/>
            <w:vAlign w:val="center"/>
          </w:tcPr>
          <w:p w14:paraId="73BDD934">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HJ571人造板及其制品/HJ2540 木塑制品</w:t>
            </w:r>
          </w:p>
        </w:tc>
      </w:tr>
      <w:tr w14:paraId="01335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56809AD">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34</w:t>
            </w:r>
          </w:p>
        </w:tc>
        <w:tc>
          <w:tcPr>
            <w:tcW w:w="1985" w:type="dxa"/>
            <w:noWrap/>
            <w:vAlign w:val="center"/>
          </w:tcPr>
          <w:p w14:paraId="2FD2E31F">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A100301水泥熟料及水泥</w:t>
            </w:r>
          </w:p>
        </w:tc>
        <w:tc>
          <w:tcPr>
            <w:tcW w:w="2268" w:type="dxa"/>
            <w:noWrap/>
            <w:vAlign w:val="center"/>
          </w:tcPr>
          <w:p w14:paraId="41B7B2F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A10030102水泥</w:t>
            </w:r>
          </w:p>
        </w:tc>
        <w:tc>
          <w:tcPr>
            <w:tcW w:w="1855" w:type="dxa"/>
            <w:noWrap/>
            <w:vAlign w:val="center"/>
          </w:tcPr>
          <w:p w14:paraId="5C8D71DE">
            <w:pPr>
              <w:autoSpaceDN w:val="0"/>
              <w:rPr>
                <w:rFonts w:hint="eastAsia" w:ascii="宋体" w:hAnsi="宋体" w:eastAsia="宋体" w:cs="宋体"/>
                <w:b/>
                <w:color w:val="000000"/>
                <w:w w:val="90"/>
                <w:szCs w:val="21"/>
                <w:highlight w:val="none"/>
              </w:rPr>
            </w:pPr>
          </w:p>
        </w:tc>
        <w:tc>
          <w:tcPr>
            <w:tcW w:w="3702" w:type="dxa"/>
            <w:noWrap/>
            <w:vAlign w:val="center"/>
          </w:tcPr>
          <w:p w14:paraId="7B9709E6">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HJ2519水泥</w:t>
            </w:r>
          </w:p>
        </w:tc>
      </w:tr>
      <w:tr w14:paraId="43826C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875D1DA">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35</w:t>
            </w:r>
          </w:p>
        </w:tc>
        <w:tc>
          <w:tcPr>
            <w:tcW w:w="1985" w:type="dxa"/>
            <w:noWrap/>
            <w:vAlign w:val="center"/>
          </w:tcPr>
          <w:p w14:paraId="67D9D0D3">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A100303水泥混凝土制品</w:t>
            </w:r>
          </w:p>
        </w:tc>
        <w:tc>
          <w:tcPr>
            <w:tcW w:w="2268" w:type="dxa"/>
            <w:noWrap/>
            <w:vAlign w:val="center"/>
          </w:tcPr>
          <w:p w14:paraId="655D4F37">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A10030301商品混凝土</w:t>
            </w:r>
          </w:p>
        </w:tc>
        <w:tc>
          <w:tcPr>
            <w:tcW w:w="1855" w:type="dxa"/>
            <w:noWrap/>
            <w:vAlign w:val="center"/>
          </w:tcPr>
          <w:p w14:paraId="5047ECDD">
            <w:pPr>
              <w:autoSpaceDN w:val="0"/>
              <w:rPr>
                <w:rFonts w:hint="eastAsia" w:ascii="宋体" w:hAnsi="宋体" w:eastAsia="宋体" w:cs="宋体"/>
                <w:b/>
                <w:color w:val="000000"/>
                <w:w w:val="90"/>
                <w:szCs w:val="21"/>
                <w:highlight w:val="none"/>
              </w:rPr>
            </w:pPr>
          </w:p>
        </w:tc>
        <w:tc>
          <w:tcPr>
            <w:tcW w:w="3702" w:type="dxa"/>
            <w:noWrap/>
            <w:vAlign w:val="center"/>
          </w:tcPr>
          <w:p w14:paraId="103EE565">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HJ/T412预拌混凝土</w:t>
            </w:r>
          </w:p>
        </w:tc>
      </w:tr>
      <w:tr w14:paraId="19FA6E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93AD002">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36</w:t>
            </w:r>
          </w:p>
        </w:tc>
        <w:tc>
          <w:tcPr>
            <w:tcW w:w="1985" w:type="dxa"/>
            <w:vMerge w:val="restart"/>
            <w:noWrap/>
            <w:vAlign w:val="center"/>
          </w:tcPr>
          <w:p w14:paraId="7DE20379">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A100304纤维增强水泥制品</w:t>
            </w:r>
          </w:p>
        </w:tc>
        <w:tc>
          <w:tcPr>
            <w:tcW w:w="2268" w:type="dxa"/>
            <w:noWrap/>
            <w:vAlign w:val="center"/>
          </w:tcPr>
          <w:p w14:paraId="74D0C3F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A10030402纤维增强硅酸钙板</w:t>
            </w:r>
          </w:p>
        </w:tc>
        <w:tc>
          <w:tcPr>
            <w:tcW w:w="1855" w:type="dxa"/>
            <w:noWrap/>
            <w:vAlign w:val="center"/>
          </w:tcPr>
          <w:p w14:paraId="4C0D304C">
            <w:pPr>
              <w:autoSpaceDN w:val="0"/>
              <w:rPr>
                <w:rFonts w:hint="eastAsia" w:ascii="宋体" w:hAnsi="宋体" w:eastAsia="宋体" w:cs="宋体"/>
                <w:b/>
                <w:color w:val="000000"/>
                <w:w w:val="90"/>
                <w:szCs w:val="21"/>
                <w:highlight w:val="none"/>
              </w:rPr>
            </w:pPr>
          </w:p>
        </w:tc>
        <w:tc>
          <w:tcPr>
            <w:tcW w:w="3702" w:type="dxa"/>
            <w:noWrap/>
            <w:vAlign w:val="center"/>
          </w:tcPr>
          <w:p w14:paraId="464C5FCF">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2A3E05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2E206AC">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7ACFC075">
            <w:pPr>
              <w:autoSpaceDN w:val="0"/>
              <w:rPr>
                <w:rFonts w:hint="eastAsia" w:ascii="宋体" w:hAnsi="宋体" w:eastAsia="宋体" w:cs="宋体"/>
                <w:b/>
                <w:color w:val="000000"/>
                <w:w w:val="90"/>
                <w:szCs w:val="21"/>
                <w:highlight w:val="none"/>
              </w:rPr>
            </w:pPr>
          </w:p>
        </w:tc>
        <w:tc>
          <w:tcPr>
            <w:tcW w:w="2268" w:type="dxa"/>
            <w:noWrap/>
            <w:vAlign w:val="center"/>
          </w:tcPr>
          <w:p w14:paraId="6342F91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A10030403无石棉纤维水泥制品</w:t>
            </w:r>
          </w:p>
        </w:tc>
        <w:tc>
          <w:tcPr>
            <w:tcW w:w="1855" w:type="dxa"/>
            <w:noWrap/>
            <w:vAlign w:val="center"/>
          </w:tcPr>
          <w:p w14:paraId="2C4B7958">
            <w:pPr>
              <w:autoSpaceDN w:val="0"/>
              <w:rPr>
                <w:rFonts w:hint="eastAsia" w:ascii="宋体" w:hAnsi="宋体" w:eastAsia="宋体" w:cs="宋体"/>
                <w:b/>
                <w:color w:val="000000"/>
                <w:w w:val="90"/>
                <w:szCs w:val="21"/>
                <w:highlight w:val="none"/>
              </w:rPr>
            </w:pPr>
          </w:p>
        </w:tc>
        <w:tc>
          <w:tcPr>
            <w:tcW w:w="3702" w:type="dxa"/>
            <w:noWrap/>
            <w:vAlign w:val="center"/>
          </w:tcPr>
          <w:p w14:paraId="54837CF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47584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492513E">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37</w:t>
            </w:r>
          </w:p>
        </w:tc>
        <w:tc>
          <w:tcPr>
            <w:tcW w:w="1985" w:type="dxa"/>
            <w:vMerge w:val="restart"/>
            <w:noWrap/>
            <w:vAlign w:val="center"/>
          </w:tcPr>
          <w:p w14:paraId="0CE498BC">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A100305轻质建筑材料及制品</w:t>
            </w:r>
          </w:p>
        </w:tc>
        <w:tc>
          <w:tcPr>
            <w:tcW w:w="2268" w:type="dxa"/>
            <w:noWrap/>
            <w:vAlign w:val="center"/>
          </w:tcPr>
          <w:p w14:paraId="18FCB49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A10030501石膏板</w:t>
            </w:r>
          </w:p>
        </w:tc>
        <w:tc>
          <w:tcPr>
            <w:tcW w:w="1855" w:type="dxa"/>
            <w:noWrap/>
            <w:vAlign w:val="center"/>
          </w:tcPr>
          <w:p w14:paraId="7AF9BA26">
            <w:pPr>
              <w:autoSpaceDN w:val="0"/>
              <w:rPr>
                <w:rFonts w:hint="eastAsia" w:ascii="宋体" w:hAnsi="宋体" w:eastAsia="宋体" w:cs="宋体"/>
                <w:b/>
                <w:color w:val="000000"/>
                <w:w w:val="90"/>
                <w:szCs w:val="21"/>
                <w:highlight w:val="none"/>
              </w:rPr>
            </w:pPr>
          </w:p>
        </w:tc>
        <w:tc>
          <w:tcPr>
            <w:tcW w:w="3702" w:type="dxa"/>
            <w:noWrap/>
            <w:vAlign w:val="center"/>
          </w:tcPr>
          <w:p w14:paraId="73326DF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7DCE48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26E6669">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082103ED">
            <w:pPr>
              <w:autoSpaceDN w:val="0"/>
              <w:rPr>
                <w:rFonts w:hint="eastAsia" w:ascii="宋体" w:hAnsi="宋体" w:eastAsia="宋体" w:cs="宋体"/>
                <w:b/>
                <w:color w:val="000000"/>
                <w:w w:val="90"/>
                <w:szCs w:val="21"/>
                <w:highlight w:val="none"/>
              </w:rPr>
            </w:pPr>
          </w:p>
        </w:tc>
        <w:tc>
          <w:tcPr>
            <w:tcW w:w="2268" w:type="dxa"/>
            <w:noWrap/>
            <w:vAlign w:val="center"/>
          </w:tcPr>
          <w:p w14:paraId="09AA2C14">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A10030503轻质隔墙条板</w:t>
            </w:r>
          </w:p>
        </w:tc>
        <w:tc>
          <w:tcPr>
            <w:tcW w:w="1855" w:type="dxa"/>
            <w:noWrap/>
            <w:vAlign w:val="center"/>
          </w:tcPr>
          <w:p w14:paraId="6098ACD7">
            <w:pPr>
              <w:autoSpaceDN w:val="0"/>
              <w:rPr>
                <w:rFonts w:hint="eastAsia" w:ascii="宋体" w:hAnsi="宋体" w:eastAsia="宋体" w:cs="宋体"/>
                <w:b/>
                <w:color w:val="000000"/>
                <w:w w:val="90"/>
                <w:szCs w:val="21"/>
                <w:highlight w:val="none"/>
              </w:rPr>
            </w:pPr>
          </w:p>
        </w:tc>
        <w:tc>
          <w:tcPr>
            <w:tcW w:w="3702" w:type="dxa"/>
            <w:noWrap/>
            <w:vAlign w:val="center"/>
          </w:tcPr>
          <w:p w14:paraId="64254C17">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00DAE0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4A8043E8">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38</w:t>
            </w:r>
          </w:p>
        </w:tc>
        <w:tc>
          <w:tcPr>
            <w:tcW w:w="1985" w:type="dxa"/>
            <w:vMerge w:val="restart"/>
            <w:noWrap/>
            <w:vAlign w:val="center"/>
          </w:tcPr>
          <w:p w14:paraId="036470A9">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A100307建筑陶瓷制品</w:t>
            </w:r>
          </w:p>
        </w:tc>
        <w:tc>
          <w:tcPr>
            <w:tcW w:w="2268" w:type="dxa"/>
            <w:noWrap/>
            <w:vAlign w:val="center"/>
          </w:tcPr>
          <w:p w14:paraId="3AD31957">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A10030701瓷质砖</w:t>
            </w:r>
          </w:p>
        </w:tc>
        <w:tc>
          <w:tcPr>
            <w:tcW w:w="1855" w:type="dxa"/>
            <w:noWrap/>
            <w:vAlign w:val="center"/>
          </w:tcPr>
          <w:p w14:paraId="3596CFEA">
            <w:pPr>
              <w:autoSpaceDN w:val="0"/>
              <w:rPr>
                <w:rFonts w:hint="eastAsia" w:ascii="宋体" w:hAnsi="宋体" w:eastAsia="宋体" w:cs="宋体"/>
                <w:b/>
                <w:color w:val="000000"/>
                <w:w w:val="90"/>
                <w:szCs w:val="21"/>
                <w:highlight w:val="none"/>
              </w:rPr>
            </w:pPr>
          </w:p>
        </w:tc>
        <w:tc>
          <w:tcPr>
            <w:tcW w:w="3702" w:type="dxa"/>
            <w:noWrap/>
            <w:vAlign w:val="center"/>
          </w:tcPr>
          <w:p w14:paraId="5226675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HJ/T297陶瓷砖</w:t>
            </w:r>
          </w:p>
        </w:tc>
      </w:tr>
      <w:tr w14:paraId="35EFE6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BFAC2E4">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3D05FD4F">
            <w:pPr>
              <w:autoSpaceDN w:val="0"/>
              <w:rPr>
                <w:rFonts w:hint="eastAsia" w:ascii="宋体" w:hAnsi="宋体" w:eastAsia="宋体" w:cs="宋体"/>
                <w:b/>
                <w:color w:val="000000"/>
                <w:w w:val="90"/>
                <w:szCs w:val="21"/>
                <w:highlight w:val="none"/>
              </w:rPr>
            </w:pPr>
          </w:p>
        </w:tc>
        <w:tc>
          <w:tcPr>
            <w:tcW w:w="2268" w:type="dxa"/>
            <w:noWrap/>
            <w:vAlign w:val="center"/>
          </w:tcPr>
          <w:p w14:paraId="104685B3">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A10030704炻质砖</w:t>
            </w:r>
          </w:p>
        </w:tc>
        <w:tc>
          <w:tcPr>
            <w:tcW w:w="1855" w:type="dxa"/>
            <w:noWrap/>
            <w:vAlign w:val="center"/>
          </w:tcPr>
          <w:p w14:paraId="1572BC5F">
            <w:pPr>
              <w:autoSpaceDN w:val="0"/>
              <w:rPr>
                <w:rFonts w:hint="eastAsia" w:ascii="宋体" w:hAnsi="宋体" w:eastAsia="宋体" w:cs="宋体"/>
                <w:b/>
                <w:color w:val="000000"/>
                <w:w w:val="90"/>
                <w:szCs w:val="21"/>
                <w:highlight w:val="none"/>
              </w:rPr>
            </w:pPr>
          </w:p>
        </w:tc>
        <w:tc>
          <w:tcPr>
            <w:tcW w:w="3702" w:type="dxa"/>
            <w:noWrap/>
            <w:vAlign w:val="center"/>
          </w:tcPr>
          <w:p w14:paraId="523D276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HJ/T297陶瓷砖</w:t>
            </w:r>
          </w:p>
        </w:tc>
      </w:tr>
      <w:tr w14:paraId="7FDB6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513EE2C">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4BE40E00">
            <w:pPr>
              <w:autoSpaceDN w:val="0"/>
              <w:rPr>
                <w:rFonts w:hint="eastAsia" w:ascii="宋体" w:hAnsi="宋体" w:eastAsia="宋体" w:cs="宋体"/>
                <w:b/>
                <w:color w:val="000000"/>
                <w:w w:val="90"/>
                <w:szCs w:val="21"/>
                <w:highlight w:val="none"/>
              </w:rPr>
            </w:pPr>
          </w:p>
        </w:tc>
        <w:tc>
          <w:tcPr>
            <w:tcW w:w="2268" w:type="dxa"/>
            <w:noWrap/>
            <w:vAlign w:val="center"/>
          </w:tcPr>
          <w:p w14:paraId="22246D2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A10030705陶质砖</w:t>
            </w:r>
          </w:p>
        </w:tc>
        <w:tc>
          <w:tcPr>
            <w:tcW w:w="1855" w:type="dxa"/>
            <w:noWrap/>
            <w:vAlign w:val="center"/>
          </w:tcPr>
          <w:p w14:paraId="0763D380">
            <w:pPr>
              <w:autoSpaceDN w:val="0"/>
              <w:rPr>
                <w:rFonts w:hint="eastAsia" w:ascii="宋体" w:hAnsi="宋体" w:eastAsia="宋体" w:cs="宋体"/>
                <w:b/>
                <w:color w:val="000000"/>
                <w:w w:val="90"/>
                <w:szCs w:val="21"/>
                <w:highlight w:val="none"/>
              </w:rPr>
            </w:pPr>
          </w:p>
        </w:tc>
        <w:tc>
          <w:tcPr>
            <w:tcW w:w="3702" w:type="dxa"/>
            <w:noWrap/>
            <w:vAlign w:val="center"/>
          </w:tcPr>
          <w:p w14:paraId="137B8D99">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HJ/T297陶瓷砖</w:t>
            </w:r>
          </w:p>
        </w:tc>
      </w:tr>
      <w:tr w14:paraId="076A3F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D2181F6">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1548F840">
            <w:pPr>
              <w:autoSpaceDN w:val="0"/>
              <w:rPr>
                <w:rFonts w:hint="eastAsia" w:ascii="宋体" w:hAnsi="宋体" w:eastAsia="宋体" w:cs="宋体"/>
                <w:b/>
                <w:color w:val="000000"/>
                <w:w w:val="90"/>
                <w:szCs w:val="21"/>
                <w:highlight w:val="none"/>
              </w:rPr>
            </w:pPr>
          </w:p>
        </w:tc>
        <w:tc>
          <w:tcPr>
            <w:tcW w:w="2268" w:type="dxa"/>
            <w:noWrap/>
            <w:vAlign w:val="center"/>
          </w:tcPr>
          <w:p w14:paraId="31A40CC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A10030799其他建筑陶瓷制品</w:t>
            </w:r>
          </w:p>
        </w:tc>
        <w:tc>
          <w:tcPr>
            <w:tcW w:w="1855" w:type="dxa"/>
            <w:noWrap/>
            <w:vAlign w:val="center"/>
          </w:tcPr>
          <w:p w14:paraId="0D10BC8F">
            <w:pPr>
              <w:autoSpaceDN w:val="0"/>
              <w:rPr>
                <w:rFonts w:hint="eastAsia" w:ascii="宋体" w:hAnsi="宋体" w:eastAsia="宋体" w:cs="宋体"/>
                <w:b/>
                <w:color w:val="000000"/>
                <w:w w:val="90"/>
                <w:szCs w:val="21"/>
                <w:highlight w:val="none"/>
              </w:rPr>
            </w:pPr>
          </w:p>
        </w:tc>
        <w:tc>
          <w:tcPr>
            <w:tcW w:w="3702" w:type="dxa"/>
            <w:noWrap/>
            <w:vAlign w:val="center"/>
          </w:tcPr>
          <w:p w14:paraId="701C9B61">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HJ/T297陶瓷砖</w:t>
            </w:r>
          </w:p>
        </w:tc>
      </w:tr>
      <w:tr w14:paraId="599A07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B373E81">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39</w:t>
            </w:r>
          </w:p>
        </w:tc>
        <w:tc>
          <w:tcPr>
            <w:tcW w:w="1985" w:type="dxa"/>
            <w:vMerge w:val="restart"/>
            <w:noWrap/>
            <w:vAlign w:val="center"/>
          </w:tcPr>
          <w:p w14:paraId="0BC381FD">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A100309建筑防水卷材及制品</w:t>
            </w:r>
          </w:p>
        </w:tc>
        <w:tc>
          <w:tcPr>
            <w:tcW w:w="2268" w:type="dxa"/>
            <w:noWrap/>
            <w:vAlign w:val="center"/>
          </w:tcPr>
          <w:p w14:paraId="0DDF0A2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A10030901沥青和改性沥青防水卷材</w:t>
            </w:r>
          </w:p>
        </w:tc>
        <w:tc>
          <w:tcPr>
            <w:tcW w:w="1855" w:type="dxa"/>
            <w:noWrap/>
            <w:vAlign w:val="center"/>
          </w:tcPr>
          <w:p w14:paraId="459D4FBB">
            <w:pPr>
              <w:autoSpaceDN w:val="0"/>
              <w:rPr>
                <w:rFonts w:hint="eastAsia" w:ascii="宋体" w:hAnsi="宋体" w:eastAsia="宋体" w:cs="宋体"/>
                <w:b/>
                <w:color w:val="000000"/>
                <w:w w:val="90"/>
                <w:szCs w:val="21"/>
                <w:highlight w:val="none"/>
              </w:rPr>
            </w:pPr>
          </w:p>
        </w:tc>
        <w:tc>
          <w:tcPr>
            <w:tcW w:w="3702" w:type="dxa"/>
            <w:noWrap/>
            <w:vAlign w:val="center"/>
          </w:tcPr>
          <w:p w14:paraId="452A2B76">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HJ455防水卷材</w:t>
            </w:r>
          </w:p>
        </w:tc>
      </w:tr>
      <w:tr w14:paraId="69B85C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BBCEE8D">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43952FCC">
            <w:pPr>
              <w:autoSpaceDN w:val="0"/>
              <w:rPr>
                <w:rFonts w:hint="eastAsia" w:ascii="宋体" w:hAnsi="宋体" w:eastAsia="宋体" w:cs="宋体"/>
                <w:b/>
                <w:color w:val="000000"/>
                <w:w w:val="90"/>
                <w:szCs w:val="21"/>
                <w:highlight w:val="none"/>
              </w:rPr>
            </w:pPr>
          </w:p>
        </w:tc>
        <w:tc>
          <w:tcPr>
            <w:tcW w:w="2268" w:type="dxa"/>
            <w:noWrap/>
            <w:vAlign w:val="center"/>
          </w:tcPr>
          <w:p w14:paraId="1DA9B98D">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A10030903自粘防水卷材</w:t>
            </w:r>
          </w:p>
        </w:tc>
        <w:tc>
          <w:tcPr>
            <w:tcW w:w="1855" w:type="dxa"/>
            <w:noWrap/>
            <w:vAlign w:val="center"/>
          </w:tcPr>
          <w:p w14:paraId="6F5FA962">
            <w:pPr>
              <w:autoSpaceDN w:val="0"/>
              <w:rPr>
                <w:rFonts w:hint="eastAsia" w:ascii="宋体" w:hAnsi="宋体" w:eastAsia="宋体" w:cs="宋体"/>
                <w:b/>
                <w:color w:val="000000"/>
                <w:w w:val="90"/>
                <w:szCs w:val="21"/>
                <w:highlight w:val="none"/>
              </w:rPr>
            </w:pPr>
          </w:p>
        </w:tc>
        <w:tc>
          <w:tcPr>
            <w:tcW w:w="3702" w:type="dxa"/>
            <w:noWrap/>
            <w:vAlign w:val="center"/>
          </w:tcPr>
          <w:p w14:paraId="51C4765C">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HJ455防水卷材</w:t>
            </w:r>
          </w:p>
        </w:tc>
      </w:tr>
      <w:tr w14:paraId="18C037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C22A645">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10E3E2D4">
            <w:pPr>
              <w:autoSpaceDN w:val="0"/>
              <w:rPr>
                <w:rFonts w:hint="eastAsia" w:ascii="宋体" w:hAnsi="宋体" w:eastAsia="宋体" w:cs="宋体"/>
                <w:b/>
                <w:color w:val="000000"/>
                <w:w w:val="90"/>
                <w:szCs w:val="21"/>
                <w:highlight w:val="none"/>
              </w:rPr>
            </w:pPr>
          </w:p>
        </w:tc>
        <w:tc>
          <w:tcPr>
            <w:tcW w:w="2268" w:type="dxa"/>
            <w:noWrap/>
            <w:vAlign w:val="center"/>
          </w:tcPr>
          <w:p w14:paraId="2F67C575">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A10030906 高分子防水卷（片）材</w:t>
            </w:r>
          </w:p>
        </w:tc>
        <w:tc>
          <w:tcPr>
            <w:tcW w:w="1855" w:type="dxa"/>
            <w:noWrap/>
            <w:vAlign w:val="center"/>
          </w:tcPr>
          <w:p w14:paraId="30AB190D">
            <w:pPr>
              <w:autoSpaceDN w:val="0"/>
              <w:rPr>
                <w:rFonts w:hint="eastAsia" w:ascii="宋体" w:hAnsi="宋体" w:eastAsia="宋体" w:cs="宋体"/>
                <w:b/>
                <w:color w:val="000000"/>
                <w:w w:val="90"/>
                <w:szCs w:val="21"/>
                <w:highlight w:val="none"/>
              </w:rPr>
            </w:pPr>
          </w:p>
        </w:tc>
        <w:tc>
          <w:tcPr>
            <w:tcW w:w="3702" w:type="dxa"/>
            <w:noWrap/>
            <w:vAlign w:val="center"/>
          </w:tcPr>
          <w:p w14:paraId="31D0B7DA">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HJ455防水卷材</w:t>
            </w:r>
          </w:p>
        </w:tc>
      </w:tr>
      <w:tr w14:paraId="76AF4D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7C7AF09">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40</w:t>
            </w:r>
          </w:p>
        </w:tc>
        <w:tc>
          <w:tcPr>
            <w:tcW w:w="1985" w:type="dxa"/>
            <w:vMerge w:val="restart"/>
            <w:noWrap/>
            <w:vAlign w:val="center"/>
          </w:tcPr>
          <w:p w14:paraId="3830B935">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A100310隔热、隔音人造矿物材料及其制品</w:t>
            </w:r>
          </w:p>
        </w:tc>
        <w:tc>
          <w:tcPr>
            <w:tcW w:w="2268" w:type="dxa"/>
            <w:noWrap/>
            <w:vAlign w:val="center"/>
          </w:tcPr>
          <w:p w14:paraId="00D461F1">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A10031001矿物绝热和吸声材料</w:t>
            </w:r>
          </w:p>
        </w:tc>
        <w:tc>
          <w:tcPr>
            <w:tcW w:w="1855" w:type="dxa"/>
            <w:noWrap/>
            <w:vAlign w:val="center"/>
          </w:tcPr>
          <w:p w14:paraId="7D03494A">
            <w:pPr>
              <w:autoSpaceDN w:val="0"/>
              <w:rPr>
                <w:rFonts w:hint="eastAsia" w:ascii="宋体" w:hAnsi="宋体" w:eastAsia="宋体" w:cs="宋体"/>
                <w:b/>
                <w:color w:val="000000"/>
                <w:w w:val="90"/>
                <w:szCs w:val="21"/>
                <w:highlight w:val="none"/>
              </w:rPr>
            </w:pPr>
          </w:p>
        </w:tc>
        <w:tc>
          <w:tcPr>
            <w:tcW w:w="3702" w:type="dxa"/>
            <w:noWrap/>
            <w:vAlign w:val="center"/>
          </w:tcPr>
          <w:p w14:paraId="4884DF9C">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38E61E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0008B38">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7119CD5B">
            <w:pPr>
              <w:autoSpaceDN w:val="0"/>
              <w:rPr>
                <w:rFonts w:hint="eastAsia" w:ascii="宋体" w:hAnsi="宋体" w:eastAsia="宋体" w:cs="宋体"/>
                <w:b/>
                <w:color w:val="000000"/>
                <w:w w:val="90"/>
                <w:szCs w:val="21"/>
                <w:highlight w:val="none"/>
              </w:rPr>
            </w:pPr>
          </w:p>
        </w:tc>
        <w:tc>
          <w:tcPr>
            <w:tcW w:w="2268" w:type="dxa"/>
            <w:noWrap/>
            <w:vAlign w:val="center"/>
          </w:tcPr>
          <w:p w14:paraId="3BC1A74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A10031002矿物材料制品</w:t>
            </w:r>
          </w:p>
        </w:tc>
        <w:tc>
          <w:tcPr>
            <w:tcW w:w="1855" w:type="dxa"/>
            <w:noWrap/>
            <w:vAlign w:val="center"/>
          </w:tcPr>
          <w:p w14:paraId="61C4059A">
            <w:pPr>
              <w:autoSpaceDN w:val="0"/>
              <w:rPr>
                <w:rFonts w:hint="eastAsia" w:ascii="宋体" w:hAnsi="宋体" w:eastAsia="宋体" w:cs="宋体"/>
                <w:b/>
                <w:color w:val="000000"/>
                <w:w w:val="90"/>
                <w:szCs w:val="21"/>
                <w:highlight w:val="none"/>
              </w:rPr>
            </w:pPr>
          </w:p>
        </w:tc>
        <w:tc>
          <w:tcPr>
            <w:tcW w:w="3702" w:type="dxa"/>
            <w:noWrap/>
            <w:vAlign w:val="center"/>
          </w:tcPr>
          <w:p w14:paraId="7E07D675">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HJ/T223轻质墙体板材</w:t>
            </w:r>
          </w:p>
        </w:tc>
      </w:tr>
      <w:tr w14:paraId="3EFACB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6746429">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41</w:t>
            </w:r>
          </w:p>
        </w:tc>
        <w:tc>
          <w:tcPr>
            <w:tcW w:w="1985" w:type="dxa"/>
            <w:noWrap/>
            <w:vAlign w:val="center"/>
          </w:tcPr>
          <w:p w14:paraId="6B87ECA4">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A100601功能性建筑涂料</w:t>
            </w:r>
          </w:p>
        </w:tc>
        <w:tc>
          <w:tcPr>
            <w:tcW w:w="2268" w:type="dxa"/>
            <w:noWrap/>
            <w:vAlign w:val="center"/>
          </w:tcPr>
          <w:p w14:paraId="1C53F2DF">
            <w:pPr>
              <w:autoSpaceDN w:val="0"/>
              <w:rPr>
                <w:rFonts w:hint="eastAsia" w:ascii="宋体" w:hAnsi="宋体" w:eastAsia="宋体" w:cs="宋体"/>
                <w:b/>
                <w:color w:val="000000"/>
                <w:w w:val="90"/>
                <w:szCs w:val="21"/>
                <w:highlight w:val="none"/>
              </w:rPr>
            </w:pPr>
          </w:p>
        </w:tc>
        <w:tc>
          <w:tcPr>
            <w:tcW w:w="1855" w:type="dxa"/>
            <w:noWrap/>
            <w:vAlign w:val="center"/>
          </w:tcPr>
          <w:p w14:paraId="62727298">
            <w:pPr>
              <w:autoSpaceDN w:val="0"/>
              <w:rPr>
                <w:rFonts w:hint="eastAsia" w:ascii="宋体" w:hAnsi="宋体" w:eastAsia="宋体" w:cs="宋体"/>
                <w:b/>
                <w:color w:val="000000"/>
                <w:w w:val="90"/>
                <w:szCs w:val="21"/>
                <w:highlight w:val="none"/>
              </w:rPr>
            </w:pPr>
          </w:p>
        </w:tc>
        <w:tc>
          <w:tcPr>
            <w:tcW w:w="3702" w:type="dxa"/>
            <w:noWrap/>
            <w:vAlign w:val="center"/>
          </w:tcPr>
          <w:p w14:paraId="7B5CE839">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1BBAEC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A661B61">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42</w:t>
            </w:r>
          </w:p>
        </w:tc>
        <w:tc>
          <w:tcPr>
            <w:tcW w:w="1985" w:type="dxa"/>
            <w:noWrap/>
            <w:vAlign w:val="center"/>
          </w:tcPr>
          <w:p w14:paraId="29FD3D3D">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A100399 其他非金属矿物制品</w:t>
            </w:r>
          </w:p>
        </w:tc>
        <w:tc>
          <w:tcPr>
            <w:tcW w:w="2268" w:type="dxa"/>
            <w:noWrap/>
            <w:vAlign w:val="center"/>
          </w:tcPr>
          <w:p w14:paraId="5E098F0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A10039901其他非金属建筑材料</w:t>
            </w:r>
          </w:p>
        </w:tc>
        <w:tc>
          <w:tcPr>
            <w:tcW w:w="1855" w:type="dxa"/>
            <w:noWrap/>
            <w:vAlign w:val="center"/>
          </w:tcPr>
          <w:p w14:paraId="68A06DCD">
            <w:pPr>
              <w:autoSpaceDN w:val="0"/>
              <w:rPr>
                <w:rFonts w:hint="eastAsia" w:ascii="宋体" w:hAnsi="宋体" w:eastAsia="宋体" w:cs="宋体"/>
                <w:b/>
                <w:color w:val="000000"/>
                <w:w w:val="90"/>
                <w:szCs w:val="21"/>
                <w:highlight w:val="none"/>
              </w:rPr>
            </w:pPr>
          </w:p>
        </w:tc>
        <w:tc>
          <w:tcPr>
            <w:tcW w:w="3702" w:type="dxa"/>
            <w:noWrap/>
            <w:vAlign w:val="center"/>
          </w:tcPr>
          <w:p w14:paraId="67ECEDBA">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HJ456刚性防水材料</w:t>
            </w:r>
          </w:p>
        </w:tc>
      </w:tr>
      <w:tr w14:paraId="17A2F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2CBC423">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43</w:t>
            </w:r>
          </w:p>
        </w:tc>
        <w:tc>
          <w:tcPr>
            <w:tcW w:w="1985" w:type="dxa"/>
            <w:vMerge w:val="restart"/>
            <w:noWrap/>
            <w:vAlign w:val="center"/>
          </w:tcPr>
          <w:p w14:paraId="3B34ECA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A100602墙面涂料</w:t>
            </w:r>
          </w:p>
        </w:tc>
        <w:tc>
          <w:tcPr>
            <w:tcW w:w="2268" w:type="dxa"/>
            <w:noWrap/>
            <w:vAlign w:val="center"/>
          </w:tcPr>
          <w:p w14:paraId="444A67B3">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A10060202合成树脂乳液内墙涂料</w:t>
            </w:r>
          </w:p>
        </w:tc>
        <w:tc>
          <w:tcPr>
            <w:tcW w:w="1855" w:type="dxa"/>
            <w:noWrap/>
            <w:vAlign w:val="center"/>
          </w:tcPr>
          <w:p w14:paraId="79CF7BA9">
            <w:pPr>
              <w:autoSpaceDN w:val="0"/>
              <w:rPr>
                <w:rFonts w:hint="eastAsia" w:ascii="宋体" w:hAnsi="宋体" w:eastAsia="宋体" w:cs="宋体"/>
                <w:b/>
                <w:color w:val="000000"/>
                <w:w w:val="90"/>
                <w:szCs w:val="21"/>
                <w:highlight w:val="none"/>
              </w:rPr>
            </w:pPr>
          </w:p>
        </w:tc>
        <w:tc>
          <w:tcPr>
            <w:tcW w:w="3702" w:type="dxa"/>
            <w:noWrap/>
            <w:vAlign w:val="center"/>
          </w:tcPr>
          <w:p w14:paraId="59BE4ABA">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60DB98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B45CB51">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3375EC76">
            <w:pPr>
              <w:autoSpaceDN w:val="0"/>
              <w:rPr>
                <w:rFonts w:hint="eastAsia" w:ascii="宋体" w:hAnsi="宋体" w:eastAsia="宋体" w:cs="宋体"/>
                <w:b/>
                <w:color w:val="000000"/>
                <w:w w:val="90"/>
                <w:szCs w:val="21"/>
                <w:highlight w:val="none"/>
              </w:rPr>
            </w:pPr>
          </w:p>
        </w:tc>
        <w:tc>
          <w:tcPr>
            <w:tcW w:w="2268" w:type="dxa"/>
            <w:noWrap/>
            <w:vAlign w:val="center"/>
          </w:tcPr>
          <w:p w14:paraId="2A79CDE7">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A10060203合成树脂乳液外墙涂料</w:t>
            </w:r>
          </w:p>
        </w:tc>
        <w:tc>
          <w:tcPr>
            <w:tcW w:w="1855" w:type="dxa"/>
            <w:noWrap/>
            <w:vAlign w:val="center"/>
          </w:tcPr>
          <w:p w14:paraId="563E842E">
            <w:pPr>
              <w:autoSpaceDN w:val="0"/>
              <w:rPr>
                <w:rFonts w:hint="eastAsia" w:ascii="宋体" w:hAnsi="宋体" w:eastAsia="宋体" w:cs="宋体"/>
                <w:b/>
                <w:color w:val="000000"/>
                <w:w w:val="90"/>
                <w:szCs w:val="21"/>
                <w:highlight w:val="none"/>
              </w:rPr>
            </w:pPr>
          </w:p>
        </w:tc>
        <w:tc>
          <w:tcPr>
            <w:tcW w:w="3702" w:type="dxa"/>
            <w:noWrap/>
            <w:vAlign w:val="center"/>
          </w:tcPr>
          <w:p w14:paraId="58DD9AC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79AE1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10BAD52">
            <w:pPr>
              <w:autoSpaceDN w:val="0"/>
              <w:jc w:val="center"/>
              <w:rPr>
                <w:rFonts w:hint="eastAsia" w:ascii="宋体" w:hAnsi="宋体" w:eastAsia="宋体" w:cs="宋体"/>
                <w:b/>
                <w:color w:val="000000"/>
                <w:w w:val="90"/>
                <w:szCs w:val="21"/>
                <w:highlight w:val="none"/>
              </w:rPr>
            </w:pPr>
          </w:p>
        </w:tc>
        <w:tc>
          <w:tcPr>
            <w:tcW w:w="1985" w:type="dxa"/>
            <w:vMerge w:val="continue"/>
            <w:noWrap/>
            <w:vAlign w:val="center"/>
          </w:tcPr>
          <w:p w14:paraId="7507720E">
            <w:pPr>
              <w:autoSpaceDN w:val="0"/>
              <w:rPr>
                <w:rFonts w:hint="eastAsia" w:ascii="宋体" w:hAnsi="宋体" w:eastAsia="宋体" w:cs="宋体"/>
                <w:b/>
                <w:color w:val="000000"/>
                <w:w w:val="90"/>
                <w:szCs w:val="21"/>
                <w:highlight w:val="none"/>
              </w:rPr>
            </w:pPr>
          </w:p>
        </w:tc>
        <w:tc>
          <w:tcPr>
            <w:tcW w:w="2268" w:type="dxa"/>
            <w:noWrap/>
            <w:vAlign w:val="center"/>
          </w:tcPr>
          <w:p w14:paraId="468779B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A10060299其他墙面涂料</w:t>
            </w:r>
          </w:p>
        </w:tc>
        <w:tc>
          <w:tcPr>
            <w:tcW w:w="1855" w:type="dxa"/>
            <w:noWrap/>
            <w:vAlign w:val="center"/>
          </w:tcPr>
          <w:p w14:paraId="735DC041">
            <w:pPr>
              <w:autoSpaceDN w:val="0"/>
              <w:rPr>
                <w:rFonts w:hint="eastAsia" w:ascii="宋体" w:hAnsi="宋体" w:eastAsia="宋体" w:cs="宋体"/>
                <w:b/>
                <w:color w:val="000000"/>
                <w:w w:val="90"/>
                <w:szCs w:val="21"/>
                <w:highlight w:val="none"/>
              </w:rPr>
            </w:pPr>
          </w:p>
        </w:tc>
        <w:tc>
          <w:tcPr>
            <w:tcW w:w="3702" w:type="dxa"/>
            <w:noWrap/>
            <w:vAlign w:val="center"/>
          </w:tcPr>
          <w:p w14:paraId="3536DC5A">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788DE0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B0717E2">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44</w:t>
            </w:r>
          </w:p>
        </w:tc>
        <w:tc>
          <w:tcPr>
            <w:tcW w:w="1985" w:type="dxa"/>
            <w:noWrap/>
            <w:vAlign w:val="center"/>
          </w:tcPr>
          <w:p w14:paraId="521CCDD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A100604防水涂料</w:t>
            </w:r>
          </w:p>
        </w:tc>
        <w:tc>
          <w:tcPr>
            <w:tcW w:w="2268" w:type="dxa"/>
            <w:noWrap/>
            <w:vAlign w:val="center"/>
          </w:tcPr>
          <w:p w14:paraId="724513A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A10060499其他防水涂料</w:t>
            </w:r>
          </w:p>
        </w:tc>
        <w:tc>
          <w:tcPr>
            <w:tcW w:w="1855" w:type="dxa"/>
            <w:noWrap/>
            <w:vAlign w:val="center"/>
          </w:tcPr>
          <w:p w14:paraId="29CB3F83">
            <w:pPr>
              <w:autoSpaceDN w:val="0"/>
              <w:rPr>
                <w:rFonts w:hint="eastAsia" w:ascii="宋体" w:hAnsi="宋体" w:eastAsia="宋体" w:cs="宋体"/>
                <w:b/>
                <w:color w:val="000000"/>
                <w:w w:val="90"/>
                <w:szCs w:val="21"/>
                <w:highlight w:val="none"/>
              </w:rPr>
            </w:pPr>
          </w:p>
        </w:tc>
        <w:tc>
          <w:tcPr>
            <w:tcW w:w="3702" w:type="dxa"/>
            <w:noWrap/>
            <w:vAlign w:val="center"/>
          </w:tcPr>
          <w:p w14:paraId="30D9B675">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6EDFAB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1CAE703">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45</w:t>
            </w:r>
          </w:p>
        </w:tc>
        <w:tc>
          <w:tcPr>
            <w:tcW w:w="1985" w:type="dxa"/>
            <w:noWrap/>
            <w:vAlign w:val="center"/>
          </w:tcPr>
          <w:p w14:paraId="751626AC">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A100699其他建筑涂料</w:t>
            </w:r>
          </w:p>
        </w:tc>
        <w:tc>
          <w:tcPr>
            <w:tcW w:w="2268" w:type="dxa"/>
            <w:noWrap/>
            <w:vAlign w:val="center"/>
          </w:tcPr>
          <w:p w14:paraId="1B0FBFF1">
            <w:pPr>
              <w:autoSpaceDN w:val="0"/>
              <w:rPr>
                <w:rFonts w:hint="eastAsia" w:ascii="宋体" w:hAnsi="宋体" w:eastAsia="宋体" w:cs="宋体"/>
                <w:b/>
                <w:color w:val="000000"/>
                <w:w w:val="90"/>
                <w:szCs w:val="21"/>
                <w:highlight w:val="none"/>
              </w:rPr>
            </w:pPr>
          </w:p>
        </w:tc>
        <w:tc>
          <w:tcPr>
            <w:tcW w:w="1855" w:type="dxa"/>
            <w:noWrap/>
            <w:vAlign w:val="center"/>
          </w:tcPr>
          <w:p w14:paraId="1AACD5CA">
            <w:pPr>
              <w:autoSpaceDN w:val="0"/>
              <w:rPr>
                <w:rFonts w:hint="eastAsia" w:ascii="宋体" w:hAnsi="宋体" w:eastAsia="宋体" w:cs="宋体"/>
                <w:b/>
                <w:color w:val="000000"/>
                <w:w w:val="90"/>
                <w:szCs w:val="21"/>
                <w:highlight w:val="none"/>
              </w:rPr>
            </w:pPr>
          </w:p>
        </w:tc>
        <w:tc>
          <w:tcPr>
            <w:tcW w:w="3702" w:type="dxa"/>
            <w:noWrap/>
            <w:vAlign w:val="center"/>
          </w:tcPr>
          <w:p w14:paraId="656540A3">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77976C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40B81D6">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46</w:t>
            </w:r>
          </w:p>
        </w:tc>
        <w:tc>
          <w:tcPr>
            <w:tcW w:w="1985" w:type="dxa"/>
            <w:noWrap/>
            <w:vAlign w:val="center"/>
          </w:tcPr>
          <w:p w14:paraId="6DEE5BEB">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A100701门、门槛</w:t>
            </w:r>
          </w:p>
        </w:tc>
        <w:tc>
          <w:tcPr>
            <w:tcW w:w="2268" w:type="dxa"/>
            <w:noWrap/>
            <w:vAlign w:val="center"/>
          </w:tcPr>
          <w:p w14:paraId="7B9B4149">
            <w:pPr>
              <w:autoSpaceDN w:val="0"/>
              <w:rPr>
                <w:rFonts w:hint="eastAsia" w:ascii="宋体" w:hAnsi="宋体" w:eastAsia="宋体" w:cs="宋体"/>
                <w:b/>
                <w:color w:val="000000"/>
                <w:w w:val="90"/>
                <w:szCs w:val="21"/>
                <w:highlight w:val="none"/>
              </w:rPr>
            </w:pPr>
          </w:p>
        </w:tc>
        <w:tc>
          <w:tcPr>
            <w:tcW w:w="1855" w:type="dxa"/>
            <w:noWrap/>
            <w:vAlign w:val="center"/>
          </w:tcPr>
          <w:p w14:paraId="15A07220">
            <w:pPr>
              <w:autoSpaceDN w:val="0"/>
              <w:rPr>
                <w:rFonts w:hint="eastAsia" w:ascii="宋体" w:hAnsi="宋体" w:eastAsia="宋体" w:cs="宋体"/>
                <w:b/>
                <w:color w:val="000000"/>
                <w:w w:val="90"/>
                <w:szCs w:val="21"/>
                <w:highlight w:val="none"/>
              </w:rPr>
            </w:pPr>
          </w:p>
        </w:tc>
        <w:tc>
          <w:tcPr>
            <w:tcW w:w="3702" w:type="dxa"/>
            <w:noWrap/>
            <w:vAlign w:val="center"/>
          </w:tcPr>
          <w:p w14:paraId="687CB3FD">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 237塑料门窗/HJ459 木质门和钢质门</w:t>
            </w:r>
          </w:p>
        </w:tc>
      </w:tr>
      <w:tr w14:paraId="2042F3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D2957ED">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47</w:t>
            </w:r>
          </w:p>
        </w:tc>
        <w:tc>
          <w:tcPr>
            <w:tcW w:w="1985" w:type="dxa"/>
            <w:noWrap/>
            <w:vAlign w:val="center"/>
          </w:tcPr>
          <w:p w14:paraId="0181C971">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A100702窗</w:t>
            </w:r>
          </w:p>
        </w:tc>
        <w:tc>
          <w:tcPr>
            <w:tcW w:w="2268" w:type="dxa"/>
            <w:noWrap/>
            <w:vAlign w:val="center"/>
          </w:tcPr>
          <w:p w14:paraId="24DE8814">
            <w:pPr>
              <w:autoSpaceDN w:val="0"/>
              <w:rPr>
                <w:rFonts w:hint="eastAsia" w:ascii="宋体" w:hAnsi="宋体" w:eastAsia="宋体" w:cs="宋体"/>
                <w:b/>
                <w:color w:val="000000"/>
                <w:w w:val="90"/>
                <w:szCs w:val="21"/>
                <w:highlight w:val="none"/>
              </w:rPr>
            </w:pPr>
          </w:p>
        </w:tc>
        <w:tc>
          <w:tcPr>
            <w:tcW w:w="1855" w:type="dxa"/>
            <w:noWrap/>
            <w:vAlign w:val="center"/>
          </w:tcPr>
          <w:p w14:paraId="1B7D39F6">
            <w:pPr>
              <w:autoSpaceDN w:val="0"/>
              <w:rPr>
                <w:rFonts w:hint="eastAsia" w:ascii="宋体" w:hAnsi="宋体" w:eastAsia="宋体" w:cs="宋体"/>
                <w:b/>
                <w:color w:val="000000"/>
                <w:w w:val="90"/>
                <w:szCs w:val="21"/>
                <w:highlight w:val="none"/>
              </w:rPr>
            </w:pPr>
          </w:p>
        </w:tc>
        <w:tc>
          <w:tcPr>
            <w:tcW w:w="3702" w:type="dxa"/>
            <w:noWrap/>
            <w:vAlign w:val="center"/>
          </w:tcPr>
          <w:p w14:paraId="78B6768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HJ/T237塑料门窗</w:t>
            </w:r>
          </w:p>
        </w:tc>
      </w:tr>
      <w:tr w14:paraId="75C5CD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F8A0629">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48</w:t>
            </w:r>
          </w:p>
        </w:tc>
        <w:tc>
          <w:tcPr>
            <w:tcW w:w="1985" w:type="dxa"/>
            <w:noWrap/>
            <w:vAlign w:val="center"/>
          </w:tcPr>
          <w:p w14:paraId="77E91BC1">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A170108涂料（建筑涂料除外）</w:t>
            </w:r>
          </w:p>
        </w:tc>
        <w:tc>
          <w:tcPr>
            <w:tcW w:w="2268" w:type="dxa"/>
            <w:noWrap/>
            <w:vAlign w:val="center"/>
          </w:tcPr>
          <w:p w14:paraId="37ED5941">
            <w:pPr>
              <w:autoSpaceDN w:val="0"/>
              <w:rPr>
                <w:rFonts w:hint="eastAsia" w:ascii="宋体" w:hAnsi="宋体" w:eastAsia="宋体" w:cs="宋体"/>
                <w:b/>
                <w:color w:val="000000"/>
                <w:w w:val="90"/>
                <w:szCs w:val="21"/>
                <w:highlight w:val="none"/>
              </w:rPr>
            </w:pPr>
          </w:p>
        </w:tc>
        <w:tc>
          <w:tcPr>
            <w:tcW w:w="1855" w:type="dxa"/>
            <w:noWrap/>
            <w:vAlign w:val="center"/>
          </w:tcPr>
          <w:p w14:paraId="2AC11AB6">
            <w:pPr>
              <w:autoSpaceDN w:val="0"/>
              <w:rPr>
                <w:rFonts w:hint="eastAsia" w:ascii="宋体" w:hAnsi="宋体" w:eastAsia="宋体" w:cs="宋体"/>
                <w:b/>
                <w:color w:val="000000"/>
                <w:w w:val="90"/>
                <w:szCs w:val="21"/>
                <w:highlight w:val="none"/>
              </w:rPr>
            </w:pPr>
          </w:p>
        </w:tc>
        <w:tc>
          <w:tcPr>
            <w:tcW w:w="3702" w:type="dxa"/>
            <w:noWrap/>
            <w:vAlign w:val="center"/>
          </w:tcPr>
          <w:p w14:paraId="429C6828">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HJ2537水性涂料</w:t>
            </w:r>
          </w:p>
        </w:tc>
      </w:tr>
      <w:tr w14:paraId="34EE35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3EBB96D">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49</w:t>
            </w:r>
          </w:p>
        </w:tc>
        <w:tc>
          <w:tcPr>
            <w:tcW w:w="1985" w:type="dxa"/>
            <w:noWrap/>
            <w:vAlign w:val="center"/>
          </w:tcPr>
          <w:p w14:paraId="10EB3C70">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A170112密封用填料及类似品</w:t>
            </w:r>
          </w:p>
        </w:tc>
        <w:tc>
          <w:tcPr>
            <w:tcW w:w="2268" w:type="dxa"/>
            <w:noWrap/>
            <w:vAlign w:val="center"/>
          </w:tcPr>
          <w:p w14:paraId="6E11BA19">
            <w:pPr>
              <w:autoSpaceDN w:val="0"/>
              <w:rPr>
                <w:rFonts w:hint="eastAsia" w:ascii="宋体" w:hAnsi="宋体" w:eastAsia="宋体" w:cs="宋体"/>
                <w:b/>
                <w:color w:val="000000"/>
                <w:w w:val="90"/>
                <w:szCs w:val="21"/>
                <w:highlight w:val="none"/>
              </w:rPr>
            </w:pPr>
          </w:p>
        </w:tc>
        <w:tc>
          <w:tcPr>
            <w:tcW w:w="1855" w:type="dxa"/>
            <w:noWrap/>
            <w:vAlign w:val="center"/>
          </w:tcPr>
          <w:p w14:paraId="3E7ACD8F">
            <w:pPr>
              <w:autoSpaceDN w:val="0"/>
              <w:rPr>
                <w:rFonts w:hint="eastAsia" w:ascii="宋体" w:hAnsi="宋体" w:eastAsia="宋体" w:cs="宋体"/>
                <w:b/>
                <w:color w:val="000000"/>
                <w:w w:val="90"/>
                <w:szCs w:val="21"/>
                <w:highlight w:val="none"/>
              </w:rPr>
            </w:pPr>
          </w:p>
        </w:tc>
        <w:tc>
          <w:tcPr>
            <w:tcW w:w="3702" w:type="dxa"/>
            <w:noWrap/>
            <w:vAlign w:val="center"/>
          </w:tcPr>
          <w:p w14:paraId="6BFB4DCD">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HJ2541胶粘剂</w:t>
            </w:r>
          </w:p>
        </w:tc>
      </w:tr>
      <w:tr w14:paraId="4C6E66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DBA3DC0">
            <w:pPr>
              <w:autoSpaceDN w:val="0"/>
              <w:jc w:val="center"/>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50</w:t>
            </w:r>
          </w:p>
        </w:tc>
        <w:tc>
          <w:tcPr>
            <w:tcW w:w="1985" w:type="dxa"/>
            <w:noWrap/>
            <w:vAlign w:val="center"/>
          </w:tcPr>
          <w:p w14:paraId="6A14CF6E">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A180201塑料制品</w:t>
            </w:r>
          </w:p>
        </w:tc>
        <w:tc>
          <w:tcPr>
            <w:tcW w:w="2268" w:type="dxa"/>
            <w:noWrap/>
            <w:vAlign w:val="center"/>
          </w:tcPr>
          <w:p w14:paraId="4D834A70">
            <w:pPr>
              <w:autoSpaceDN w:val="0"/>
              <w:rPr>
                <w:rFonts w:hint="eastAsia" w:ascii="宋体" w:hAnsi="宋体" w:eastAsia="宋体" w:cs="宋体"/>
                <w:b/>
                <w:color w:val="000000"/>
                <w:w w:val="90"/>
                <w:szCs w:val="21"/>
                <w:highlight w:val="none"/>
              </w:rPr>
            </w:pPr>
          </w:p>
        </w:tc>
        <w:tc>
          <w:tcPr>
            <w:tcW w:w="1855" w:type="dxa"/>
            <w:noWrap/>
            <w:vAlign w:val="center"/>
          </w:tcPr>
          <w:p w14:paraId="4A68D2E1">
            <w:pPr>
              <w:autoSpaceDN w:val="0"/>
              <w:rPr>
                <w:rFonts w:hint="eastAsia" w:ascii="宋体" w:hAnsi="宋体" w:eastAsia="宋体" w:cs="宋体"/>
                <w:b/>
                <w:color w:val="000000"/>
                <w:w w:val="90"/>
                <w:szCs w:val="21"/>
                <w:highlight w:val="none"/>
              </w:rPr>
            </w:pPr>
          </w:p>
        </w:tc>
        <w:tc>
          <w:tcPr>
            <w:tcW w:w="3702" w:type="dxa"/>
            <w:noWrap/>
            <w:vAlign w:val="center"/>
          </w:tcPr>
          <w:p w14:paraId="1A7DCABF">
            <w:pPr>
              <w:autoSpaceDN w:val="0"/>
              <w:rPr>
                <w:rFonts w:hint="eastAsia" w:ascii="宋体" w:hAnsi="宋体" w:eastAsia="宋体" w:cs="宋体"/>
                <w:b/>
                <w:color w:val="000000"/>
                <w:w w:val="90"/>
                <w:szCs w:val="21"/>
                <w:highlight w:val="none"/>
              </w:rPr>
            </w:pPr>
            <w:r>
              <w:rPr>
                <w:rFonts w:hint="eastAsia" w:ascii="宋体" w:hAnsi="宋体" w:eastAsia="宋体" w:cs="宋体"/>
                <w:b/>
                <w:color w:val="000000"/>
                <w:w w:val="90"/>
                <w:szCs w:val="21"/>
                <w:highlight w:val="none"/>
              </w:rPr>
              <w:t>HJ/T226建筑用塑料管材/HJ/T231 再生塑料制品</w:t>
            </w:r>
          </w:p>
        </w:tc>
      </w:tr>
    </w:tbl>
    <w:p w14:paraId="55212954">
      <w:pPr>
        <w:autoSpaceDN w:val="0"/>
        <w:spacing w:line="360" w:lineRule="auto"/>
        <w:ind w:left="-850" w:leftChars="-405" w:right="-1050" w:rightChars="-500" w:firstLine="382" w:firstLineChars="201"/>
        <w:rPr>
          <w:rFonts w:hint="eastAsia" w:ascii="宋体" w:hAnsi="宋体" w:eastAsia="宋体" w:cs="宋体"/>
          <w:color w:val="000000"/>
          <w:kern w:val="0"/>
          <w:sz w:val="28"/>
          <w:highlight w:val="none"/>
        </w:rPr>
      </w:pPr>
      <w:r>
        <w:rPr>
          <w:rFonts w:hint="eastAsia" w:ascii="宋体" w:hAnsi="宋体" w:eastAsia="宋体" w:cs="宋体"/>
          <w:b/>
          <w:color w:val="000000"/>
          <w:w w:val="90"/>
          <w:highlight w:val="none"/>
        </w:rPr>
        <w:t>注：环境标志产品认证应依据相关标准的最新版本。</w:t>
      </w:r>
    </w:p>
    <w:p w14:paraId="47934B57">
      <w:pPr>
        <w:keepNext/>
        <w:keepLines/>
        <w:autoSpaceDN w:val="0"/>
        <w:spacing w:before="240" w:line="360" w:lineRule="auto"/>
        <w:jc w:val="left"/>
        <w:outlineLvl w:val="2"/>
        <w:rPr>
          <w:rFonts w:hint="eastAsia" w:ascii="宋体" w:hAnsi="宋体" w:eastAsia="宋体" w:cs="宋体"/>
          <w:b/>
          <w:bCs/>
          <w:color w:val="000000"/>
          <w:kern w:val="0"/>
          <w:sz w:val="30"/>
          <w:highlight w:val="none"/>
        </w:rPr>
      </w:pPr>
      <w:r>
        <w:rPr>
          <w:rFonts w:hint="eastAsia" w:ascii="宋体" w:hAnsi="宋体" w:eastAsia="宋体" w:cs="宋体"/>
          <w:b/>
          <w:bCs/>
          <w:color w:val="000000"/>
          <w:kern w:val="0"/>
          <w:sz w:val="30"/>
          <w:highlight w:val="none"/>
        </w:rPr>
        <w:br w:type="page"/>
      </w:r>
      <w:bookmarkStart w:id="282" w:name="_Toc17428349"/>
      <w:bookmarkStart w:id="283" w:name="_Toc7664197"/>
      <w:bookmarkStart w:id="284" w:name="_Toc7668950"/>
      <w:bookmarkStart w:id="285" w:name="_Toc7488759"/>
      <w:bookmarkStart w:id="286" w:name="_Toc7663597"/>
      <w:bookmarkStart w:id="287" w:name="_Toc7988475"/>
      <w:bookmarkStart w:id="288" w:name="_Toc7542916"/>
      <w:bookmarkStart w:id="289" w:name="_Toc7574705"/>
      <w:bookmarkStart w:id="290" w:name="_Toc7993641"/>
      <w:bookmarkStart w:id="291" w:name="_Toc10432458"/>
      <w:bookmarkStart w:id="292" w:name="_Toc8007005"/>
      <w:bookmarkStart w:id="293" w:name="_Toc17428254"/>
      <w:bookmarkStart w:id="294" w:name="_Toc20358292"/>
      <w:bookmarkStart w:id="295" w:name="_Toc25765010"/>
      <w:bookmarkStart w:id="296" w:name="_Toc7492528"/>
      <w:bookmarkStart w:id="297" w:name="_Toc7988421"/>
      <w:bookmarkStart w:id="298" w:name="_Toc24471818"/>
      <w:r>
        <w:rPr>
          <w:rFonts w:hint="eastAsia" w:ascii="宋体" w:hAnsi="宋体" w:eastAsia="宋体" w:cs="宋体"/>
          <w:b/>
          <w:bCs/>
          <w:color w:val="000000"/>
          <w:kern w:val="0"/>
          <w:sz w:val="30"/>
          <w:highlight w:val="none"/>
        </w:rPr>
        <w:t>五、市场监管总局关于发布参与实施政府采购节能产品、环境标志产品认证机构名录的公告（2019年第16号）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380C127">
      <w:pPr>
        <w:widowControl/>
        <w:shd w:val="clear" w:color="auto" w:fill="FFFFFF"/>
        <w:autoSpaceDN w:val="0"/>
        <w:spacing w:before="68" w:after="299" w:line="360" w:lineRule="auto"/>
        <w:jc w:val="center"/>
        <w:textAlignment w:val="baseline"/>
        <w:rPr>
          <w:rFonts w:hint="eastAsia" w:ascii="宋体" w:hAnsi="宋体" w:eastAsia="宋体" w:cs="宋体"/>
          <w:b/>
          <w:color w:val="000000"/>
          <w:kern w:val="0"/>
          <w:sz w:val="28"/>
          <w:highlight w:val="none"/>
        </w:rPr>
      </w:pPr>
    </w:p>
    <w:p w14:paraId="0EB01D18">
      <w:pPr>
        <w:widowControl/>
        <w:shd w:val="clear" w:color="auto" w:fill="FFFFFF"/>
        <w:autoSpaceDN w:val="0"/>
        <w:spacing w:before="68" w:after="299" w:line="360" w:lineRule="auto"/>
        <w:jc w:val="center"/>
        <w:textAlignment w:val="baseline"/>
        <w:rPr>
          <w:rFonts w:hint="eastAsia" w:ascii="宋体" w:hAnsi="宋体" w:eastAsia="宋体" w:cs="宋体"/>
          <w:b/>
          <w:color w:val="000000"/>
          <w:kern w:val="0"/>
          <w:sz w:val="36"/>
          <w:highlight w:val="none"/>
        </w:rPr>
      </w:pPr>
      <w:r>
        <w:rPr>
          <w:rFonts w:hint="eastAsia" w:ascii="宋体" w:hAnsi="宋体" w:eastAsia="宋体" w:cs="宋体"/>
          <w:b/>
          <w:color w:val="000000"/>
          <w:kern w:val="0"/>
          <w:sz w:val="36"/>
          <w:highlight w:val="none"/>
        </w:rPr>
        <w:t>市场监管总局关于发布参与实施政府采购节能产品、环境</w:t>
      </w:r>
    </w:p>
    <w:p w14:paraId="4B5E0FE2">
      <w:pPr>
        <w:widowControl/>
        <w:shd w:val="clear" w:color="auto" w:fill="FFFFFF"/>
        <w:autoSpaceDN w:val="0"/>
        <w:spacing w:before="68" w:after="299" w:line="360" w:lineRule="auto"/>
        <w:jc w:val="center"/>
        <w:textAlignment w:val="baseline"/>
        <w:rPr>
          <w:rFonts w:hint="eastAsia" w:ascii="宋体" w:hAnsi="宋体" w:eastAsia="宋体" w:cs="宋体"/>
          <w:b/>
          <w:color w:val="000000"/>
          <w:kern w:val="0"/>
          <w:sz w:val="24"/>
          <w:highlight w:val="none"/>
        </w:rPr>
      </w:pPr>
      <w:r>
        <w:rPr>
          <w:rFonts w:hint="eastAsia" w:ascii="宋体" w:hAnsi="宋体" w:eastAsia="宋体" w:cs="宋体"/>
          <w:b/>
          <w:color w:val="000000"/>
          <w:kern w:val="0"/>
          <w:sz w:val="36"/>
          <w:highlight w:val="none"/>
        </w:rPr>
        <w:t>标志产品认证机构名录的公告</w:t>
      </w:r>
    </w:p>
    <w:p w14:paraId="7EDFA039">
      <w:pPr>
        <w:widowControl/>
        <w:shd w:val="clear" w:color="auto" w:fill="FFFFFF"/>
        <w:autoSpaceDN w:val="0"/>
        <w:spacing w:before="68" w:after="299" w:line="360" w:lineRule="auto"/>
        <w:jc w:val="center"/>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2019年第16号</w:t>
      </w:r>
    </w:p>
    <w:p w14:paraId="7A616E4F">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1675F58">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自本公告发布后，新增认证机构应尽快完成政府采购认证信息系统对接，对接完成后方可开展相关认证工作。</w:t>
      </w:r>
    </w:p>
    <w:p w14:paraId="4C242C48">
      <w:pPr>
        <w:widowControl/>
        <w:shd w:val="clear" w:color="auto" w:fill="FFFFFF"/>
        <w:autoSpaceDN w:val="0"/>
        <w:spacing w:before="68" w:after="299" w:line="360" w:lineRule="auto"/>
        <w:jc w:val="righ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市场监管总局</w:t>
      </w:r>
    </w:p>
    <w:p w14:paraId="09902340">
      <w:pPr>
        <w:widowControl/>
        <w:shd w:val="clear" w:color="auto" w:fill="FFFFFF"/>
        <w:autoSpaceDN w:val="0"/>
        <w:spacing w:before="68" w:after="299" w:line="360" w:lineRule="auto"/>
        <w:jc w:val="righ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2019年4月3日</w:t>
      </w:r>
    </w:p>
    <w:p w14:paraId="7DA46293">
      <w:pPr>
        <w:keepNext/>
        <w:keepLines/>
        <w:autoSpaceDN w:val="0"/>
        <w:spacing w:before="240" w:line="360" w:lineRule="auto"/>
        <w:jc w:val="left"/>
        <w:outlineLvl w:val="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附1：参与实施政府采购节能产品认证机构名录</w:t>
      </w:r>
    </w:p>
    <w:tbl>
      <w:tblPr>
        <w:tblStyle w:val="51"/>
        <w:tblW w:w="995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998"/>
      </w:tblGrid>
      <w:tr w14:paraId="4ED381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14:paraId="69AA4B6B">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序号</w:t>
            </w:r>
          </w:p>
        </w:tc>
        <w:tc>
          <w:tcPr>
            <w:tcW w:w="2481" w:type="dxa"/>
            <w:gridSpan w:val="2"/>
            <w:shd w:val="clear" w:color="auto" w:fill="DAEEF3"/>
            <w:noWrap/>
            <w:tcMar>
              <w:top w:w="0" w:type="dxa"/>
              <w:left w:w="108" w:type="dxa"/>
              <w:bottom w:w="0" w:type="dxa"/>
              <w:right w:w="108" w:type="dxa"/>
            </w:tcMar>
            <w:vAlign w:val="center"/>
          </w:tcPr>
          <w:p w14:paraId="19F07D1F">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一级目录</w:t>
            </w:r>
          </w:p>
        </w:tc>
        <w:tc>
          <w:tcPr>
            <w:tcW w:w="2904" w:type="dxa"/>
            <w:gridSpan w:val="2"/>
            <w:shd w:val="clear" w:color="auto" w:fill="DAEEF3"/>
            <w:noWrap/>
            <w:tcMar>
              <w:top w:w="0" w:type="dxa"/>
              <w:left w:w="108" w:type="dxa"/>
              <w:bottom w:w="0" w:type="dxa"/>
              <w:right w:w="108" w:type="dxa"/>
            </w:tcMar>
            <w:vAlign w:val="center"/>
          </w:tcPr>
          <w:p w14:paraId="0A9B319E">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二级目录</w:t>
            </w:r>
          </w:p>
        </w:tc>
        <w:tc>
          <w:tcPr>
            <w:tcW w:w="3998" w:type="dxa"/>
            <w:vMerge w:val="restart"/>
            <w:shd w:val="clear" w:color="auto" w:fill="DAEEF3"/>
            <w:noWrap/>
            <w:tcMar>
              <w:top w:w="0" w:type="dxa"/>
              <w:left w:w="108" w:type="dxa"/>
              <w:bottom w:w="0" w:type="dxa"/>
              <w:right w:w="108" w:type="dxa"/>
            </w:tcMar>
            <w:vAlign w:val="center"/>
          </w:tcPr>
          <w:p w14:paraId="117D1B14">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认证机构名录</w:t>
            </w:r>
          </w:p>
        </w:tc>
      </w:tr>
      <w:tr w14:paraId="799D21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14:paraId="730ACD74">
            <w:pPr>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134" w:type="dxa"/>
            <w:shd w:val="clear" w:color="auto" w:fill="DAEEF3"/>
            <w:noWrap/>
            <w:tcMar>
              <w:top w:w="0" w:type="dxa"/>
              <w:left w:w="108" w:type="dxa"/>
              <w:bottom w:w="0" w:type="dxa"/>
              <w:right w:w="108" w:type="dxa"/>
            </w:tcMar>
            <w:vAlign w:val="center"/>
          </w:tcPr>
          <w:p w14:paraId="44392E64">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产品代码</w:t>
            </w:r>
          </w:p>
        </w:tc>
        <w:tc>
          <w:tcPr>
            <w:tcW w:w="1347" w:type="dxa"/>
            <w:shd w:val="clear" w:color="auto" w:fill="DAEEF3"/>
            <w:noWrap/>
            <w:tcMar>
              <w:top w:w="0" w:type="dxa"/>
              <w:left w:w="0" w:type="dxa"/>
              <w:bottom w:w="0" w:type="dxa"/>
              <w:right w:w="0" w:type="dxa"/>
            </w:tcMar>
            <w:vAlign w:val="center"/>
          </w:tcPr>
          <w:p w14:paraId="6F834AC4">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产品名称</w:t>
            </w:r>
          </w:p>
        </w:tc>
        <w:tc>
          <w:tcPr>
            <w:tcW w:w="1308" w:type="dxa"/>
            <w:shd w:val="clear" w:color="auto" w:fill="DAEEF3"/>
            <w:noWrap/>
            <w:tcMar>
              <w:top w:w="0" w:type="dxa"/>
              <w:left w:w="0" w:type="dxa"/>
              <w:bottom w:w="0" w:type="dxa"/>
              <w:right w:w="0" w:type="dxa"/>
            </w:tcMar>
            <w:vAlign w:val="center"/>
          </w:tcPr>
          <w:p w14:paraId="2A72D0B7">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产品代码</w:t>
            </w:r>
          </w:p>
        </w:tc>
        <w:tc>
          <w:tcPr>
            <w:tcW w:w="1596" w:type="dxa"/>
            <w:shd w:val="clear" w:color="auto" w:fill="DAEEF3"/>
            <w:noWrap/>
            <w:tcMar>
              <w:top w:w="0" w:type="dxa"/>
              <w:left w:w="0" w:type="dxa"/>
              <w:bottom w:w="0" w:type="dxa"/>
              <w:right w:w="0" w:type="dxa"/>
            </w:tcMar>
            <w:vAlign w:val="center"/>
          </w:tcPr>
          <w:p w14:paraId="7707651A">
            <w:pPr>
              <w:widowControl/>
              <w:autoSpaceDN w:val="0"/>
              <w:spacing w:line="276" w:lineRule="auto"/>
              <w:jc w:val="center"/>
              <w:textAlignment w:val="baseline"/>
              <w:rPr>
                <w:rFonts w:hint="eastAsia" w:ascii="宋体" w:hAnsi="宋体" w:eastAsia="宋体" w:cs="宋体"/>
                <w:b/>
                <w:color w:val="000000"/>
                <w:w w:val="90"/>
                <w:kern w:val="0"/>
                <w:sz w:val="22"/>
                <w:szCs w:val="22"/>
                <w:highlight w:val="none"/>
              </w:rPr>
            </w:pPr>
            <w:r>
              <w:rPr>
                <w:rFonts w:hint="eastAsia" w:ascii="宋体" w:hAnsi="宋体" w:eastAsia="宋体" w:cs="宋体"/>
                <w:b/>
                <w:color w:val="000000"/>
                <w:w w:val="90"/>
                <w:kern w:val="0"/>
                <w:sz w:val="22"/>
                <w:szCs w:val="22"/>
                <w:highlight w:val="none"/>
              </w:rPr>
              <w:t>产品名称</w:t>
            </w:r>
          </w:p>
        </w:tc>
        <w:tc>
          <w:tcPr>
            <w:tcW w:w="3998" w:type="dxa"/>
            <w:vMerge w:val="continue"/>
            <w:shd w:val="clear" w:color="auto" w:fill="DAEEF3"/>
            <w:noWrap/>
            <w:tcMar>
              <w:top w:w="0" w:type="dxa"/>
              <w:left w:w="0" w:type="dxa"/>
              <w:bottom w:w="0" w:type="dxa"/>
              <w:right w:w="0" w:type="dxa"/>
            </w:tcMar>
            <w:vAlign w:val="center"/>
          </w:tcPr>
          <w:p w14:paraId="4599E783">
            <w:pPr>
              <w:autoSpaceDN w:val="0"/>
              <w:spacing w:line="276" w:lineRule="auto"/>
              <w:jc w:val="left"/>
              <w:textAlignment w:val="baseline"/>
              <w:rPr>
                <w:rFonts w:hint="eastAsia" w:ascii="宋体" w:hAnsi="宋体" w:eastAsia="宋体" w:cs="宋体"/>
                <w:color w:val="000000"/>
                <w:w w:val="90"/>
                <w:kern w:val="0"/>
                <w:sz w:val="22"/>
                <w:szCs w:val="22"/>
                <w:highlight w:val="none"/>
              </w:rPr>
            </w:pPr>
          </w:p>
        </w:tc>
      </w:tr>
      <w:tr w14:paraId="4C60A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100ABB6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w:t>
            </w:r>
          </w:p>
        </w:tc>
        <w:tc>
          <w:tcPr>
            <w:tcW w:w="1134" w:type="dxa"/>
            <w:vMerge w:val="restart"/>
            <w:shd w:val="clear" w:color="auto" w:fill="FFFFFF"/>
            <w:noWrap/>
            <w:tcMar>
              <w:top w:w="0" w:type="dxa"/>
              <w:left w:w="108" w:type="dxa"/>
              <w:bottom w:w="0" w:type="dxa"/>
              <w:right w:w="108" w:type="dxa"/>
            </w:tcMar>
            <w:vAlign w:val="center"/>
          </w:tcPr>
          <w:p w14:paraId="129A251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A020101</w:t>
            </w:r>
          </w:p>
        </w:tc>
        <w:tc>
          <w:tcPr>
            <w:tcW w:w="1347" w:type="dxa"/>
            <w:vMerge w:val="restart"/>
            <w:shd w:val="clear" w:color="auto" w:fill="FFFFFF"/>
            <w:noWrap/>
            <w:tcMar>
              <w:top w:w="0" w:type="dxa"/>
              <w:left w:w="108" w:type="dxa"/>
              <w:bottom w:w="0" w:type="dxa"/>
              <w:right w:w="108" w:type="dxa"/>
            </w:tcMar>
            <w:vAlign w:val="center"/>
          </w:tcPr>
          <w:p w14:paraId="2D94243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计算机设备</w:t>
            </w:r>
          </w:p>
        </w:tc>
        <w:tc>
          <w:tcPr>
            <w:tcW w:w="1308" w:type="dxa"/>
            <w:shd w:val="clear" w:color="auto" w:fill="FFFFFF"/>
            <w:noWrap/>
            <w:tcMar>
              <w:top w:w="0" w:type="dxa"/>
              <w:left w:w="108" w:type="dxa"/>
              <w:bottom w:w="0" w:type="dxa"/>
              <w:right w:w="108" w:type="dxa"/>
            </w:tcMar>
            <w:vAlign w:val="center"/>
          </w:tcPr>
          <w:p w14:paraId="10B36B3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A02010104</w:t>
            </w:r>
          </w:p>
        </w:tc>
        <w:tc>
          <w:tcPr>
            <w:tcW w:w="1596" w:type="dxa"/>
            <w:shd w:val="clear" w:color="auto" w:fill="FFFFFF"/>
            <w:noWrap/>
            <w:tcMar>
              <w:top w:w="0" w:type="dxa"/>
              <w:left w:w="108" w:type="dxa"/>
              <w:bottom w:w="0" w:type="dxa"/>
              <w:right w:w="108" w:type="dxa"/>
            </w:tcMar>
            <w:vAlign w:val="center"/>
          </w:tcPr>
          <w:p w14:paraId="0EF2D9B7">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台式计算机</w:t>
            </w:r>
          </w:p>
        </w:tc>
        <w:tc>
          <w:tcPr>
            <w:tcW w:w="3998" w:type="dxa"/>
            <w:vMerge w:val="restart"/>
            <w:shd w:val="clear" w:color="auto" w:fill="FFFFFF"/>
            <w:noWrap/>
            <w:tcMar>
              <w:top w:w="0" w:type="dxa"/>
              <w:left w:w="108" w:type="dxa"/>
              <w:bottom w:w="0" w:type="dxa"/>
              <w:right w:w="108" w:type="dxa"/>
            </w:tcMar>
            <w:vAlign w:val="center"/>
          </w:tcPr>
          <w:p w14:paraId="11B37609">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7FE1C8A7">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北京赛西认证有限责任公司</w:t>
            </w:r>
          </w:p>
          <w:p w14:paraId="17AF5C51">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中国网络安全审查技术与认证中心</w:t>
            </w:r>
          </w:p>
          <w:p w14:paraId="3E13DDB0">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广州赛宝认证中心服务有限公司</w:t>
            </w:r>
          </w:p>
        </w:tc>
      </w:tr>
      <w:tr w14:paraId="6237FE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474FD9">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801D531">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7695FEB">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613D13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A02010105</w:t>
            </w:r>
          </w:p>
        </w:tc>
        <w:tc>
          <w:tcPr>
            <w:tcW w:w="1596" w:type="dxa"/>
            <w:shd w:val="clear" w:color="auto" w:fill="FFFFFF"/>
            <w:noWrap/>
            <w:tcMar>
              <w:top w:w="0" w:type="dxa"/>
              <w:left w:w="0" w:type="dxa"/>
              <w:bottom w:w="0" w:type="dxa"/>
              <w:right w:w="0" w:type="dxa"/>
            </w:tcMar>
            <w:vAlign w:val="center"/>
          </w:tcPr>
          <w:p w14:paraId="28EA45A8">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便携式计算机</w:t>
            </w:r>
          </w:p>
        </w:tc>
        <w:tc>
          <w:tcPr>
            <w:tcW w:w="3998" w:type="dxa"/>
            <w:vMerge w:val="continue"/>
            <w:shd w:val="clear" w:color="auto" w:fill="FFFFFF"/>
            <w:noWrap/>
            <w:tcMar>
              <w:top w:w="0" w:type="dxa"/>
              <w:left w:w="0" w:type="dxa"/>
              <w:bottom w:w="0" w:type="dxa"/>
              <w:right w:w="0" w:type="dxa"/>
            </w:tcMar>
            <w:vAlign w:val="center"/>
          </w:tcPr>
          <w:p w14:paraId="32273A9D">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6265F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6CE5032E">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B994C76">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8BC12F4">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E190146">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A02010107</w:t>
            </w:r>
          </w:p>
        </w:tc>
        <w:tc>
          <w:tcPr>
            <w:tcW w:w="1596" w:type="dxa"/>
            <w:shd w:val="clear" w:color="auto" w:fill="FFFFFF"/>
            <w:noWrap/>
            <w:tcMar>
              <w:top w:w="0" w:type="dxa"/>
              <w:left w:w="0" w:type="dxa"/>
              <w:bottom w:w="0" w:type="dxa"/>
              <w:right w:w="0" w:type="dxa"/>
            </w:tcMar>
            <w:vAlign w:val="center"/>
          </w:tcPr>
          <w:p w14:paraId="1A897A3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平板式微型计算机</w:t>
            </w:r>
          </w:p>
        </w:tc>
        <w:tc>
          <w:tcPr>
            <w:tcW w:w="3998" w:type="dxa"/>
            <w:vMerge w:val="continue"/>
            <w:shd w:val="clear" w:color="auto" w:fill="FFFFFF"/>
            <w:noWrap/>
            <w:tcMar>
              <w:top w:w="0" w:type="dxa"/>
              <w:left w:w="0" w:type="dxa"/>
              <w:bottom w:w="0" w:type="dxa"/>
              <w:right w:w="0" w:type="dxa"/>
            </w:tcMar>
            <w:vAlign w:val="center"/>
          </w:tcPr>
          <w:p w14:paraId="2B726977">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668C14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2530A54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2</w:t>
            </w:r>
          </w:p>
        </w:tc>
        <w:tc>
          <w:tcPr>
            <w:tcW w:w="1134" w:type="dxa"/>
            <w:vMerge w:val="restart"/>
            <w:shd w:val="clear" w:color="auto" w:fill="FFFFFF"/>
            <w:noWrap/>
            <w:tcMar>
              <w:top w:w="0" w:type="dxa"/>
              <w:left w:w="108" w:type="dxa"/>
              <w:bottom w:w="0" w:type="dxa"/>
              <w:right w:w="108" w:type="dxa"/>
            </w:tcMar>
            <w:vAlign w:val="center"/>
          </w:tcPr>
          <w:p w14:paraId="54209D2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A020106</w:t>
            </w:r>
          </w:p>
        </w:tc>
        <w:tc>
          <w:tcPr>
            <w:tcW w:w="1347" w:type="dxa"/>
            <w:vMerge w:val="restart"/>
            <w:shd w:val="clear" w:color="auto" w:fill="FFFFFF"/>
            <w:noWrap/>
            <w:tcMar>
              <w:top w:w="0" w:type="dxa"/>
              <w:left w:w="108" w:type="dxa"/>
              <w:bottom w:w="0" w:type="dxa"/>
              <w:right w:w="108" w:type="dxa"/>
            </w:tcMar>
            <w:vAlign w:val="center"/>
          </w:tcPr>
          <w:p w14:paraId="04F40E2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输入输出设备</w:t>
            </w:r>
          </w:p>
        </w:tc>
        <w:tc>
          <w:tcPr>
            <w:tcW w:w="1308" w:type="dxa"/>
            <w:shd w:val="clear" w:color="auto" w:fill="FFFFFF"/>
            <w:noWrap/>
            <w:tcMar>
              <w:top w:w="0" w:type="dxa"/>
              <w:left w:w="108" w:type="dxa"/>
              <w:bottom w:w="0" w:type="dxa"/>
              <w:right w:w="108" w:type="dxa"/>
            </w:tcMar>
            <w:vAlign w:val="center"/>
          </w:tcPr>
          <w:p w14:paraId="5947537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A02010601</w:t>
            </w:r>
          </w:p>
        </w:tc>
        <w:tc>
          <w:tcPr>
            <w:tcW w:w="1596" w:type="dxa"/>
            <w:shd w:val="clear" w:color="auto" w:fill="FFFFFF"/>
            <w:noWrap/>
            <w:tcMar>
              <w:top w:w="0" w:type="dxa"/>
              <w:left w:w="108" w:type="dxa"/>
              <w:bottom w:w="0" w:type="dxa"/>
              <w:right w:w="108" w:type="dxa"/>
            </w:tcMar>
            <w:vAlign w:val="center"/>
          </w:tcPr>
          <w:p w14:paraId="2ED1E6F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打印设备</w:t>
            </w:r>
          </w:p>
        </w:tc>
        <w:tc>
          <w:tcPr>
            <w:tcW w:w="3998" w:type="dxa"/>
            <w:vMerge w:val="continue"/>
            <w:shd w:val="clear" w:color="auto" w:fill="FFFFFF"/>
            <w:noWrap/>
            <w:tcMar>
              <w:top w:w="0" w:type="dxa"/>
              <w:left w:w="0" w:type="dxa"/>
              <w:bottom w:w="0" w:type="dxa"/>
              <w:right w:w="0" w:type="dxa"/>
            </w:tcMar>
            <w:vAlign w:val="center"/>
          </w:tcPr>
          <w:p w14:paraId="44DC2C47">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136134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D25C149">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30EC2067">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00B1054">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16530FE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A02010604</w:t>
            </w:r>
          </w:p>
        </w:tc>
        <w:tc>
          <w:tcPr>
            <w:tcW w:w="1596" w:type="dxa"/>
            <w:shd w:val="clear" w:color="auto" w:fill="FFFFFF"/>
            <w:noWrap/>
            <w:tcMar>
              <w:top w:w="0" w:type="dxa"/>
              <w:left w:w="0" w:type="dxa"/>
              <w:bottom w:w="0" w:type="dxa"/>
              <w:right w:w="0" w:type="dxa"/>
            </w:tcMar>
            <w:vAlign w:val="center"/>
          </w:tcPr>
          <w:p w14:paraId="05FDE42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显示设备</w:t>
            </w:r>
          </w:p>
        </w:tc>
        <w:tc>
          <w:tcPr>
            <w:tcW w:w="3998" w:type="dxa"/>
            <w:vMerge w:val="continue"/>
            <w:shd w:val="clear" w:color="auto" w:fill="FFFFFF"/>
            <w:noWrap/>
            <w:tcMar>
              <w:top w:w="0" w:type="dxa"/>
              <w:left w:w="0" w:type="dxa"/>
              <w:bottom w:w="0" w:type="dxa"/>
              <w:right w:w="0" w:type="dxa"/>
            </w:tcMar>
            <w:vAlign w:val="center"/>
          </w:tcPr>
          <w:p w14:paraId="5A69C3A4">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18F857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B33E404">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23D0ACB">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6F2483E">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EB79C1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A02010609</w:t>
            </w:r>
          </w:p>
        </w:tc>
        <w:tc>
          <w:tcPr>
            <w:tcW w:w="1596" w:type="dxa"/>
            <w:shd w:val="clear" w:color="auto" w:fill="FFFFFF"/>
            <w:noWrap/>
            <w:tcMar>
              <w:top w:w="0" w:type="dxa"/>
              <w:left w:w="0" w:type="dxa"/>
              <w:bottom w:w="0" w:type="dxa"/>
              <w:right w:w="0" w:type="dxa"/>
            </w:tcMar>
            <w:vAlign w:val="center"/>
          </w:tcPr>
          <w:p w14:paraId="12BCB206">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图形图像输入设备</w:t>
            </w:r>
          </w:p>
        </w:tc>
        <w:tc>
          <w:tcPr>
            <w:tcW w:w="3998" w:type="dxa"/>
            <w:vMerge w:val="continue"/>
            <w:shd w:val="clear" w:color="auto" w:fill="FFFFFF"/>
            <w:noWrap/>
            <w:tcMar>
              <w:top w:w="0" w:type="dxa"/>
              <w:left w:w="0" w:type="dxa"/>
              <w:bottom w:w="0" w:type="dxa"/>
              <w:right w:w="0" w:type="dxa"/>
            </w:tcMar>
            <w:vAlign w:val="center"/>
          </w:tcPr>
          <w:p w14:paraId="359AA417">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7FBA8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C2BB06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3</w:t>
            </w:r>
          </w:p>
        </w:tc>
        <w:tc>
          <w:tcPr>
            <w:tcW w:w="1134" w:type="dxa"/>
            <w:shd w:val="clear" w:color="auto" w:fill="FFFFFF"/>
            <w:noWrap/>
            <w:tcMar>
              <w:top w:w="0" w:type="dxa"/>
              <w:left w:w="108" w:type="dxa"/>
              <w:bottom w:w="0" w:type="dxa"/>
              <w:right w:w="108" w:type="dxa"/>
            </w:tcMar>
            <w:vAlign w:val="center"/>
          </w:tcPr>
          <w:p w14:paraId="01646308">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A020202</w:t>
            </w:r>
          </w:p>
        </w:tc>
        <w:tc>
          <w:tcPr>
            <w:tcW w:w="1347" w:type="dxa"/>
            <w:shd w:val="clear" w:color="auto" w:fill="FFFFFF"/>
            <w:noWrap/>
            <w:tcMar>
              <w:top w:w="0" w:type="dxa"/>
              <w:left w:w="108" w:type="dxa"/>
              <w:bottom w:w="0" w:type="dxa"/>
              <w:right w:w="108" w:type="dxa"/>
            </w:tcMar>
            <w:vAlign w:val="center"/>
          </w:tcPr>
          <w:p w14:paraId="67D67FA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投影仪</w:t>
            </w:r>
          </w:p>
        </w:tc>
        <w:tc>
          <w:tcPr>
            <w:tcW w:w="1308" w:type="dxa"/>
            <w:shd w:val="clear" w:color="auto" w:fill="FFFFFF"/>
            <w:noWrap/>
            <w:tcMar>
              <w:top w:w="0" w:type="dxa"/>
              <w:left w:w="108" w:type="dxa"/>
              <w:bottom w:w="0" w:type="dxa"/>
              <w:right w:w="108" w:type="dxa"/>
            </w:tcMar>
            <w:vAlign w:val="center"/>
          </w:tcPr>
          <w:p w14:paraId="153089D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1466B5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1B1DE3BC">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690135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8DDA7A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4</w:t>
            </w:r>
          </w:p>
        </w:tc>
        <w:tc>
          <w:tcPr>
            <w:tcW w:w="1134" w:type="dxa"/>
            <w:shd w:val="clear" w:color="auto" w:fill="FFFFFF"/>
            <w:noWrap/>
            <w:tcMar>
              <w:top w:w="0" w:type="dxa"/>
              <w:left w:w="108" w:type="dxa"/>
              <w:bottom w:w="0" w:type="dxa"/>
              <w:right w:w="108" w:type="dxa"/>
            </w:tcMar>
            <w:vAlign w:val="center"/>
          </w:tcPr>
          <w:p w14:paraId="1042186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A020204</w:t>
            </w:r>
          </w:p>
        </w:tc>
        <w:tc>
          <w:tcPr>
            <w:tcW w:w="1347" w:type="dxa"/>
            <w:shd w:val="clear" w:color="auto" w:fill="FFFFFF"/>
            <w:noWrap/>
            <w:tcMar>
              <w:top w:w="0" w:type="dxa"/>
              <w:left w:w="108" w:type="dxa"/>
              <w:bottom w:w="0" w:type="dxa"/>
              <w:right w:w="108" w:type="dxa"/>
            </w:tcMar>
            <w:vAlign w:val="center"/>
          </w:tcPr>
          <w:p w14:paraId="001F62D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多功能一体机</w:t>
            </w:r>
          </w:p>
        </w:tc>
        <w:tc>
          <w:tcPr>
            <w:tcW w:w="1308" w:type="dxa"/>
            <w:shd w:val="clear" w:color="auto" w:fill="FFFFFF"/>
            <w:noWrap/>
            <w:tcMar>
              <w:top w:w="0" w:type="dxa"/>
              <w:left w:w="108" w:type="dxa"/>
              <w:bottom w:w="0" w:type="dxa"/>
              <w:right w:w="108" w:type="dxa"/>
            </w:tcMar>
            <w:vAlign w:val="center"/>
          </w:tcPr>
          <w:p w14:paraId="306FA09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CE21C77">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AD1BE52">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5C63F0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FB3C6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5</w:t>
            </w:r>
          </w:p>
        </w:tc>
        <w:tc>
          <w:tcPr>
            <w:tcW w:w="1134" w:type="dxa"/>
            <w:shd w:val="clear" w:color="auto" w:fill="FFFFFF"/>
            <w:noWrap/>
            <w:tcMar>
              <w:top w:w="0" w:type="dxa"/>
              <w:left w:w="108" w:type="dxa"/>
              <w:bottom w:w="0" w:type="dxa"/>
              <w:right w:w="108" w:type="dxa"/>
            </w:tcMar>
            <w:vAlign w:val="center"/>
          </w:tcPr>
          <w:p w14:paraId="7685BB67">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A020519</w:t>
            </w:r>
          </w:p>
        </w:tc>
        <w:tc>
          <w:tcPr>
            <w:tcW w:w="1347" w:type="dxa"/>
            <w:shd w:val="clear" w:color="auto" w:fill="FFFFFF"/>
            <w:noWrap/>
            <w:tcMar>
              <w:top w:w="0" w:type="dxa"/>
              <w:left w:w="108" w:type="dxa"/>
              <w:bottom w:w="0" w:type="dxa"/>
              <w:right w:w="108" w:type="dxa"/>
            </w:tcMar>
            <w:vAlign w:val="center"/>
          </w:tcPr>
          <w:p w14:paraId="765AAB58">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泵</w:t>
            </w:r>
          </w:p>
        </w:tc>
        <w:tc>
          <w:tcPr>
            <w:tcW w:w="1308" w:type="dxa"/>
            <w:shd w:val="clear" w:color="auto" w:fill="FFFFFF"/>
            <w:noWrap/>
            <w:tcMar>
              <w:top w:w="0" w:type="dxa"/>
              <w:left w:w="108" w:type="dxa"/>
              <w:bottom w:w="0" w:type="dxa"/>
              <w:right w:w="108" w:type="dxa"/>
            </w:tcMar>
            <w:vAlign w:val="center"/>
          </w:tcPr>
          <w:p w14:paraId="596B7BB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A02051901</w:t>
            </w:r>
          </w:p>
        </w:tc>
        <w:tc>
          <w:tcPr>
            <w:tcW w:w="1596" w:type="dxa"/>
            <w:shd w:val="clear" w:color="auto" w:fill="FFFFFF"/>
            <w:noWrap/>
            <w:tcMar>
              <w:top w:w="0" w:type="dxa"/>
              <w:left w:w="108" w:type="dxa"/>
              <w:bottom w:w="0" w:type="dxa"/>
              <w:right w:w="108" w:type="dxa"/>
            </w:tcMar>
            <w:vAlign w:val="center"/>
          </w:tcPr>
          <w:p w14:paraId="42027C2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离心泵</w:t>
            </w:r>
          </w:p>
        </w:tc>
        <w:tc>
          <w:tcPr>
            <w:tcW w:w="3998" w:type="dxa"/>
            <w:shd w:val="clear" w:color="auto" w:fill="FFFFFF"/>
            <w:noWrap/>
            <w:tcMar>
              <w:top w:w="0" w:type="dxa"/>
              <w:left w:w="108" w:type="dxa"/>
              <w:bottom w:w="0" w:type="dxa"/>
              <w:right w:w="108" w:type="dxa"/>
            </w:tcMar>
            <w:vAlign w:val="center"/>
          </w:tcPr>
          <w:p w14:paraId="5B22A12B">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5878FE78">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电能（北京）认证中心有限公司</w:t>
            </w:r>
          </w:p>
          <w:p w14:paraId="106A290F">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方圆标志认证集团有限公司</w:t>
            </w:r>
          </w:p>
        </w:tc>
      </w:tr>
      <w:tr w14:paraId="076FDB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56CF142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6</w:t>
            </w:r>
          </w:p>
        </w:tc>
        <w:tc>
          <w:tcPr>
            <w:tcW w:w="1134" w:type="dxa"/>
            <w:vMerge w:val="restart"/>
            <w:shd w:val="clear" w:color="auto" w:fill="FFFFFF"/>
            <w:noWrap/>
            <w:tcMar>
              <w:top w:w="0" w:type="dxa"/>
              <w:left w:w="108" w:type="dxa"/>
              <w:bottom w:w="0" w:type="dxa"/>
              <w:right w:w="108" w:type="dxa"/>
            </w:tcMar>
            <w:vAlign w:val="center"/>
          </w:tcPr>
          <w:p w14:paraId="3D239A1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A020523</w:t>
            </w:r>
          </w:p>
        </w:tc>
        <w:tc>
          <w:tcPr>
            <w:tcW w:w="1347" w:type="dxa"/>
            <w:vMerge w:val="restart"/>
            <w:shd w:val="clear" w:color="auto" w:fill="FFFFFF"/>
            <w:noWrap/>
            <w:tcMar>
              <w:top w:w="0" w:type="dxa"/>
              <w:left w:w="108" w:type="dxa"/>
              <w:bottom w:w="0" w:type="dxa"/>
              <w:right w:w="108" w:type="dxa"/>
            </w:tcMar>
            <w:vAlign w:val="center"/>
          </w:tcPr>
          <w:p w14:paraId="1C6A20B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制冷空调设备</w:t>
            </w:r>
          </w:p>
        </w:tc>
        <w:tc>
          <w:tcPr>
            <w:tcW w:w="1308" w:type="dxa"/>
            <w:shd w:val="clear" w:color="auto" w:fill="FFFFFF"/>
            <w:noWrap/>
            <w:tcMar>
              <w:top w:w="0" w:type="dxa"/>
              <w:left w:w="108" w:type="dxa"/>
              <w:bottom w:w="0" w:type="dxa"/>
              <w:right w:w="108" w:type="dxa"/>
            </w:tcMar>
            <w:vAlign w:val="center"/>
          </w:tcPr>
          <w:p w14:paraId="6B9654D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A02052301</w:t>
            </w:r>
          </w:p>
        </w:tc>
        <w:tc>
          <w:tcPr>
            <w:tcW w:w="1596" w:type="dxa"/>
            <w:shd w:val="clear" w:color="auto" w:fill="FFFFFF"/>
            <w:noWrap/>
            <w:tcMar>
              <w:top w:w="0" w:type="dxa"/>
              <w:left w:w="108" w:type="dxa"/>
              <w:bottom w:w="0" w:type="dxa"/>
              <w:right w:w="108" w:type="dxa"/>
            </w:tcMar>
            <w:vAlign w:val="center"/>
          </w:tcPr>
          <w:p w14:paraId="5E5AC16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制冷压缩机</w:t>
            </w:r>
          </w:p>
        </w:tc>
        <w:tc>
          <w:tcPr>
            <w:tcW w:w="3998" w:type="dxa"/>
            <w:vMerge w:val="restart"/>
            <w:shd w:val="clear" w:color="auto" w:fill="FFFFFF"/>
            <w:noWrap/>
            <w:tcMar>
              <w:top w:w="0" w:type="dxa"/>
              <w:left w:w="108" w:type="dxa"/>
              <w:bottom w:w="0" w:type="dxa"/>
              <w:right w:w="108" w:type="dxa"/>
            </w:tcMar>
            <w:vAlign w:val="center"/>
          </w:tcPr>
          <w:p w14:paraId="4E02840E">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5A7C8F25">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773BAAF4">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合肥通用机械产品认证有限公司</w:t>
            </w:r>
          </w:p>
          <w:p w14:paraId="50F8C37A">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北京中冷通质量认证中心有限公司</w:t>
            </w:r>
          </w:p>
        </w:tc>
      </w:tr>
      <w:tr w14:paraId="5DE75A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3859D6E7">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0DF7BD">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5E35E385">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0951FFF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A02052305</w:t>
            </w:r>
          </w:p>
        </w:tc>
        <w:tc>
          <w:tcPr>
            <w:tcW w:w="1596" w:type="dxa"/>
            <w:shd w:val="clear" w:color="auto" w:fill="FFFFFF"/>
            <w:noWrap/>
            <w:tcMar>
              <w:top w:w="0" w:type="dxa"/>
              <w:left w:w="0" w:type="dxa"/>
              <w:bottom w:w="0" w:type="dxa"/>
              <w:right w:w="0" w:type="dxa"/>
            </w:tcMar>
            <w:vAlign w:val="center"/>
          </w:tcPr>
          <w:p w14:paraId="2493075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空调机组</w:t>
            </w:r>
          </w:p>
        </w:tc>
        <w:tc>
          <w:tcPr>
            <w:tcW w:w="3998" w:type="dxa"/>
            <w:vMerge w:val="continue"/>
            <w:shd w:val="clear" w:color="auto" w:fill="FFFFFF"/>
            <w:noWrap/>
            <w:tcMar>
              <w:top w:w="0" w:type="dxa"/>
              <w:left w:w="0" w:type="dxa"/>
              <w:bottom w:w="0" w:type="dxa"/>
              <w:right w:w="0" w:type="dxa"/>
            </w:tcMar>
            <w:vAlign w:val="center"/>
          </w:tcPr>
          <w:p w14:paraId="4B9947F0">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0793F6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10B72B3">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495A6AA0">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750ED0DF">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42071C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A02052309</w:t>
            </w:r>
          </w:p>
        </w:tc>
        <w:tc>
          <w:tcPr>
            <w:tcW w:w="1596" w:type="dxa"/>
            <w:shd w:val="clear" w:color="auto" w:fill="FFFFFF"/>
            <w:noWrap/>
            <w:tcMar>
              <w:top w:w="0" w:type="dxa"/>
              <w:left w:w="0" w:type="dxa"/>
              <w:bottom w:w="0" w:type="dxa"/>
              <w:right w:w="0" w:type="dxa"/>
            </w:tcMar>
            <w:vAlign w:val="center"/>
          </w:tcPr>
          <w:p w14:paraId="71DE22A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专用制冷、空调设备</w:t>
            </w:r>
          </w:p>
        </w:tc>
        <w:tc>
          <w:tcPr>
            <w:tcW w:w="3998" w:type="dxa"/>
            <w:vMerge w:val="continue"/>
            <w:shd w:val="clear" w:color="auto" w:fill="FFFFFF"/>
            <w:noWrap/>
            <w:tcMar>
              <w:top w:w="0" w:type="dxa"/>
              <w:left w:w="0" w:type="dxa"/>
              <w:bottom w:w="0" w:type="dxa"/>
              <w:right w:w="0" w:type="dxa"/>
            </w:tcMar>
            <w:vAlign w:val="center"/>
          </w:tcPr>
          <w:p w14:paraId="5CA68A14">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4488D1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8C00C86">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7CE00596">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3CE7CB78">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75A422E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A02052399</w:t>
            </w:r>
          </w:p>
        </w:tc>
        <w:tc>
          <w:tcPr>
            <w:tcW w:w="1596" w:type="dxa"/>
            <w:shd w:val="clear" w:color="auto" w:fill="FFFFFF"/>
            <w:noWrap/>
            <w:tcMar>
              <w:top w:w="0" w:type="dxa"/>
              <w:left w:w="0" w:type="dxa"/>
              <w:bottom w:w="0" w:type="dxa"/>
              <w:right w:w="0" w:type="dxa"/>
            </w:tcMar>
            <w:vAlign w:val="center"/>
          </w:tcPr>
          <w:p w14:paraId="5E506A0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其他制冷空调设备</w:t>
            </w:r>
          </w:p>
        </w:tc>
        <w:tc>
          <w:tcPr>
            <w:tcW w:w="3998" w:type="dxa"/>
            <w:vMerge w:val="continue"/>
            <w:shd w:val="clear" w:color="auto" w:fill="FFFFFF"/>
            <w:noWrap/>
            <w:tcMar>
              <w:top w:w="0" w:type="dxa"/>
              <w:left w:w="0" w:type="dxa"/>
              <w:bottom w:w="0" w:type="dxa"/>
              <w:right w:w="0" w:type="dxa"/>
            </w:tcMar>
            <w:vAlign w:val="center"/>
          </w:tcPr>
          <w:p w14:paraId="30A89039">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04CE2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4EC57E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7</w:t>
            </w:r>
          </w:p>
        </w:tc>
        <w:tc>
          <w:tcPr>
            <w:tcW w:w="1134" w:type="dxa"/>
            <w:shd w:val="clear" w:color="auto" w:fill="FFFFFF"/>
            <w:noWrap/>
            <w:tcMar>
              <w:top w:w="0" w:type="dxa"/>
              <w:left w:w="108" w:type="dxa"/>
              <w:bottom w:w="0" w:type="dxa"/>
              <w:right w:w="108" w:type="dxa"/>
            </w:tcMar>
            <w:vAlign w:val="center"/>
          </w:tcPr>
          <w:p w14:paraId="7DD40B1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A020601</w:t>
            </w:r>
          </w:p>
        </w:tc>
        <w:tc>
          <w:tcPr>
            <w:tcW w:w="1347" w:type="dxa"/>
            <w:shd w:val="clear" w:color="auto" w:fill="FFFFFF"/>
            <w:noWrap/>
            <w:tcMar>
              <w:top w:w="0" w:type="dxa"/>
              <w:left w:w="108" w:type="dxa"/>
              <w:bottom w:w="0" w:type="dxa"/>
              <w:right w:w="108" w:type="dxa"/>
            </w:tcMar>
            <w:vAlign w:val="center"/>
          </w:tcPr>
          <w:p w14:paraId="32585E46">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电机</w:t>
            </w:r>
          </w:p>
        </w:tc>
        <w:tc>
          <w:tcPr>
            <w:tcW w:w="1308" w:type="dxa"/>
            <w:shd w:val="clear" w:color="auto" w:fill="FFFFFF"/>
            <w:noWrap/>
            <w:tcMar>
              <w:top w:w="0" w:type="dxa"/>
              <w:left w:w="108" w:type="dxa"/>
              <w:bottom w:w="0" w:type="dxa"/>
              <w:right w:w="108" w:type="dxa"/>
            </w:tcMar>
            <w:vAlign w:val="center"/>
          </w:tcPr>
          <w:p w14:paraId="27DDEE8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021DF66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46B481CB">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07841D61">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0B1AF939">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电能（北京）认证中心有限公司</w:t>
            </w:r>
          </w:p>
          <w:p w14:paraId="7B36931A">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中国船级社质量认证公司</w:t>
            </w:r>
          </w:p>
        </w:tc>
      </w:tr>
      <w:tr w14:paraId="77455F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AD58D4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8</w:t>
            </w:r>
          </w:p>
        </w:tc>
        <w:tc>
          <w:tcPr>
            <w:tcW w:w="1134" w:type="dxa"/>
            <w:shd w:val="clear" w:color="auto" w:fill="FFFFFF"/>
            <w:noWrap/>
            <w:tcMar>
              <w:top w:w="0" w:type="dxa"/>
              <w:left w:w="108" w:type="dxa"/>
              <w:bottom w:w="0" w:type="dxa"/>
              <w:right w:w="108" w:type="dxa"/>
            </w:tcMar>
            <w:vAlign w:val="center"/>
          </w:tcPr>
          <w:p w14:paraId="339F253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A020602</w:t>
            </w:r>
          </w:p>
        </w:tc>
        <w:tc>
          <w:tcPr>
            <w:tcW w:w="1347" w:type="dxa"/>
            <w:shd w:val="clear" w:color="auto" w:fill="FFFFFF"/>
            <w:noWrap/>
            <w:tcMar>
              <w:top w:w="0" w:type="dxa"/>
              <w:left w:w="108" w:type="dxa"/>
              <w:bottom w:w="0" w:type="dxa"/>
              <w:right w:w="108" w:type="dxa"/>
            </w:tcMar>
            <w:vAlign w:val="center"/>
          </w:tcPr>
          <w:p w14:paraId="4C01642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变压器</w:t>
            </w:r>
          </w:p>
        </w:tc>
        <w:tc>
          <w:tcPr>
            <w:tcW w:w="1308" w:type="dxa"/>
            <w:shd w:val="clear" w:color="auto" w:fill="FFFFFF"/>
            <w:noWrap/>
            <w:tcMar>
              <w:top w:w="0" w:type="dxa"/>
              <w:left w:w="108" w:type="dxa"/>
              <w:bottom w:w="0" w:type="dxa"/>
              <w:right w:w="108" w:type="dxa"/>
            </w:tcMar>
            <w:vAlign w:val="center"/>
          </w:tcPr>
          <w:p w14:paraId="6D2E19B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F8FD57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B3515C7">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1249FC62">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电能（北京）认证中心有限公司</w:t>
            </w:r>
          </w:p>
          <w:p w14:paraId="27C72B0C">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方圆标志认证集团有限公司</w:t>
            </w:r>
          </w:p>
        </w:tc>
      </w:tr>
      <w:tr w14:paraId="2C6F15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087545F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9</w:t>
            </w:r>
          </w:p>
        </w:tc>
        <w:tc>
          <w:tcPr>
            <w:tcW w:w="1134" w:type="dxa"/>
            <w:shd w:val="clear" w:color="auto" w:fill="FFFFFF"/>
            <w:noWrap/>
            <w:tcMar>
              <w:top w:w="0" w:type="dxa"/>
              <w:left w:w="108" w:type="dxa"/>
              <w:bottom w:w="0" w:type="dxa"/>
              <w:right w:w="108" w:type="dxa"/>
            </w:tcMar>
            <w:vAlign w:val="center"/>
          </w:tcPr>
          <w:p w14:paraId="5BEBDCF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A020609</w:t>
            </w:r>
          </w:p>
        </w:tc>
        <w:tc>
          <w:tcPr>
            <w:tcW w:w="1347" w:type="dxa"/>
            <w:shd w:val="clear" w:color="auto" w:fill="FFFFFF"/>
            <w:noWrap/>
            <w:tcMar>
              <w:top w:w="0" w:type="dxa"/>
              <w:left w:w="108" w:type="dxa"/>
              <w:bottom w:w="0" w:type="dxa"/>
              <w:right w:w="108" w:type="dxa"/>
            </w:tcMar>
            <w:vAlign w:val="center"/>
          </w:tcPr>
          <w:p w14:paraId="4E365F7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镇流器</w:t>
            </w:r>
          </w:p>
        </w:tc>
        <w:tc>
          <w:tcPr>
            <w:tcW w:w="1308" w:type="dxa"/>
            <w:shd w:val="clear" w:color="auto" w:fill="FFFFFF"/>
            <w:noWrap/>
            <w:tcMar>
              <w:top w:w="0" w:type="dxa"/>
              <w:left w:w="108" w:type="dxa"/>
              <w:bottom w:w="0" w:type="dxa"/>
              <w:right w:w="108" w:type="dxa"/>
            </w:tcMar>
            <w:vAlign w:val="center"/>
          </w:tcPr>
          <w:p w14:paraId="457DCBD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6220D0C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5C045780">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4AF84DA3">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深圳市计量质量检测研究院</w:t>
            </w:r>
          </w:p>
          <w:p w14:paraId="49EC881B">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中标合信（北京）认证有限公司</w:t>
            </w:r>
          </w:p>
        </w:tc>
      </w:tr>
      <w:tr w14:paraId="38DE05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09939FF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10</w:t>
            </w:r>
          </w:p>
        </w:tc>
        <w:tc>
          <w:tcPr>
            <w:tcW w:w="1134" w:type="dxa"/>
            <w:vMerge w:val="restart"/>
            <w:shd w:val="clear" w:color="auto" w:fill="FFFFFF"/>
            <w:noWrap/>
            <w:tcMar>
              <w:top w:w="0" w:type="dxa"/>
              <w:left w:w="108" w:type="dxa"/>
              <w:bottom w:w="0" w:type="dxa"/>
              <w:right w:w="108" w:type="dxa"/>
            </w:tcMar>
            <w:vAlign w:val="center"/>
          </w:tcPr>
          <w:p w14:paraId="63AFD9C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A020618</w:t>
            </w:r>
          </w:p>
        </w:tc>
        <w:tc>
          <w:tcPr>
            <w:tcW w:w="1347" w:type="dxa"/>
            <w:vMerge w:val="restart"/>
            <w:shd w:val="clear" w:color="auto" w:fill="FFFFFF"/>
            <w:noWrap/>
            <w:tcMar>
              <w:top w:w="0" w:type="dxa"/>
              <w:left w:w="108" w:type="dxa"/>
              <w:bottom w:w="0" w:type="dxa"/>
              <w:right w:w="108" w:type="dxa"/>
            </w:tcMar>
            <w:vAlign w:val="center"/>
          </w:tcPr>
          <w:p w14:paraId="482ABC57">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生活用电器</w:t>
            </w:r>
          </w:p>
        </w:tc>
        <w:tc>
          <w:tcPr>
            <w:tcW w:w="1308" w:type="dxa"/>
            <w:shd w:val="clear" w:color="auto" w:fill="FFFFFF"/>
            <w:noWrap/>
            <w:tcMar>
              <w:top w:w="0" w:type="dxa"/>
              <w:left w:w="108" w:type="dxa"/>
              <w:bottom w:w="0" w:type="dxa"/>
              <w:right w:w="108" w:type="dxa"/>
            </w:tcMar>
            <w:vAlign w:val="center"/>
          </w:tcPr>
          <w:p w14:paraId="46532367">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A0206180101</w:t>
            </w:r>
          </w:p>
        </w:tc>
        <w:tc>
          <w:tcPr>
            <w:tcW w:w="1596" w:type="dxa"/>
            <w:shd w:val="clear" w:color="auto" w:fill="FFFFFF"/>
            <w:noWrap/>
            <w:tcMar>
              <w:top w:w="0" w:type="dxa"/>
              <w:left w:w="108" w:type="dxa"/>
              <w:bottom w:w="0" w:type="dxa"/>
              <w:right w:w="108" w:type="dxa"/>
            </w:tcMar>
            <w:vAlign w:val="center"/>
          </w:tcPr>
          <w:p w14:paraId="30EC641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电冰箱</w:t>
            </w:r>
          </w:p>
        </w:tc>
        <w:tc>
          <w:tcPr>
            <w:tcW w:w="3998" w:type="dxa"/>
            <w:shd w:val="clear" w:color="auto" w:fill="FFFFFF"/>
            <w:noWrap/>
            <w:tcMar>
              <w:top w:w="0" w:type="dxa"/>
              <w:left w:w="108" w:type="dxa"/>
              <w:bottom w:w="0" w:type="dxa"/>
              <w:right w:w="108" w:type="dxa"/>
            </w:tcMar>
            <w:vAlign w:val="center"/>
          </w:tcPr>
          <w:p w14:paraId="4671F851">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6911573F">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32700774">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中家院（北京）检测认证有限公司</w:t>
            </w:r>
          </w:p>
        </w:tc>
      </w:tr>
      <w:tr w14:paraId="07A582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D9BC5B0">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1B1FE816">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1E4CC004">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6F2378D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A0206180203</w:t>
            </w:r>
          </w:p>
        </w:tc>
        <w:tc>
          <w:tcPr>
            <w:tcW w:w="1596" w:type="dxa"/>
            <w:shd w:val="clear" w:color="auto" w:fill="FFFFFF"/>
            <w:noWrap/>
            <w:tcMar>
              <w:top w:w="0" w:type="dxa"/>
              <w:left w:w="0" w:type="dxa"/>
              <w:bottom w:w="0" w:type="dxa"/>
              <w:right w:w="0" w:type="dxa"/>
            </w:tcMar>
            <w:vAlign w:val="center"/>
          </w:tcPr>
          <w:p w14:paraId="213CFF1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空调机</w:t>
            </w:r>
          </w:p>
        </w:tc>
        <w:tc>
          <w:tcPr>
            <w:tcW w:w="3998" w:type="dxa"/>
            <w:shd w:val="clear" w:color="auto" w:fill="FFFFFF"/>
            <w:noWrap/>
            <w:tcMar>
              <w:top w:w="0" w:type="dxa"/>
              <w:left w:w="0" w:type="dxa"/>
              <w:bottom w:w="0" w:type="dxa"/>
              <w:right w:w="0" w:type="dxa"/>
            </w:tcMar>
            <w:vAlign w:val="center"/>
          </w:tcPr>
          <w:p w14:paraId="577DC7DA">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010F356E">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7668B464">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中家院（北京）检测认证有限公司</w:t>
            </w:r>
          </w:p>
          <w:p w14:paraId="7A166E89">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合肥通用机械产品认证有限公司</w:t>
            </w:r>
          </w:p>
        </w:tc>
      </w:tr>
      <w:tr w14:paraId="62832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4008259F">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AC1FBAC">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4C126BD3">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40FC5F7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A0206180301</w:t>
            </w:r>
          </w:p>
        </w:tc>
        <w:tc>
          <w:tcPr>
            <w:tcW w:w="1596" w:type="dxa"/>
            <w:shd w:val="clear" w:color="auto" w:fill="FFFFFF"/>
            <w:noWrap/>
            <w:tcMar>
              <w:top w:w="0" w:type="dxa"/>
              <w:left w:w="0" w:type="dxa"/>
              <w:bottom w:w="0" w:type="dxa"/>
              <w:right w:w="0" w:type="dxa"/>
            </w:tcMar>
            <w:vAlign w:val="center"/>
          </w:tcPr>
          <w:p w14:paraId="1A21A3A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洗衣机</w:t>
            </w:r>
          </w:p>
        </w:tc>
        <w:tc>
          <w:tcPr>
            <w:tcW w:w="3998" w:type="dxa"/>
            <w:shd w:val="clear" w:color="auto" w:fill="FFFFFF"/>
            <w:noWrap/>
            <w:tcMar>
              <w:top w:w="0" w:type="dxa"/>
              <w:left w:w="0" w:type="dxa"/>
              <w:bottom w:w="0" w:type="dxa"/>
              <w:right w:w="0" w:type="dxa"/>
            </w:tcMar>
            <w:vAlign w:val="center"/>
          </w:tcPr>
          <w:p w14:paraId="121515DC">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4916EAB8">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4FDA3BDF">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中家院（北京）检测认证有限公司</w:t>
            </w:r>
          </w:p>
        </w:tc>
      </w:tr>
      <w:tr w14:paraId="148E4F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154C6292">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134" w:type="dxa"/>
            <w:vMerge w:val="continue"/>
            <w:shd w:val="clear" w:color="auto" w:fill="FFFFFF"/>
            <w:noWrap/>
            <w:tcMar>
              <w:top w:w="0" w:type="dxa"/>
              <w:left w:w="0" w:type="dxa"/>
              <w:bottom w:w="0" w:type="dxa"/>
              <w:right w:w="0" w:type="dxa"/>
            </w:tcMar>
            <w:vAlign w:val="center"/>
          </w:tcPr>
          <w:p w14:paraId="28F14CBA">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47" w:type="dxa"/>
            <w:vMerge w:val="continue"/>
            <w:shd w:val="clear" w:color="auto" w:fill="FFFFFF"/>
            <w:noWrap/>
            <w:tcMar>
              <w:top w:w="0" w:type="dxa"/>
              <w:left w:w="0" w:type="dxa"/>
              <w:bottom w:w="0" w:type="dxa"/>
              <w:right w:w="0" w:type="dxa"/>
            </w:tcMar>
            <w:vAlign w:val="center"/>
          </w:tcPr>
          <w:p w14:paraId="6AE8284E">
            <w:pPr>
              <w:widowControl/>
              <w:autoSpaceDN w:val="0"/>
              <w:spacing w:line="276" w:lineRule="auto"/>
              <w:jc w:val="center"/>
              <w:rPr>
                <w:rFonts w:hint="eastAsia" w:ascii="宋体" w:hAnsi="宋体" w:eastAsia="宋体" w:cs="宋体"/>
                <w:color w:val="000000"/>
                <w:w w:val="90"/>
                <w:kern w:val="0"/>
                <w:sz w:val="22"/>
                <w:szCs w:val="22"/>
                <w:highlight w:val="none"/>
              </w:rPr>
            </w:pPr>
          </w:p>
        </w:tc>
        <w:tc>
          <w:tcPr>
            <w:tcW w:w="1308" w:type="dxa"/>
            <w:shd w:val="clear" w:color="auto" w:fill="FFFFFF"/>
            <w:noWrap/>
            <w:tcMar>
              <w:top w:w="0" w:type="dxa"/>
              <w:left w:w="108" w:type="dxa"/>
              <w:bottom w:w="0" w:type="dxa"/>
              <w:right w:w="108" w:type="dxa"/>
            </w:tcMar>
            <w:vAlign w:val="center"/>
          </w:tcPr>
          <w:p w14:paraId="5C0EFC3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A02061808</w:t>
            </w:r>
          </w:p>
        </w:tc>
        <w:tc>
          <w:tcPr>
            <w:tcW w:w="1596" w:type="dxa"/>
            <w:shd w:val="clear" w:color="auto" w:fill="FFFFFF"/>
            <w:noWrap/>
            <w:tcMar>
              <w:top w:w="0" w:type="dxa"/>
              <w:left w:w="0" w:type="dxa"/>
              <w:bottom w:w="0" w:type="dxa"/>
              <w:right w:w="0" w:type="dxa"/>
            </w:tcMar>
            <w:vAlign w:val="center"/>
          </w:tcPr>
          <w:p w14:paraId="18CF3480">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热水器</w:t>
            </w:r>
          </w:p>
        </w:tc>
        <w:tc>
          <w:tcPr>
            <w:tcW w:w="3998" w:type="dxa"/>
            <w:shd w:val="clear" w:color="auto" w:fill="FFFFFF"/>
            <w:noWrap/>
            <w:tcMar>
              <w:top w:w="0" w:type="dxa"/>
              <w:left w:w="0" w:type="dxa"/>
              <w:bottom w:w="0" w:type="dxa"/>
              <w:right w:w="0" w:type="dxa"/>
            </w:tcMar>
            <w:vAlign w:val="center"/>
          </w:tcPr>
          <w:p w14:paraId="288A22F5">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1D47DA1C">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威凯认证检测有限公司</w:t>
            </w:r>
          </w:p>
          <w:p w14:paraId="6F868CD9">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中家院（北京）检测认证有限公司</w:t>
            </w:r>
          </w:p>
          <w:p w14:paraId="7BBBB557">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合肥通用机械产品认证有限公司(范围仅限于“热泵热水器”)</w:t>
            </w:r>
          </w:p>
        </w:tc>
      </w:tr>
      <w:tr w14:paraId="201691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EE9D8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11</w:t>
            </w:r>
          </w:p>
        </w:tc>
        <w:tc>
          <w:tcPr>
            <w:tcW w:w="1134" w:type="dxa"/>
            <w:shd w:val="clear" w:color="auto" w:fill="FFFFFF"/>
            <w:noWrap/>
            <w:tcMar>
              <w:top w:w="0" w:type="dxa"/>
              <w:left w:w="108" w:type="dxa"/>
              <w:bottom w:w="0" w:type="dxa"/>
              <w:right w:w="108" w:type="dxa"/>
            </w:tcMar>
            <w:vAlign w:val="center"/>
          </w:tcPr>
          <w:p w14:paraId="5507004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A020619</w:t>
            </w:r>
          </w:p>
        </w:tc>
        <w:tc>
          <w:tcPr>
            <w:tcW w:w="1347" w:type="dxa"/>
            <w:shd w:val="clear" w:color="auto" w:fill="FFFFFF"/>
            <w:noWrap/>
            <w:tcMar>
              <w:top w:w="0" w:type="dxa"/>
              <w:left w:w="108" w:type="dxa"/>
              <w:bottom w:w="0" w:type="dxa"/>
              <w:right w:w="108" w:type="dxa"/>
            </w:tcMar>
            <w:vAlign w:val="center"/>
          </w:tcPr>
          <w:p w14:paraId="4658D6F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照明设备</w:t>
            </w:r>
          </w:p>
        </w:tc>
        <w:tc>
          <w:tcPr>
            <w:tcW w:w="1308" w:type="dxa"/>
            <w:shd w:val="clear" w:color="auto" w:fill="FFFFFF"/>
            <w:noWrap/>
            <w:tcMar>
              <w:top w:w="0" w:type="dxa"/>
              <w:left w:w="108" w:type="dxa"/>
              <w:bottom w:w="0" w:type="dxa"/>
              <w:right w:w="108" w:type="dxa"/>
            </w:tcMar>
            <w:vAlign w:val="center"/>
          </w:tcPr>
          <w:p w14:paraId="00960C0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27D6478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1189C500">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5A32AE5E">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深圳市计量质量检测研究院</w:t>
            </w:r>
          </w:p>
          <w:p w14:paraId="58773BED">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中标合信（北京）认证有限公司</w:t>
            </w:r>
          </w:p>
        </w:tc>
      </w:tr>
      <w:tr w14:paraId="305EF6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61AAB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12</w:t>
            </w:r>
          </w:p>
        </w:tc>
        <w:tc>
          <w:tcPr>
            <w:tcW w:w="1134" w:type="dxa"/>
            <w:shd w:val="clear" w:color="auto" w:fill="FFFFFF"/>
            <w:noWrap/>
            <w:tcMar>
              <w:top w:w="0" w:type="dxa"/>
              <w:left w:w="108" w:type="dxa"/>
              <w:bottom w:w="0" w:type="dxa"/>
              <w:right w:w="108" w:type="dxa"/>
            </w:tcMar>
            <w:vAlign w:val="center"/>
          </w:tcPr>
          <w:p w14:paraId="21D5852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A020910</w:t>
            </w:r>
          </w:p>
        </w:tc>
        <w:tc>
          <w:tcPr>
            <w:tcW w:w="1347" w:type="dxa"/>
            <w:shd w:val="clear" w:color="auto" w:fill="FFFFFF"/>
            <w:noWrap/>
            <w:tcMar>
              <w:top w:w="0" w:type="dxa"/>
              <w:left w:w="108" w:type="dxa"/>
              <w:bottom w:w="0" w:type="dxa"/>
              <w:right w:w="108" w:type="dxa"/>
            </w:tcMar>
            <w:vAlign w:val="center"/>
          </w:tcPr>
          <w:p w14:paraId="6F36617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电视设备</w:t>
            </w:r>
          </w:p>
        </w:tc>
        <w:tc>
          <w:tcPr>
            <w:tcW w:w="1308" w:type="dxa"/>
            <w:shd w:val="clear" w:color="auto" w:fill="FFFFFF"/>
            <w:noWrap/>
            <w:tcMar>
              <w:top w:w="0" w:type="dxa"/>
              <w:left w:w="108" w:type="dxa"/>
              <w:bottom w:w="0" w:type="dxa"/>
              <w:right w:w="108" w:type="dxa"/>
            </w:tcMar>
            <w:vAlign w:val="center"/>
          </w:tcPr>
          <w:p w14:paraId="27B12B26">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A02091001</w:t>
            </w:r>
          </w:p>
        </w:tc>
        <w:tc>
          <w:tcPr>
            <w:tcW w:w="1596" w:type="dxa"/>
            <w:shd w:val="clear" w:color="auto" w:fill="FFFFFF"/>
            <w:noWrap/>
            <w:tcMar>
              <w:top w:w="0" w:type="dxa"/>
              <w:left w:w="108" w:type="dxa"/>
              <w:bottom w:w="0" w:type="dxa"/>
              <w:right w:w="108" w:type="dxa"/>
            </w:tcMar>
            <w:vAlign w:val="center"/>
          </w:tcPr>
          <w:p w14:paraId="647BADE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普通电视设备（电视机）</w:t>
            </w:r>
          </w:p>
        </w:tc>
        <w:tc>
          <w:tcPr>
            <w:tcW w:w="3998" w:type="dxa"/>
            <w:vMerge w:val="restart"/>
            <w:shd w:val="clear" w:color="auto" w:fill="FFFFFF"/>
            <w:noWrap/>
            <w:tcMar>
              <w:top w:w="0" w:type="dxa"/>
              <w:left w:w="108" w:type="dxa"/>
              <w:bottom w:w="0" w:type="dxa"/>
              <w:right w:w="108" w:type="dxa"/>
            </w:tcMar>
            <w:vAlign w:val="center"/>
          </w:tcPr>
          <w:p w14:paraId="3D984EA1">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063426F7">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北京泰瑞特认证有限责任公司</w:t>
            </w:r>
          </w:p>
          <w:p w14:paraId="19D50F1C">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广州赛宝认证中心服务有限公司</w:t>
            </w:r>
          </w:p>
        </w:tc>
      </w:tr>
      <w:tr w14:paraId="497E96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E0AE8C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13</w:t>
            </w:r>
          </w:p>
        </w:tc>
        <w:tc>
          <w:tcPr>
            <w:tcW w:w="1134" w:type="dxa"/>
            <w:shd w:val="clear" w:color="auto" w:fill="FFFFFF"/>
            <w:noWrap/>
            <w:tcMar>
              <w:top w:w="0" w:type="dxa"/>
              <w:left w:w="108" w:type="dxa"/>
              <w:bottom w:w="0" w:type="dxa"/>
              <w:right w:w="108" w:type="dxa"/>
            </w:tcMar>
            <w:vAlign w:val="center"/>
          </w:tcPr>
          <w:p w14:paraId="4D0C93C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A020911</w:t>
            </w:r>
          </w:p>
        </w:tc>
        <w:tc>
          <w:tcPr>
            <w:tcW w:w="1347" w:type="dxa"/>
            <w:shd w:val="clear" w:color="auto" w:fill="FFFFFF"/>
            <w:noWrap/>
            <w:tcMar>
              <w:top w:w="0" w:type="dxa"/>
              <w:left w:w="108" w:type="dxa"/>
              <w:bottom w:w="0" w:type="dxa"/>
              <w:right w:w="108" w:type="dxa"/>
            </w:tcMar>
            <w:vAlign w:val="center"/>
          </w:tcPr>
          <w:p w14:paraId="61F4A42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视频设备</w:t>
            </w:r>
          </w:p>
        </w:tc>
        <w:tc>
          <w:tcPr>
            <w:tcW w:w="1308" w:type="dxa"/>
            <w:shd w:val="clear" w:color="auto" w:fill="FFFFFF"/>
            <w:noWrap/>
            <w:tcMar>
              <w:top w:w="0" w:type="dxa"/>
              <w:left w:w="108" w:type="dxa"/>
              <w:bottom w:w="0" w:type="dxa"/>
              <w:right w:w="108" w:type="dxa"/>
            </w:tcMar>
            <w:vAlign w:val="center"/>
          </w:tcPr>
          <w:p w14:paraId="6A94C49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A02091107</w:t>
            </w:r>
          </w:p>
        </w:tc>
        <w:tc>
          <w:tcPr>
            <w:tcW w:w="1596" w:type="dxa"/>
            <w:shd w:val="clear" w:color="auto" w:fill="FFFFFF"/>
            <w:noWrap/>
            <w:tcMar>
              <w:top w:w="0" w:type="dxa"/>
              <w:left w:w="108" w:type="dxa"/>
              <w:bottom w:w="0" w:type="dxa"/>
              <w:right w:w="108" w:type="dxa"/>
            </w:tcMar>
            <w:vAlign w:val="center"/>
          </w:tcPr>
          <w:p w14:paraId="5A1171B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视频监控设备</w:t>
            </w:r>
          </w:p>
        </w:tc>
        <w:tc>
          <w:tcPr>
            <w:tcW w:w="3998" w:type="dxa"/>
            <w:vMerge w:val="continue"/>
            <w:shd w:val="clear" w:color="auto" w:fill="FFFFFF"/>
            <w:noWrap/>
            <w:tcMar>
              <w:top w:w="0" w:type="dxa"/>
              <w:left w:w="0" w:type="dxa"/>
              <w:bottom w:w="0" w:type="dxa"/>
              <w:right w:w="0" w:type="dxa"/>
            </w:tcMar>
            <w:vAlign w:val="center"/>
          </w:tcPr>
          <w:p w14:paraId="54C9545B">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62CC76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41F8D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14</w:t>
            </w:r>
          </w:p>
        </w:tc>
        <w:tc>
          <w:tcPr>
            <w:tcW w:w="1134" w:type="dxa"/>
            <w:shd w:val="clear" w:color="auto" w:fill="FFFFFF"/>
            <w:noWrap/>
            <w:tcMar>
              <w:top w:w="0" w:type="dxa"/>
              <w:left w:w="108" w:type="dxa"/>
              <w:bottom w:w="0" w:type="dxa"/>
              <w:right w:w="108" w:type="dxa"/>
            </w:tcMar>
            <w:vAlign w:val="center"/>
          </w:tcPr>
          <w:p w14:paraId="56632CD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A031210</w:t>
            </w:r>
          </w:p>
        </w:tc>
        <w:tc>
          <w:tcPr>
            <w:tcW w:w="1347" w:type="dxa"/>
            <w:shd w:val="clear" w:color="auto" w:fill="FFFFFF"/>
            <w:noWrap/>
            <w:tcMar>
              <w:top w:w="0" w:type="dxa"/>
              <w:left w:w="108" w:type="dxa"/>
              <w:bottom w:w="0" w:type="dxa"/>
              <w:right w:w="108" w:type="dxa"/>
            </w:tcMar>
            <w:vAlign w:val="center"/>
          </w:tcPr>
          <w:p w14:paraId="506DE8EB">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饮食炊事机械</w:t>
            </w:r>
          </w:p>
        </w:tc>
        <w:tc>
          <w:tcPr>
            <w:tcW w:w="1308" w:type="dxa"/>
            <w:shd w:val="clear" w:color="auto" w:fill="FFFFFF"/>
            <w:noWrap/>
            <w:tcMar>
              <w:top w:w="0" w:type="dxa"/>
              <w:left w:w="108" w:type="dxa"/>
              <w:bottom w:w="0" w:type="dxa"/>
              <w:right w:w="108" w:type="dxa"/>
            </w:tcMar>
            <w:vAlign w:val="center"/>
          </w:tcPr>
          <w:p w14:paraId="7FEAD48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73627BB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shd w:val="clear" w:color="auto" w:fill="FFFFFF"/>
            <w:noWrap/>
            <w:tcMar>
              <w:top w:w="0" w:type="dxa"/>
              <w:left w:w="108" w:type="dxa"/>
              <w:bottom w:w="0" w:type="dxa"/>
              <w:right w:w="108" w:type="dxa"/>
            </w:tcMar>
            <w:vAlign w:val="center"/>
          </w:tcPr>
          <w:p w14:paraId="0248B67A">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125CC333">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北京鉴衡认证中心</w:t>
            </w:r>
          </w:p>
          <w:p w14:paraId="3874C3DD">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中国市政工程华北设计研究总院有限公司</w:t>
            </w:r>
          </w:p>
        </w:tc>
      </w:tr>
      <w:tr w14:paraId="52F286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F910E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15</w:t>
            </w:r>
          </w:p>
        </w:tc>
        <w:tc>
          <w:tcPr>
            <w:tcW w:w="1134" w:type="dxa"/>
            <w:shd w:val="clear" w:color="auto" w:fill="FFFFFF"/>
            <w:noWrap/>
            <w:tcMar>
              <w:top w:w="0" w:type="dxa"/>
              <w:left w:w="108" w:type="dxa"/>
              <w:bottom w:w="0" w:type="dxa"/>
              <w:right w:w="108" w:type="dxa"/>
            </w:tcMar>
            <w:vAlign w:val="center"/>
          </w:tcPr>
          <w:p w14:paraId="69FE086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A060805</w:t>
            </w:r>
          </w:p>
        </w:tc>
        <w:tc>
          <w:tcPr>
            <w:tcW w:w="1347" w:type="dxa"/>
            <w:shd w:val="clear" w:color="auto" w:fill="FFFFFF"/>
            <w:noWrap/>
            <w:tcMar>
              <w:top w:w="0" w:type="dxa"/>
              <w:left w:w="108" w:type="dxa"/>
              <w:bottom w:w="0" w:type="dxa"/>
              <w:right w:w="108" w:type="dxa"/>
            </w:tcMar>
            <w:vAlign w:val="center"/>
          </w:tcPr>
          <w:p w14:paraId="717614D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便器</w:t>
            </w:r>
          </w:p>
        </w:tc>
        <w:tc>
          <w:tcPr>
            <w:tcW w:w="1308" w:type="dxa"/>
            <w:shd w:val="clear" w:color="auto" w:fill="FFFFFF"/>
            <w:noWrap/>
            <w:tcMar>
              <w:top w:w="0" w:type="dxa"/>
              <w:left w:w="108" w:type="dxa"/>
              <w:bottom w:w="0" w:type="dxa"/>
              <w:right w:w="108" w:type="dxa"/>
            </w:tcMar>
            <w:vAlign w:val="center"/>
          </w:tcPr>
          <w:p w14:paraId="54671DD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34422C5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restart"/>
            <w:shd w:val="clear" w:color="auto" w:fill="FFFFFF"/>
            <w:noWrap/>
            <w:tcMar>
              <w:top w:w="0" w:type="dxa"/>
              <w:left w:w="108" w:type="dxa"/>
              <w:bottom w:w="0" w:type="dxa"/>
              <w:right w:w="108" w:type="dxa"/>
            </w:tcMar>
            <w:vAlign w:val="center"/>
          </w:tcPr>
          <w:p w14:paraId="21695F85">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中国质量认证中心</w:t>
            </w:r>
          </w:p>
          <w:p w14:paraId="3401FF12">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北京新华节水产品认证有限公司</w:t>
            </w:r>
          </w:p>
          <w:p w14:paraId="556DF8DE">
            <w:pPr>
              <w:widowControl/>
              <w:autoSpaceDN w:val="0"/>
              <w:spacing w:line="276" w:lineRule="auto"/>
              <w:jc w:val="left"/>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方圆标志认证集团有限公司</w:t>
            </w:r>
          </w:p>
        </w:tc>
      </w:tr>
      <w:tr w14:paraId="3FDF3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F0A3B5D">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16</w:t>
            </w:r>
          </w:p>
        </w:tc>
        <w:tc>
          <w:tcPr>
            <w:tcW w:w="1134" w:type="dxa"/>
            <w:shd w:val="clear" w:color="auto" w:fill="FFFFFF"/>
            <w:noWrap/>
            <w:tcMar>
              <w:top w:w="0" w:type="dxa"/>
              <w:left w:w="108" w:type="dxa"/>
              <w:bottom w:w="0" w:type="dxa"/>
              <w:right w:w="108" w:type="dxa"/>
            </w:tcMar>
            <w:vAlign w:val="center"/>
          </w:tcPr>
          <w:p w14:paraId="6AC23859">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A060806</w:t>
            </w:r>
          </w:p>
        </w:tc>
        <w:tc>
          <w:tcPr>
            <w:tcW w:w="1347" w:type="dxa"/>
            <w:shd w:val="clear" w:color="auto" w:fill="FFFFFF"/>
            <w:noWrap/>
            <w:tcMar>
              <w:top w:w="0" w:type="dxa"/>
              <w:left w:w="108" w:type="dxa"/>
              <w:bottom w:w="0" w:type="dxa"/>
              <w:right w:w="108" w:type="dxa"/>
            </w:tcMar>
            <w:vAlign w:val="center"/>
          </w:tcPr>
          <w:p w14:paraId="3F87BF9E">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水嘴</w:t>
            </w:r>
          </w:p>
        </w:tc>
        <w:tc>
          <w:tcPr>
            <w:tcW w:w="1308" w:type="dxa"/>
            <w:shd w:val="clear" w:color="auto" w:fill="FFFFFF"/>
            <w:noWrap/>
            <w:tcMar>
              <w:top w:w="0" w:type="dxa"/>
              <w:left w:w="108" w:type="dxa"/>
              <w:bottom w:w="0" w:type="dxa"/>
              <w:right w:w="108" w:type="dxa"/>
            </w:tcMar>
            <w:vAlign w:val="center"/>
          </w:tcPr>
          <w:p w14:paraId="414E7F3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1935FC54">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5B114C8">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170A10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90FA353">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17</w:t>
            </w:r>
          </w:p>
        </w:tc>
        <w:tc>
          <w:tcPr>
            <w:tcW w:w="1134" w:type="dxa"/>
            <w:shd w:val="clear" w:color="auto" w:fill="FFFFFF"/>
            <w:noWrap/>
            <w:tcMar>
              <w:top w:w="0" w:type="dxa"/>
              <w:left w:w="108" w:type="dxa"/>
              <w:bottom w:w="0" w:type="dxa"/>
              <w:right w:w="108" w:type="dxa"/>
            </w:tcMar>
            <w:vAlign w:val="center"/>
          </w:tcPr>
          <w:p w14:paraId="5D01EA5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A060807</w:t>
            </w:r>
          </w:p>
        </w:tc>
        <w:tc>
          <w:tcPr>
            <w:tcW w:w="1347" w:type="dxa"/>
            <w:shd w:val="clear" w:color="auto" w:fill="FFFFFF"/>
            <w:noWrap/>
            <w:tcMar>
              <w:top w:w="0" w:type="dxa"/>
              <w:left w:w="108" w:type="dxa"/>
              <w:bottom w:w="0" w:type="dxa"/>
              <w:right w:w="108" w:type="dxa"/>
            </w:tcMar>
            <w:vAlign w:val="center"/>
          </w:tcPr>
          <w:p w14:paraId="02E1B8D8">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便器冲洗阀</w:t>
            </w:r>
          </w:p>
        </w:tc>
        <w:tc>
          <w:tcPr>
            <w:tcW w:w="1308" w:type="dxa"/>
            <w:shd w:val="clear" w:color="auto" w:fill="FFFFFF"/>
            <w:noWrap/>
            <w:tcMar>
              <w:top w:w="0" w:type="dxa"/>
              <w:left w:w="108" w:type="dxa"/>
              <w:bottom w:w="0" w:type="dxa"/>
              <w:right w:w="108" w:type="dxa"/>
            </w:tcMar>
            <w:vAlign w:val="center"/>
          </w:tcPr>
          <w:p w14:paraId="1F4F715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5237CBDF">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44981733">
            <w:pPr>
              <w:widowControl/>
              <w:autoSpaceDN w:val="0"/>
              <w:spacing w:line="276" w:lineRule="auto"/>
              <w:jc w:val="left"/>
              <w:rPr>
                <w:rFonts w:hint="eastAsia" w:ascii="宋体" w:hAnsi="宋体" w:eastAsia="宋体" w:cs="宋体"/>
                <w:color w:val="000000"/>
                <w:w w:val="90"/>
                <w:kern w:val="0"/>
                <w:sz w:val="22"/>
                <w:szCs w:val="22"/>
                <w:highlight w:val="none"/>
              </w:rPr>
            </w:pPr>
          </w:p>
        </w:tc>
      </w:tr>
      <w:tr w14:paraId="61D742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7EBBB9A">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18</w:t>
            </w:r>
          </w:p>
        </w:tc>
        <w:tc>
          <w:tcPr>
            <w:tcW w:w="1134" w:type="dxa"/>
            <w:shd w:val="clear" w:color="auto" w:fill="FFFFFF"/>
            <w:noWrap/>
            <w:tcMar>
              <w:top w:w="0" w:type="dxa"/>
              <w:left w:w="108" w:type="dxa"/>
              <w:bottom w:w="0" w:type="dxa"/>
              <w:right w:w="108" w:type="dxa"/>
            </w:tcMar>
            <w:vAlign w:val="center"/>
          </w:tcPr>
          <w:p w14:paraId="478BCAC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A060810</w:t>
            </w:r>
          </w:p>
        </w:tc>
        <w:tc>
          <w:tcPr>
            <w:tcW w:w="1347" w:type="dxa"/>
            <w:shd w:val="clear" w:color="auto" w:fill="FFFFFF"/>
            <w:noWrap/>
            <w:tcMar>
              <w:top w:w="0" w:type="dxa"/>
              <w:left w:w="108" w:type="dxa"/>
              <w:bottom w:w="0" w:type="dxa"/>
              <w:right w:w="108" w:type="dxa"/>
            </w:tcMar>
            <w:vAlign w:val="center"/>
          </w:tcPr>
          <w:p w14:paraId="68A5E931">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r>
              <w:rPr>
                <w:rFonts w:hint="eastAsia" w:ascii="宋体" w:hAnsi="宋体" w:eastAsia="宋体" w:cs="宋体"/>
                <w:color w:val="000000"/>
                <w:w w:val="90"/>
                <w:kern w:val="0"/>
                <w:sz w:val="22"/>
                <w:szCs w:val="22"/>
                <w:highlight w:val="none"/>
              </w:rPr>
              <w:t>淋浴器</w:t>
            </w:r>
          </w:p>
        </w:tc>
        <w:tc>
          <w:tcPr>
            <w:tcW w:w="1308" w:type="dxa"/>
            <w:shd w:val="clear" w:color="auto" w:fill="FFFFFF"/>
            <w:noWrap/>
            <w:tcMar>
              <w:top w:w="0" w:type="dxa"/>
              <w:left w:w="108" w:type="dxa"/>
              <w:bottom w:w="0" w:type="dxa"/>
              <w:right w:w="108" w:type="dxa"/>
            </w:tcMar>
            <w:vAlign w:val="center"/>
          </w:tcPr>
          <w:p w14:paraId="14A52D65">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1596" w:type="dxa"/>
            <w:shd w:val="clear" w:color="auto" w:fill="FFFFFF"/>
            <w:noWrap/>
            <w:tcMar>
              <w:top w:w="0" w:type="dxa"/>
              <w:left w:w="108" w:type="dxa"/>
              <w:bottom w:w="0" w:type="dxa"/>
              <w:right w:w="108" w:type="dxa"/>
            </w:tcMar>
            <w:vAlign w:val="center"/>
          </w:tcPr>
          <w:p w14:paraId="4648039C">
            <w:pPr>
              <w:widowControl/>
              <w:autoSpaceDN w:val="0"/>
              <w:spacing w:line="276" w:lineRule="auto"/>
              <w:jc w:val="center"/>
              <w:textAlignment w:val="baseline"/>
              <w:rPr>
                <w:rFonts w:hint="eastAsia" w:ascii="宋体" w:hAnsi="宋体" w:eastAsia="宋体" w:cs="宋体"/>
                <w:color w:val="000000"/>
                <w:w w:val="90"/>
                <w:kern w:val="0"/>
                <w:sz w:val="22"/>
                <w:szCs w:val="22"/>
                <w:highlight w:val="none"/>
              </w:rPr>
            </w:pPr>
          </w:p>
        </w:tc>
        <w:tc>
          <w:tcPr>
            <w:tcW w:w="3998" w:type="dxa"/>
            <w:vMerge w:val="continue"/>
            <w:shd w:val="clear" w:color="auto" w:fill="FFFFFF"/>
            <w:noWrap/>
            <w:tcMar>
              <w:top w:w="0" w:type="dxa"/>
              <w:left w:w="0" w:type="dxa"/>
              <w:bottom w:w="0" w:type="dxa"/>
              <w:right w:w="0" w:type="dxa"/>
            </w:tcMar>
            <w:vAlign w:val="center"/>
          </w:tcPr>
          <w:p w14:paraId="3B2D220F">
            <w:pPr>
              <w:widowControl/>
              <w:autoSpaceDN w:val="0"/>
              <w:spacing w:line="276" w:lineRule="auto"/>
              <w:jc w:val="left"/>
              <w:rPr>
                <w:rFonts w:hint="eastAsia" w:ascii="宋体" w:hAnsi="宋体" w:eastAsia="宋体" w:cs="宋体"/>
                <w:color w:val="000000"/>
                <w:w w:val="90"/>
                <w:kern w:val="0"/>
                <w:sz w:val="22"/>
                <w:szCs w:val="22"/>
                <w:highlight w:val="none"/>
              </w:rPr>
            </w:pPr>
          </w:p>
        </w:tc>
      </w:tr>
    </w:tbl>
    <w:p w14:paraId="79E48E8F">
      <w:pPr>
        <w:keepNext/>
        <w:keepLines/>
        <w:autoSpaceDN w:val="0"/>
        <w:spacing w:before="240" w:line="360" w:lineRule="auto"/>
        <w:jc w:val="left"/>
        <w:outlineLvl w:val="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附2：参与实施政府采购环境标志产品认证机构名录</w:t>
      </w:r>
    </w:p>
    <w:tbl>
      <w:tblPr>
        <w:tblStyle w:val="51"/>
        <w:tblW w:w="9981"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842"/>
      </w:tblGrid>
      <w:tr w14:paraId="5C6CB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shd w:val="clear" w:color="auto" w:fill="FDE9D9"/>
            <w:noWrap/>
            <w:tcMar>
              <w:top w:w="0" w:type="dxa"/>
              <w:left w:w="108" w:type="dxa"/>
              <w:bottom w:w="0" w:type="dxa"/>
              <w:right w:w="108" w:type="dxa"/>
            </w:tcMar>
            <w:vAlign w:val="center"/>
          </w:tcPr>
          <w:p w14:paraId="4795B09A">
            <w:pPr>
              <w:widowControl/>
              <w:autoSpaceDN w:val="0"/>
              <w:spacing w:line="276" w:lineRule="auto"/>
              <w:jc w:val="center"/>
              <w:textAlignment w:val="baseline"/>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序号</w:t>
            </w:r>
          </w:p>
        </w:tc>
        <w:tc>
          <w:tcPr>
            <w:tcW w:w="2288" w:type="dxa"/>
            <w:shd w:val="clear" w:color="auto" w:fill="FDE9D9"/>
            <w:noWrap/>
            <w:tcMar>
              <w:top w:w="0" w:type="dxa"/>
              <w:left w:w="108" w:type="dxa"/>
              <w:bottom w:w="0" w:type="dxa"/>
              <w:right w:w="108" w:type="dxa"/>
            </w:tcMar>
            <w:vAlign w:val="center"/>
          </w:tcPr>
          <w:p w14:paraId="2619E93D">
            <w:pPr>
              <w:widowControl/>
              <w:autoSpaceDN w:val="0"/>
              <w:spacing w:line="276" w:lineRule="auto"/>
              <w:jc w:val="center"/>
              <w:textAlignment w:val="baseline"/>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目录</w:t>
            </w:r>
          </w:p>
        </w:tc>
        <w:tc>
          <w:tcPr>
            <w:tcW w:w="6842" w:type="dxa"/>
            <w:shd w:val="clear" w:color="auto" w:fill="FDE9D9"/>
            <w:noWrap/>
            <w:tcMar>
              <w:top w:w="0" w:type="dxa"/>
              <w:left w:w="108" w:type="dxa"/>
              <w:bottom w:w="0" w:type="dxa"/>
              <w:right w:w="108" w:type="dxa"/>
            </w:tcMar>
            <w:vAlign w:val="center"/>
          </w:tcPr>
          <w:p w14:paraId="440765BA">
            <w:pPr>
              <w:widowControl/>
              <w:autoSpaceDN w:val="0"/>
              <w:spacing w:line="276" w:lineRule="auto"/>
              <w:jc w:val="center"/>
              <w:textAlignment w:val="baseline"/>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认证机构名录</w:t>
            </w:r>
          </w:p>
        </w:tc>
      </w:tr>
      <w:tr w14:paraId="6F4A66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14:paraId="5EFBF52E">
            <w:pPr>
              <w:widowControl/>
              <w:autoSpaceDN w:val="0"/>
              <w:spacing w:line="276" w:lineRule="auto"/>
              <w:jc w:val="center"/>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2288" w:type="dxa"/>
            <w:shd w:val="clear" w:color="auto" w:fill="FFFFFF"/>
            <w:noWrap/>
            <w:tcMar>
              <w:top w:w="0" w:type="dxa"/>
              <w:left w:w="108" w:type="dxa"/>
              <w:bottom w:w="0" w:type="dxa"/>
              <w:right w:w="108" w:type="dxa"/>
            </w:tcMar>
            <w:vAlign w:val="center"/>
          </w:tcPr>
          <w:p w14:paraId="6B1BC5B7">
            <w:pPr>
              <w:widowControl/>
              <w:autoSpaceDN w:val="0"/>
              <w:spacing w:line="276" w:lineRule="auto"/>
              <w:jc w:val="center"/>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环境标志产品</w:t>
            </w:r>
          </w:p>
        </w:tc>
        <w:tc>
          <w:tcPr>
            <w:tcW w:w="6842" w:type="dxa"/>
            <w:shd w:val="clear" w:color="auto" w:fill="FFFFFF"/>
            <w:noWrap/>
            <w:tcMar>
              <w:top w:w="0" w:type="dxa"/>
              <w:left w:w="108" w:type="dxa"/>
              <w:bottom w:w="0" w:type="dxa"/>
              <w:right w:w="108" w:type="dxa"/>
            </w:tcMar>
            <w:vAlign w:val="center"/>
          </w:tcPr>
          <w:p w14:paraId="36ADE904">
            <w:pPr>
              <w:widowControl/>
              <w:autoSpaceDN w:val="0"/>
              <w:spacing w:line="276" w:lineRule="auto"/>
              <w:jc w:val="left"/>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中环联合（北京）认证中心有限公司</w:t>
            </w:r>
          </w:p>
          <w:p w14:paraId="08A66113">
            <w:pPr>
              <w:widowControl/>
              <w:autoSpaceDN w:val="0"/>
              <w:spacing w:line="276" w:lineRule="auto"/>
              <w:jc w:val="left"/>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中标合信（北京）认证有限公司</w:t>
            </w:r>
          </w:p>
          <w:p w14:paraId="7B8FE301">
            <w:pPr>
              <w:widowControl/>
              <w:autoSpaceDN w:val="0"/>
              <w:spacing w:line="276" w:lineRule="auto"/>
              <w:jc w:val="left"/>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中环协（北京）认证有限公司</w:t>
            </w:r>
          </w:p>
          <w:p w14:paraId="1F1B673F">
            <w:pPr>
              <w:widowControl/>
              <w:autoSpaceDN w:val="0"/>
              <w:spacing w:line="276" w:lineRule="auto"/>
              <w:jc w:val="left"/>
              <w:textAlignment w:val="baseline"/>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天津华诚认证有限公司</w:t>
            </w:r>
          </w:p>
        </w:tc>
      </w:tr>
      <w:bookmarkEnd w:id="225"/>
      <w:bookmarkEnd w:id="226"/>
      <w:bookmarkEnd w:id="227"/>
      <w:bookmarkEnd w:id="228"/>
      <w:bookmarkEnd w:id="229"/>
    </w:tbl>
    <w:p w14:paraId="434C54D4">
      <w:pPr>
        <w:autoSpaceDN w:val="0"/>
        <w:jc w:val="center"/>
        <w:rPr>
          <w:rFonts w:hint="eastAsia" w:ascii="宋体" w:hAnsi="宋体" w:eastAsia="宋体" w:cs="宋体"/>
          <w:b/>
          <w:bCs/>
          <w:color w:val="000000"/>
          <w:sz w:val="28"/>
          <w:szCs w:val="28"/>
          <w:highlight w:val="none"/>
        </w:rPr>
      </w:pPr>
    </w:p>
    <w:sectPr>
      <w:headerReference r:id="rId13" w:type="first"/>
      <w:footerReference r:id="rId15" w:type="first"/>
      <w:headerReference r:id="rId12" w:type="even"/>
      <w:footerReference r:id="rId14" w:type="even"/>
      <w:pgSz w:w="11905" w:h="16838"/>
      <w:pgMar w:top="856" w:right="1191" w:bottom="1417" w:left="1191" w:header="567" w:footer="680" w:gutter="0"/>
      <w:pgBorders>
        <w:top w:val="none" w:sz="0" w:space="0"/>
        <w:left w:val="none" w:sz="0" w:space="0"/>
        <w:bottom w:val="none" w:sz="0" w:space="0"/>
        <w:right w:val="none" w:sz="0" w:space="0"/>
      </w:pgBorders>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宋体">
    <w:panose1 w:val="02010600030101010101"/>
    <w:charset w:val="86"/>
    <w:family w:val="auto"/>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1569">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DA91D">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BDA91D">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728E">
    <w:pPr>
      <w:pStyle w:val="31"/>
      <w:framePr w:wrap="around" w:vAnchor="text" w:hAnchor="margin" w:xAlign="center" w:y="1"/>
      <w:rPr>
        <w:rStyle w:val="55"/>
      </w:rPr>
    </w:pPr>
    <w:r>
      <w:fldChar w:fldCharType="begin"/>
    </w:r>
    <w:r>
      <w:rPr>
        <w:rStyle w:val="55"/>
      </w:rPr>
      <w:instrText xml:space="preserve">PAGE  </w:instrText>
    </w:r>
    <w:r>
      <w:fldChar w:fldCharType="end"/>
    </w:r>
  </w:p>
  <w:p w14:paraId="2C34A25C">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BA9A">
    <w:pPr>
      <w:pStyle w:val="31"/>
      <w:rPr>
        <w:rStyle w:val="5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CDF3F">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ACDF3F">
                    <w:pPr>
                      <w:pStyle w:val="31"/>
                    </w:pPr>
                    <w:r>
                      <w:fldChar w:fldCharType="begin"/>
                    </w:r>
                    <w:r>
                      <w:instrText xml:space="preserve"> PAGE  \* MERGEFORMAT </w:instrText>
                    </w:r>
                    <w:r>
                      <w:fldChar w:fldCharType="separate"/>
                    </w:r>
                    <w:r>
                      <w:t>0</w:t>
                    </w:r>
                    <w:r>
                      <w:fldChar w:fldCharType="end"/>
                    </w:r>
                  </w:p>
                </w:txbxContent>
              </v:textbox>
            </v:shape>
          </w:pict>
        </mc:Fallback>
      </mc:AlternateContent>
    </w:r>
  </w:p>
  <w:p w14:paraId="0B11DAC2">
    <w:pPr>
      <w:pStyle w:val="31"/>
      <w:framePr w:wrap="around" w:vAnchor="text" w:hAnchor="page" w:x="6439" w:y="332"/>
      <w:jc w:val="center"/>
      <w:rPr>
        <w:rStyle w:val="55"/>
      </w:rPr>
    </w:pPr>
  </w:p>
  <w:p w14:paraId="7C62E2F3">
    <w:pPr>
      <w:pStyle w:val="31"/>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141605</wp:posOffset>
              </wp:positionV>
              <wp:extent cx="6067425" cy="0"/>
              <wp:effectExtent l="0" t="0" r="9525" b="1905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588pt;margin-top:11.15pt;height:0pt;width:477.75pt;z-index:251659264;mso-width-relative:page;mso-height-relative:page;" filled="f" stroked="t"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oYsBcucBAAC4AwAADgAAAAAAAAABACAAAAAoAQAAZHJzL2Uyb0RvYy54bWxQSwUGAAAAAAYABgBZ&#10;AQAAgQ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4C63">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300"/>
                          </w:sdtPr>
                          <w:sdtEndPr>
                            <w:rPr>
                              <w:rFonts w:hint="default"/>
                              <w:lang w:val="en-US"/>
                            </w:rPr>
                          </w:sdtEndPr>
                          <w:sdtContent>
                            <w:sdt>
                              <w:sdtPr>
                                <w:id w:val="147471725"/>
                              </w:sdtPr>
                              <w:sdtEndPr>
                                <w:rPr>
                                  <w:rFonts w:hint="default"/>
                                  <w:lang w:val="en-US"/>
                                </w:rPr>
                              </w:sdtEndPr>
                              <w:sdtContent>
                                <w:p w14:paraId="1749F9DA">
                                  <w:pPr>
                                    <w:pStyle w:val="31"/>
                                    <w:jc w:val="center"/>
                                    <w:rPr>
                                      <w:rFonts w:hint="default"/>
                                      <w:lang w:val="en-US"/>
                                    </w:rPr>
                                  </w:pPr>
                                  <w:r>
                                    <w:rPr>
                                      <w:b/>
                                      <w:bCs/>
                                    </w:rPr>
                                    <w:t xml:space="preserve"> </w:t>
                                  </w:r>
                                  <w:r>
                                    <w:rPr>
                                      <w:b/>
                                      <w:bCs/>
                                    </w:rPr>
                                    <w:fldChar w:fldCharType="begin"/>
                                  </w:r>
                                  <w:r>
                                    <w:rPr>
                                      <w:b/>
                                      <w:bCs/>
                                    </w:rPr>
                                    <w:instrText xml:space="preserve">PAGE</w:instrText>
                                  </w:r>
                                  <w:r>
                                    <w:rPr>
                                      <w:b/>
                                      <w:bCs/>
                                    </w:rPr>
                                    <w:fldChar w:fldCharType="separate"/>
                                  </w:r>
                                  <w:r>
                                    <w:rPr>
                                      <w:b/>
                                      <w:bCs/>
                                    </w:rPr>
                                    <w:t>60</w:t>
                                  </w:r>
                                  <w:r>
                                    <w:rPr>
                                      <w:b/>
                                      <w:bCs/>
                                    </w:rPr>
                                    <w:fldChar w:fldCharType="end"/>
                                  </w:r>
                                  <w:r>
                                    <w:rPr>
                                      <w:b/>
                                      <w:bCs/>
                                    </w:rPr>
                                    <w:t xml:space="preserve"> / </w:t>
                                  </w:r>
                                  <w:r>
                                    <w:rPr>
                                      <w:rFonts w:hint="eastAsia"/>
                                      <w:b/>
                                      <w:bCs/>
                                      <w:lang w:val="en-US" w:eastAsia="zh-CN"/>
                                    </w:rPr>
                                    <w:t>116</w:t>
                                  </w:r>
                                </w:p>
                              </w:sdtContent>
                            </w:sdt>
                          </w:sdtContent>
                        </w:sdt>
                        <w:p w14:paraId="5C13AEB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0300"/>
                    </w:sdtPr>
                    <w:sdtEndPr>
                      <w:rPr>
                        <w:rFonts w:hint="default"/>
                        <w:lang w:val="en-US"/>
                      </w:rPr>
                    </w:sdtEndPr>
                    <w:sdtContent>
                      <w:sdt>
                        <w:sdtPr>
                          <w:id w:val="147471725"/>
                        </w:sdtPr>
                        <w:sdtEndPr>
                          <w:rPr>
                            <w:rFonts w:hint="default"/>
                            <w:lang w:val="en-US"/>
                          </w:rPr>
                        </w:sdtEndPr>
                        <w:sdtContent>
                          <w:p w14:paraId="1749F9DA">
                            <w:pPr>
                              <w:pStyle w:val="31"/>
                              <w:jc w:val="center"/>
                              <w:rPr>
                                <w:rFonts w:hint="default"/>
                                <w:lang w:val="en-US"/>
                              </w:rPr>
                            </w:pPr>
                            <w:r>
                              <w:rPr>
                                <w:b/>
                                <w:bCs/>
                              </w:rPr>
                              <w:t xml:space="preserve"> </w:t>
                            </w:r>
                            <w:r>
                              <w:rPr>
                                <w:b/>
                                <w:bCs/>
                              </w:rPr>
                              <w:fldChar w:fldCharType="begin"/>
                            </w:r>
                            <w:r>
                              <w:rPr>
                                <w:b/>
                                <w:bCs/>
                              </w:rPr>
                              <w:instrText xml:space="preserve">PAGE</w:instrText>
                            </w:r>
                            <w:r>
                              <w:rPr>
                                <w:b/>
                                <w:bCs/>
                              </w:rPr>
                              <w:fldChar w:fldCharType="separate"/>
                            </w:r>
                            <w:r>
                              <w:rPr>
                                <w:b/>
                                <w:bCs/>
                              </w:rPr>
                              <w:t>60</w:t>
                            </w:r>
                            <w:r>
                              <w:rPr>
                                <w:b/>
                                <w:bCs/>
                              </w:rPr>
                              <w:fldChar w:fldCharType="end"/>
                            </w:r>
                            <w:r>
                              <w:rPr>
                                <w:b/>
                                <w:bCs/>
                              </w:rPr>
                              <w:t xml:space="preserve"> / </w:t>
                            </w:r>
                            <w:r>
                              <w:rPr>
                                <w:rFonts w:hint="eastAsia"/>
                                <w:b/>
                                <w:bCs/>
                                <w:lang w:val="en-US" w:eastAsia="zh-CN"/>
                              </w:rPr>
                              <w:t>116</w:t>
                            </w:r>
                          </w:p>
                        </w:sdtContent>
                      </w:sdt>
                    </w:sdtContent>
                  </w:sdt>
                  <w:p w14:paraId="5C13AEB1">
                    <w:pPr>
                      <w:pStyle w:val="4"/>
                    </w:pPr>
                  </w:p>
                </w:txbxContent>
              </v:textbox>
            </v:shape>
          </w:pict>
        </mc:Fallback>
      </mc:AlternateContent>
    </w:r>
  </w:p>
  <w:p w14:paraId="7F678F7E">
    <w:pPr>
      <w:pStyle w:val="31"/>
    </w:pPr>
  </w:p>
  <w:p w14:paraId="6AAF9B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B49A">
    <w:pPr>
      <w:pStyle w:val="31"/>
      <w:ind w:firstLine="48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7001A">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87001A">
                    <w:pPr>
                      <w:pStyle w:val="31"/>
                    </w:pPr>
                    <w:r>
                      <w:fldChar w:fldCharType="begin"/>
                    </w:r>
                    <w:r>
                      <w:instrText xml:space="preserve"> PAGE  \* MERGEFORMAT </w:instrText>
                    </w:r>
                    <w:r>
                      <w:fldChar w:fldCharType="separate"/>
                    </w:r>
                    <w:r>
                      <w:t>0</w:t>
                    </w:r>
                    <w:r>
                      <w:fldChar w:fldCharType="end"/>
                    </w:r>
                  </w:p>
                </w:txbxContent>
              </v:textbox>
            </v:shape>
          </w:pict>
        </mc:Fallback>
      </mc:AlternateContent>
    </w:r>
    <w:sdt>
      <w:sdtPr>
        <w:id w:val="1536463268"/>
      </w:sdtPr>
      <w:sdtContent>
        <w:sdt>
          <w:sdtPr>
            <w:id w:val="1102002621"/>
            <w:showingPlcHdr/>
          </w:sdtPr>
          <w:sdtContent>
            <w:r>
              <w:t xml:space="preserve">     </w:t>
            </w:r>
          </w:sdtContent>
        </w:sdt>
      </w:sdtContent>
    </w:sdt>
  </w:p>
  <w:p w14:paraId="21858A4F">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F823">
    <w:pPr>
      <w:pStyle w:val="31"/>
      <w:ind w:firstLine="48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F2360">
                          <w:pPr>
                            <w:pStyle w:val="3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7F2360">
                    <w:pPr>
                      <w:pStyle w:val="31"/>
                    </w:pPr>
                    <w:r>
                      <w:fldChar w:fldCharType="begin"/>
                    </w:r>
                    <w:r>
                      <w:instrText xml:space="preserve"> PAGE  \* MERGEFORMAT </w:instrText>
                    </w:r>
                    <w:r>
                      <w:fldChar w:fldCharType="separate"/>
                    </w:r>
                    <w:r>
                      <w:t>79</w:t>
                    </w:r>
                    <w:r>
                      <w:fldChar w:fldCharType="end"/>
                    </w:r>
                  </w:p>
                </w:txbxContent>
              </v:textbox>
            </v:shape>
          </w:pict>
        </mc:Fallback>
      </mc:AlternateContent>
    </w:r>
    <w:sdt>
      <w:sdtPr>
        <w:id w:val="-1737227264"/>
      </w:sdtPr>
      <w:sdtContent>
        <w:sdt>
          <w:sdtPr>
            <w:id w:val="-854037306"/>
            <w:showingPlcHdr/>
          </w:sdtPr>
          <w:sdtContent>
            <w:r>
              <w:t xml:space="preserve">     </w:t>
            </w:r>
          </w:sdtContent>
        </w:sdt>
      </w:sdtContent>
    </w:sdt>
  </w:p>
  <w:p w14:paraId="237C3EF9">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30D5">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05AA">
    <w:pPr>
      <w:pStyle w:val="3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AEA67">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FAEA67">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txbxContent>
              </v:textbox>
            </v:shape>
          </w:pict>
        </mc:Fallback>
      </mc:AlternateContent>
    </w:r>
  </w:p>
  <w:p w14:paraId="3D558C34">
    <w:pPr>
      <w:pStyle w:val="31"/>
      <w:tabs>
        <w:tab w:val="left" w:pos="39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EBF">
    <w:pPr>
      <w:pStyle w:val="32"/>
      <w:ind w:firstLine="5310" w:firstLineChars="2950"/>
      <w:jc w:val="both"/>
    </w:pPr>
    <w:r>
      <w:t xml:space="preserve">  </w:t>
    </w:r>
    <w:r>
      <w:rPr>
        <w:rFonts w:hint="eastAsia"/>
      </w:rPr>
      <w:t xml:space="preserve">    </w:t>
    </w:r>
  </w:p>
  <w:p w14:paraId="326B4978">
    <w:pPr>
      <w:pStyle w:val="32"/>
      <w:jc w:val="right"/>
      <w:rPr>
        <w:rFonts w:hint="eastAsia" w:eastAsia="宋体"/>
        <w:lang w:eastAsia="zh-CN"/>
      </w:rPr>
    </w:pPr>
    <w:r>
      <w:rPr>
        <w:rFonts w:hint="eastAsia"/>
      </w:rPr>
      <w:t>项目编号：</w:t>
    </w:r>
    <w:r>
      <w:rPr>
        <w:rFonts w:hint="eastAsia"/>
        <w:lang w:eastAsia="zh-CN"/>
      </w:rPr>
      <w:t>CTZB-2025070039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2D43">
    <w:pPr>
      <w:pStyle w:val="32"/>
      <w:pBdr>
        <w:bottom w:val="single" w:color="auto" w:sz="4" w:space="0"/>
      </w:pBdr>
      <w:jc w:val="right"/>
    </w:pPr>
  </w:p>
  <w:p w14:paraId="24E9554F">
    <w:pPr>
      <w:pStyle w:val="32"/>
      <w:pBdr>
        <w:bottom w:val="single" w:color="auto" w:sz="4" w:space="0"/>
      </w:pBdr>
      <w:jc w:val="right"/>
    </w:pPr>
    <w:r>
      <w:rPr>
        <w:rFonts w:hint="eastAsia"/>
      </w:rPr>
      <w:t>项目编号：</w:t>
    </w:r>
    <w:r>
      <w:rPr>
        <w:rFonts w:hint="eastAsia"/>
        <w:lang w:eastAsia="zh-CN"/>
      </w:rPr>
      <w:t>CTZB-2025070039</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2BEB">
    <w:pPr>
      <w:pStyle w:val="32"/>
      <w:ind w:firstLine="5310" w:firstLineChars="2950"/>
      <w:jc w:val="both"/>
    </w:pPr>
    <w:r>
      <w:rPr>
        <w:rFonts w:hint="eastAsia"/>
      </w:rPr>
      <w:t xml:space="preserve">             </w:t>
    </w:r>
  </w:p>
  <w:p w14:paraId="7EA537D0">
    <w:pPr>
      <w:pStyle w:val="32"/>
      <w:ind w:firstLine="6120" w:firstLineChars="3400"/>
      <w:jc w:val="both"/>
      <w:rPr>
        <w:rFonts w:hint="eastAsia" w:eastAsia="宋体"/>
        <w:lang w:eastAsia="zh-CN"/>
      </w:rPr>
    </w:pPr>
    <w:r>
      <w:rPr>
        <w:rFonts w:hint="eastAsia"/>
      </w:rPr>
      <w:t>项目编号：</w:t>
    </w:r>
    <w:r>
      <w:rPr>
        <w:rFonts w:hint="eastAsia"/>
        <w:lang w:eastAsia="zh-CN"/>
      </w:rPr>
      <w:t>CTZB-2025070039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C404">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308B">
    <w:pPr>
      <w:pStyle w:val="32"/>
      <w:pBdr>
        <w:bottom w:val="none" w:color="auto" w:sz="0" w:space="0"/>
      </w:pBdr>
      <w:jc w:val="both"/>
    </w:pPr>
  </w:p>
  <w:p w14:paraId="58006E9D">
    <w:pPr>
      <w:pStyle w:val="32"/>
      <w:pBdr>
        <w:bottom w:val="none" w:color="auto" w:sz="0" w:space="0"/>
      </w:pBdr>
      <w:rPr>
        <w:rFonts w:hint="eastAsia" w:eastAsia="宋体"/>
        <w:lang w:eastAsia="zh-CN"/>
      </w:rPr>
    </w:pPr>
    <w:r>
      <w:rPr>
        <w:rFonts w:hint="eastAsia"/>
      </w:rPr>
      <w:t xml:space="preserve">                                                              项目编号：</w:t>
    </w:r>
    <w:r>
      <w:rPr>
        <w:rFonts w:hint="eastAsia"/>
        <w:lang w:eastAsia="zh-CN"/>
      </w:rPr>
      <w:t>CTZB-2025070039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pStyle w:val="127"/>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5B6C0D47"/>
    <w:multiLevelType w:val="singleLevel"/>
    <w:tmpl w:val="5B6C0D47"/>
    <w:lvl w:ilvl="0" w:tentative="0">
      <w:start w:val="1"/>
      <w:numFmt w:val="chineseCounting"/>
      <w:suff w:val="nothing"/>
      <w:lvlText w:val="（%1）"/>
      <w:lvlJc w:val="left"/>
    </w:lvl>
  </w:abstractNum>
  <w:abstractNum w:abstractNumId="4">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formatting="1" w:enforcement="0"/>
  <w:defaultTabStop w:val="420"/>
  <w:drawingGridHorizontalSpacing w:val="210"/>
  <w:drawingGridVerticalSpacing w:val="99999990"/>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DUyN2VhZjRmMTYwYzM3YmUyMjAyN2IwODEwZmUifQ=="/>
    <w:docVar w:name="KSO_WPS_MARK_KEY" w:val="6f0436b4-025c-4a0b-b817-77e94fbedb4b"/>
  </w:docVars>
  <w:rsids>
    <w:rsidRoot w:val="00172A27"/>
    <w:rsid w:val="00000644"/>
    <w:rsid w:val="00000D90"/>
    <w:rsid w:val="00007905"/>
    <w:rsid w:val="0001060C"/>
    <w:rsid w:val="000111B3"/>
    <w:rsid w:val="0001151E"/>
    <w:rsid w:val="000115A1"/>
    <w:rsid w:val="00012C50"/>
    <w:rsid w:val="00014127"/>
    <w:rsid w:val="00016BFC"/>
    <w:rsid w:val="00017DDF"/>
    <w:rsid w:val="0002089E"/>
    <w:rsid w:val="00021512"/>
    <w:rsid w:val="000236C8"/>
    <w:rsid w:val="0002395B"/>
    <w:rsid w:val="00025399"/>
    <w:rsid w:val="00025444"/>
    <w:rsid w:val="00026E8F"/>
    <w:rsid w:val="00030488"/>
    <w:rsid w:val="00031484"/>
    <w:rsid w:val="00034B91"/>
    <w:rsid w:val="00036A42"/>
    <w:rsid w:val="00036C09"/>
    <w:rsid w:val="000403BD"/>
    <w:rsid w:val="00040537"/>
    <w:rsid w:val="000411E6"/>
    <w:rsid w:val="00042A77"/>
    <w:rsid w:val="00042D50"/>
    <w:rsid w:val="00044097"/>
    <w:rsid w:val="000440BB"/>
    <w:rsid w:val="000440F0"/>
    <w:rsid w:val="0004736F"/>
    <w:rsid w:val="00047D9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5404"/>
    <w:rsid w:val="0007543C"/>
    <w:rsid w:val="000765E8"/>
    <w:rsid w:val="00080999"/>
    <w:rsid w:val="000815A6"/>
    <w:rsid w:val="00082AFF"/>
    <w:rsid w:val="00082F00"/>
    <w:rsid w:val="000836C3"/>
    <w:rsid w:val="00085055"/>
    <w:rsid w:val="000850C1"/>
    <w:rsid w:val="00090218"/>
    <w:rsid w:val="00091E40"/>
    <w:rsid w:val="00092481"/>
    <w:rsid w:val="000931C4"/>
    <w:rsid w:val="0009453C"/>
    <w:rsid w:val="000A0F09"/>
    <w:rsid w:val="000A1D23"/>
    <w:rsid w:val="000A4B17"/>
    <w:rsid w:val="000A4D8B"/>
    <w:rsid w:val="000A4DC5"/>
    <w:rsid w:val="000A7444"/>
    <w:rsid w:val="000A7527"/>
    <w:rsid w:val="000B11F7"/>
    <w:rsid w:val="000B3554"/>
    <w:rsid w:val="000B3814"/>
    <w:rsid w:val="000B6077"/>
    <w:rsid w:val="000B6493"/>
    <w:rsid w:val="000C14FD"/>
    <w:rsid w:val="000C1DB4"/>
    <w:rsid w:val="000C3609"/>
    <w:rsid w:val="000C36AD"/>
    <w:rsid w:val="000C624C"/>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126B3"/>
    <w:rsid w:val="001131A0"/>
    <w:rsid w:val="00113E31"/>
    <w:rsid w:val="00114E4D"/>
    <w:rsid w:val="001153F7"/>
    <w:rsid w:val="00116138"/>
    <w:rsid w:val="00116B11"/>
    <w:rsid w:val="00116CB1"/>
    <w:rsid w:val="00120621"/>
    <w:rsid w:val="001207AE"/>
    <w:rsid w:val="00121B30"/>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1FDE"/>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6D52"/>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D9C"/>
    <w:rsid w:val="00342962"/>
    <w:rsid w:val="00345BB7"/>
    <w:rsid w:val="00346154"/>
    <w:rsid w:val="00346DA5"/>
    <w:rsid w:val="00347177"/>
    <w:rsid w:val="00347C1C"/>
    <w:rsid w:val="00351006"/>
    <w:rsid w:val="0035250F"/>
    <w:rsid w:val="00352814"/>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61C3"/>
    <w:rsid w:val="003F71D0"/>
    <w:rsid w:val="003F7DF8"/>
    <w:rsid w:val="004017BC"/>
    <w:rsid w:val="004025D9"/>
    <w:rsid w:val="00402C38"/>
    <w:rsid w:val="00403D66"/>
    <w:rsid w:val="00405322"/>
    <w:rsid w:val="004056D0"/>
    <w:rsid w:val="00407298"/>
    <w:rsid w:val="0040757D"/>
    <w:rsid w:val="00407E60"/>
    <w:rsid w:val="0041027E"/>
    <w:rsid w:val="00411906"/>
    <w:rsid w:val="00412654"/>
    <w:rsid w:val="00414E2D"/>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2A8"/>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B7"/>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C64"/>
    <w:rsid w:val="00503648"/>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19"/>
    <w:rsid w:val="00532485"/>
    <w:rsid w:val="0053532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1E07"/>
    <w:rsid w:val="00624B54"/>
    <w:rsid w:val="00625370"/>
    <w:rsid w:val="00626ADC"/>
    <w:rsid w:val="00626C51"/>
    <w:rsid w:val="006271FA"/>
    <w:rsid w:val="00627358"/>
    <w:rsid w:val="00630160"/>
    <w:rsid w:val="006304CD"/>
    <w:rsid w:val="0063199B"/>
    <w:rsid w:val="00634C5B"/>
    <w:rsid w:val="006400CC"/>
    <w:rsid w:val="00641D53"/>
    <w:rsid w:val="00641EDC"/>
    <w:rsid w:val="00642915"/>
    <w:rsid w:val="00647598"/>
    <w:rsid w:val="00650B7A"/>
    <w:rsid w:val="00650F10"/>
    <w:rsid w:val="00652B66"/>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4E8E"/>
    <w:rsid w:val="00675F05"/>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6CD"/>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62AA"/>
    <w:rsid w:val="006D7622"/>
    <w:rsid w:val="006E11FD"/>
    <w:rsid w:val="006E2FEA"/>
    <w:rsid w:val="006E5217"/>
    <w:rsid w:val="006E7736"/>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0C2"/>
    <w:rsid w:val="00723F6D"/>
    <w:rsid w:val="00724E5C"/>
    <w:rsid w:val="00724EEE"/>
    <w:rsid w:val="0072504B"/>
    <w:rsid w:val="00726A8E"/>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7D7D"/>
    <w:rsid w:val="00761DB9"/>
    <w:rsid w:val="00762E2A"/>
    <w:rsid w:val="00764E86"/>
    <w:rsid w:val="00772957"/>
    <w:rsid w:val="0077525F"/>
    <w:rsid w:val="00775A27"/>
    <w:rsid w:val="00775B3B"/>
    <w:rsid w:val="0077617A"/>
    <w:rsid w:val="007772D9"/>
    <w:rsid w:val="007773B2"/>
    <w:rsid w:val="00780EAB"/>
    <w:rsid w:val="00782B95"/>
    <w:rsid w:val="00784691"/>
    <w:rsid w:val="00784E06"/>
    <w:rsid w:val="00784EDD"/>
    <w:rsid w:val="00785867"/>
    <w:rsid w:val="00785DB3"/>
    <w:rsid w:val="00787130"/>
    <w:rsid w:val="00787B93"/>
    <w:rsid w:val="00790B1A"/>
    <w:rsid w:val="00791C5A"/>
    <w:rsid w:val="007923E6"/>
    <w:rsid w:val="00793486"/>
    <w:rsid w:val="00794BCE"/>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5638"/>
    <w:rsid w:val="007C5F3D"/>
    <w:rsid w:val="007C66C8"/>
    <w:rsid w:val="007C6EE1"/>
    <w:rsid w:val="007D0429"/>
    <w:rsid w:val="007D37FF"/>
    <w:rsid w:val="007D46A9"/>
    <w:rsid w:val="007D4C33"/>
    <w:rsid w:val="007D7169"/>
    <w:rsid w:val="007E01DA"/>
    <w:rsid w:val="007E2069"/>
    <w:rsid w:val="007E46F2"/>
    <w:rsid w:val="007E560B"/>
    <w:rsid w:val="007E63D6"/>
    <w:rsid w:val="007F094C"/>
    <w:rsid w:val="007F098C"/>
    <w:rsid w:val="007F1AD9"/>
    <w:rsid w:val="007F2348"/>
    <w:rsid w:val="007F27D5"/>
    <w:rsid w:val="007F2F2D"/>
    <w:rsid w:val="007F34BE"/>
    <w:rsid w:val="007F5C52"/>
    <w:rsid w:val="007F6733"/>
    <w:rsid w:val="00804257"/>
    <w:rsid w:val="00804ECD"/>
    <w:rsid w:val="008050A8"/>
    <w:rsid w:val="00806477"/>
    <w:rsid w:val="00807FE2"/>
    <w:rsid w:val="008107D5"/>
    <w:rsid w:val="00811470"/>
    <w:rsid w:val="008158B5"/>
    <w:rsid w:val="00817481"/>
    <w:rsid w:val="00817549"/>
    <w:rsid w:val="00817ABA"/>
    <w:rsid w:val="00820947"/>
    <w:rsid w:val="0082173F"/>
    <w:rsid w:val="008255F2"/>
    <w:rsid w:val="008263F0"/>
    <w:rsid w:val="00830111"/>
    <w:rsid w:val="00830C16"/>
    <w:rsid w:val="008313C6"/>
    <w:rsid w:val="00831F79"/>
    <w:rsid w:val="00832324"/>
    <w:rsid w:val="0083606F"/>
    <w:rsid w:val="00840B0C"/>
    <w:rsid w:val="00841A7A"/>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46E7"/>
    <w:rsid w:val="00875F93"/>
    <w:rsid w:val="0087763F"/>
    <w:rsid w:val="0088087F"/>
    <w:rsid w:val="008841CC"/>
    <w:rsid w:val="008844E4"/>
    <w:rsid w:val="00885B0A"/>
    <w:rsid w:val="00886EC5"/>
    <w:rsid w:val="00891DE4"/>
    <w:rsid w:val="0089546C"/>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6169"/>
    <w:rsid w:val="0095263D"/>
    <w:rsid w:val="00952B23"/>
    <w:rsid w:val="00953F78"/>
    <w:rsid w:val="00954EA7"/>
    <w:rsid w:val="00955334"/>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19B0"/>
    <w:rsid w:val="009B2542"/>
    <w:rsid w:val="009B30B2"/>
    <w:rsid w:val="009B3E34"/>
    <w:rsid w:val="009B4681"/>
    <w:rsid w:val="009B48A9"/>
    <w:rsid w:val="009C02BE"/>
    <w:rsid w:val="009C0B8D"/>
    <w:rsid w:val="009C0CC1"/>
    <w:rsid w:val="009C168B"/>
    <w:rsid w:val="009C1A45"/>
    <w:rsid w:val="009C29AD"/>
    <w:rsid w:val="009C5D6C"/>
    <w:rsid w:val="009C6642"/>
    <w:rsid w:val="009C67EF"/>
    <w:rsid w:val="009C6E62"/>
    <w:rsid w:val="009D02C9"/>
    <w:rsid w:val="009D08B2"/>
    <w:rsid w:val="009D0D0D"/>
    <w:rsid w:val="009D2F37"/>
    <w:rsid w:val="009D302A"/>
    <w:rsid w:val="009D4532"/>
    <w:rsid w:val="009D47DA"/>
    <w:rsid w:val="009D49CB"/>
    <w:rsid w:val="009D66ED"/>
    <w:rsid w:val="009D7FB8"/>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7E72"/>
    <w:rsid w:val="00A27FFC"/>
    <w:rsid w:val="00A32D81"/>
    <w:rsid w:val="00A3394D"/>
    <w:rsid w:val="00A340AD"/>
    <w:rsid w:val="00A350C9"/>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98C"/>
    <w:rsid w:val="00A70B64"/>
    <w:rsid w:val="00A7132C"/>
    <w:rsid w:val="00A72361"/>
    <w:rsid w:val="00A725A6"/>
    <w:rsid w:val="00A72DDE"/>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416"/>
    <w:rsid w:val="00AA15E4"/>
    <w:rsid w:val="00AA19E6"/>
    <w:rsid w:val="00AA74E6"/>
    <w:rsid w:val="00AA7773"/>
    <w:rsid w:val="00AB0F5A"/>
    <w:rsid w:val="00AB4BF9"/>
    <w:rsid w:val="00AB4F3E"/>
    <w:rsid w:val="00AB51DE"/>
    <w:rsid w:val="00AB553E"/>
    <w:rsid w:val="00AC0759"/>
    <w:rsid w:val="00AC0CE3"/>
    <w:rsid w:val="00AC0E13"/>
    <w:rsid w:val="00AC1263"/>
    <w:rsid w:val="00AC2D6B"/>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1258"/>
    <w:rsid w:val="00AF24E8"/>
    <w:rsid w:val="00AF2635"/>
    <w:rsid w:val="00AF6399"/>
    <w:rsid w:val="00AF7BDE"/>
    <w:rsid w:val="00B0049C"/>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5BDD"/>
    <w:rsid w:val="00B7638C"/>
    <w:rsid w:val="00B7643B"/>
    <w:rsid w:val="00B77D45"/>
    <w:rsid w:val="00B806AC"/>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400F"/>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07E48"/>
    <w:rsid w:val="00C10637"/>
    <w:rsid w:val="00C13A55"/>
    <w:rsid w:val="00C150AB"/>
    <w:rsid w:val="00C15558"/>
    <w:rsid w:val="00C15841"/>
    <w:rsid w:val="00C175E0"/>
    <w:rsid w:val="00C26B35"/>
    <w:rsid w:val="00C2730B"/>
    <w:rsid w:val="00C3235D"/>
    <w:rsid w:val="00C32887"/>
    <w:rsid w:val="00C352E5"/>
    <w:rsid w:val="00C35D78"/>
    <w:rsid w:val="00C400C1"/>
    <w:rsid w:val="00C40476"/>
    <w:rsid w:val="00C40743"/>
    <w:rsid w:val="00C40B30"/>
    <w:rsid w:val="00C432CE"/>
    <w:rsid w:val="00C43EB1"/>
    <w:rsid w:val="00C46413"/>
    <w:rsid w:val="00C46A84"/>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E6D"/>
    <w:rsid w:val="00C937C0"/>
    <w:rsid w:val="00C94104"/>
    <w:rsid w:val="00C95E5B"/>
    <w:rsid w:val="00C95E92"/>
    <w:rsid w:val="00C96337"/>
    <w:rsid w:val="00CA0A97"/>
    <w:rsid w:val="00CA3712"/>
    <w:rsid w:val="00CA45CE"/>
    <w:rsid w:val="00CA5B44"/>
    <w:rsid w:val="00CA60C8"/>
    <w:rsid w:val="00CA613E"/>
    <w:rsid w:val="00CA6DDA"/>
    <w:rsid w:val="00CA7F29"/>
    <w:rsid w:val="00CB0CAA"/>
    <w:rsid w:val="00CB1495"/>
    <w:rsid w:val="00CB1A97"/>
    <w:rsid w:val="00CB3EC3"/>
    <w:rsid w:val="00CB57DC"/>
    <w:rsid w:val="00CB6403"/>
    <w:rsid w:val="00CC1471"/>
    <w:rsid w:val="00CC4225"/>
    <w:rsid w:val="00CC4CA0"/>
    <w:rsid w:val="00CC53B2"/>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20B6"/>
    <w:rsid w:val="00CF27E4"/>
    <w:rsid w:val="00CF4616"/>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263B"/>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22"/>
    <w:rsid w:val="00DF4284"/>
    <w:rsid w:val="00DF5DF0"/>
    <w:rsid w:val="00DF7A0E"/>
    <w:rsid w:val="00DF7A39"/>
    <w:rsid w:val="00DF7AC1"/>
    <w:rsid w:val="00E01A39"/>
    <w:rsid w:val="00E024F4"/>
    <w:rsid w:val="00E02995"/>
    <w:rsid w:val="00E02E32"/>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CEE"/>
    <w:rsid w:val="00E50DCF"/>
    <w:rsid w:val="00E53043"/>
    <w:rsid w:val="00E53E65"/>
    <w:rsid w:val="00E5495F"/>
    <w:rsid w:val="00E54CDE"/>
    <w:rsid w:val="00E55FDC"/>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9D5"/>
    <w:rsid w:val="00E9337E"/>
    <w:rsid w:val="00EA0596"/>
    <w:rsid w:val="00EA0CAF"/>
    <w:rsid w:val="00EA122A"/>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68F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F41"/>
    <w:rsid w:val="00EF37E6"/>
    <w:rsid w:val="00EF5EA2"/>
    <w:rsid w:val="00EF7DC1"/>
    <w:rsid w:val="00F00C66"/>
    <w:rsid w:val="00F0109E"/>
    <w:rsid w:val="00F024ED"/>
    <w:rsid w:val="00F10AAA"/>
    <w:rsid w:val="00F1128B"/>
    <w:rsid w:val="00F1238B"/>
    <w:rsid w:val="00F13E5E"/>
    <w:rsid w:val="00F15C13"/>
    <w:rsid w:val="00F249EB"/>
    <w:rsid w:val="00F25311"/>
    <w:rsid w:val="00F30406"/>
    <w:rsid w:val="00F30777"/>
    <w:rsid w:val="00F33BEC"/>
    <w:rsid w:val="00F40516"/>
    <w:rsid w:val="00F41755"/>
    <w:rsid w:val="00F43FF6"/>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3A1A"/>
    <w:rsid w:val="00F94750"/>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354A"/>
    <w:rsid w:val="00FE5230"/>
    <w:rsid w:val="00FE5418"/>
    <w:rsid w:val="00FF3D9E"/>
    <w:rsid w:val="011A4D50"/>
    <w:rsid w:val="01FC28A8"/>
    <w:rsid w:val="020A20CB"/>
    <w:rsid w:val="023E55D8"/>
    <w:rsid w:val="029019DF"/>
    <w:rsid w:val="029F4BF3"/>
    <w:rsid w:val="02F60143"/>
    <w:rsid w:val="037D15B0"/>
    <w:rsid w:val="04B86163"/>
    <w:rsid w:val="04C80329"/>
    <w:rsid w:val="050250E9"/>
    <w:rsid w:val="05337516"/>
    <w:rsid w:val="05635163"/>
    <w:rsid w:val="05D616F1"/>
    <w:rsid w:val="05F40538"/>
    <w:rsid w:val="06967DC1"/>
    <w:rsid w:val="06DD0069"/>
    <w:rsid w:val="06E76528"/>
    <w:rsid w:val="071E0145"/>
    <w:rsid w:val="078D6DB3"/>
    <w:rsid w:val="07AD3998"/>
    <w:rsid w:val="07CA5A19"/>
    <w:rsid w:val="08186661"/>
    <w:rsid w:val="08B5134F"/>
    <w:rsid w:val="08D174F5"/>
    <w:rsid w:val="08D22CFD"/>
    <w:rsid w:val="097021FF"/>
    <w:rsid w:val="09E96654"/>
    <w:rsid w:val="09FC48C3"/>
    <w:rsid w:val="0A28627C"/>
    <w:rsid w:val="0A7E3DA7"/>
    <w:rsid w:val="0AA359C4"/>
    <w:rsid w:val="0AE9634F"/>
    <w:rsid w:val="0B3E53E0"/>
    <w:rsid w:val="0B9B1DEB"/>
    <w:rsid w:val="0B9F4022"/>
    <w:rsid w:val="0C8532F0"/>
    <w:rsid w:val="0C916A68"/>
    <w:rsid w:val="0C976717"/>
    <w:rsid w:val="0CD07045"/>
    <w:rsid w:val="0CF046E6"/>
    <w:rsid w:val="0D492645"/>
    <w:rsid w:val="0D5D281A"/>
    <w:rsid w:val="0D637CC1"/>
    <w:rsid w:val="0D996629"/>
    <w:rsid w:val="0DB95336"/>
    <w:rsid w:val="0E341558"/>
    <w:rsid w:val="0E3D67A1"/>
    <w:rsid w:val="0E5527BE"/>
    <w:rsid w:val="0E7F1E89"/>
    <w:rsid w:val="0F5B1EAA"/>
    <w:rsid w:val="0F82485D"/>
    <w:rsid w:val="10A8676A"/>
    <w:rsid w:val="10BC18CC"/>
    <w:rsid w:val="11333F84"/>
    <w:rsid w:val="11563245"/>
    <w:rsid w:val="117A0255"/>
    <w:rsid w:val="119949D6"/>
    <w:rsid w:val="1260665B"/>
    <w:rsid w:val="12657360"/>
    <w:rsid w:val="128E1307"/>
    <w:rsid w:val="12EF3F7A"/>
    <w:rsid w:val="136A27D6"/>
    <w:rsid w:val="13C85DF9"/>
    <w:rsid w:val="13DD6143"/>
    <w:rsid w:val="140A45F3"/>
    <w:rsid w:val="141E4583"/>
    <w:rsid w:val="14276B56"/>
    <w:rsid w:val="14691040"/>
    <w:rsid w:val="14962C0F"/>
    <w:rsid w:val="14C827AF"/>
    <w:rsid w:val="155D345B"/>
    <w:rsid w:val="16066BCA"/>
    <w:rsid w:val="1658298F"/>
    <w:rsid w:val="178A56D0"/>
    <w:rsid w:val="17F64E75"/>
    <w:rsid w:val="17FB13B0"/>
    <w:rsid w:val="18BB662C"/>
    <w:rsid w:val="18BD20A7"/>
    <w:rsid w:val="19175A9A"/>
    <w:rsid w:val="19A05834"/>
    <w:rsid w:val="19F15089"/>
    <w:rsid w:val="1A8604B2"/>
    <w:rsid w:val="1A975F2F"/>
    <w:rsid w:val="1A9F4B9A"/>
    <w:rsid w:val="1AB959D2"/>
    <w:rsid w:val="1B1C0DDE"/>
    <w:rsid w:val="1BF20DF6"/>
    <w:rsid w:val="1CBD13B0"/>
    <w:rsid w:val="1CD53A47"/>
    <w:rsid w:val="1D2D491C"/>
    <w:rsid w:val="1DBE1FCA"/>
    <w:rsid w:val="1DF4614E"/>
    <w:rsid w:val="1E293303"/>
    <w:rsid w:val="1E2C7BD4"/>
    <w:rsid w:val="1E3A3801"/>
    <w:rsid w:val="1ED90DA8"/>
    <w:rsid w:val="1F2F44C6"/>
    <w:rsid w:val="1FF40422"/>
    <w:rsid w:val="202074AA"/>
    <w:rsid w:val="2041059E"/>
    <w:rsid w:val="209629AA"/>
    <w:rsid w:val="20E550E9"/>
    <w:rsid w:val="212E1977"/>
    <w:rsid w:val="21456CFD"/>
    <w:rsid w:val="21D63B5E"/>
    <w:rsid w:val="22347127"/>
    <w:rsid w:val="22662D0C"/>
    <w:rsid w:val="2278603B"/>
    <w:rsid w:val="23246109"/>
    <w:rsid w:val="234154A1"/>
    <w:rsid w:val="234A3FB0"/>
    <w:rsid w:val="23E5006C"/>
    <w:rsid w:val="2434357B"/>
    <w:rsid w:val="249A5749"/>
    <w:rsid w:val="249C1B64"/>
    <w:rsid w:val="24C23985"/>
    <w:rsid w:val="251F7F9C"/>
    <w:rsid w:val="2526720B"/>
    <w:rsid w:val="25D9546E"/>
    <w:rsid w:val="25EF535C"/>
    <w:rsid w:val="25F9267A"/>
    <w:rsid w:val="26176C81"/>
    <w:rsid w:val="261B60FF"/>
    <w:rsid w:val="26890110"/>
    <w:rsid w:val="269637DD"/>
    <w:rsid w:val="2715068F"/>
    <w:rsid w:val="2718703F"/>
    <w:rsid w:val="27327279"/>
    <w:rsid w:val="2752777D"/>
    <w:rsid w:val="2755512F"/>
    <w:rsid w:val="27BD1FDA"/>
    <w:rsid w:val="27EB5BFA"/>
    <w:rsid w:val="27F50712"/>
    <w:rsid w:val="28350B4B"/>
    <w:rsid w:val="28573D7A"/>
    <w:rsid w:val="28CE0FBE"/>
    <w:rsid w:val="2940500B"/>
    <w:rsid w:val="29801012"/>
    <w:rsid w:val="298D1E6F"/>
    <w:rsid w:val="29D344B0"/>
    <w:rsid w:val="2A4C0BE6"/>
    <w:rsid w:val="2A8A3D4F"/>
    <w:rsid w:val="2AA65624"/>
    <w:rsid w:val="2B2E3762"/>
    <w:rsid w:val="2BEF6BA6"/>
    <w:rsid w:val="2C2B2F0F"/>
    <w:rsid w:val="2C311EE7"/>
    <w:rsid w:val="2C61146F"/>
    <w:rsid w:val="2C703C27"/>
    <w:rsid w:val="2C932B3F"/>
    <w:rsid w:val="2CA52E7C"/>
    <w:rsid w:val="2CCF74AD"/>
    <w:rsid w:val="2CFB5354"/>
    <w:rsid w:val="2DE314E0"/>
    <w:rsid w:val="2DEE751F"/>
    <w:rsid w:val="2DF91D84"/>
    <w:rsid w:val="2E1516B8"/>
    <w:rsid w:val="2E8557DE"/>
    <w:rsid w:val="2EE8755D"/>
    <w:rsid w:val="2F241155"/>
    <w:rsid w:val="2F3B3132"/>
    <w:rsid w:val="2F5738AA"/>
    <w:rsid w:val="2FD974D9"/>
    <w:rsid w:val="2FEC07F3"/>
    <w:rsid w:val="30DF1D1D"/>
    <w:rsid w:val="311E2EA2"/>
    <w:rsid w:val="318F0EE0"/>
    <w:rsid w:val="321B4DD0"/>
    <w:rsid w:val="321C0E2D"/>
    <w:rsid w:val="329255F3"/>
    <w:rsid w:val="32C11F7D"/>
    <w:rsid w:val="32F111FE"/>
    <w:rsid w:val="330F170B"/>
    <w:rsid w:val="33253E72"/>
    <w:rsid w:val="34131FBB"/>
    <w:rsid w:val="34197F51"/>
    <w:rsid w:val="3437486D"/>
    <w:rsid w:val="344A5D18"/>
    <w:rsid w:val="346C7148"/>
    <w:rsid w:val="3471175F"/>
    <w:rsid w:val="34B41752"/>
    <w:rsid w:val="35377A62"/>
    <w:rsid w:val="35501C0F"/>
    <w:rsid w:val="355A28E3"/>
    <w:rsid w:val="35787300"/>
    <w:rsid w:val="35C05394"/>
    <w:rsid w:val="35D408E8"/>
    <w:rsid w:val="360F1B66"/>
    <w:rsid w:val="361776DE"/>
    <w:rsid w:val="369547DF"/>
    <w:rsid w:val="36BA3288"/>
    <w:rsid w:val="373B0A80"/>
    <w:rsid w:val="380B4369"/>
    <w:rsid w:val="380D5505"/>
    <w:rsid w:val="383C1107"/>
    <w:rsid w:val="383C7C77"/>
    <w:rsid w:val="38763D7D"/>
    <w:rsid w:val="38D77B37"/>
    <w:rsid w:val="38DA3CB6"/>
    <w:rsid w:val="38F33F03"/>
    <w:rsid w:val="39CC18B7"/>
    <w:rsid w:val="39CF7616"/>
    <w:rsid w:val="39DB7C38"/>
    <w:rsid w:val="3A113349"/>
    <w:rsid w:val="3A6F5726"/>
    <w:rsid w:val="3A830CD9"/>
    <w:rsid w:val="3AA11560"/>
    <w:rsid w:val="3AFA1999"/>
    <w:rsid w:val="3B181D63"/>
    <w:rsid w:val="3B22616C"/>
    <w:rsid w:val="3B276005"/>
    <w:rsid w:val="3B5A0471"/>
    <w:rsid w:val="3BAA1394"/>
    <w:rsid w:val="3BE8014D"/>
    <w:rsid w:val="3C2A3875"/>
    <w:rsid w:val="3C6F088B"/>
    <w:rsid w:val="3D2D4172"/>
    <w:rsid w:val="3D346A94"/>
    <w:rsid w:val="3D434194"/>
    <w:rsid w:val="3D9477BC"/>
    <w:rsid w:val="3DF104A1"/>
    <w:rsid w:val="3E717725"/>
    <w:rsid w:val="3E8D6FF0"/>
    <w:rsid w:val="3EDF3C57"/>
    <w:rsid w:val="3EEF17EC"/>
    <w:rsid w:val="3EF137C2"/>
    <w:rsid w:val="40300441"/>
    <w:rsid w:val="416A5958"/>
    <w:rsid w:val="41745765"/>
    <w:rsid w:val="418B513C"/>
    <w:rsid w:val="4210491C"/>
    <w:rsid w:val="42230A23"/>
    <w:rsid w:val="42310CD2"/>
    <w:rsid w:val="4268449E"/>
    <w:rsid w:val="42814FEC"/>
    <w:rsid w:val="429173A7"/>
    <w:rsid w:val="42DA4D8C"/>
    <w:rsid w:val="4377148E"/>
    <w:rsid w:val="4382496E"/>
    <w:rsid w:val="43B25628"/>
    <w:rsid w:val="43D752D2"/>
    <w:rsid w:val="43DB0ABF"/>
    <w:rsid w:val="447F73ED"/>
    <w:rsid w:val="44A6150A"/>
    <w:rsid w:val="44D04802"/>
    <w:rsid w:val="450667B9"/>
    <w:rsid w:val="451C7304"/>
    <w:rsid w:val="452C07E2"/>
    <w:rsid w:val="45910A92"/>
    <w:rsid w:val="463C51AD"/>
    <w:rsid w:val="46472CD8"/>
    <w:rsid w:val="464F1E93"/>
    <w:rsid w:val="468B7A70"/>
    <w:rsid w:val="46B6469B"/>
    <w:rsid w:val="46C14660"/>
    <w:rsid w:val="46E24A8C"/>
    <w:rsid w:val="471F59EC"/>
    <w:rsid w:val="47204879"/>
    <w:rsid w:val="47451045"/>
    <w:rsid w:val="482B0C76"/>
    <w:rsid w:val="49103B27"/>
    <w:rsid w:val="49324A2C"/>
    <w:rsid w:val="49495BA0"/>
    <w:rsid w:val="495961F1"/>
    <w:rsid w:val="49AA0D34"/>
    <w:rsid w:val="49E20DE8"/>
    <w:rsid w:val="4A0D0411"/>
    <w:rsid w:val="4A4E35EF"/>
    <w:rsid w:val="4A897C10"/>
    <w:rsid w:val="4A8A6120"/>
    <w:rsid w:val="4B4D7B28"/>
    <w:rsid w:val="4B533C05"/>
    <w:rsid w:val="4B545957"/>
    <w:rsid w:val="4B582A18"/>
    <w:rsid w:val="4BE16996"/>
    <w:rsid w:val="4BFB3F8B"/>
    <w:rsid w:val="4C796557"/>
    <w:rsid w:val="4CAB4F2A"/>
    <w:rsid w:val="4D106026"/>
    <w:rsid w:val="4D3C7971"/>
    <w:rsid w:val="4D7132CE"/>
    <w:rsid w:val="4D996326"/>
    <w:rsid w:val="4DCB5F30"/>
    <w:rsid w:val="4E5F138D"/>
    <w:rsid w:val="4EAD6A7C"/>
    <w:rsid w:val="4EEF7418"/>
    <w:rsid w:val="4EF32854"/>
    <w:rsid w:val="4FAC49CB"/>
    <w:rsid w:val="4FB60E8E"/>
    <w:rsid w:val="500D3CA2"/>
    <w:rsid w:val="504E4592"/>
    <w:rsid w:val="506B2C69"/>
    <w:rsid w:val="51065302"/>
    <w:rsid w:val="5133319D"/>
    <w:rsid w:val="51DD7A6A"/>
    <w:rsid w:val="5270413F"/>
    <w:rsid w:val="5292398E"/>
    <w:rsid w:val="52D04A1C"/>
    <w:rsid w:val="53982DA2"/>
    <w:rsid w:val="54164A93"/>
    <w:rsid w:val="544720B9"/>
    <w:rsid w:val="54563BC5"/>
    <w:rsid w:val="547D6D31"/>
    <w:rsid w:val="54A25495"/>
    <w:rsid w:val="54B228CE"/>
    <w:rsid w:val="54B51A99"/>
    <w:rsid w:val="55124BC7"/>
    <w:rsid w:val="558E6A62"/>
    <w:rsid w:val="559E3B34"/>
    <w:rsid w:val="561E50D6"/>
    <w:rsid w:val="561F2A1C"/>
    <w:rsid w:val="563B7036"/>
    <w:rsid w:val="56E93596"/>
    <w:rsid w:val="56EE60F0"/>
    <w:rsid w:val="57C66C40"/>
    <w:rsid w:val="57F35B2F"/>
    <w:rsid w:val="5873337F"/>
    <w:rsid w:val="587C1CD1"/>
    <w:rsid w:val="588071A2"/>
    <w:rsid w:val="58B47930"/>
    <w:rsid w:val="58BB41C8"/>
    <w:rsid w:val="58BC05BB"/>
    <w:rsid w:val="594D7C5C"/>
    <w:rsid w:val="597712CC"/>
    <w:rsid w:val="59845168"/>
    <w:rsid w:val="59F342BF"/>
    <w:rsid w:val="5A0657A7"/>
    <w:rsid w:val="5A1977CE"/>
    <w:rsid w:val="5A2163E0"/>
    <w:rsid w:val="5A2361C9"/>
    <w:rsid w:val="5A8D3ACE"/>
    <w:rsid w:val="5AA72A03"/>
    <w:rsid w:val="5AC4018B"/>
    <w:rsid w:val="5ACC22A9"/>
    <w:rsid w:val="5B006F19"/>
    <w:rsid w:val="5B2A57AD"/>
    <w:rsid w:val="5C055A36"/>
    <w:rsid w:val="5C7D5292"/>
    <w:rsid w:val="5D216D35"/>
    <w:rsid w:val="5D38283A"/>
    <w:rsid w:val="5D4B72C9"/>
    <w:rsid w:val="5E01397A"/>
    <w:rsid w:val="5E257C02"/>
    <w:rsid w:val="5E4E2167"/>
    <w:rsid w:val="5E6C2265"/>
    <w:rsid w:val="5E7A05EF"/>
    <w:rsid w:val="5EC53F64"/>
    <w:rsid w:val="5F3758C0"/>
    <w:rsid w:val="5F5236A5"/>
    <w:rsid w:val="5F992FDD"/>
    <w:rsid w:val="60463CE2"/>
    <w:rsid w:val="608D0BBE"/>
    <w:rsid w:val="60A05199"/>
    <w:rsid w:val="60D06F75"/>
    <w:rsid w:val="61602FAA"/>
    <w:rsid w:val="618B3D19"/>
    <w:rsid w:val="61A0313A"/>
    <w:rsid w:val="61C061E3"/>
    <w:rsid w:val="61CC46CA"/>
    <w:rsid w:val="62190038"/>
    <w:rsid w:val="62CE2274"/>
    <w:rsid w:val="631D7723"/>
    <w:rsid w:val="63923BCB"/>
    <w:rsid w:val="63A872F9"/>
    <w:rsid w:val="64796FFA"/>
    <w:rsid w:val="651A5290"/>
    <w:rsid w:val="65531993"/>
    <w:rsid w:val="657D7852"/>
    <w:rsid w:val="658574E9"/>
    <w:rsid w:val="66383902"/>
    <w:rsid w:val="664D0F6C"/>
    <w:rsid w:val="665C7739"/>
    <w:rsid w:val="666D434F"/>
    <w:rsid w:val="66B65847"/>
    <w:rsid w:val="66E37BFE"/>
    <w:rsid w:val="67715716"/>
    <w:rsid w:val="67787895"/>
    <w:rsid w:val="67CE1B92"/>
    <w:rsid w:val="68200826"/>
    <w:rsid w:val="6827063E"/>
    <w:rsid w:val="6828583C"/>
    <w:rsid w:val="68DA01D3"/>
    <w:rsid w:val="69027324"/>
    <w:rsid w:val="691D5586"/>
    <w:rsid w:val="699F491D"/>
    <w:rsid w:val="6A2145F6"/>
    <w:rsid w:val="6A232D25"/>
    <w:rsid w:val="6A62505D"/>
    <w:rsid w:val="6A655A3E"/>
    <w:rsid w:val="6A95666B"/>
    <w:rsid w:val="6AB76BCF"/>
    <w:rsid w:val="6B405308"/>
    <w:rsid w:val="6BB12F94"/>
    <w:rsid w:val="6C22537B"/>
    <w:rsid w:val="6C51408C"/>
    <w:rsid w:val="6C7010EB"/>
    <w:rsid w:val="6C7167B5"/>
    <w:rsid w:val="6C9F7083"/>
    <w:rsid w:val="6CD67B14"/>
    <w:rsid w:val="6DBD113A"/>
    <w:rsid w:val="6E72713A"/>
    <w:rsid w:val="6F3071C9"/>
    <w:rsid w:val="6F36119D"/>
    <w:rsid w:val="6F481308"/>
    <w:rsid w:val="6F54436C"/>
    <w:rsid w:val="6F5D37BA"/>
    <w:rsid w:val="6F6B7A45"/>
    <w:rsid w:val="6FA3631B"/>
    <w:rsid w:val="715A2572"/>
    <w:rsid w:val="71C457D0"/>
    <w:rsid w:val="71E9437C"/>
    <w:rsid w:val="72056E07"/>
    <w:rsid w:val="721C7885"/>
    <w:rsid w:val="722B4380"/>
    <w:rsid w:val="72D75EB6"/>
    <w:rsid w:val="72E008F5"/>
    <w:rsid w:val="731E0B8D"/>
    <w:rsid w:val="746673B0"/>
    <w:rsid w:val="748D3036"/>
    <w:rsid w:val="75034D9F"/>
    <w:rsid w:val="753311A4"/>
    <w:rsid w:val="756678E2"/>
    <w:rsid w:val="76206CF4"/>
    <w:rsid w:val="76925CFD"/>
    <w:rsid w:val="772E266D"/>
    <w:rsid w:val="77DD72FA"/>
    <w:rsid w:val="77E93FCE"/>
    <w:rsid w:val="77EC734F"/>
    <w:rsid w:val="784226D0"/>
    <w:rsid w:val="78AB7EA1"/>
    <w:rsid w:val="78E80352"/>
    <w:rsid w:val="794A1E3F"/>
    <w:rsid w:val="79611E45"/>
    <w:rsid w:val="79EC4AA2"/>
    <w:rsid w:val="7A56530E"/>
    <w:rsid w:val="7A9C2623"/>
    <w:rsid w:val="7B857FA7"/>
    <w:rsid w:val="7B88632D"/>
    <w:rsid w:val="7BA06C86"/>
    <w:rsid w:val="7C286E63"/>
    <w:rsid w:val="7C4B2B74"/>
    <w:rsid w:val="7C516DA3"/>
    <w:rsid w:val="7C77423D"/>
    <w:rsid w:val="7C88017A"/>
    <w:rsid w:val="7CEC771B"/>
    <w:rsid w:val="7D1A3FC5"/>
    <w:rsid w:val="7D321A8F"/>
    <w:rsid w:val="7D5D3A62"/>
    <w:rsid w:val="7E101B13"/>
    <w:rsid w:val="7E1720F3"/>
    <w:rsid w:val="7E1E74E3"/>
    <w:rsid w:val="7E6B612A"/>
    <w:rsid w:val="7E6C6619"/>
    <w:rsid w:val="7E965965"/>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spacing w:beforeLines="100" w:line="360" w:lineRule="auto"/>
      <w:jc w:val="center"/>
      <w:outlineLvl w:val="0"/>
    </w:pPr>
    <w:rPr>
      <w:rFonts w:ascii="Calibri" w:hAnsi="Calibri"/>
      <w:b/>
      <w:color w:val="000000"/>
      <w:sz w:val="32"/>
    </w:rPr>
  </w:style>
  <w:style w:type="paragraph" w:styleId="3">
    <w:name w:val="heading 2"/>
    <w:basedOn w:val="1"/>
    <w:next w:val="1"/>
    <w:link w:val="65"/>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4">
    <w:name w:val="heading 3"/>
    <w:basedOn w:val="1"/>
    <w:next w:val="1"/>
    <w:link w:val="63"/>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5">
    <w:name w:val="heading 4"/>
    <w:basedOn w:val="1"/>
    <w:next w:val="6"/>
    <w:link w:val="66"/>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7">
    <w:name w:val="heading 5"/>
    <w:basedOn w:val="1"/>
    <w:next w:val="6"/>
    <w:link w:val="67"/>
    <w:qFormat/>
    <w:uiPriority w:val="0"/>
    <w:pPr>
      <w:keepNext/>
      <w:keepLines/>
      <w:spacing w:line="377" w:lineRule="auto"/>
      <w:ind w:firstLine="950" w:firstLineChars="200"/>
      <w:outlineLvl w:val="4"/>
    </w:pPr>
    <w:rPr>
      <w:rFonts w:eastAsia="华文中宋"/>
      <w:b/>
      <w:bCs/>
      <w:sz w:val="24"/>
      <w:szCs w:val="28"/>
    </w:rPr>
  </w:style>
  <w:style w:type="paragraph" w:styleId="8">
    <w:name w:val="heading 6"/>
    <w:basedOn w:val="1"/>
    <w:next w:val="1"/>
    <w:link w:val="289"/>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78"/>
    <w:qFormat/>
    <w:uiPriority w:val="0"/>
    <w:pPr>
      <w:keepNext/>
      <w:keepLines/>
      <w:spacing w:before="240" w:after="64" w:line="317" w:lineRule="auto"/>
      <w:outlineLvl w:val="6"/>
    </w:pPr>
    <w:rPr>
      <w:rFonts w:ascii="宋体" w:hAnsi="Calibri"/>
      <w:b/>
      <w:bCs/>
      <w:sz w:val="28"/>
      <w:szCs w:val="28"/>
    </w:rPr>
  </w:style>
  <w:style w:type="paragraph" w:styleId="10">
    <w:name w:val="heading 8"/>
    <w:basedOn w:val="1"/>
    <w:next w:val="1"/>
    <w:link w:val="253"/>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204"/>
    <w:qFormat/>
    <w:uiPriority w:val="0"/>
    <w:pPr>
      <w:keepNext/>
      <w:keepLines/>
      <w:spacing w:before="240" w:after="64" w:line="317"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67"/>
    <w:qFormat/>
    <w:uiPriority w:val="0"/>
    <w:rPr>
      <w:rFonts w:ascii="宋体" w:hAnsi="Courier New"/>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Normal Indent"/>
    <w:basedOn w:val="1"/>
    <w:link w:val="213"/>
    <w:qFormat/>
    <w:uiPriority w:val="0"/>
    <w:pPr>
      <w:ind w:firstLine="420" w:firstLineChars="200"/>
    </w:pPr>
    <w:rPr>
      <w:rFonts w:ascii="Calibri" w:hAnsi="Calibri"/>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249"/>
    <w:qFormat/>
    <w:uiPriority w:val="0"/>
    <w:pPr>
      <w:shd w:val="clear" w:color="auto" w:fill="000080"/>
    </w:pPr>
    <w:rPr>
      <w:rFonts w:ascii="Calibri" w:hAnsi="Calibri"/>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286"/>
    <w:qFormat/>
    <w:uiPriority w:val="0"/>
    <w:pPr>
      <w:jc w:val="left"/>
    </w:pPr>
    <w:rPr>
      <w:rFonts w:ascii="Calibri" w:hAnsi="Calibri"/>
      <w:szCs w:val="20"/>
    </w:rPr>
  </w:style>
  <w:style w:type="paragraph" w:styleId="19">
    <w:name w:val="Body Text 3"/>
    <w:basedOn w:val="1"/>
    <w:link w:val="219"/>
    <w:qFormat/>
    <w:uiPriority w:val="0"/>
    <w:pPr>
      <w:spacing w:line="440" w:lineRule="atLeast"/>
      <w:jc w:val="center"/>
    </w:pPr>
    <w:rPr>
      <w:rFonts w:ascii="楷体_GB2312" w:hAnsi="Calibri" w:eastAsia="楷体_GB2312"/>
      <w:b/>
      <w:color w:val="000000"/>
      <w:sz w:val="30"/>
    </w:rPr>
  </w:style>
  <w:style w:type="paragraph" w:styleId="20">
    <w:name w:val="Body Text"/>
    <w:basedOn w:val="1"/>
    <w:link w:val="255"/>
    <w:qFormat/>
    <w:uiPriority w:val="0"/>
    <w:pPr>
      <w:spacing w:after="120"/>
    </w:pPr>
    <w:rPr>
      <w:rFonts w:ascii="Calibri" w:hAnsi="Calibri"/>
    </w:rPr>
  </w:style>
  <w:style w:type="paragraph" w:styleId="21">
    <w:name w:val="Body Text Indent"/>
    <w:basedOn w:val="1"/>
    <w:link w:val="192"/>
    <w:qFormat/>
    <w:uiPriority w:val="0"/>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styleId="22">
    <w:name w:val="List 2"/>
    <w:basedOn w:val="1"/>
    <w:qFormat/>
    <w:uiPriority w:val="0"/>
    <w:pPr>
      <w:ind w:left="100" w:leftChars="200" w:hanging="200" w:hangingChars="200"/>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toc 8"/>
    <w:basedOn w:val="1"/>
    <w:next w:val="1"/>
    <w:qFormat/>
    <w:uiPriority w:val="0"/>
    <w:pPr>
      <w:ind w:left="1470"/>
      <w:jc w:val="left"/>
    </w:pPr>
    <w:rPr>
      <w:sz w:val="18"/>
      <w:szCs w:val="18"/>
    </w:rPr>
  </w:style>
  <w:style w:type="paragraph" w:styleId="27">
    <w:name w:val="index 3"/>
    <w:basedOn w:val="1"/>
    <w:next w:val="1"/>
    <w:qFormat/>
    <w:uiPriority w:val="0"/>
    <w:pPr>
      <w:ind w:left="400" w:leftChars="400"/>
    </w:pPr>
    <w:rPr>
      <w:rFonts w:ascii="宋体"/>
      <w:sz w:val="24"/>
      <w:szCs w:val="20"/>
    </w:rPr>
  </w:style>
  <w:style w:type="paragraph" w:styleId="28">
    <w:name w:val="Date"/>
    <w:basedOn w:val="1"/>
    <w:next w:val="1"/>
    <w:link w:val="215"/>
    <w:qFormat/>
    <w:uiPriority w:val="0"/>
    <w:pPr>
      <w:ind w:left="100" w:leftChars="2500"/>
    </w:pPr>
    <w:rPr>
      <w:rFonts w:ascii="Calibri" w:hAnsi="Calibri"/>
      <w:color w:val="000000"/>
      <w:sz w:val="24"/>
    </w:rPr>
  </w:style>
  <w:style w:type="paragraph" w:styleId="29">
    <w:name w:val="Body Text Indent 2"/>
    <w:basedOn w:val="1"/>
    <w:link w:val="273"/>
    <w:qFormat/>
    <w:uiPriority w:val="0"/>
    <w:pPr>
      <w:widowControl/>
      <w:spacing w:line="480" w:lineRule="atLeast"/>
      <w:ind w:firstLine="480"/>
    </w:pPr>
    <w:rPr>
      <w:rFonts w:ascii="宋体" w:hAnsi="Calibri"/>
      <w:kern w:val="0"/>
      <w:sz w:val="24"/>
      <w:szCs w:val="20"/>
    </w:rPr>
  </w:style>
  <w:style w:type="paragraph" w:styleId="30">
    <w:name w:val="Balloon Text"/>
    <w:basedOn w:val="1"/>
    <w:link w:val="194"/>
    <w:qFormat/>
    <w:uiPriority w:val="0"/>
    <w:rPr>
      <w:rFonts w:ascii="Calibri" w:hAnsi="Calibri"/>
      <w:sz w:val="18"/>
      <w:szCs w:val="18"/>
    </w:rPr>
  </w:style>
  <w:style w:type="paragraph" w:styleId="31">
    <w:name w:val="footer"/>
    <w:basedOn w:val="1"/>
    <w:link w:val="199"/>
    <w:qFormat/>
    <w:uiPriority w:val="99"/>
    <w:pPr>
      <w:tabs>
        <w:tab w:val="center" w:pos="4153"/>
        <w:tab w:val="right" w:pos="8306"/>
      </w:tabs>
      <w:snapToGrid w:val="0"/>
      <w:jc w:val="left"/>
    </w:pPr>
    <w:rPr>
      <w:rFonts w:ascii="Calibri" w:hAnsi="Calibri"/>
      <w:sz w:val="18"/>
      <w:szCs w:val="18"/>
    </w:rPr>
  </w:style>
  <w:style w:type="paragraph" w:styleId="32">
    <w:name w:val="header"/>
    <w:basedOn w:val="1"/>
    <w:link w:val="23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qFormat/>
    <w:uiPriority w:val="39"/>
    <w:pPr>
      <w:tabs>
        <w:tab w:val="right" w:leader="dot" w:pos="9403"/>
      </w:tabs>
      <w:snapToGrid w:val="0"/>
      <w:spacing w:line="360" w:lineRule="auto"/>
    </w:pPr>
    <w:rPr>
      <w:b/>
      <w:bCs/>
      <w:caps/>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29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toc 6"/>
    <w:basedOn w:val="1"/>
    <w:next w:val="1"/>
    <w:qFormat/>
    <w:uiPriority w:val="0"/>
    <w:pPr>
      <w:ind w:left="1050"/>
      <w:jc w:val="left"/>
    </w:pPr>
    <w:rPr>
      <w:sz w:val="18"/>
      <w:szCs w:val="18"/>
    </w:rPr>
  </w:style>
  <w:style w:type="paragraph" w:styleId="38">
    <w:name w:val="List 5"/>
    <w:basedOn w:val="1"/>
    <w:qFormat/>
    <w:uiPriority w:val="0"/>
    <w:pPr>
      <w:ind w:left="100" w:leftChars="800" w:hanging="200" w:hangingChars="200"/>
    </w:pPr>
    <w:rPr>
      <w:szCs w:val="20"/>
    </w:rPr>
  </w:style>
  <w:style w:type="paragraph" w:styleId="39">
    <w:name w:val="Body Text Indent 3"/>
    <w:basedOn w:val="1"/>
    <w:link w:val="272"/>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0">
    <w:name w:val="toc 2"/>
    <w:basedOn w:val="1"/>
    <w:next w:val="1"/>
    <w:qFormat/>
    <w:uiPriority w:val="39"/>
    <w:pPr>
      <w:tabs>
        <w:tab w:val="right" w:leader="dot" w:pos="9403"/>
      </w:tabs>
      <w:snapToGrid w:val="0"/>
      <w:spacing w:line="360" w:lineRule="auto"/>
      <w:ind w:firstLine="200" w:firstLineChars="200"/>
    </w:pPr>
    <w:rPr>
      <w:smallCaps/>
    </w:rPr>
  </w:style>
  <w:style w:type="paragraph" w:styleId="41">
    <w:name w:val="toc 9"/>
    <w:basedOn w:val="1"/>
    <w:next w:val="1"/>
    <w:qFormat/>
    <w:uiPriority w:val="0"/>
    <w:pPr>
      <w:ind w:left="1680"/>
      <w:jc w:val="left"/>
    </w:pPr>
    <w:rPr>
      <w:sz w:val="18"/>
      <w:szCs w:val="18"/>
    </w:rPr>
  </w:style>
  <w:style w:type="paragraph" w:styleId="42">
    <w:name w:val="Body Text 2"/>
    <w:basedOn w:val="1"/>
    <w:link w:val="189"/>
    <w:qFormat/>
    <w:uiPriority w:val="0"/>
    <w:rPr>
      <w:rFonts w:ascii="Calibri" w:hAnsi="Calibri"/>
      <w:b/>
      <w:bCs/>
      <w:color w:val="000000"/>
      <w:sz w:val="28"/>
    </w:rPr>
  </w:style>
  <w:style w:type="paragraph" w:styleId="43">
    <w:name w:val="List 4"/>
    <w:basedOn w:val="1"/>
    <w:qFormat/>
    <w:uiPriority w:val="0"/>
    <w:pPr>
      <w:ind w:left="100" w:leftChars="600" w:hanging="200" w:hangingChars="200"/>
    </w:pPr>
    <w:rPr>
      <w:szCs w:val="20"/>
    </w:rPr>
  </w:style>
  <w:style w:type="paragraph" w:styleId="44">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index 2"/>
    <w:basedOn w:val="1"/>
    <w:next w:val="1"/>
    <w:qFormat/>
    <w:uiPriority w:val="0"/>
    <w:pPr>
      <w:ind w:left="200" w:leftChars="200"/>
    </w:pPr>
    <w:rPr>
      <w:rFonts w:ascii="宋体"/>
      <w:sz w:val="24"/>
      <w:szCs w:val="20"/>
    </w:rPr>
  </w:style>
  <w:style w:type="paragraph" w:styleId="48">
    <w:name w:val="Title"/>
    <w:basedOn w:val="1"/>
    <w:next w:val="6"/>
    <w:link w:val="64"/>
    <w:qFormat/>
    <w:uiPriority w:val="0"/>
    <w:pPr>
      <w:jc w:val="center"/>
    </w:pPr>
    <w:rPr>
      <w:rFonts w:ascii="Calibri" w:hAnsi="Calibri"/>
      <w:sz w:val="30"/>
    </w:rPr>
  </w:style>
  <w:style w:type="paragraph" w:styleId="49">
    <w:name w:val="annotation subject"/>
    <w:basedOn w:val="18"/>
    <w:next w:val="18"/>
    <w:link w:val="260"/>
    <w:qFormat/>
    <w:uiPriority w:val="0"/>
    <w:rPr>
      <w:b/>
      <w:bCs/>
    </w:rPr>
  </w:style>
  <w:style w:type="paragraph" w:styleId="50">
    <w:name w:val="Body Text First Indent"/>
    <w:basedOn w:val="20"/>
    <w:link w:val="290"/>
    <w:qFormat/>
    <w:uiPriority w:val="0"/>
    <w:pPr>
      <w:ind w:firstLine="420" w:firstLineChars="1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rPr>
  </w:style>
  <w:style w:type="character" w:styleId="55">
    <w:name w:val="page number"/>
    <w:qFormat/>
    <w:uiPriority w:val="0"/>
    <w:rPr>
      <w:rFonts w:eastAsia="Arial"/>
    </w:rPr>
  </w:style>
  <w:style w:type="character" w:styleId="56">
    <w:name w:val="FollowedHyperlink"/>
    <w:qFormat/>
    <w:uiPriority w:val="0"/>
    <w:rPr>
      <w:color w:val="800080"/>
      <w:u w:val="single"/>
    </w:rPr>
  </w:style>
  <w:style w:type="character" w:styleId="57">
    <w:name w:val="Emphasis"/>
    <w:qFormat/>
    <w:uiPriority w:val="20"/>
    <w:rPr>
      <w:color w:val="CC0033"/>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3"/>
    <w:semiHidden/>
    <w:unhideWhenUsed/>
    <w:qFormat/>
    <w:uiPriority w:val="0"/>
    <w:rPr>
      <w:rFonts w:ascii="Courier New" w:hAnsi="Courier New"/>
    </w:rPr>
  </w:style>
  <w:style w:type="paragraph" w:customStyle="1" w:styleId="61">
    <w:name w:val="首行缩进"/>
    <w:basedOn w:val="1"/>
    <w:qFormat/>
    <w:uiPriority w:val="0"/>
    <w:rPr>
      <w:lang w:val="zh-CN"/>
    </w:rPr>
  </w:style>
  <w:style w:type="character" w:customStyle="1" w:styleId="62">
    <w:name w:val="标题 1 字符"/>
    <w:link w:val="2"/>
    <w:qFormat/>
    <w:uiPriority w:val="0"/>
    <w:rPr>
      <w:rFonts w:eastAsia="宋体"/>
      <w:b/>
      <w:color w:val="000000"/>
      <w:kern w:val="2"/>
      <w:sz w:val="32"/>
      <w:szCs w:val="24"/>
    </w:rPr>
  </w:style>
  <w:style w:type="character" w:customStyle="1" w:styleId="63">
    <w:name w:val="标题 3 字符"/>
    <w:link w:val="4"/>
    <w:qFormat/>
    <w:uiPriority w:val="0"/>
    <w:rPr>
      <w:rFonts w:ascii="Times New Roman" w:hAnsi="Times New Roman" w:eastAsia="华文中宋"/>
      <w:b/>
      <w:kern w:val="2"/>
      <w:sz w:val="24"/>
    </w:rPr>
  </w:style>
  <w:style w:type="character" w:customStyle="1" w:styleId="64">
    <w:name w:val="标题 字符"/>
    <w:link w:val="48"/>
    <w:qFormat/>
    <w:uiPriority w:val="0"/>
    <w:rPr>
      <w:kern w:val="2"/>
      <w:sz w:val="30"/>
      <w:szCs w:val="24"/>
    </w:rPr>
  </w:style>
  <w:style w:type="character" w:customStyle="1" w:styleId="65">
    <w:name w:val="标题 2 字符"/>
    <w:link w:val="3"/>
    <w:qFormat/>
    <w:uiPriority w:val="0"/>
    <w:rPr>
      <w:rFonts w:ascii="Arial" w:hAnsi="Arial" w:eastAsia="华文中宋"/>
      <w:b/>
      <w:bCs/>
      <w:kern w:val="2"/>
      <w:sz w:val="32"/>
      <w:szCs w:val="32"/>
    </w:rPr>
  </w:style>
  <w:style w:type="character" w:customStyle="1" w:styleId="66">
    <w:name w:val="标题 4 字符"/>
    <w:link w:val="5"/>
    <w:qFormat/>
    <w:uiPriority w:val="0"/>
    <w:rPr>
      <w:rFonts w:ascii="Cambria" w:hAnsi="Cambria" w:eastAsia="华文中宋"/>
      <w:b/>
      <w:bCs/>
      <w:kern w:val="2"/>
      <w:sz w:val="28"/>
      <w:szCs w:val="28"/>
    </w:rPr>
  </w:style>
  <w:style w:type="character" w:customStyle="1" w:styleId="67">
    <w:name w:val="标题 5 字符"/>
    <w:link w:val="7"/>
    <w:qFormat/>
    <w:uiPriority w:val="0"/>
    <w:rPr>
      <w:rFonts w:ascii="Times New Roman" w:hAnsi="Times New Roman" w:eastAsia="华文中宋"/>
      <w:b/>
      <w:bCs/>
      <w:kern w:val="2"/>
      <w:sz w:val="24"/>
      <w:szCs w:val="28"/>
    </w:rPr>
  </w:style>
  <w:style w:type="paragraph" w:customStyle="1" w:styleId="68">
    <w:name w:val="Default"/>
    <w:next w:val="1"/>
    <w:link w:val="252"/>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
    <w:name w:val="标题5"/>
    <w:basedOn w:val="4"/>
    <w:link w:val="241"/>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6">
    <w:name w:val="列出段落1"/>
    <w:basedOn w:val="1"/>
    <w:link w:val="265"/>
    <w:qFormat/>
    <w:uiPriority w:val="0"/>
    <w:pPr>
      <w:ind w:firstLine="420" w:firstLineChars="200"/>
    </w:pPr>
    <w:rPr>
      <w:rFonts w:ascii="Calibri" w:hAnsi="Calibri"/>
      <w:szCs w:val="22"/>
    </w:rPr>
  </w:style>
  <w:style w:type="paragraph" w:customStyle="1" w:styleId="77">
    <w:name w:val="引用1"/>
    <w:basedOn w:val="1"/>
    <w:next w:val="1"/>
    <w:link w:val="282"/>
    <w:qFormat/>
    <w:uiPriority w:val="0"/>
    <w:rPr>
      <w:rFonts w:ascii="Calibri" w:hAnsi="Calibri"/>
      <w:i/>
      <w:iCs/>
      <w:color w:val="000000"/>
      <w:szCs w:val="22"/>
    </w:rPr>
  </w:style>
  <w:style w:type="paragraph" w:customStyle="1" w:styleId="7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9">
    <w:name w:val="正文2"/>
    <w:basedOn w:val="1"/>
    <w:link w:val="190"/>
    <w:qFormat/>
    <w:uiPriority w:val="0"/>
    <w:pPr>
      <w:spacing w:before="156" w:line="360" w:lineRule="auto"/>
      <w:ind w:firstLine="510" w:firstLineChars="200"/>
    </w:pPr>
    <w:rPr>
      <w:rFonts w:ascii="Calibri" w:hAnsi="Calibri"/>
      <w:sz w:val="24"/>
      <w:szCs w:val="20"/>
    </w:rPr>
  </w:style>
  <w:style w:type="paragraph" w:customStyle="1" w:styleId="80">
    <w:name w:val="Char1"/>
    <w:basedOn w:val="1"/>
    <w:qFormat/>
    <w:uiPriority w:val="0"/>
    <w:pPr>
      <w:spacing w:line="360" w:lineRule="auto"/>
      <w:ind w:firstLine="480" w:firstLineChars="200"/>
    </w:pPr>
    <w:rPr>
      <w:rFonts w:ascii="宋体" w:hAnsi="宋体"/>
      <w:color w:val="000000"/>
      <w:sz w:val="24"/>
    </w:rPr>
  </w:style>
  <w:style w:type="paragraph" w:customStyle="1" w:styleId="81">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
    <w:name w:val="Char4"/>
    <w:basedOn w:val="14"/>
    <w:qFormat/>
    <w:uiPriority w:val="0"/>
    <w:pPr>
      <w:widowControl/>
      <w:spacing w:afterLines="50" w:line="360" w:lineRule="auto"/>
      <w:ind w:firstLine="480"/>
      <w:jc w:val="left"/>
    </w:p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Char1 Char Char Char"/>
    <w:basedOn w:val="1"/>
    <w:qFormat/>
    <w:uiPriority w:val="0"/>
    <w:rPr>
      <w:szCs w:val="20"/>
    </w:rPr>
  </w:style>
  <w:style w:type="paragraph" w:customStyle="1" w:styleId="85">
    <w:name w:val="Char Char Char Char Char Char Char"/>
    <w:basedOn w:val="1"/>
    <w:qFormat/>
    <w:uiPriority w:val="0"/>
    <w:pPr>
      <w:tabs>
        <w:tab w:val="left" w:pos="432"/>
      </w:tabs>
      <w:ind w:left="432" w:hanging="432"/>
    </w:pPr>
    <w:rPr>
      <w:szCs w:val="20"/>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7">
    <w:name w:val="Char"/>
    <w:basedOn w:val="32"/>
    <w:next w:val="32"/>
    <w:link w:val="202"/>
    <w:qFormat/>
    <w:uiPriority w:val="0"/>
    <w:pPr>
      <w:snapToGrid/>
      <w:jc w:val="right"/>
    </w:pPr>
    <w:rPr>
      <w:rFonts w:ascii="宋体" w:hAnsi="宋体"/>
      <w:b/>
      <w:sz w:val="21"/>
      <w:szCs w:val="21"/>
    </w:rPr>
  </w:style>
  <w:style w:type="paragraph" w:customStyle="1" w:styleId="88">
    <w:name w:val="样式 样式 标题 3 + Calibri 加粗 左侧:  0 厘米 + 黑色 首行缩进:  2 字符"/>
    <w:basedOn w:val="89"/>
    <w:qFormat/>
    <w:uiPriority w:val="0"/>
    <w:pPr>
      <w:spacing w:beforeLines="100"/>
    </w:pPr>
    <w:rPr>
      <w:color w:val="000000"/>
    </w:rPr>
  </w:style>
  <w:style w:type="paragraph" w:customStyle="1" w:styleId="89">
    <w:name w:val="样式 标题 3 + Calibri 加粗 左侧:  0 厘米"/>
    <w:basedOn w:val="4"/>
    <w:qFormat/>
    <w:uiPriority w:val="0"/>
    <w:pPr>
      <w:widowControl w:val="0"/>
      <w:autoSpaceDE/>
      <w:autoSpaceDN/>
      <w:spacing w:line="360" w:lineRule="auto"/>
      <w:ind w:firstLine="200" w:firstLineChars="200"/>
    </w:pPr>
    <w:rPr>
      <w:rFonts w:ascii="Calibri" w:hAnsi="Calibri" w:cs="宋体"/>
      <w:bCs/>
    </w:rPr>
  </w:style>
  <w:style w:type="paragraph" w:customStyle="1" w:styleId="90">
    <w:name w:val="Char Char4 Char Char Char Char"/>
    <w:basedOn w:val="1"/>
    <w:qFormat/>
    <w:uiPriority w:val="0"/>
    <w:rPr>
      <w:rFonts w:eastAsia="仿宋_GB2312"/>
      <w:sz w:val="28"/>
    </w:rPr>
  </w:style>
  <w:style w:type="paragraph" w:customStyle="1" w:styleId="91">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2">
    <w:name w:val="样式 纯文本普通文字 Char纯文本 Char Char普通文字纯文本 Char Char Char Char Char..."/>
    <w:basedOn w:val="2"/>
    <w:next w:val="2"/>
    <w:qFormat/>
    <w:uiPriority w:val="0"/>
    <w:pPr>
      <w:keepLines/>
      <w:jc w:val="both"/>
    </w:pPr>
    <w:rPr>
      <w:rFonts w:ascii="宋体"/>
      <w:bCs/>
      <w:kern w:val="44"/>
      <w:sz w:val="36"/>
      <w:szCs w:val="44"/>
    </w:rPr>
  </w:style>
  <w:style w:type="paragraph" w:customStyle="1" w:styleId="93">
    <w:name w:val="正文宋体"/>
    <w:basedOn w:val="1"/>
    <w:qFormat/>
    <w:uiPriority w:val="0"/>
    <w:pPr>
      <w:spacing w:line="360" w:lineRule="auto"/>
    </w:pPr>
    <w:rPr>
      <w:rFonts w:ascii="宋体" w:hAnsi="宋体"/>
      <w:sz w:val="24"/>
    </w:rPr>
  </w:style>
  <w:style w:type="paragraph" w:customStyle="1" w:styleId="94">
    <w:name w:val="样式 标题 3 + 小三"/>
    <w:basedOn w:val="4"/>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5">
    <w:name w:val="xl6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6">
    <w:name w:val="明显引用1"/>
    <w:basedOn w:val="1"/>
    <w:next w:val="1"/>
    <w:link w:val="245"/>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7">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8">
    <w:name w:val="Char1 Char Char Char1"/>
    <w:basedOn w:val="1"/>
    <w:qFormat/>
    <w:uiPriority w:val="0"/>
    <w:rPr>
      <w:szCs w:val="20"/>
    </w:rPr>
  </w:style>
  <w:style w:type="paragraph" w:customStyle="1" w:styleId="99">
    <w:name w:val="Char41"/>
    <w:basedOn w:val="14"/>
    <w:qFormat/>
    <w:uiPriority w:val="0"/>
    <w:pPr>
      <w:widowControl/>
      <w:spacing w:afterLines="50" w:line="360" w:lineRule="auto"/>
      <w:ind w:firstLine="480"/>
      <w:jc w:val="left"/>
    </w:pPr>
  </w:style>
  <w:style w:type="paragraph" w:customStyle="1" w:styleId="100">
    <w:name w:val="样式 标题 2 + 小四"/>
    <w:basedOn w:val="3"/>
    <w:link w:val="207"/>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101">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3">
    <w:name w:val="内文"/>
    <w:link w:val="244"/>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4">
    <w:name w:val="样式 纯文本普通文字 Char纯文本 Char Char普通文字纯文本 Char Char Char Char Char...2"/>
    <w:basedOn w:val="4"/>
    <w:next w:val="4"/>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5">
    <w:name w:val="No Spacing1"/>
    <w:qFormat/>
    <w:uiPriority w:val="0"/>
    <w:rPr>
      <w:rFonts w:ascii="Calibri" w:hAnsi="Calibri" w:eastAsia="宋体" w:cs="Times New Roman"/>
      <w:sz w:val="22"/>
      <w:szCs w:val="22"/>
      <w:lang w:val="en-US" w:eastAsia="en-US" w:bidi="ar-SA"/>
    </w:rPr>
  </w:style>
  <w:style w:type="paragraph" w:customStyle="1" w:styleId="106">
    <w:name w:val="样式 标题 3 + (中文) 黑体 小四 非加粗 段前: 7.8 磅 段后: 0 磅 行距: 固定值 20 磅"/>
    <w:basedOn w:val="4"/>
    <w:qFormat/>
    <w:uiPriority w:val="0"/>
    <w:pPr>
      <w:keepNext/>
      <w:keepLines/>
      <w:widowControl w:val="0"/>
      <w:autoSpaceDE/>
      <w:autoSpaceDN/>
      <w:spacing w:line="400" w:lineRule="exact"/>
    </w:pPr>
    <w:rPr>
      <w:rFonts w:eastAsia="黑体" w:cs="宋体"/>
    </w:rPr>
  </w:style>
  <w:style w:type="paragraph" w:customStyle="1" w:styleId="10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8">
    <w:name w:val="样式4"/>
    <w:basedOn w:val="31"/>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普通(网站)1"/>
    <w:basedOn w:val="1"/>
    <w:qFormat/>
    <w:uiPriority w:val="0"/>
    <w:pPr>
      <w:widowControl/>
      <w:jc w:val="left"/>
    </w:pPr>
    <w:rPr>
      <w:rFonts w:ascii="ˎ̥" w:hAnsi="ˎ̥" w:cs="宋体"/>
      <w:color w:val="000000"/>
      <w:kern w:val="0"/>
      <w:sz w:val="13"/>
      <w:szCs w:val="13"/>
    </w:rPr>
  </w:style>
  <w:style w:type="paragraph" w:customStyle="1" w:styleId="111">
    <w:name w:val="无间隔1"/>
    <w:link w:val="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Char2"/>
    <w:basedOn w:val="1"/>
    <w:qFormat/>
    <w:uiPriority w:val="0"/>
    <w:rPr>
      <w:rFonts w:ascii="仿宋_GB2312" w:eastAsia="仿宋_GB2312"/>
      <w:b/>
      <w:sz w:val="32"/>
      <w:szCs w:val="32"/>
    </w:rPr>
  </w:style>
  <w:style w:type="paragraph" w:customStyle="1" w:styleId="113">
    <w:name w:val="样式 正文文本"/>
    <w:basedOn w:val="1"/>
    <w:link w:val="254"/>
    <w:qFormat/>
    <w:uiPriority w:val="0"/>
    <w:pPr>
      <w:adjustRightInd w:val="0"/>
      <w:snapToGrid w:val="0"/>
      <w:spacing w:line="400" w:lineRule="exact"/>
      <w:ind w:firstLine="200" w:firstLineChars="200"/>
    </w:pPr>
    <w:rPr>
      <w:rFonts w:ascii="Arial" w:hAnsi="Arial"/>
      <w:color w:val="000000"/>
      <w:szCs w:val="20"/>
    </w:rPr>
  </w:style>
  <w:style w:type="paragraph" w:customStyle="1" w:styleId="114">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6">
    <w:name w:val="样式3"/>
    <w:basedOn w:val="1"/>
    <w:qFormat/>
    <w:uiPriority w:val="0"/>
    <w:pPr>
      <w:spacing w:line="440" w:lineRule="exact"/>
      <w:ind w:firstLine="416" w:firstLineChars="198"/>
    </w:pPr>
    <w:rPr>
      <w:rFonts w:ascii="宋体" w:hAnsi="宋体"/>
      <w:bCs/>
      <w:szCs w:val="21"/>
    </w:rPr>
  </w:style>
  <w:style w:type="paragraph" w:customStyle="1" w:styleId="117">
    <w:name w:val="Char Char Char Char Char Char Char Char Char Char Char"/>
    <w:basedOn w:val="1"/>
    <w:qFormat/>
    <w:uiPriority w:val="0"/>
    <w:rPr>
      <w:rFonts w:ascii="Tahoma" w:hAnsi="Tahoma"/>
      <w:sz w:val="24"/>
      <w:szCs w:val="20"/>
    </w:rPr>
  </w:style>
  <w:style w:type="paragraph" w:customStyle="1" w:styleId="118">
    <w:name w:val="xl65"/>
    <w:basedOn w:val="1"/>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9">
    <w:name w:val="样式 样式1 + 首行缩进:  2 字符"/>
    <w:basedOn w:val="1"/>
    <w:qFormat/>
    <w:uiPriority w:val="0"/>
    <w:pPr>
      <w:spacing w:line="360" w:lineRule="exact"/>
      <w:ind w:firstLine="420" w:firstLineChars="200"/>
    </w:pPr>
    <w:rPr>
      <w:rFonts w:ascii="Arial" w:hAnsi="Arial"/>
      <w:szCs w:val="20"/>
    </w:rPr>
  </w:style>
  <w:style w:type="paragraph" w:customStyle="1" w:styleId="120">
    <w:name w:val="Char31"/>
    <w:basedOn w:val="1"/>
    <w:qFormat/>
    <w:uiPriority w:val="0"/>
    <w:rPr>
      <w:szCs w:val="20"/>
    </w:rPr>
  </w:style>
  <w:style w:type="paragraph" w:customStyle="1" w:styleId="12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纯文本普通文字 Char纯文本 Char Char普通文字纯文本 Char Char Char Char Char...1"/>
    <w:basedOn w:val="3"/>
    <w:next w:val="3"/>
    <w:qFormat/>
    <w:uiPriority w:val="0"/>
    <w:pPr>
      <w:ind w:firstLine="0" w:firstLineChars="0"/>
    </w:pPr>
    <w:rPr>
      <w:rFonts w:eastAsia="黑体"/>
      <w:color w:val="000000"/>
      <w:sz w:val="30"/>
    </w:rPr>
  </w:style>
  <w:style w:type="paragraph" w:customStyle="1" w:styleId="123">
    <w:name w:val="彩色列表 - 强调文字颜色 11"/>
    <w:basedOn w:val="1"/>
    <w:link w:val="235"/>
    <w:qFormat/>
    <w:uiPriority w:val="0"/>
    <w:pPr>
      <w:ind w:firstLine="420" w:firstLineChars="200"/>
    </w:pPr>
    <w:rPr>
      <w:rFonts w:ascii="Calibri" w:hAnsi="Calibri"/>
    </w:rPr>
  </w:style>
  <w:style w:type="paragraph" w:customStyle="1" w:styleId="124">
    <w:name w:val="样式 正文文本 + 首行缩进:  2 字符1"/>
    <w:basedOn w:val="20"/>
    <w:qFormat/>
    <w:uiPriority w:val="0"/>
    <w:pPr>
      <w:adjustRightInd w:val="0"/>
      <w:snapToGrid w:val="0"/>
      <w:spacing w:after="0" w:line="400" w:lineRule="exact"/>
      <w:ind w:firstLine="200" w:firstLineChars="200"/>
    </w:pPr>
    <w:rPr>
      <w:rFonts w:ascii="Arial" w:hAnsi="Arial" w:cs="宋体"/>
      <w:szCs w:val="20"/>
    </w:rPr>
  </w:style>
  <w:style w:type="paragraph" w:customStyle="1" w:styleId="125">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126">
    <w:name w:val="样式 标题 3 + 段前: 7.8 磅"/>
    <w:basedOn w:val="4"/>
    <w:qFormat/>
    <w:uiPriority w:val="0"/>
    <w:pPr>
      <w:widowControl w:val="0"/>
      <w:tabs>
        <w:tab w:val="left" w:pos="1280"/>
      </w:tabs>
      <w:autoSpaceDE/>
      <w:autoSpaceDN/>
      <w:spacing w:before="156" w:line="360" w:lineRule="auto"/>
      <w:ind w:left="1280" w:hanging="720"/>
    </w:pPr>
    <w:rPr>
      <w:rFonts w:cs="宋体"/>
    </w:rPr>
  </w:style>
  <w:style w:type="paragraph" w:customStyle="1" w:styleId="127">
    <w:name w:val="默认段落字体 Para Char"/>
    <w:basedOn w:val="1"/>
    <w:qFormat/>
    <w:uiPriority w:val="0"/>
    <w:pPr>
      <w:numPr>
        <w:ilvl w:val="0"/>
        <w:numId w:val="1"/>
      </w:numPr>
      <w:tabs>
        <w:tab w:val="left" w:pos="454"/>
        <w:tab w:val="clear" w:pos="460"/>
      </w:tabs>
    </w:pPr>
  </w:style>
  <w:style w:type="paragraph" w:customStyle="1" w:styleId="128">
    <w:name w:val="CM2"/>
    <w:basedOn w:val="1"/>
    <w:next w:val="1"/>
    <w:qFormat/>
    <w:uiPriority w:val="0"/>
    <w:pPr>
      <w:autoSpaceDE w:val="0"/>
      <w:autoSpaceDN w:val="0"/>
      <w:adjustRightInd w:val="0"/>
      <w:spacing w:line="500" w:lineRule="atLeast"/>
      <w:jc w:val="left"/>
    </w:pPr>
    <w:rPr>
      <w:rFonts w:ascii="宋体"/>
      <w:kern w:val="0"/>
      <w:sz w:val="24"/>
    </w:rPr>
  </w:style>
  <w:style w:type="paragraph" w:customStyle="1" w:styleId="12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2">
    <w:name w:val="多级符号2"/>
    <w:basedOn w:val="1"/>
    <w:qFormat/>
    <w:uiPriority w:val="0"/>
    <w:pPr>
      <w:tabs>
        <w:tab w:val="left" w:pos="454"/>
      </w:tabs>
      <w:spacing w:line="360" w:lineRule="auto"/>
      <w:ind w:firstLine="420"/>
      <w:jc w:val="left"/>
    </w:pPr>
    <w:rPr>
      <w:rFonts w:eastAsia="仿宋_GB2312"/>
      <w:sz w:val="24"/>
    </w:rPr>
  </w:style>
  <w:style w:type="paragraph" w:customStyle="1" w:styleId="13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4">
    <w:name w:val="样式1"/>
    <w:basedOn w:val="1"/>
    <w:link w:val="229"/>
    <w:qFormat/>
    <w:uiPriority w:val="0"/>
    <w:pPr>
      <w:spacing w:line="360" w:lineRule="exact"/>
      <w:ind w:firstLine="200" w:firstLineChars="200"/>
    </w:pPr>
    <w:rPr>
      <w:rFonts w:ascii="Arial" w:hAnsi="Arial"/>
    </w:rPr>
  </w:style>
  <w:style w:type="paragraph" w:customStyle="1" w:styleId="135">
    <w:name w:val="样式 纯文本普通文字 Char纯文本 Char Char普通文字纯文本 Char Char Char Char Char...5"/>
    <w:basedOn w:val="4"/>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6">
    <w:name w:val="样式 纯文本普通文字 Char纯文本 Char Char普通文字纯文本 Char Char Char Char Char...4"/>
    <w:basedOn w:val="4"/>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1">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2">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Char1 Char Char Char Char Char Char"/>
    <w:basedOn w:val="1"/>
    <w:qFormat/>
    <w:uiPriority w:val="0"/>
    <w:rPr>
      <w:rFonts w:ascii="仿宋_GB2312" w:eastAsia="仿宋_GB2312"/>
      <w:b/>
      <w:sz w:val="32"/>
      <w:szCs w:val="32"/>
    </w:rPr>
  </w:style>
  <w:style w:type="paragraph" w:customStyle="1" w:styleId="145">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6">
    <w:name w:val="_Style 137"/>
    <w:basedOn w:val="2"/>
    <w:next w:val="1"/>
    <w:qFormat/>
    <w:uiPriority w:val="0"/>
    <w:pPr>
      <w:keepLines/>
      <w:spacing w:before="340" w:after="330" w:line="576" w:lineRule="auto"/>
      <w:jc w:val="both"/>
      <w:outlineLvl w:val="9"/>
    </w:pPr>
    <w:rPr>
      <w:rFonts w:ascii="宋体"/>
      <w:bCs/>
      <w:color w:val="auto"/>
      <w:kern w:val="44"/>
      <w:sz w:val="44"/>
      <w:szCs w:val="44"/>
    </w:rPr>
  </w:style>
  <w:style w:type="paragraph" w:customStyle="1" w:styleId="147">
    <w:name w:val="Char Char3 Char"/>
    <w:basedOn w:val="1"/>
    <w:qFormat/>
    <w:uiPriority w:val="0"/>
    <w:rPr>
      <w:rFonts w:ascii="仿宋_GB2312" w:eastAsia="仿宋_GB2312"/>
      <w:b/>
      <w:sz w:val="32"/>
      <w:szCs w:val="32"/>
    </w:rPr>
  </w:style>
  <w:style w:type="paragraph" w:customStyle="1" w:styleId="148">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1 Char Char Char Char Char Char"/>
    <w:basedOn w:val="1"/>
    <w:qFormat/>
    <w:uiPriority w:val="0"/>
  </w:style>
  <w:style w:type="paragraph" w:customStyle="1" w:styleId="150">
    <w:name w:val="Blockquote"/>
    <w:basedOn w:val="1"/>
    <w:link w:val="233"/>
    <w:qFormat/>
    <w:uiPriority w:val="0"/>
    <w:pPr>
      <w:autoSpaceDE w:val="0"/>
      <w:autoSpaceDN w:val="0"/>
      <w:adjustRightInd w:val="0"/>
      <w:spacing w:before="100" w:after="100"/>
      <w:ind w:left="360" w:right="360"/>
      <w:jc w:val="left"/>
    </w:pPr>
    <w:rPr>
      <w:rFonts w:ascii="Calibri" w:hAnsi="Calibri"/>
      <w:sz w:val="24"/>
    </w:rPr>
  </w:style>
  <w:style w:type="paragraph" w:customStyle="1" w:styleId="151">
    <w:name w:val="样式 标题 2 + Times New Roman 四号 非加粗 段前: 5 磅 段后: 0 磅 行距: 固定值 20..."/>
    <w:basedOn w:val="3"/>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2">
    <w:name w:val="样式 样式 纯文本普通文字 Char纯文本 Char Char普通文字纯文本 Char Char Char Char Char...."/>
    <w:basedOn w:val="122"/>
    <w:qFormat/>
    <w:uiPriority w:val="0"/>
    <w:pPr>
      <w:jc w:val="center"/>
    </w:pPr>
    <w:rPr>
      <w:rFonts w:ascii="宋体" w:hAnsi="宋体" w:eastAsia="宋体" w:cs="宋体"/>
      <w:bCs w:val="0"/>
      <w:szCs w:val="20"/>
    </w:rPr>
  </w:style>
  <w:style w:type="paragraph" w:customStyle="1" w:styleId="15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4">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p0"/>
    <w:basedOn w:val="1"/>
    <w:qFormat/>
    <w:uiPriority w:val="0"/>
    <w:pPr>
      <w:widowControl/>
    </w:pPr>
    <w:rPr>
      <w:kern w:val="0"/>
      <w:szCs w:val="21"/>
    </w:rPr>
  </w:style>
  <w:style w:type="paragraph" w:customStyle="1" w:styleId="156">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7">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8">
    <w:name w:val="表格文字"/>
    <w:basedOn w:val="1"/>
    <w:qFormat/>
    <w:uiPriority w:val="0"/>
    <w:pPr>
      <w:adjustRightInd w:val="0"/>
      <w:spacing w:line="420" w:lineRule="atLeast"/>
      <w:jc w:val="left"/>
      <w:textAlignment w:val="baseline"/>
    </w:pPr>
    <w:rPr>
      <w:kern w:val="0"/>
      <w:szCs w:val="20"/>
    </w:rPr>
  </w:style>
  <w:style w:type="paragraph" w:customStyle="1" w:styleId="159">
    <w:name w:val="彩色列表 - 强调文字颜色 12"/>
    <w:basedOn w:val="1"/>
    <w:qFormat/>
    <w:uiPriority w:val="34"/>
    <w:pPr>
      <w:ind w:firstLine="420" w:firstLineChars="200"/>
    </w:pPr>
  </w:style>
  <w:style w:type="paragraph" w:customStyle="1" w:styleId="160">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1">
    <w:name w:val="Char3"/>
    <w:basedOn w:val="1"/>
    <w:qFormat/>
    <w:uiPriority w:val="0"/>
    <w:rPr>
      <w:rFonts w:ascii="仿宋_GB2312" w:eastAsia="仿宋_GB2312"/>
      <w:b/>
      <w:sz w:val="32"/>
      <w:szCs w:val="32"/>
    </w:rPr>
  </w:style>
  <w:style w:type="paragraph" w:customStyle="1" w:styleId="162">
    <w:name w:val="正文－恩普"/>
    <w:basedOn w:val="14"/>
    <w:qFormat/>
    <w:uiPriority w:val="0"/>
    <w:pPr>
      <w:widowControl/>
      <w:spacing w:afterLines="50" w:line="360" w:lineRule="auto"/>
      <w:ind w:firstLine="480"/>
      <w:jc w:val="left"/>
    </w:pPr>
    <w:rPr>
      <w:kern w:val="0"/>
      <w:sz w:val="24"/>
      <w:szCs w:val="20"/>
    </w:rPr>
  </w:style>
  <w:style w:type="paragraph" w:customStyle="1" w:styleId="163">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color w:val="auto"/>
      <w:kern w:val="44"/>
      <w:szCs w:val="20"/>
    </w:rPr>
  </w:style>
  <w:style w:type="paragraph" w:customStyle="1" w:styleId="164">
    <w:name w:val="1"/>
    <w:basedOn w:val="1"/>
    <w:next w:val="39"/>
    <w:qFormat/>
    <w:uiPriority w:val="0"/>
    <w:pPr>
      <w:widowControl/>
      <w:snapToGrid w:val="0"/>
      <w:spacing w:line="440" w:lineRule="atLeast"/>
      <w:ind w:firstLine="480"/>
    </w:pPr>
    <w:rPr>
      <w:kern w:val="0"/>
      <w:sz w:val="24"/>
      <w:szCs w:val="20"/>
    </w:rPr>
  </w:style>
  <w:style w:type="paragraph" w:customStyle="1" w:styleId="165">
    <w:name w:val="_Style 63"/>
    <w:basedOn w:val="1"/>
    <w:qFormat/>
    <w:uiPriority w:val="0"/>
    <w:rPr>
      <w:rFonts w:ascii="Tahoma" w:hAnsi="Tahoma"/>
      <w:sz w:val="24"/>
      <w:szCs w:val="20"/>
    </w:rPr>
  </w:style>
  <w:style w:type="paragraph" w:customStyle="1" w:styleId="166">
    <w:name w:val="默认段落字体 Para Char Char Char Char Char Char Char"/>
    <w:basedOn w:val="1"/>
    <w:qFormat/>
    <w:uiPriority w:val="0"/>
    <w:rPr>
      <w:rFonts w:eastAsia="仿宋_GB2312"/>
      <w:sz w:val="28"/>
    </w:rPr>
  </w:style>
  <w:style w:type="paragraph" w:customStyle="1" w:styleId="167">
    <w:name w:val="样式 纯文本普通文字 Char纯文本 Char Char普通文字纯文本 Char Char Char Char Char...3"/>
    <w:basedOn w:val="4"/>
    <w:next w:val="4"/>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8">
    <w:name w:val="Char Char Char Char1"/>
    <w:basedOn w:val="1"/>
    <w:qFormat/>
    <w:uiPriority w:val="0"/>
  </w:style>
  <w:style w:type="paragraph" w:customStyle="1" w:styleId="169">
    <w:name w:val="p16"/>
    <w:basedOn w:val="1"/>
    <w:qFormat/>
    <w:uiPriority w:val="0"/>
    <w:pPr>
      <w:widowControl/>
      <w:spacing w:before="100" w:after="100"/>
      <w:jc w:val="left"/>
    </w:pPr>
    <w:rPr>
      <w:rFonts w:ascii="宋体" w:hAnsi="宋体" w:cs="宋体"/>
      <w:color w:val="000000"/>
      <w:kern w:val="0"/>
      <w:sz w:val="24"/>
    </w:rPr>
  </w:style>
  <w:style w:type="paragraph" w:customStyle="1" w:styleId="170">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72">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3">
    <w:name w:val="样式 标题 3 + Arial"/>
    <w:basedOn w:val="4"/>
    <w:qFormat/>
    <w:uiPriority w:val="0"/>
    <w:pPr>
      <w:keepNext/>
      <w:keepLines/>
      <w:widowControl w:val="0"/>
      <w:autoSpaceDE/>
      <w:autoSpaceDN/>
      <w:spacing w:beforeLines="100" w:line="360" w:lineRule="auto"/>
    </w:pPr>
    <w:rPr>
      <w:rFonts w:ascii="宋体" w:hAnsi="宋体"/>
    </w:rPr>
  </w:style>
  <w:style w:type="paragraph" w:customStyle="1" w:styleId="17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纯文本1"/>
    <w:basedOn w:val="1"/>
    <w:qFormat/>
    <w:uiPriority w:val="0"/>
    <w:pPr>
      <w:adjustRightInd w:val="0"/>
      <w:textAlignment w:val="baseline"/>
    </w:pPr>
    <w:rPr>
      <w:rFonts w:ascii="宋体" w:hAnsi="Courier New"/>
      <w:szCs w:val="20"/>
    </w:rPr>
  </w:style>
  <w:style w:type="paragraph" w:customStyle="1" w:styleId="176">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7">
    <w:name w:val="样式 纯文本普通文字 Char纯文本 Char Char普通文字纯文本 Char Char Char Char Char...7"/>
    <w:basedOn w:val="4"/>
    <w:next w:val="4"/>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8">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9">
    <w:name w:val="xl66"/>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0">
    <w:name w:val="样式 纯文本普通文字 Char纯文本 Char Char普通文字纯文本 Char Char Char Char Char...6"/>
    <w:basedOn w:val="4"/>
    <w:link w:val="212"/>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81">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8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 Char Char Char Char Char Char Char Char Char Char1"/>
    <w:basedOn w:val="1"/>
    <w:qFormat/>
    <w:uiPriority w:val="0"/>
    <w:rPr>
      <w:rFonts w:ascii="Tahoma" w:hAnsi="Tahoma"/>
      <w:sz w:val="24"/>
      <w:szCs w:val="20"/>
    </w:rPr>
  </w:style>
  <w:style w:type="paragraph" w:customStyle="1" w:styleId="184">
    <w:name w:val="_Style 175"/>
    <w:qFormat/>
    <w:uiPriority w:val="0"/>
    <w:rPr>
      <w:rFonts w:ascii="Times New Roman" w:hAnsi="Times New Roman" w:eastAsia="宋体" w:cs="Times New Roman"/>
      <w:kern w:val="2"/>
      <w:sz w:val="21"/>
      <w:szCs w:val="24"/>
      <w:lang w:val="en-US" w:eastAsia="zh-CN" w:bidi="ar-SA"/>
    </w:rPr>
  </w:style>
  <w:style w:type="paragraph" w:customStyle="1" w:styleId="185">
    <w:name w:val="内文正文"/>
    <w:basedOn w:val="6"/>
    <w:link w:val="188"/>
    <w:qFormat/>
    <w:uiPriority w:val="0"/>
    <w:pPr>
      <w:adjustRightInd w:val="0"/>
      <w:snapToGrid w:val="0"/>
      <w:spacing w:line="400" w:lineRule="exact"/>
      <w:ind w:firstLine="200" w:firstLineChars="200"/>
    </w:pPr>
    <w:rPr>
      <w:rFonts w:ascii="Arial" w:hAnsi="Arial"/>
      <w:color w:val="000000"/>
      <w:szCs w:val="21"/>
    </w:rPr>
  </w:style>
  <w:style w:type="character" w:customStyle="1" w:styleId="186">
    <w:name w:val="个人撰写风格"/>
    <w:qFormat/>
    <w:uiPriority w:val="0"/>
    <w:rPr>
      <w:rFonts w:ascii="Arial" w:hAnsi="Arial" w:eastAsia="宋体" w:cs="Arial"/>
      <w:color w:val="auto"/>
      <w:sz w:val="20"/>
    </w:rPr>
  </w:style>
  <w:style w:type="character" w:customStyle="1" w:styleId="187">
    <w:name w:val="Char Char3"/>
    <w:qFormat/>
    <w:uiPriority w:val="0"/>
    <w:rPr>
      <w:rFonts w:ascii="宋体" w:eastAsia="宋体"/>
      <w:kern w:val="2"/>
      <w:sz w:val="18"/>
      <w:szCs w:val="18"/>
      <w:lang w:val="en-US" w:eastAsia="zh-CN" w:bidi="ar-SA"/>
    </w:rPr>
  </w:style>
  <w:style w:type="character" w:customStyle="1" w:styleId="188">
    <w:name w:val="内文正文 Char"/>
    <w:link w:val="185"/>
    <w:qFormat/>
    <w:uiPriority w:val="0"/>
    <w:rPr>
      <w:rFonts w:ascii="Arial" w:hAnsi="Arial" w:cs="Courier New"/>
      <w:color w:val="000000"/>
      <w:kern w:val="2"/>
      <w:sz w:val="21"/>
      <w:szCs w:val="21"/>
    </w:rPr>
  </w:style>
  <w:style w:type="character" w:customStyle="1" w:styleId="189">
    <w:name w:val="正文文本 2 字符"/>
    <w:link w:val="42"/>
    <w:qFormat/>
    <w:uiPriority w:val="0"/>
    <w:rPr>
      <w:b/>
      <w:bCs/>
      <w:color w:val="000000"/>
      <w:kern w:val="2"/>
      <w:sz w:val="28"/>
      <w:szCs w:val="24"/>
    </w:rPr>
  </w:style>
  <w:style w:type="character" w:customStyle="1" w:styleId="190">
    <w:name w:val="正文2 Char Char"/>
    <w:link w:val="79"/>
    <w:qFormat/>
    <w:locked/>
    <w:uiPriority w:val="0"/>
    <w:rPr>
      <w:kern w:val="2"/>
      <w:sz w:val="24"/>
    </w:rPr>
  </w:style>
  <w:style w:type="character" w:customStyle="1" w:styleId="191">
    <w:name w:val="明显引用 Char2"/>
    <w:qFormat/>
    <w:uiPriority w:val="0"/>
    <w:rPr>
      <w:rFonts w:ascii="宋体"/>
      <w:b/>
      <w:bCs/>
      <w:i/>
      <w:iCs/>
      <w:color w:val="4F81BD"/>
      <w:kern w:val="2"/>
      <w:sz w:val="28"/>
    </w:rPr>
  </w:style>
  <w:style w:type="character" w:customStyle="1" w:styleId="192">
    <w:name w:val="正文文本缩进 字符"/>
    <w:link w:val="21"/>
    <w:qFormat/>
    <w:uiPriority w:val="0"/>
    <w:rPr>
      <w:rFonts w:ascii="宋体"/>
      <w:sz w:val="24"/>
    </w:rPr>
  </w:style>
  <w:style w:type="character" w:customStyle="1" w:styleId="193">
    <w:name w:val="Char Char5"/>
    <w:qFormat/>
    <w:uiPriority w:val="0"/>
    <w:rPr>
      <w:rFonts w:ascii="宋体" w:hAnsi="宋体"/>
      <w:sz w:val="28"/>
      <w:szCs w:val="28"/>
      <w:lang w:bidi="ar-SA"/>
    </w:rPr>
  </w:style>
  <w:style w:type="character" w:customStyle="1" w:styleId="194">
    <w:name w:val="批注框文本 字符"/>
    <w:link w:val="30"/>
    <w:qFormat/>
    <w:uiPriority w:val="0"/>
    <w:rPr>
      <w:kern w:val="2"/>
      <w:sz w:val="18"/>
      <w:szCs w:val="18"/>
    </w:rPr>
  </w:style>
  <w:style w:type="character" w:customStyle="1" w:styleId="195">
    <w:name w:val="Char Char22"/>
    <w:qFormat/>
    <w:uiPriority w:val="0"/>
    <w:rPr>
      <w:rFonts w:ascii="宋体"/>
      <w:b/>
      <w:bCs/>
      <w:kern w:val="44"/>
      <w:sz w:val="44"/>
      <w:szCs w:val="44"/>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内文正文 Char Char"/>
    <w:qFormat/>
    <w:uiPriority w:val="0"/>
    <w:rPr>
      <w:rFonts w:ascii="宋体" w:hAnsi="???|CS?o｡ﾀ?"/>
      <w:sz w:val="21"/>
      <w:szCs w:val="28"/>
      <w:lang w:val="en-US" w:eastAsia="zh-CN" w:bidi="ar-SA"/>
    </w:rPr>
  </w:style>
  <w:style w:type="character" w:customStyle="1" w:styleId="198">
    <w:name w:val="日期 Char1"/>
    <w:qFormat/>
    <w:uiPriority w:val="0"/>
    <w:rPr>
      <w:kern w:val="2"/>
      <w:sz w:val="21"/>
      <w:szCs w:val="22"/>
    </w:rPr>
  </w:style>
  <w:style w:type="character" w:customStyle="1" w:styleId="199">
    <w:name w:val="页脚 字符"/>
    <w:link w:val="31"/>
    <w:qFormat/>
    <w:uiPriority w:val="99"/>
    <w:rPr>
      <w:kern w:val="2"/>
      <w:sz w:val="18"/>
      <w:szCs w:val="18"/>
    </w:rPr>
  </w:style>
  <w:style w:type="character" w:customStyle="1" w:styleId="200">
    <w:name w:val="Char Char18"/>
    <w:qFormat/>
    <w:uiPriority w:val="0"/>
    <w:rPr>
      <w:rFonts w:ascii="Calibri" w:hAnsi="Calibri"/>
      <w:b/>
      <w:bCs/>
      <w:kern w:val="2"/>
      <w:sz w:val="28"/>
      <w:szCs w:val="28"/>
    </w:rPr>
  </w:style>
  <w:style w:type="character" w:customStyle="1" w:styleId="201">
    <w:name w:val="Char Char8"/>
    <w:qFormat/>
    <w:uiPriority w:val="0"/>
    <w:rPr>
      <w:rFonts w:ascii="宋体" w:eastAsia="宋体"/>
      <w:kern w:val="2"/>
      <w:sz w:val="18"/>
      <w:szCs w:val="18"/>
      <w:lang w:val="en-US" w:eastAsia="zh-CN" w:bidi="ar-SA"/>
    </w:rPr>
  </w:style>
  <w:style w:type="character" w:customStyle="1" w:styleId="202">
    <w:name w:val="Char Char Char"/>
    <w:link w:val="87"/>
    <w:qFormat/>
    <w:uiPriority w:val="0"/>
    <w:rPr>
      <w:rFonts w:ascii="宋体" w:hAnsi="宋体"/>
      <w:b/>
      <w:kern w:val="2"/>
      <w:sz w:val="21"/>
      <w:szCs w:val="21"/>
    </w:rPr>
  </w:style>
  <w:style w:type="character" w:customStyle="1" w:styleId="203">
    <w:name w:val="_Style 196"/>
    <w:qFormat/>
    <w:uiPriority w:val="0"/>
    <w:rPr>
      <w:b/>
      <w:bCs/>
      <w:smallCaps/>
      <w:color w:val="C0504D"/>
      <w:spacing w:val="5"/>
      <w:u w:val="single"/>
    </w:rPr>
  </w:style>
  <w:style w:type="character" w:customStyle="1" w:styleId="204">
    <w:name w:val="标题 9 字符"/>
    <w:link w:val="11"/>
    <w:qFormat/>
    <w:uiPriority w:val="0"/>
    <w:rPr>
      <w:rFonts w:ascii="Cambria" w:hAnsi="Cambria"/>
      <w:kern w:val="2"/>
      <w:sz w:val="21"/>
      <w:szCs w:val="21"/>
    </w:rPr>
  </w:style>
  <w:style w:type="character" w:customStyle="1" w:styleId="205">
    <w:name w:val="Char Char10"/>
    <w:qFormat/>
    <w:uiPriority w:val="0"/>
    <w:rPr>
      <w:rFonts w:ascii="Arial" w:hAnsi="Arial" w:eastAsia="黑体"/>
      <w:b/>
      <w:bCs/>
      <w:kern w:val="2"/>
      <w:sz w:val="28"/>
      <w:szCs w:val="28"/>
    </w:rPr>
  </w:style>
  <w:style w:type="character" w:customStyle="1" w:styleId="206">
    <w:name w:val="Char Char19"/>
    <w:qFormat/>
    <w:uiPriority w:val="0"/>
    <w:rPr>
      <w:rFonts w:ascii="Cambria" w:hAnsi="Cambria"/>
      <w:b/>
      <w:bCs/>
      <w:kern w:val="2"/>
      <w:sz w:val="28"/>
      <w:szCs w:val="28"/>
    </w:rPr>
  </w:style>
  <w:style w:type="character" w:customStyle="1" w:styleId="207">
    <w:name w:val="样式 标题 2 + 小四 Char Char"/>
    <w:link w:val="100"/>
    <w:qFormat/>
    <w:uiPriority w:val="0"/>
    <w:rPr>
      <w:rFonts w:ascii="宋体" w:hAnsi="宋体"/>
      <w:b/>
      <w:kern w:val="2"/>
      <w:sz w:val="36"/>
    </w:rPr>
  </w:style>
  <w:style w:type="character" w:customStyle="1" w:styleId="208">
    <w:name w:val="_Style 201"/>
    <w:qFormat/>
    <w:uiPriority w:val="0"/>
    <w:rPr>
      <w:b/>
      <w:bCs/>
      <w:smallCaps/>
      <w:spacing w:val="5"/>
    </w:rPr>
  </w:style>
  <w:style w:type="character" w:customStyle="1" w:styleId="209">
    <w:name w:val="unnamed51"/>
    <w:qFormat/>
    <w:uiPriority w:val="0"/>
    <w:rPr>
      <w:sz w:val="22"/>
      <w:szCs w:val="22"/>
    </w:rPr>
  </w:style>
  <w:style w:type="character" w:customStyle="1" w:styleId="210">
    <w:name w:val="Char Char101"/>
    <w:qFormat/>
    <w:uiPriority w:val="0"/>
    <w:rPr>
      <w:rFonts w:ascii="Arial" w:hAnsi="Arial" w:eastAsia="黑体"/>
      <w:b/>
      <w:bCs/>
      <w:kern w:val="2"/>
      <w:sz w:val="28"/>
      <w:szCs w:val="28"/>
    </w:rPr>
  </w:style>
  <w:style w:type="character" w:customStyle="1" w:styleId="211">
    <w:name w:val="标题 Char1"/>
    <w:qFormat/>
    <w:uiPriority w:val="0"/>
    <w:rPr>
      <w:rFonts w:ascii="Cambria" w:hAnsi="Cambria" w:cs="Times New Roman"/>
      <w:b/>
      <w:bCs/>
      <w:kern w:val="2"/>
      <w:sz w:val="32"/>
      <w:szCs w:val="32"/>
    </w:rPr>
  </w:style>
  <w:style w:type="character" w:customStyle="1" w:styleId="212">
    <w:name w:val="样式 纯文本普通文字 Char纯文本 Char Char普通文字纯文本 Char Char Char Char Char...6 Char"/>
    <w:link w:val="180"/>
    <w:qFormat/>
    <w:uiPriority w:val="0"/>
    <w:rPr>
      <w:bCs/>
      <w:color w:val="000000"/>
      <w:kern w:val="2"/>
      <w:sz w:val="24"/>
    </w:rPr>
  </w:style>
  <w:style w:type="character" w:customStyle="1" w:styleId="213">
    <w:name w:val="正文缩进 字符"/>
    <w:link w:val="14"/>
    <w:qFormat/>
    <w:uiPriority w:val="0"/>
    <w:rPr>
      <w:kern w:val="2"/>
      <w:sz w:val="21"/>
      <w:szCs w:val="24"/>
    </w:rPr>
  </w:style>
  <w:style w:type="character" w:customStyle="1" w:styleId="214">
    <w:name w:val="样式 正文文本 Char Char"/>
    <w:qFormat/>
    <w:uiPriority w:val="0"/>
    <w:rPr>
      <w:rFonts w:ascii="Arial" w:hAnsi="Arial" w:eastAsia="宋体" w:cs="宋体"/>
      <w:color w:val="000000"/>
      <w:kern w:val="2"/>
      <w:sz w:val="21"/>
      <w:lang w:val="en-US" w:eastAsia="zh-CN" w:bidi="ar-SA"/>
    </w:rPr>
  </w:style>
  <w:style w:type="character" w:customStyle="1" w:styleId="215">
    <w:name w:val="日期 字符"/>
    <w:link w:val="28"/>
    <w:qFormat/>
    <w:uiPriority w:val="0"/>
    <w:rPr>
      <w:color w:val="000000"/>
      <w:kern w:val="2"/>
      <w:sz w:val="24"/>
      <w:szCs w:val="24"/>
    </w:rPr>
  </w:style>
  <w:style w:type="character" w:customStyle="1" w:styleId="216">
    <w:name w:val="普通文字 Char Char2"/>
    <w:qFormat/>
    <w:uiPriority w:val="0"/>
    <w:rPr>
      <w:rFonts w:ascii="宋体" w:hAnsi="Courier New" w:eastAsia="宋体"/>
      <w:kern w:val="2"/>
      <w:sz w:val="21"/>
      <w:lang w:val="en-US" w:eastAsia="zh-CN" w:bidi="ar-SA"/>
    </w:rPr>
  </w:style>
  <w:style w:type="character" w:customStyle="1" w:styleId="217">
    <w:name w:val="批注主题 Char2"/>
    <w:qFormat/>
    <w:uiPriority w:val="0"/>
    <w:rPr>
      <w:rFonts w:ascii="宋体" w:hAnsi="宋体" w:eastAsia="宋体"/>
      <w:b/>
      <w:bCs/>
      <w:kern w:val="2"/>
      <w:sz w:val="28"/>
      <w:szCs w:val="24"/>
      <w:lang w:val="en-US" w:eastAsia="zh-CN" w:bidi="ar-SA"/>
    </w:rPr>
  </w:style>
  <w:style w:type="character" w:customStyle="1" w:styleId="218">
    <w:name w:val="正文文本 Char1"/>
    <w:qFormat/>
    <w:uiPriority w:val="0"/>
    <w:rPr>
      <w:kern w:val="2"/>
      <w:sz w:val="21"/>
      <w:szCs w:val="22"/>
    </w:rPr>
  </w:style>
  <w:style w:type="character" w:customStyle="1" w:styleId="219">
    <w:name w:val="正文文本 3 字符"/>
    <w:link w:val="19"/>
    <w:qFormat/>
    <w:uiPriority w:val="0"/>
    <w:rPr>
      <w:rFonts w:ascii="楷体_GB2312" w:eastAsia="楷体_GB2312"/>
      <w:b/>
      <w:color w:val="000000"/>
      <w:kern w:val="2"/>
      <w:sz w:val="30"/>
      <w:szCs w:val="24"/>
    </w:rPr>
  </w:style>
  <w:style w:type="character" w:customStyle="1" w:styleId="220">
    <w:name w:val="dz1"/>
    <w:basedOn w:val="53"/>
    <w:qFormat/>
    <w:uiPriority w:val="0"/>
  </w:style>
  <w:style w:type="character" w:customStyle="1" w:styleId="221">
    <w:name w:val="zbggmain style9"/>
    <w:basedOn w:val="53"/>
    <w:qFormat/>
    <w:uiPriority w:val="0"/>
  </w:style>
  <w:style w:type="character" w:customStyle="1" w:styleId="222">
    <w:name w:val="无间隔 字符"/>
    <w:link w:val="111"/>
    <w:qFormat/>
    <w:uiPriority w:val="0"/>
    <w:rPr>
      <w:kern w:val="2"/>
      <w:sz w:val="21"/>
      <w:szCs w:val="22"/>
      <w:lang w:val="en-US" w:eastAsia="zh-CN" w:bidi="ar-SA"/>
    </w:rPr>
  </w:style>
  <w:style w:type="character" w:customStyle="1" w:styleId="223">
    <w:name w:val="样式1 Char"/>
    <w:qFormat/>
    <w:uiPriority w:val="0"/>
    <w:rPr>
      <w:rFonts w:ascii="Arial" w:hAnsi="Arial" w:eastAsia="宋体"/>
      <w:kern w:val="2"/>
      <w:sz w:val="21"/>
      <w:szCs w:val="24"/>
      <w:lang w:val="en-US" w:eastAsia="zh-CN" w:bidi="ar-SA"/>
    </w:rPr>
  </w:style>
  <w:style w:type="character" w:customStyle="1" w:styleId="224">
    <w:name w:val="批注框文本 Char1"/>
    <w:qFormat/>
    <w:uiPriority w:val="0"/>
    <w:rPr>
      <w:kern w:val="2"/>
      <w:sz w:val="18"/>
      <w:szCs w:val="18"/>
    </w:rPr>
  </w:style>
  <w:style w:type="character" w:customStyle="1" w:styleId="225">
    <w:name w:val="font141"/>
    <w:qFormat/>
    <w:uiPriority w:val="0"/>
    <w:rPr>
      <w:rFonts w:hint="default" w:ascii="Tahoma" w:hAnsi="Tahoma" w:eastAsia="Tahoma" w:cs="Tahoma"/>
      <w:color w:val="000000"/>
      <w:sz w:val="24"/>
      <w:szCs w:val="24"/>
      <w:u w:val="none"/>
    </w:rPr>
  </w:style>
  <w:style w:type="character" w:customStyle="1" w:styleId="226">
    <w:name w:val="文档结构图 Char1"/>
    <w:qFormat/>
    <w:uiPriority w:val="0"/>
    <w:rPr>
      <w:rFonts w:ascii="宋体"/>
      <w:kern w:val="2"/>
      <w:sz w:val="18"/>
      <w:szCs w:val="18"/>
    </w:rPr>
  </w:style>
  <w:style w:type="character" w:customStyle="1" w:styleId="227">
    <w:name w:val="font112"/>
    <w:qFormat/>
    <w:uiPriority w:val="0"/>
    <w:rPr>
      <w:rFonts w:hint="default" w:ascii="Times New Roman" w:hAnsi="Times New Roman" w:cs="Times New Roman"/>
      <w:color w:val="000000"/>
      <w:sz w:val="24"/>
      <w:szCs w:val="24"/>
      <w:u w:val="none"/>
    </w:rPr>
  </w:style>
  <w:style w:type="character" w:customStyle="1" w:styleId="228">
    <w:name w:val="Char Char7"/>
    <w:qFormat/>
    <w:uiPriority w:val="0"/>
    <w:rPr>
      <w:rFonts w:eastAsia="宋体"/>
      <w:kern w:val="2"/>
      <w:sz w:val="21"/>
      <w:szCs w:val="24"/>
      <w:lang w:val="en-US" w:eastAsia="zh-CN" w:bidi="ar-SA"/>
    </w:rPr>
  </w:style>
  <w:style w:type="character" w:customStyle="1" w:styleId="229">
    <w:name w:val="样式1 Char Char"/>
    <w:link w:val="134"/>
    <w:qFormat/>
    <w:uiPriority w:val="0"/>
    <w:rPr>
      <w:rFonts w:ascii="Arial" w:hAnsi="Arial"/>
      <w:kern w:val="2"/>
      <w:sz w:val="21"/>
      <w:szCs w:val="24"/>
    </w:rPr>
  </w:style>
  <w:style w:type="character" w:customStyle="1" w:styleId="230">
    <w:name w:val="正文文本 Char3"/>
    <w:qFormat/>
    <w:uiPriority w:val="0"/>
    <w:rPr>
      <w:rFonts w:ascii="宋体"/>
      <w:kern w:val="2"/>
      <w:sz w:val="28"/>
    </w:rPr>
  </w:style>
  <w:style w:type="character" w:customStyle="1" w:styleId="231">
    <w:name w:val="页眉 字符"/>
    <w:link w:val="32"/>
    <w:qFormat/>
    <w:uiPriority w:val="0"/>
    <w:rPr>
      <w:kern w:val="2"/>
      <w:sz w:val="18"/>
      <w:szCs w:val="18"/>
    </w:rPr>
  </w:style>
  <w:style w:type="character" w:customStyle="1" w:styleId="232">
    <w:name w:val="_Style 225"/>
    <w:qFormat/>
    <w:uiPriority w:val="0"/>
    <w:rPr>
      <w:b/>
      <w:bCs/>
      <w:i/>
      <w:iCs/>
      <w:color w:val="4F81BD"/>
    </w:rPr>
  </w:style>
  <w:style w:type="character" w:customStyle="1" w:styleId="233">
    <w:name w:val="Blockquote Char"/>
    <w:link w:val="150"/>
    <w:qFormat/>
    <w:uiPriority w:val="0"/>
    <w:rPr>
      <w:kern w:val="2"/>
      <w:sz w:val="24"/>
      <w:szCs w:val="24"/>
    </w:rPr>
  </w:style>
  <w:style w:type="character" w:customStyle="1" w:styleId="234">
    <w:name w:val="apple-converted-space"/>
    <w:basedOn w:val="53"/>
    <w:qFormat/>
    <w:uiPriority w:val="0"/>
  </w:style>
  <w:style w:type="character" w:customStyle="1" w:styleId="235">
    <w:name w:val="彩色列表 - 强调文字颜色 1 Char"/>
    <w:link w:val="123"/>
    <w:qFormat/>
    <w:uiPriority w:val="0"/>
    <w:rPr>
      <w:kern w:val="2"/>
      <w:sz w:val="21"/>
      <w:szCs w:val="24"/>
    </w:rPr>
  </w:style>
  <w:style w:type="character" w:customStyle="1" w:styleId="236">
    <w:name w:val="个人答复风格"/>
    <w:qFormat/>
    <w:uiPriority w:val="0"/>
    <w:rPr>
      <w:rFonts w:ascii="Arial" w:hAnsi="Arial" w:eastAsia="宋体" w:cs="Arial"/>
      <w:color w:val="auto"/>
      <w:sz w:val="20"/>
    </w:rPr>
  </w:style>
  <w:style w:type="character" w:customStyle="1" w:styleId="237">
    <w:name w:val="font161"/>
    <w:qFormat/>
    <w:uiPriority w:val="0"/>
    <w:rPr>
      <w:b/>
      <w:bCs/>
      <w:sz w:val="32"/>
      <w:szCs w:val="32"/>
    </w:rPr>
  </w:style>
  <w:style w:type="character" w:customStyle="1" w:styleId="238">
    <w:name w:val="Char Char20"/>
    <w:qFormat/>
    <w:uiPriority w:val="0"/>
    <w:rPr>
      <w:bCs/>
      <w:kern w:val="2"/>
      <w:sz w:val="24"/>
      <w:szCs w:val="21"/>
    </w:rPr>
  </w:style>
  <w:style w:type="character" w:customStyle="1" w:styleId="239">
    <w:name w:val="Char Char81"/>
    <w:qFormat/>
    <w:uiPriority w:val="0"/>
    <w:rPr>
      <w:rFonts w:ascii="宋体" w:eastAsia="宋体"/>
      <w:kern w:val="2"/>
      <w:sz w:val="18"/>
      <w:szCs w:val="18"/>
      <w:lang w:val="en-US" w:eastAsia="zh-CN" w:bidi="ar-SA"/>
    </w:rPr>
  </w:style>
  <w:style w:type="character" w:customStyle="1" w:styleId="240">
    <w:name w:val="font131"/>
    <w:qFormat/>
    <w:uiPriority w:val="0"/>
    <w:rPr>
      <w:rFonts w:ascii="Calibri" w:hAnsi="Calibri" w:cs="Calibri"/>
      <w:color w:val="000000"/>
      <w:sz w:val="24"/>
      <w:szCs w:val="24"/>
      <w:u w:val="none"/>
    </w:rPr>
  </w:style>
  <w:style w:type="character" w:customStyle="1" w:styleId="241">
    <w:name w:val="标题5 Char Char"/>
    <w:link w:val="73"/>
    <w:qFormat/>
    <w:uiPriority w:val="0"/>
    <w:rPr>
      <w:rFonts w:ascii="Arial" w:hAnsi="Arial"/>
      <w:b/>
      <w:bCs/>
      <w:sz w:val="24"/>
      <w:szCs w:val="32"/>
    </w:rPr>
  </w:style>
  <w:style w:type="character" w:customStyle="1" w:styleId="242">
    <w:name w:val="font121"/>
    <w:qFormat/>
    <w:uiPriority w:val="0"/>
    <w:rPr>
      <w:rFonts w:hint="default" w:ascii="Times New Roman" w:hAnsi="Times New Roman" w:cs="Times New Roman"/>
      <w:color w:val="000000"/>
      <w:sz w:val="24"/>
      <w:szCs w:val="24"/>
      <w:u w:val="none"/>
    </w:rPr>
  </w:style>
  <w:style w:type="character" w:customStyle="1" w:styleId="243">
    <w:name w:val="font01"/>
    <w:qFormat/>
    <w:uiPriority w:val="0"/>
    <w:rPr>
      <w:rFonts w:ascii="宋体" w:hAnsi="宋体" w:eastAsia="宋体" w:cs="宋体"/>
      <w:color w:val="000000"/>
      <w:sz w:val="24"/>
      <w:szCs w:val="24"/>
      <w:u w:val="none"/>
    </w:rPr>
  </w:style>
  <w:style w:type="character" w:customStyle="1" w:styleId="244">
    <w:name w:val="内文 Char"/>
    <w:link w:val="103"/>
    <w:qFormat/>
    <w:uiPriority w:val="0"/>
    <w:rPr>
      <w:rFonts w:ascii="Arial" w:hAnsi="Arial" w:eastAsia="Times New Roman"/>
      <w:kern w:val="2"/>
      <w:sz w:val="21"/>
      <w:szCs w:val="24"/>
      <w:lang w:val="en-US" w:eastAsia="zh-CN" w:bidi="ar-SA"/>
    </w:rPr>
  </w:style>
  <w:style w:type="character" w:customStyle="1" w:styleId="245">
    <w:name w:val="明显引用 字符"/>
    <w:link w:val="96"/>
    <w:qFormat/>
    <w:uiPriority w:val="0"/>
    <w:rPr>
      <w:b/>
      <w:bCs/>
      <w:i/>
      <w:iCs/>
      <w:color w:val="4F81BD"/>
      <w:kern w:val="2"/>
      <w:sz w:val="21"/>
      <w:szCs w:val="22"/>
    </w:rPr>
  </w:style>
  <w:style w:type="character" w:customStyle="1" w:styleId="246">
    <w:name w:val="textcontents"/>
    <w:qFormat/>
    <w:uiPriority w:val="0"/>
    <w:rPr>
      <w:rFonts w:cs="Times New Roman"/>
    </w:rPr>
  </w:style>
  <w:style w:type="character" w:customStyle="1" w:styleId="247">
    <w:name w:val="EmailStyle161"/>
    <w:qFormat/>
    <w:uiPriority w:val="0"/>
    <w:rPr>
      <w:rFonts w:ascii="Arial" w:hAnsi="Arial" w:eastAsia="宋体" w:cs="Arial"/>
      <w:color w:val="auto"/>
      <w:sz w:val="20"/>
    </w:rPr>
  </w:style>
  <w:style w:type="character" w:customStyle="1" w:styleId="248">
    <w:name w:val="日期 Char Char"/>
    <w:qFormat/>
    <w:uiPriority w:val="0"/>
    <w:rPr>
      <w:kern w:val="2"/>
      <w:sz w:val="21"/>
      <w:szCs w:val="24"/>
      <w:lang w:bidi="ar-SA"/>
    </w:rPr>
  </w:style>
  <w:style w:type="character" w:customStyle="1" w:styleId="249">
    <w:name w:val="文档结构图 字符"/>
    <w:link w:val="16"/>
    <w:qFormat/>
    <w:uiPriority w:val="0"/>
    <w:rPr>
      <w:kern w:val="2"/>
      <w:sz w:val="21"/>
      <w:szCs w:val="24"/>
      <w:shd w:val="clear" w:color="auto" w:fill="000080"/>
    </w:rPr>
  </w:style>
  <w:style w:type="character" w:customStyle="1" w:styleId="250">
    <w:name w:val="普通文字 Char1"/>
    <w:qFormat/>
    <w:uiPriority w:val="0"/>
    <w:rPr>
      <w:rFonts w:ascii="宋体" w:hAnsi="Courier New" w:eastAsia="宋体"/>
      <w:kern w:val="2"/>
      <w:sz w:val="21"/>
      <w:lang w:val="en-US" w:eastAsia="zh-CN"/>
    </w:rPr>
  </w:style>
  <w:style w:type="character" w:customStyle="1" w:styleId="251">
    <w:name w:val="Char Char"/>
    <w:qFormat/>
    <w:uiPriority w:val="0"/>
    <w:rPr>
      <w:rFonts w:ascii="宋体"/>
      <w:kern w:val="2"/>
      <w:sz w:val="18"/>
      <w:szCs w:val="18"/>
    </w:rPr>
  </w:style>
  <w:style w:type="character" w:customStyle="1" w:styleId="252">
    <w:name w:val="Default Char"/>
    <w:link w:val="68"/>
    <w:qFormat/>
    <w:uiPriority w:val="0"/>
    <w:rPr>
      <w:rFonts w:ascii="宋体"/>
      <w:color w:val="000000"/>
      <w:sz w:val="24"/>
      <w:szCs w:val="24"/>
      <w:lang w:val="en-US" w:eastAsia="zh-CN" w:bidi="ar-SA"/>
    </w:rPr>
  </w:style>
  <w:style w:type="character" w:customStyle="1" w:styleId="253">
    <w:name w:val="标题 8 字符"/>
    <w:link w:val="10"/>
    <w:qFormat/>
    <w:uiPriority w:val="0"/>
    <w:rPr>
      <w:rFonts w:ascii="Cambria" w:hAnsi="Cambria"/>
      <w:kern w:val="2"/>
      <w:sz w:val="24"/>
      <w:szCs w:val="24"/>
    </w:rPr>
  </w:style>
  <w:style w:type="character" w:customStyle="1" w:styleId="254">
    <w:name w:val="样式 正文文本 Char"/>
    <w:link w:val="113"/>
    <w:qFormat/>
    <w:uiPriority w:val="0"/>
    <w:rPr>
      <w:rFonts w:ascii="Arial" w:hAnsi="Arial" w:cs="宋体"/>
      <w:color w:val="000000"/>
      <w:kern w:val="2"/>
      <w:sz w:val="21"/>
    </w:rPr>
  </w:style>
  <w:style w:type="character" w:customStyle="1" w:styleId="255">
    <w:name w:val="正文文本 字符"/>
    <w:link w:val="20"/>
    <w:qFormat/>
    <w:uiPriority w:val="0"/>
    <w:rPr>
      <w:kern w:val="2"/>
      <w:sz w:val="21"/>
      <w:szCs w:val="24"/>
    </w:rPr>
  </w:style>
  <w:style w:type="character" w:customStyle="1" w:styleId="256">
    <w:name w:val="Char Char31"/>
    <w:qFormat/>
    <w:uiPriority w:val="0"/>
    <w:rPr>
      <w:rFonts w:ascii="Arial" w:hAnsi="Arial" w:eastAsia="宋体"/>
      <w:b/>
      <w:bCs/>
      <w:kern w:val="2"/>
      <w:sz w:val="21"/>
      <w:szCs w:val="32"/>
      <w:lang w:val="en-US" w:eastAsia="zh-CN" w:bidi="ar-SA"/>
    </w:rPr>
  </w:style>
  <w:style w:type="character" w:customStyle="1" w:styleId="257">
    <w:name w:val="样式1 Char Char Char"/>
    <w:qFormat/>
    <w:uiPriority w:val="0"/>
    <w:rPr>
      <w:rFonts w:ascii="Arial" w:hAnsi="Arial" w:eastAsia="宋体"/>
      <w:kern w:val="2"/>
      <w:sz w:val="21"/>
      <w:szCs w:val="24"/>
      <w:lang w:val="en-US" w:eastAsia="zh-CN" w:bidi="ar-SA"/>
    </w:rPr>
  </w:style>
  <w:style w:type="character" w:customStyle="1" w:styleId="258">
    <w:name w:val="apple-style-span"/>
    <w:basedOn w:val="53"/>
    <w:qFormat/>
    <w:uiPriority w:val="0"/>
  </w:style>
  <w:style w:type="character" w:customStyle="1" w:styleId="259">
    <w:name w:val="批注主题 Char1"/>
    <w:qFormat/>
    <w:uiPriority w:val="0"/>
    <w:rPr>
      <w:b/>
      <w:bCs/>
      <w:kern w:val="2"/>
      <w:sz w:val="21"/>
      <w:szCs w:val="22"/>
    </w:rPr>
  </w:style>
  <w:style w:type="character" w:customStyle="1" w:styleId="260">
    <w:name w:val="批注主题 字符"/>
    <w:link w:val="49"/>
    <w:qFormat/>
    <w:uiPriority w:val="0"/>
    <w:rPr>
      <w:b/>
      <w:bCs/>
      <w:kern w:val="2"/>
      <w:sz w:val="21"/>
    </w:rPr>
  </w:style>
  <w:style w:type="character" w:customStyle="1" w:styleId="261">
    <w:name w:val="标题 Char2"/>
    <w:qFormat/>
    <w:uiPriority w:val="0"/>
    <w:rPr>
      <w:rFonts w:ascii="Cambria" w:hAnsi="Cambria" w:cs="Times New Roman"/>
      <w:b/>
      <w:bCs/>
      <w:kern w:val="2"/>
      <w:sz w:val="32"/>
      <w:szCs w:val="32"/>
    </w:rPr>
  </w:style>
  <w:style w:type="character" w:customStyle="1" w:styleId="262">
    <w:name w:val="正文缩进 Char1"/>
    <w:qFormat/>
    <w:uiPriority w:val="0"/>
    <w:rPr>
      <w:kern w:val="2"/>
      <w:sz w:val="21"/>
    </w:rPr>
  </w:style>
  <w:style w:type="character" w:customStyle="1" w:styleId="263">
    <w:name w:val="正文文本 Char2"/>
    <w:qFormat/>
    <w:uiPriority w:val="0"/>
    <w:rPr>
      <w:rFonts w:ascii="宋体"/>
      <w:kern w:val="2"/>
      <w:sz w:val="28"/>
    </w:rPr>
  </w:style>
  <w:style w:type="character" w:customStyle="1" w:styleId="264">
    <w:name w:val="明显引用 Char1"/>
    <w:qFormat/>
    <w:uiPriority w:val="0"/>
    <w:rPr>
      <w:b/>
      <w:bCs/>
      <w:i/>
      <w:iCs/>
      <w:color w:val="4F81BD"/>
      <w:kern w:val="2"/>
      <w:sz w:val="21"/>
      <w:szCs w:val="24"/>
    </w:rPr>
  </w:style>
  <w:style w:type="character" w:customStyle="1" w:styleId="265">
    <w:name w:val="列出段落 字符"/>
    <w:link w:val="76"/>
    <w:qFormat/>
    <w:uiPriority w:val="0"/>
    <w:rPr>
      <w:rFonts w:ascii="Calibri" w:hAnsi="Calibri"/>
      <w:kern w:val="2"/>
      <w:sz w:val="21"/>
      <w:szCs w:val="22"/>
    </w:rPr>
  </w:style>
  <w:style w:type="character" w:customStyle="1" w:styleId="266">
    <w:name w:val="EmailStyle151"/>
    <w:qFormat/>
    <w:uiPriority w:val="0"/>
    <w:rPr>
      <w:rFonts w:ascii="Arial" w:hAnsi="Arial" w:eastAsia="宋体" w:cs="Arial"/>
      <w:color w:val="auto"/>
      <w:sz w:val="20"/>
    </w:rPr>
  </w:style>
  <w:style w:type="character" w:customStyle="1" w:styleId="267">
    <w:name w:val="纯文本 字符"/>
    <w:link w:val="6"/>
    <w:qFormat/>
    <w:uiPriority w:val="0"/>
    <w:rPr>
      <w:rFonts w:ascii="宋体" w:hAnsi="Courier New"/>
      <w:kern w:val="2"/>
      <w:sz w:val="21"/>
    </w:rPr>
  </w:style>
  <w:style w:type="character" w:customStyle="1" w:styleId="268">
    <w:name w:val="Char Char11"/>
    <w:qFormat/>
    <w:uiPriority w:val="0"/>
    <w:rPr>
      <w:bCs/>
      <w:kern w:val="2"/>
      <w:sz w:val="24"/>
      <w:szCs w:val="21"/>
    </w:rPr>
  </w:style>
  <w:style w:type="character" w:customStyle="1" w:styleId="269">
    <w:name w:val="Char Char13"/>
    <w:qFormat/>
    <w:uiPriority w:val="0"/>
    <w:rPr>
      <w:rFonts w:ascii="宋体"/>
      <w:kern w:val="2"/>
      <w:sz w:val="18"/>
      <w:szCs w:val="18"/>
    </w:rPr>
  </w:style>
  <w:style w:type="character" w:customStyle="1" w:styleId="270">
    <w:name w:val="Char Char21"/>
    <w:qFormat/>
    <w:uiPriority w:val="0"/>
    <w:rPr>
      <w:rFonts w:ascii="Arial" w:hAnsi="Arial" w:eastAsia="黑体"/>
      <w:b/>
      <w:kern w:val="2"/>
      <w:sz w:val="32"/>
    </w:rPr>
  </w:style>
  <w:style w:type="character" w:customStyle="1" w:styleId="271">
    <w:name w:val="_Style 267"/>
    <w:qFormat/>
    <w:uiPriority w:val="0"/>
    <w:rPr>
      <w:i/>
      <w:iCs/>
      <w:color w:val="808080"/>
    </w:rPr>
  </w:style>
  <w:style w:type="character" w:customStyle="1" w:styleId="272">
    <w:name w:val="正文文本缩进 3 字符"/>
    <w:link w:val="39"/>
    <w:qFormat/>
    <w:uiPriority w:val="0"/>
    <w:rPr>
      <w:rFonts w:eastAsia="黑体"/>
      <w:color w:val="000000"/>
      <w:kern w:val="2"/>
      <w:sz w:val="24"/>
      <w:szCs w:val="24"/>
    </w:rPr>
  </w:style>
  <w:style w:type="character" w:customStyle="1" w:styleId="273">
    <w:name w:val="正文文本缩进 2 字符"/>
    <w:link w:val="29"/>
    <w:qFormat/>
    <w:uiPriority w:val="0"/>
    <w:rPr>
      <w:rFonts w:ascii="宋体"/>
      <w:sz w:val="24"/>
    </w:rPr>
  </w:style>
  <w:style w:type="character" w:customStyle="1" w:styleId="274">
    <w:name w:val="纯文本 Char1"/>
    <w:qFormat/>
    <w:uiPriority w:val="0"/>
    <w:rPr>
      <w:rFonts w:ascii="宋体" w:hAnsi="Courier New" w:cs="Courier New"/>
      <w:kern w:val="2"/>
      <w:sz w:val="21"/>
      <w:szCs w:val="21"/>
    </w:rPr>
  </w:style>
  <w:style w:type="character" w:customStyle="1" w:styleId="275">
    <w:name w:val="文档结构图 Char2"/>
    <w:qFormat/>
    <w:uiPriority w:val="0"/>
    <w:rPr>
      <w:rFonts w:ascii="宋体"/>
      <w:kern w:val="2"/>
      <w:sz w:val="18"/>
      <w:szCs w:val="18"/>
    </w:rPr>
  </w:style>
  <w:style w:type="character" w:customStyle="1" w:styleId="276">
    <w:name w:val="Char Char71"/>
    <w:qFormat/>
    <w:uiPriority w:val="0"/>
    <w:rPr>
      <w:rFonts w:ascii="宋体" w:hAnsi="宋体" w:eastAsia="宋体"/>
      <w:sz w:val="24"/>
      <w:szCs w:val="28"/>
      <w:lang w:val="en-US" w:eastAsia="zh-CN" w:bidi="ar-SA"/>
    </w:rPr>
  </w:style>
  <w:style w:type="character" w:customStyle="1" w:styleId="277">
    <w:name w:val="纯文本 Char"/>
    <w:qFormat/>
    <w:uiPriority w:val="0"/>
    <w:rPr>
      <w:rFonts w:ascii="宋体" w:hAnsi="Courier New" w:eastAsia="宋体"/>
      <w:kern w:val="2"/>
      <w:sz w:val="21"/>
      <w:lang w:val="en-US" w:eastAsia="zh-CN" w:bidi="ar-SA"/>
    </w:rPr>
  </w:style>
  <w:style w:type="character" w:customStyle="1" w:styleId="278">
    <w:name w:val="标题 7 字符"/>
    <w:link w:val="9"/>
    <w:qFormat/>
    <w:uiPriority w:val="0"/>
    <w:rPr>
      <w:rFonts w:ascii="宋体"/>
      <w:b/>
      <w:bCs/>
      <w:kern w:val="2"/>
      <w:sz w:val="28"/>
      <w:szCs w:val="28"/>
    </w:rPr>
  </w:style>
  <w:style w:type="character" w:customStyle="1" w:styleId="279">
    <w:name w:val="font41"/>
    <w:qFormat/>
    <w:uiPriority w:val="0"/>
    <w:rPr>
      <w:rFonts w:hint="eastAsia" w:ascii="宋体" w:hAnsi="宋体" w:eastAsia="宋体" w:cs="宋体"/>
      <w:color w:val="000000"/>
      <w:sz w:val="24"/>
      <w:szCs w:val="24"/>
      <w:u w:val="none"/>
    </w:rPr>
  </w:style>
  <w:style w:type="character" w:customStyle="1" w:styleId="280">
    <w:name w:val="Char Char16"/>
    <w:qFormat/>
    <w:uiPriority w:val="0"/>
    <w:rPr>
      <w:rFonts w:ascii="宋体" w:eastAsia="宋体"/>
      <w:b/>
      <w:bCs/>
      <w:kern w:val="2"/>
      <w:sz w:val="28"/>
      <w:szCs w:val="28"/>
      <w:lang w:val="en-US" w:eastAsia="zh-CN" w:bidi="ar-SA"/>
    </w:rPr>
  </w:style>
  <w:style w:type="character" w:customStyle="1" w:styleId="281">
    <w:name w:val="引用 Char1"/>
    <w:qFormat/>
    <w:uiPriority w:val="0"/>
    <w:rPr>
      <w:i/>
      <w:iCs/>
      <w:color w:val="000000"/>
      <w:kern w:val="2"/>
      <w:sz w:val="21"/>
      <w:szCs w:val="24"/>
    </w:rPr>
  </w:style>
  <w:style w:type="character" w:customStyle="1" w:styleId="282">
    <w:name w:val="引用 字符"/>
    <w:link w:val="77"/>
    <w:qFormat/>
    <w:uiPriority w:val="0"/>
    <w:rPr>
      <w:i/>
      <w:iCs/>
      <w:color w:val="000000"/>
      <w:kern w:val="2"/>
      <w:sz w:val="21"/>
      <w:szCs w:val="22"/>
    </w:rPr>
  </w:style>
  <w:style w:type="character" w:customStyle="1" w:styleId="283">
    <w:name w:val="日期 Char2"/>
    <w:qFormat/>
    <w:uiPriority w:val="0"/>
    <w:rPr>
      <w:rFonts w:ascii="宋体"/>
      <w:kern w:val="2"/>
      <w:sz w:val="28"/>
    </w:rPr>
  </w:style>
  <w:style w:type="character" w:customStyle="1" w:styleId="284">
    <w:name w:val="未处理的提及1"/>
    <w:unhideWhenUsed/>
    <w:qFormat/>
    <w:uiPriority w:val="99"/>
    <w:rPr>
      <w:color w:val="605E5C"/>
      <w:shd w:val="clear" w:color="auto" w:fill="E1DFDD"/>
    </w:rPr>
  </w:style>
  <w:style w:type="character" w:customStyle="1" w:styleId="285">
    <w:name w:val="_Style 282"/>
    <w:qFormat/>
    <w:uiPriority w:val="0"/>
    <w:rPr>
      <w:smallCaps/>
      <w:color w:val="C0504D"/>
      <w:u w:val="single"/>
    </w:rPr>
  </w:style>
  <w:style w:type="character" w:customStyle="1" w:styleId="286">
    <w:name w:val="批注文字 字符"/>
    <w:link w:val="18"/>
    <w:qFormat/>
    <w:uiPriority w:val="0"/>
    <w:rPr>
      <w:kern w:val="2"/>
      <w:sz w:val="21"/>
    </w:rPr>
  </w:style>
  <w:style w:type="character" w:customStyle="1" w:styleId="287">
    <w:name w:val="Char Char111"/>
    <w:qFormat/>
    <w:uiPriority w:val="0"/>
    <w:rPr>
      <w:bCs/>
      <w:kern w:val="2"/>
      <w:sz w:val="24"/>
      <w:szCs w:val="21"/>
    </w:rPr>
  </w:style>
  <w:style w:type="character" w:customStyle="1" w:styleId="288">
    <w:name w:val="font11"/>
    <w:qFormat/>
    <w:uiPriority w:val="0"/>
    <w:rPr>
      <w:rFonts w:hint="eastAsia" w:ascii="宋体" w:hAnsi="宋体" w:eastAsia="宋体" w:cs="宋体"/>
      <w:color w:val="000000"/>
      <w:sz w:val="24"/>
      <w:szCs w:val="24"/>
      <w:u w:val="none"/>
    </w:rPr>
  </w:style>
  <w:style w:type="character" w:customStyle="1" w:styleId="289">
    <w:name w:val="标题 6 字符"/>
    <w:link w:val="8"/>
    <w:qFormat/>
    <w:uiPriority w:val="0"/>
    <w:rPr>
      <w:rFonts w:ascii="Cambria" w:hAnsi="Cambria"/>
      <w:b/>
      <w:bCs/>
      <w:kern w:val="2"/>
      <w:sz w:val="24"/>
      <w:szCs w:val="24"/>
    </w:rPr>
  </w:style>
  <w:style w:type="character" w:customStyle="1" w:styleId="290">
    <w:name w:val="正文文本首行缩进 字符"/>
    <w:link w:val="50"/>
    <w:qFormat/>
    <w:uiPriority w:val="0"/>
    <w:rPr>
      <w:kern w:val="2"/>
      <w:sz w:val="21"/>
      <w:szCs w:val="24"/>
    </w:rPr>
  </w:style>
  <w:style w:type="character" w:customStyle="1" w:styleId="291">
    <w:name w:val="副标题 字符"/>
    <w:link w:val="35"/>
    <w:qFormat/>
    <w:uiPriority w:val="0"/>
    <w:rPr>
      <w:rFonts w:ascii="Cambria" w:hAnsi="Cambria"/>
      <w:b/>
      <w:bCs/>
      <w:kern w:val="28"/>
      <w:sz w:val="32"/>
      <w:szCs w:val="32"/>
    </w:rPr>
  </w:style>
  <w:style w:type="character" w:customStyle="1" w:styleId="292">
    <w:name w:val="副标题 Char1"/>
    <w:qFormat/>
    <w:uiPriority w:val="0"/>
    <w:rPr>
      <w:rFonts w:ascii="Cambria" w:hAnsi="Cambria" w:cs="Times New Roman"/>
      <w:b/>
      <w:bCs/>
      <w:kern w:val="28"/>
      <w:sz w:val="32"/>
      <w:szCs w:val="32"/>
    </w:rPr>
  </w:style>
  <w:style w:type="character" w:customStyle="1" w:styleId="293">
    <w:name w:val="htd01"/>
    <w:basedOn w:val="53"/>
    <w:qFormat/>
    <w:uiPriority w:val="0"/>
  </w:style>
  <w:style w:type="character" w:customStyle="1" w:styleId="294">
    <w:name w:val="HTML 预设格式 字符"/>
    <w:link w:val="44"/>
    <w:qFormat/>
    <w:uiPriority w:val="0"/>
    <w:rPr>
      <w:rFonts w:ascii="宋体" w:hAnsi="宋体" w:cs="宋体"/>
      <w:sz w:val="24"/>
      <w:szCs w:val="24"/>
    </w:rPr>
  </w:style>
  <w:style w:type="paragraph" w:styleId="295">
    <w:name w:val="List Paragraph"/>
    <w:basedOn w:val="1"/>
    <w:qFormat/>
    <w:uiPriority w:val="99"/>
    <w:pPr>
      <w:ind w:firstLine="420" w:firstLineChars="200"/>
    </w:pPr>
  </w:style>
  <w:style w:type="character" w:customStyle="1" w:styleId="296">
    <w:name w:val="未处理的提及2"/>
    <w:basedOn w:val="53"/>
    <w:semiHidden/>
    <w:unhideWhenUsed/>
    <w:qFormat/>
    <w:uiPriority w:val="99"/>
    <w:rPr>
      <w:color w:val="605E5C"/>
      <w:shd w:val="clear" w:color="auto" w:fill="E1DFDD"/>
    </w:rPr>
  </w:style>
  <w:style w:type="character" w:customStyle="1" w:styleId="297">
    <w:name w:val="未处理的提及3"/>
    <w:basedOn w:val="53"/>
    <w:semiHidden/>
    <w:unhideWhenUsed/>
    <w:qFormat/>
    <w:uiPriority w:val="99"/>
    <w:rPr>
      <w:color w:val="605E5C"/>
      <w:shd w:val="clear" w:color="auto" w:fill="E1DFDD"/>
    </w:rPr>
  </w:style>
  <w:style w:type="table" w:customStyle="1" w:styleId="298">
    <w:name w:val="网格型1"/>
    <w:basedOn w:val="5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9">
    <w:name w:val="font21"/>
    <w:qFormat/>
    <w:uiPriority w:val="0"/>
    <w:rPr>
      <w:rFonts w:hint="eastAsia" w:ascii="宋体" w:hAnsi="宋体" w:eastAsia="宋体" w:cs="宋体"/>
      <w:color w:val="000000"/>
      <w:sz w:val="21"/>
      <w:szCs w:val="21"/>
      <w:u w:val="none"/>
    </w:rPr>
  </w:style>
  <w:style w:type="paragraph" w:customStyle="1" w:styleId="30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Table Paragraph"/>
    <w:basedOn w:val="1"/>
    <w:unhideWhenUsed/>
    <w:qFormat/>
    <w:uiPriority w:val="1"/>
    <w:pPr>
      <w:spacing w:beforeLines="0" w:afterLines="0"/>
      <w:jc w:val="left"/>
    </w:pPr>
    <w:rPr>
      <w:rFonts w:hint="default"/>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118</Pages>
  <Words>7180</Words>
  <Characters>8194</Characters>
  <Lines>727</Lines>
  <Paragraphs>204</Paragraphs>
  <TotalTime>25</TotalTime>
  <ScaleCrop>false</ScaleCrop>
  <LinksUpToDate>false</LinksUpToDate>
  <CharactersWithSpaces>8303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2024-04-17T09:57:00Z</dcterms:created>
  <dc:creator>leovov</dc:creator>
  <cp:lastModifiedBy>NTKO</cp:lastModifiedBy>
  <cp:lastPrinted>2020-09-02T08:54:00Z</cp:lastPrinted>
  <dcterms:modified xsi:type="dcterms:W3CDTF">2025-07-07T06:00:14Z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6D02E1EACA3E4FB99BDBD8CB4A637AD4</vt:lpwstr>
  </property>
  <property fmtid="{D5CDD505-2E9C-101B-9397-08002B2CF9AE}" pid="4" name="KSOTemplateDocerSaveRecord">
    <vt:lpwstr>eyJoZGlkIjoiMTMxMGNkYTJhN2NkODc0MzYwZWZhYmI0Y2E4ZDVlOGEiLCJ1c2VySWQiOiIzNzQwNjIzOTEifQ==</vt:lpwstr>
  </property>
</Properties>
</file>