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F5B9D">
      <w:pPr>
        <w:autoSpaceDN w:val="0"/>
        <w:spacing w:before="720" w:beforeLines="300" w:after="480" w:afterLines="200"/>
        <w:jc w:val="center"/>
        <w:rPr>
          <w:rFonts w:hint="eastAsia" w:ascii="宋体" w:hAnsi="宋体" w:eastAsia="宋体" w:cs="宋体"/>
          <w:color w:val="auto"/>
          <w:w w:val="66"/>
          <w:kern w:val="0"/>
          <w:sz w:val="72"/>
          <w:szCs w:val="72"/>
          <w:highlight w:val="none"/>
        </w:rPr>
      </w:pPr>
      <w:r>
        <w:rPr>
          <w:rFonts w:hint="eastAsia" w:ascii="宋体" w:hAnsi="宋体" w:eastAsia="宋体" w:cs="宋体"/>
          <w:color w:val="auto"/>
          <w:w w:val="66"/>
          <w:kern w:val="0"/>
          <w:sz w:val="72"/>
          <w:szCs w:val="72"/>
          <w:highlight w:val="none"/>
        </w:rPr>
        <w:t>浙江省省级政府采购电子交易项目</w:t>
      </w:r>
    </w:p>
    <w:p w14:paraId="75C102C1">
      <w:pPr>
        <w:autoSpaceDN w:val="0"/>
        <w:spacing w:before="120" w:beforeLines="50" w:after="120" w:afterLines="50"/>
        <w:jc w:val="center"/>
        <w:rPr>
          <w:rFonts w:hint="eastAsia" w:ascii="宋体" w:hAnsi="宋体" w:eastAsia="宋体" w:cs="宋体"/>
          <w:b/>
          <w:color w:val="auto"/>
          <w:sz w:val="72"/>
          <w:szCs w:val="72"/>
          <w:highlight w:val="none"/>
        </w:rPr>
      </w:pPr>
      <w:r>
        <w:rPr>
          <w:rFonts w:hint="eastAsia" w:ascii="宋体" w:hAnsi="宋体" w:eastAsia="宋体" w:cs="宋体"/>
          <w:color w:val="auto"/>
          <w:w w:val="80"/>
          <w:kern w:val="0"/>
          <w:sz w:val="96"/>
          <w:szCs w:val="48"/>
          <w:highlight w:val="none"/>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7"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14:paraId="0F3CB191">
      <w:pPr>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w w:val="80"/>
          <w:kern w:val="0"/>
          <w:sz w:val="116"/>
          <w:szCs w:val="116"/>
          <w:highlight w:val="none"/>
        </w:rPr>
        <w:t>竞争性磋商采购文件</w:t>
      </w:r>
    </w:p>
    <w:tbl>
      <w:tblPr>
        <w:tblStyle w:val="51"/>
        <w:tblpPr w:leftFromText="180" w:rightFromText="180" w:vertAnchor="text" w:horzAnchor="page" w:tblpX="2396" w:tblpY="320"/>
        <w:tblOverlap w:val="never"/>
        <w:tblW w:w="8248" w:type="dxa"/>
        <w:tblInd w:w="0" w:type="dxa"/>
        <w:tblLayout w:type="fixed"/>
        <w:tblCellMar>
          <w:top w:w="0" w:type="dxa"/>
          <w:left w:w="108" w:type="dxa"/>
          <w:bottom w:w="0" w:type="dxa"/>
          <w:right w:w="108" w:type="dxa"/>
        </w:tblCellMar>
      </w:tblPr>
      <w:tblGrid>
        <w:gridCol w:w="1701"/>
        <w:gridCol w:w="6547"/>
      </w:tblGrid>
      <w:tr w14:paraId="60B17A2E">
        <w:tblPrEx>
          <w:tblCellMar>
            <w:top w:w="0" w:type="dxa"/>
            <w:left w:w="108" w:type="dxa"/>
            <w:bottom w:w="0" w:type="dxa"/>
            <w:right w:w="108" w:type="dxa"/>
          </w:tblCellMar>
        </w:tblPrEx>
        <w:trPr>
          <w:trHeight w:val="680" w:hRule="atLeast"/>
        </w:trPr>
        <w:tc>
          <w:tcPr>
            <w:tcW w:w="1701" w:type="dxa"/>
            <w:vAlign w:val="center"/>
          </w:tcPr>
          <w:p w14:paraId="78B65B69">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547" w:type="dxa"/>
            <w:vAlign w:val="center"/>
          </w:tcPr>
          <w:p w14:paraId="2091B4B3">
            <w:pPr>
              <w:autoSpaceDN w:val="0"/>
              <w:adjustRightInd w:val="0"/>
              <w:snapToGrid w:val="0"/>
              <w:spacing w:line="360" w:lineRule="auto"/>
              <w:jc w:val="left"/>
              <w:rPr>
                <w:rFonts w:hint="eastAsia" w:ascii="宋体" w:hAnsi="宋体" w:eastAsia="宋体" w:cs="宋体"/>
                <w:bCs/>
                <w:color w:val="auto"/>
                <w:kern w:val="0"/>
                <w:sz w:val="28"/>
                <w:szCs w:val="28"/>
                <w:highlight w:val="none"/>
                <w:lang w:eastAsia="zh-CN"/>
              </w:rPr>
            </w:pPr>
            <w:r>
              <w:rPr>
                <w:rFonts w:hint="eastAsia" w:ascii="宋体" w:hAnsi="宋体" w:cs="宋体"/>
                <w:color w:val="auto"/>
                <w:w w:val="92"/>
                <w:sz w:val="28"/>
                <w:szCs w:val="28"/>
                <w:highlight w:val="none"/>
                <w:lang w:eastAsia="zh-CN"/>
              </w:rPr>
              <w:t>浙江中医药大学文磊教授实验室改造项目</w:t>
            </w:r>
          </w:p>
        </w:tc>
      </w:tr>
      <w:tr w14:paraId="2F8C9E13">
        <w:tblPrEx>
          <w:tblCellMar>
            <w:top w:w="0" w:type="dxa"/>
            <w:left w:w="108" w:type="dxa"/>
            <w:bottom w:w="0" w:type="dxa"/>
            <w:right w:w="108" w:type="dxa"/>
          </w:tblCellMar>
        </w:tblPrEx>
        <w:trPr>
          <w:trHeight w:val="680" w:hRule="atLeast"/>
        </w:trPr>
        <w:tc>
          <w:tcPr>
            <w:tcW w:w="1701" w:type="dxa"/>
            <w:vAlign w:val="center"/>
          </w:tcPr>
          <w:p w14:paraId="77CF28A4">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6547" w:type="dxa"/>
            <w:vAlign w:val="center"/>
          </w:tcPr>
          <w:p w14:paraId="71ACF763">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CTZB-2025060529</w:t>
            </w:r>
          </w:p>
        </w:tc>
      </w:tr>
      <w:tr w14:paraId="0BD7C569">
        <w:tblPrEx>
          <w:tblCellMar>
            <w:top w:w="0" w:type="dxa"/>
            <w:left w:w="108" w:type="dxa"/>
            <w:bottom w:w="0" w:type="dxa"/>
            <w:right w:w="108" w:type="dxa"/>
          </w:tblCellMar>
        </w:tblPrEx>
        <w:trPr>
          <w:trHeight w:val="680" w:hRule="atLeast"/>
        </w:trPr>
        <w:tc>
          <w:tcPr>
            <w:tcW w:w="1701" w:type="dxa"/>
            <w:vAlign w:val="center"/>
          </w:tcPr>
          <w:p w14:paraId="3288C5D6">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6547" w:type="dxa"/>
            <w:vAlign w:val="center"/>
          </w:tcPr>
          <w:p w14:paraId="4DC1C78C">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竞争性磋商（分散采购-分散委托中介）</w:t>
            </w:r>
          </w:p>
        </w:tc>
      </w:tr>
      <w:tr w14:paraId="4F17F8AE">
        <w:tblPrEx>
          <w:tblCellMar>
            <w:top w:w="0" w:type="dxa"/>
            <w:left w:w="108" w:type="dxa"/>
            <w:bottom w:w="0" w:type="dxa"/>
            <w:right w:w="108" w:type="dxa"/>
          </w:tblCellMar>
        </w:tblPrEx>
        <w:trPr>
          <w:trHeight w:val="680" w:hRule="atLeast"/>
        </w:trPr>
        <w:tc>
          <w:tcPr>
            <w:tcW w:w="1701" w:type="dxa"/>
            <w:vAlign w:val="center"/>
          </w:tcPr>
          <w:p w14:paraId="0780C693">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6547" w:type="dxa"/>
            <w:vAlign w:val="center"/>
          </w:tcPr>
          <w:p w14:paraId="01B08D0F">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政府采购电子交易（政府采购云平台）</w:t>
            </w:r>
          </w:p>
        </w:tc>
      </w:tr>
      <w:tr w14:paraId="0B516BE8">
        <w:tblPrEx>
          <w:tblCellMar>
            <w:top w:w="0" w:type="dxa"/>
            <w:left w:w="108" w:type="dxa"/>
            <w:bottom w:w="0" w:type="dxa"/>
            <w:right w:w="108" w:type="dxa"/>
          </w:tblCellMar>
        </w:tblPrEx>
        <w:trPr>
          <w:trHeight w:val="680" w:hRule="atLeast"/>
        </w:trPr>
        <w:tc>
          <w:tcPr>
            <w:tcW w:w="1701" w:type="dxa"/>
            <w:vAlign w:val="center"/>
          </w:tcPr>
          <w:p w14:paraId="235688C2">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6547" w:type="dxa"/>
            <w:vAlign w:val="center"/>
          </w:tcPr>
          <w:p w14:paraId="4FF05F84">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浙江中医药大学</w:t>
            </w:r>
          </w:p>
        </w:tc>
      </w:tr>
      <w:tr w14:paraId="66777748">
        <w:tblPrEx>
          <w:tblCellMar>
            <w:top w:w="0" w:type="dxa"/>
            <w:left w:w="108" w:type="dxa"/>
            <w:bottom w:w="0" w:type="dxa"/>
            <w:right w:w="108" w:type="dxa"/>
          </w:tblCellMar>
        </w:tblPrEx>
        <w:trPr>
          <w:trHeight w:val="680" w:hRule="atLeast"/>
        </w:trPr>
        <w:tc>
          <w:tcPr>
            <w:tcW w:w="1701" w:type="dxa"/>
            <w:vAlign w:val="center"/>
          </w:tcPr>
          <w:p w14:paraId="55C5EFD6">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6547" w:type="dxa"/>
            <w:vAlign w:val="center"/>
          </w:tcPr>
          <w:p w14:paraId="35497274">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浙江省成套招标代理有限公司</w:t>
            </w:r>
          </w:p>
        </w:tc>
      </w:tr>
      <w:tr w14:paraId="7F925D87">
        <w:tblPrEx>
          <w:tblCellMar>
            <w:top w:w="0" w:type="dxa"/>
            <w:left w:w="108" w:type="dxa"/>
            <w:bottom w:w="0" w:type="dxa"/>
            <w:right w:w="108" w:type="dxa"/>
          </w:tblCellMar>
        </w:tblPrEx>
        <w:trPr>
          <w:trHeight w:val="680" w:hRule="atLeast"/>
        </w:trPr>
        <w:tc>
          <w:tcPr>
            <w:tcW w:w="1701" w:type="dxa"/>
            <w:vAlign w:val="center"/>
          </w:tcPr>
          <w:p w14:paraId="7E3ED142">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6547" w:type="dxa"/>
            <w:vAlign w:val="center"/>
          </w:tcPr>
          <w:p w14:paraId="5A3F28B8">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二○二</w:t>
            </w:r>
            <w:r>
              <w:rPr>
                <w:rFonts w:hint="eastAsia" w:ascii="宋体" w:hAnsi="宋体" w:cs="宋体"/>
                <w:bCs/>
                <w:color w:val="auto"/>
                <w:kern w:val="0"/>
                <w:sz w:val="28"/>
                <w:szCs w:val="28"/>
                <w:highlight w:val="none"/>
                <w:lang w:val="en-US" w:eastAsia="zh-CN"/>
              </w:rPr>
              <w:t>五</w:t>
            </w:r>
            <w:r>
              <w:rPr>
                <w:rFonts w:hint="eastAsia" w:ascii="宋体" w:hAnsi="宋体" w:eastAsia="宋体" w:cs="宋体"/>
                <w:bCs/>
                <w:color w:val="auto"/>
                <w:kern w:val="0"/>
                <w:sz w:val="28"/>
                <w:szCs w:val="28"/>
                <w:highlight w:val="none"/>
              </w:rPr>
              <w:t>年</w:t>
            </w:r>
            <w:r>
              <w:rPr>
                <w:rFonts w:hint="eastAsia" w:ascii="宋体" w:hAnsi="宋体" w:cs="宋体"/>
                <w:bCs/>
                <w:color w:val="auto"/>
                <w:kern w:val="0"/>
                <w:sz w:val="28"/>
                <w:szCs w:val="28"/>
                <w:highlight w:val="none"/>
                <w:lang w:val="en-US" w:eastAsia="zh-CN"/>
              </w:rPr>
              <w:t>七</w:t>
            </w:r>
            <w:r>
              <w:rPr>
                <w:rFonts w:hint="eastAsia" w:ascii="宋体" w:hAnsi="宋体" w:eastAsia="宋体" w:cs="宋体"/>
                <w:bCs/>
                <w:color w:val="auto"/>
                <w:kern w:val="0"/>
                <w:sz w:val="28"/>
                <w:szCs w:val="28"/>
                <w:highlight w:val="none"/>
              </w:rPr>
              <w:t>月</w:t>
            </w:r>
          </w:p>
        </w:tc>
      </w:tr>
    </w:tbl>
    <w:p w14:paraId="22477D73">
      <w:pPr>
        <w:autoSpaceDN w:val="0"/>
        <w:snapToGrid w:val="0"/>
        <w:spacing w:line="480" w:lineRule="auto"/>
        <w:rPr>
          <w:rFonts w:hint="eastAsia" w:ascii="宋体" w:hAnsi="宋体" w:eastAsia="宋体" w:cs="宋体"/>
          <w:b/>
          <w:bCs/>
          <w:color w:val="auto"/>
          <w:sz w:val="44"/>
          <w:szCs w:val="44"/>
          <w:highlight w:val="none"/>
        </w:rPr>
      </w:pPr>
    </w:p>
    <w:p w14:paraId="398969AF">
      <w:pPr>
        <w:autoSpaceDN w:val="0"/>
        <w:rPr>
          <w:rFonts w:hint="eastAsia" w:ascii="宋体" w:hAnsi="宋体" w:eastAsia="宋体" w:cs="宋体"/>
          <w:color w:val="auto"/>
          <w:sz w:val="44"/>
          <w:szCs w:val="44"/>
          <w:highlight w:val="none"/>
        </w:rPr>
      </w:pPr>
    </w:p>
    <w:p w14:paraId="20A1A5A4">
      <w:pPr>
        <w:autoSpaceDN w:val="0"/>
        <w:rPr>
          <w:rFonts w:hint="eastAsia" w:ascii="宋体" w:hAnsi="宋体" w:eastAsia="宋体" w:cs="宋体"/>
          <w:color w:val="auto"/>
          <w:sz w:val="44"/>
          <w:szCs w:val="44"/>
          <w:highlight w:val="none"/>
        </w:rPr>
      </w:pPr>
    </w:p>
    <w:p w14:paraId="44BD065B">
      <w:pPr>
        <w:autoSpaceDN w:val="0"/>
        <w:rPr>
          <w:rFonts w:hint="eastAsia" w:ascii="宋体" w:hAnsi="宋体" w:eastAsia="宋体" w:cs="宋体"/>
          <w:color w:val="auto"/>
          <w:sz w:val="44"/>
          <w:szCs w:val="44"/>
          <w:highlight w:val="none"/>
        </w:rPr>
      </w:pPr>
    </w:p>
    <w:p w14:paraId="602B5EC8">
      <w:pPr>
        <w:autoSpaceDN w:val="0"/>
        <w:rPr>
          <w:rFonts w:hint="eastAsia" w:ascii="宋体" w:hAnsi="宋体" w:eastAsia="宋体" w:cs="宋体"/>
          <w:color w:val="auto"/>
          <w:sz w:val="44"/>
          <w:szCs w:val="44"/>
          <w:highlight w:val="none"/>
        </w:rPr>
      </w:pPr>
    </w:p>
    <w:p w14:paraId="6BF75186">
      <w:pPr>
        <w:autoSpaceDN w:val="0"/>
        <w:rPr>
          <w:rFonts w:hint="eastAsia" w:ascii="宋体" w:hAnsi="宋体" w:eastAsia="宋体" w:cs="宋体"/>
          <w:color w:val="auto"/>
          <w:sz w:val="44"/>
          <w:szCs w:val="44"/>
          <w:highlight w:val="none"/>
        </w:rPr>
      </w:pPr>
    </w:p>
    <w:p w14:paraId="7C8192DB">
      <w:pPr>
        <w:autoSpaceDN w:val="0"/>
        <w:rPr>
          <w:rFonts w:hint="eastAsia" w:ascii="宋体" w:hAnsi="宋体" w:eastAsia="宋体" w:cs="宋体"/>
          <w:color w:val="auto"/>
          <w:sz w:val="44"/>
          <w:szCs w:val="44"/>
          <w:highlight w:val="none"/>
        </w:rPr>
      </w:pPr>
    </w:p>
    <w:p w14:paraId="60F95915">
      <w:pPr>
        <w:autoSpaceDN w:val="0"/>
        <w:rPr>
          <w:rFonts w:hint="eastAsia" w:ascii="宋体" w:hAnsi="宋体" w:eastAsia="宋体" w:cs="宋体"/>
          <w:color w:val="auto"/>
          <w:sz w:val="44"/>
          <w:szCs w:val="44"/>
          <w:highlight w:val="none"/>
        </w:rPr>
      </w:pPr>
    </w:p>
    <w:p w14:paraId="590C7E81">
      <w:pPr>
        <w:autoSpaceDN w:val="0"/>
        <w:rPr>
          <w:rFonts w:hint="eastAsia" w:ascii="宋体" w:hAnsi="宋体" w:eastAsia="宋体" w:cs="宋体"/>
          <w:color w:val="auto"/>
          <w:sz w:val="44"/>
          <w:szCs w:val="44"/>
          <w:highlight w:val="none"/>
        </w:rPr>
      </w:pPr>
    </w:p>
    <w:p w14:paraId="6EC34E0B">
      <w:pPr>
        <w:autoSpaceDN w:val="0"/>
        <w:rPr>
          <w:rFonts w:hint="eastAsia" w:ascii="宋体" w:hAnsi="宋体" w:eastAsia="宋体" w:cs="宋体"/>
          <w:color w:val="auto"/>
          <w:sz w:val="44"/>
          <w:szCs w:val="44"/>
          <w:highlight w:val="none"/>
        </w:rPr>
      </w:pPr>
    </w:p>
    <w:p w14:paraId="69B7E3E8">
      <w:pPr>
        <w:widowControl/>
        <w:autoSpaceDN w:val="0"/>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8B6CF84">
      <w:pPr>
        <w:tabs>
          <w:tab w:val="center" w:pos="4819"/>
        </w:tabs>
        <w:autoSpaceDN w:val="0"/>
        <w:rPr>
          <w:rFonts w:hint="eastAsia" w:ascii="宋体" w:hAnsi="宋体" w:eastAsia="宋体" w:cs="宋体"/>
          <w:color w:val="auto"/>
          <w:sz w:val="44"/>
          <w:szCs w:val="44"/>
          <w:highlight w:val="none"/>
        </w:rPr>
        <w:sectPr>
          <w:headerReference r:id="rId4" w:type="first"/>
          <w:footerReference r:id="rId7" w:type="first"/>
          <w:headerReference r:id="rId3" w:type="default"/>
          <w:footerReference r:id="rId5" w:type="default"/>
          <w:footerReference r:id="rId6" w:type="even"/>
          <w:pgSz w:w="11905" w:h="16838"/>
          <w:pgMar w:top="856" w:right="1191" w:bottom="1417" w:left="1191" w:header="567" w:footer="680" w:gutter="0"/>
          <w:pgBorders>
            <w:top w:val="none" w:sz="0" w:space="0"/>
            <w:left w:val="none" w:sz="0" w:space="0"/>
            <w:bottom w:val="none" w:sz="0" w:space="0"/>
            <w:right w:val="none" w:sz="0" w:space="0"/>
          </w:pgBorders>
          <w:pgNumType w:fmt="decimal" w:start="0"/>
          <w:cols w:space="0" w:num="1"/>
          <w:titlePg/>
          <w:rtlGutter w:val="0"/>
          <w:docGrid w:linePitch="286" w:charSpace="0"/>
        </w:sectPr>
      </w:pPr>
    </w:p>
    <w:p w14:paraId="0D754384">
      <w:pPr>
        <w:autoSpaceDN w:val="0"/>
        <w:adjustRightInd w:val="0"/>
        <w:snapToGrid w:val="0"/>
        <w:spacing w:line="324"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392354AF">
      <w:pPr>
        <w:pStyle w:val="33"/>
        <w:tabs>
          <w:tab w:val="right" w:leader="dot" w:pos="9523"/>
          <w:tab w:val="clear" w:pos="9403"/>
        </w:tabs>
        <w:rPr>
          <w:color w:val="auto"/>
          <w:highlight w:val="none"/>
        </w:rPr>
      </w:pPr>
      <w:r>
        <w:rPr>
          <w:rFonts w:hint="eastAsia" w:ascii="宋体" w:hAnsi="宋体" w:eastAsia="宋体" w:cs="宋体"/>
          <w:color w:val="auto"/>
          <w:w w:val="90"/>
          <w:sz w:val="24"/>
          <w:highlight w:val="none"/>
        </w:rPr>
        <w:fldChar w:fldCharType="begin"/>
      </w:r>
      <w:r>
        <w:rPr>
          <w:rFonts w:hint="eastAsia" w:ascii="宋体" w:hAnsi="宋体" w:eastAsia="宋体" w:cs="宋体"/>
          <w:color w:val="auto"/>
          <w:w w:val="90"/>
          <w:sz w:val="24"/>
          <w:highlight w:val="none"/>
        </w:rPr>
        <w:instrText xml:space="preserve"> TOC \o "1-2" \h \z </w:instrText>
      </w:r>
      <w:r>
        <w:rPr>
          <w:rFonts w:hint="eastAsia" w:ascii="宋体" w:hAnsi="宋体" w:eastAsia="宋体" w:cs="宋体"/>
          <w:color w:val="auto"/>
          <w:w w:val="90"/>
          <w:sz w:val="24"/>
          <w:highlight w:val="none"/>
        </w:rPr>
        <w:fldChar w:fldCharType="separate"/>
      </w:r>
      <w:r>
        <w:rPr>
          <w:rFonts w:hint="eastAsia" w:ascii="宋体" w:hAnsi="宋体" w:eastAsia="宋体" w:cs="宋体"/>
          <w:color w:val="auto"/>
          <w:w w:val="90"/>
          <w:highlight w:val="none"/>
        </w:rPr>
        <w:fldChar w:fldCharType="begin"/>
      </w:r>
      <w:r>
        <w:rPr>
          <w:rFonts w:hint="eastAsia" w:ascii="宋体" w:hAnsi="宋体" w:eastAsia="宋体" w:cs="宋体"/>
          <w:color w:val="auto"/>
          <w:w w:val="90"/>
          <w:highlight w:val="none"/>
        </w:rPr>
        <w:instrText xml:space="preserve"> HYPERLINK \l _Toc13101 </w:instrText>
      </w:r>
      <w:r>
        <w:rPr>
          <w:rFonts w:hint="eastAsia" w:ascii="宋体" w:hAnsi="宋体" w:eastAsia="宋体" w:cs="宋体"/>
          <w:color w:val="auto"/>
          <w:w w:val="90"/>
          <w:highlight w:val="none"/>
        </w:rPr>
        <w:fldChar w:fldCharType="separate"/>
      </w:r>
      <w:r>
        <w:rPr>
          <w:rFonts w:hint="eastAsia" w:ascii="宋体" w:hAnsi="宋体" w:eastAsia="宋体" w:cs="宋体"/>
          <w:bCs/>
          <w:color w:val="auto"/>
          <w:kern w:val="44"/>
          <w:szCs w:val="44"/>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w w:val="90"/>
          <w:highlight w:val="none"/>
        </w:rPr>
        <w:fldChar w:fldCharType="end"/>
      </w:r>
    </w:p>
    <w:p w14:paraId="5227B6DB">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_Toc18950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第二章  磋商须知前附表</w:t>
      </w:r>
      <w:r>
        <w:rPr>
          <w:color w:val="auto"/>
          <w:highlight w:val="none"/>
        </w:rPr>
        <w:tab/>
      </w:r>
      <w:r>
        <w:rPr>
          <w:color w:val="auto"/>
          <w:highlight w:val="none"/>
        </w:rPr>
        <w:fldChar w:fldCharType="begin"/>
      </w:r>
      <w:r>
        <w:rPr>
          <w:color w:val="auto"/>
          <w:highlight w:val="none"/>
        </w:rPr>
        <w:instrText xml:space="preserve"> PAGEREF _Toc18950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w w:val="90"/>
          <w:highlight w:val="none"/>
        </w:rPr>
        <w:fldChar w:fldCharType="end"/>
      </w:r>
    </w:p>
    <w:p w14:paraId="63BEAA7A">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_Toc4570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第三章  磋商须知</w:t>
      </w:r>
      <w:r>
        <w:rPr>
          <w:color w:val="auto"/>
          <w:highlight w:val="none"/>
        </w:rPr>
        <w:tab/>
      </w:r>
      <w:r>
        <w:rPr>
          <w:color w:val="auto"/>
          <w:highlight w:val="none"/>
        </w:rPr>
        <w:fldChar w:fldCharType="begin"/>
      </w:r>
      <w:r>
        <w:rPr>
          <w:color w:val="auto"/>
          <w:highlight w:val="none"/>
        </w:rPr>
        <w:instrText xml:space="preserve"> PAGEREF _Toc4570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w w:val="90"/>
          <w:highlight w:val="none"/>
        </w:rPr>
        <w:fldChar w:fldCharType="end"/>
      </w:r>
    </w:p>
    <w:p w14:paraId="371CF3C3">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_Toc20787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一、总则</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w w:val="90"/>
          <w:highlight w:val="none"/>
        </w:rPr>
        <w:fldChar w:fldCharType="end"/>
      </w:r>
    </w:p>
    <w:p w14:paraId="40186784">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_Toc23257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二、落实的政府采购政策</w:t>
      </w:r>
      <w:r>
        <w:rPr>
          <w:color w:val="auto"/>
          <w:highlight w:val="none"/>
        </w:rPr>
        <w:tab/>
      </w:r>
      <w:r>
        <w:rPr>
          <w:color w:val="auto"/>
          <w:highlight w:val="none"/>
        </w:rPr>
        <w:fldChar w:fldCharType="begin"/>
      </w:r>
      <w:r>
        <w:rPr>
          <w:color w:val="auto"/>
          <w:highlight w:val="none"/>
        </w:rPr>
        <w:instrText xml:space="preserve"> PAGEREF _Toc23257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w w:val="90"/>
          <w:highlight w:val="none"/>
        </w:rPr>
        <w:fldChar w:fldCharType="end"/>
      </w:r>
    </w:p>
    <w:p w14:paraId="725DFB4C">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_Toc582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三、竞争性磋商文件</w:t>
      </w:r>
      <w:r>
        <w:rPr>
          <w:color w:val="auto"/>
          <w:highlight w:val="none"/>
        </w:rPr>
        <w:tab/>
      </w:r>
      <w:r>
        <w:rPr>
          <w:color w:val="auto"/>
          <w:highlight w:val="none"/>
        </w:rPr>
        <w:fldChar w:fldCharType="begin"/>
      </w:r>
      <w:r>
        <w:rPr>
          <w:color w:val="auto"/>
          <w:highlight w:val="none"/>
        </w:rPr>
        <w:instrText xml:space="preserve"> PAGEREF _Toc582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w w:val="90"/>
          <w:highlight w:val="none"/>
        </w:rPr>
        <w:fldChar w:fldCharType="end"/>
      </w:r>
    </w:p>
    <w:p w14:paraId="4FCF1778">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_Toc11409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四、磋商响应文件</w:t>
      </w:r>
      <w:r>
        <w:rPr>
          <w:color w:val="auto"/>
          <w:highlight w:val="none"/>
        </w:rPr>
        <w:tab/>
      </w:r>
      <w:r>
        <w:rPr>
          <w:color w:val="auto"/>
          <w:highlight w:val="none"/>
        </w:rPr>
        <w:fldChar w:fldCharType="begin"/>
      </w:r>
      <w:r>
        <w:rPr>
          <w:color w:val="auto"/>
          <w:highlight w:val="none"/>
        </w:rPr>
        <w:instrText xml:space="preserve"> PAGEREF _Toc11409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w w:val="90"/>
          <w:highlight w:val="none"/>
        </w:rPr>
        <w:fldChar w:fldCharType="end"/>
      </w:r>
    </w:p>
    <w:p w14:paraId="3A70C6D3">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_Toc17132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五、磋商响应</w:t>
      </w:r>
      <w:r>
        <w:rPr>
          <w:color w:val="auto"/>
          <w:highlight w:val="none"/>
        </w:rPr>
        <w:tab/>
      </w:r>
      <w:r>
        <w:rPr>
          <w:color w:val="auto"/>
          <w:highlight w:val="none"/>
        </w:rPr>
        <w:fldChar w:fldCharType="begin"/>
      </w:r>
      <w:r>
        <w:rPr>
          <w:color w:val="auto"/>
          <w:highlight w:val="none"/>
        </w:rPr>
        <w:instrText xml:space="preserve"> PAGEREF _Toc17132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w w:val="90"/>
          <w:highlight w:val="none"/>
        </w:rPr>
        <w:fldChar w:fldCharType="end"/>
      </w:r>
    </w:p>
    <w:p w14:paraId="5A2FECA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_Toc6995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六、开标</w:t>
      </w:r>
      <w:r>
        <w:rPr>
          <w:color w:val="auto"/>
          <w:highlight w:val="none"/>
        </w:rPr>
        <w:tab/>
      </w:r>
      <w:r>
        <w:rPr>
          <w:color w:val="auto"/>
          <w:highlight w:val="none"/>
        </w:rPr>
        <w:fldChar w:fldCharType="begin"/>
      </w:r>
      <w:r>
        <w:rPr>
          <w:color w:val="auto"/>
          <w:highlight w:val="none"/>
        </w:rPr>
        <w:instrText xml:space="preserve"> PAGEREF _Toc6995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w w:val="90"/>
          <w:highlight w:val="none"/>
        </w:rPr>
        <w:fldChar w:fldCharType="end"/>
      </w:r>
    </w:p>
    <w:p w14:paraId="14452D3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_Toc28197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七、评审</w:t>
      </w:r>
      <w:r>
        <w:rPr>
          <w:color w:val="auto"/>
          <w:highlight w:val="none"/>
        </w:rPr>
        <w:tab/>
      </w:r>
      <w:r>
        <w:rPr>
          <w:color w:val="auto"/>
          <w:highlight w:val="none"/>
        </w:rPr>
        <w:fldChar w:fldCharType="begin"/>
      </w:r>
      <w:r>
        <w:rPr>
          <w:color w:val="auto"/>
          <w:highlight w:val="none"/>
        </w:rPr>
        <w:instrText xml:space="preserve"> PAGEREF _Toc28197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w w:val="90"/>
          <w:highlight w:val="none"/>
        </w:rPr>
        <w:fldChar w:fldCharType="end"/>
      </w:r>
    </w:p>
    <w:p w14:paraId="13F2CB8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_Toc5711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八、采购结果确认与公告</w:t>
      </w:r>
      <w:r>
        <w:rPr>
          <w:color w:val="auto"/>
          <w:highlight w:val="none"/>
        </w:rPr>
        <w:tab/>
      </w:r>
      <w:r>
        <w:rPr>
          <w:color w:val="auto"/>
          <w:highlight w:val="none"/>
        </w:rPr>
        <w:fldChar w:fldCharType="begin"/>
      </w:r>
      <w:r>
        <w:rPr>
          <w:color w:val="auto"/>
          <w:highlight w:val="none"/>
        </w:rPr>
        <w:instrText xml:space="preserve"> PAGEREF _Toc5711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w w:val="90"/>
          <w:highlight w:val="none"/>
        </w:rPr>
        <w:fldChar w:fldCharType="end"/>
      </w:r>
    </w:p>
    <w:p w14:paraId="685AFD5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_Toc24033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九、采购代理服务费和造价咨询服务费</w:t>
      </w:r>
      <w:r>
        <w:rPr>
          <w:color w:val="auto"/>
          <w:highlight w:val="none"/>
        </w:rPr>
        <w:tab/>
      </w:r>
      <w:r>
        <w:rPr>
          <w:color w:val="auto"/>
          <w:highlight w:val="none"/>
        </w:rPr>
        <w:fldChar w:fldCharType="begin"/>
      </w:r>
      <w:r>
        <w:rPr>
          <w:color w:val="auto"/>
          <w:highlight w:val="none"/>
        </w:rPr>
        <w:instrText xml:space="preserve"> PAGEREF _Toc24033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w w:val="90"/>
          <w:highlight w:val="none"/>
        </w:rPr>
        <w:fldChar w:fldCharType="end"/>
      </w:r>
    </w:p>
    <w:p w14:paraId="5A541F9F">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_Toc8489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十、合同签订和履约担保</w:t>
      </w:r>
      <w:r>
        <w:rPr>
          <w:color w:val="auto"/>
          <w:highlight w:val="none"/>
        </w:rPr>
        <w:tab/>
      </w:r>
      <w:r>
        <w:rPr>
          <w:color w:val="auto"/>
          <w:highlight w:val="none"/>
        </w:rPr>
        <w:fldChar w:fldCharType="begin"/>
      </w:r>
      <w:r>
        <w:rPr>
          <w:color w:val="auto"/>
          <w:highlight w:val="none"/>
        </w:rPr>
        <w:instrText xml:space="preserve"> PAGEREF _Toc8489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w w:val="90"/>
          <w:highlight w:val="none"/>
        </w:rPr>
        <w:fldChar w:fldCharType="end"/>
      </w:r>
    </w:p>
    <w:p w14:paraId="788EEC0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_Toc15048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十一、其他事项说明</w:t>
      </w:r>
      <w:r>
        <w:rPr>
          <w:color w:val="auto"/>
          <w:highlight w:val="none"/>
        </w:rPr>
        <w:tab/>
      </w:r>
      <w:r>
        <w:rPr>
          <w:color w:val="auto"/>
          <w:highlight w:val="none"/>
        </w:rPr>
        <w:fldChar w:fldCharType="begin"/>
      </w:r>
      <w:r>
        <w:rPr>
          <w:color w:val="auto"/>
          <w:highlight w:val="none"/>
        </w:rPr>
        <w:instrText xml:space="preserve"> PAGEREF _Toc15048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w w:val="90"/>
          <w:highlight w:val="none"/>
        </w:rPr>
        <w:fldChar w:fldCharType="end"/>
      </w:r>
    </w:p>
    <w:p w14:paraId="44D01DDA">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_Toc28471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第四章  采购内容及技术要求</w:t>
      </w:r>
      <w:r>
        <w:rPr>
          <w:color w:val="auto"/>
          <w:highlight w:val="none"/>
        </w:rPr>
        <w:tab/>
      </w:r>
      <w:r>
        <w:rPr>
          <w:color w:val="auto"/>
          <w:highlight w:val="none"/>
        </w:rPr>
        <w:fldChar w:fldCharType="begin"/>
      </w:r>
      <w:r>
        <w:rPr>
          <w:color w:val="auto"/>
          <w:highlight w:val="none"/>
        </w:rPr>
        <w:instrText xml:space="preserve"> PAGEREF _Toc28471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w w:val="90"/>
          <w:highlight w:val="none"/>
        </w:rPr>
        <w:fldChar w:fldCharType="end"/>
      </w:r>
    </w:p>
    <w:p w14:paraId="3C343B68">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_Toc2810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第五章  合同</w:t>
      </w:r>
      <w:r>
        <w:rPr>
          <w:color w:val="auto"/>
          <w:highlight w:val="none"/>
        </w:rPr>
        <w:tab/>
      </w:r>
      <w:r>
        <w:rPr>
          <w:color w:val="auto"/>
          <w:highlight w:val="none"/>
        </w:rPr>
        <w:fldChar w:fldCharType="begin"/>
      </w:r>
      <w:r>
        <w:rPr>
          <w:color w:val="auto"/>
          <w:highlight w:val="none"/>
        </w:rPr>
        <w:instrText xml:space="preserve"> PAGEREF _Toc2810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w w:val="90"/>
          <w:highlight w:val="none"/>
        </w:rPr>
        <w:fldChar w:fldCharType="end"/>
      </w:r>
    </w:p>
    <w:p w14:paraId="0D3C8FFE">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_Toc6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第六章  磋商响应文件格式</w:t>
      </w:r>
      <w:r>
        <w:rPr>
          <w:color w:val="auto"/>
          <w:highlight w:val="none"/>
        </w:rPr>
        <w:tab/>
      </w:r>
      <w:r>
        <w:rPr>
          <w:color w:val="auto"/>
          <w:highlight w:val="none"/>
        </w:rPr>
        <w:fldChar w:fldCharType="begin"/>
      </w:r>
      <w:r>
        <w:rPr>
          <w:color w:val="auto"/>
          <w:highlight w:val="none"/>
        </w:rPr>
        <w:instrText xml:space="preserve"> PAGEREF _Toc6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bCs/>
          <w:color w:val="auto"/>
          <w:w w:val="90"/>
          <w:highlight w:val="none"/>
        </w:rPr>
        <w:fldChar w:fldCharType="end"/>
      </w:r>
    </w:p>
    <w:p w14:paraId="11DA6828">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_Toc29776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第一部分“资格文件格式”</w:t>
      </w:r>
      <w:r>
        <w:rPr>
          <w:color w:val="auto"/>
          <w:highlight w:val="none"/>
        </w:rPr>
        <w:tab/>
      </w:r>
      <w:r>
        <w:rPr>
          <w:color w:val="auto"/>
          <w:highlight w:val="none"/>
        </w:rPr>
        <w:fldChar w:fldCharType="begin"/>
      </w:r>
      <w:r>
        <w:rPr>
          <w:color w:val="auto"/>
          <w:highlight w:val="none"/>
        </w:rPr>
        <w:instrText xml:space="preserve"> PAGEREF _Toc29776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bCs/>
          <w:color w:val="auto"/>
          <w:w w:val="90"/>
          <w:highlight w:val="none"/>
        </w:rPr>
        <w:fldChar w:fldCharType="end"/>
      </w:r>
    </w:p>
    <w:p w14:paraId="1C23BBA9">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_Toc17775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第二部分“商务技术文件”格式</w:t>
      </w:r>
      <w:r>
        <w:rPr>
          <w:color w:val="auto"/>
          <w:highlight w:val="none"/>
        </w:rPr>
        <w:tab/>
      </w:r>
      <w:r>
        <w:rPr>
          <w:color w:val="auto"/>
          <w:highlight w:val="none"/>
        </w:rPr>
        <w:fldChar w:fldCharType="begin"/>
      </w:r>
      <w:r>
        <w:rPr>
          <w:color w:val="auto"/>
          <w:highlight w:val="none"/>
        </w:rPr>
        <w:instrText xml:space="preserve"> PAGEREF _Toc17775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bCs/>
          <w:color w:val="auto"/>
          <w:w w:val="90"/>
          <w:highlight w:val="none"/>
        </w:rPr>
        <w:fldChar w:fldCharType="end"/>
      </w:r>
    </w:p>
    <w:p w14:paraId="026DE1C2">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_Toc12366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第三部分“报价文件”格式</w:t>
      </w:r>
      <w:r>
        <w:rPr>
          <w:color w:val="auto"/>
          <w:highlight w:val="none"/>
        </w:rPr>
        <w:tab/>
      </w:r>
      <w:r>
        <w:rPr>
          <w:color w:val="auto"/>
          <w:highlight w:val="none"/>
        </w:rPr>
        <w:fldChar w:fldCharType="begin"/>
      </w:r>
      <w:r>
        <w:rPr>
          <w:color w:val="auto"/>
          <w:highlight w:val="none"/>
        </w:rPr>
        <w:instrText xml:space="preserve"> PAGEREF _Toc12366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bCs/>
          <w:color w:val="auto"/>
          <w:w w:val="90"/>
          <w:highlight w:val="none"/>
        </w:rPr>
        <w:fldChar w:fldCharType="end"/>
      </w:r>
    </w:p>
    <w:p w14:paraId="395FA371">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_Toc23664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第七章  评审办法</w:t>
      </w:r>
      <w:r>
        <w:rPr>
          <w:color w:val="auto"/>
          <w:highlight w:val="none"/>
        </w:rPr>
        <w:tab/>
      </w:r>
      <w:r>
        <w:rPr>
          <w:color w:val="auto"/>
          <w:highlight w:val="none"/>
        </w:rPr>
        <w:fldChar w:fldCharType="begin"/>
      </w:r>
      <w:r>
        <w:rPr>
          <w:color w:val="auto"/>
          <w:highlight w:val="none"/>
        </w:rPr>
        <w:instrText xml:space="preserve"> PAGEREF _Toc23664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bCs/>
          <w:color w:val="auto"/>
          <w:w w:val="90"/>
          <w:highlight w:val="none"/>
        </w:rPr>
        <w:fldChar w:fldCharType="end"/>
      </w:r>
    </w:p>
    <w:p w14:paraId="60CF7B8D">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_Toc15230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_Toc15230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bCs/>
          <w:color w:val="auto"/>
          <w:w w:val="90"/>
          <w:highlight w:val="none"/>
        </w:rPr>
        <w:fldChar w:fldCharType="end"/>
      </w:r>
    </w:p>
    <w:p w14:paraId="444803A6">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_Toc14055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二、评审程序</w:t>
      </w:r>
      <w:r>
        <w:rPr>
          <w:color w:val="auto"/>
          <w:highlight w:val="none"/>
        </w:rPr>
        <w:tab/>
      </w:r>
      <w:r>
        <w:rPr>
          <w:color w:val="auto"/>
          <w:highlight w:val="none"/>
        </w:rPr>
        <w:fldChar w:fldCharType="begin"/>
      </w:r>
      <w:r>
        <w:rPr>
          <w:color w:val="auto"/>
          <w:highlight w:val="none"/>
        </w:rPr>
        <w:instrText xml:space="preserve"> PAGEREF _Toc14055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bCs/>
          <w:color w:val="auto"/>
          <w:w w:val="90"/>
          <w:highlight w:val="none"/>
        </w:rPr>
        <w:fldChar w:fldCharType="end"/>
      </w:r>
    </w:p>
    <w:p w14:paraId="3ECF698E">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_Toc29214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三、评分标准</w:t>
      </w:r>
      <w:r>
        <w:rPr>
          <w:color w:val="auto"/>
          <w:highlight w:val="none"/>
        </w:rPr>
        <w:tab/>
      </w:r>
      <w:r>
        <w:rPr>
          <w:color w:val="auto"/>
          <w:highlight w:val="none"/>
        </w:rPr>
        <w:fldChar w:fldCharType="begin"/>
      </w:r>
      <w:r>
        <w:rPr>
          <w:color w:val="auto"/>
          <w:highlight w:val="none"/>
        </w:rPr>
        <w:instrText xml:space="preserve"> PAGEREF _Toc29214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eastAsia="宋体" w:cs="宋体"/>
          <w:bCs/>
          <w:color w:val="auto"/>
          <w:w w:val="90"/>
          <w:highlight w:val="none"/>
        </w:rPr>
        <w:fldChar w:fldCharType="end"/>
      </w:r>
    </w:p>
    <w:p w14:paraId="6C94078C">
      <w:pPr>
        <w:pStyle w:val="40"/>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_Toc4750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四、其他评审事项规定</w:t>
      </w:r>
      <w:r>
        <w:rPr>
          <w:color w:val="auto"/>
          <w:highlight w:val="none"/>
        </w:rPr>
        <w:tab/>
      </w:r>
      <w:r>
        <w:rPr>
          <w:color w:val="auto"/>
          <w:highlight w:val="none"/>
        </w:rPr>
        <w:fldChar w:fldCharType="begin"/>
      </w:r>
      <w:r>
        <w:rPr>
          <w:color w:val="auto"/>
          <w:highlight w:val="none"/>
        </w:rPr>
        <w:instrText xml:space="preserve"> PAGEREF _Toc4750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bCs/>
          <w:color w:val="auto"/>
          <w:w w:val="90"/>
          <w:highlight w:val="none"/>
        </w:rPr>
        <w:fldChar w:fldCharType="end"/>
      </w:r>
    </w:p>
    <w:p w14:paraId="4E0D1196">
      <w:pPr>
        <w:pStyle w:val="33"/>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_Toc27569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szCs w:val="32"/>
          <w:highlight w:val="none"/>
        </w:rPr>
        <w:t>第八章 附件</w:t>
      </w:r>
      <w:r>
        <w:rPr>
          <w:color w:val="auto"/>
          <w:highlight w:val="none"/>
        </w:rPr>
        <w:tab/>
      </w:r>
      <w:r>
        <w:rPr>
          <w:color w:val="auto"/>
          <w:highlight w:val="none"/>
        </w:rPr>
        <w:fldChar w:fldCharType="begin"/>
      </w:r>
      <w:r>
        <w:rPr>
          <w:color w:val="auto"/>
          <w:highlight w:val="none"/>
        </w:rPr>
        <w:instrText xml:space="preserve"> PAGEREF _Toc27569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bCs/>
          <w:color w:val="auto"/>
          <w:w w:val="90"/>
          <w:highlight w:val="none"/>
        </w:rPr>
        <w:fldChar w:fldCharType="end"/>
      </w:r>
    </w:p>
    <w:p w14:paraId="6B331D87">
      <w:pPr>
        <w:pStyle w:val="3"/>
        <w:keepNext w:val="0"/>
        <w:widowControl/>
        <w:autoSpaceDN w:val="0"/>
        <w:adjustRightInd w:val="0"/>
        <w:snapToGrid w:val="0"/>
        <w:spacing w:before="480" w:beforeLines="200" w:after="360" w:afterLines="150" w:line="340" w:lineRule="exact"/>
        <w:rPr>
          <w:rFonts w:hint="eastAsia" w:ascii="宋体" w:hAnsi="宋体" w:eastAsia="宋体" w:cs="宋体"/>
          <w:bCs/>
          <w:color w:val="auto"/>
          <w:w w:val="90"/>
          <w:highlight w:val="none"/>
        </w:rPr>
      </w:pPr>
      <w:r>
        <w:rPr>
          <w:rFonts w:hint="eastAsia" w:ascii="宋体" w:hAnsi="宋体" w:eastAsia="宋体" w:cs="宋体"/>
          <w:bCs/>
          <w:color w:val="auto"/>
          <w:w w:val="90"/>
          <w:highlight w:val="none"/>
        </w:rPr>
        <w:fldChar w:fldCharType="end"/>
      </w:r>
      <w:bookmarkStart w:id="0" w:name="_Toc293343927"/>
    </w:p>
    <w:p w14:paraId="69459B09">
      <w:pPr>
        <w:rPr>
          <w:rFonts w:hint="eastAsia" w:ascii="宋体" w:hAnsi="宋体" w:eastAsia="宋体" w:cs="宋体"/>
          <w:bCs/>
          <w:color w:val="auto"/>
          <w:w w:val="90"/>
          <w:highlight w:val="none"/>
        </w:rPr>
      </w:pPr>
      <w:r>
        <w:rPr>
          <w:rFonts w:hint="eastAsia" w:ascii="宋体" w:hAnsi="宋体" w:eastAsia="宋体" w:cs="宋体"/>
          <w:bCs/>
          <w:color w:val="auto"/>
          <w:w w:val="90"/>
          <w:highlight w:val="none"/>
        </w:rPr>
        <w:br w:type="page"/>
      </w:r>
    </w:p>
    <w:p w14:paraId="6B79C7CC">
      <w:pPr>
        <w:pStyle w:val="3"/>
        <w:keepNext w:val="0"/>
        <w:keepLines w:val="0"/>
        <w:pageBreakBefore w:val="0"/>
        <w:widowControl/>
        <w:kinsoku/>
        <w:wordWrap/>
        <w:overflowPunct/>
        <w:topLinePunct w:val="0"/>
        <w:autoSpaceDE/>
        <w:autoSpaceDN w:val="0"/>
        <w:bidi w:val="0"/>
        <w:adjustRightInd w:val="0"/>
        <w:snapToGrid w:val="0"/>
        <w:spacing w:before="859" w:beforeLines="300" w:after="360" w:afterLines="150" w:line="240" w:lineRule="auto"/>
        <w:textAlignment w:val="auto"/>
        <w:rPr>
          <w:rFonts w:hint="eastAsia" w:ascii="宋体" w:hAnsi="宋体" w:eastAsia="宋体" w:cs="宋体"/>
          <w:bCs/>
          <w:color w:val="auto"/>
          <w:kern w:val="44"/>
          <w:sz w:val="18"/>
          <w:szCs w:val="18"/>
          <w:highlight w:val="none"/>
        </w:rPr>
      </w:pPr>
    </w:p>
    <w:p w14:paraId="3AF18AAE">
      <w:pPr>
        <w:pStyle w:val="3"/>
        <w:keepNext w:val="0"/>
        <w:keepLines w:val="0"/>
        <w:pageBreakBefore w:val="0"/>
        <w:widowControl/>
        <w:kinsoku/>
        <w:wordWrap/>
        <w:overflowPunct/>
        <w:topLinePunct w:val="0"/>
        <w:autoSpaceDE/>
        <w:autoSpaceDN w:val="0"/>
        <w:bidi w:val="0"/>
        <w:adjustRightInd w:val="0"/>
        <w:snapToGrid w:val="0"/>
        <w:spacing w:before="859" w:beforeLines="300" w:after="360" w:afterLines="150" w:line="340" w:lineRule="exact"/>
        <w:textAlignment w:val="auto"/>
        <w:rPr>
          <w:rFonts w:hint="eastAsia" w:ascii="宋体" w:hAnsi="宋体" w:eastAsia="宋体" w:cs="宋体"/>
          <w:bCs/>
          <w:color w:val="auto"/>
          <w:sz w:val="24"/>
          <w:highlight w:val="none"/>
        </w:rPr>
      </w:pPr>
      <w:bookmarkStart w:id="1" w:name="_Toc13101"/>
      <w:r>
        <w:rPr>
          <w:rFonts w:hint="eastAsia" w:ascii="宋体" w:hAnsi="宋体" w:eastAsia="宋体" w:cs="宋体"/>
          <w:bCs/>
          <w:color w:val="auto"/>
          <w:kern w:val="44"/>
          <w:sz w:val="44"/>
          <w:szCs w:val="44"/>
          <w:highlight w:val="none"/>
        </w:rPr>
        <w:t xml:space="preserve">第一章  </w:t>
      </w:r>
      <w:bookmarkEnd w:id="0"/>
      <w:r>
        <w:rPr>
          <w:rFonts w:hint="eastAsia" w:ascii="宋体" w:hAnsi="宋体" w:eastAsia="宋体" w:cs="宋体"/>
          <w:bCs/>
          <w:color w:val="auto"/>
          <w:kern w:val="44"/>
          <w:sz w:val="44"/>
          <w:szCs w:val="44"/>
          <w:highlight w:val="none"/>
        </w:rPr>
        <w:t>竞争性磋商公告</w:t>
      </w:r>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14:paraId="4EE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14:paraId="0E1726FA">
            <w:pPr>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B474A75">
            <w:pPr>
              <w:autoSpaceDN w:val="0"/>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eastAsia="zh-CN"/>
              </w:rPr>
              <w:t>浙江中医药大学文磊教授实验室改造项目</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b/>
                <w:bCs/>
                <w:color w:val="auto"/>
                <w:sz w:val="21"/>
                <w:szCs w:val="21"/>
                <w:highlight w:val="none"/>
                <w:u w:val="single"/>
              </w:rPr>
              <w:t>政采云平台线上获取（下载）采购文件，并于</w:t>
            </w:r>
            <w:r>
              <w:rPr>
                <w:rFonts w:hint="eastAsia" w:ascii="宋体" w:hAnsi="宋体" w:cs="宋体"/>
                <w:b/>
                <w:bCs/>
                <w:color w:val="auto"/>
                <w:sz w:val="21"/>
                <w:szCs w:val="21"/>
                <w:highlight w:val="none"/>
                <w:u w:val="single"/>
                <w:lang w:eastAsia="zh-CN"/>
              </w:rPr>
              <w:t>2025年7月</w:t>
            </w:r>
            <w:r>
              <w:rPr>
                <w:rFonts w:hint="eastAsia" w:ascii="宋体" w:hAnsi="宋体" w:cs="宋体"/>
                <w:b/>
                <w:bCs/>
                <w:color w:val="auto"/>
                <w:sz w:val="21"/>
                <w:szCs w:val="21"/>
                <w:highlight w:val="none"/>
                <w:u w:val="single"/>
                <w:lang w:val="en-US" w:eastAsia="zh-CN"/>
              </w:rPr>
              <w:t>18</w:t>
            </w:r>
            <w:r>
              <w:rPr>
                <w:rFonts w:hint="eastAsia" w:ascii="宋体" w:hAnsi="宋体" w:cs="宋体"/>
                <w:b/>
                <w:bCs/>
                <w:color w:val="auto"/>
                <w:sz w:val="21"/>
                <w:szCs w:val="21"/>
                <w:highlight w:val="none"/>
                <w:u w:val="single"/>
                <w:lang w:eastAsia="zh-CN"/>
              </w:rPr>
              <w:t>日</w:t>
            </w:r>
            <w:r>
              <w:rPr>
                <w:rFonts w:hint="eastAsia" w:ascii="宋体" w:hAnsi="宋体" w:cs="宋体"/>
                <w:b/>
                <w:bCs/>
                <w:color w:val="auto"/>
                <w:sz w:val="21"/>
                <w:szCs w:val="21"/>
                <w:highlight w:val="none"/>
                <w:u w:val="single"/>
                <w:lang w:val="en-US" w:eastAsia="zh-CN"/>
              </w:rPr>
              <w:t>09:00</w:t>
            </w:r>
            <w:r>
              <w:rPr>
                <w:rFonts w:hint="eastAsia" w:ascii="宋体" w:hAnsi="宋体" w:eastAsia="宋体" w:cs="宋体"/>
                <w:b/>
                <w:bCs/>
                <w:color w:val="auto"/>
                <w:sz w:val="21"/>
                <w:szCs w:val="21"/>
                <w:highlight w:val="none"/>
                <w:u w:val="single"/>
              </w:rPr>
              <w:t>（北京时间）</w:t>
            </w:r>
            <w:r>
              <w:rPr>
                <w:rFonts w:hint="eastAsia" w:ascii="宋体" w:hAnsi="宋体" w:eastAsia="宋体" w:cs="宋体"/>
                <w:color w:val="auto"/>
                <w:sz w:val="21"/>
                <w:szCs w:val="21"/>
                <w:highlight w:val="none"/>
              </w:rPr>
              <w:t>前提交（上传）响应文件。</w:t>
            </w:r>
          </w:p>
        </w:tc>
      </w:tr>
    </w:tbl>
    <w:p w14:paraId="7521CC7F">
      <w:pPr>
        <w:pStyle w:val="45"/>
        <w:autoSpaceDN w:val="0"/>
        <w:adjustRightInd w:val="0"/>
        <w:snapToGrid w:val="0"/>
        <w:spacing w:before="120" w:beforeLines="50" w:beforeAutospacing="0" w:after="0" w:afterAutospacing="0" w:line="360" w:lineRule="auto"/>
        <w:rPr>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一、项目基本情况</w:t>
      </w:r>
    </w:p>
    <w:p w14:paraId="6163DBEA">
      <w:pPr>
        <w:pStyle w:val="45"/>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CTZB-2025060529</w:t>
      </w:r>
    </w:p>
    <w:p w14:paraId="7F0FFDDB">
      <w:pPr>
        <w:pStyle w:val="45"/>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浙江中医药大学文磊教授实验室改造项目</w:t>
      </w:r>
    </w:p>
    <w:p w14:paraId="266492DB">
      <w:pPr>
        <w:pStyle w:val="45"/>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81738F4">
      <w:pPr>
        <w:pStyle w:val="45"/>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1280000</w:t>
      </w:r>
    </w:p>
    <w:p w14:paraId="31981511">
      <w:pPr>
        <w:pStyle w:val="45"/>
        <w:autoSpaceDN w:val="0"/>
        <w:adjustRightInd w:val="0"/>
        <w:snapToGrid w:val="0"/>
        <w:spacing w:before="0" w:beforeAutospacing="0" w:after="0" w:afterAutospacing="0" w:line="360" w:lineRule="auto"/>
        <w:ind w:firstLine="373"/>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cs="宋体"/>
          <w:color w:val="auto"/>
          <w:sz w:val="21"/>
          <w:szCs w:val="21"/>
          <w:highlight w:val="none"/>
          <w:lang w:val="en-US" w:eastAsia="zh-CN"/>
        </w:rPr>
        <w:t>1180000</w:t>
      </w:r>
    </w:p>
    <w:p w14:paraId="77CA8BCA">
      <w:pPr>
        <w:pStyle w:val="45"/>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51"/>
        <w:tblW w:w="5119" w:type="pct"/>
        <w:tblInd w:w="70" w:type="dxa"/>
        <w:tblBorders>
          <w:top w:val="double" w:color="auto" w:sz="4" w:space="0"/>
          <w:left w:val="double" w:color="auto" w:sz="4" w:space="0"/>
          <w:bottom w:val="double" w:color="auto" w:sz="4" w:space="0"/>
          <w:right w:val="doub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770"/>
        <w:gridCol w:w="2267"/>
        <w:gridCol w:w="780"/>
        <w:gridCol w:w="1352"/>
        <w:gridCol w:w="2265"/>
        <w:gridCol w:w="2561"/>
      </w:tblGrid>
      <w:tr w14:paraId="205E01CF">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bottom w:val="single" w:color="000000" w:sz="2" w:space="0"/>
              <w:right w:val="single" w:color="000000" w:sz="2" w:space="0"/>
            </w:tcBorders>
            <w:noWrap w:val="0"/>
            <w:tcMar>
              <w:top w:w="60" w:type="dxa"/>
              <w:left w:w="120" w:type="dxa"/>
              <w:bottom w:w="60" w:type="dxa"/>
              <w:right w:w="120" w:type="dxa"/>
            </w:tcMar>
            <w:vAlign w:val="center"/>
          </w:tcPr>
          <w:p w14:paraId="7C1B6F13">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标项序号</w:t>
            </w:r>
          </w:p>
        </w:tc>
        <w:tc>
          <w:tcPr>
            <w:tcW w:w="1133"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6AC960BE">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标项名称</w:t>
            </w:r>
          </w:p>
        </w:tc>
        <w:tc>
          <w:tcPr>
            <w:tcW w:w="390"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310A39B9">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数量</w:t>
            </w:r>
          </w:p>
        </w:tc>
        <w:tc>
          <w:tcPr>
            <w:tcW w:w="676"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059D129B">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预算金额(元)</w:t>
            </w:r>
          </w:p>
        </w:tc>
        <w:tc>
          <w:tcPr>
            <w:tcW w:w="1132"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2C7D74C7">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简要规格描述</w:t>
            </w:r>
          </w:p>
        </w:tc>
        <w:tc>
          <w:tcPr>
            <w:tcW w:w="1280" w:type="pct"/>
            <w:tcBorders>
              <w:left w:val="single" w:color="000000" w:sz="2" w:space="0"/>
              <w:bottom w:val="single" w:color="000000" w:sz="2" w:space="0"/>
            </w:tcBorders>
            <w:noWrap w:val="0"/>
            <w:tcMar>
              <w:top w:w="60" w:type="dxa"/>
              <w:left w:w="120" w:type="dxa"/>
              <w:bottom w:w="60" w:type="dxa"/>
              <w:right w:w="120" w:type="dxa"/>
            </w:tcMar>
            <w:vAlign w:val="center"/>
          </w:tcPr>
          <w:p w14:paraId="6A866B92">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备注</w:t>
            </w:r>
          </w:p>
        </w:tc>
      </w:tr>
      <w:tr w14:paraId="2DA798E7">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top w:val="single" w:color="000000" w:sz="2" w:space="0"/>
              <w:right w:val="single" w:color="000000" w:sz="2" w:space="0"/>
            </w:tcBorders>
            <w:noWrap w:val="0"/>
            <w:tcMar>
              <w:top w:w="60" w:type="dxa"/>
              <w:left w:w="120" w:type="dxa"/>
              <w:bottom w:w="60" w:type="dxa"/>
              <w:right w:w="120" w:type="dxa"/>
            </w:tcMar>
            <w:vAlign w:val="center"/>
          </w:tcPr>
          <w:p w14:paraId="5F14F54D">
            <w:pPr>
              <w:widowControl/>
              <w:wordWrap w:val="0"/>
              <w:jc w:val="center"/>
              <w:rPr>
                <w:rFonts w:ascii="宋体" w:hAnsi="宋体" w:cs="仿宋"/>
                <w:color w:val="auto"/>
                <w:sz w:val="21"/>
                <w:szCs w:val="21"/>
                <w:highlight w:val="none"/>
              </w:rPr>
            </w:pPr>
            <w:r>
              <w:rPr>
                <w:rFonts w:hint="eastAsia" w:ascii="宋体" w:hAnsi="宋体" w:cs="仿宋"/>
                <w:color w:val="auto"/>
                <w:sz w:val="21"/>
                <w:szCs w:val="21"/>
                <w:highlight w:val="none"/>
              </w:rPr>
              <w:t>1</w:t>
            </w:r>
          </w:p>
        </w:tc>
        <w:tc>
          <w:tcPr>
            <w:tcW w:w="1133"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305E9099">
            <w:pPr>
              <w:widowControl/>
              <w:jc w:val="center"/>
              <w:rPr>
                <w:rFonts w:hint="eastAsia" w:ascii="宋体" w:hAnsi="宋体" w:eastAsia="宋体" w:cs="仿宋"/>
                <w:color w:val="auto"/>
                <w:sz w:val="21"/>
                <w:szCs w:val="21"/>
                <w:highlight w:val="none"/>
                <w:lang w:eastAsia="zh-CN"/>
              </w:rPr>
            </w:pPr>
            <w:r>
              <w:rPr>
                <w:rFonts w:hint="eastAsia" w:ascii="宋体" w:hAnsi="宋体" w:cs="仿宋"/>
                <w:bCs/>
                <w:color w:val="auto"/>
                <w:kern w:val="0"/>
                <w:sz w:val="21"/>
                <w:szCs w:val="21"/>
                <w:highlight w:val="none"/>
                <w:lang w:eastAsia="zh-CN"/>
              </w:rPr>
              <w:t>浙江中医药大学文磊教授实验室改造项目</w:t>
            </w:r>
          </w:p>
        </w:tc>
        <w:tc>
          <w:tcPr>
            <w:tcW w:w="390"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4A4DBD5D">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1项</w:t>
            </w:r>
          </w:p>
        </w:tc>
        <w:tc>
          <w:tcPr>
            <w:tcW w:w="676"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16D70038">
            <w:pPr>
              <w:widowControl/>
              <w:wordWrap w:val="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1280000</w:t>
            </w:r>
          </w:p>
        </w:tc>
        <w:tc>
          <w:tcPr>
            <w:tcW w:w="1132"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6B81F0FD">
            <w:pPr>
              <w:widowControl/>
              <w:jc w:val="center"/>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实验室装饰、电气、暖通、家具、自控系统等施工，</w:t>
            </w:r>
            <w:r>
              <w:rPr>
                <w:rFonts w:hint="eastAsia" w:ascii="宋体" w:hAnsi="宋体" w:cs="仿宋"/>
                <w:color w:val="auto"/>
                <w:sz w:val="21"/>
                <w:szCs w:val="21"/>
                <w:highlight w:val="none"/>
                <w:lang w:eastAsia="zh-CN"/>
              </w:rPr>
              <w:t>详见图纸和工程量清单</w:t>
            </w:r>
            <w:r>
              <w:rPr>
                <w:rFonts w:hint="eastAsia" w:ascii="宋体" w:hAnsi="宋体" w:cs="仿宋"/>
                <w:color w:val="auto"/>
                <w:sz w:val="21"/>
                <w:szCs w:val="21"/>
                <w:highlight w:val="none"/>
              </w:rPr>
              <w:t>。</w:t>
            </w:r>
          </w:p>
        </w:tc>
        <w:tc>
          <w:tcPr>
            <w:tcW w:w="1280" w:type="pct"/>
            <w:tcBorders>
              <w:top w:val="single" w:color="000000" w:sz="2" w:space="0"/>
              <w:left w:val="single" w:color="000000" w:sz="2" w:space="0"/>
            </w:tcBorders>
            <w:noWrap w:val="0"/>
            <w:tcMar>
              <w:top w:w="60" w:type="dxa"/>
              <w:left w:w="120" w:type="dxa"/>
              <w:bottom w:w="60" w:type="dxa"/>
              <w:right w:w="120" w:type="dxa"/>
            </w:tcMar>
            <w:vAlign w:val="center"/>
          </w:tcPr>
          <w:p w14:paraId="6236FED8">
            <w:pPr>
              <w:widowControl/>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本项目的招标控制价为</w:t>
            </w:r>
            <w:r>
              <w:rPr>
                <w:rFonts w:hint="eastAsia" w:ascii="宋体" w:hAnsi="宋体" w:cs="仿宋"/>
                <w:color w:val="auto"/>
                <w:kern w:val="0"/>
                <w:sz w:val="21"/>
                <w:szCs w:val="21"/>
                <w:highlight w:val="none"/>
                <w:u w:val="single"/>
                <w:lang w:val="en-US" w:eastAsia="zh-CN"/>
              </w:rPr>
              <w:t>1222777</w:t>
            </w:r>
            <w:r>
              <w:rPr>
                <w:rFonts w:hint="eastAsia" w:ascii="宋体" w:hAnsi="宋体" w:cs="仿宋"/>
                <w:color w:val="auto"/>
                <w:kern w:val="0"/>
                <w:sz w:val="21"/>
                <w:szCs w:val="21"/>
                <w:highlight w:val="none"/>
              </w:rPr>
              <w:t>元，最高限价为</w:t>
            </w:r>
            <w:r>
              <w:rPr>
                <w:rFonts w:hint="eastAsia" w:ascii="宋体" w:hAnsi="宋体" w:cs="仿宋"/>
                <w:color w:val="auto"/>
                <w:kern w:val="0"/>
                <w:sz w:val="21"/>
                <w:szCs w:val="21"/>
                <w:highlight w:val="none"/>
                <w:u w:val="single"/>
                <w:lang w:val="en-US" w:eastAsia="zh-CN"/>
              </w:rPr>
              <w:t>1180000</w:t>
            </w:r>
            <w:r>
              <w:rPr>
                <w:rFonts w:ascii="宋体" w:hAnsi="宋体" w:cs="仿宋"/>
                <w:color w:val="auto"/>
                <w:kern w:val="0"/>
                <w:sz w:val="21"/>
                <w:szCs w:val="21"/>
                <w:highlight w:val="none"/>
              </w:rPr>
              <w:t>元</w:t>
            </w:r>
            <w:r>
              <w:rPr>
                <w:rFonts w:hint="eastAsia" w:ascii="宋体" w:hAnsi="宋体" w:cs="仿宋"/>
                <w:color w:val="auto"/>
                <w:kern w:val="0"/>
                <w:sz w:val="21"/>
                <w:szCs w:val="21"/>
                <w:highlight w:val="none"/>
              </w:rPr>
              <w:t>，超过最高限价的按无效标处理。</w:t>
            </w:r>
          </w:p>
        </w:tc>
      </w:tr>
    </w:tbl>
    <w:p w14:paraId="58A251F7">
      <w:pPr>
        <w:pStyle w:val="45"/>
        <w:autoSpaceDN w:val="0"/>
        <w:adjustRightInd w:val="0"/>
        <w:snapToGrid w:val="0"/>
        <w:spacing w:before="240" w:beforeLines="100" w:beforeAutospacing="0" w:after="0" w:afterAutospacing="0"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合同履行期限：</w:t>
      </w:r>
      <w:r>
        <w:rPr>
          <w:rFonts w:hint="eastAsia" w:cs="宋体"/>
          <w:b/>
          <w:bCs/>
          <w:color w:val="auto"/>
          <w:sz w:val="21"/>
          <w:szCs w:val="21"/>
          <w:highlight w:val="none"/>
          <w:u w:val="single"/>
          <w:lang w:eastAsia="zh-CN"/>
        </w:rPr>
        <w:t>55日历天</w:t>
      </w:r>
    </w:p>
    <w:p w14:paraId="6629AA58">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本项目（是）接受联合体投标。</w:t>
      </w:r>
    </w:p>
    <w:p w14:paraId="6B350261">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二、申请人的资格要求：</w:t>
      </w:r>
    </w:p>
    <w:p w14:paraId="68239D4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1.满足《中华人民共和国政府采购法》第二十二条的规定；未被“信用中国”（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fldChar w:fldCharType="end"/>
      </w:r>
    </w:p>
    <w:p w14:paraId="3F872319">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宋体" w:hAnsi="宋体" w:eastAsia="宋体" w:cs="宋体"/>
          <w:b/>
          <w:bCs/>
          <w:color w:val="auto"/>
          <w:sz w:val="21"/>
          <w:szCs w:val="21"/>
          <w:highlight w:val="none"/>
        </w:rPr>
        <w:t>。</w:t>
      </w:r>
    </w:p>
    <w:p w14:paraId="58A3D7AE">
      <w:pPr>
        <w:pStyle w:val="295"/>
        <w:autoSpaceDN w:val="0"/>
        <w:adjustRightInd w:val="0"/>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8D3BE25">
      <w:pPr>
        <w:pStyle w:val="295"/>
        <w:autoSpaceDN w:val="0"/>
        <w:adjustRightInd w:val="0"/>
        <w:snapToGrid w:val="0"/>
        <w:spacing w:line="360" w:lineRule="auto"/>
        <w:ind w:firstLine="211" w:firstLineChars="100"/>
        <w:rPr>
          <w:rFonts w:hint="default"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SA"/>
        </w:rPr>
        <w:t>（1）</w:t>
      </w:r>
      <w:r>
        <w:rPr>
          <w:rFonts w:hint="eastAsia" w:ascii="宋体" w:hAnsi="宋体" w:cs="宋体"/>
          <w:b/>
          <w:bCs/>
          <w:color w:val="auto"/>
          <w:kern w:val="0"/>
          <w:sz w:val="21"/>
          <w:szCs w:val="21"/>
          <w:highlight w:val="none"/>
          <w:u w:val="single"/>
          <w:lang w:val="en-US" w:eastAsia="zh-CN" w:bidi="ar-SA"/>
        </w:rPr>
        <w:t>同时具有建筑装修装饰工程专业承包二级及以上资质和建筑机电安装工程专业承包三级及以上资质</w:t>
      </w:r>
      <w:r>
        <w:rPr>
          <w:rFonts w:hint="eastAsia" w:ascii="宋体" w:hAnsi="宋体" w:eastAsia="宋体" w:cs="宋体"/>
          <w:b/>
          <w:bCs/>
          <w:color w:val="auto"/>
          <w:kern w:val="0"/>
          <w:sz w:val="21"/>
          <w:szCs w:val="21"/>
          <w:highlight w:val="none"/>
          <w:u w:val="single"/>
          <w:lang w:val="en-US" w:eastAsia="zh-CN" w:bidi="ar-SA"/>
        </w:rPr>
        <w:t>；</w:t>
      </w:r>
    </w:p>
    <w:p w14:paraId="4D3C8A7C">
      <w:pPr>
        <w:pStyle w:val="295"/>
        <w:autoSpaceDN w:val="0"/>
        <w:adjustRightInd w:val="0"/>
        <w:snapToGrid w:val="0"/>
        <w:spacing w:line="360" w:lineRule="auto"/>
        <w:ind w:firstLine="211" w:firstLineChars="100"/>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SA"/>
        </w:rPr>
        <w:t>（2）具有企业《安全生产许可证》；</w:t>
      </w:r>
    </w:p>
    <w:p w14:paraId="03043330">
      <w:pPr>
        <w:pStyle w:val="295"/>
        <w:autoSpaceDN w:val="0"/>
        <w:adjustRightInd w:val="0"/>
        <w:snapToGrid w:val="0"/>
        <w:spacing w:line="360" w:lineRule="auto"/>
        <w:ind w:firstLine="211" w:firstLineChars="1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u w:val="single"/>
          <w:lang w:val="en-US" w:eastAsia="zh-CN" w:bidi="ar-SA"/>
        </w:rPr>
        <w:t>（3）以联合体形式参加本项目磋商的，须签订联合体协议；联合体各方均应满足资格条件。</w:t>
      </w:r>
    </w:p>
    <w:p w14:paraId="2EC4E8E7">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三、获取（下载）采购文件</w:t>
      </w:r>
    </w:p>
    <w:p w14:paraId="5DAA18AA">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w:t>
      </w:r>
      <w:r>
        <w:rPr>
          <w:rFonts w:hint="eastAsia" w:cs="宋体"/>
          <w:b/>
          <w:bCs/>
          <w:color w:val="auto"/>
          <w:sz w:val="21"/>
          <w:szCs w:val="21"/>
          <w:highlight w:val="none"/>
          <w:u w:val="single"/>
          <w:lang w:eastAsia="zh-CN"/>
        </w:rPr>
        <w:t>2025年7月</w:t>
      </w:r>
      <w:r>
        <w:rPr>
          <w:rFonts w:hint="eastAsia" w:cs="宋体"/>
          <w:b/>
          <w:bCs/>
          <w:color w:val="auto"/>
          <w:sz w:val="21"/>
          <w:szCs w:val="21"/>
          <w:highlight w:val="none"/>
          <w:u w:val="single"/>
          <w:lang w:val="en-US" w:eastAsia="zh-CN"/>
        </w:rPr>
        <w:t>18</w:t>
      </w:r>
      <w:r>
        <w:rPr>
          <w:rFonts w:hint="eastAsia" w:cs="宋体"/>
          <w:b/>
          <w:bCs/>
          <w:color w:val="auto"/>
          <w:sz w:val="21"/>
          <w:szCs w:val="21"/>
          <w:highlight w:val="none"/>
          <w:u w:val="single"/>
          <w:lang w:eastAsia="zh-CN"/>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0D4C79A0">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color w:val="auto"/>
          <w:sz w:val="21"/>
          <w:szCs w:val="21"/>
          <w:highlight w:val="none"/>
        </w:rPr>
        <w:t>政采云平台线上获取</w:t>
      </w:r>
    </w:p>
    <w:p w14:paraId="770C0C2B">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方式：</w:t>
      </w:r>
      <w:r>
        <w:rPr>
          <w:rFonts w:hint="eastAsia" w:ascii="宋体" w:hAnsi="宋体" w:eastAsia="宋体" w:cs="宋体"/>
          <w:color w:val="auto"/>
          <w:sz w:val="21"/>
          <w:szCs w:val="21"/>
          <w:highlight w:val="none"/>
        </w:rPr>
        <w:t>在线登记后获取 供应商登录政采云平台https://www.zcygov.cn/在线申请获取采购文件（进入“项目采购”应用，在获取采购文件菜单中选择项目，申请获取采购文件）。公告下方“游客-浏览采购文件”内的采购文件仅供社会公众查阅使用，不视作依法获取采购文件；未按规定获取采购文件的供应商对采购文件提起的质疑、投诉将不予受理</w:t>
      </w:r>
      <w:r>
        <w:rPr>
          <w:rFonts w:hint="eastAsia" w:cs="宋体"/>
          <w:color w:val="auto"/>
          <w:sz w:val="21"/>
          <w:szCs w:val="21"/>
          <w:highlight w:val="none"/>
          <w:lang w:eastAsia="zh-CN"/>
        </w:rPr>
        <w:t>。</w:t>
      </w:r>
    </w:p>
    <w:p w14:paraId="50636D9E">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售价（元）：</w:t>
      </w:r>
      <w:r>
        <w:rPr>
          <w:rFonts w:hint="eastAsia" w:ascii="宋体" w:hAnsi="宋体" w:eastAsia="宋体" w:cs="宋体"/>
          <w:color w:val="auto"/>
          <w:sz w:val="21"/>
          <w:szCs w:val="21"/>
          <w:highlight w:val="none"/>
        </w:rPr>
        <w:t>0</w:t>
      </w:r>
    </w:p>
    <w:p w14:paraId="54983511">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四、响应文件提交（上传）</w:t>
      </w:r>
    </w:p>
    <w:p w14:paraId="05A65116">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截 止 时 间：</w:t>
      </w:r>
      <w:r>
        <w:rPr>
          <w:rFonts w:hint="eastAsia" w:cs="宋体"/>
          <w:b/>
          <w:bCs/>
          <w:color w:val="auto"/>
          <w:sz w:val="21"/>
          <w:szCs w:val="21"/>
          <w:highlight w:val="none"/>
          <w:u w:val="single"/>
          <w:lang w:eastAsia="zh-CN"/>
        </w:rPr>
        <w:t>2025年</w:t>
      </w:r>
      <w:r>
        <w:rPr>
          <w:rFonts w:hint="eastAsia" w:cs="宋体"/>
          <w:b/>
          <w:bCs/>
          <w:color w:val="auto"/>
          <w:sz w:val="21"/>
          <w:szCs w:val="21"/>
          <w:highlight w:val="none"/>
          <w:u w:val="single"/>
          <w:lang w:val="en-US" w:eastAsia="zh-CN"/>
        </w:rPr>
        <w:t>7月18日09:00</w:t>
      </w:r>
      <w:r>
        <w:rPr>
          <w:rFonts w:hint="eastAsia" w:ascii="宋体" w:hAnsi="宋体" w:eastAsia="宋体" w:cs="宋体"/>
          <w:b/>
          <w:bCs/>
          <w:color w:val="auto"/>
          <w:sz w:val="21"/>
          <w:szCs w:val="21"/>
          <w:highlight w:val="none"/>
        </w:rPr>
        <w:t>（北京时间）</w:t>
      </w:r>
    </w:p>
    <w:p w14:paraId="06CC7613">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b/>
          <w:bCs/>
          <w:color w:val="auto"/>
          <w:sz w:val="21"/>
          <w:szCs w:val="21"/>
          <w:highlight w:val="none"/>
          <w:u w:val="single"/>
        </w:rPr>
        <w:t>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u w:val="single"/>
        </w:rPr>
        <w:t>www.zcygov.cn</w:t>
      </w:r>
      <w:r>
        <w:rPr>
          <w:rFonts w:hint="eastAsia" w:ascii="宋体" w:hAnsi="宋体" w:eastAsia="宋体" w:cs="宋体"/>
          <w:b/>
          <w:bCs/>
          <w:color w:val="auto"/>
          <w:sz w:val="21"/>
          <w:szCs w:val="21"/>
          <w:highlight w:val="none"/>
          <w:u w:val="single"/>
        </w:rPr>
        <w:fldChar w:fldCharType="end"/>
      </w:r>
      <w:r>
        <w:rPr>
          <w:rFonts w:hint="eastAsia" w:ascii="宋体" w:hAnsi="宋体" w:eastAsia="宋体" w:cs="宋体"/>
          <w:b/>
          <w:bCs/>
          <w:color w:val="auto"/>
          <w:sz w:val="21"/>
          <w:szCs w:val="21"/>
          <w:highlight w:val="none"/>
          <w:u w:val="single"/>
        </w:rPr>
        <w:t>）</w:t>
      </w:r>
    </w:p>
    <w:p w14:paraId="6BD5B655">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五、响应文件开启</w:t>
      </w:r>
    </w:p>
    <w:p w14:paraId="3872A1AB">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 启 时 间：</w:t>
      </w:r>
      <w:r>
        <w:rPr>
          <w:rFonts w:hint="eastAsia" w:cs="宋体"/>
          <w:b/>
          <w:bCs/>
          <w:color w:val="auto"/>
          <w:sz w:val="21"/>
          <w:szCs w:val="21"/>
          <w:highlight w:val="none"/>
          <w:u w:val="single"/>
          <w:lang w:eastAsia="zh-CN"/>
        </w:rPr>
        <w:t>2025年</w:t>
      </w:r>
      <w:r>
        <w:rPr>
          <w:rFonts w:hint="eastAsia" w:cs="宋体"/>
          <w:b/>
          <w:bCs/>
          <w:color w:val="auto"/>
          <w:sz w:val="21"/>
          <w:szCs w:val="21"/>
          <w:highlight w:val="none"/>
          <w:u w:val="single"/>
          <w:lang w:val="en-US" w:eastAsia="zh-CN"/>
        </w:rPr>
        <w:t>7月18日09:00</w:t>
      </w:r>
      <w:r>
        <w:rPr>
          <w:rFonts w:hint="eastAsia" w:ascii="宋体" w:hAnsi="宋体" w:eastAsia="宋体" w:cs="宋体"/>
          <w:b/>
          <w:bCs/>
          <w:color w:val="auto"/>
          <w:sz w:val="21"/>
          <w:szCs w:val="21"/>
          <w:highlight w:val="none"/>
        </w:rPr>
        <w:t>（北京时间）</w:t>
      </w:r>
    </w:p>
    <w:p w14:paraId="723C7341">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b/>
          <w:bCs/>
          <w:color w:val="auto"/>
          <w:sz w:val="21"/>
          <w:szCs w:val="21"/>
          <w:highlight w:val="none"/>
          <w:u w:val="single"/>
        </w:rPr>
        <w:t>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u w:val="single"/>
        </w:rPr>
        <w:t>www.zcygov.cn</w:t>
      </w:r>
      <w:r>
        <w:rPr>
          <w:rFonts w:hint="eastAsia" w:ascii="宋体" w:hAnsi="宋体" w:eastAsia="宋体" w:cs="宋体"/>
          <w:b/>
          <w:bCs/>
          <w:color w:val="auto"/>
          <w:sz w:val="21"/>
          <w:szCs w:val="21"/>
          <w:highlight w:val="none"/>
          <w:u w:val="single"/>
        </w:rPr>
        <w:fldChar w:fldCharType="end"/>
      </w:r>
      <w:r>
        <w:rPr>
          <w:rFonts w:hint="eastAsia" w:ascii="宋体" w:hAnsi="宋体" w:eastAsia="宋体" w:cs="宋体"/>
          <w:b/>
          <w:bCs/>
          <w:color w:val="auto"/>
          <w:sz w:val="21"/>
          <w:szCs w:val="21"/>
          <w:highlight w:val="none"/>
          <w:u w:val="single"/>
        </w:rPr>
        <w:t>）</w:t>
      </w:r>
    </w:p>
    <w:p w14:paraId="09B641D5">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六、公告期限</w:t>
      </w:r>
    </w:p>
    <w:p w14:paraId="22852FCF">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04DD7682">
      <w:pPr>
        <w:pStyle w:val="45"/>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七、其他补充事宜</w:t>
      </w:r>
    </w:p>
    <w:p w14:paraId="606414FD">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D34ED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8AB52">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74E0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32CA5B7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（1）采购项目需要落实的政府采购政策：本项目依法落实促进中小企业发展政策以及节能产品、环境标志产品政府采购实施相关规定。</w:t>
      </w:r>
    </w:p>
    <w:p w14:paraId="2F239DC1">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44492E84">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（3）“关联供应商参加本项目采购活动的限制”的规定见第三章投标须知第1.13款规定；</w:t>
      </w:r>
    </w:p>
    <w:p w14:paraId="2D059BE5">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D8C1E69">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（5）为支持中小企业政府采购信用融资，进一步发挥促进中小企业发展中的政策引导作用，凡政府采购中标企业有意向融资的可向相关金融机构申请。</w:t>
      </w:r>
    </w:p>
    <w:p w14:paraId="1361E88A">
      <w:pPr>
        <w:pStyle w:val="45"/>
        <w:autoSpaceDN w:val="0"/>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八、对本次采购提出询问、质疑、投诉，请按以下方式联系。</w:t>
      </w:r>
    </w:p>
    <w:p w14:paraId="56E5B54A">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FD4C3B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浙江中医药大学</w:t>
      </w:r>
    </w:p>
    <w:p w14:paraId="56959A5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杭州市滨江区滨文路548号</w:t>
      </w:r>
    </w:p>
    <w:p w14:paraId="4D5BDE4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eastAsia="zh-CN"/>
        </w:rPr>
        <w:t>何老师</w:t>
      </w:r>
    </w:p>
    <w:p w14:paraId="479F4DAD">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cs="宋体"/>
          <w:color w:val="auto"/>
          <w:sz w:val="21"/>
          <w:szCs w:val="21"/>
          <w:highlight w:val="none"/>
          <w:lang w:eastAsia="zh-CN"/>
        </w:rPr>
        <w:t>13185019731</w:t>
      </w:r>
    </w:p>
    <w:p w14:paraId="18E62581">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eastAsia="zh-CN"/>
        </w:rPr>
        <w:t>刘清明</w:t>
      </w:r>
    </w:p>
    <w:p w14:paraId="2DCE1FD8">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eastAsia="zh-CN"/>
        </w:rPr>
        <w:t>0571-86658089</w:t>
      </w:r>
    </w:p>
    <w:p w14:paraId="3424BA49">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2.采购代理机构信息</w:t>
      </w:r>
    </w:p>
    <w:p w14:paraId="13D010DB">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名称：浙江省成套招标代理有限公司</w:t>
      </w:r>
    </w:p>
    <w:p w14:paraId="3C8BB6B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地址：杭州市文晖路42号现代置业大厦西楼17-18楼</w:t>
      </w:r>
    </w:p>
    <w:p w14:paraId="781118F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毛松翁、李刚雷</w:t>
      </w:r>
    </w:p>
    <w:p w14:paraId="107FF22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13588106919、15088746906</w:t>
      </w:r>
      <w:r>
        <w:rPr>
          <w:rFonts w:hint="eastAsia" w:ascii="宋体" w:hAnsi="宋体" w:eastAsia="宋体" w:cs="宋体"/>
          <w:color w:val="auto"/>
          <w:sz w:val="21"/>
          <w:szCs w:val="21"/>
          <w:highlight w:val="none"/>
        </w:rPr>
        <w:t> </w:t>
      </w:r>
    </w:p>
    <w:p w14:paraId="5E7B8F00">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质疑联系人：冯东东</w:t>
      </w:r>
    </w:p>
    <w:p w14:paraId="5A2698BC">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质疑联系方式：0571-85331293 </w:t>
      </w:r>
    </w:p>
    <w:p w14:paraId="6C186903">
      <w:pPr>
        <w:widowControl/>
        <w:spacing w:before="60" w:after="60" w:line="312" w:lineRule="auto"/>
        <w:ind w:firstLine="422" w:firstLineChars="200"/>
        <w:jc w:val="left"/>
        <w:rPr>
          <w:rFonts w:hint="eastAsia" w:ascii="宋体" w:hAnsi="宋体" w:eastAsia="宋体" w:cs="仿宋"/>
          <w:b/>
          <w:bCs/>
          <w:color w:val="auto"/>
          <w:kern w:val="0"/>
          <w:sz w:val="21"/>
          <w:szCs w:val="21"/>
          <w:highlight w:val="none"/>
          <w:lang w:val="en-US" w:eastAsia="zh-CN" w:bidi="ar-SA"/>
        </w:rPr>
      </w:pPr>
      <w:r>
        <w:rPr>
          <w:rFonts w:hint="eastAsia" w:ascii="宋体" w:hAnsi="宋体" w:eastAsia="宋体" w:cs="仿宋"/>
          <w:b/>
          <w:bCs/>
          <w:color w:val="auto"/>
          <w:kern w:val="0"/>
          <w:sz w:val="21"/>
          <w:szCs w:val="21"/>
          <w:highlight w:val="none"/>
          <w:lang w:val="en-US" w:eastAsia="zh-CN" w:bidi="ar-SA"/>
        </w:rPr>
        <w:t>3.同级政府采购监督管理部门</w:t>
      </w:r>
    </w:p>
    <w:p w14:paraId="7413722A">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名    称：浙江省政府采购行政裁决服务中心（杭州市上城区清泰街549号城建综合大楼11楼）</w:t>
      </w:r>
    </w:p>
    <w:p w14:paraId="3A4F029E">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地    址：杭州市上城区清泰街549号城建综合大楼11楼</w:t>
      </w:r>
    </w:p>
    <w:p w14:paraId="0EED2BDA">
      <w:pPr>
        <w:widowControl/>
        <w:spacing w:before="60" w:after="60" w:line="312" w:lineRule="auto"/>
        <w:ind w:firstLine="420" w:firstLineChars="200"/>
        <w:jc w:val="left"/>
        <w:rPr>
          <w:rFonts w:hint="default"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传    真：</w:t>
      </w:r>
      <w:r>
        <w:rPr>
          <w:rFonts w:hint="eastAsia" w:ascii="宋体" w:hAnsi="宋体" w:cs="仿宋"/>
          <w:color w:val="auto"/>
          <w:kern w:val="0"/>
          <w:sz w:val="21"/>
          <w:szCs w:val="21"/>
          <w:highlight w:val="none"/>
          <w:lang w:val="en-US" w:eastAsia="zh-CN" w:bidi="ar-SA"/>
        </w:rPr>
        <w:t>/</w:t>
      </w:r>
    </w:p>
    <w:p w14:paraId="41DB138D">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联 系 人：匡老师</w:t>
      </w:r>
    </w:p>
    <w:p w14:paraId="3298C431">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监督投诉电话：0571-87807798</w:t>
      </w:r>
    </w:p>
    <w:p w14:paraId="2B95A547">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p>
    <w:p w14:paraId="37FDA009">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 xml:space="preserve">政策咨询：何一平、冯华，0571-87058424、87055741            </w:t>
      </w:r>
    </w:p>
    <w:p w14:paraId="49B4046E">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预算金额未达100万元的采购项目，由采购人处理采购争议。</w:t>
      </w:r>
    </w:p>
    <w:p w14:paraId="3E842138">
      <w:pPr>
        <w:widowControl/>
        <w:spacing w:before="300" w:after="60" w:line="312" w:lineRule="auto"/>
        <w:ind w:firstLine="420" w:firstLineChars="200"/>
        <w:jc w:val="left"/>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p>
    <w:p w14:paraId="362CCF9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仿宋"/>
          <w:color w:val="auto"/>
          <w:kern w:val="0"/>
          <w:sz w:val="21"/>
          <w:szCs w:val="21"/>
          <w:highlight w:val="none"/>
          <w:lang w:val="en-US" w:eastAsia="zh-CN" w:bidi="ar-SA"/>
        </w:rPr>
        <w:t>CA问题联系电话（人工）：汇信CA 400-888-4636；天谷CA 400-087-8198</w:t>
      </w:r>
      <w:r>
        <w:rPr>
          <w:rFonts w:hint="eastAsia" w:ascii="宋体" w:hAnsi="宋体" w:eastAsia="宋体" w:cs="宋体"/>
          <w:color w:val="auto"/>
          <w:sz w:val="21"/>
          <w:szCs w:val="21"/>
          <w:highlight w:val="none"/>
        </w:rPr>
        <w:t>。</w:t>
      </w:r>
      <w:bookmarkStart w:id="2" w:name="_Toc273624872"/>
      <w:bookmarkStart w:id="3" w:name="_Toc82873316"/>
      <w:bookmarkStart w:id="4" w:name="_Toc211745565"/>
      <w:bookmarkStart w:id="5" w:name="_Toc82338233"/>
      <w:r>
        <w:rPr>
          <w:rFonts w:hint="eastAsia" w:ascii="宋体" w:hAnsi="宋体" w:eastAsia="宋体" w:cs="宋体"/>
          <w:bCs/>
          <w:color w:val="auto"/>
          <w:kern w:val="44"/>
          <w:sz w:val="44"/>
          <w:szCs w:val="44"/>
          <w:highlight w:val="none"/>
        </w:rPr>
        <w:br w:type="page"/>
      </w:r>
    </w:p>
    <w:p w14:paraId="4A9444C7">
      <w:pPr>
        <w:pStyle w:val="3"/>
        <w:autoSpaceDN w:val="0"/>
        <w:spacing w:before="240"/>
        <w:rPr>
          <w:rFonts w:hint="eastAsia" w:ascii="宋体" w:hAnsi="宋体" w:eastAsia="宋体" w:cs="宋体"/>
          <w:color w:val="auto"/>
          <w:highlight w:val="none"/>
        </w:rPr>
      </w:pPr>
      <w:bookmarkStart w:id="6" w:name="_Toc18950"/>
      <w:r>
        <w:rPr>
          <w:rFonts w:hint="eastAsia" w:ascii="宋体" w:hAnsi="宋体" w:eastAsia="宋体" w:cs="宋体"/>
          <w:bCs/>
          <w:color w:val="auto"/>
          <w:kern w:val="44"/>
          <w:sz w:val="44"/>
          <w:szCs w:val="44"/>
          <w:highlight w:val="none"/>
        </w:rPr>
        <w:t xml:space="preserve">第二章  </w:t>
      </w:r>
      <w:bookmarkEnd w:id="2"/>
      <w:r>
        <w:rPr>
          <w:rFonts w:hint="eastAsia" w:ascii="宋体" w:hAnsi="宋体" w:eastAsia="宋体" w:cs="宋体"/>
          <w:bCs/>
          <w:color w:val="auto"/>
          <w:kern w:val="44"/>
          <w:sz w:val="44"/>
          <w:szCs w:val="44"/>
          <w:highlight w:val="none"/>
        </w:rPr>
        <w:t>磋商须知前附表</w:t>
      </w:r>
      <w:bookmarkEnd w:id="6"/>
    </w:p>
    <w:tbl>
      <w:tblPr>
        <w:tblStyle w:val="51"/>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14:paraId="2D6D44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14:paraId="1CA3BF0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712" w:type="dxa"/>
            <w:shd w:val="clear" w:color="auto" w:fill="DAEEF3"/>
            <w:noWrap/>
            <w:vAlign w:val="center"/>
          </w:tcPr>
          <w:p w14:paraId="03D2989A">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5811" w:type="dxa"/>
            <w:shd w:val="clear" w:color="auto" w:fill="DAEEF3"/>
            <w:noWrap/>
            <w:vAlign w:val="center"/>
          </w:tcPr>
          <w:p w14:paraId="608C15D3">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说明或要求</w:t>
            </w:r>
          </w:p>
        </w:tc>
      </w:tr>
      <w:tr w14:paraId="7D3AFA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8DD3B6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712" w:type="dxa"/>
            <w:noWrap/>
            <w:vAlign w:val="center"/>
          </w:tcPr>
          <w:p w14:paraId="2CE46E6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811" w:type="dxa"/>
            <w:noWrap/>
            <w:vAlign w:val="center"/>
          </w:tcPr>
          <w:p w14:paraId="3024F88A">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浙江中医药大学文磊教授实验室改造项目</w:t>
            </w:r>
          </w:p>
        </w:tc>
      </w:tr>
      <w:tr w14:paraId="7735BE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62E8E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712" w:type="dxa"/>
            <w:noWrap/>
            <w:vAlign w:val="center"/>
          </w:tcPr>
          <w:p w14:paraId="5C540FC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5811" w:type="dxa"/>
            <w:noWrap/>
            <w:vAlign w:val="center"/>
          </w:tcPr>
          <w:p w14:paraId="1E935E2A">
            <w:pPr>
              <w:autoSpaceDN w:val="0"/>
              <w:spacing w:line="276"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CTZB-2025060529</w:t>
            </w:r>
          </w:p>
        </w:tc>
      </w:tr>
      <w:tr w14:paraId="2F0ADF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2CD668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712" w:type="dxa"/>
            <w:noWrap/>
            <w:vAlign w:val="center"/>
          </w:tcPr>
          <w:p w14:paraId="49A1F94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811" w:type="dxa"/>
            <w:noWrap/>
            <w:vAlign w:val="center"/>
          </w:tcPr>
          <w:p w14:paraId="1E63EB8B">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见第四章采购内容及技术要求、清单</w:t>
            </w:r>
          </w:p>
        </w:tc>
      </w:tr>
      <w:tr w14:paraId="051BF3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F46656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712" w:type="dxa"/>
            <w:noWrap/>
            <w:vAlign w:val="center"/>
          </w:tcPr>
          <w:p w14:paraId="289E61B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811" w:type="dxa"/>
            <w:noWrap/>
            <w:vAlign w:val="center"/>
          </w:tcPr>
          <w:p w14:paraId="70FB7FA4">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人民币</w:t>
            </w:r>
            <w:r>
              <w:rPr>
                <w:rFonts w:hint="eastAsia" w:ascii="宋体" w:hAnsi="宋体" w:cs="宋体"/>
                <w:b/>
                <w:color w:val="auto"/>
                <w:sz w:val="21"/>
                <w:szCs w:val="21"/>
                <w:highlight w:val="none"/>
                <w:u w:val="single"/>
                <w:lang w:val="en-US" w:eastAsia="zh-CN"/>
              </w:rPr>
              <w:t>1180000</w:t>
            </w:r>
            <w:r>
              <w:rPr>
                <w:rFonts w:hint="eastAsia" w:ascii="宋体" w:hAnsi="宋体" w:eastAsia="宋体" w:cs="宋体"/>
                <w:b/>
                <w:color w:val="auto"/>
                <w:sz w:val="21"/>
                <w:szCs w:val="21"/>
                <w:highlight w:val="none"/>
              </w:rPr>
              <w:t>元，超过最高限价的按无效标处理。</w:t>
            </w:r>
          </w:p>
        </w:tc>
      </w:tr>
      <w:tr w14:paraId="302F87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1A6A0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712" w:type="dxa"/>
            <w:noWrap/>
            <w:vAlign w:val="center"/>
          </w:tcPr>
          <w:p w14:paraId="3988121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采购资金落实情况</w:t>
            </w:r>
          </w:p>
        </w:tc>
        <w:tc>
          <w:tcPr>
            <w:tcW w:w="5811" w:type="dxa"/>
            <w:noWrap/>
            <w:vAlign w:val="center"/>
          </w:tcPr>
          <w:p w14:paraId="4BA7986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505066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5DF028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712" w:type="dxa"/>
            <w:noWrap/>
            <w:vAlign w:val="center"/>
          </w:tcPr>
          <w:p w14:paraId="7CD0CE8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5811" w:type="dxa"/>
            <w:noWrap/>
            <w:vAlign w:val="center"/>
          </w:tcPr>
          <w:p w14:paraId="30AC0FE6">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lang w:eastAsia="zh-CN"/>
              </w:rPr>
              <w:t>浙江中医药大学</w:t>
            </w:r>
          </w:p>
          <w:p w14:paraId="43685FF2">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杭州市滨江区滨文路548号</w:t>
            </w:r>
          </w:p>
          <w:p w14:paraId="10B17011">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何老师</w:t>
            </w:r>
          </w:p>
          <w:p w14:paraId="255902CF">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13185019731</w:t>
            </w:r>
          </w:p>
        </w:tc>
      </w:tr>
      <w:tr w14:paraId="50103B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C5D8AC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712" w:type="dxa"/>
            <w:noWrap/>
            <w:vAlign w:val="center"/>
          </w:tcPr>
          <w:p w14:paraId="432D256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5811" w:type="dxa"/>
            <w:noWrap/>
            <w:vAlign w:val="center"/>
          </w:tcPr>
          <w:p w14:paraId="015926F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bCs/>
                <w:color w:val="auto"/>
                <w:sz w:val="21"/>
                <w:szCs w:val="21"/>
                <w:highlight w:val="none"/>
              </w:rPr>
              <w:t>浙江省成套招标代理有限公司</w:t>
            </w:r>
          </w:p>
          <w:p w14:paraId="2E103CF2">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毛松翁、李刚雷</w:t>
            </w:r>
          </w:p>
          <w:p w14:paraId="6A05A506">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13588106919、15088746906</w:t>
            </w:r>
          </w:p>
          <w:p w14:paraId="34872961">
            <w:pPr>
              <w:pStyle w:val="6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Email：</w:t>
            </w:r>
            <w:r>
              <w:rPr>
                <w:rFonts w:hint="eastAsia" w:hAnsi="宋体" w:cs="宋体"/>
                <w:color w:val="auto"/>
                <w:sz w:val="21"/>
                <w:szCs w:val="21"/>
                <w:highlight w:val="none"/>
                <w:lang w:eastAsia="zh-CN"/>
              </w:rPr>
              <w:t>156624554@qq.com</w:t>
            </w:r>
          </w:p>
          <w:p w14:paraId="308A934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地址：杭州市文晖路42号现代置业大厦西楼18楼</w:t>
            </w:r>
          </w:p>
        </w:tc>
      </w:tr>
      <w:tr w14:paraId="71F3E7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DD1E14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712" w:type="dxa"/>
            <w:noWrap/>
            <w:vAlign w:val="center"/>
          </w:tcPr>
          <w:p w14:paraId="6AC14C6D">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交易方式</w:t>
            </w:r>
          </w:p>
        </w:tc>
        <w:tc>
          <w:tcPr>
            <w:tcW w:w="5811" w:type="dxa"/>
            <w:noWrap/>
            <w:vAlign w:val="center"/>
          </w:tcPr>
          <w:p w14:paraId="68A3034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电子交易</w:t>
            </w:r>
          </w:p>
        </w:tc>
      </w:tr>
      <w:tr w14:paraId="6A81AB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FD09D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712" w:type="dxa"/>
            <w:noWrap/>
            <w:vAlign w:val="center"/>
          </w:tcPr>
          <w:p w14:paraId="2B05D03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w:t>
            </w:r>
          </w:p>
        </w:tc>
        <w:tc>
          <w:tcPr>
            <w:tcW w:w="5811" w:type="dxa"/>
            <w:noWrap/>
            <w:vAlign w:val="center"/>
          </w:tcPr>
          <w:p w14:paraId="02F7C89E">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政府采购云平台</w:t>
            </w: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1BECDE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2AC0C4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1.2.10</w:t>
            </w:r>
          </w:p>
        </w:tc>
        <w:tc>
          <w:tcPr>
            <w:tcW w:w="2712" w:type="dxa"/>
            <w:noWrap/>
            <w:vAlign w:val="center"/>
          </w:tcPr>
          <w:p w14:paraId="588783ED">
            <w:pPr>
              <w:autoSpaceDN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w:t>
            </w:r>
          </w:p>
        </w:tc>
        <w:tc>
          <w:tcPr>
            <w:tcW w:w="5811" w:type="dxa"/>
            <w:noWrap/>
            <w:vAlign w:val="center"/>
          </w:tcPr>
          <w:p w14:paraId="16BB0FEC">
            <w:pPr>
              <w:autoSpaceDN w:val="0"/>
              <w:spacing w:line="276" w:lineRule="auto"/>
              <w:rPr>
                <w:rFonts w:hint="eastAsia" w:ascii="宋体" w:hAnsi="宋体" w:eastAsia="宋体" w:cs="宋体"/>
                <w:b/>
                <w:bCs/>
                <w:color w:val="auto"/>
                <w:sz w:val="21"/>
                <w:szCs w:val="21"/>
                <w:highlight w:val="none"/>
                <w:lang w:eastAsia="zh-CN"/>
              </w:rPr>
            </w:pPr>
            <w:r>
              <w:rPr>
                <w:rFonts w:hint="eastAsia" w:ascii="宋体" w:hAnsi="宋体" w:cs="宋体"/>
                <w:b/>
                <w:color w:val="auto"/>
                <w:sz w:val="21"/>
                <w:szCs w:val="21"/>
                <w:highlight w:val="none"/>
                <w:lang w:eastAsia="zh-CN"/>
              </w:rPr>
              <w:t>55个日历天</w:t>
            </w:r>
          </w:p>
        </w:tc>
      </w:tr>
      <w:tr w14:paraId="35F2B3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A53F4B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712" w:type="dxa"/>
            <w:noWrap/>
            <w:vAlign w:val="center"/>
          </w:tcPr>
          <w:p w14:paraId="482F9BC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5811" w:type="dxa"/>
            <w:noWrap/>
            <w:vAlign w:val="center"/>
          </w:tcPr>
          <w:p w14:paraId="1141597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公告形式邀请（发布竞争性磋商公告后登记确定）</w:t>
            </w:r>
          </w:p>
        </w:tc>
      </w:tr>
      <w:tr w14:paraId="027809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652055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712" w:type="dxa"/>
            <w:noWrap/>
            <w:vAlign w:val="center"/>
          </w:tcPr>
          <w:p w14:paraId="7E876B9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合格供应商资格要求</w:t>
            </w:r>
          </w:p>
        </w:tc>
        <w:tc>
          <w:tcPr>
            <w:tcW w:w="5811" w:type="dxa"/>
            <w:noWrap/>
            <w:vAlign w:val="center"/>
          </w:tcPr>
          <w:p w14:paraId="26911E4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见第一章竞争性磋商公告</w:t>
            </w:r>
          </w:p>
        </w:tc>
      </w:tr>
      <w:tr w14:paraId="1EE0C9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E7D4FE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2712" w:type="dxa"/>
            <w:noWrap/>
            <w:vAlign w:val="center"/>
          </w:tcPr>
          <w:p w14:paraId="0EB33AC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联合体磋商响应</w:t>
            </w:r>
          </w:p>
        </w:tc>
        <w:tc>
          <w:tcPr>
            <w:tcW w:w="5811" w:type="dxa"/>
            <w:noWrap/>
            <w:vAlign w:val="center"/>
          </w:tcPr>
          <w:p w14:paraId="6E1ECB33">
            <w:pPr>
              <w:spacing w:line="276" w:lineRule="auto"/>
              <w:rPr>
                <w:rFonts w:ascii="Times New Roman" w:hAnsi="Times New Roman" w:eastAsia="宋体" w:cs="Times New Roman"/>
                <w:color w:val="auto"/>
                <w:highlight w:val="none"/>
              </w:rPr>
            </w:pPr>
            <w:r>
              <w:rPr>
                <w:rFonts w:hint="eastAsia" w:ascii="宋体" w:hAnsi="宋体" w:eastAsia="宋体" w:cs="宋体"/>
                <w:b/>
                <w:color w:val="auto"/>
                <w:sz w:val="21"/>
                <w:szCs w:val="21"/>
                <w:highlight w:val="none"/>
              </w:rPr>
              <w:t>接受</w:t>
            </w:r>
            <w:r>
              <w:rPr>
                <w:rFonts w:hint="eastAsia" w:ascii="Times New Roman" w:hAnsi="Times New Roman" w:eastAsia="宋体" w:cs="Times New Roman"/>
                <w:color w:val="auto"/>
                <w:highlight w:val="none"/>
              </w:rPr>
              <w:t>（联合体仅接受中型企业与小微企业或小微企业与小微企业组成联合体投标）</w:t>
            </w:r>
          </w:p>
          <w:p w14:paraId="01F75AD6">
            <w:pPr>
              <w:autoSpaceDN w:val="0"/>
              <w:spacing w:line="276" w:lineRule="auto"/>
              <w:rPr>
                <w:rFonts w:hint="eastAsia" w:ascii="宋体" w:hAnsi="宋体" w:eastAsia="宋体" w:cs="宋体"/>
                <w:b/>
                <w:color w:val="auto"/>
                <w:sz w:val="21"/>
                <w:szCs w:val="21"/>
                <w:highlight w:val="none"/>
              </w:rPr>
            </w:pPr>
            <w:r>
              <w:rPr>
                <w:rFonts w:hint="eastAsia" w:ascii="Times New Roman" w:hAnsi="Times New Roman" w:eastAsia="宋体" w:cs="Times New Roman"/>
                <w:color w:val="auto"/>
                <w:kern w:val="2"/>
                <w:sz w:val="21"/>
                <w:szCs w:val="24"/>
                <w:highlight w:val="none"/>
                <w:lang w:val="zh-CN" w:eastAsia="zh-CN" w:bidi="ar-SA"/>
              </w:rPr>
              <w:t>供应商以联合体形式参加本项目磋商的，须签订联合体协议，响应文件中应提供联合体协议，并明确联合体各方的工作范围。</w:t>
            </w:r>
            <w:r>
              <w:rPr>
                <w:rFonts w:hint="eastAsia" w:ascii="Times New Roman" w:hAnsi="Times New Roman" w:eastAsia="宋体" w:cs="Times New Roman"/>
                <w:color w:val="auto"/>
                <w:kern w:val="2"/>
                <w:sz w:val="21"/>
                <w:szCs w:val="24"/>
                <w:highlight w:val="none"/>
                <w:lang w:val="en-US" w:eastAsia="zh-CN" w:bidi="ar-SA"/>
              </w:rPr>
              <w:t>响应</w:t>
            </w:r>
            <w:r>
              <w:rPr>
                <w:rFonts w:hint="eastAsia" w:ascii="Times New Roman" w:hAnsi="Times New Roman" w:eastAsia="宋体" w:cs="Times New Roman"/>
                <w:color w:val="auto"/>
                <w:kern w:val="2"/>
                <w:sz w:val="21"/>
                <w:szCs w:val="24"/>
                <w:highlight w:val="none"/>
                <w:lang w:val="zh-CN" w:eastAsia="zh-CN" w:bidi="ar-SA"/>
              </w:rPr>
              <w:t>文件除联合</w:t>
            </w:r>
            <w:r>
              <w:rPr>
                <w:rFonts w:hint="eastAsia" w:ascii="Times New Roman" w:hAnsi="Times New Roman" w:eastAsia="宋体" w:cs="Times New Roman"/>
                <w:color w:val="auto"/>
                <w:kern w:val="2"/>
                <w:sz w:val="21"/>
                <w:szCs w:val="24"/>
                <w:highlight w:val="none"/>
                <w:lang w:val="en-US" w:eastAsia="zh-CN" w:bidi="ar-SA"/>
              </w:rPr>
              <w:t>体</w:t>
            </w:r>
            <w:r>
              <w:rPr>
                <w:rFonts w:hint="eastAsia" w:ascii="Times New Roman" w:hAnsi="Times New Roman" w:eastAsia="宋体" w:cs="Times New Roman"/>
                <w:color w:val="auto"/>
                <w:kern w:val="2"/>
                <w:sz w:val="21"/>
                <w:szCs w:val="24"/>
                <w:highlight w:val="none"/>
                <w:lang w:val="zh-CN" w:eastAsia="zh-CN" w:bidi="ar-SA"/>
              </w:rPr>
              <w:t>协议须联合体各方盖章签字外，均由联合体牵头人签章。</w:t>
            </w:r>
          </w:p>
        </w:tc>
      </w:tr>
      <w:tr w14:paraId="7A9099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C2976A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2712" w:type="dxa"/>
            <w:noWrap/>
            <w:vAlign w:val="center"/>
          </w:tcPr>
          <w:p w14:paraId="1362D47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进口产品磋商响应</w:t>
            </w:r>
          </w:p>
        </w:tc>
        <w:tc>
          <w:tcPr>
            <w:tcW w:w="5811" w:type="dxa"/>
            <w:noWrap/>
            <w:vAlign w:val="center"/>
          </w:tcPr>
          <w:p w14:paraId="1D6CAC30">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不适用</w:t>
            </w:r>
          </w:p>
        </w:tc>
      </w:tr>
      <w:tr w14:paraId="1BE5F8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F0C2F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712" w:type="dxa"/>
            <w:noWrap/>
            <w:vAlign w:val="center"/>
          </w:tcPr>
          <w:p w14:paraId="0AF4D91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现场勘查</w:t>
            </w:r>
          </w:p>
        </w:tc>
        <w:tc>
          <w:tcPr>
            <w:tcW w:w="5811" w:type="dxa"/>
            <w:noWrap/>
            <w:vAlign w:val="center"/>
          </w:tcPr>
          <w:p w14:paraId="0124168F">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sym w:font="Wingdings" w:char="F0FE"/>
            </w:r>
            <w:r>
              <w:rPr>
                <w:rFonts w:hint="eastAsia" w:ascii="宋体" w:hAnsi="宋体" w:eastAsia="宋体" w:cs="宋体"/>
                <w:b/>
                <w:bCs/>
                <w:color w:val="auto"/>
                <w:sz w:val="21"/>
                <w:szCs w:val="21"/>
                <w:highlight w:val="none"/>
              </w:rPr>
              <w:t>自行踏勘</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本项目不组织集中踏勘，但供应商应须自行前往对现场进行踏勘，以实地了解磋商文件无法充分说明的施工现场、周边环境、场地实物状况等实际情况，并在响应时充分考虑该实际情况，合理进行施工组织设计和报价。采购人不接受供应商在成交后提出的因对现场和现场实物实际情况不了解而增加费用及相关变更。踏勘期间发生的费用或意外导致伤亡等一切责任和损失均由供应商自负。</w:t>
            </w:r>
          </w:p>
          <w:p w14:paraId="031B7456">
            <w:pPr>
              <w:autoSpaceDN w:val="0"/>
              <w:spacing w:line="276" w:lineRule="auto"/>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地点：</w:t>
            </w:r>
            <w:r>
              <w:rPr>
                <w:rFonts w:hint="eastAsia" w:ascii="宋体" w:hAnsi="宋体" w:cs="宋体"/>
                <w:b/>
                <w:color w:val="auto"/>
                <w:sz w:val="21"/>
                <w:szCs w:val="21"/>
                <w:highlight w:val="none"/>
                <w:lang w:val="en-US" w:eastAsia="zh-CN"/>
              </w:rPr>
              <w:t>浙江中医药大学滨文校区</w:t>
            </w:r>
          </w:p>
          <w:p w14:paraId="63CEAADF">
            <w:pPr>
              <w:autoSpaceDN w:val="0"/>
              <w:spacing w:line="276"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联系人：</w:t>
            </w:r>
            <w:r>
              <w:rPr>
                <w:rFonts w:hint="eastAsia" w:ascii="宋体" w:hAnsi="宋体" w:cs="宋体"/>
                <w:b/>
                <w:color w:val="auto"/>
                <w:sz w:val="21"/>
                <w:szCs w:val="21"/>
                <w:highlight w:val="none"/>
                <w:u w:val="single"/>
                <w:lang w:val="en-US" w:eastAsia="zh-CN"/>
              </w:rPr>
              <w:t>何老师</w:t>
            </w:r>
            <w:r>
              <w:rPr>
                <w:rFonts w:hint="eastAsia" w:ascii="宋体" w:hAnsi="宋体" w:eastAsia="宋体" w:cs="宋体"/>
                <w:b/>
                <w:color w:val="auto"/>
                <w:sz w:val="21"/>
                <w:szCs w:val="21"/>
                <w:highlight w:val="none"/>
              </w:rPr>
              <w:t xml:space="preserve">       联系电话：</w:t>
            </w:r>
            <w:r>
              <w:rPr>
                <w:rFonts w:hint="eastAsia" w:ascii="宋体" w:hAnsi="宋体" w:cs="宋体"/>
                <w:b/>
                <w:color w:val="auto"/>
                <w:sz w:val="21"/>
                <w:szCs w:val="21"/>
                <w:highlight w:val="none"/>
                <w:u w:val="single"/>
                <w:lang w:eastAsia="zh-CN"/>
              </w:rPr>
              <w:t>13185019731</w:t>
            </w:r>
          </w:p>
        </w:tc>
      </w:tr>
      <w:tr w14:paraId="67F1EC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45D5F4D">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712" w:type="dxa"/>
            <w:noWrap/>
            <w:vAlign w:val="center"/>
          </w:tcPr>
          <w:p w14:paraId="0495610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标前答疑会时间、地点</w:t>
            </w:r>
          </w:p>
        </w:tc>
        <w:tc>
          <w:tcPr>
            <w:tcW w:w="5811" w:type="dxa"/>
            <w:noWrap/>
            <w:vAlign w:val="center"/>
          </w:tcPr>
          <w:p w14:paraId="1C061AC0">
            <w:pPr>
              <w:autoSpaceDE w:val="0"/>
              <w:autoSpaceDN w:val="0"/>
              <w:adjustRightInd w:val="0"/>
              <w:ind w:right="105" w:rightChars="5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不召开</w:t>
            </w:r>
          </w:p>
          <w:p w14:paraId="18A36CF0">
            <w:pPr>
              <w:autoSpaceDE w:val="0"/>
              <w:autoSpaceDN w:val="0"/>
              <w:adjustRightInd w:val="0"/>
              <w:ind w:right="105" w:rightChars="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F06F"/>
            </w:r>
            <w:r>
              <w:rPr>
                <w:rFonts w:hint="eastAsia" w:ascii="宋体" w:hAnsi="宋体" w:eastAsia="宋体" w:cs="宋体"/>
                <w:color w:val="auto"/>
                <w:kern w:val="0"/>
                <w:sz w:val="21"/>
                <w:szCs w:val="21"/>
                <w:highlight w:val="none"/>
              </w:rPr>
              <w:t>召开，召开时间：</w:t>
            </w:r>
          </w:p>
          <w:p w14:paraId="3DF995D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召开地点：</w:t>
            </w:r>
          </w:p>
        </w:tc>
      </w:tr>
      <w:tr w14:paraId="5BA653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35C038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w:t>
            </w:r>
          </w:p>
        </w:tc>
        <w:tc>
          <w:tcPr>
            <w:tcW w:w="2712" w:type="dxa"/>
            <w:noWrap/>
            <w:vAlign w:val="center"/>
          </w:tcPr>
          <w:p w14:paraId="58ABD68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核心产品内容</w:t>
            </w:r>
          </w:p>
          <w:p w14:paraId="1B0260F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（非单一产品适用）</w:t>
            </w:r>
          </w:p>
        </w:tc>
        <w:tc>
          <w:tcPr>
            <w:tcW w:w="5811" w:type="dxa"/>
            <w:noWrap/>
            <w:vAlign w:val="center"/>
          </w:tcPr>
          <w:p w14:paraId="348DCA54">
            <w:pPr>
              <w:autoSpaceDN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不适用</w:t>
            </w:r>
          </w:p>
        </w:tc>
      </w:tr>
      <w:tr w14:paraId="2AE9A5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14:paraId="0E316CB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1.15.1</w:t>
            </w:r>
          </w:p>
        </w:tc>
        <w:tc>
          <w:tcPr>
            <w:tcW w:w="2712" w:type="dxa"/>
            <w:noWrap/>
            <w:vAlign w:val="center"/>
          </w:tcPr>
          <w:p w14:paraId="6E158D7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w:t>
            </w:r>
          </w:p>
        </w:tc>
        <w:tc>
          <w:tcPr>
            <w:tcW w:w="5811" w:type="dxa"/>
            <w:noWrap/>
            <w:vAlign w:val="center"/>
          </w:tcPr>
          <w:p w14:paraId="11860961">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本项目不允许转包。</w:t>
            </w:r>
          </w:p>
        </w:tc>
      </w:tr>
      <w:tr w14:paraId="5A4975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632AB2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1.15.2</w:t>
            </w:r>
          </w:p>
        </w:tc>
        <w:tc>
          <w:tcPr>
            <w:tcW w:w="2712" w:type="dxa"/>
            <w:noWrap/>
            <w:vAlign w:val="center"/>
          </w:tcPr>
          <w:p w14:paraId="2906E17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11" w:type="dxa"/>
            <w:noWrap/>
            <w:vAlign w:val="center"/>
          </w:tcPr>
          <w:p w14:paraId="5824587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本项目允许分包。</w:t>
            </w:r>
          </w:p>
          <w:p w14:paraId="58E5394D">
            <w:pPr>
              <w:autoSpaceDN w:val="0"/>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分包内容要求：</w:t>
            </w:r>
            <w:r>
              <w:rPr>
                <w:rFonts w:hint="eastAsia" w:ascii="宋体" w:hAnsi="宋体" w:eastAsia="宋体" w:cs="宋体"/>
                <w:b/>
                <w:color w:val="auto"/>
                <w:sz w:val="21"/>
                <w:szCs w:val="21"/>
                <w:highlight w:val="none"/>
                <w:u w:val="single"/>
              </w:rPr>
              <w:t>不允许违法分包</w:t>
            </w:r>
          </w:p>
          <w:p w14:paraId="12CEB47C">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14:paraId="39123B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E8E7BA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712" w:type="dxa"/>
            <w:noWrap/>
            <w:vAlign w:val="center"/>
          </w:tcPr>
          <w:p w14:paraId="6E60DE1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w:t>
            </w:r>
          </w:p>
          <w:p w14:paraId="34DE92D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中小企业采购</w:t>
            </w:r>
          </w:p>
        </w:tc>
        <w:tc>
          <w:tcPr>
            <w:tcW w:w="5811" w:type="dxa"/>
            <w:noWrap/>
            <w:vAlign w:val="center"/>
          </w:tcPr>
          <w:p w14:paraId="1CC0D11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r>
      <w:tr w14:paraId="0B371F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A52DF5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712" w:type="dxa"/>
            <w:noWrap/>
            <w:vAlign w:val="center"/>
          </w:tcPr>
          <w:p w14:paraId="403BF1D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本项目中小企业划分标准所属行业</w:t>
            </w:r>
          </w:p>
        </w:tc>
        <w:tc>
          <w:tcPr>
            <w:tcW w:w="5811" w:type="dxa"/>
            <w:noWrap/>
            <w:vAlign w:val="center"/>
          </w:tcPr>
          <w:p w14:paraId="53FE52D7">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本项目属性为工程，中小企业划分标准对应行业为“建筑业”。</w:t>
            </w:r>
          </w:p>
          <w:p w14:paraId="0EB3DA1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ECA27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72AA98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712" w:type="dxa"/>
            <w:noWrap/>
            <w:vAlign w:val="center"/>
          </w:tcPr>
          <w:p w14:paraId="7BA01ED9">
            <w:pPr>
              <w:autoSpaceDN w:val="0"/>
              <w:spacing w:line="276" w:lineRule="auto"/>
              <w:jc w:val="center"/>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是否落实节能、环保产品政府采购实施相关规定</w:t>
            </w:r>
          </w:p>
        </w:tc>
        <w:tc>
          <w:tcPr>
            <w:tcW w:w="5811" w:type="dxa"/>
            <w:noWrap/>
            <w:vAlign w:val="center"/>
          </w:tcPr>
          <w:p w14:paraId="77F6DB8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r>
              <w:rPr>
                <w:rFonts w:hint="eastAsia" w:ascii="宋体" w:hAnsi="宋体" w:eastAsia="宋体" w:cs="宋体"/>
                <w:color w:val="auto"/>
                <w:sz w:val="21"/>
                <w:szCs w:val="21"/>
                <w:highlight w:val="none"/>
              </w:rPr>
              <w:t>（详见第三章第2.2款相关规定）</w:t>
            </w:r>
          </w:p>
        </w:tc>
      </w:tr>
      <w:tr w14:paraId="32A48F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D6FFA3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712" w:type="dxa"/>
            <w:noWrap/>
            <w:vAlign w:val="center"/>
          </w:tcPr>
          <w:p w14:paraId="6CFE12E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竞争性磋商文件提疑截止时间</w:t>
            </w:r>
          </w:p>
        </w:tc>
        <w:tc>
          <w:tcPr>
            <w:tcW w:w="5811" w:type="dxa"/>
            <w:noWrap/>
            <w:vAlign w:val="center"/>
          </w:tcPr>
          <w:p w14:paraId="1AFD5EA3">
            <w:pPr>
              <w:numPr>
                <w:ilvl w:val="0"/>
                <w:numId w:val="0"/>
              </w:num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2025-</w:t>
            </w:r>
            <w:r>
              <w:rPr>
                <w:rFonts w:hint="eastAsia" w:ascii="宋体" w:hAnsi="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:00</w:t>
            </w:r>
          </w:p>
        </w:tc>
      </w:tr>
      <w:tr w14:paraId="31A006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BE6E7D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712" w:type="dxa"/>
            <w:noWrap/>
            <w:vAlign w:val="center"/>
          </w:tcPr>
          <w:p w14:paraId="09C2763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磋商响应文件的形式</w:t>
            </w:r>
          </w:p>
        </w:tc>
        <w:tc>
          <w:tcPr>
            <w:tcW w:w="5811" w:type="dxa"/>
            <w:noWrap/>
            <w:vAlign w:val="center"/>
          </w:tcPr>
          <w:p w14:paraId="17110E48">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电子加密磋商响应文件</w:t>
            </w:r>
            <w:r>
              <w:rPr>
                <w:rFonts w:hint="eastAsia" w:ascii="宋体" w:hAnsi="宋体" w:eastAsia="宋体" w:cs="宋体"/>
                <w:bCs/>
                <w:color w:val="auto"/>
                <w:sz w:val="21"/>
                <w:szCs w:val="21"/>
                <w:highlight w:val="none"/>
              </w:rPr>
              <w:t>（是指通过“政采云电子交易客户端”完成磋商响应文件编制后生成并加密的数据电文形式的磋商响应文件，</w:t>
            </w:r>
            <w:r>
              <w:rPr>
                <w:rFonts w:hint="eastAsia" w:ascii="宋体" w:hAnsi="宋体" w:eastAsia="宋体" w:cs="宋体"/>
                <w:b/>
                <w:color w:val="auto"/>
                <w:sz w:val="21"/>
                <w:szCs w:val="21"/>
                <w:highlight w:val="none"/>
              </w:rPr>
              <w:t>文件格式“.jmbs”）</w:t>
            </w:r>
          </w:p>
        </w:tc>
      </w:tr>
      <w:tr w14:paraId="0B4813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7AF9A9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712" w:type="dxa"/>
            <w:noWrap/>
            <w:vAlign w:val="center"/>
          </w:tcPr>
          <w:p w14:paraId="7E5F300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磋商响应文件的组成</w:t>
            </w:r>
          </w:p>
        </w:tc>
        <w:tc>
          <w:tcPr>
            <w:tcW w:w="5811" w:type="dxa"/>
            <w:noWrap/>
            <w:vAlign w:val="center"/>
          </w:tcPr>
          <w:p w14:paraId="34EAC316">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完整的《磋商响应文件》由资格文件、商务技术文件和报价文件三个部分组成</w:t>
            </w:r>
            <w:r>
              <w:rPr>
                <w:rFonts w:hint="eastAsia" w:ascii="宋体" w:hAnsi="宋体" w:eastAsia="宋体" w:cs="宋体"/>
                <w:bCs/>
                <w:color w:val="auto"/>
                <w:sz w:val="21"/>
                <w:szCs w:val="21"/>
                <w:highlight w:val="none"/>
              </w:rPr>
              <w:t>（具体组成内容详见第三章</w:t>
            </w:r>
            <w:r>
              <w:rPr>
                <w:rFonts w:hint="eastAsia" w:ascii="宋体" w:hAnsi="宋体" w:eastAsia="宋体" w:cs="宋体"/>
                <w:bCs/>
                <w:color w:val="auto"/>
                <w:sz w:val="21"/>
                <w:szCs w:val="21"/>
                <w:highlight w:val="none"/>
              </w:rPr>
              <w:t>4.2.2</w:t>
            </w:r>
            <w:r>
              <w:rPr>
                <w:rFonts w:hint="eastAsia" w:ascii="宋体" w:hAnsi="宋体" w:eastAsia="宋体" w:cs="宋体"/>
                <w:bCs/>
                <w:color w:val="auto"/>
                <w:sz w:val="21"/>
                <w:szCs w:val="21"/>
                <w:highlight w:val="none"/>
              </w:rPr>
              <w:t>磋商响应文件内容组成）。</w:t>
            </w:r>
          </w:p>
        </w:tc>
      </w:tr>
      <w:tr w14:paraId="7EDCF4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B33DD9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712" w:type="dxa"/>
            <w:noWrap/>
            <w:vAlign w:val="center"/>
          </w:tcPr>
          <w:p w14:paraId="15991D5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磋商响应文件的编制</w:t>
            </w:r>
          </w:p>
        </w:tc>
        <w:tc>
          <w:tcPr>
            <w:tcW w:w="5811" w:type="dxa"/>
            <w:noWrap/>
            <w:vAlign w:val="center"/>
          </w:tcPr>
          <w:p w14:paraId="31AC66A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依据《浙江省政府采购项目电子交易管理暂行办法》，本项目通过“政府采购云平台”（电子交易平台，网址：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bCs/>
                <w:color w:val="auto"/>
                <w:sz w:val="21"/>
                <w:szCs w:val="21"/>
                <w:highlight w:val="none"/>
                <w:u w:val="none"/>
              </w:rPr>
              <w:t>www.zcygov.cn</w:t>
            </w:r>
            <w:r>
              <w:rPr>
                <w:rStyle w:val="58"/>
                <w:rFonts w:hint="eastAsia" w:ascii="宋体" w:hAnsi="宋体" w:eastAsia="宋体" w:cs="宋体"/>
                <w:bCs/>
                <w:color w:val="auto"/>
                <w:sz w:val="21"/>
                <w:szCs w:val="21"/>
                <w:highlight w:val="none"/>
                <w:u w:val="none"/>
              </w:rPr>
              <w:fldChar w:fldCharType="end"/>
            </w:r>
            <w:r>
              <w:rPr>
                <w:rFonts w:hint="eastAsia" w:ascii="宋体" w:hAnsi="宋体" w:eastAsia="宋体" w:cs="宋体"/>
                <w:bCs/>
                <w:color w:val="auto"/>
                <w:sz w:val="21"/>
                <w:szCs w:val="21"/>
                <w:highlight w:val="none"/>
              </w:rPr>
              <w:t>）实行电子交易（在线磋商响应）。</w:t>
            </w:r>
            <w:r>
              <w:rPr>
                <w:rFonts w:hint="eastAsia" w:ascii="宋体" w:hAnsi="宋体" w:eastAsia="宋体" w:cs="宋体"/>
                <w:b/>
                <w:color w:val="auto"/>
                <w:sz w:val="21"/>
                <w:szCs w:val="21"/>
                <w:highlight w:val="none"/>
              </w:rPr>
              <w:t>供应商参加本项目电子交易应当安装“政采云电子交易客户端”，并按照本竞争性磋商文件和“政府采购云平台”的要求编制并加密磋商响应文件（1份）。</w:t>
            </w:r>
            <w:r>
              <w:rPr>
                <w:rFonts w:hint="eastAsia" w:ascii="宋体" w:hAnsi="宋体" w:eastAsia="宋体" w:cs="宋体"/>
                <w:b/>
                <w:color w:val="auto"/>
                <w:sz w:val="21"/>
                <w:szCs w:val="21"/>
                <w:highlight w:val="none"/>
                <w:u w:val="single"/>
              </w:rPr>
              <w:t>供应商未按规定加密的磋商响应文件，“政府采购云平台”将予以拒收并提示</w:t>
            </w:r>
            <w:r>
              <w:rPr>
                <w:rFonts w:hint="eastAsia" w:ascii="宋体" w:hAnsi="宋体" w:eastAsia="宋体" w:cs="宋体"/>
                <w:b/>
                <w:color w:val="auto"/>
                <w:sz w:val="21"/>
                <w:szCs w:val="21"/>
                <w:highlight w:val="none"/>
              </w:rPr>
              <w:t>。</w:t>
            </w:r>
          </w:p>
        </w:tc>
      </w:tr>
      <w:tr w14:paraId="17DA51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14:paraId="111CCA6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712" w:type="dxa"/>
            <w:noWrap/>
            <w:vAlign w:val="center"/>
          </w:tcPr>
          <w:p w14:paraId="316F913C">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磋商响应文件的签章形式</w:t>
            </w:r>
          </w:p>
        </w:tc>
        <w:tc>
          <w:tcPr>
            <w:tcW w:w="5811" w:type="dxa"/>
            <w:noWrap/>
            <w:vAlign w:val="center"/>
          </w:tcPr>
          <w:p w14:paraId="1159E7D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电子签章</w:t>
            </w:r>
            <w:r>
              <w:rPr>
                <w:rFonts w:hint="eastAsia" w:ascii="宋体" w:hAnsi="宋体" w:eastAsia="宋体" w:cs="宋体"/>
                <w:color w:val="auto"/>
                <w:sz w:val="21"/>
                <w:szCs w:val="21"/>
                <w:highlight w:val="none"/>
              </w:rPr>
              <w:t>。按《第三章磋商须知》和《第六章 响应文件格式》标注的要求进行盖章、签署（电子签章）。</w:t>
            </w:r>
            <w:r>
              <w:rPr>
                <w:rFonts w:hint="eastAsia" w:hAnsi="宋体" w:cs="Arial"/>
                <w:b/>
                <w:bCs/>
                <w:color w:val="auto"/>
                <w:sz w:val="21"/>
                <w:szCs w:val="21"/>
                <w:highlight w:val="none"/>
                <w:u w:val="single"/>
              </w:rPr>
              <w:t>以联合体形式参加本项目磋商的，除联合体协议须联合体各方盖章签字外，均由联合体牵头人签章签字。</w:t>
            </w:r>
          </w:p>
        </w:tc>
      </w:tr>
      <w:tr w14:paraId="22C8B5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BB55D1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w:t>
            </w:r>
          </w:p>
        </w:tc>
        <w:tc>
          <w:tcPr>
            <w:tcW w:w="2712" w:type="dxa"/>
            <w:noWrap/>
            <w:vAlign w:val="center"/>
          </w:tcPr>
          <w:p w14:paraId="027A9EC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备份磋商响应文件的约定</w:t>
            </w:r>
          </w:p>
        </w:tc>
        <w:tc>
          <w:tcPr>
            <w:tcW w:w="5811" w:type="dxa"/>
            <w:noWrap/>
            <w:vAlign w:val="center"/>
          </w:tcPr>
          <w:p w14:paraId="4BCFA490">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宋体" w:hAnsi="宋体" w:eastAsia="宋体" w:cs="宋体"/>
                <w:bCs/>
                <w:color w:val="auto"/>
                <w:sz w:val="21"/>
                <w:szCs w:val="21"/>
                <w:highlight w:val="none"/>
                <w:u w:val="single"/>
              </w:rPr>
              <w:t>“备份磋商响应文件”由供应商自愿递交，竞争性磋商文件不作强制性要求，</w:t>
            </w:r>
            <w:r>
              <w:rPr>
                <w:rFonts w:hint="eastAsia" w:ascii="宋体" w:hAnsi="宋体" w:eastAsia="宋体" w:cs="宋体"/>
                <w:b/>
                <w:color w:val="auto"/>
                <w:sz w:val="21"/>
                <w:szCs w:val="21"/>
                <w:highlight w:val="none"/>
                <w:u w:val="single"/>
              </w:rPr>
              <w:t>但供应商仅递交了“备份磋商响应文件”的，磋商响应无效</w:t>
            </w:r>
            <w:r>
              <w:rPr>
                <w:rFonts w:hint="eastAsia" w:ascii="宋体" w:hAnsi="宋体" w:eastAsia="宋体" w:cs="宋体"/>
                <w:b/>
                <w:color w:val="auto"/>
                <w:sz w:val="21"/>
                <w:szCs w:val="21"/>
                <w:highlight w:val="none"/>
              </w:rPr>
              <w:t>。</w:t>
            </w:r>
          </w:p>
        </w:tc>
      </w:tr>
      <w:tr w14:paraId="0ABE88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B4DFE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w:t>
            </w:r>
          </w:p>
        </w:tc>
        <w:tc>
          <w:tcPr>
            <w:tcW w:w="2712" w:type="dxa"/>
            <w:noWrap/>
            <w:vAlign w:val="center"/>
          </w:tcPr>
          <w:p w14:paraId="062C2F3A">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备份磋商响应文件的编制</w:t>
            </w:r>
          </w:p>
        </w:tc>
        <w:tc>
          <w:tcPr>
            <w:tcW w:w="5811" w:type="dxa"/>
            <w:noWrap/>
            <w:vAlign w:val="center"/>
          </w:tcPr>
          <w:p w14:paraId="3809111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宋体" w:hAnsi="宋体" w:eastAsia="宋体" w:cs="宋体"/>
                <w:b/>
                <w:color w:val="auto"/>
                <w:sz w:val="21"/>
                <w:szCs w:val="21"/>
                <w:highlight w:val="none"/>
              </w:rPr>
              <w:t>以其他方式编制的“备份磋商响应文件”视为无效“备份磋商响应文件”。</w:t>
            </w:r>
          </w:p>
        </w:tc>
      </w:tr>
      <w:tr w14:paraId="12DF40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3C4CDB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4.7.3</w:t>
            </w:r>
          </w:p>
        </w:tc>
        <w:tc>
          <w:tcPr>
            <w:tcW w:w="2712" w:type="dxa"/>
            <w:noWrap/>
            <w:vAlign w:val="center"/>
          </w:tcPr>
          <w:p w14:paraId="60E37C0C">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备份磋商响应文件的存储、份数、密封包装、标识、递交接收</w:t>
            </w:r>
          </w:p>
        </w:tc>
        <w:tc>
          <w:tcPr>
            <w:tcW w:w="5811" w:type="dxa"/>
            <w:noWrap/>
            <w:vAlign w:val="center"/>
          </w:tcPr>
          <w:p w14:paraId="6CD27659">
            <w:pPr>
              <w:autoSpaceDN w:val="0"/>
              <w:spacing w:line="276" w:lineRule="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（1）备份磋商响应文件的存储：</w:t>
            </w:r>
            <w:r>
              <w:rPr>
                <w:rFonts w:hint="eastAsia" w:ascii="宋体" w:hAnsi="宋体" w:eastAsia="宋体" w:cs="宋体"/>
                <w:bCs/>
                <w:color w:val="auto"/>
                <w:sz w:val="21"/>
                <w:szCs w:val="21"/>
                <w:highlight w:val="none"/>
                <w:u w:val="single"/>
              </w:rPr>
              <w:t>以U盘或光盘介质存储</w:t>
            </w:r>
            <w:r>
              <w:rPr>
                <w:rFonts w:hint="eastAsia" w:ascii="宋体" w:hAnsi="宋体" w:eastAsia="宋体" w:cs="宋体"/>
                <w:bCs/>
                <w:color w:val="auto"/>
                <w:sz w:val="21"/>
                <w:szCs w:val="21"/>
                <w:highlight w:val="none"/>
              </w:rPr>
              <w:t>；</w:t>
            </w:r>
          </w:p>
          <w:p w14:paraId="5D2C6385">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（2）备份磋商响应文件的份数：</w:t>
            </w:r>
            <w:r>
              <w:rPr>
                <w:rFonts w:hint="eastAsia" w:ascii="宋体" w:hAnsi="宋体" w:eastAsia="宋体" w:cs="宋体"/>
                <w:bCs/>
                <w:color w:val="auto"/>
                <w:sz w:val="21"/>
                <w:szCs w:val="21"/>
                <w:highlight w:val="none"/>
                <w:u w:val="single"/>
              </w:rPr>
              <w:t>1份</w:t>
            </w:r>
            <w:r>
              <w:rPr>
                <w:rFonts w:hint="eastAsia" w:ascii="宋体" w:hAnsi="宋体" w:eastAsia="宋体" w:cs="宋体"/>
                <w:bCs/>
                <w:color w:val="auto"/>
                <w:sz w:val="21"/>
                <w:szCs w:val="21"/>
                <w:highlight w:val="none"/>
              </w:rPr>
              <w:t>；</w:t>
            </w:r>
          </w:p>
          <w:p w14:paraId="4B848D7C">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（3）备份磋商响应文件的密封包装、标识：</w:t>
            </w:r>
            <w:r>
              <w:rPr>
                <w:rFonts w:hint="eastAsia" w:ascii="宋体" w:hAnsi="宋体" w:eastAsia="宋体" w:cs="宋体"/>
                <w:bCs/>
                <w:color w:val="auto"/>
                <w:sz w:val="21"/>
                <w:szCs w:val="21"/>
                <w:highlight w:val="none"/>
                <w:u w:val="single"/>
              </w:rPr>
              <w:t>“备份磋商响应文件”应当密封包装并在外包装上标注项目名称、磋商响应供应商名称并加盖公章。“备份磋商响应文件”没有密封包装或标识或盖章的视为未递交</w:t>
            </w:r>
            <w:r>
              <w:rPr>
                <w:rFonts w:hint="eastAsia" w:ascii="宋体" w:hAnsi="宋体" w:eastAsia="宋体" w:cs="宋体"/>
                <w:bCs/>
                <w:color w:val="auto"/>
                <w:sz w:val="21"/>
                <w:szCs w:val="21"/>
                <w:highlight w:val="none"/>
              </w:rPr>
              <w:t>；</w:t>
            </w:r>
          </w:p>
          <w:p w14:paraId="239F56C8">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（4）备份磋商响应文件的递交与接收：</w:t>
            </w:r>
            <w:r>
              <w:rPr>
                <w:rFonts w:hint="eastAsia" w:ascii="宋体" w:hAnsi="宋体" w:eastAsia="宋体" w:cs="宋体"/>
                <w:b/>
                <w:color w:val="auto"/>
                <w:sz w:val="21"/>
                <w:szCs w:val="21"/>
                <w:highlight w:val="none"/>
                <w:u w:val="single"/>
              </w:rPr>
              <w:t>磋商响应文件提交截止时间前邮寄等方式送达至采购组织机构（浙江省成套招标代理公司，杭州市文晖路42号现代置业大厦西楼180</w:t>
            </w:r>
            <w:r>
              <w:rPr>
                <w:rFonts w:hint="eastAsia" w:ascii="宋体"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室，</w:t>
            </w:r>
            <w:r>
              <w:rPr>
                <w:rFonts w:hint="eastAsia" w:ascii="宋体" w:hAnsi="宋体" w:eastAsia="宋体" w:cs="宋体"/>
                <w:b/>
                <w:color w:val="auto"/>
                <w:sz w:val="21"/>
                <w:szCs w:val="21"/>
                <w:highlight w:val="none"/>
                <w:u w:val="single"/>
                <w:lang w:eastAsia="zh-CN"/>
              </w:rPr>
              <w:t>毛松翁、李刚雷</w:t>
            </w:r>
            <w:r>
              <w:rPr>
                <w:rFonts w:hint="eastAsia" w:ascii="宋体" w:hAnsi="宋体" w:eastAsia="宋体" w:cs="宋体"/>
                <w:b/>
                <w:color w:val="auto"/>
                <w:sz w:val="21"/>
                <w:szCs w:val="21"/>
                <w:highlight w:val="none"/>
                <w:u w:val="single"/>
              </w:rPr>
              <w:t>收，</w:t>
            </w:r>
            <w:r>
              <w:rPr>
                <w:rFonts w:hint="eastAsia" w:ascii="宋体" w:hAnsi="宋体" w:eastAsia="宋体" w:cs="宋体"/>
                <w:b/>
                <w:color w:val="auto"/>
                <w:sz w:val="21"/>
                <w:szCs w:val="21"/>
                <w:highlight w:val="none"/>
                <w:u w:val="single"/>
                <w:lang w:eastAsia="zh-CN"/>
              </w:rPr>
              <w:t>13588106919</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u w:val="single"/>
              </w:rPr>
              <w:t>送达时间以采购组织机构实际签收时间为准。“备份磋商响应文件”逾期送达的视为未递交，建议供应商提前3日办理邮寄事宜</w:t>
            </w:r>
            <w:r>
              <w:rPr>
                <w:rFonts w:hint="eastAsia" w:ascii="宋体" w:hAnsi="宋体" w:eastAsia="宋体" w:cs="宋体"/>
                <w:bCs/>
                <w:color w:val="auto"/>
                <w:sz w:val="21"/>
                <w:szCs w:val="21"/>
                <w:highlight w:val="none"/>
              </w:rPr>
              <w:t>。</w:t>
            </w:r>
          </w:p>
        </w:tc>
      </w:tr>
      <w:tr w14:paraId="078749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44652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712" w:type="dxa"/>
            <w:noWrap/>
            <w:vAlign w:val="center"/>
          </w:tcPr>
          <w:p w14:paraId="0CB27CA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5811" w:type="dxa"/>
            <w:noWrap/>
            <w:vAlign w:val="center"/>
          </w:tcPr>
          <w:p w14:paraId="6258CD9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自磋商响应文件提交截止之日起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天内保持有效，否则磋商响应无效。</w:t>
            </w:r>
          </w:p>
        </w:tc>
      </w:tr>
      <w:tr w14:paraId="6788A7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8100DE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w:t>
            </w:r>
          </w:p>
        </w:tc>
        <w:tc>
          <w:tcPr>
            <w:tcW w:w="2712" w:type="dxa"/>
            <w:noWrap/>
            <w:vAlign w:val="center"/>
          </w:tcPr>
          <w:p w14:paraId="7C757CE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响应文件提交截止时间</w:t>
            </w:r>
          </w:p>
        </w:tc>
        <w:tc>
          <w:tcPr>
            <w:tcW w:w="5811" w:type="dxa"/>
            <w:noWrap/>
            <w:vAlign w:val="center"/>
          </w:tcPr>
          <w:p w14:paraId="6EC32666">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见第一章竞争性磋商公告</w:t>
            </w:r>
          </w:p>
        </w:tc>
      </w:tr>
      <w:tr w14:paraId="3EBDF3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A51AF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2712" w:type="dxa"/>
            <w:noWrap/>
            <w:vAlign w:val="center"/>
          </w:tcPr>
          <w:p w14:paraId="372DE2F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磋商响应文件提交地点</w:t>
            </w:r>
          </w:p>
        </w:tc>
        <w:tc>
          <w:tcPr>
            <w:tcW w:w="5811" w:type="dxa"/>
            <w:noWrap/>
            <w:vAlign w:val="center"/>
          </w:tcPr>
          <w:p w14:paraId="3711BAD2">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政府采购云平台</w:t>
            </w:r>
            <w:r>
              <w:rPr>
                <w:rFonts w:hint="eastAsia" w:ascii="宋体" w:hAnsi="宋体" w:eastAsia="宋体" w:cs="宋体"/>
                <w:color w:val="auto"/>
                <w:sz w:val="21"/>
                <w:szCs w:val="21"/>
                <w:highlight w:val="none"/>
                <w:u w:val="single"/>
              </w:rPr>
              <w:t>，网址：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4C1875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F0B8A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w:t>
            </w:r>
          </w:p>
        </w:tc>
        <w:tc>
          <w:tcPr>
            <w:tcW w:w="2712" w:type="dxa"/>
            <w:noWrap/>
            <w:vAlign w:val="center"/>
          </w:tcPr>
          <w:p w14:paraId="230EEC0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磋商响应文件的传输递交</w:t>
            </w:r>
          </w:p>
        </w:tc>
        <w:tc>
          <w:tcPr>
            <w:tcW w:w="5811" w:type="dxa"/>
            <w:noWrap/>
            <w:vAlign w:val="center"/>
          </w:tcPr>
          <w:p w14:paraId="059CB76D">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宋体" w:hAnsi="宋体" w:eastAsia="宋体" w:cs="宋体"/>
                <w:b/>
                <w:color w:val="auto"/>
                <w:sz w:val="21"/>
                <w:szCs w:val="21"/>
                <w:highlight w:val="none"/>
              </w:rPr>
              <w:t>；</w:t>
            </w:r>
          </w:p>
          <w:p w14:paraId="23578485">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（2）磋商响应文件成功传输递交后，供应商可自行打印磋商响应文件接收回执；</w:t>
            </w:r>
          </w:p>
          <w:p w14:paraId="21F331DD">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（3）磋商响应文件提交截止时间前，除供应商补充、修改或者撤回磋商响应文件外，任何单位和个人不得解密或提取磋商响应文件；</w:t>
            </w:r>
          </w:p>
          <w:p w14:paraId="277CD71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提示：</w:t>
            </w:r>
            <w:r>
              <w:rPr>
                <w:rFonts w:hint="eastAsia" w:ascii="宋体" w:hAnsi="宋体" w:eastAsia="宋体" w:cs="宋体"/>
                <w:b/>
                <w:color w:val="auto"/>
                <w:sz w:val="21"/>
                <w:szCs w:val="21"/>
                <w:highlight w:val="none"/>
                <w:u w:val="single"/>
              </w:rPr>
              <w:t>供应商传输递交的“磋商响应文件”应是通过“政采云电子交易客户端”，并按竞争性磋商文件和“政府采购云平台”要求编制并加密的电子加密磋商响应文件</w:t>
            </w:r>
            <w:r>
              <w:rPr>
                <w:rFonts w:hint="eastAsia" w:ascii="宋体" w:hAnsi="宋体" w:eastAsia="宋体" w:cs="宋体"/>
                <w:b/>
                <w:color w:val="auto"/>
                <w:sz w:val="21"/>
                <w:szCs w:val="21"/>
                <w:highlight w:val="none"/>
              </w:rPr>
              <w:t>。</w:t>
            </w:r>
          </w:p>
        </w:tc>
      </w:tr>
      <w:tr w14:paraId="43E3F9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3746D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712" w:type="dxa"/>
            <w:noWrap/>
            <w:vAlign w:val="center"/>
          </w:tcPr>
          <w:p w14:paraId="11D8B09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p>
        </w:tc>
        <w:tc>
          <w:tcPr>
            <w:tcW w:w="5811" w:type="dxa"/>
            <w:noWrap/>
            <w:vAlign w:val="center"/>
          </w:tcPr>
          <w:p w14:paraId="1A542A9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同</w:t>
            </w:r>
            <w:r>
              <w:rPr>
                <w:rFonts w:hint="eastAsia" w:ascii="宋体" w:hAnsi="宋体" w:eastAsia="宋体" w:cs="宋体"/>
                <w:b/>
                <w:bCs/>
                <w:color w:val="auto"/>
                <w:kern w:val="0"/>
                <w:sz w:val="21"/>
                <w:szCs w:val="21"/>
                <w:highlight w:val="none"/>
              </w:rPr>
              <w:t>磋商响应文件提交截止</w:t>
            </w:r>
            <w:r>
              <w:rPr>
                <w:rFonts w:hint="eastAsia" w:ascii="宋体" w:hAnsi="宋体" w:eastAsia="宋体" w:cs="宋体"/>
                <w:b/>
                <w:color w:val="auto"/>
                <w:sz w:val="21"/>
                <w:szCs w:val="21"/>
                <w:highlight w:val="none"/>
              </w:rPr>
              <w:t>时间</w:t>
            </w:r>
          </w:p>
        </w:tc>
      </w:tr>
      <w:tr w14:paraId="0041B4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92D21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w:t>
            </w:r>
          </w:p>
        </w:tc>
        <w:tc>
          <w:tcPr>
            <w:tcW w:w="2712" w:type="dxa"/>
            <w:noWrap/>
            <w:vAlign w:val="center"/>
          </w:tcPr>
          <w:p w14:paraId="5C408A8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w:t>
            </w:r>
          </w:p>
        </w:tc>
        <w:tc>
          <w:tcPr>
            <w:tcW w:w="5811" w:type="dxa"/>
            <w:noWrap/>
            <w:vAlign w:val="center"/>
          </w:tcPr>
          <w:p w14:paraId="176F986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政府采购云平台</w:t>
            </w: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p>
        </w:tc>
      </w:tr>
      <w:tr w14:paraId="30A9E6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33613E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w:t>
            </w:r>
          </w:p>
        </w:tc>
        <w:tc>
          <w:tcPr>
            <w:tcW w:w="2712" w:type="dxa"/>
            <w:noWrap/>
            <w:vAlign w:val="center"/>
          </w:tcPr>
          <w:p w14:paraId="5A390F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w:t>
            </w:r>
          </w:p>
        </w:tc>
        <w:tc>
          <w:tcPr>
            <w:tcW w:w="5811" w:type="dxa"/>
            <w:noWrap/>
            <w:vAlign w:val="center"/>
          </w:tcPr>
          <w:p w14:paraId="6971A8B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本项目采用电子交易，采购组织机构将按照磋商文件规定的时间通过“政府采购云平台，网址：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www.zcygov.cn</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”组织开标、开启磋商响应文件，所有供应商均应当准时在线参加。</w:t>
            </w:r>
          </w:p>
        </w:tc>
      </w:tr>
      <w:tr w14:paraId="2D1EBA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71871B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6.3.1</w:t>
            </w:r>
          </w:p>
        </w:tc>
        <w:tc>
          <w:tcPr>
            <w:tcW w:w="2712" w:type="dxa"/>
            <w:noWrap/>
            <w:vAlign w:val="center"/>
          </w:tcPr>
          <w:p w14:paraId="782E1BD8">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磋商响应文件的解密</w:t>
            </w:r>
          </w:p>
        </w:tc>
        <w:tc>
          <w:tcPr>
            <w:tcW w:w="5811" w:type="dxa"/>
            <w:noWrap/>
            <w:vAlign w:val="center"/>
          </w:tcPr>
          <w:p w14:paraId="49301AAB">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开标后，采购组织机构在政府采购云平台在线发出“磋商响应文件解密”通知，</w:t>
            </w:r>
            <w:r>
              <w:rPr>
                <w:rFonts w:hint="eastAsia" w:ascii="宋体" w:hAnsi="宋体" w:eastAsia="宋体" w:cs="宋体"/>
                <w:b/>
                <w:color w:val="auto"/>
                <w:kern w:val="0"/>
                <w:sz w:val="21"/>
                <w:szCs w:val="21"/>
                <w:highlight w:val="none"/>
              </w:rPr>
              <w:t>启动磋商响应文件的解密程序；</w:t>
            </w:r>
            <w:r>
              <w:rPr>
                <w:rFonts w:hint="eastAsia" w:ascii="宋体" w:hAnsi="宋体" w:eastAsia="宋体" w:cs="宋体"/>
                <w:b/>
                <w:color w:val="auto"/>
                <w:sz w:val="21"/>
                <w:szCs w:val="21"/>
                <w:highlight w:val="none"/>
              </w:rPr>
              <w:t>各磋商响应供应商应当在解密通知发出后30分钟内自行完成磋商响应文件的在线解密。供应商的磋商响应文件无法按时解密的，按磋商文件中“磋商响应文件解密异常情况处理办法”进行处理。</w:t>
            </w:r>
          </w:p>
          <w:p w14:paraId="2BA1F4F7">
            <w:pPr>
              <w:autoSpaceDN w:val="0"/>
              <w:spacing w:line="276"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Cs/>
                <w:color w:val="auto"/>
                <w:sz w:val="21"/>
                <w:szCs w:val="21"/>
                <w:highlight w:val="none"/>
              </w:rPr>
              <w:t>磋商响应文件提交截止时间前，除供应商补充、修改或者撤回磋商响应文件外，任何单位和个人不得解密或提取磋商响应文件。</w:t>
            </w:r>
          </w:p>
        </w:tc>
      </w:tr>
      <w:tr w14:paraId="1DC0C1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F1D993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6.3.1</w:t>
            </w:r>
          </w:p>
        </w:tc>
        <w:tc>
          <w:tcPr>
            <w:tcW w:w="2712" w:type="dxa"/>
            <w:noWrap/>
            <w:vAlign w:val="center"/>
          </w:tcPr>
          <w:p w14:paraId="3D6C9C5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磋商响应文件解密异常情况处理办法</w:t>
            </w:r>
          </w:p>
        </w:tc>
        <w:tc>
          <w:tcPr>
            <w:tcW w:w="5811" w:type="dxa"/>
            <w:noWrap/>
            <w:vAlign w:val="center"/>
          </w:tcPr>
          <w:p w14:paraId="6056068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供应商传输递交至“政府采购云平台”的电子加密“磋商响应文件”无法按时解密时，按以下规定处理：</w:t>
            </w:r>
          </w:p>
          <w:p w14:paraId="7DA8B2E0">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5AF7985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未按规定递交合格“备份磋商响应文件”的或递交的“备份磋商响应文件”无法成功上传的，视为磋商响应文件撤回</w:t>
            </w:r>
            <w:r>
              <w:rPr>
                <w:rFonts w:hint="eastAsia" w:ascii="宋体" w:hAnsi="宋体" w:eastAsia="宋体" w:cs="宋体"/>
                <w:b/>
                <w:color w:val="auto"/>
                <w:sz w:val="21"/>
                <w:szCs w:val="21"/>
                <w:highlight w:val="none"/>
              </w:rPr>
              <w:t>；</w:t>
            </w:r>
          </w:p>
          <w:p w14:paraId="5B6B6D7F">
            <w:pPr>
              <w:autoSpaceDN w:val="0"/>
              <w:spacing w:line="276" w:lineRule="auto"/>
              <w:rPr>
                <w:rFonts w:hint="eastAsia" w:ascii="宋体" w:hAnsi="宋体" w:eastAsia="宋体" w:cs="宋体"/>
                <w:b/>
                <w:color w:val="auto"/>
                <w:kern w:val="0"/>
                <w:sz w:val="21"/>
                <w:szCs w:val="21"/>
                <w:highlight w:val="none"/>
              </w:rPr>
            </w:pPr>
            <w:r>
              <w:rPr>
                <w:rFonts w:hint="eastAsia" w:ascii="宋体" w:hAnsi="宋体" w:eastAsia="宋体" w:cs="宋体"/>
                <w:bCs/>
                <w:color w:val="auto"/>
                <w:sz w:val="21"/>
                <w:szCs w:val="21"/>
                <w:highlight w:val="none"/>
              </w:rPr>
              <w:t>（3）备份磋商响应文件上传成功后视为磋商响应文件解密成功，供应商可以进入后续评审。</w:t>
            </w:r>
          </w:p>
        </w:tc>
      </w:tr>
      <w:tr w14:paraId="70A86A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E3BCE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7.7.2</w:t>
            </w:r>
          </w:p>
        </w:tc>
        <w:tc>
          <w:tcPr>
            <w:tcW w:w="2712" w:type="dxa"/>
            <w:noWrap/>
            <w:vAlign w:val="center"/>
          </w:tcPr>
          <w:p w14:paraId="4BB2615D">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供应商信用信息</w:t>
            </w:r>
          </w:p>
          <w:p w14:paraId="63C32DF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查询、存档与使用</w:t>
            </w:r>
          </w:p>
        </w:tc>
        <w:tc>
          <w:tcPr>
            <w:tcW w:w="5811" w:type="dxa"/>
            <w:noWrap/>
            <w:vAlign w:val="center"/>
          </w:tcPr>
          <w:p w14:paraId="61966C93">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1）根据《财政部关于在政府采购活动中查询及使用信用记录的通知》（财库〔2016〕125号）相关规定，采购组织机构将统一通过“信用中国”网站（www.creditchina.gov.cn）、中国政府采购网（www.ccgp.gov.cn）等渠道查询供应商信用记录，对供应商信用记录进行甄别。</w:t>
            </w:r>
            <w:r>
              <w:rPr>
                <w:rFonts w:hint="eastAsia" w:ascii="宋体" w:hAnsi="宋体" w:eastAsia="宋体" w:cs="宋体"/>
                <w:b/>
                <w:color w:val="auto"/>
                <w:sz w:val="21"/>
                <w:szCs w:val="21"/>
                <w:highlight w:val="none"/>
                <w:u w:val="single"/>
              </w:rPr>
              <w:t>凡是列入失信被执行人、重大税收违法案件当事人名单、政府采购严重违法失信行为记录名单及其他不符合《中华人民共和国政府采购法》第二十二条规定条件的供应商，一律拒绝其参加本次政府采购活动</w:t>
            </w:r>
            <w:r>
              <w:rPr>
                <w:rFonts w:hint="eastAsia" w:ascii="宋体" w:hAnsi="宋体" w:eastAsia="宋体" w:cs="宋体"/>
                <w:b/>
                <w:color w:val="auto"/>
                <w:sz w:val="21"/>
                <w:szCs w:val="21"/>
                <w:highlight w:val="none"/>
              </w:rPr>
              <w:t>；</w:t>
            </w:r>
          </w:p>
          <w:p w14:paraId="38CC832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（2）查询工作在资格审查时由采购组织机构统一进行，查询结果打印后留存备案；</w:t>
            </w:r>
          </w:p>
          <w:p w14:paraId="0C444834">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（3）以联合体形式参加采购活动的，联合体中任何一方存在“被拒绝情形”的视同联合体存在“被拒绝情形”。</w:t>
            </w:r>
          </w:p>
        </w:tc>
      </w:tr>
      <w:tr w14:paraId="3FCE9E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843B5C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712" w:type="dxa"/>
            <w:noWrap/>
            <w:vAlign w:val="center"/>
          </w:tcPr>
          <w:p w14:paraId="7B3C8A4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w:t>
            </w:r>
          </w:p>
        </w:tc>
        <w:tc>
          <w:tcPr>
            <w:tcW w:w="5811" w:type="dxa"/>
            <w:noWrap/>
            <w:vAlign w:val="center"/>
          </w:tcPr>
          <w:p w14:paraId="134B4102">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综合评分法</w:t>
            </w:r>
            <w:r>
              <w:rPr>
                <w:rFonts w:hint="eastAsia" w:ascii="宋体" w:hAnsi="宋体" w:eastAsia="宋体" w:cs="宋体"/>
                <w:color w:val="auto"/>
                <w:sz w:val="21"/>
                <w:szCs w:val="21"/>
                <w:highlight w:val="none"/>
              </w:rPr>
              <w:t>，详见竞争性磋商文件《第七章 评审方法》</w:t>
            </w:r>
          </w:p>
        </w:tc>
      </w:tr>
      <w:tr w14:paraId="27D08F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1F897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2712" w:type="dxa"/>
            <w:noWrap/>
            <w:vAlign w:val="center"/>
          </w:tcPr>
          <w:p w14:paraId="1B6AD7F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确定成交供应商</w:t>
            </w:r>
          </w:p>
          <w:p w14:paraId="6FAAC6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采购结果确认</w:t>
            </w:r>
            <w:r>
              <w:rPr>
                <w:rFonts w:hint="eastAsia" w:ascii="宋体" w:hAnsi="宋体" w:eastAsia="宋体" w:cs="宋体"/>
                <w:color w:val="auto"/>
                <w:kern w:val="0"/>
                <w:sz w:val="21"/>
                <w:szCs w:val="21"/>
                <w:highlight w:val="none"/>
              </w:rPr>
              <w:t>）</w:t>
            </w:r>
          </w:p>
        </w:tc>
        <w:tc>
          <w:tcPr>
            <w:tcW w:w="5811" w:type="dxa"/>
            <w:noWrap/>
            <w:vAlign w:val="center"/>
          </w:tcPr>
          <w:p w14:paraId="1C8B308F">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kern w:val="0"/>
                <w:sz w:val="21"/>
                <w:szCs w:val="21"/>
                <w:highlight w:val="none"/>
              </w:rPr>
              <w:t>本项目由采购人根据磋商小组递交的《评审报告》，通过“政府采购云平台”依法确定成交供应商。</w:t>
            </w:r>
            <w:r>
              <w:rPr>
                <w:rFonts w:hint="eastAsia" w:ascii="宋体" w:hAnsi="宋体" w:eastAsia="宋体" w:cs="宋体"/>
                <w:bCs/>
                <w:color w:val="auto"/>
                <w:kern w:val="0"/>
                <w:sz w:val="21"/>
                <w:szCs w:val="21"/>
                <w:highlight w:val="none"/>
              </w:rPr>
              <w:t>具体流程见第三章第8.1.1款规定。</w:t>
            </w:r>
          </w:p>
        </w:tc>
      </w:tr>
      <w:tr w14:paraId="6E7A65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032E5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w:t>
            </w:r>
          </w:p>
        </w:tc>
        <w:tc>
          <w:tcPr>
            <w:tcW w:w="2712" w:type="dxa"/>
            <w:noWrap/>
            <w:vAlign w:val="center"/>
          </w:tcPr>
          <w:p w14:paraId="5D0EF6D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结果公告及《成交通知书》签发</w:t>
            </w:r>
          </w:p>
        </w:tc>
        <w:tc>
          <w:tcPr>
            <w:tcW w:w="5811" w:type="dxa"/>
            <w:noWrap/>
            <w:vAlign w:val="center"/>
          </w:tcPr>
          <w:p w14:paraId="6C5DF01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（1）采购结果经采购人确认后2个工作日内，采购代理机构将在“浙江政府采购网”公告采购结果，同时向成交供应商发出《成交通知书》。成交公告期限为1个工作日；</w:t>
            </w:r>
          </w:p>
          <w:p w14:paraId="1DB2EAF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（2）供应商在收到《成交通知书》后3个工作日内，向采购人提供7套纸质版本磋商响应文件（须与政府采购云平台上的电子文件内容一致），向采购代理机构提供1套纸质版本磋商响应文件。</w:t>
            </w:r>
          </w:p>
        </w:tc>
      </w:tr>
      <w:tr w14:paraId="5B7F8F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1914B0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w:t>
            </w:r>
          </w:p>
        </w:tc>
        <w:tc>
          <w:tcPr>
            <w:tcW w:w="2712" w:type="dxa"/>
            <w:noWrap/>
            <w:vAlign w:val="center"/>
          </w:tcPr>
          <w:p w14:paraId="5987A74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采购代理服务费、造价咨询服务费的</w:t>
            </w:r>
          </w:p>
          <w:p w14:paraId="1D08684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收取标准或金额</w:t>
            </w:r>
          </w:p>
        </w:tc>
        <w:tc>
          <w:tcPr>
            <w:tcW w:w="5811" w:type="dxa"/>
            <w:noWrap/>
            <w:vAlign w:val="center"/>
          </w:tcPr>
          <w:p w14:paraId="69766752">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（1）采购代理服务费按《招标代理服务收费管理暂行办法》计价格[2002]1980 号文件的收费标准×50%。对于未明确中标（成交）金额的采购项目和代理服务费不足2000元的项目，代理服务费均按2000元计收取。</w:t>
            </w:r>
          </w:p>
          <w:p w14:paraId="3668A2AF">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（2）造价咨询服务费按浙江省物价局《关于进一步完善工程造价咨询服务收费的通知》计浙价服〔2009〕84号文件的收费标准×50%，单个项目造价咨询服务费用不足2000元的，按2000元计收取。</w:t>
            </w:r>
          </w:p>
          <w:p w14:paraId="3E1E47FB">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3）上述费用的计算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6B14A3AF">
            <w:pPr>
              <w:spacing w:line="276" w:lineRule="auto"/>
              <w:rPr>
                <w:rFonts w:ascii="宋体" w:hAnsi="宋体" w:cs="仿宋"/>
                <w:color w:val="auto"/>
                <w:sz w:val="21"/>
                <w:szCs w:val="21"/>
                <w:highlight w:val="none"/>
              </w:rPr>
            </w:pPr>
            <w:r>
              <w:rPr>
                <w:rFonts w:hint="eastAsia" w:ascii="宋体" w:hAnsi="宋体" w:cs="仿宋"/>
                <w:color w:val="auto"/>
                <w:sz w:val="21"/>
                <w:szCs w:val="21"/>
                <w:highlight w:val="none"/>
              </w:rPr>
              <w:t>户  名：浙江省成套招标代理有限公司</w:t>
            </w:r>
          </w:p>
          <w:p w14:paraId="373DDBBF">
            <w:pPr>
              <w:spacing w:line="276" w:lineRule="auto"/>
              <w:rPr>
                <w:rFonts w:ascii="宋体" w:hAnsi="宋体" w:cs="仿宋"/>
                <w:color w:val="auto"/>
                <w:sz w:val="21"/>
                <w:szCs w:val="21"/>
                <w:highlight w:val="none"/>
              </w:rPr>
            </w:pPr>
            <w:r>
              <w:rPr>
                <w:rFonts w:hint="eastAsia" w:ascii="宋体" w:hAnsi="宋体" w:cs="仿宋"/>
                <w:color w:val="auto"/>
                <w:sz w:val="21"/>
                <w:szCs w:val="21"/>
                <w:highlight w:val="none"/>
              </w:rPr>
              <w:t>帐  号：7331 6101 8260 0126 385</w:t>
            </w:r>
          </w:p>
          <w:p w14:paraId="5F89A14D">
            <w:pPr>
              <w:spacing w:line="276" w:lineRule="auto"/>
              <w:jc w:val="left"/>
              <w:rPr>
                <w:rFonts w:ascii="宋体" w:hAnsi="宋体" w:cs="仿宋"/>
                <w:color w:val="auto"/>
                <w:sz w:val="21"/>
                <w:szCs w:val="21"/>
                <w:highlight w:val="none"/>
              </w:rPr>
            </w:pPr>
            <w:r>
              <w:rPr>
                <w:rFonts w:hint="eastAsia" w:ascii="宋体" w:hAnsi="宋体" w:cs="仿宋"/>
                <w:color w:val="auto"/>
                <w:sz w:val="21"/>
                <w:szCs w:val="21"/>
                <w:highlight w:val="none"/>
              </w:rPr>
              <w:t>开户行：中信银行杭州西湖支行</w:t>
            </w:r>
          </w:p>
          <w:p w14:paraId="2B955851">
            <w:pPr>
              <w:autoSpaceDN w:val="0"/>
              <w:spacing w:line="276" w:lineRule="auto"/>
              <w:jc w:val="left"/>
              <w:rPr>
                <w:rFonts w:hint="eastAsia" w:ascii="宋体" w:hAnsi="宋体" w:eastAsia="宋体" w:cs="宋体"/>
                <w:color w:val="auto"/>
                <w:sz w:val="21"/>
                <w:szCs w:val="21"/>
                <w:highlight w:val="none"/>
              </w:rPr>
            </w:pPr>
            <w:r>
              <w:rPr>
                <w:rFonts w:hint="eastAsia" w:ascii="宋体" w:hAnsi="宋体" w:cs="Arial"/>
                <w:b/>
                <w:color w:val="auto"/>
                <w:kern w:val="0"/>
                <w:sz w:val="21"/>
                <w:szCs w:val="21"/>
                <w:highlight w:val="none"/>
              </w:rPr>
              <w:t>采购代理服务费和造价咨询服务费缴纳凭证将作为采购人合同付款和验收的前提条件，成交供应商未按磋商文件规定和磋商承诺缴纳采购代理服务费的，合同款不予支付、合同验收不予通过。</w:t>
            </w:r>
          </w:p>
        </w:tc>
      </w:tr>
      <w:tr w14:paraId="4D9B99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B827D5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2712" w:type="dxa"/>
            <w:noWrap/>
            <w:vAlign w:val="center"/>
          </w:tcPr>
          <w:p w14:paraId="297926C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合同签订时间期限</w:t>
            </w:r>
          </w:p>
        </w:tc>
        <w:tc>
          <w:tcPr>
            <w:tcW w:w="5811" w:type="dxa"/>
            <w:noWrap/>
            <w:vAlign w:val="center"/>
          </w:tcPr>
          <w:p w14:paraId="44855C7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《成交通知书》发出后30天内，成交供应商应持《成交通知书》与采购人签订《政府采购合同》。</w:t>
            </w:r>
          </w:p>
        </w:tc>
      </w:tr>
      <w:tr w14:paraId="2DAE6F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C731E1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w:t>
            </w:r>
          </w:p>
        </w:tc>
        <w:tc>
          <w:tcPr>
            <w:tcW w:w="2712" w:type="dxa"/>
            <w:noWrap/>
            <w:vAlign w:val="center"/>
          </w:tcPr>
          <w:p w14:paraId="535F01A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811" w:type="dxa"/>
            <w:noWrap/>
            <w:vAlign w:val="center"/>
          </w:tcPr>
          <w:p w14:paraId="5C7B849D">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（1）履约保证金递交形式：现金、转账、银行或保险公司出具的保函等。</w:t>
            </w:r>
          </w:p>
          <w:p w14:paraId="48CF9ED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（2）履约保证金的金额：成交金额的2%。</w:t>
            </w:r>
          </w:p>
        </w:tc>
      </w:tr>
      <w:tr w14:paraId="51A3CC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2C9B1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712" w:type="dxa"/>
            <w:noWrap/>
            <w:vAlign w:val="center"/>
          </w:tcPr>
          <w:p w14:paraId="0558031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中小企业信用融资</w:t>
            </w:r>
          </w:p>
        </w:tc>
        <w:tc>
          <w:tcPr>
            <w:tcW w:w="5811" w:type="dxa"/>
            <w:noWrap/>
            <w:vAlign w:val="center"/>
          </w:tcPr>
          <w:p w14:paraId="28CC6B96">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760615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00B098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712" w:type="dxa"/>
            <w:noWrap/>
            <w:vAlign w:val="center"/>
          </w:tcPr>
          <w:p w14:paraId="20242C6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重要提醒</w:t>
            </w:r>
          </w:p>
        </w:tc>
        <w:tc>
          <w:tcPr>
            <w:tcW w:w="5811" w:type="dxa"/>
            <w:noWrap/>
            <w:vAlign w:val="center"/>
          </w:tcPr>
          <w:p w14:paraId="449AE57A">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（1）磋商响应供应商应仔细对照磋商须知条款阅读本表，如本表与须知内容就同一事项规定不一致的，以本表为准；</w:t>
            </w:r>
          </w:p>
          <w:p w14:paraId="3CD8A2F9">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74F957D6">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（3）竞争性磋商文件中标注“▲”的技术或商务条款均为实质性要求条款，不满足实质性要求条款的投标响应无效；</w:t>
            </w:r>
          </w:p>
          <w:p w14:paraId="4BA1C04D">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报价时如未按要求提供相应说明及证明材料的，做无效标处理；</w:t>
            </w:r>
          </w:p>
          <w:p w14:paraId="2606CD0A">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287F29F6">
            <w:pPr>
              <w:autoSpaceDN w:val="0"/>
              <w:spacing w:line="276"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F19C36">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竞争性磋商报价以最终报价为准，单价同比例下浮（暂列金</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如有</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不下浮）</w:t>
            </w:r>
            <w:r>
              <w:rPr>
                <w:rFonts w:hint="eastAsia" w:ascii="宋体" w:hAnsi="宋体" w:eastAsia="宋体" w:cs="宋体"/>
                <w:b/>
                <w:bCs/>
                <w:color w:val="auto"/>
                <w:sz w:val="21"/>
                <w:szCs w:val="21"/>
                <w:highlight w:val="none"/>
              </w:rPr>
              <w:t>。</w:t>
            </w:r>
          </w:p>
          <w:p w14:paraId="62EDBE25">
            <w:pPr>
              <w:autoSpaceDN w:val="0"/>
              <w:spacing w:line="276" w:lineRule="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bookmarkEnd w:id="3"/>
      <w:bookmarkEnd w:id="4"/>
      <w:bookmarkEnd w:id="5"/>
    </w:tbl>
    <w:p w14:paraId="6AB087E9">
      <w:pPr>
        <w:autoSpaceDN w:val="0"/>
        <w:rPr>
          <w:rFonts w:hint="eastAsia" w:ascii="宋体" w:hAnsi="宋体" w:eastAsia="宋体" w:cs="宋体"/>
          <w:color w:val="auto"/>
          <w:highlight w:val="none"/>
        </w:rPr>
      </w:pPr>
      <w:bookmarkStart w:id="7" w:name="_Toc211745567"/>
      <w:bookmarkStart w:id="8" w:name="_Toc82873321"/>
      <w:bookmarkStart w:id="9" w:name="_Toc82338238"/>
    </w:p>
    <w:p w14:paraId="692E6547">
      <w:pPr>
        <w:rPr>
          <w:rFonts w:hint="eastAsia" w:ascii="宋体" w:hAnsi="宋体" w:eastAsia="宋体" w:cs="宋体"/>
          <w:bCs/>
          <w:color w:val="auto"/>
          <w:kern w:val="44"/>
          <w:sz w:val="44"/>
          <w:szCs w:val="44"/>
          <w:highlight w:val="none"/>
        </w:rPr>
      </w:pPr>
      <w:r>
        <w:rPr>
          <w:rFonts w:hint="eastAsia" w:ascii="宋体" w:hAnsi="宋体" w:eastAsia="宋体" w:cs="宋体"/>
          <w:bCs/>
          <w:color w:val="auto"/>
          <w:kern w:val="44"/>
          <w:sz w:val="44"/>
          <w:szCs w:val="44"/>
          <w:highlight w:val="none"/>
        </w:rPr>
        <w:br w:type="page"/>
      </w:r>
    </w:p>
    <w:p w14:paraId="1429B243">
      <w:pPr>
        <w:pStyle w:val="3"/>
        <w:autoSpaceDN w:val="0"/>
        <w:spacing w:before="240"/>
        <w:rPr>
          <w:rFonts w:hint="eastAsia" w:ascii="宋体" w:hAnsi="宋体" w:eastAsia="宋体" w:cs="宋体"/>
          <w:color w:val="auto"/>
          <w:highlight w:val="none"/>
        </w:rPr>
      </w:pPr>
      <w:bookmarkStart w:id="10" w:name="_Toc4570"/>
      <w:r>
        <w:rPr>
          <w:rFonts w:hint="eastAsia" w:ascii="宋体" w:hAnsi="宋体" w:eastAsia="宋体" w:cs="宋体"/>
          <w:bCs/>
          <w:color w:val="auto"/>
          <w:kern w:val="44"/>
          <w:sz w:val="44"/>
          <w:szCs w:val="44"/>
          <w:highlight w:val="none"/>
        </w:rPr>
        <w:t xml:space="preserve">第三章  </w:t>
      </w:r>
      <w:bookmarkEnd w:id="7"/>
      <w:bookmarkEnd w:id="8"/>
      <w:bookmarkEnd w:id="9"/>
      <w:r>
        <w:rPr>
          <w:rFonts w:hint="eastAsia" w:ascii="宋体" w:hAnsi="宋体" w:eastAsia="宋体" w:cs="宋体"/>
          <w:bCs/>
          <w:color w:val="auto"/>
          <w:kern w:val="44"/>
          <w:sz w:val="44"/>
          <w:szCs w:val="44"/>
          <w:highlight w:val="none"/>
        </w:rPr>
        <w:t>磋商须知</w:t>
      </w:r>
      <w:bookmarkEnd w:id="10"/>
    </w:p>
    <w:p w14:paraId="0B875C95">
      <w:pPr>
        <w:pStyle w:val="4"/>
        <w:autoSpaceDN w:val="0"/>
        <w:spacing w:before="360"/>
        <w:ind w:firstLine="221" w:firstLineChars="100"/>
        <w:rPr>
          <w:rFonts w:hint="eastAsia" w:ascii="宋体" w:hAnsi="宋体" w:eastAsia="宋体" w:cs="宋体"/>
          <w:color w:val="auto"/>
          <w:sz w:val="22"/>
          <w:szCs w:val="22"/>
          <w:highlight w:val="none"/>
        </w:rPr>
      </w:pPr>
      <w:bookmarkStart w:id="11" w:name="_Toc82873322"/>
      <w:bookmarkStart w:id="12" w:name="_Toc82338239"/>
      <w:bookmarkStart w:id="13" w:name="_Toc30699"/>
      <w:bookmarkStart w:id="14" w:name="_Toc20787"/>
      <w:r>
        <w:rPr>
          <w:rFonts w:hint="eastAsia" w:ascii="宋体" w:hAnsi="宋体" w:eastAsia="宋体" w:cs="宋体"/>
          <w:color w:val="auto"/>
          <w:sz w:val="22"/>
          <w:szCs w:val="22"/>
          <w:highlight w:val="none"/>
        </w:rPr>
        <w:t>一、</w:t>
      </w:r>
      <w:bookmarkEnd w:id="11"/>
      <w:bookmarkEnd w:id="12"/>
      <w:r>
        <w:rPr>
          <w:rFonts w:hint="eastAsia" w:ascii="宋体" w:hAnsi="宋体" w:eastAsia="宋体" w:cs="宋体"/>
          <w:color w:val="auto"/>
          <w:sz w:val="22"/>
          <w:szCs w:val="22"/>
          <w:highlight w:val="none"/>
        </w:rPr>
        <w:t>总则</w:t>
      </w:r>
      <w:bookmarkEnd w:id="13"/>
      <w:bookmarkEnd w:id="14"/>
    </w:p>
    <w:p w14:paraId="784FB414">
      <w:pPr>
        <w:pStyle w:val="2"/>
        <w:spacing w:before="120" w:after="120"/>
        <w:ind w:firstLine="240"/>
        <w:rPr>
          <w:rFonts w:hint="eastAsia" w:ascii="宋体" w:hAnsi="宋体" w:eastAsia="宋体" w:cs="宋体"/>
          <w:bCs/>
          <w:color w:val="auto"/>
          <w:sz w:val="21"/>
          <w:szCs w:val="24"/>
          <w:highlight w:val="none"/>
        </w:rPr>
      </w:pPr>
      <w:bookmarkStart w:id="15" w:name="_Toc82873323"/>
      <w:bookmarkStart w:id="16" w:name="_Toc82338240"/>
      <w:r>
        <w:rPr>
          <w:rFonts w:hint="eastAsia" w:ascii="宋体" w:hAnsi="宋体" w:eastAsia="宋体" w:cs="宋体"/>
          <w:bCs/>
          <w:color w:val="auto"/>
          <w:sz w:val="21"/>
          <w:szCs w:val="24"/>
          <w:highlight w:val="none"/>
        </w:rPr>
        <w:t>1.1 实施依据及适用范围</w:t>
      </w:r>
    </w:p>
    <w:p w14:paraId="05563F73">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kern w:val="0"/>
          <w:sz w:val="21"/>
          <w:szCs w:val="16"/>
          <w:highlight w:val="none"/>
        </w:rPr>
        <w:t>1.1.1实施依据：本次采购工作按照《中华人民共和国政府采购法》、《中华人民共和国政府采购法实施条例》、《浙江省政府采购项目电子交易管理暂行办法</w:t>
      </w:r>
      <w:r>
        <w:rPr>
          <w:rFonts w:hint="eastAsia" w:ascii="宋体" w:hAnsi="宋体" w:eastAsia="宋体" w:cs="宋体"/>
          <w:color w:val="auto"/>
          <w:kern w:val="0"/>
          <w:sz w:val="21"/>
          <w:szCs w:val="16"/>
          <w:highlight w:val="none"/>
        </w:rPr>
        <w:t>》、浙财采监[2022]3号等政府采购有关法律、法规、规章、文件的规定组织和实施；</w:t>
      </w:r>
    </w:p>
    <w:p w14:paraId="62888983">
      <w:pPr>
        <w:autoSpaceDN w:val="0"/>
        <w:spacing w:line="360" w:lineRule="auto"/>
        <w:ind w:firstLine="371" w:firstLineChars="177"/>
        <w:jc w:val="left"/>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1.1.2本竞争性磋商文件适用于</w:t>
      </w:r>
      <w:r>
        <w:rPr>
          <w:rFonts w:hint="eastAsia" w:ascii="宋体" w:hAnsi="宋体" w:cs="宋体"/>
          <w:b/>
          <w:color w:val="auto"/>
          <w:kern w:val="0"/>
          <w:sz w:val="21"/>
          <w:szCs w:val="16"/>
          <w:highlight w:val="none"/>
          <w:u w:val="single"/>
          <w:lang w:eastAsia="zh-CN"/>
        </w:rPr>
        <w:t>浙江中医药大学文磊教授实验室改造项目</w:t>
      </w:r>
      <w:r>
        <w:rPr>
          <w:rFonts w:hint="eastAsia" w:ascii="宋体" w:hAnsi="宋体" w:eastAsia="宋体" w:cs="宋体"/>
          <w:b/>
          <w:color w:val="auto"/>
          <w:kern w:val="0"/>
          <w:sz w:val="21"/>
          <w:szCs w:val="16"/>
          <w:highlight w:val="none"/>
          <w:u w:val="single"/>
        </w:rPr>
        <w:t>（项目编号：</w:t>
      </w:r>
      <w:r>
        <w:rPr>
          <w:rFonts w:hint="eastAsia" w:ascii="宋体" w:hAnsi="宋体" w:cs="宋体"/>
          <w:b/>
          <w:color w:val="auto"/>
          <w:kern w:val="0"/>
          <w:sz w:val="21"/>
          <w:szCs w:val="16"/>
          <w:highlight w:val="none"/>
          <w:u w:val="single"/>
          <w:lang w:eastAsia="zh-CN"/>
        </w:rPr>
        <w:t>CTZB-2025060529</w:t>
      </w:r>
      <w:r>
        <w:rPr>
          <w:rFonts w:hint="eastAsia" w:ascii="宋体" w:hAnsi="宋体" w:eastAsia="宋体" w:cs="宋体"/>
          <w:b/>
          <w:color w:val="auto"/>
          <w:kern w:val="0"/>
          <w:sz w:val="21"/>
          <w:szCs w:val="16"/>
          <w:highlight w:val="none"/>
          <w:u w:val="single"/>
        </w:rPr>
        <w:t>）</w:t>
      </w:r>
      <w:r>
        <w:rPr>
          <w:rFonts w:hint="eastAsia" w:ascii="宋体" w:hAnsi="宋体" w:eastAsia="宋体" w:cs="宋体"/>
          <w:color w:val="auto"/>
          <w:kern w:val="0"/>
          <w:sz w:val="21"/>
          <w:szCs w:val="16"/>
          <w:highlight w:val="none"/>
        </w:rPr>
        <w:t>的采购、响应、磋商、评标、定标、验收、合同履约、付款等（法律、法规另有规定的，从其规定）。</w:t>
      </w:r>
    </w:p>
    <w:p w14:paraId="5A388589">
      <w:pPr>
        <w:pStyle w:val="2"/>
        <w:spacing w:before="120" w:after="120"/>
        <w:ind w:firstLine="240"/>
        <w:rPr>
          <w:rFonts w:hint="eastAsia" w:ascii="宋体" w:hAnsi="宋体" w:eastAsia="宋体" w:cs="宋体"/>
          <w:color w:val="auto"/>
          <w:sz w:val="21"/>
          <w:szCs w:val="16"/>
          <w:highlight w:val="none"/>
        </w:rPr>
      </w:pPr>
      <w:r>
        <w:rPr>
          <w:rFonts w:hint="eastAsia" w:ascii="宋体" w:hAnsi="宋体" w:eastAsia="宋体" w:cs="宋体"/>
          <w:bCs/>
          <w:color w:val="auto"/>
          <w:sz w:val="21"/>
          <w:szCs w:val="24"/>
          <w:highlight w:val="none"/>
        </w:rPr>
        <w:t xml:space="preserve">1.2 </w:t>
      </w:r>
      <w:r>
        <w:rPr>
          <w:rFonts w:hint="eastAsia" w:ascii="宋体" w:hAnsi="宋体" w:eastAsia="宋体" w:cs="宋体"/>
          <w:color w:val="auto"/>
          <w:sz w:val="21"/>
          <w:szCs w:val="16"/>
          <w:highlight w:val="none"/>
        </w:rPr>
        <w:t>项目基本信息</w:t>
      </w:r>
    </w:p>
    <w:p w14:paraId="185ED6B0">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1.2.1项目名称：</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767B56C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1.2.2项目编号：</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B9ECC30">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1.2.3采购内容：</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413C86FF">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1.2.4最高限价：</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0DB9FD7B">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1.2.5资金落实情况：</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C997651">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1.2.6采购人：</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17D17A4C">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1.2.7采购代理机构：</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7E6FA575">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1.2.8交易方式：</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FB8D2B5">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1.2.9电子交易平台：</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49978B9E">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1.2.10工期：</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02563E2D">
      <w:pPr>
        <w:pStyle w:val="2"/>
        <w:spacing w:before="120" w:after="120"/>
        <w:ind w:firstLine="240"/>
        <w:rPr>
          <w:rFonts w:hint="eastAsia" w:ascii="宋体" w:hAnsi="宋体" w:eastAsia="宋体" w:cs="宋体"/>
          <w:bCs/>
          <w:color w:val="auto"/>
          <w:sz w:val="21"/>
          <w:szCs w:val="24"/>
          <w:highlight w:val="none"/>
        </w:rPr>
      </w:pPr>
      <w:r>
        <w:rPr>
          <w:rFonts w:hint="eastAsia" w:ascii="宋体" w:hAnsi="宋体" w:eastAsia="宋体" w:cs="宋体"/>
          <w:bCs/>
          <w:color w:val="auto"/>
          <w:sz w:val="21"/>
          <w:szCs w:val="24"/>
          <w:highlight w:val="none"/>
        </w:rPr>
        <w:t>1.3 采购方式和采购组织类型</w:t>
      </w:r>
    </w:p>
    <w:p w14:paraId="29CC72E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1.3.1采购方式：</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color w:val="auto"/>
          <w:sz w:val="21"/>
          <w:szCs w:val="16"/>
          <w:highlight w:val="none"/>
        </w:rPr>
        <w:t>；</w:t>
      </w:r>
    </w:p>
    <w:p w14:paraId="3B6D91D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1.3.2采购组织类型：</w:t>
      </w:r>
      <w:r>
        <w:rPr>
          <w:rFonts w:hint="eastAsia" w:ascii="宋体" w:hAnsi="宋体" w:eastAsia="宋体" w:cs="宋体"/>
          <w:b/>
          <w:color w:val="auto"/>
          <w:sz w:val="21"/>
          <w:szCs w:val="16"/>
          <w:highlight w:val="none"/>
          <w:u w:val="single"/>
        </w:rPr>
        <w:t>分散采购-分散委托中介</w:t>
      </w:r>
      <w:r>
        <w:rPr>
          <w:rFonts w:hint="eastAsia" w:ascii="宋体" w:hAnsi="宋体" w:eastAsia="宋体" w:cs="宋体"/>
          <w:b/>
          <w:color w:val="auto"/>
          <w:kern w:val="0"/>
          <w:sz w:val="21"/>
          <w:szCs w:val="16"/>
          <w:highlight w:val="none"/>
        </w:rPr>
        <w:t>。</w:t>
      </w:r>
    </w:p>
    <w:p w14:paraId="1E96DA17">
      <w:pPr>
        <w:pStyle w:val="2"/>
        <w:spacing w:before="120" w:after="120"/>
        <w:ind w:firstLine="240"/>
        <w:rPr>
          <w:rFonts w:hint="eastAsia" w:ascii="宋体" w:hAnsi="宋体" w:eastAsia="宋体" w:cs="宋体"/>
          <w:color w:val="auto"/>
          <w:sz w:val="21"/>
          <w:szCs w:val="16"/>
          <w:highlight w:val="none"/>
        </w:rPr>
      </w:pPr>
      <w:r>
        <w:rPr>
          <w:rFonts w:hint="eastAsia" w:ascii="宋体" w:hAnsi="宋体" w:eastAsia="宋体" w:cs="宋体"/>
          <w:bCs/>
          <w:color w:val="auto"/>
          <w:sz w:val="21"/>
          <w:szCs w:val="24"/>
          <w:highlight w:val="none"/>
        </w:rPr>
        <w:t>1.4 合格供应商资格要</w:t>
      </w:r>
      <w:r>
        <w:rPr>
          <w:rFonts w:hint="eastAsia" w:ascii="宋体" w:hAnsi="宋体" w:eastAsia="宋体" w:cs="宋体"/>
          <w:color w:val="auto"/>
          <w:sz w:val="21"/>
          <w:szCs w:val="16"/>
          <w:highlight w:val="none"/>
        </w:rPr>
        <w:t>求</w:t>
      </w:r>
    </w:p>
    <w:p w14:paraId="0593A2E7">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1.4.1合格供应商“基本资格”要求：</w:t>
      </w:r>
      <w:r>
        <w:rPr>
          <w:rFonts w:hint="eastAsia" w:ascii="宋体" w:hAnsi="宋体" w:eastAsia="宋体" w:cs="宋体"/>
          <w:b/>
          <w:color w:val="auto"/>
          <w:kern w:val="0"/>
          <w:sz w:val="21"/>
          <w:szCs w:val="16"/>
          <w:highlight w:val="none"/>
          <w:u w:val="single"/>
        </w:rPr>
        <w:t>见《第一章 竞争性磋商公告》</w:t>
      </w:r>
      <w:r>
        <w:rPr>
          <w:rFonts w:hint="eastAsia" w:ascii="宋体" w:hAnsi="宋体" w:eastAsia="宋体" w:cs="宋体"/>
          <w:color w:val="auto"/>
          <w:kern w:val="0"/>
          <w:sz w:val="21"/>
          <w:szCs w:val="16"/>
          <w:highlight w:val="none"/>
        </w:rPr>
        <w:t>；</w:t>
      </w:r>
    </w:p>
    <w:p w14:paraId="191793D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1.4.2合格供应商“特定资格”要求：</w:t>
      </w:r>
      <w:r>
        <w:rPr>
          <w:rFonts w:hint="eastAsia" w:ascii="宋体" w:hAnsi="宋体" w:eastAsia="宋体" w:cs="宋体"/>
          <w:b/>
          <w:color w:val="auto"/>
          <w:kern w:val="0"/>
          <w:sz w:val="21"/>
          <w:szCs w:val="16"/>
          <w:highlight w:val="none"/>
          <w:u w:val="single"/>
        </w:rPr>
        <w:t>见《第一章 竞争性磋商公告》</w:t>
      </w:r>
      <w:r>
        <w:rPr>
          <w:rFonts w:hint="eastAsia" w:ascii="宋体" w:hAnsi="宋体" w:eastAsia="宋体" w:cs="宋体"/>
          <w:color w:val="auto"/>
          <w:kern w:val="0"/>
          <w:sz w:val="21"/>
          <w:szCs w:val="16"/>
          <w:highlight w:val="none"/>
        </w:rPr>
        <w:t>。</w:t>
      </w:r>
    </w:p>
    <w:p w14:paraId="5291CAC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1.5 定义</w:t>
      </w:r>
    </w:p>
    <w:p w14:paraId="4DF2480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1.5.1“采购人”：</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指依法进行政府采购的国家机关、事业单位、团体组织，即政府采购合同中的“甲方”</w:t>
      </w:r>
      <w:r>
        <w:rPr>
          <w:rFonts w:hint="eastAsia" w:ascii="宋体" w:hAnsi="宋体" w:eastAsia="宋体" w:cs="宋体"/>
          <w:b/>
          <w:color w:val="auto"/>
          <w:kern w:val="0"/>
          <w:sz w:val="21"/>
          <w:szCs w:val="16"/>
          <w:highlight w:val="none"/>
        </w:rPr>
        <w:t>（本项目的采购人是指“</w:t>
      </w:r>
      <w:r>
        <w:rPr>
          <w:rFonts w:hint="eastAsia" w:ascii="宋体" w:hAnsi="宋体" w:eastAsia="宋体" w:cs="宋体"/>
          <w:b/>
          <w:color w:val="auto"/>
          <w:sz w:val="21"/>
          <w:szCs w:val="16"/>
          <w:highlight w:val="none"/>
          <w:u w:val="single"/>
          <w:lang w:eastAsia="zh-CN"/>
        </w:rPr>
        <w:t>浙江中医药大学</w:t>
      </w:r>
      <w:r>
        <w:rPr>
          <w:rFonts w:hint="eastAsia" w:ascii="宋体" w:hAnsi="宋体" w:eastAsia="宋体" w:cs="宋体"/>
          <w:b/>
          <w:color w:val="auto"/>
          <w:kern w:val="0"/>
          <w:sz w:val="21"/>
          <w:szCs w:val="16"/>
          <w:highlight w:val="none"/>
        </w:rPr>
        <w:t>”）</w:t>
      </w:r>
      <w:r>
        <w:rPr>
          <w:rFonts w:hint="eastAsia" w:ascii="宋体" w:hAnsi="宋体" w:eastAsia="宋体" w:cs="宋体"/>
          <w:color w:val="auto"/>
          <w:kern w:val="0"/>
          <w:sz w:val="21"/>
          <w:szCs w:val="16"/>
          <w:highlight w:val="none"/>
        </w:rPr>
        <w:t>；</w:t>
      </w:r>
    </w:p>
    <w:p w14:paraId="26E0C27E">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1.5.2“采购代理机构”：</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指受采购人委托，在委托的范围内办理采购事宜的机构</w:t>
      </w:r>
      <w:r>
        <w:rPr>
          <w:rFonts w:hint="eastAsia" w:ascii="宋体" w:hAnsi="宋体" w:eastAsia="宋体" w:cs="宋体"/>
          <w:b/>
          <w:color w:val="auto"/>
          <w:kern w:val="0"/>
          <w:sz w:val="21"/>
          <w:szCs w:val="16"/>
          <w:highlight w:val="none"/>
        </w:rPr>
        <w:t>（本项目的采购代理机构是指“</w:t>
      </w:r>
      <w:r>
        <w:rPr>
          <w:rFonts w:hint="eastAsia" w:ascii="宋体" w:hAnsi="宋体" w:eastAsia="宋体" w:cs="宋体"/>
          <w:b/>
          <w:color w:val="auto"/>
          <w:kern w:val="0"/>
          <w:sz w:val="21"/>
          <w:szCs w:val="16"/>
          <w:highlight w:val="none"/>
          <w:u w:val="single"/>
        </w:rPr>
        <w:t>浙江省成套招标代理有限公司</w:t>
      </w:r>
      <w:r>
        <w:rPr>
          <w:rFonts w:hint="eastAsia" w:ascii="宋体" w:hAnsi="宋体" w:eastAsia="宋体" w:cs="宋体"/>
          <w:b/>
          <w:color w:val="auto"/>
          <w:kern w:val="0"/>
          <w:sz w:val="21"/>
          <w:szCs w:val="16"/>
          <w:highlight w:val="none"/>
        </w:rPr>
        <w:t>”）</w:t>
      </w:r>
      <w:r>
        <w:rPr>
          <w:rFonts w:hint="eastAsia" w:ascii="宋体" w:hAnsi="宋体" w:eastAsia="宋体" w:cs="宋体"/>
          <w:color w:val="auto"/>
          <w:kern w:val="0"/>
          <w:sz w:val="21"/>
          <w:szCs w:val="16"/>
          <w:highlight w:val="none"/>
        </w:rPr>
        <w:t>；</w:t>
      </w:r>
    </w:p>
    <w:p w14:paraId="4BAD8508">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1.5.3“采购组织机构”：</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指采购人和受采购人委托的采购代理机构；</w:t>
      </w:r>
    </w:p>
    <w:p w14:paraId="5FAAF6FD">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1.5.4“磋商响应供应商”（或磋商供应商或供应商）：</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指响应采购、参加投标竞争的法人、其他组织或者自然人；</w:t>
      </w:r>
    </w:p>
    <w:p w14:paraId="2CFC966C">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1.5.5“磋商响应供应商代表”：</w:t>
      </w:r>
      <w:r>
        <w:rPr>
          <w:rFonts w:hint="eastAsia" w:ascii="宋体" w:hAnsi="宋体" w:eastAsia="宋体" w:cs="宋体"/>
          <w:color w:val="auto"/>
          <w:sz w:val="21"/>
          <w:szCs w:val="16"/>
          <w:highlight w:val="none"/>
        </w:rPr>
        <w:t>是指参加本项目磋商活动的磋商响应供应商的法定代表人或法定代表人授权代表；</w:t>
      </w:r>
    </w:p>
    <w:p w14:paraId="36693E5B">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1.5.6“</w:t>
      </w:r>
      <w:r>
        <w:rPr>
          <w:rFonts w:hint="eastAsia" w:ascii="宋体" w:hAnsi="宋体" w:eastAsia="宋体" w:cs="宋体"/>
          <w:b/>
          <w:color w:val="auto"/>
          <w:sz w:val="21"/>
          <w:szCs w:val="16"/>
          <w:highlight w:val="none"/>
        </w:rPr>
        <w:t>磋商联合体</w:t>
      </w:r>
      <w:r>
        <w:rPr>
          <w:rFonts w:hint="eastAsia" w:ascii="宋体" w:hAnsi="宋体" w:eastAsia="宋体" w:cs="宋体"/>
          <w:b/>
          <w:color w:val="auto"/>
          <w:kern w:val="0"/>
          <w:sz w:val="21"/>
          <w:szCs w:val="16"/>
          <w:highlight w:val="none"/>
        </w:rPr>
        <w:t>”</w:t>
      </w:r>
      <w:r>
        <w:rPr>
          <w:rFonts w:hint="eastAsia" w:ascii="宋体" w:hAnsi="宋体" w:eastAsia="宋体" w:cs="宋体"/>
          <w:b/>
          <w:color w:val="auto"/>
          <w:sz w:val="21"/>
          <w:szCs w:val="16"/>
          <w:highlight w:val="none"/>
        </w:rPr>
        <w:t>：</w:t>
      </w:r>
      <w:r>
        <w:rPr>
          <w:rFonts w:hint="eastAsia" w:ascii="宋体" w:hAnsi="宋体" w:eastAsia="宋体" w:cs="宋体"/>
          <w:color w:val="auto"/>
          <w:sz w:val="21"/>
          <w:szCs w:val="16"/>
          <w:highlight w:val="none"/>
        </w:rPr>
        <w:t>是指两个或以上供应商组成联合体，以一个磋商响应供应商的身份参加磋商响应；</w:t>
      </w:r>
    </w:p>
    <w:p w14:paraId="22E357BD">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1.5.7“成交供应商”（或中标供应商）：</w:t>
      </w:r>
      <w:r>
        <w:rPr>
          <w:rFonts w:hint="eastAsia" w:ascii="宋体" w:hAnsi="宋体" w:eastAsia="宋体" w:cs="宋体"/>
          <w:color w:val="auto"/>
          <w:kern w:val="0"/>
          <w:sz w:val="21"/>
          <w:szCs w:val="16"/>
          <w:highlight w:val="none"/>
        </w:rPr>
        <w:t>是指经磋商小组推荐并经采购人确认的成交单位，</w:t>
      </w:r>
      <w:r>
        <w:rPr>
          <w:rFonts w:hint="eastAsia" w:ascii="宋体" w:hAnsi="宋体" w:eastAsia="宋体" w:cs="宋体"/>
          <w:b/>
          <w:color w:val="auto"/>
          <w:kern w:val="0"/>
          <w:sz w:val="21"/>
          <w:szCs w:val="16"/>
          <w:highlight w:val="none"/>
        </w:rPr>
        <w:t>即政府采购合同中的“承包人”</w:t>
      </w:r>
      <w:r>
        <w:rPr>
          <w:rFonts w:hint="eastAsia" w:ascii="宋体" w:hAnsi="宋体" w:eastAsia="宋体" w:cs="宋体"/>
          <w:color w:val="auto"/>
          <w:kern w:val="0"/>
          <w:sz w:val="21"/>
          <w:szCs w:val="16"/>
          <w:highlight w:val="none"/>
        </w:rPr>
        <w:t>；</w:t>
      </w:r>
    </w:p>
    <w:p w14:paraId="7E43AB09">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1.5.8“同级政府采购监督管理部门”：是指“</w:t>
      </w:r>
      <w:r>
        <w:rPr>
          <w:rFonts w:hint="eastAsia" w:ascii="宋体" w:hAnsi="宋体" w:eastAsia="宋体" w:cs="宋体"/>
          <w:b/>
          <w:color w:val="auto"/>
          <w:kern w:val="0"/>
          <w:sz w:val="21"/>
          <w:szCs w:val="16"/>
          <w:highlight w:val="none"/>
          <w:u w:val="single"/>
        </w:rPr>
        <w:t>浙江省财政厅政府采购监管处、浙江省政府采购行政裁决服务中心（杭州）</w:t>
      </w:r>
      <w:r>
        <w:rPr>
          <w:rFonts w:hint="eastAsia" w:ascii="宋体" w:hAnsi="宋体" w:eastAsia="宋体" w:cs="宋体"/>
          <w:b/>
          <w:color w:val="auto"/>
          <w:kern w:val="0"/>
          <w:sz w:val="21"/>
          <w:szCs w:val="16"/>
          <w:highlight w:val="none"/>
        </w:rPr>
        <w:t>”；</w:t>
      </w:r>
    </w:p>
    <w:p w14:paraId="1C6B73D5">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sz w:val="21"/>
          <w:szCs w:val="16"/>
          <w:highlight w:val="none"/>
        </w:rPr>
        <w:t>1.5.9“中小企业（含中型、小型、微型）”：</w:t>
      </w:r>
      <w:r>
        <w:rPr>
          <w:rFonts w:hint="eastAsia" w:ascii="宋体" w:hAnsi="宋体" w:eastAsia="宋体" w:cs="宋体"/>
          <w:color w:val="auto"/>
          <w:kern w:val="0"/>
          <w:sz w:val="21"/>
          <w:szCs w:val="16"/>
          <w:highlight w:val="none"/>
        </w:rPr>
        <w:t>是指在中华人民共和国境内依法设立，依据国务院批准的中小企业划分标准（工信部联企业[2011]300号）确定的中型企业、小型企业和微型企业（与大企业的负责人为同一人，或者与大企业存在直接控股、管理关系的除外）。</w:t>
      </w:r>
      <w:r>
        <w:rPr>
          <w:rFonts w:hint="eastAsia" w:ascii="宋体" w:hAnsi="宋体" w:eastAsia="宋体" w:cs="宋体"/>
          <w:b/>
          <w:bCs/>
          <w:color w:val="auto"/>
          <w:kern w:val="0"/>
          <w:sz w:val="21"/>
          <w:szCs w:val="16"/>
          <w:highlight w:val="none"/>
        </w:rPr>
        <w:t>符合中小企业划分标准（工信部联企业[2011]300号）的个体工商户在政府采购活动中视同中小企业。</w:t>
      </w:r>
    </w:p>
    <w:p w14:paraId="147D1706">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1.5.10“监狱企业”：</w:t>
      </w:r>
      <w:r>
        <w:rPr>
          <w:rFonts w:hint="eastAsia" w:ascii="宋体" w:hAnsi="宋体" w:eastAsia="宋体" w:cs="宋体"/>
          <w:color w:val="auto"/>
          <w:kern w:val="0"/>
          <w:sz w:val="21"/>
          <w:szCs w:val="16"/>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auto"/>
          <w:kern w:val="0"/>
          <w:sz w:val="21"/>
          <w:szCs w:val="16"/>
          <w:highlight w:val="none"/>
          <w:lang w:eastAsia="zh-CN"/>
        </w:rPr>
        <w:t>；</w:t>
      </w:r>
    </w:p>
    <w:p w14:paraId="786D02C7">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1.5.11“残疾人福利性单位”：</w:t>
      </w:r>
      <w:r>
        <w:rPr>
          <w:rFonts w:hint="eastAsia" w:ascii="宋体" w:hAnsi="宋体" w:eastAsia="宋体" w:cs="宋体"/>
          <w:color w:val="auto"/>
          <w:kern w:val="0"/>
          <w:sz w:val="21"/>
          <w:szCs w:val="16"/>
          <w:highlight w:val="none"/>
        </w:rPr>
        <w:t>是指符合《财政部 民政部 中国残疾人联合会关于促进残疾人就业政府采购政策的通知》（财库〔2017〕141号）的规定单位。</w:t>
      </w:r>
      <w:r>
        <w:rPr>
          <w:rFonts w:hint="eastAsia" w:ascii="宋体" w:hAnsi="宋体" w:eastAsia="宋体" w:cs="宋体"/>
          <w:b/>
          <w:bCs/>
          <w:color w:val="auto"/>
          <w:kern w:val="0"/>
          <w:sz w:val="21"/>
          <w:szCs w:val="16"/>
          <w:highlight w:val="none"/>
        </w:rPr>
        <w:t>在政府采购活动中，残疾人福利性单位视同小型、微型企业。</w:t>
      </w:r>
    </w:p>
    <w:p w14:paraId="4D0B8DD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1.5.12“项目”：</w:t>
      </w:r>
      <w:r>
        <w:rPr>
          <w:rFonts w:hint="eastAsia" w:ascii="宋体" w:hAnsi="宋体" w:eastAsia="宋体" w:cs="宋体"/>
          <w:color w:val="auto"/>
          <w:kern w:val="0"/>
          <w:sz w:val="21"/>
          <w:szCs w:val="16"/>
          <w:highlight w:val="none"/>
        </w:rPr>
        <w:t>是指磋商响应供应商按竞争性磋商文件规定向采购人提供的货物或服务或工程；</w:t>
      </w:r>
    </w:p>
    <w:p w14:paraId="42B22AB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1.5.13“书面形式”：</w:t>
      </w:r>
      <w:r>
        <w:rPr>
          <w:rFonts w:hint="eastAsia" w:ascii="宋体" w:hAnsi="宋体" w:eastAsia="宋体" w:cs="宋体"/>
          <w:color w:val="auto"/>
          <w:kern w:val="0"/>
          <w:sz w:val="21"/>
          <w:szCs w:val="16"/>
          <w:highlight w:val="none"/>
        </w:rPr>
        <w:t>是指加盖有单位公章的信函、传真、电子扫描件等；</w:t>
      </w:r>
    </w:p>
    <w:p w14:paraId="564EDD16">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1.5.14“个人有效身份证明”：</w:t>
      </w:r>
      <w:r>
        <w:rPr>
          <w:rFonts w:hint="eastAsia" w:ascii="宋体" w:hAnsi="宋体" w:eastAsia="宋体" w:cs="宋体"/>
          <w:color w:val="auto"/>
          <w:kern w:val="0"/>
          <w:sz w:val="21"/>
          <w:szCs w:val="16"/>
          <w:highlight w:val="none"/>
        </w:rPr>
        <w:t>是指有效的居民身份证、临时居民身份证、护照、驾驶证等，有期限规定的证件在有效期内方为有效；</w:t>
      </w:r>
    </w:p>
    <w:p w14:paraId="6E8FC399">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1.5.15“制造商”：</w:t>
      </w:r>
      <w:r>
        <w:rPr>
          <w:rFonts w:hint="eastAsia" w:ascii="宋体" w:hAnsi="宋体" w:eastAsia="宋体" w:cs="宋体"/>
          <w:color w:val="auto"/>
          <w:kern w:val="0"/>
          <w:sz w:val="21"/>
          <w:szCs w:val="16"/>
          <w:highlight w:val="none"/>
        </w:rPr>
        <w:t>是指拥有投标产品自主知识产权的单位；</w:t>
      </w:r>
    </w:p>
    <w:p w14:paraId="33063196">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1.5.16“竞争性磋商文件（或磋商文件或采购文件）”：</w:t>
      </w:r>
      <w:r>
        <w:rPr>
          <w:rFonts w:hint="eastAsia" w:ascii="宋体" w:hAnsi="宋体" w:eastAsia="宋体" w:cs="宋体"/>
          <w:color w:val="auto"/>
          <w:kern w:val="0"/>
          <w:sz w:val="21"/>
          <w:szCs w:val="16"/>
          <w:highlight w:val="none"/>
        </w:rPr>
        <w:t>是指本文件；</w:t>
      </w:r>
    </w:p>
    <w:p w14:paraId="676F9E2E">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1.5.17“进口产品”：</w:t>
      </w:r>
      <w:r>
        <w:rPr>
          <w:rFonts w:hint="eastAsia" w:ascii="宋体" w:hAnsi="宋体" w:eastAsia="宋体" w:cs="宋体"/>
          <w:color w:val="auto"/>
          <w:kern w:val="0"/>
          <w:sz w:val="21"/>
          <w:szCs w:val="16"/>
          <w:highlight w:val="none"/>
        </w:rPr>
        <w:t>是指通过中国海关报关验放进入中国境内且产自关境外的产品；</w:t>
      </w:r>
    </w:p>
    <w:p w14:paraId="44BC9CC1">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1.5.18“实质性条款（或要求）”：</w:t>
      </w:r>
      <w:r>
        <w:rPr>
          <w:rFonts w:hint="eastAsia" w:ascii="宋体" w:hAnsi="宋体" w:eastAsia="宋体" w:cs="宋体"/>
          <w:b/>
          <w:color w:val="auto"/>
          <w:kern w:val="0"/>
          <w:sz w:val="21"/>
          <w:szCs w:val="16"/>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宋体" w:hAnsi="宋体" w:eastAsia="宋体" w:cs="宋体"/>
          <w:b/>
          <w:color w:val="auto"/>
          <w:kern w:val="0"/>
          <w:sz w:val="21"/>
          <w:szCs w:val="16"/>
          <w:highlight w:val="none"/>
        </w:rPr>
        <w:t>；</w:t>
      </w:r>
    </w:p>
    <w:p w14:paraId="19EA7787">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1.5.19“重大偏离”或“保留”：</w:t>
      </w:r>
      <w:r>
        <w:rPr>
          <w:rFonts w:hint="eastAsia" w:ascii="宋体" w:hAnsi="宋体" w:eastAsia="宋体" w:cs="宋体"/>
          <w:color w:val="auto"/>
          <w:sz w:val="21"/>
          <w:szCs w:val="16"/>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0A3EDAE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sz w:val="21"/>
          <w:szCs w:val="16"/>
          <w:highlight w:val="none"/>
        </w:rPr>
        <w:t>1.5.20“细微偏离”</w:t>
      </w:r>
      <w:r>
        <w:rPr>
          <w:rFonts w:hint="eastAsia" w:ascii="宋体" w:hAnsi="宋体" w:eastAsia="宋体" w:cs="宋体"/>
          <w:color w:val="auto"/>
          <w:sz w:val="21"/>
          <w:szCs w:val="16"/>
          <w:highlight w:val="none"/>
        </w:rPr>
        <w:t>：是指磋商响应文件对磋商文件的非实质性内容存在不完全响应或不响应。</w:t>
      </w:r>
    </w:p>
    <w:p w14:paraId="5AC8EC4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1.6 投标委托</w:t>
      </w:r>
    </w:p>
    <w:p w14:paraId="0B319AD4">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kern w:val="0"/>
          <w:sz w:val="21"/>
          <w:szCs w:val="16"/>
          <w:highlight w:val="none"/>
        </w:rPr>
        <w:t>磋商响应供应商可以授权其单位的其他在职员工全权代表其处理与本次磋商有关的事项，但其授权代表必须持有法出具的《法人授权委托书》（格式见第六章磋商响应文件格式），《法人授权委托书》</w:t>
      </w:r>
      <w:r>
        <w:rPr>
          <w:rFonts w:hint="eastAsia" w:ascii="宋体" w:hAnsi="宋体" w:eastAsia="宋体" w:cs="宋体"/>
          <w:b/>
          <w:color w:val="auto"/>
          <w:sz w:val="21"/>
          <w:szCs w:val="16"/>
          <w:highlight w:val="none"/>
        </w:rPr>
        <w:t>必须经法人（单位）盖章，否则视为无效授权（等同未提供）。</w:t>
      </w:r>
    </w:p>
    <w:p w14:paraId="136E1C9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1.7 联合体磋商响应</w:t>
      </w:r>
    </w:p>
    <w:p w14:paraId="2D79C283">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1.7.1是否接受联合体磋商响应：</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BEC928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1.7.2《磋商须知前附表》规定接受联合体磋商的，参加磋商的联合体应遵守以下规定：</w:t>
      </w:r>
    </w:p>
    <w:p w14:paraId="285754A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（1）两个或以上供应商可以组成一个联合体，以一个磋商响应供应商的身份共同参加磋商；</w:t>
      </w:r>
    </w:p>
    <w:p w14:paraId="14F1ADE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（2）两个或以上供应商组成联合体参加本项目磋商响应的，在登记获取竞争性磋商文件时应予以说明备注，并在资格文件中递交《</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》，未递交《</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》的联合体无效；</w:t>
      </w:r>
    </w:p>
    <w:p w14:paraId="5255E67A">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023B2D1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（4）联合体各方之间须签订《</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》，明确约定联合体各方承担的工作和相应的责任，在《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》中指定本项目主办人，并将《</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》作为磋商响应文件组成的一部分；本项目的主体、关键性工作须由主办人完成，并在《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》中进行说明；</w:t>
      </w:r>
    </w:p>
    <w:p w14:paraId="0492D8E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（5）联合体各方签订《</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》后，不得再以自己名义单独在本项目中参加磋商，也不得组成新的联合体参加本项目磋商；</w:t>
      </w:r>
    </w:p>
    <w:p w14:paraId="5FEFAD4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（6）联合体各方共同与采购人签订采购合同，就采购合同约定的事项对采购人承担连带责任；</w:t>
      </w:r>
    </w:p>
    <w:p w14:paraId="6D4613E1">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（7）联合体磋商响应文件应由主办人按规定进行签章；</w:t>
      </w:r>
    </w:p>
    <w:p w14:paraId="11525D58">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（8）采购代理服务费可由主办人一方缴纳，也可以由联合体各方共同缴纳（具体缴纳金额须在《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》中明确）。</w:t>
      </w:r>
    </w:p>
    <w:p w14:paraId="1D53425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1.8 进口产品磋商响应</w:t>
      </w:r>
    </w:p>
    <w:p w14:paraId="7C35BA51">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1.8.1是否允许进口产品磋商响应：</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5DE56C3">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1.8.2</w:t>
      </w:r>
      <w:r>
        <w:rPr>
          <w:rFonts w:hint="eastAsia" w:ascii="宋体" w:hAnsi="宋体" w:eastAsia="宋体" w:cs="宋体"/>
          <w:b/>
          <w:color w:val="auto"/>
          <w:kern w:val="0"/>
          <w:sz w:val="21"/>
          <w:szCs w:val="16"/>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宋体" w:hAnsi="宋体" w:eastAsia="宋体" w:cs="宋体"/>
          <w:b/>
          <w:color w:val="auto"/>
          <w:kern w:val="0"/>
          <w:sz w:val="21"/>
          <w:szCs w:val="16"/>
          <w:highlight w:val="none"/>
        </w:rPr>
        <w:t>。</w:t>
      </w:r>
    </w:p>
    <w:p w14:paraId="0CE70BA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1.9 磋商费用</w:t>
      </w:r>
    </w:p>
    <w:p w14:paraId="1B09BE1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1.9.1不论磋商结果如何，磋商响应供应商均应自行承担所有与投标有关的全部费用，采购组织机构概不负责；</w:t>
      </w:r>
    </w:p>
    <w:p w14:paraId="38CE906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1.9.2合同实施过程中，成交供应商须与采购人积极配合。成交供应商自行承担本次采购活动中所发生的全部费用。</w:t>
      </w:r>
    </w:p>
    <w:p w14:paraId="7AD81F7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1.10 语言文字及计量单位</w:t>
      </w:r>
    </w:p>
    <w:p w14:paraId="4750824B">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1.10.1语言文字：</w:t>
      </w:r>
      <w:r>
        <w:rPr>
          <w:rFonts w:hint="eastAsia" w:ascii="宋体" w:hAnsi="宋体" w:eastAsia="宋体" w:cs="宋体"/>
          <w:color w:val="auto"/>
          <w:kern w:val="0"/>
          <w:sz w:val="21"/>
          <w:szCs w:val="16"/>
          <w:highlight w:val="none"/>
        </w:rPr>
        <w:t>除专业术语、签名、盖章、名称等特殊情形外，与本次采购工作有关的所有材料、来往函电语言均应使用中文，专业术语、名称应附有中文注释。</w:t>
      </w:r>
      <w:r>
        <w:rPr>
          <w:rFonts w:hint="eastAsia" w:ascii="宋体" w:hAnsi="宋体" w:eastAsia="宋体" w:cs="宋体"/>
          <w:b/>
          <w:color w:val="auto"/>
          <w:kern w:val="0"/>
          <w:sz w:val="21"/>
          <w:szCs w:val="16"/>
          <w:highlight w:val="none"/>
        </w:rPr>
        <w:t>仅以中文以外的文字表述的材料视同未提供。</w:t>
      </w:r>
    </w:p>
    <w:p w14:paraId="748B4968">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1.10.2计量单位：</w:t>
      </w:r>
      <w:r>
        <w:rPr>
          <w:rFonts w:hint="eastAsia" w:ascii="宋体" w:hAnsi="宋体" w:eastAsia="宋体" w:cs="宋体"/>
          <w:color w:val="auto"/>
          <w:kern w:val="0"/>
          <w:sz w:val="21"/>
          <w:szCs w:val="16"/>
          <w:highlight w:val="none"/>
        </w:rPr>
        <w:t>竞争性磋商文件已有明确规定的，使用竞争性磋商文件规定的计量单位；</w:t>
      </w:r>
      <w:r>
        <w:rPr>
          <w:rFonts w:hint="eastAsia" w:ascii="宋体" w:hAnsi="宋体" w:eastAsia="宋体" w:cs="宋体"/>
          <w:b/>
          <w:color w:val="auto"/>
          <w:kern w:val="0"/>
          <w:sz w:val="21"/>
          <w:szCs w:val="16"/>
          <w:highlight w:val="none"/>
        </w:rPr>
        <w:t>竞争性磋商文件没有规定的，应采用中华人民共和国法定计量单位，否则视同未响应。</w:t>
      </w:r>
    </w:p>
    <w:p w14:paraId="7EEA426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1.11 现场勘查</w:t>
      </w:r>
    </w:p>
    <w:p w14:paraId="0E3F44D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1.11.1现场勘查时间、地点、联系人：</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543B11E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785B8641">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1.11.3供应商应自行前往规定的地点参加现场勘查，因参加现场勘查而发生的所有费用由供应商自行承担；</w:t>
      </w:r>
    </w:p>
    <w:p w14:paraId="29F08818">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1.11.4现场勘查过程中，供应商应注意勘查安全，除采购人的原因外，供应商在踏勘现场中所发生的人员伤亡和财产损失由供应商自行承担；</w:t>
      </w:r>
    </w:p>
    <w:p w14:paraId="5B858D7A">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1.11.5采购人在现场勘查中介绍的场地和相关的周边环境情况，仅供供应商在编制磋商响应文件时参考，采购人不对供应商据此作出的判断和决策负责。</w:t>
      </w:r>
    </w:p>
    <w:p w14:paraId="729EBDCA">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1.12 标前答疑会</w:t>
      </w:r>
    </w:p>
    <w:p w14:paraId="5E6D0B4C">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1.12.1标前答疑会时间、地点：</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623657EE">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1.12.2前附表规定召开标前答疑会的，采购组织机构按《磋商须知前附表》规定的时间和地点召开标前答疑会，澄清供应商提出的问题；</w:t>
      </w:r>
    </w:p>
    <w:p w14:paraId="41750E5E">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1.12.3供应商应在答疑会时间的2日前，以书面形式将需要提出的问题送达采购组织机构，以便采购组织机构在会议期间澄清；</w:t>
      </w:r>
    </w:p>
    <w:p w14:paraId="608535C4">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56FE91B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1.13 关联供应商投标限制</w:t>
      </w:r>
    </w:p>
    <w:p w14:paraId="73FA286B">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本采购文件所称“关联企业”，是指存在关联关系的企业；“关联关系”的界定适用《中华人民共和国公司法》相关规定。</w:t>
      </w:r>
    </w:p>
    <w:p w14:paraId="292C270B">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1.13.1单位负责人为同一人或者存在直接控股、管理关系的不同供应商，不得同时参加同一合同项下的政府采购活动，否则相关供应商的资格均作“不合格”处理。</w:t>
      </w:r>
    </w:p>
    <w:p w14:paraId="360D3C4E">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1.13.2存在以下利害关系的不同供应商，不得同时参加同一合同项下的政府采购活动，否则相关供应商的投标响应均作无效处理：</w:t>
      </w:r>
    </w:p>
    <w:p w14:paraId="3FDE9BA7">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（1）法定代表人或负责人或实际控制人是夫妻关系；</w:t>
      </w:r>
    </w:p>
    <w:p w14:paraId="65F35AE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（2）法定代表人或负责人或实际控制人是直系血亲关系；</w:t>
      </w:r>
    </w:p>
    <w:p w14:paraId="6B67AEA7">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（3）法定代表人或负责人或实际控制人存在三代以内旁系血亲关系；</w:t>
      </w:r>
    </w:p>
    <w:p w14:paraId="7253E2A6">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（4）法定代表人或负责人或实际控制人存在近姻亲关系；</w:t>
      </w:r>
    </w:p>
    <w:p w14:paraId="14ED13A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（5）法定代表人或负责人或实际控制人存在股份控制或实际控制关系；</w:t>
      </w:r>
    </w:p>
    <w:p w14:paraId="15476F1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（6）存在共同直接或间接投资设立子公司、联营企业和合营企业情况；</w:t>
      </w:r>
    </w:p>
    <w:p w14:paraId="34D5AE7B">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（7）存在分级代理或代销关系、同一生产制造商关系、管理关系、重要业务（占主营业务收入50%以上）或重要财务往来关系（如融资）等其他实质性控制关系。</w:t>
      </w:r>
    </w:p>
    <w:p w14:paraId="2F9C83A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1.13.3除单一来源采购项目外，为采购项目提供整体设计、规范编制或者项目管理、监理、检测等服务的供应商，不得再参加该采购项目的其他采购活动，相关磋商响应供应商的</w:t>
      </w:r>
      <w:r>
        <w:rPr>
          <w:rFonts w:hint="eastAsia" w:ascii="宋体" w:hAnsi="宋体" w:eastAsia="宋体" w:cs="宋体"/>
          <w:b/>
          <w:color w:val="auto"/>
          <w:kern w:val="0"/>
          <w:sz w:val="21"/>
          <w:szCs w:val="16"/>
          <w:highlight w:val="none"/>
        </w:rPr>
        <w:t>磋商响应</w:t>
      </w:r>
      <w:r>
        <w:rPr>
          <w:rFonts w:hint="eastAsia" w:ascii="宋体" w:hAnsi="宋体" w:eastAsia="宋体" w:cs="宋体"/>
          <w:b/>
          <w:color w:val="auto"/>
          <w:kern w:val="0"/>
          <w:sz w:val="21"/>
          <w:szCs w:val="16"/>
          <w:highlight w:val="none"/>
        </w:rPr>
        <w:t>作无效处理。</w:t>
      </w:r>
    </w:p>
    <w:p w14:paraId="09198642">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522F6AC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1.14 特殊供应商投标规定</w:t>
      </w:r>
    </w:p>
    <w:p w14:paraId="59189D63">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根据《关于规范政府采购供应商资格设定及资格审查的通知（浙财采监【2013】24号）》第六条规定，</w:t>
      </w:r>
      <w:r>
        <w:rPr>
          <w:rFonts w:hint="eastAsia" w:ascii="宋体" w:hAnsi="宋体" w:eastAsia="宋体" w:cs="宋体"/>
          <w:b/>
          <w:color w:val="auto"/>
          <w:kern w:val="0"/>
          <w:sz w:val="21"/>
          <w:szCs w:val="16"/>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CA94A8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1.15 转包、分包</w:t>
      </w:r>
    </w:p>
    <w:p w14:paraId="23EB628E">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1.15.1转包：</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3B343A8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1.15.2分包：</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399DF8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1.15.3《磋商须知前附表》中声明允许分包的，磋商响应供应商可以根据竞争性磋商文件的规定和采购项目的实际情况进行分包。</w:t>
      </w:r>
      <w:r>
        <w:rPr>
          <w:rFonts w:hint="eastAsia" w:ascii="宋体" w:hAnsi="宋体" w:eastAsia="宋体" w:cs="宋体"/>
          <w:b/>
          <w:color w:val="auto"/>
          <w:kern w:val="0"/>
          <w:sz w:val="21"/>
          <w:szCs w:val="16"/>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宋体" w:hAnsi="宋体" w:eastAsia="宋体" w:cs="宋体"/>
          <w:color w:val="auto"/>
          <w:kern w:val="0"/>
          <w:sz w:val="21"/>
          <w:szCs w:val="16"/>
          <w:highlight w:val="none"/>
        </w:rPr>
        <w:t>政府采购合同分包履行的，中标/成交供应商就采购项目和分包项目向采购人负责，分包供应商就分包项目承担责任。</w:t>
      </w:r>
    </w:p>
    <w:p w14:paraId="342367E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1.16 供应商询问、质疑和投诉</w:t>
      </w:r>
    </w:p>
    <w:p w14:paraId="41A09A79">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1.16.1询问：</w:t>
      </w:r>
      <w:r>
        <w:rPr>
          <w:rFonts w:hint="eastAsia" w:ascii="宋体" w:hAnsi="宋体" w:eastAsia="宋体" w:cs="宋体"/>
          <w:color w:val="auto"/>
          <w:kern w:val="0"/>
          <w:sz w:val="21"/>
          <w:szCs w:val="16"/>
          <w:highlight w:val="none"/>
        </w:rPr>
        <w:t>在采购活动中供应商可以就某一事项向采购组织机构发出“询问”，采购组织机构将在收到供应商“询问”后三个工作日内予以答复，但规定不予答复的内容除外。</w:t>
      </w:r>
    </w:p>
    <w:p w14:paraId="3035F3DA">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1.16.2质</w:t>
      </w:r>
      <w:r>
        <w:rPr>
          <w:rFonts w:hint="eastAsia" w:ascii="宋体" w:hAnsi="宋体" w:eastAsia="宋体" w:cs="宋体"/>
          <w:b/>
          <w:color w:val="auto"/>
          <w:kern w:val="0"/>
          <w:sz w:val="21"/>
          <w:szCs w:val="16"/>
          <w:highlight w:val="none"/>
        </w:rPr>
        <w:t>疑：供应商认为竞争性磋商文件、采购过程和采购结果使自己的合法权益受到损害的，应当在知道或者应知其权益受到损害之日起七个工作日内，以书面形式一次性向采购人、采购代理</w:t>
      </w:r>
      <w:r>
        <w:rPr>
          <w:rFonts w:hint="eastAsia" w:ascii="宋体" w:hAnsi="宋体" w:eastAsia="宋体" w:cs="宋体"/>
          <w:b/>
          <w:color w:val="auto"/>
          <w:kern w:val="0"/>
          <w:sz w:val="21"/>
          <w:szCs w:val="16"/>
          <w:highlight w:val="none"/>
        </w:rPr>
        <w:t>机构提出质疑。</w:t>
      </w:r>
    </w:p>
    <w:p w14:paraId="0A6BA04C">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1.16.2.1上述所指“供应商应知其权益受到损害之日”，是指：</w:t>
      </w:r>
    </w:p>
    <w:p w14:paraId="79454FB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w:t>
      </w:r>
      <w:r>
        <w:rPr>
          <w:rFonts w:hint="eastAsia" w:ascii="宋体" w:hAnsi="宋体" w:eastAsia="宋体" w:cs="宋体"/>
          <w:color w:val="auto"/>
          <w:kern w:val="0"/>
          <w:sz w:val="21"/>
          <w:szCs w:val="16"/>
          <w:highlight w:val="none"/>
          <w:u w:val="single"/>
        </w:rPr>
        <w:t>对</w:t>
      </w:r>
      <w:r>
        <w:rPr>
          <w:rFonts w:hint="eastAsia" w:ascii="宋体" w:hAnsi="宋体" w:eastAsia="宋体" w:cs="宋体"/>
          <w:color w:val="auto"/>
          <w:sz w:val="21"/>
          <w:szCs w:val="16"/>
          <w:highlight w:val="none"/>
          <w:u w:val="single"/>
        </w:rPr>
        <w:t>竞争性磋商文件</w:t>
      </w:r>
      <w:r>
        <w:rPr>
          <w:rFonts w:hint="eastAsia" w:ascii="宋体" w:hAnsi="宋体" w:eastAsia="宋体" w:cs="宋体"/>
          <w:color w:val="auto"/>
          <w:kern w:val="0"/>
          <w:sz w:val="21"/>
          <w:szCs w:val="16"/>
          <w:highlight w:val="none"/>
          <w:u w:val="single"/>
        </w:rPr>
        <w:t>提出质疑的，</w:t>
      </w:r>
      <w:r>
        <w:rPr>
          <w:rFonts w:hint="eastAsia" w:ascii="宋体" w:hAnsi="宋体" w:eastAsia="宋体" w:cs="宋体"/>
          <w:color w:val="auto"/>
          <w:sz w:val="21"/>
          <w:szCs w:val="16"/>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宋体" w:hAnsi="宋体" w:eastAsia="宋体" w:cs="宋体"/>
          <w:b/>
          <w:bCs/>
          <w:color w:val="auto"/>
          <w:sz w:val="21"/>
          <w:szCs w:val="16"/>
          <w:highlight w:val="none"/>
          <w:u w:val="single"/>
        </w:rPr>
        <w:t>但</w:t>
      </w:r>
      <w:r>
        <w:rPr>
          <w:rFonts w:hint="eastAsia" w:ascii="宋体" w:hAnsi="宋体" w:eastAsia="宋体" w:cs="宋体"/>
          <w:b/>
          <w:color w:val="auto"/>
          <w:kern w:val="0"/>
          <w:sz w:val="21"/>
          <w:szCs w:val="16"/>
          <w:highlight w:val="none"/>
          <w:u w:val="single"/>
        </w:rPr>
        <w:t>须在磋商响应文件提交截止时间前提出</w:t>
      </w:r>
      <w:r>
        <w:rPr>
          <w:rFonts w:hint="eastAsia" w:ascii="宋体" w:hAnsi="宋体" w:eastAsia="宋体" w:cs="宋体"/>
          <w:color w:val="auto"/>
          <w:kern w:val="0"/>
          <w:sz w:val="21"/>
          <w:szCs w:val="16"/>
          <w:highlight w:val="none"/>
        </w:rPr>
        <w:t>；</w:t>
      </w:r>
    </w:p>
    <w:p w14:paraId="7A087FA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w:t>
      </w:r>
      <w:r>
        <w:rPr>
          <w:rFonts w:hint="eastAsia" w:ascii="宋体" w:hAnsi="宋体" w:eastAsia="宋体" w:cs="宋体"/>
          <w:color w:val="auto"/>
          <w:kern w:val="0"/>
          <w:sz w:val="21"/>
          <w:szCs w:val="16"/>
          <w:highlight w:val="none"/>
          <w:u w:val="single"/>
        </w:rPr>
        <w:t>对采购过程提出质疑的，为各采购程序环节结束之日</w:t>
      </w:r>
      <w:r>
        <w:rPr>
          <w:rFonts w:hint="eastAsia" w:ascii="宋体" w:hAnsi="宋体" w:eastAsia="宋体" w:cs="宋体"/>
          <w:color w:val="auto"/>
          <w:kern w:val="0"/>
          <w:sz w:val="21"/>
          <w:szCs w:val="16"/>
          <w:highlight w:val="none"/>
        </w:rPr>
        <w:t>；</w:t>
      </w:r>
    </w:p>
    <w:p w14:paraId="5E2AF03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w:t>
      </w:r>
      <w:r>
        <w:rPr>
          <w:rFonts w:hint="eastAsia" w:ascii="宋体" w:hAnsi="宋体" w:eastAsia="宋体" w:cs="宋体"/>
          <w:color w:val="auto"/>
          <w:kern w:val="0"/>
          <w:sz w:val="21"/>
          <w:szCs w:val="16"/>
          <w:highlight w:val="none"/>
          <w:u w:val="single"/>
        </w:rPr>
        <w:t>对成交结果提出质疑的，为成交结果公告期限届满之日</w:t>
      </w:r>
      <w:r>
        <w:rPr>
          <w:rFonts w:hint="eastAsia" w:ascii="宋体" w:hAnsi="宋体" w:eastAsia="宋体" w:cs="宋体"/>
          <w:color w:val="auto"/>
          <w:kern w:val="0"/>
          <w:sz w:val="21"/>
          <w:szCs w:val="16"/>
          <w:highlight w:val="none"/>
        </w:rPr>
        <w:t>。</w:t>
      </w:r>
    </w:p>
    <w:p w14:paraId="524B7EE9">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1.16.2.2</w:t>
      </w:r>
      <w:r>
        <w:rPr>
          <w:rFonts w:hint="eastAsia" w:ascii="宋体" w:hAnsi="宋体" w:eastAsia="宋体" w:cs="宋体"/>
          <w:b/>
          <w:color w:val="auto"/>
          <w:sz w:val="21"/>
          <w:szCs w:val="22"/>
          <w:highlight w:val="none"/>
        </w:rPr>
        <w:t>供应商提出质疑应当递交质疑函和必要的证明材料。</w:t>
      </w:r>
      <w:r>
        <w:rPr>
          <w:rFonts w:hint="eastAsia" w:ascii="宋体" w:hAnsi="宋体" w:eastAsia="宋体" w:cs="宋体"/>
          <w:color w:val="auto"/>
          <w:sz w:val="21"/>
          <w:szCs w:val="22"/>
          <w:highlight w:val="none"/>
        </w:rPr>
        <w:t>质疑函应当包括下列内容：</w:t>
      </w:r>
    </w:p>
    <w:p w14:paraId="336A2561">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（1）供应商的姓名或者名称、地址、邮编、联系人及联系电话；</w:t>
      </w:r>
    </w:p>
    <w:p w14:paraId="457DE0EA">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（2）质疑项目的名称、编号；</w:t>
      </w:r>
    </w:p>
    <w:p w14:paraId="71A99A53">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（3）具体、明确的质疑事项和与质疑事项相关的请求；</w:t>
      </w:r>
    </w:p>
    <w:p w14:paraId="454F89E4">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（4）事实依据；</w:t>
      </w:r>
    </w:p>
    <w:p w14:paraId="7EBBC1A3">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（5）必要的法律依据；</w:t>
      </w:r>
    </w:p>
    <w:p w14:paraId="68C2BB66">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（6）提出质疑的日期。</w:t>
      </w:r>
    </w:p>
    <w:p w14:paraId="195DA0E9">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22"/>
          <w:highlight w:val="none"/>
        </w:rPr>
        <w:t>供应商为自然人的，应当由本人签字并附上身份证明；供应商为法人或者其他组织的，应当由法定代表人或者其授权代表签字或者盖章，并加盖公章。</w:t>
      </w:r>
    </w:p>
    <w:p w14:paraId="5FD8E5C7">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1.16.2.3供应商认可采购组织机构在质疑答复程序中启用的调查和重新评审等程序，在该程序操作过程未明显违反法律禁止性规定时，不得再提出异议；</w:t>
      </w:r>
    </w:p>
    <w:p w14:paraId="47F51B3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auto"/>
          <w:kern w:val="0"/>
          <w:sz w:val="21"/>
          <w:szCs w:val="16"/>
          <w:highlight w:val="none"/>
          <w:u w:val="single"/>
        </w:rPr>
        <w:t>即通过合法手段获得的能够证明供应商的诉求成立的必要材料</w:t>
      </w:r>
      <w:r>
        <w:rPr>
          <w:rFonts w:hint="eastAsia" w:ascii="宋体" w:hAnsi="宋体" w:eastAsia="宋体" w:cs="宋体"/>
          <w:b/>
          <w:color w:val="auto"/>
          <w:kern w:val="0"/>
          <w:sz w:val="21"/>
          <w:szCs w:val="16"/>
          <w:highlight w:val="none"/>
        </w:rPr>
        <w:t>）；</w:t>
      </w:r>
    </w:p>
    <w:p w14:paraId="165FC73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1.16.3投诉：</w:t>
      </w:r>
      <w:r>
        <w:rPr>
          <w:rFonts w:hint="eastAsia" w:ascii="宋体" w:hAnsi="宋体" w:eastAsia="宋体" w:cs="宋体"/>
          <w:color w:val="auto"/>
          <w:kern w:val="0"/>
          <w:sz w:val="21"/>
          <w:szCs w:val="16"/>
          <w:highlight w:val="none"/>
        </w:rPr>
        <w:t>供应商对采购组织机构的质疑答复不满意或者采购组织机构未在规定时间内作出答复的，可以在答复期满后十五个工作日内向同级采购监管部门投诉。</w:t>
      </w:r>
    </w:p>
    <w:p w14:paraId="7E2CBFF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1.17 其他说明</w:t>
      </w:r>
    </w:p>
    <w:p w14:paraId="0F87CA2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宋体" w:hAnsi="宋体" w:eastAsia="宋体" w:cs="宋体"/>
          <w:color w:val="auto"/>
          <w:kern w:val="0"/>
          <w:sz w:val="21"/>
          <w:szCs w:val="16"/>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DC96C4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19701B8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1.17.3磋商响应供应商应仔细阅读竞争性磋商文件的所有内容，按照竞争性磋商文件的要求递交《磋商响应文件》。</w:t>
      </w:r>
      <w:r>
        <w:rPr>
          <w:rFonts w:hint="eastAsia" w:ascii="宋体" w:hAnsi="宋体" w:eastAsia="宋体" w:cs="宋体"/>
          <w:bCs/>
          <w:color w:val="auto"/>
          <w:kern w:val="0"/>
          <w:sz w:val="21"/>
          <w:szCs w:val="16"/>
          <w:highlight w:val="none"/>
        </w:rPr>
        <w:t>《磋商响应文件》应对竞争性磋商文件的要求作出实质性响应，并对所提供的全部资料的真实性承担法律责任。</w:t>
      </w:r>
    </w:p>
    <w:p w14:paraId="308D477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1FFD4E27">
      <w:pPr>
        <w:pStyle w:val="134"/>
        <w:autoSpaceDN w:val="0"/>
        <w:spacing w:line="360" w:lineRule="auto"/>
        <w:ind w:firstLine="482"/>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16"/>
          <w:highlight w:val="none"/>
        </w:rPr>
        <w:t>1.17.5</w:t>
      </w:r>
      <w:r>
        <w:rPr>
          <w:rFonts w:hint="eastAsia" w:ascii="宋体" w:hAnsi="宋体" w:eastAsia="宋体" w:cs="宋体"/>
          <w:b/>
          <w:bCs/>
          <w:color w:val="auto"/>
          <w:sz w:val="21"/>
          <w:szCs w:val="21"/>
          <w:highlight w:val="none"/>
          <w:u w:val="single"/>
        </w:rPr>
        <w:t>磋商响应供应商对所响应项内的采购内容必须全部进行响应</w:t>
      </w:r>
      <w:r>
        <w:rPr>
          <w:rFonts w:hint="eastAsia" w:ascii="宋体" w:hAnsi="宋体" w:eastAsia="宋体" w:cs="宋体"/>
          <w:b/>
          <w:bCs/>
          <w:color w:val="auto"/>
          <w:sz w:val="21"/>
          <w:szCs w:val="21"/>
          <w:highlight w:val="none"/>
        </w:rPr>
        <w:t>。</w:t>
      </w:r>
    </w:p>
    <w:p w14:paraId="07D1FBC6">
      <w:pPr>
        <w:pStyle w:val="134"/>
        <w:autoSpaceDN w:val="0"/>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16"/>
          <w:highlight w:val="none"/>
        </w:rPr>
        <w:t>1.17.6</w:t>
      </w:r>
      <w:r>
        <w:rPr>
          <w:rFonts w:hint="eastAsia" w:ascii="宋体" w:hAnsi="宋体" w:eastAsia="宋体" w:cs="宋体"/>
          <w:bCs/>
          <w:color w:val="auto"/>
          <w:sz w:val="21"/>
          <w:szCs w:val="21"/>
          <w:highlight w:val="none"/>
        </w:rPr>
        <w:t>竞争性磋商文件中如有描述歧义或前后不一致的地方，磋商小组有权按公平、合理的原则进行评判，但对同一条款的评判适用于每个供应商。</w:t>
      </w:r>
    </w:p>
    <w:p w14:paraId="6DA3B26A">
      <w:pPr>
        <w:pStyle w:val="134"/>
        <w:autoSpaceDN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16"/>
          <w:highlight w:val="none"/>
        </w:rPr>
        <w:t>1.17.7</w:t>
      </w:r>
      <w:r>
        <w:rPr>
          <w:rFonts w:hint="eastAsia" w:ascii="宋体" w:hAnsi="宋体" w:eastAsia="宋体" w:cs="宋体"/>
          <w:bCs/>
          <w:color w:val="auto"/>
          <w:sz w:val="21"/>
          <w:szCs w:val="21"/>
          <w:highlight w:val="none"/>
        </w:rPr>
        <w:t>响应文件的响应内容必须真实、明确、准确。否则，磋商小组将对其作出不利的评审。</w:t>
      </w:r>
    </w:p>
    <w:p w14:paraId="3EF0F2DD">
      <w:pPr>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16"/>
          <w:highlight w:val="none"/>
        </w:rPr>
        <w:t>1.17.8</w:t>
      </w:r>
      <w:r>
        <w:rPr>
          <w:rFonts w:hint="eastAsia"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4D48F21">
      <w:pPr>
        <w:pStyle w:val="4"/>
        <w:autoSpaceDN w:val="0"/>
        <w:spacing w:before="360"/>
        <w:ind w:firstLine="0" w:firstLineChars="0"/>
        <w:rPr>
          <w:rFonts w:hint="eastAsia" w:ascii="宋体" w:hAnsi="宋体" w:eastAsia="宋体" w:cs="宋体"/>
          <w:color w:val="auto"/>
          <w:sz w:val="22"/>
          <w:szCs w:val="22"/>
          <w:highlight w:val="none"/>
        </w:rPr>
      </w:pPr>
      <w:bookmarkStart w:id="17" w:name="_Toc23257"/>
      <w:bookmarkStart w:id="18" w:name="_Toc20894"/>
      <w:r>
        <w:rPr>
          <w:rFonts w:hint="eastAsia" w:ascii="宋体" w:hAnsi="宋体" w:eastAsia="宋体" w:cs="宋体"/>
          <w:color w:val="auto"/>
          <w:sz w:val="22"/>
          <w:szCs w:val="22"/>
          <w:highlight w:val="none"/>
        </w:rPr>
        <w:t>二、</w:t>
      </w:r>
      <w:bookmarkEnd w:id="15"/>
      <w:bookmarkEnd w:id="16"/>
      <w:r>
        <w:rPr>
          <w:rFonts w:hint="eastAsia" w:ascii="宋体" w:hAnsi="宋体" w:eastAsia="宋体" w:cs="宋体"/>
          <w:color w:val="auto"/>
          <w:sz w:val="22"/>
          <w:szCs w:val="22"/>
          <w:highlight w:val="none"/>
        </w:rPr>
        <w:t>落实的政府采购政策</w:t>
      </w:r>
      <w:bookmarkEnd w:id="17"/>
      <w:bookmarkEnd w:id="18"/>
    </w:p>
    <w:p w14:paraId="75B35B4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19" w:name="_Toc82338241"/>
      <w:bookmarkStart w:id="20" w:name="_Toc82873324"/>
      <w:r>
        <w:rPr>
          <w:rFonts w:hint="eastAsia" w:ascii="宋体" w:hAnsi="宋体" w:eastAsia="宋体" w:cs="宋体"/>
          <w:b/>
          <w:bCs/>
          <w:color w:val="auto"/>
          <w:sz w:val="21"/>
          <w:szCs w:val="24"/>
          <w:highlight w:val="none"/>
        </w:rPr>
        <w:t>2.1 支持中小企业发展</w:t>
      </w:r>
    </w:p>
    <w:p w14:paraId="255F34D3">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2.1.1是否专门面向中小企业采购：</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3F22016B">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2.1.2 本项目中小企业划分标准所属行业：</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21B7C634">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2.1.3在政府采购活动中，供应商提供的货物、工程或者服务符合下列情形的，享受中小企业扶持政策：</w:t>
      </w:r>
    </w:p>
    <w:p w14:paraId="475EA916">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29469F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bCs/>
          <w:color w:val="auto"/>
          <w:sz w:val="21"/>
          <w:szCs w:val="16"/>
          <w:highlight w:val="none"/>
        </w:rPr>
        <w:t>（2）在工程采购项目中，工程由中小企业承建，即工程施工单位为中小企业；</w:t>
      </w:r>
    </w:p>
    <w:p w14:paraId="1D64EB95">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（3）在服务采购项目中，服务由中小企业承接，即提供服务的人员为中小企业依照《中华人民共和国劳动合同法》订立劳动合同的从业人员。</w:t>
      </w:r>
    </w:p>
    <w:p w14:paraId="2FA67A84">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以联合体形式参加政府采购活动，联合体各方均为中小企业的，联合体视同中小企业。其中，联合体各方均为小微企业的，联合体视同小微企业。</w:t>
      </w:r>
    </w:p>
    <w:p w14:paraId="46DF175D">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2.1.4对于未预留份额专门面向中小企业采购的采购项目，以及预留份额项目中的非预留部分采购包，对小微企业报价给予5%的扣除，用扣除后的价格参加评审。</w:t>
      </w:r>
    </w:p>
    <w:p w14:paraId="3CEE3C13">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2.1.5接受大中型企业与小微企业组成联合体或者允许大中型企业向一家或者多家小微企业分包的采购项目，对于联合</w:t>
      </w:r>
      <w:r>
        <w:rPr>
          <w:rFonts w:hint="eastAsia" w:ascii="宋体" w:hAnsi="宋体" w:cs="宋体"/>
          <w:color w:val="auto"/>
          <w:sz w:val="21"/>
          <w:szCs w:val="16"/>
          <w:highlight w:val="none"/>
          <w:lang w:val="en-US" w:eastAsia="zh-CN"/>
        </w:rPr>
        <w:t>体</w:t>
      </w:r>
      <w:r>
        <w:rPr>
          <w:rFonts w:hint="eastAsia" w:ascii="宋体" w:hAnsi="宋体" w:eastAsia="宋体" w:cs="宋体"/>
          <w:color w:val="auto"/>
          <w:sz w:val="21"/>
          <w:szCs w:val="16"/>
          <w:highlight w:val="none"/>
        </w:rPr>
        <w:t>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1A10E167">
      <w:pPr>
        <w:autoSpaceDN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16"/>
          <w:highlight w:val="none"/>
        </w:rPr>
        <w:t>2.1.6</w:t>
      </w:r>
      <w:r>
        <w:rPr>
          <w:rFonts w:hint="eastAsia" w:ascii="宋体" w:hAnsi="宋体" w:eastAsia="宋体" w:cs="宋体"/>
          <w:b/>
          <w:bCs/>
          <w:color w:val="auto"/>
          <w:sz w:val="21"/>
          <w:szCs w:val="21"/>
          <w:highlight w:val="none"/>
        </w:rPr>
        <w:t>可享受</w:t>
      </w:r>
      <w:r>
        <w:rPr>
          <w:rFonts w:hint="eastAsia" w:ascii="宋体" w:hAnsi="宋体" w:eastAsia="宋体" w:cs="宋体"/>
          <w:b/>
          <w:bCs/>
          <w:color w:val="auto"/>
          <w:kern w:val="0"/>
          <w:sz w:val="21"/>
          <w:szCs w:val="21"/>
          <w:highlight w:val="none"/>
        </w:rPr>
        <w:t>中小企业扶持政策</w:t>
      </w:r>
      <w:r>
        <w:rPr>
          <w:rFonts w:hint="eastAsia" w:ascii="宋体" w:hAnsi="宋体" w:eastAsia="宋体" w:cs="宋体"/>
          <w:b/>
          <w:bCs/>
          <w:color w:val="auto"/>
          <w:sz w:val="21"/>
          <w:szCs w:val="21"/>
          <w:highlight w:val="none"/>
        </w:rPr>
        <w:t>的供应商应按照磋商响应文件格式要求提供《中小企业声明函》。</w:t>
      </w:r>
    </w:p>
    <w:p w14:paraId="3FAE86D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29642E8">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3F9BDCA9">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ADF670D">
      <w:pPr>
        <w:autoSpaceDN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12462F16">
      <w:pPr>
        <w:autoSpaceDN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2.1.9中小企业享受扶持政策获得政府采购合同的，小微企业不得将合同分包给大中型企业，中型企业不得将合同分包给大型企业。</w:t>
      </w:r>
    </w:p>
    <w:p w14:paraId="5F9BF7E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2.2 节能、环保产品政府采购实施相关规定</w:t>
      </w:r>
    </w:p>
    <w:p w14:paraId="413E4A3D">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39CB2C1">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2.2.2《节能产品政府采购品目清单》详见《关于印发节能产品政府采购品目清单的通知（财库[2019]19号）》（如遇调整，按最新清单执行）。</w:t>
      </w:r>
    </w:p>
    <w:p w14:paraId="3539AE2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39383AFB">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2.2.4《环境标志产品政府采购品目清单》详见《关于印发环境标志产品政府采购品目清单的通知（财库[2019]18号）》（如遇调整，按最新清单执行）。</w:t>
      </w:r>
    </w:p>
    <w:p w14:paraId="4BF6FF4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2.2.5本次采购对属于品目清单范围但不属于政府强制采购产品的，实施优先采购，详见第七章评分标准中有关节能、环保评分内容。</w:t>
      </w:r>
      <w:r>
        <w:rPr>
          <w:rFonts w:hint="eastAsia" w:ascii="宋体" w:hAnsi="宋体" w:eastAsia="宋体" w:cs="宋体"/>
          <w:color w:val="auto"/>
          <w:sz w:val="21"/>
          <w:szCs w:val="16"/>
          <w:highlight w:val="none"/>
        </w:rPr>
        <w:t>供应商在响应文件中提供国家确定的认证机构出具的、处于有效期之内的节能产品或环境标志产品认证证书（扫描件）。</w:t>
      </w:r>
    </w:p>
    <w:p w14:paraId="398A28E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20913EBD">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sz w:val="21"/>
          <w:szCs w:val="16"/>
          <w:highlight w:val="none"/>
        </w:rPr>
        <w:t>2.2.7国家确定的认证机构以国家市场监管总局发布的参与实施政府采购节能产品、环境标志产品认证机构名录为准，详见第八章附件（如遇调整，请以最新公布的为准）。</w:t>
      </w:r>
      <w:bookmarkEnd w:id="19"/>
      <w:bookmarkEnd w:id="20"/>
    </w:p>
    <w:p w14:paraId="04334AD7">
      <w:pPr>
        <w:pStyle w:val="4"/>
        <w:autoSpaceDN w:val="0"/>
        <w:spacing w:before="360"/>
        <w:ind w:firstLine="221" w:firstLineChars="100"/>
        <w:rPr>
          <w:rFonts w:hint="eastAsia" w:ascii="宋体" w:hAnsi="宋体" w:eastAsia="宋体" w:cs="宋体"/>
          <w:color w:val="auto"/>
          <w:sz w:val="22"/>
          <w:szCs w:val="22"/>
          <w:highlight w:val="none"/>
        </w:rPr>
      </w:pPr>
      <w:bookmarkStart w:id="21" w:name="_Toc582"/>
      <w:bookmarkStart w:id="22" w:name="_Toc23444"/>
      <w:r>
        <w:rPr>
          <w:rFonts w:hint="eastAsia" w:ascii="宋体" w:hAnsi="宋体" w:eastAsia="宋体" w:cs="宋体"/>
          <w:color w:val="auto"/>
          <w:sz w:val="22"/>
          <w:szCs w:val="22"/>
          <w:highlight w:val="none"/>
        </w:rPr>
        <w:t>三、竞争性磋商文件</w:t>
      </w:r>
      <w:bookmarkEnd w:id="21"/>
      <w:bookmarkEnd w:id="22"/>
    </w:p>
    <w:p w14:paraId="10948A1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3.1 竞争性磋商文件的组成</w:t>
      </w:r>
    </w:p>
    <w:p w14:paraId="5EE5CD6D">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第一章 竞争性磋商公告；</w:t>
      </w:r>
    </w:p>
    <w:p w14:paraId="1819EA60">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第二章 磋商须知前附表；</w:t>
      </w:r>
    </w:p>
    <w:p w14:paraId="1713BA3A">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第三章 磋商须知；</w:t>
      </w:r>
    </w:p>
    <w:p w14:paraId="5DA07451">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第四章 采购内容及技术要求；</w:t>
      </w:r>
    </w:p>
    <w:p w14:paraId="28918904">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第五章 合同主要条款；</w:t>
      </w:r>
    </w:p>
    <w:p w14:paraId="6D03F9C1">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第六章 磋商响应文件格式；</w:t>
      </w:r>
    </w:p>
    <w:p w14:paraId="4F39EC55">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第七章 评审办法</w:t>
      </w:r>
    </w:p>
    <w:p w14:paraId="6E4608E7">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第八章 附件（如有）；</w:t>
      </w:r>
    </w:p>
    <w:p w14:paraId="70D9AFC8">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竞争性磋商文件的澄清、修改文件以及磋商过程中对磋商文件作出的实质性变动（如有，另册）。</w:t>
      </w:r>
    </w:p>
    <w:p w14:paraId="6C900E9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3.2 竞争性磋商文件的提疑</w:t>
      </w:r>
    </w:p>
    <w:p w14:paraId="7AD9DFB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3.2.1竞争性磋商文件提疑截止时间：</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F57DDB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3.2.2供应商应认真阅读通过“政府采购云平台”获取的竞争性磋商文件，如发现竞争性磋商文件或清单、图纸（如有）中有前后不一致或不清楚或有误的内容，应在“竞争性磋商文件提疑截止时间”前以书面形式向采购组织机构提出，否则造成的一切后果由供应商自行承担，采购组织机构概不负责；</w:t>
      </w:r>
    </w:p>
    <w:p w14:paraId="1B3A74A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3.2.3采购组织机构将在收到供应商递交的《疑问函》后三个工作日内以书面形式答复供应商提出的问题，</w:t>
      </w:r>
      <w:r>
        <w:rPr>
          <w:rFonts w:hint="eastAsia" w:ascii="宋体" w:hAnsi="宋体" w:eastAsia="宋体" w:cs="宋体"/>
          <w:color w:val="auto"/>
          <w:kern w:val="0"/>
          <w:sz w:val="21"/>
          <w:szCs w:val="16"/>
          <w:highlight w:val="none"/>
        </w:rPr>
        <w:t>并将不包含问题来源的答复通知所有已登记获取竞争性磋商文件的供应商。</w:t>
      </w:r>
    </w:p>
    <w:p w14:paraId="2359FD4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3.3 竞争性磋商文件的澄清、修改（更正）</w:t>
      </w:r>
    </w:p>
    <w:p w14:paraId="7F27058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1996AA98">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3.3.2竞争性磋商文件的澄清或者修改内容为竞争性磋商文件的组成部分，对所有参加本次采购活动的供应商均有约束力；</w:t>
      </w:r>
      <w:r>
        <w:rPr>
          <w:rFonts w:hint="eastAsia" w:ascii="宋体" w:hAnsi="宋体" w:eastAsia="宋体" w:cs="宋体"/>
          <w:color w:val="auto"/>
          <w:kern w:val="0"/>
          <w:sz w:val="21"/>
          <w:szCs w:val="16"/>
          <w:highlight w:val="none"/>
        </w:rPr>
        <w:t>当原竞争性磋商文件与澄清、修改的内容就同一事项的表述不一致时，以最后发出的文件为准；</w:t>
      </w:r>
    </w:p>
    <w:p w14:paraId="1EE2E614">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3.3.3竞争性磋商文件的澄清、修改的内容影响到供应商磋商响应文件编制的，采购人或采购代理机构将按相关规定顺延磋商响应文件截止时间及开启时间，使之满足政府采购相关规定；</w:t>
      </w:r>
    </w:p>
    <w:p w14:paraId="41B3C009">
      <w:pPr>
        <w:autoSpaceDN w:val="0"/>
        <w:spacing w:line="360" w:lineRule="auto"/>
        <w:ind w:left="1"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3.3.4供应商收到采购组织机构发出的澄清、修改（更正）文件后，应在24小时内向采购组织机构递交书面回执；</w:t>
      </w:r>
    </w:p>
    <w:p w14:paraId="282CAE55">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3.3.5供应商对收到的澄清、修改（更正）文件内容有疑问的，应当同时在书面回执中加注说明并与采购人或采购代理机构确认，疑问内容应加盖单位公章、写明日期；</w:t>
      </w:r>
    </w:p>
    <w:p w14:paraId="40540D7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3.3.6任何口头形式的答复、说明均不属于竞争性磋商文件的组成部分。</w:t>
      </w:r>
    </w:p>
    <w:p w14:paraId="7B08F34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3.4 竞争性磋商文件的质疑</w:t>
      </w:r>
    </w:p>
    <w:p w14:paraId="2E1511A3">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0D7ACD5">
      <w:pPr>
        <w:pStyle w:val="4"/>
        <w:autoSpaceDN w:val="0"/>
        <w:spacing w:before="360"/>
        <w:ind w:firstLine="221" w:firstLineChars="100"/>
        <w:rPr>
          <w:rFonts w:hint="eastAsia" w:ascii="宋体" w:hAnsi="宋体" w:eastAsia="宋体" w:cs="宋体"/>
          <w:color w:val="auto"/>
          <w:sz w:val="22"/>
          <w:szCs w:val="22"/>
          <w:highlight w:val="none"/>
        </w:rPr>
      </w:pPr>
      <w:bookmarkStart w:id="23" w:name="_Toc11409"/>
      <w:bookmarkStart w:id="24" w:name="_Toc27827"/>
      <w:r>
        <w:rPr>
          <w:rFonts w:hint="eastAsia" w:ascii="宋体" w:hAnsi="宋体" w:eastAsia="宋体" w:cs="宋体"/>
          <w:color w:val="auto"/>
          <w:sz w:val="22"/>
          <w:szCs w:val="22"/>
          <w:highlight w:val="none"/>
        </w:rPr>
        <w:t>四、磋商响应文件</w:t>
      </w:r>
      <w:bookmarkEnd w:id="23"/>
      <w:bookmarkEnd w:id="24"/>
    </w:p>
    <w:p w14:paraId="1ED846B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4.1 磋商响应文件的形式</w:t>
      </w:r>
    </w:p>
    <w:p w14:paraId="4AFBDEB9">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4.1.1磋商响应文件的形式：</w:t>
      </w:r>
      <w:r>
        <w:rPr>
          <w:rFonts w:hint="eastAsia" w:ascii="宋体" w:hAnsi="宋体" w:eastAsia="宋体" w:cs="宋体"/>
          <w:b/>
          <w:color w:val="auto"/>
          <w:sz w:val="21"/>
          <w:szCs w:val="16"/>
          <w:highlight w:val="none"/>
          <w:u w:val="single"/>
        </w:rPr>
        <w:t>电子加密磋商响应文件</w:t>
      </w:r>
      <w:r>
        <w:rPr>
          <w:rFonts w:hint="eastAsia" w:ascii="宋体" w:hAnsi="宋体" w:eastAsia="宋体" w:cs="宋体"/>
          <w:b/>
          <w:color w:val="auto"/>
          <w:sz w:val="21"/>
          <w:szCs w:val="16"/>
          <w:highlight w:val="none"/>
        </w:rPr>
        <w:t>（是指通过“政采云电子交易客户端”完成磋商响应文件编制后生成并加密的数据电文形式的磋商响应文件，文件格式“.jmbs”）。</w:t>
      </w:r>
    </w:p>
    <w:p w14:paraId="51F413D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4.2 磋商响应文件的组成</w:t>
      </w:r>
    </w:p>
    <w:p w14:paraId="7BE8FD88">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4.2.1</w:t>
      </w:r>
      <w:r>
        <w:rPr>
          <w:rFonts w:hint="eastAsia" w:ascii="宋体" w:hAnsi="宋体" w:eastAsia="宋体" w:cs="宋体"/>
          <w:b/>
          <w:color w:val="auto"/>
          <w:sz w:val="21"/>
          <w:szCs w:val="16"/>
          <w:highlight w:val="none"/>
        </w:rPr>
        <w:t>完整的磋商响应文件由《资格文件》、《商务技术文件》和《报价文件》三个部分组成</w:t>
      </w:r>
      <w:r>
        <w:rPr>
          <w:rFonts w:hint="eastAsia" w:ascii="宋体" w:hAnsi="宋体" w:eastAsia="宋体" w:cs="宋体"/>
          <w:b/>
          <w:color w:val="auto"/>
          <w:kern w:val="0"/>
          <w:sz w:val="21"/>
          <w:szCs w:val="20"/>
          <w:highlight w:val="none"/>
        </w:rPr>
        <w:t>（以下统称“磋商响应文件”）。</w:t>
      </w:r>
    </w:p>
    <w:p w14:paraId="4CC7EA42">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4.2.2磋商响应文件内容组成</w:t>
      </w:r>
    </w:p>
    <w:p w14:paraId="5B64A082">
      <w:pPr>
        <w:pStyle w:val="5"/>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tbl>
      <w:tblPr>
        <w:tblStyle w:val="51"/>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14:paraId="552D7C0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14:paraId="7CBC6BE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18"/>
                <w:szCs w:val="21"/>
                <w:highlight w:val="none"/>
              </w:rPr>
              <w:br w:type="page"/>
            </w:r>
            <w:r>
              <w:rPr>
                <w:rFonts w:hint="eastAsia" w:ascii="宋体" w:hAnsi="宋体" w:eastAsia="宋体" w:cs="宋体"/>
                <w:b/>
                <w:color w:val="auto"/>
                <w:sz w:val="21"/>
                <w:szCs w:val="21"/>
                <w:highlight w:val="none"/>
              </w:rPr>
              <w:t>序号</w:t>
            </w:r>
          </w:p>
        </w:tc>
        <w:tc>
          <w:tcPr>
            <w:tcW w:w="8331" w:type="dxa"/>
            <w:shd w:val="clear" w:color="auto" w:fill="DAEEF3"/>
            <w:vAlign w:val="center"/>
          </w:tcPr>
          <w:p w14:paraId="4A27DB02">
            <w:pPr>
              <w:autoSpaceDN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2"/>
                <w:szCs w:val="24"/>
                <w:highlight w:val="none"/>
              </w:rPr>
              <w:t>第一部分</w:t>
            </w:r>
            <w:r>
              <w:rPr>
                <w:rFonts w:hint="eastAsia" w:ascii="宋体" w:hAnsi="宋体" w:eastAsia="宋体" w:cs="宋体"/>
                <w:b/>
                <w:color w:val="auto"/>
                <w:kern w:val="0"/>
                <w:sz w:val="22"/>
                <w:szCs w:val="24"/>
                <w:highlight w:val="none"/>
              </w:rPr>
              <w:t>《资格文件》组成内容及要求【依序编制】</w:t>
            </w:r>
          </w:p>
        </w:tc>
        <w:tc>
          <w:tcPr>
            <w:tcW w:w="721" w:type="dxa"/>
            <w:shd w:val="clear" w:color="auto" w:fill="DAEEF3"/>
            <w:vAlign w:val="center"/>
          </w:tcPr>
          <w:p w14:paraId="3A2C15E0">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w:t>
            </w:r>
          </w:p>
        </w:tc>
      </w:tr>
      <w:tr w14:paraId="41B038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27D7393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9052" w:type="dxa"/>
            <w:gridSpan w:val="2"/>
            <w:shd w:val="clear" w:color="auto" w:fill="FFFF00"/>
            <w:vAlign w:val="center"/>
          </w:tcPr>
          <w:p w14:paraId="70B072EC">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符合“申请人的资格要求”第1条规定的证明文件</w:t>
            </w:r>
          </w:p>
        </w:tc>
      </w:tr>
      <w:tr w14:paraId="09D0F5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BD0708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（1）</w:t>
            </w:r>
          </w:p>
        </w:tc>
        <w:tc>
          <w:tcPr>
            <w:tcW w:w="8331" w:type="dxa"/>
            <w:vAlign w:val="center"/>
          </w:tcPr>
          <w:p w14:paraId="5468DC11">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u w:val="single"/>
              </w:rPr>
              <w:t>资格</w:t>
            </w:r>
            <w:r>
              <w:rPr>
                <w:rFonts w:hint="eastAsia" w:ascii="宋体" w:hAnsi="宋体" w:eastAsia="宋体" w:cs="宋体"/>
                <w:b/>
                <w:color w:val="auto"/>
                <w:kern w:val="0"/>
                <w:sz w:val="21"/>
                <w:szCs w:val="22"/>
                <w:highlight w:val="none"/>
                <w:u w:val="single"/>
              </w:rPr>
              <w:t>承诺书</w:t>
            </w:r>
            <w:r>
              <w:rPr>
                <w:rFonts w:hint="eastAsia" w:ascii="宋体" w:hAnsi="宋体" w:eastAsia="宋体" w:cs="宋体"/>
                <w:color w:val="auto"/>
                <w:sz w:val="21"/>
                <w:szCs w:val="21"/>
                <w:highlight w:val="none"/>
              </w:rPr>
              <w:t>（格式见第六章）</w:t>
            </w:r>
          </w:p>
        </w:tc>
        <w:tc>
          <w:tcPr>
            <w:tcW w:w="721" w:type="dxa"/>
            <w:vAlign w:val="center"/>
          </w:tcPr>
          <w:p w14:paraId="7483EBC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6E65D7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092B55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w:t>
            </w:r>
          </w:p>
        </w:tc>
        <w:tc>
          <w:tcPr>
            <w:tcW w:w="8331" w:type="dxa"/>
            <w:vAlign w:val="center"/>
          </w:tcPr>
          <w:p w14:paraId="0C265B26">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u w:val="single"/>
              </w:rPr>
              <w:t>营业执照（或事业单位法人证书或执业许可证或自然人有效身份证明）</w:t>
            </w:r>
            <w:r>
              <w:rPr>
                <w:rFonts w:hint="eastAsia" w:ascii="宋体" w:hAnsi="宋体" w:eastAsia="宋体" w:cs="宋体"/>
                <w:color w:val="auto"/>
                <w:sz w:val="21"/>
                <w:szCs w:val="21"/>
                <w:highlight w:val="none"/>
              </w:rPr>
              <w:t>（提供扫描件加盖</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供应商公章</w:t>
            </w:r>
            <w:r>
              <w:rPr>
                <w:rFonts w:hint="eastAsia" w:ascii="宋体" w:hAnsi="宋体" w:eastAsia="宋体" w:cs="宋体"/>
                <w:color w:val="auto"/>
                <w:sz w:val="21"/>
                <w:szCs w:val="21"/>
                <w:highlight w:val="none"/>
              </w:rPr>
              <w:t>）</w:t>
            </w:r>
          </w:p>
        </w:tc>
        <w:tc>
          <w:tcPr>
            <w:tcW w:w="721" w:type="dxa"/>
            <w:vAlign w:val="center"/>
          </w:tcPr>
          <w:p w14:paraId="4428D373">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7398FF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790AFC9F">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9052" w:type="dxa"/>
            <w:gridSpan w:val="2"/>
            <w:shd w:val="clear" w:color="auto" w:fill="FFFF00"/>
            <w:vAlign w:val="center"/>
          </w:tcPr>
          <w:p w14:paraId="7B8131F7">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w w:val="90"/>
                <w:kern w:val="0"/>
                <w:sz w:val="21"/>
                <w:szCs w:val="21"/>
                <w:highlight w:val="none"/>
              </w:rPr>
              <w:t>符合“申请人的资格要求”第2条“</w:t>
            </w:r>
            <w:r>
              <w:rPr>
                <w:rFonts w:hint="eastAsia" w:ascii="宋体" w:hAnsi="宋体" w:eastAsia="宋体" w:cs="宋体"/>
                <w:b/>
                <w:color w:val="auto"/>
                <w:w w:val="90"/>
                <w:sz w:val="21"/>
                <w:szCs w:val="21"/>
                <w:highlight w:val="none"/>
              </w:rPr>
              <w:t>落实政府采购政策需满足的资格要求</w:t>
            </w:r>
            <w:r>
              <w:rPr>
                <w:rFonts w:hint="eastAsia" w:ascii="宋体" w:hAnsi="宋体" w:eastAsia="宋体" w:cs="宋体"/>
                <w:b/>
                <w:color w:val="auto"/>
                <w:w w:val="90"/>
                <w:kern w:val="0"/>
                <w:sz w:val="21"/>
                <w:szCs w:val="21"/>
                <w:highlight w:val="none"/>
              </w:rPr>
              <w:t>”规定的证明文件</w:t>
            </w:r>
          </w:p>
        </w:tc>
      </w:tr>
      <w:tr w14:paraId="6DD797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28DF3907">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8331" w:type="dxa"/>
            <w:vAlign w:val="center"/>
          </w:tcPr>
          <w:p w14:paraId="3858B817">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中小企业声明函</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（格式见第六章）</w:t>
            </w:r>
          </w:p>
          <w:p w14:paraId="157C81BD">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提示和说明：</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14:paraId="743550C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22786A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49260828">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9052" w:type="dxa"/>
            <w:gridSpan w:val="2"/>
            <w:shd w:val="clear" w:color="auto" w:fill="FFFF00"/>
            <w:vAlign w:val="center"/>
          </w:tcPr>
          <w:p w14:paraId="46C3F04A">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符合“申请人的资格要求”第3条“本项目的特定资格要求”的证明文件</w:t>
            </w:r>
          </w:p>
        </w:tc>
      </w:tr>
      <w:tr w14:paraId="570BCFA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1841323">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1-3-1</w:t>
            </w:r>
          </w:p>
        </w:tc>
        <w:tc>
          <w:tcPr>
            <w:tcW w:w="8331" w:type="dxa"/>
            <w:vAlign w:val="center"/>
          </w:tcPr>
          <w:p w14:paraId="2F1CCCEE">
            <w:pPr>
              <w:autoSpaceDN w:val="0"/>
              <w:spacing w:line="276" w:lineRule="auto"/>
              <w:jc w:val="left"/>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▲（1）</w:t>
            </w:r>
            <w:r>
              <w:rPr>
                <w:rFonts w:hint="eastAsia" w:ascii="宋体" w:hAnsi="宋体" w:cs="宋体"/>
                <w:b/>
                <w:color w:val="auto"/>
                <w:w w:val="90"/>
                <w:sz w:val="21"/>
                <w:szCs w:val="21"/>
                <w:highlight w:val="none"/>
                <w:lang w:val="en-US" w:eastAsia="zh-CN"/>
              </w:rPr>
              <w:t>同时具有建筑装修装饰工程专业承包二级及以上资质和建筑机电安装工程专业承包三级及以上资质</w:t>
            </w:r>
            <w:r>
              <w:rPr>
                <w:rFonts w:hint="eastAsia" w:ascii="宋体" w:hAnsi="宋体" w:eastAsia="宋体" w:cs="宋体"/>
                <w:b/>
                <w:color w:val="auto"/>
                <w:w w:val="90"/>
                <w:sz w:val="21"/>
                <w:szCs w:val="21"/>
                <w:highlight w:val="none"/>
              </w:rPr>
              <w:t>；</w:t>
            </w:r>
          </w:p>
          <w:p w14:paraId="59650EDC">
            <w:pPr>
              <w:autoSpaceDN w:val="0"/>
              <w:spacing w:line="276" w:lineRule="auto"/>
              <w:jc w:val="left"/>
              <w:rPr>
                <w:rFonts w:hint="eastAsia" w:ascii="宋体" w:hAnsi="宋体" w:cs="宋体"/>
                <w:b/>
                <w:color w:val="auto"/>
                <w:w w:val="90"/>
                <w:sz w:val="21"/>
                <w:szCs w:val="21"/>
                <w:highlight w:val="none"/>
                <w:lang w:eastAsia="zh-CN"/>
              </w:rPr>
            </w:pPr>
            <w:r>
              <w:rPr>
                <w:rFonts w:hint="eastAsia" w:ascii="宋体" w:hAnsi="宋体" w:eastAsia="宋体" w:cs="宋体"/>
                <w:b/>
                <w:color w:val="auto"/>
                <w:w w:val="90"/>
                <w:sz w:val="21"/>
                <w:szCs w:val="21"/>
                <w:highlight w:val="none"/>
              </w:rPr>
              <w:t>▲（2）具有企业《安全生产许可证》</w:t>
            </w:r>
            <w:r>
              <w:rPr>
                <w:rFonts w:hint="eastAsia" w:ascii="宋体" w:hAnsi="宋体" w:cs="宋体"/>
                <w:b/>
                <w:color w:val="auto"/>
                <w:w w:val="90"/>
                <w:sz w:val="21"/>
                <w:szCs w:val="21"/>
                <w:highlight w:val="none"/>
                <w:lang w:eastAsia="zh-CN"/>
              </w:rPr>
              <w:t>。</w:t>
            </w:r>
          </w:p>
          <w:p w14:paraId="195EA525">
            <w:pPr>
              <w:autoSpaceDN w:val="0"/>
              <w:spacing w:line="276" w:lineRule="auto"/>
              <w:jc w:val="left"/>
              <w:rPr>
                <w:rFonts w:hint="eastAsia" w:ascii="宋体" w:hAnsi="宋体" w:eastAsia="宋体" w:cs="宋体"/>
                <w:color w:val="auto"/>
                <w:w w:val="90"/>
                <w:kern w:val="0"/>
                <w:sz w:val="21"/>
                <w:szCs w:val="21"/>
                <w:highlight w:val="none"/>
                <w:lang w:eastAsia="zh-CN"/>
              </w:rPr>
            </w:pPr>
            <w:r>
              <w:rPr>
                <w:rFonts w:hint="eastAsia" w:ascii="宋体" w:hAnsi="宋体" w:cs="宋体"/>
                <w:b/>
                <w:color w:val="auto"/>
                <w:w w:val="90"/>
                <w:sz w:val="21"/>
                <w:szCs w:val="21"/>
                <w:highlight w:val="none"/>
                <w:lang w:eastAsia="zh-CN"/>
              </w:rPr>
              <w:t>▲（</w:t>
            </w:r>
            <w:r>
              <w:rPr>
                <w:rFonts w:hint="eastAsia" w:ascii="宋体" w:hAnsi="宋体" w:cs="宋体"/>
                <w:b/>
                <w:color w:val="auto"/>
                <w:w w:val="90"/>
                <w:sz w:val="21"/>
                <w:szCs w:val="21"/>
                <w:highlight w:val="none"/>
                <w:lang w:val="en-US" w:eastAsia="zh-CN"/>
              </w:rPr>
              <w:t>3</w:t>
            </w:r>
            <w:r>
              <w:rPr>
                <w:rFonts w:hint="eastAsia" w:ascii="宋体" w:hAnsi="宋体" w:cs="宋体"/>
                <w:b/>
                <w:color w:val="auto"/>
                <w:w w:val="90"/>
                <w:sz w:val="21"/>
                <w:szCs w:val="21"/>
                <w:highlight w:val="none"/>
                <w:lang w:eastAsia="zh-CN"/>
              </w:rPr>
              <w:t>）以联合体形式参加本项目磋商的，须签订联合体协议；联合体各方均应满足资格条件。</w:t>
            </w:r>
          </w:p>
        </w:tc>
        <w:tc>
          <w:tcPr>
            <w:tcW w:w="721" w:type="dxa"/>
            <w:vAlign w:val="center"/>
          </w:tcPr>
          <w:p w14:paraId="6BBCD731">
            <w:pPr>
              <w:autoSpaceDN w:val="0"/>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w:t>
            </w:r>
          </w:p>
        </w:tc>
      </w:tr>
      <w:tr w14:paraId="6406EE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C634C24">
            <w:pPr>
              <w:autoSpaceDN w:val="0"/>
              <w:spacing w:line="276" w:lineRule="auto"/>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1-3-</w:t>
            </w:r>
            <w:r>
              <w:rPr>
                <w:rFonts w:hint="eastAsia" w:ascii="宋体" w:hAnsi="宋体" w:cs="宋体"/>
                <w:b/>
                <w:color w:val="auto"/>
                <w:kern w:val="0"/>
                <w:sz w:val="21"/>
                <w:szCs w:val="21"/>
                <w:highlight w:val="none"/>
                <w:lang w:val="en-US" w:eastAsia="zh-CN"/>
              </w:rPr>
              <w:t>2</w:t>
            </w:r>
          </w:p>
        </w:tc>
        <w:tc>
          <w:tcPr>
            <w:tcW w:w="8331" w:type="dxa"/>
            <w:vAlign w:val="center"/>
          </w:tcPr>
          <w:p w14:paraId="1F4154CE">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w w:val="90"/>
                <w:kern w:val="0"/>
                <w:sz w:val="21"/>
                <w:szCs w:val="21"/>
                <w:highlight w:val="none"/>
              </w:rPr>
              <w:t>▲</w:t>
            </w:r>
            <w:r>
              <w:rPr>
                <w:rFonts w:hint="eastAsia" w:ascii="宋体" w:hAnsi="宋体" w:eastAsia="宋体" w:cs="宋体"/>
                <w:b/>
                <w:color w:val="auto"/>
                <w:w w:val="90"/>
                <w:sz w:val="21"/>
                <w:szCs w:val="21"/>
                <w:highlight w:val="none"/>
              </w:rPr>
              <w:t>有效的《</w:t>
            </w:r>
            <w:r>
              <w:rPr>
                <w:rFonts w:hint="eastAsia" w:ascii="宋体" w:hAnsi="宋体" w:cs="宋体"/>
                <w:b/>
                <w:color w:val="auto"/>
                <w:w w:val="90"/>
                <w:sz w:val="21"/>
                <w:szCs w:val="21"/>
                <w:highlight w:val="none"/>
                <w:lang w:eastAsia="zh-CN"/>
              </w:rPr>
              <w:t>联合体协议</w:t>
            </w:r>
            <w:r>
              <w:rPr>
                <w:rFonts w:hint="eastAsia" w:ascii="宋体" w:hAnsi="宋体" w:eastAsia="宋体" w:cs="宋体"/>
                <w:b/>
                <w:color w:val="auto"/>
                <w:w w:val="90"/>
                <w:sz w:val="21"/>
                <w:szCs w:val="21"/>
                <w:highlight w:val="none"/>
              </w:rPr>
              <w:t>》（仅联合体须提供）</w:t>
            </w:r>
            <w:r>
              <w:rPr>
                <w:rFonts w:hint="eastAsia" w:ascii="宋体" w:hAnsi="宋体" w:eastAsia="宋体" w:cs="宋体"/>
                <w:color w:val="auto"/>
                <w:w w:val="90"/>
                <w:sz w:val="21"/>
                <w:szCs w:val="21"/>
                <w:highlight w:val="none"/>
              </w:rPr>
              <w:t>（格式见第六章）</w:t>
            </w:r>
          </w:p>
        </w:tc>
        <w:tc>
          <w:tcPr>
            <w:tcW w:w="721" w:type="dxa"/>
            <w:vAlign w:val="center"/>
          </w:tcPr>
          <w:p w14:paraId="11CF4B1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91C4E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5F59A69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9052" w:type="dxa"/>
            <w:gridSpan w:val="2"/>
            <w:shd w:val="clear" w:color="auto" w:fill="E5DFEC"/>
            <w:vAlign w:val="center"/>
          </w:tcPr>
          <w:p w14:paraId="5CC182A1">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以上</w:t>
            </w:r>
            <w:r>
              <w:rPr>
                <w:rFonts w:hint="eastAsia" w:ascii="宋体" w:hAnsi="宋体" w:eastAsia="宋体" w:cs="宋体"/>
                <w:b/>
                <w:color w:val="auto"/>
                <w:kern w:val="0"/>
                <w:sz w:val="21"/>
                <w:szCs w:val="21"/>
                <w:highlight w:val="none"/>
              </w:rPr>
              <w:t>资格证明文件未提供的，作“资格审查不合格”处理，不得进入后续评标程序。</w:t>
            </w:r>
          </w:p>
        </w:tc>
      </w:tr>
    </w:tbl>
    <w:p w14:paraId="780364D7">
      <w:pPr>
        <w:widowControl/>
        <w:autoSpaceDN w:val="0"/>
        <w:jc w:val="left"/>
        <w:rPr>
          <w:rFonts w:hint="eastAsia" w:ascii="宋体" w:hAnsi="宋体" w:eastAsia="宋体" w:cs="宋体"/>
          <w:color w:val="auto"/>
          <w:sz w:val="21"/>
          <w:szCs w:val="16"/>
          <w:highlight w:val="none"/>
        </w:rPr>
      </w:pPr>
      <w:r>
        <w:rPr>
          <w:rFonts w:hint="eastAsia" w:ascii="宋体" w:hAnsi="宋体" w:eastAsia="宋体" w:cs="宋体"/>
          <w:color w:val="auto"/>
          <w:sz w:val="18"/>
          <w:szCs w:val="21"/>
          <w:highlight w:val="none"/>
        </w:rPr>
        <w:br w:type="page"/>
      </w:r>
    </w:p>
    <w:p w14:paraId="00B98E93">
      <w:pPr>
        <w:pStyle w:val="5"/>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（2）《商务技术文件》</w:t>
      </w:r>
    </w:p>
    <w:tbl>
      <w:tblPr>
        <w:tblStyle w:val="51"/>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809"/>
        <w:gridCol w:w="6491"/>
        <w:gridCol w:w="775"/>
      </w:tblGrid>
      <w:tr w14:paraId="456C81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14:paraId="64D93B88">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序号</w:t>
            </w:r>
          </w:p>
        </w:tc>
        <w:tc>
          <w:tcPr>
            <w:tcW w:w="8300" w:type="dxa"/>
            <w:gridSpan w:val="2"/>
            <w:shd w:val="clear" w:color="auto" w:fill="DAEEF3" w:themeFill="accent5" w:themeFillTint="33"/>
            <w:vAlign w:val="center"/>
          </w:tcPr>
          <w:p w14:paraId="2121780B">
            <w:pPr>
              <w:autoSpaceDN w:val="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第二部分《商务技术文件》组成内容及要求【依序编制】</w:t>
            </w:r>
          </w:p>
        </w:tc>
        <w:tc>
          <w:tcPr>
            <w:tcW w:w="775" w:type="dxa"/>
            <w:shd w:val="clear" w:color="auto" w:fill="DAEEF3" w:themeFill="accent5" w:themeFillTint="33"/>
            <w:vAlign w:val="center"/>
          </w:tcPr>
          <w:p w14:paraId="7A795438">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格式</w:t>
            </w:r>
          </w:p>
        </w:tc>
      </w:tr>
      <w:tr w14:paraId="087F3C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613A1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p>
        </w:tc>
        <w:tc>
          <w:tcPr>
            <w:tcW w:w="8300" w:type="dxa"/>
            <w:gridSpan w:val="2"/>
            <w:shd w:val="clear" w:color="auto" w:fill="FFFFFF" w:themeFill="background1"/>
            <w:vAlign w:val="center"/>
          </w:tcPr>
          <w:p w14:paraId="29AE1B7B">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《商务技术文件》封面</w:t>
            </w:r>
            <w:r>
              <w:rPr>
                <w:rFonts w:hint="eastAsia" w:ascii="宋体" w:hAnsi="宋体" w:eastAsia="宋体" w:cs="宋体"/>
                <w:color w:val="auto"/>
                <w:sz w:val="21"/>
                <w:szCs w:val="21"/>
                <w:highlight w:val="none"/>
              </w:rPr>
              <w:t>（格式见第六章）</w:t>
            </w:r>
          </w:p>
        </w:tc>
        <w:tc>
          <w:tcPr>
            <w:tcW w:w="775" w:type="dxa"/>
            <w:shd w:val="clear" w:color="auto" w:fill="FFFFFF" w:themeFill="background1"/>
            <w:vAlign w:val="center"/>
          </w:tcPr>
          <w:p w14:paraId="648A7F7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435D51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2CB37BD4">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p>
        </w:tc>
        <w:tc>
          <w:tcPr>
            <w:tcW w:w="8300" w:type="dxa"/>
            <w:gridSpan w:val="2"/>
            <w:shd w:val="clear" w:color="auto" w:fill="FFFFFF" w:themeFill="background1"/>
            <w:vAlign w:val="center"/>
          </w:tcPr>
          <w:p w14:paraId="14E3B713">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关于《</w:t>
            </w:r>
            <w:r>
              <w:rPr>
                <w:rFonts w:hint="eastAsia" w:ascii="宋体" w:hAnsi="宋体" w:cs="宋体"/>
                <w:b/>
                <w:color w:val="auto"/>
                <w:kern w:val="0"/>
                <w:sz w:val="21"/>
                <w:szCs w:val="21"/>
                <w:highlight w:val="none"/>
                <w:lang w:eastAsia="zh-CN"/>
              </w:rPr>
              <w:t>磋商响应文件</w:t>
            </w:r>
            <w:r>
              <w:rPr>
                <w:rFonts w:hint="eastAsia" w:ascii="宋体" w:hAnsi="宋体" w:eastAsia="宋体" w:cs="宋体"/>
                <w:b/>
                <w:color w:val="auto"/>
                <w:kern w:val="0"/>
                <w:sz w:val="21"/>
                <w:szCs w:val="21"/>
                <w:highlight w:val="none"/>
              </w:rPr>
              <w:t>》所有内容真实、有效的承诺函</w:t>
            </w:r>
            <w:r>
              <w:rPr>
                <w:rFonts w:hint="eastAsia" w:ascii="宋体" w:hAnsi="宋体" w:eastAsia="宋体" w:cs="宋体"/>
                <w:color w:val="auto"/>
                <w:sz w:val="21"/>
                <w:szCs w:val="21"/>
                <w:highlight w:val="none"/>
              </w:rPr>
              <w:t>（格式见第六章）</w:t>
            </w:r>
          </w:p>
        </w:tc>
        <w:tc>
          <w:tcPr>
            <w:tcW w:w="775" w:type="dxa"/>
            <w:shd w:val="clear" w:color="auto" w:fill="FFFFFF" w:themeFill="background1"/>
            <w:vAlign w:val="center"/>
          </w:tcPr>
          <w:p w14:paraId="421B019F">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1952A2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00E39037">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p>
        </w:tc>
        <w:tc>
          <w:tcPr>
            <w:tcW w:w="8300" w:type="dxa"/>
            <w:gridSpan w:val="2"/>
            <w:shd w:val="clear" w:color="auto" w:fill="FFFFFF" w:themeFill="background1"/>
            <w:vAlign w:val="center"/>
          </w:tcPr>
          <w:p w14:paraId="68724595">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《法人（或单位）授权委托书》</w:t>
            </w:r>
            <w:r>
              <w:rPr>
                <w:rFonts w:hint="eastAsia" w:ascii="宋体" w:hAnsi="宋体" w:eastAsia="宋体" w:cs="宋体"/>
                <w:color w:val="auto"/>
                <w:kern w:val="0"/>
                <w:sz w:val="21"/>
                <w:szCs w:val="21"/>
                <w:highlight w:val="none"/>
              </w:rPr>
              <w:t>（磋商响应供应商授权其单位正式职工全权代表其处理</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事项或签署相关文件时须提供</w:t>
            </w:r>
            <w:r>
              <w:rPr>
                <w:rFonts w:hint="eastAsia" w:ascii="宋体" w:hAnsi="宋体" w:eastAsia="宋体" w:cs="宋体"/>
                <w:color w:val="auto"/>
                <w:sz w:val="21"/>
                <w:szCs w:val="21"/>
                <w:highlight w:val="none"/>
              </w:rPr>
              <w:t>，格式见第六章</w:t>
            </w:r>
            <w:r>
              <w:rPr>
                <w:rFonts w:hint="eastAsia" w:ascii="宋体" w:hAnsi="宋体" w:eastAsia="宋体" w:cs="宋体"/>
                <w:color w:val="auto"/>
                <w:kern w:val="0"/>
                <w:sz w:val="21"/>
                <w:szCs w:val="21"/>
                <w:highlight w:val="none"/>
              </w:rPr>
              <w:t>）</w:t>
            </w:r>
          </w:p>
        </w:tc>
        <w:tc>
          <w:tcPr>
            <w:tcW w:w="775" w:type="dxa"/>
            <w:shd w:val="clear" w:color="auto" w:fill="FFFFFF" w:themeFill="background1"/>
            <w:vAlign w:val="center"/>
          </w:tcPr>
          <w:p w14:paraId="7CA98B0A">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BE906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44478610">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4</w:t>
            </w:r>
          </w:p>
        </w:tc>
        <w:tc>
          <w:tcPr>
            <w:tcW w:w="8300" w:type="dxa"/>
            <w:gridSpan w:val="2"/>
            <w:shd w:val="clear" w:color="auto" w:fill="FFFFFF" w:themeFill="background1"/>
            <w:vAlign w:val="center"/>
          </w:tcPr>
          <w:p w14:paraId="18D17252">
            <w:pPr>
              <w:autoSpaceDN w:val="0"/>
              <w:spacing w:line="276"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磋商响应供应商类似项目业绩汇总表及证明材料（格式见第六章）</w:t>
            </w:r>
          </w:p>
        </w:tc>
        <w:tc>
          <w:tcPr>
            <w:tcW w:w="775" w:type="dxa"/>
            <w:shd w:val="clear" w:color="auto" w:fill="FFFFFF" w:themeFill="background1"/>
            <w:vAlign w:val="center"/>
          </w:tcPr>
          <w:p w14:paraId="5CFDE12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2C9C9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51B19E83">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5</w:t>
            </w:r>
          </w:p>
        </w:tc>
        <w:tc>
          <w:tcPr>
            <w:tcW w:w="8300" w:type="dxa"/>
            <w:gridSpan w:val="2"/>
            <w:shd w:val="clear" w:color="auto" w:fill="FFFFFF" w:themeFill="background1"/>
            <w:vAlign w:val="center"/>
          </w:tcPr>
          <w:p w14:paraId="5579A7DB">
            <w:pPr>
              <w:autoSpaceDN w:val="0"/>
              <w:spacing w:line="276"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商务技术偏离表</w:t>
            </w:r>
            <w:r>
              <w:rPr>
                <w:rFonts w:hint="eastAsia" w:ascii="宋体" w:hAnsi="宋体" w:eastAsia="宋体" w:cs="宋体"/>
                <w:b/>
                <w:bCs/>
                <w:color w:val="auto"/>
                <w:sz w:val="21"/>
                <w:szCs w:val="21"/>
                <w:highlight w:val="none"/>
              </w:rPr>
              <w:t>（格式见第六章）</w:t>
            </w:r>
          </w:p>
        </w:tc>
        <w:tc>
          <w:tcPr>
            <w:tcW w:w="775" w:type="dxa"/>
            <w:shd w:val="clear" w:color="auto" w:fill="FFFFFF" w:themeFill="background1"/>
            <w:vAlign w:val="center"/>
          </w:tcPr>
          <w:p w14:paraId="4AEDB0F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6DEFE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37ECD457">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6</w:t>
            </w:r>
          </w:p>
        </w:tc>
        <w:tc>
          <w:tcPr>
            <w:tcW w:w="8300" w:type="dxa"/>
            <w:gridSpan w:val="2"/>
            <w:shd w:val="clear" w:color="auto" w:fill="FFFFFF" w:themeFill="background1"/>
            <w:vAlign w:val="center"/>
          </w:tcPr>
          <w:p w14:paraId="4CB74379">
            <w:pPr>
              <w:autoSpaceDN w:val="0"/>
              <w:spacing w:line="276"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施工组织设计（</w:t>
            </w:r>
            <w:r>
              <w:rPr>
                <w:rFonts w:hint="eastAsia" w:ascii="宋体" w:hAnsi="宋体" w:eastAsia="宋体" w:cs="宋体"/>
                <w:b/>
                <w:bCs/>
                <w:color w:val="auto"/>
                <w:sz w:val="21"/>
                <w:szCs w:val="21"/>
                <w:highlight w:val="none"/>
              </w:rPr>
              <w:t>格式见第六章</w:t>
            </w:r>
            <w:r>
              <w:rPr>
                <w:rFonts w:hint="eastAsia" w:ascii="宋体" w:hAnsi="宋体" w:eastAsia="宋体" w:cs="宋体"/>
                <w:b/>
                <w:bCs/>
                <w:color w:val="auto"/>
                <w:kern w:val="0"/>
                <w:sz w:val="21"/>
                <w:szCs w:val="21"/>
                <w:highlight w:val="none"/>
              </w:rPr>
              <w:t>）</w:t>
            </w:r>
          </w:p>
        </w:tc>
        <w:tc>
          <w:tcPr>
            <w:tcW w:w="775" w:type="dxa"/>
            <w:shd w:val="clear" w:color="auto" w:fill="FFFFFF" w:themeFill="background1"/>
            <w:vAlign w:val="center"/>
          </w:tcPr>
          <w:p w14:paraId="4C6FB059">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D255E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D13984">
            <w:pPr>
              <w:autoSpaceDN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p>
        </w:tc>
        <w:tc>
          <w:tcPr>
            <w:tcW w:w="8300" w:type="dxa"/>
            <w:gridSpan w:val="2"/>
            <w:shd w:val="clear" w:color="auto" w:fill="FFFFFF" w:themeFill="background1"/>
            <w:vAlign w:val="center"/>
          </w:tcPr>
          <w:p w14:paraId="214867E6">
            <w:pPr>
              <w:autoSpaceDN w:val="0"/>
              <w:spacing w:line="276"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技术（服务）方案（对照评分细则，但不仅限于）</w:t>
            </w:r>
          </w:p>
        </w:tc>
        <w:tc>
          <w:tcPr>
            <w:tcW w:w="775" w:type="dxa"/>
            <w:shd w:val="clear" w:color="auto" w:fill="FFFFFF" w:themeFill="background1"/>
            <w:vAlign w:val="center"/>
          </w:tcPr>
          <w:p w14:paraId="4A54D64F">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61BD6F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14:paraId="324EA51F">
            <w:pPr>
              <w:autoSpaceDN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p>
        </w:tc>
        <w:tc>
          <w:tcPr>
            <w:tcW w:w="1809" w:type="dxa"/>
            <w:vMerge w:val="restart"/>
            <w:shd w:val="clear" w:color="auto" w:fill="auto"/>
            <w:vAlign w:val="center"/>
          </w:tcPr>
          <w:p w14:paraId="19675678">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节能、环保产品证明材料</w:t>
            </w:r>
          </w:p>
        </w:tc>
        <w:tc>
          <w:tcPr>
            <w:tcW w:w="6491" w:type="dxa"/>
            <w:shd w:val="clear" w:color="auto" w:fill="auto"/>
            <w:vAlign w:val="center"/>
          </w:tcPr>
          <w:p w14:paraId="49232722">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（1）所投产品符合政策要求的《</w:t>
            </w:r>
            <w:r>
              <w:rPr>
                <w:rFonts w:hint="eastAsia" w:ascii="宋体" w:hAnsi="宋体" w:eastAsia="宋体" w:cs="宋体"/>
                <w:b/>
                <w:bCs/>
                <w:color w:val="auto"/>
                <w:kern w:val="0"/>
                <w:sz w:val="21"/>
                <w:szCs w:val="21"/>
                <w:highlight w:val="none"/>
              </w:rPr>
              <w:t>节能产品认证证书</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（提供扫描件加盖</w:t>
            </w:r>
            <w:r>
              <w:rPr>
                <w:rFonts w:hint="eastAsia" w:ascii="宋体" w:hAnsi="宋体" w:eastAsia="宋体" w:cs="宋体"/>
                <w:color w:val="auto"/>
                <w:kern w:val="0"/>
                <w:sz w:val="21"/>
                <w:szCs w:val="21"/>
                <w:highlight w:val="none"/>
              </w:rPr>
              <w:t>投标供应商公章</w:t>
            </w:r>
            <w:r>
              <w:rPr>
                <w:rFonts w:hint="eastAsia" w:ascii="宋体" w:hAnsi="宋体" w:eastAsia="宋体" w:cs="宋体"/>
                <w:color w:val="auto"/>
                <w:sz w:val="21"/>
                <w:szCs w:val="21"/>
                <w:highlight w:val="none"/>
              </w:rPr>
              <w:t>）</w:t>
            </w:r>
          </w:p>
          <w:p w14:paraId="15B09932">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u w:val="single"/>
              </w:rPr>
              <w:t>本次采购对属于节能产品政府采购品目清单规定的政府强制采购产品范围内的产品实施强制采购。供应商应当在</w:t>
            </w:r>
            <w:r>
              <w:rPr>
                <w:rFonts w:hint="eastAsia" w:ascii="宋体" w:hAnsi="宋体" w:cs="宋体"/>
                <w:b/>
                <w:color w:val="auto"/>
                <w:sz w:val="21"/>
                <w:szCs w:val="21"/>
                <w:highlight w:val="none"/>
                <w:u w:val="single"/>
                <w:lang w:eastAsia="zh-CN"/>
              </w:rPr>
              <w:t>磋商响应文件</w:t>
            </w:r>
            <w:r>
              <w:rPr>
                <w:rFonts w:hint="eastAsia" w:ascii="宋体" w:hAnsi="宋体" w:eastAsia="宋体" w:cs="宋体"/>
                <w:b/>
                <w:color w:val="auto"/>
                <w:sz w:val="21"/>
                <w:szCs w:val="21"/>
                <w:highlight w:val="none"/>
                <w:u w:val="single"/>
              </w:rPr>
              <w:t>中提供国家确定的认证机构出具的、处于有效期之内的节能产品认证证书（扫描件、加盖公章），否则</w:t>
            </w:r>
            <w:r>
              <w:rPr>
                <w:rFonts w:hint="eastAsia" w:ascii="宋体" w:hAnsi="宋体" w:cs="宋体"/>
                <w:b/>
                <w:color w:val="auto"/>
                <w:sz w:val="21"/>
                <w:szCs w:val="21"/>
                <w:highlight w:val="none"/>
                <w:u w:val="single"/>
                <w:lang w:eastAsia="zh-CN"/>
              </w:rPr>
              <w:t>磋商响应文件</w:t>
            </w:r>
            <w:r>
              <w:rPr>
                <w:rFonts w:hint="eastAsia" w:ascii="宋体" w:hAnsi="宋体" w:eastAsia="宋体" w:cs="宋体"/>
                <w:b/>
                <w:color w:val="auto"/>
                <w:sz w:val="21"/>
                <w:szCs w:val="21"/>
                <w:highlight w:val="none"/>
                <w:u w:val="single"/>
              </w:rPr>
              <w:t>无效。政府采购节能产品强制采购目录见本章第2.3.2款</w:t>
            </w:r>
            <w:r>
              <w:rPr>
                <w:rFonts w:hint="eastAsia" w:ascii="宋体" w:hAnsi="宋体" w:eastAsia="宋体" w:cs="宋体"/>
                <w:color w:val="auto"/>
                <w:sz w:val="21"/>
                <w:szCs w:val="21"/>
                <w:highlight w:val="none"/>
              </w:rPr>
              <w:t>。</w:t>
            </w:r>
          </w:p>
        </w:tc>
        <w:tc>
          <w:tcPr>
            <w:tcW w:w="775" w:type="dxa"/>
            <w:shd w:val="clear" w:color="auto" w:fill="auto"/>
            <w:vAlign w:val="center"/>
          </w:tcPr>
          <w:p w14:paraId="2F2386B7">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569C8C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14:paraId="73799ACE">
            <w:pPr>
              <w:autoSpaceDN w:val="0"/>
              <w:spacing w:line="276" w:lineRule="auto"/>
              <w:jc w:val="center"/>
              <w:rPr>
                <w:rFonts w:hint="eastAsia" w:ascii="宋体" w:hAnsi="宋体" w:eastAsia="宋体" w:cs="宋体"/>
                <w:color w:val="auto"/>
                <w:sz w:val="21"/>
                <w:szCs w:val="21"/>
                <w:highlight w:val="none"/>
              </w:rPr>
            </w:pPr>
          </w:p>
        </w:tc>
        <w:tc>
          <w:tcPr>
            <w:tcW w:w="1809" w:type="dxa"/>
            <w:vMerge w:val="continue"/>
            <w:shd w:val="clear" w:color="auto" w:fill="auto"/>
            <w:vAlign w:val="center"/>
          </w:tcPr>
          <w:p w14:paraId="16E74B7A">
            <w:pPr>
              <w:autoSpaceDN w:val="0"/>
              <w:spacing w:line="276" w:lineRule="auto"/>
              <w:jc w:val="left"/>
              <w:rPr>
                <w:rFonts w:hint="eastAsia" w:ascii="宋体" w:hAnsi="宋体" w:eastAsia="宋体" w:cs="宋体"/>
                <w:b/>
                <w:color w:val="auto"/>
                <w:kern w:val="0"/>
                <w:sz w:val="21"/>
                <w:szCs w:val="21"/>
                <w:highlight w:val="none"/>
              </w:rPr>
            </w:pPr>
          </w:p>
        </w:tc>
        <w:tc>
          <w:tcPr>
            <w:tcW w:w="6491" w:type="dxa"/>
            <w:shd w:val="clear" w:color="auto" w:fill="auto"/>
            <w:vAlign w:val="center"/>
          </w:tcPr>
          <w:p w14:paraId="78234163">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（2）所投产品符合政策要求的《环境标志产品认证证书》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如有</w:t>
            </w:r>
            <w:r>
              <w:rPr>
                <w:rFonts w:hint="eastAsia" w:ascii="宋体" w:hAnsi="宋体" w:eastAsia="宋体" w:cs="宋体"/>
                <w:color w:val="auto"/>
                <w:sz w:val="21"/>
                <w:szCs w:val="21"/>
                <w:highlight w:val="none"/>
              </w:rPr>
              <w:t>，提供扫描件加盖</w:t>
            </w:r>
            <w:r>
              <w:rPr>
                <w:rFonts w:hint="eastAsia" w:ascii="宋体" w:hAnsi="宋体" w:eastAsia="宋体" w:cs="宋体"/>
                <w:color w:val="auto"/>
                <w:kern w:val="0"/>
                <w:sz w:val="21"/>
                <w:szCs w:val="21"/>
                <w:highlight w:val="none"/>
              </w:rPr>
              <w:t>磋商响应供应商公章</w:t>
            </w:r>
            <w:r>
              <w:rPr>
                <w:rFonts w:hint="eastAsia" w:ascii="宋体" w:hAnsi="宋体" w:eastAsia="宋体" w:cs="宋体"/>
                <w:color w:val="auto"/>
                <w:sz w:val="21"/>
                <w:szCs w:val="21"/>
                <w:highlight w:val="none"/>
              </w:rPr>
              <w:t>）</w:t>
            </w:r>
          </w:p>
        </w:tc>
        <w:tc>
          <w:tcPr>
            <w:tcW w:w="775" w:type="dxa"/>
            <w:shd w:val="clear" w:color="auto" w:fill="auto"/>
            <w:vAlign w:val="center"/>
          </w:tcPr>
          <w:p w14:paraId="0554D321">
            <w:pPr>
              <w:autoSpaceDN w:val="0"/>
              <w:spacing w:line="276" w:lineRule="auto"/>
              <w:jc w:val="center"/>
              <w:rPr>
                <w:rFonts w:hint="eastAsia" w:ascii="宋体" w:hAnsi="宋体" w:eastAsia="宋体" w:cs="宋体"/>
                <w:color w:val="auto"/>
                <w:kern w:val="0"/>
                <w:sz w:val="21"/>
                <w:szCs w:val="21"/>
                <w:highlight w:val="none"/>
              </w:rPr>
            </w:pPr>
          </w:p>
        </w:tc>
      </w:tr>
      <w:tr w14:paraId="15195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6EC4FC53">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9</w:t>
            </w:r>
          </w:p>
        </w:tc>
        <w:tc>
          <w:tcPr>
            <w:tcW w:w="8300" w:type="dxa"/>
            <w:gridSpan w:val="2"/>
            <w:shd w:val="clear" w:color="auto" w:fill="auto"/>
            <w:vAlign w:val="center"/>
          </w:tcPr>
          <w:p w14:paraId="7A9BF096">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主要材料品牌表</w:t>
            </w:r>
          </w:p>
        </w:tc>
        <w:tc>
          <w:tcPr>
            <w:tcW w:w="775" w:type="dxa"/>
            <w:shd w:val="clear" w:color="auto" w:fill="auto"/>
            <w:vAlign w:val="center"/>
          </w:tcPr>
          <w:p w14:paraId="7EC7F36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2F243D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00EB67BA">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2-1</w:t>
            </w:r>
            <w:r>
              <w:rPr>
                <w:rFonts w:hint="eastAsia" w:ascii="宋体" w:hAnsi="宋体" w:cs="宋体"/>
                <w:b/>
                <w:color w:val="auto"/>
                <w:sz w:val="21"/>
                <w:szCs w:val="21"/>
                <w:highlight w:val="none"/>
                <w:lang w:val="en-US" w:eastAsia="zh-CN"/>
              </w:rPr>
              <w:t>0</w:t>
            </w:r>
          </w:p>
        </w:tc>
        <w:tc>
          <w:tcPr>
            <w:tcW w:w="8300" w:type="dxa"/>
            <w:gridSpan w:val="2"/>
            <w:vAlign w:val="center"/>
          </w:tcPr>
          <w:p w14:paraId="75DD4EB4">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关于对采购文件中有关条款的拒绝声明（如有，格式见第六章）</w:t>
            </w:r>
          </w:p>
        </w:tc>
        <w:tc>
          <w:tcPr>
            <w:tcW w:w="775" w:type="dxa"/>
            <w:vAlign w:val="center"/>
          </w:tcPr>
          <w:p w14:paraId="30BCE7C7">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79476D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1E6D1DA0">
            <w:pPr>
              <w:autoSpaceDN w:val="0"/>
              <w:spacing w:line="276"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11</w:t>
            </w:r>
          </w:p>
        </w:tc>
        <w:tc>
          <w:tcPr>
            <w:tcW w:w="8300" w:type="dxa"/>
            <w:gridSpan w:val="2"/>
            <w:vAlign w:val="center"/>
          </w:tcPr>
          <w:p w14:paraId="7939CE17">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其他与商务技术有关的资料或说明（如有，格式见第六章）</w:t>
            </w:r>
          </w:p>
        </w:tc>
        <w:tc>
          <w:tcPr>
            <w:tcW w:w="775" w:type="dxa"/>
            <w:vAlign w:val="center"/>
          </w:tcPr>
          <w:p w14:paraId="62C259A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41EA10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6564F1A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备注</w:t>
            </w:r>
          </w:p>
        </w:tc>
        <w:tc>
          <w:tcPr>
            <w:tcW w:w="9075" w:type="dxa"/>
            <w:gridSpan w:val="3"/>
            <w:shd w:val="clear" w:color="auto" w:fill="E5DFEC"/>
            <w:vAlign w:val="center"/>
          </w:tcPr>
          <w:p w14:paraId="5ACBBF61">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以上清单中标注“</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”的内容为必须提供的内容，未提供或提供不齐全的</w:t>
            </w:r>
            <w:r>
              <w:rPr>
                <w:rFonts w:hint="eastAsia" w:ascii="宋体" w:hAnsi="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无效。</w:t>
            </w:r>
          </w:p>
        </w:tc>
      </w:tr>
    </w:tbl>
    <w:p w14:paraId="1C6D3D70">
      <w:pPr>
        <w:pStyle w:val="6"/>
        <w:autoSpaceDN w:val="0"/>
        <w:rPr>
          <w:rFonts w:hint="eastAsia" w:ascii="宋体" w:hAnsi="宋体" w:eastAsia="宋体" w:cs="宋体"/>
          <w:color w:val="auto"/>
          <w:sz w:val="18"/>
          <w:szCs w:val="16"/>
          <w:highlight w:val="none"/>
        </w:rPr>
      </w:pPr>
    </w:p>
    <w:p w14:paraId="48723940">
      <w:pPr>
        <w:pStyle w:val="5"/>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（3）《报价文件》</w:t>
      </w:r>
    </w:p>
    <w:tbl>
      <w:tblPr>
        <w:tblStyle w:val="51"/>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14:paraId="30CE38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14:paraId="6717B30F">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14:paraId="2A8328D9">
            <w:pPr>
              <w:autoSpaceDN w:val="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第三部分《报价文件》组成内容及要求【依序编制】</w:t>
            </w:r>
          </w:p>
        </w:tc>
        <w:tc>
          <w:tcPr>
            <w:tcW w:w="750" w:type="dxa"/>
            <w:tcBorders>
              <w:top w:val="thinThickSmallGap" w:color="0070C0" w:sz="12" w:space="0"/>
              <w:bottom w:val="single" w:color="0070C0" w:sz="6" w:space="0"/>
            </w:tcBorders>
            <w:shd w:val="clear" w:color="auto" w:fill="DAEEF3" w:themeFill="accent5" w:themeFillTint="33"/>
            <w:vAlign w:val="center"/>
          </w:tcPr>
          <w:p w14:paraId="0F691DEE">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格式</w:t>
            </w:r>
          </w:p>
        </w:tc>
      </w:tr>
      <w:tr w14:paraId="2A6274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14:paraId="03982311">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8375" w:type="dxa"/>
            <w:tcBorders>
              <w:top w:val="single" w:color="0070C0" w:sz="6" w:space="0"/>
            </w:tcBorders>
            <w:shd w:val="clear" w:color="auto" w:fill="FFFFFF" w:themeFill="background1"/>
            <w:vAlign w:val="center"/>
          </w:tcPr>
          <w:p w14:paraId="4D014B8B">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《报价文件》封面</w:t>
            </w:r>
            <w:r>
              <w:rPr>
                <w:rFonts w:hint="eastAsia" w:ascii="宋体" w:hAnsi="宋体" w:eastAsia="宋体" w:cs="宋体"/>
                <w:color w:val="auto"/>
                <w:kern w:val="0"/>
                <w:sz w:val="21"/>
                <w:szCs w:val="21"/>
                <w:highlight w:val="none"/>
              </w:rPr>
              <w:t>（格式见第六章）</w:t>
            </w:r>
          </w:p>
        </w:tc>
        <w:tc>
          <w:tcPr>
            <w:tcW w:w="750" w:type="dxa"/>
            <w:tcBorders>
              <w:top w:val="single" w:color="0070C0" w:sz="6" w:space="0"/>
            </w:tcBorders>
            <w:shd w:val="clear" w:color="auto" w:fill="FFFFFF" w:themeFill="background1"/>
            <w:vAlign w:val="center"/>
          </w:tcPr>
          <w:p w14:paraId="3F25A78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6A597B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3A26510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w:t>
            </w:r>
          </w:p>
        </w:tc>
        <w:tc>
          <w:tcPr>
            <w:tcW w:w="8375" w:type="dxa"/>
            <w:shd w:val="clear" w:color="auto" w:fill="FFFFFF" w:themeFill="background1"/>
            <w:vAlign w:val="center"/>
          </w:tcPr>
          <w:p w14:paraId="2D12AC11">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▲投标函</w:t>
            </w:r>
            <w:r>
              <w:rPr>
                <w:rFonts w:hint="eastAsia" w:ascii="宋体" w:hAnsi="宋体" w:eastAsia="宋体" w:cs="宋体"/>
                <w:color w:val="auto"/>
                <w:kern w:val="0"/>
                <w:sz w:val="21"/>
                <w:szCs w:val="21"/>
                <w:highlight w:val="none"/>
              </w:rPr>
              <w:t>（格式见第六章）</w:t>
            </w:r>
          </w:p>
        </w:tc>
        <w:tc>
          <w:tcPr>
            <w:tcW w:w="750" w:type="dxa"/>
            <w:shd w:val="clear" w:color="auto" w:fill="FFFFFF" w:themeFill="background1"/>
            <w:vAlign w:val="center"/>
          </w:tcPr>
          <w:p w14:paraId="168A1BF4">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8FEA9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6C76480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w:t>
            </w:r>
          </w:p>
        </w:tc>
        <w:tc>
          <w:tcPr>
            <w:tcW w:w="8375" w:type="dxa"/>
            <w:shd w:val="clear" w:color="auto" w:fill="FFFFFF" w:themeFill="background1"/>
            <w:vAlign w:val="center"/>
          </w:tcPr>
          <w:p w14:paraId="15D1DD66">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rPr>
              <w:t>工程量清单及计价表</w:t>
            </w:r>
            <w:r>
              <w:rPr>
                <w:rFonts w:hint="eastAsia" w:ascii="宋体" w:hAnsi="宋体" w:eastAsia="宋体" w:cs="宋体"/>
                <w:color w:val="auto"/>
                <w:kern w:val="0"/>
                <w:sz w:val="21"/>
                <w:szCs w:val="21"/>
                <w:highlight w:val="none"/>
              </w:rPr>
              <w:t>（格式按浙江省要求格式）</w:t>
            </w:r>
          </w:p>
        </w:tc>
        <w:tc>
          <w:tcPr>
            <w:tcW w:w="750" w:type="dxa"/>
            <w:shd w:val="clear" w:color="auto" w:fill="FFFFFF" w:themeFill="background1"/>
            <w:vAlign w:val="center"/>
          </w:tcPr>
          <w:p w14:paraId="40CAD975">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ACFFB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14:paraId="5C063B93">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w:t>
            </w:r>
          </w:p>
        </w:tc>
        <w:tc>
          <w:tcPr>
            <w:tcW w:w="8375" w:type="dxa"/>
            <w:vAlign w:val="center"/>
          </w:tcPr>
          <w:p w14:paraId="69413A3C">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供应商认为有必要提供的其他与报价有关的资料或说明（如有，格式见第六章）</w:t>
            </w:r>
          </w:p>
        </w:tc>
        <w:tc>
          <w:tcPr>
            <w:tcW w:w="750" w:type="dxa"/>
            <w:vAlign w:val="center"/>
          </w:tcPr>
          <w:p w14:paraId="192CF3E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7BD53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14:paraId="376D001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备注</w:t>
            </w:r>
          </w:p>
        </w:tc>
        <w:tc>
          <w:tcPr>
            <w:tcW w:w="9125" w:type="dxa"/>
            <w:gridSpan w:val="2"/>
            <w:shd w:val="clear" w:color="auto" w:fill="E5DFEC"/>
            <w:vAlign w:val="center"/>
          </w:tcPr>
          <w:p w14:paraId="09DEEA39">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以上清单中标注“</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”的内容为必须提供的内容，未提供或提供不齐全的投标无效。</w:t>
            </w:r>
          </w:p>
        </w:tc>
      </w:tr>
    </w:tbl>
    <w:p w14:paraId="669832C5">
      <w:pPr>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注：以上目录是编制响应文件的基本格式要求，各供应商可根据自身情况进一步细化。</w:t>
      </w:r>
    </w:p>
    <w:p w14:paraId="4B2F4DE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4.3 磋商响应文件的编制</w:t>
      </w:r>
    </w:p>
    <w:p w14:paraId="0C64BEBA">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4.3.1</w:t>
      </w:r>
      <w:r>
        <w:rPr>
          <w:rFonts w:hint="eastAsia" w:ascii="宋体" w:hAnsi="宋体" w:eastAsia="宋体" w:cs="宋体"/>
          <w:b/>
          <w:color w:val="auto"/>
          <w:sz w:val="21"/>
          <w:szCs w:val="21"/>
          <w:highlight w:val="none"/>
        </w:rPr>
        <w:t>依据《浙江省政府采购项目电子交易管理暂行办法》，本项目通过“政府采购云平台”（网址：</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"http://www.zcygov.cn" </w:instrText>
      </w:r>
      <w:r>
        <w:rPr>
          <w:rFonts w:hint="eastAsia" w:ascii="宋体" w:hAnsi="宋体" w:eastAsia="宋体" w:cs="宋体"/>
          <w:color w:val="auto"/>
          <w:sz w:val="18"/>
          <w:szCs w:val="21"/>
          <w:highlight w:val="none"/>
        </w:rPr>
        <w:fldChar w:fldCharType="separate"/>
      </w:r>
      <w:r>
        <w:rPr>
          <w:rFonts w:hint="eastAsia" w:ascii="宋体" w:hAnsi="宋体" w:eastAsia="宋体" w:cs="宋体"/>
          <w:b/>
          <w:color w:val="auto"/>
          <w:sz w:val="21"/>
          <w:szCs w:val="21"/>
          <w:highlight w:val="none"/>
        </w:rPr>
        <w:t>www.zcygov.cn</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宋体" w:hAnsi="宋体" w:eastAsia="宋体" w:cs="宋体"/>
          <w:b/>
          <w:color w:val="auto"/>
          <w:sz w:val="21"/>
          <w:szCs w:val="21"/>
          <w:highlight w:val="none"/>
          <w:u w:val="single"/>
        </w:rPr>
        <w:t>供应商未按规定加密的磋商响应文件，“政府采购云平台”将予以拒收</w:t>
      </w:r>
      <w:r>
        <w:rPr>
          <w:rFonts w:hint="eastAsia" w:ascii="宋体" w:hAnsi="宋体" w:eastAsia="宋体" w:cs="宋体"/>
          <w:b/>
          <w:color w:val="auto"/>
          <w:sz w:val="21"/>
          <w:szCs w:val="21"/>
          <w:highlight w:val="none"/>
        </w:rPr>
        <w:t>。</w:t>
      </w:r>
    </w:p>
    <w:p w14:paraId="3EEDCA16">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4.3.2供应商应当按照本章节第4.2.2款规定的内容在“政采云电子交易客户端”编制磋商响应文件。</w:t>
      </w:r>
    </w:p>
    <w:p w14:paraId="3D6D52E9">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4.3.3</w:t>
      </w:r>
      <w:r>
        <w:rPr>
          <w:rFonts w:hint="eastAsia" w:ascii="宋体" w:hAnsi="宋体" w:eastAsia="宋体" w:cs="宋体"/>
          <w:b/>
          <w:color w:val="auto"/>
          <w:sz w:val="21"/>
          <w:szCs w:val="21"/>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33B9EDBB">
      <w:pPr>
        <w:autoSpaceDN w:val="0"/>
        <w:spacing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4.3.4</w:t>
      </w:r>
      <w:r>
        <w:rPr>
          <w:rFonts w:hint="eastAsia" w:ascii="宋体" w:hAnsi="宋体" w:eastAsia="宋体" w:cs="宋体"/>
          <w:b/>
          <w:color w:val="auto"/>
          <w:kern w:val="0"/>
          <w:sz w:val="21"/>
          <w:szCs w:val="21"/>
          <w:highlight w:val="none"/>
        </w:rPr>
        <w:t>本章节第4.2.2款内容中约定</w:t>
      </w:r>
      <w:r>
        <w:rPr>
          <w:rFonts w:hint="eastAsia" w:ascii="宋体" w:hAnsi="宋体" w:eastAsia="宋体" w:cs="宋体"/>
          <w:b/>
          <w:color w:val="auto"/>
          <w:sz w:val="21"/>
          <w:szCs w:val="21"/>
          <w:highlight w:val="none"/>
        </w:rPr>
        <w:t>可以提供扫描件的相关证明材料必须加盖供应商公章，否则视为未提供</w:t>
      </w:r>
      <w:r>
        <w:rPr>
          <w:rFonts w:hint="eastAsia" w:ascii="宋体" w:hAnsi="宋体" w:eastAsia="宋体" w:cs="宋体"/>
          <w:color w:val="auto"/>
          <w:sz w:val="21"/>
          <w:szCs w:val="21"/>
          <w:highlight w:val="none"/>
        </w:rPr>
        <w:t>（例如：各类资格资质证书、业绩材料、许可材料、荣誉证书、产品注册登记材料、产品检测材料、验收材料等）。</w:t>
      </w:r>
    </w:p>
    <w:p w14:paraId="670A9630">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4.3.5</w:t>
      </w:r>
      <w:r>
        <w:rPr>
          <w:rFonts w:hint="eastAsia" w:ascii="宋体" w:hAnsi="宋体" w:eastAsia="宋体" w:cs="宋体"/>
          <w:b/>
          <w:color w:val="auto"/>
          <w:kern w:val="0"/>
          <w:sz w:val="21"/>
          <w:szCs w:val="21"/>
          <w:highlight w:val="none"/>
        </w:rPr>
        <w:t>本章节第4.2.2款内容中标注“▲”的内容为必须提供的内容，未提供的磋商响应文件无效。</w:t>
      </w:r>
    </w:p>
    <w:p w14:paraId="1F433440">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4.3.6《磋商响应文件》内容不完整、编排混乱导致《磋商响应文件》被误读、漏读或者查找不到相关内容的，是磋商响应供应商的责任。</w:t>
      </w:r>
    </w:p>
    <w:p w14:paraId="48E8C2D5">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4.3.7《磋商响应文件》因字迹潦草或表达不清所引起的后果由磋商响应供应商负责。</w:t>
      </w:r>
    </w:p>
    <w:p w14:paraId="5D311A12">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4.3.8</w:t>
      </w:r>
      <w:r>
        <w:rPr>
          <w:rFonts w:hint="eastAsia" w:ascii="宋体" w:hAnsi="宋体" w:eastAsia="宋体" w:cs="宋体"/>
          <w:color w:val="auto"/>
          <w:kern w:val="0"/>
          <w:sz w:val="21"/>
          <w:szCs w:val="20"/>
          <w:highlight w:val="none"/>
        </w:rPr>
        <w:t>磋商响应供应商没有按照</w:t>
      </w:r>
      <w:r>
        <w:rPr>
          <w:rFonts w:hint="eastAsia" w:ascii="宋体" w:hAnsi="宋体" w:eastAsia="宋体" w:cs="宋体"/>
          <w:color w:val="auto"/>
          <w:kern w:val="0"/>
          <w:sz w:val="21"/>
          <w:szCs w:val="21"/>
          <w:highlight w:val="none"/>
        </w:rPr>
        <w:t>本章节第4.2.2款“</w:t>
      </w:r>
      <w:r>
        <w:rPr>
          <w:rFonts w:hint="eastAsia" w:ascii="宋体" w:hAnsi="宋体" w:eastAsia="宋体" w:cs="宋体"/>
          <w:color w:val="auto"/>
          <w:kern w:val="0"/>
          <w:sz w:val="21"/>
          <w:szCs w:val="20"/>
          <w:highlight w:val="none"/>
        </w:rPr>
        <w:t>磋商响应文件内容组成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0"/>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5D0C10E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4.4 磋商响应文件的签章</w:t>
      </w:r>
    </w:p>
    <w:p w14:paraId="6CB9F92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4.4.1磋商响应文件的签章形式：</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27A0FC4">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1"/>
          <w:highlight w:val="none"/>
        </w:rPr>
        <w:t>4.4.2《磋商响应文件》内容应按</w:t>
      </w:r>
      <w:r>
        <w:rPr>
          <w:rFonts w:hint="eastAsia" w:ascii="宋体" w:hAnsi="宋体" w:eastAsia="宋体" w:cs="宋体"/>
          <w:b/>
          <w:color w:val="auto"/>
          <w:sz w:val="21"/>
          <w:szCs w:val="21"/>
          <w:highlight w:val="none"/>
        </w:rPr>
        <w:t>《第三章 磋商须知》规定和</w:t>
      </w:r>
      <w:r>
        <w:rPr>
          <w:rFonts w:hint="eastAsia" w:ascii="宋体" w:hAnsi="宋体" w:eastAsia="宋体" w:cs="宋体"/>
          <w:b/>
          <w:color w:val="auto"/>
          <w:kern w:val="0"/>
          <w:sz w:val="21"/>
          <w:szCs w:val="21"/>
          <w:highlight w:val="none"/>
        </w:rPr>
        <w:t>《第六章 磋商响应文件格式》</w:t>
      </w:r>
      <w:r>
        <w:rPr>
          <w:rFonts w:hint="eastAsia" w:ascii="宋体" w:hAnsi="宋体" w:eastAsia="宋体" w:cs="宋体"/>
          <w:b/>
          <w:color w:val="auto"/>
          <w:sz w:val="21"/>
          <w:szCs w:val="21"/>
          <w:highlight w:val="none"/>
        </w:rPr>
        <w:t>标注的要求进行盖章、签署</w:t>
      </w:r>
      <w:r>
        <w:rPr>
          <w:rFonts w:hint="eastAsia" w:ascii="宋体" w:hAnsi="宋体" w:eastAsia="宋体" w:cs="宋体"/>
          <w:b/>
          <w:color w:val="auto"/>
          <w:kern w:val="0"/>
          <w:sz w:val="21"/>
          <w:szCs w:val="21"/>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187413D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4.5 磋商报价</w:t>
      </w:r>
    </w:p>
    <w:p w14:paraId="5F230A91">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4.5.1磋商报价应按《第六章 磋商响应文件格式》中提供的相关报价格式填写；</w:t>
      </w:r>
    </w:p>
    <w:p w14:paraId="0C7A173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4.5.2本项目最高限价：</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57E4BA7B">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4.5.3《磋商响应文件》针对每个标项每一轮只允许有一个报价，不接受有选择报价的磋商响应（作无效标处理）</w:t>
      </w:r>
      <w:r>
        <w:rPr>
          <w:rFonts w:hint="eastAsia" w:ascii="宋体" w:hAnsi="宋体" w:eastAsia="宋体" w:cs="宋体"/>
          <w:b/>
          <w:color w:val="auto"/>
          <w:kern w:val="0"/>
          <w:sz w:val="21"/>
          <w:szCs w:val="21"/>
          <w:highlight w:val="none"/>
        </w:rPr>
        <w:t>；</w:t>
      </w:r>
    </w:p>
    <w:p w14:paraId="191C4E25">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4.5.5最低报价不是成交的保证，采购人及采购代理机构不作任何落标解释。</w:t>
      </w:r>
    </w:p>
    <w:p w14:paraId="60914D5F">
      <w:pPr>
        <w:pStyle w:val="134"/>
        <w:autoSpaceDN w:val="0"/>
        <w:spacing w:line="360" w:lineRule="auto"/>
        <w:ind w:firstLine="480"/>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4.5.6 ▲</w:t>
      </w:r>
      <w:r>
        <w:rPr>
          <w:rFonts w:hint="eastAsia" w:ascii="宋体" w:hAnsi="宋体" w:eastAsia="宋体" w:cs="宋体"/>
          <w:b/>
          <w:color w:val="auto"/>
          <w:kern w:val="0"/>
          <w:sz w:val="21"/>
          <w:szCs w:val="21"/>
          <w:highlight w:val="none"/>
          <w:u w:val="single"/>
        </w:rPr>
        <w:t>本次磋商报价为含税人民币价</w:t>
      </w:r>
      <w:r>
        <w:rPr>
          <w:rFonts w:hint="eastAsia" w:ascii="宋体" w:hAnsi="宋体" w:eastAsia="宋体" w:cs="宋体"/>
          <w:b/>
          <w:color w:val="auto"/>
          <w:kern w:val="0"/>
          <w:sz w:val="21"/>
          <w:szCs w:val="21"/>
          <w:highlight w:val="none"/>
        </w:rPr>
        <w:t>。</w:t>
      </w:r>
    </w:p>
    <w:p w14:paraId="06E14911">
      <w:pPr>
        <w:pStyle w:val="79"/>
        <w:autoSpaceDN w:val="0"/>
        <w:adjustRightInd w:val="0"/>
        <w:snapToGrid w:val="0"/>
        <w:spacing w:before="0"/>
        <w:ind w:firstLine="480"/>
        <w:rPr>
          <w:rFonts w:hint="eastAsia" w:ascii="宋体" w:hAnsi="宋体" w:eastAsia="宋体" w:cs="宋体"/>
          <w:bCs/>
          <w:color w:val="auto"/>
          <w:sz w:val="21"/>
          <w:szCs w:val="16"/>
          <w:highlight w:val="none"/>
        </w:rPr>
      </w:pPr>
      <w:r>
        <w:rPr>
          <w:rFonts w:hint="eastAsia" w:ascii="宋体" w:hAnsi="宋体" w:eastAsia="宋体" w:cs="宋体"/>
          <w:color w:val="auto"/>
          <w:sz w:val="21"/>
          <w:szCs w:val="16"/>
          <w:highlight w:val="none"/>
        </w:rPr>
        <w:t>4.5.7磋商报价为磋商响应供应商的磋商响应文件中提出的各项支付金额的总和。</w:t>
      </w:r>
    </w:p>
    <w:p w14:paraId="06653B11">
      <w:pPr>
        <w:pStyle w:val="134"/>
        <w:autoSpaceDN w:val="0"/>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宋体" w:hAnsi="宋体" w:eastAsia="宋体" w:cs="宋体"/>
          <w:bCs/>
          <w:color w:val="auto"/>
          <w:sz w:val="21"/>
          <w:szCs w:val="21"/>
          <w:highlight w:val="none"/>
        </w:rPr>
        <w:t>。</w:t>
      </w:r>
    </w:p>
    <w:p w14:paraId="1404B410">
      <w:pPr>
        <w:pStyle w:val="6"/>
        <w:autoSpaceDN w:val="0"/>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16"/>
          <w:highlight w:val="none"/>
        </w:rPr>
        <w:t>4.5.</w:t>
      </w:r>
      <w:r>
        <w:rPr>
          <w:rFonts w:hint="eastAsia" w:ascii="宋体" w:hAnsi="宋体" w:eastAsia="宋体" w:cs="宋体"/>
          <w:color w:val="auto"/>
          <w:sz w:val="21"/>
          <w:szCs w:val="21"/>
          <w:highlight w:val="none"/>
        </w:rPr>
        <w:t>9</w:t>
      </w:r>
      <w:r>
        <w:rPr>
          <w:rFonts w:hint="eastAsia" w:ascii="宋体" w:hAnsi="宋体" w:eastAsia="宋体" w:cs="宋体"/>
          <w:bCs/>
          <w:color w:val="auto"/>
          <w:sz w:val="21"/>
          <w:szCs w:val="21"/>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9794659">
      <w:pPr>
        <w:autoSpaceDN w:val="0"/>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4.5.10</w:t>
      </w:r>
      <w:r>
        <w:rPr>
          <w:rFonts w:hint="eastAsia" w:ascii="宋体" w:hAnsi="宋体" w:eastAsia="宋体" w:cs="宋体"/>
          <w:b/>
          <w:color w:val="auto"/>
          <w:sz w:val="21"/>
          <w:szCs w:val="21"/>
          <w:highlight w:val="none"/>
          <w:u w:val="single"/>
        </w:rPr>
        <w:t>竞争性磋商报价以最后报价为准，单价同比例调整（暂列金（如有）不调整）</w:t>
      </w:r>
      <w:r>
        <w:rPr>
          <w:rFonts w:hint="eastAsia" w:ascii="宋体" w:hAnsi="宋体" w:eastAsia="宋体" w:cs="宋体"/>
          <w:b/>
          <w:color w:val="auto"/>
          <w:sz w:val="21"/>
          <w:szCs w:val="21"/>
          <w:highlight w:val="none"/>
        </w:rPr>
        <w:t>。</w:t>
      </w:r>
    </w:p>
    <w:p w14:paraId="16ADF3AC">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4.5.11除非合同中另有规定，磋商响应供应商在磋商总价中的价格均包括完成该工程项目的直接费、间接费、利润、税金、风险费等所有费用；</w:t>
      </w:r>
    </w:p>
    <w:p w14:paraId="5ED2E7AC">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2DB47045">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4.5.13除非本磋商文件对工程量清单编制和报价另有说明的，否则，磋商响应供应商应按工程量清单中的项目和数量进行报价。</w:t>
      </w:r>
    </w:p>
    <w:p w14:paraId="172FA70D">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12DD162">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4.5.15供应商采购过程中对采购人提供的最终工程量清单未提出异议的，须在磋商单价及磋商总价中充分考虑固定总价合同可能存在的工程量与图纸（如有）不一致的风险。</w:t>
      </w:r>
    </w:p>
    <w:p w14:paraId="5146F9DB">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4.5.16供应商须在磋商总价中考虑人、材、机可能的价格变化。</w:t>
      </w:r>
    </w:p>
    <w:p w14:paraId="4F11E61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4.6 磋商响应文件的有效期</w:t>
      </w:r>
    </w:p>
    <w:p w14:paraId="0551464E">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4.6.1《磋商响应文件》有效期：</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，《磋商响应文件》有效期少于这个规定期限的投标响应将作无效标处理；</w:t>
      </w:r>
    </w:p>
    <w:p w14:paraId="4F090E09">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4.6.2在特殊情况下，采购人可与磋商响应供应商协商延长《磋商响应文件》的有效期，协商过程以书面形式进行；</w:t>
      </w:r>
    </w:p>
    <w:p w14:paraId="05648FBB">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4.6.3磋商响应供应商可拒绝接受延期要求，同意延长有效期的磋商响应供应商不能修改《磋商响应文件》；</w:t>
      </w:r>
    </w:p>
    <w:p w14:paraId="4D87E8B9">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4.6.4成交供应商的《磋商响应文件》作为合同组成部分，其有效期自动延长至合同履行完毕止；</w:t>
      </w:r>
    </w:p>
    <w:p w14:paraId="5DA09A99">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4.6.5磋商响应供应商在《磋商响应文件》有效期内强行撤回（撤销）其磋商响应文件的，</w:t>
      </w:r>
      <w:r>
        <w:rPr>
          <w:rFonts w:hint="eastAsia" w:ascii="宋体" w:hAnsi="宋体" w:eastAsia="宋体" w:cs="宋体"/>
          <w:b/>
          <w:color w:val="auto"/>
          <w:sz w:val="21"/>
          <w:szCs w:val="21"/>
          <w:highlight w:val="none"/>
        </w:rPr>
        <w:t>采购人将按采购预算金额的5%对其进行追偿（追偿金额不足伍万的按伍万计），以弥补采购人、采购代理机构损失，同时将对其失信行为上报至同级政府采购监督管理部门依法处理。</w:t>
      </w:r>
    </w:p>
    <w:p w14:paraId="62A6FB4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4.7 备份磋商响应文件</w:t>
      </w:r>
    </w:p>
    <w:p w14:paraId="6CA412DB">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4.7.1备份磋商响应文件的约定：</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17DA78D8">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4.7.2备份磋商响应文件的编制：</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61A5DBD4">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4.7.3备份磋商响应文件的存储、份数、密封包装、标识、递交与接收</w:t>
      </w:r>
    </w:p>
    <w:p w14:paraId="70C2EE8A">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（1）存储：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color w:val="auto"/>
          <w:sz w:val="21"/>
          <w:szCs w:val="21"/>
          <w:highlight w:val="none"/>
        </w:rPr>
        <w:t>；</w:t>
      </w:r>
    </w:p>
    <w:p w14:paraId="725FF074">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（2）份数：</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color w:val="auto"/>
          <w:sz w:val="21"/>
          <w:szCs w:val="21"/>
          <w:highlight w:val="none"/>
        </w:rPr>
        <w:t>；</w:t>
      </w:r>
    </w:p>
    <w:p w14:paraId="546B9154">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（3）密封包装、标识：</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备份磋商响应文件没有密封包装或标识或盖章的视为未递交。</w:t>
      </w:r>
    </w:p>
    <w:p w14:paraId="11015B6E">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（4）递交与接收：</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备份磋商响应文件逾期送达的视为未递交。</w:t>
      </w:r>
    </w:p>
    <w:p w14:paraId="6AB0DB0C">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4.7.4备份磋商响应文件的使用与失效</w:t>
      </w:r>
    </w:p>
    <w:p w14:paraId="3B19B9D9">
      <w:pPr>
        <w:autoSpaceDN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合格的备份磋商响应文件在电子加密“磋商响应文件”解密异常时拆封、使用，电子加密“磋商响应文件”正常解密的备份磋商响应文件自动失效，不再拆封、使用。</w:t>
      </w:r>
      <w:r>
        <w:rPr>
          <w:rFonts w:hint="eastAsia" w:ascii="宋体" w:hAnsi="宋体" w:eastAsia="宋体" w:cs="宋体"/>
          <w:b/>
          <w:color w:val="auto"/>
          <w:sz w:val="21"/>
          <w:szCs w:val="21"/>
          <w:highlight w:val="none"/>
        </w:rPr>
        <w:t>“磋商响应文件解密异常情况处理”办法见《磋商须知前附表》。</w:t>
      </w:r>
    </w:p>
    <w:p w14:paraId="1B4B2BA5">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4.7.5“备份磋商响应文件”与电子加密的“磋商响应文件”同时生成，不属于磋商响应备选（替代）方案。</w:t>
      </w:r>
    </w:p>
    <w:p w14:paraId="4370FAEC">
      <w:pPr>
        <w:pStyle w:val="4"/>
        <w:autoSpaceDN w:val="0"/>
        <w:spacing w:before="360"/>
        <w:ind w:firstLine="221" w:firstLineChars="100"/>
        <w:rPr>
          <w:rFonts w:hint="eastAsia" w:ascii="宋体" w:hAnsi="宋体" w:eastAsia="宋体" w:cs="宋体"/>
          <w:color w:val="auto"/>
          <w:sz w:val="22"/>
          <w:szCs w:val="22"/>
          <w:highlight w:val="none"/>
        </w:rPr>
      </w:pPr>
      <w:bookmarkStart w:id="25" w:name="_Toc82338242"/>
      <w:bookmarkStart w:id="26" w:name="_Toc82873325"/>
      <w:bookmarkStart w:id="27" w:name="_Toc4031"/>
      <w:bookmarkStart w:id="28" w:name="_Toc17132"/>
      <w:r>
        <w:rPr>
          <w:rFonts w:hint="eastAsia" w:ascii="宋体" w:hAnsi="宋体" w:eastAsia="宋体" w:cs="宋体"/>
          <w:color w:val="auto"/>
          <w:sz w:val="22"/>
          <w:szCs w:val="22"/>
          <w:highlight w:val="none"/>
        </w:rPr>
        <w:t>五、</w:t>
      </w:r>
      <w:bookmarkEnd w:id="25"/>
      <w:bookmarkEnd w:id="26"/>
      <w:r>
        <w:rPr>
          <w:rFonts w:hint="eastAsia" w:ascii="宋体" w:hAnsi="宋体" w:eastAsia="宋体" w:cs="宋体"/>
          <w:color w:val="auto"/>
          <w:sz w:val="22"/>
          <w:szCs w:val="22"/>
          <w:highlight w:val="none"/>
        </w:rPr>
        <w:t>磋商响应</w:t>
      </w:r>
      <w:bookmarkEnd w:id="27"/>
      <w:bookmarkEnd w:id="28"/>
    </w:p>
    <w:p w14:paraId="3C1D2EE6">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29" w:name="_Toc82873326"/>
      <w:bookmarkStart w:id="30" w:name="_Toc82338243"/>
      <w:r>
        <w:rPr>
          <w:rFonts w:hint="eastAsia" w:ascii="宋体" w:hAnsi="宋体" w:eastAsia="宋体" w:cs="宋体"/>
          <w:b/>
          <w:bCs/>
          <w:color w:val="auto"/>
          <w:sz w:val="21"/>
          <w:szCs w:val="24"/>
          <w:highlight w:val="none"/>
        </w:rPr>
        <w:t>5.1 磋商响应文件提交截止时间</w:t>
      </w:r>
    </w:p>
    <w:p w14:paraId="50F009C5">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5.1.1磋商响应文件提交截止时间：</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3ED72DC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5.2 磋商地点</w:t>
      </w:r>
    </w:p>
    <w:p w14:paraId="4A3D7E28">
      <w:pPr>
        <w:autoSpaceDN w:val="0"/>
        <w:spacing w:line="360" w:lineRule="auto"/>
        <w:ind w:firstLine="373" w:firstLineChars="177"/>
        <w:rPr>
          <w:rFonts w:hint="eastAsia" w:ascii="宋体" w:hAnsi="宋体" w:eastAsia="宋体" w:cs="宋体"/>
          <w:color w:val="auto"/>
          <w:sz w:val="18"/>
          <w:szCs w:val="21"/>
          <w:highlight w:val="none"/>
        </w:rPr>
      </w:pPr>
      <w:r>
        <w:rPr>
          <w:rFonts w:hint="eastAsia" w:ascii="宋体" w:hAnsi="宋体" w:eastAsia="宋体" w:cs="宋体"/>
          <w:b/>
          <w:color w:val="auto"/>
          <w:sz w:val="21"/>
          <w:szCs w:val="21"/>
          <w:highlight w:val="none"/>
        </w:rPr>
        <w:t>5.2.1磋商响应文件提交地点：</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350D945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5.3 磋商响应文件的传输递交</w:t>
      </w:r>
    </w:p>
    <w:p w14:paraId="44E0F8CA">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5.3.1电子加密“磋商响应文件”的传输递交：</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C52E04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5.4 磋商响应文件的补充、修改或撤回</w:t>
      </w:r>
    </w:p>
    <w:p w14:paraId="5625BB6D">
      <w:pPr>
        <w:autoSpaceDN w:val="0"/>
        <w:spacing w:line="360" w:lineRule="auto"/>
        <w:ind w:firstLine="373" w:firstLineChars="177"/>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70E44A65">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5.4.2磋商响应文件提交截止时间后，供应商不得对磋商响应文件进行补充、修改或撤回。</w:t>
      </w:r>
    </w:p>
    <w:p w14:paraId="0734543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5.5 磋商响应文件的备选方案</w:t>
      </w:r>
    </w:p>
    <w:p w14:paraId="6A59F757">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5.5.1磋商响应供应商不得递交任何的</w:t>
      </w:r>
      <w:r>
        <w:rPr>
          <w:rFonts w:hint="eastAsia" w:ascii="宋体" w:hAnsi="宋体" w:eastAsia="宋体" w:cs="宋体"/>
          <w:b/>
          <w:color w:val="auto"/>
          <w:kern w:val="0"/>
          <w:sz w:val="21"/>
          <w:szCs w:val="21"/>
          <w:highlight w:val="none"/>
        </w:rPr>
        <w:t>磋商响应备选（替代）方案</w:t>
      </w:r>
      <w:r>
        <w:rPr>
          <w:rFonts w:hint="eastAsia" w:ascii="宋体" w:hAnsi="宋体" w:eastAsia="宋体" w:cs="宋体"/>
          <w:b/>
          <w:color w:val="auto"/>
          <w:sz w:val="21"/>
          <w:szCs w:val="21"/>
          <w:highlight w:val="none"/>
        </w:rPr>
        <w:t>，否则作无效标处理。</w:t>
      </w:r>
    </w:p>
    <w:p w14:paraId="01B2CCBC">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5.5.2与“电子加密磋商响应文件”同时生成的“备份磋商响应文件”不是磋商响应备选（替代）方案。</w:t>
      </w:r>
    </w:p>
    <w:p w14:paraId="4F3CEF1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5.6 磋商响应供应商不足法定数量的处理</w:t>
      </w:r>
    </w:p>
    <w:p w14:paraId="54B4B95F">
      <w:pPr>
        <w:autoSpaceDN w:val="0"/>
        <w:spacing w:line="360" w:lineRule="auto"/>
        <w:ind w:firstLine="371" w:firstLineChars="176"/>
        <w:rPr>
          <w:rFonts w:hint="eastAsia" w:ascii="宋体" w:hAnsi="宋体" w:eastAsia="宋体" w:cs="宋体"/>
          <w:color w:val="auto"/>
          <w:sz w:val="18"/>
          <w:szCs w:val="21"/>
          <w:highlight w:val="none"/>
        </w:rPr>
      </w:pPr>
      <w:r>
        <w:rPr>
          <w:rFonts w:hint="eastAsia" w:ascii="宋体" w:hAnsi="宋体" w:eastAsia="宋体" w:cs="宋体"/>
          <w:b/>
          <w:color w:val="auto"/>
          <w:kern w:val="0"/>
          <w:sz w:val="21"/>
          <w:szCs w:val="20"/>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46584D3D">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（1）不再进行开标，将本标项作废标处理，重新组织采购；</w:t>
      </w:r>
    </w:p>
    <w:p w14:paraId="600F868D">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（2）按同级政府采购监督管理部门的审批意见采用其他采购方式组织采购。</w:t>
      </w:r>
    </w:p>
    <w:p w14:paraId="58FE7857">
      <w:pPr>
        <w:pStyle w:val="4"/>
        <w:autoSpaceDN w:val="0"/>
        <w:spacing w:before="360"/>
        <w:ind w:firstLine="221" w:firstLineChars="100"/>
        <w:rPr>
          <w:rFonts w:hint="eastAsia" w:ascii="宋体" w:hAnsi="宋体" w:eastAsia="宋体" w:cs="宋体"/>
          <w:color w:val="auto"/>
          <w:sz w:val="22"/>
          <w:szCs w:val="22"/>
          <w:highlight w:val="none"/>
        </w:rPr>
      </w:pPr>
      <w:bookmarkStart w:id="31" w:name="_Toc14607"/>
      <w:bookmarkStart w:id="32" w:name="_Toc6995"/>
      <w:r>
        <w:rPr>
          <w:rFonts w:hint="eastAsia" w:ascii="宋体" w:hAnsi="宋体" w:eastAsia="宋体" w:cs="宋体"/>
          <w:color w:val="auto"/>
          <w:sz w:val="22"/>
          <w:szCs w:val="22"/>
          <w:highlight w:val="none"/>
        </w:rPr>
        <w:t>六、</w:t>
      </w:r>
      <w:bookmarkEnd w:id="29"/>
      <w:bookmarkEnd w:id="30"/>
      <w:r>
        <w:rPr>
          <w:rFonts w:hint="eastAsia" w:ascii="宋体" w:hAnsi="宋体" w:eastAsia="宋体" w:cs="宋体"/>
          <w:color w:val="auto"/>
          <w:sz w:val="22"/>
          <w:szCs w:val="22"/>
          <w:highlight w:val="none"/>
        </w:rPr>
        <w:t>开标</w:t>
      </w:r>
      <w:bookmarkEnd w:id="31"/>
      <w:bookmarkEnd w:id="32"/>
    </w:p>
    <w:p w14:paraId="781B033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6.1 磋商时间、地点</w:t>
      </w:r>
    </w:p>
    <w:p w14:paraId="28541E70">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6.1.1磋商时间：</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06E0CA5">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6.1.2磋商地点：</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65B4BF4E">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6.2 磋商组织与邀请</w:t>
      </w:r>
    </w:p>
    <w:p w14:paraId="7DFB67D3">
      <w:pPr>
        <w:autoSpaceDN w:val="0"/>
        <w:spacing w:line="360" w:lineRule="auto"/>
        <w:ind w:firstLine="371" w:firstLineChars="17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6.2.1磋商准备：</w:t>
      </w:r>
      <w:r>
        <w:rPr>
          <w:rFonts w:hint="eastAsia" w:ascii="宋体" w:hAnsi="宋体" w:eastAsia="宋体" w:cs="宋体"/>
          <w:color w:val="auto"/>
          <w:kern w:val="0"/>
          <w:sz w:val="21"/>
          <w:szCs w:val="21"/>
          <w:highlight w:val="none"/>
        </w:rPr>
        <w:t>本项目磋商</w:t>
      </w:r>
      <w:r>
        <w:rPr>
          <w:rFonts w:hint="eastAsia" w:ascii="宋体" w:hAnsi="宋体" w:eastAsia="宋体" w:cs="宋体"/>
          <w:color w:val="auto"/>
          <w:kern w:val="0"/>
          <w:sz w:val="21"/>
          <w:szCs w:val="20"/>
          <w:highlight w:val="none"/>
        </w:rPr>
        <w:t>现场活动由采购人或采购代理机构（以下简称“采购组织机构”）组织实施，准备工作由采购组织机构负责落实，磋商过程由采购组织机构负责记录，磋商现场由采购组织机构人员主持。</w:t>
      </w:r>
    </w:p>
    <w:p w14:paraId="09A46627">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6.2.2磋商邀请：本项目采用电子交易，采购组织机构将按照竞争性磋商文件规定的时间通过“政府采购云平台，网址：</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"http://www.zcygov.cn" </w:instrText>
      </w:r>
      <w:r>
        <w:rPr>
          <w:rFonts w:hint="eastAsia" w:ascii="宋体" w:hAnsi="宋体" w:eastAsia="宋体" w:cs="宋体"/>
          <w:color w:val="auto"/>
          <w:sz w:val="18"/>
          <w:szCs w:val="21"/>
          <w:highlight w:val="none"/>
        </w:rPr>
        <w:fldChar w:fldCharType="separate"/>
      </w:r>
      <w:r>
        <w:rPr>
          <w:rStyle w:val="58"/>
          <w:rFonts w:hint="eastAsia" w:ascii="宋体" w:hAnsi="宋体" w:eastAsia="宋体" w:cs="宋体"/>
          <w:b/>
          <w:color w:val="auto"/>
          <w:kern w:val="0"/>
          <w:sz w:val="18"/>
          <w:szCs w:val="18"/>
          <w:highlight w:val="none"/>
        </w:rPr>
        <w:t>www.zcygov.cn</w:t>
      </w:r>
      <w:r>
        <w:rPr>
          <w:rStyle w:val="58"/>
          <w:rFonts w:hint="eastAsia" w:ascii="宋体" w:hAnsi="宋体" w:eastAsia="宋体" w:cs="宋体"/>
          <w:b/>
          <w:color w:val="auto"/>
          <w:kern w:val="0"/>
          <w:sz w:val="18"/>
          <w:szCs w:val="18"/>
          <w:highlight w:val="none"/>
        </w:rPr>
        <w:fldChar w:fldCharType="end"/>
      </w:r>
      <w:r>
        <w:rPr>
          <w:rFonts w:hint="eastAsia" w:ascii="宋体" w:hAnsi="宋体" w:eastAsia="宋体" w:cs="宋体"/>
          <w:b/>
          <w:color w:val="auto"/>
          <w:kern w:val="0"/>
          <w:sz w:val="21"/>
          <w:szCs w:val="21"/>
          <w:highlight w:val="none"/>
        </w:rPr>
        <w:t>”组织开标、开启磋商响应文件，所有供应商均应当准时在线参加。</w:t>
      </w:r>
    </w:p>
    <w:p w14:paraId="1BA01CC9">
      <w:pPr>
        <w:autoSpaceDN w:val="0"/>
        <w:spacing w:line="360" w:lineRule="auto"/>
        <w:ind w:firstLine="371" w:firstLineChars="176"/>
        <w:rPr>
          <w:rFonts w:hint="eastAsia" w:ascii="宋体" w:hAnsi="宋体" w:eastAsia="宋体" w:cs="宋体"/>
          <w:color w:val="auto"/>
          <w:sz w:val="18"/>
          <w:szCs w:val="21"/>
          <w:highlight w:val="none"/>
        </w:rPr>
      </w:pPr>
      <w:r>
        <w:rPr>
          <w:rFonts w:hint="eastAsia" w:ascii="宋体" w:hAnsi="宋体" w:eastAsia="宋体" w:cs="宋体"/>
          <w:b/>
          <w:color w:val="auto"/>
          <w:kern w:val="0"/>
          <w:sz w:val="21"/>
          <w:szCs w:val="20"/>
          <w:highlight w:val="none"/>
        </w:rPr>
        <w:t>6.2.3磋商响应文件开启顺序：</w:t>
      </w:r>
      <w:r>
        <w:rPr>
          <w:rFonts w:hint="eastAsia" w:ascii="宋体" w:hAnsi="宋体" w:eastAsia="宋体" w:cs="宋体"/>
          <w:b/>
          <w:color w:val="auto"/>
          <w:kern w:val="0"/>
          <w:sz w:val="21"/>
          <w:szCs w:val="21"/>
          <w:highlight w:val="none"/>
          <w:u w:val="single"/>
        </w:rPr>
        <w:t>资格文件、商务技术文件、报价文件</w:t>
      </w:r>
      <w:r>
        <w:rPr>
          <w:rFonts w:hint="eastAsia" w:ascii="宋体" w:hAnsi="宋体" w:eastAsia="宋体" w:cs="宋体"/>
          <w:color w:val="auto"/>
          <w:kern w:val="0"/>
          <w:sz w:val="21"/>
          <w:szCs w:val="20"/>
          <w:highlight w:val="none"/>
        </w:rPr>
        <w:t>。</w:t>
      </w:r>
    </w:p>
    <w:p w14:paraId="7D4C393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6.2.4供应商对磋商过程和磋商记录有疑义，以及认为采购人、采购代理机构相关工作人员有需要回避的情形的，应当场提出询问或回避申请。供应商未参加磋商的视同认可磋商结果。</w:t>
      </w:r>
    </w:p>
    <w:p w14:paraId="6DF38DC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6.3 开标流程（两阶段）</w:t>
      </w:r>
    </w:p>
    <w:p w14:paraId="7737D86B">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6.3.1开标流程：</w:t>
      </w:r>
    </w:p>
    <w:p w14:paraId="40845169">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磋商响应文件提交截止时间止，由采购代理机构向各磋商响应供应商发出电子加密响应文件的【开始解密】通知，由供应商按磋商文件规定的时间内自行进行磋商响应文件的解密（解密规定见《磋商须知前附表》）。</w:t>
      </w:r>
    </w:p>
    <w:p w14:paraId="0DF3F330">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（2）磋商响应供应商在规定的时间内无法完成已递交的“电子加密响应文件”解密的，按磋商响应文件解密异常情况处理（处理办法见《磋商须知前附表》）；</w:t>
      </w:r>
    </w:p>
    <w:p w14:paraId="21C9F483">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（3）公布磋商响应文件解密情况（磋商响应文件成功解密的供应商名单等信息），磋商响应供应商通过邮件形式签署《政府采购活动现场确认声明书》；</w:t>
      </w:r>
    </w:p>
    <w:p w14:paraId="709845D9">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开启标书信息（资格文件、商务技术文件）。标书信息开启后，首先由磋商小组依法对磋商响应供应商的资格文件进行审查，审查磋商响应供应商的资格符合情况。资格审查结束后进入商务技术评审。资格审查合格的磋商响应供应商数量不足三家的，项目不再进行评审。</w:t>
      </w:r>
    </w:p>
    <w:p w14:paraId="19992F6A">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（5）商务技术磋商、评审结束后，公布商务技术评审无效供应商名称及理由及经商务技术评审的有效磋商响应供应商名单。</w:t>
      </w:r>
    </w:p>
    <w:p w14:paraId="321F9363">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（6）磋商小组对供应商报价文件的合理性、准确性等进行审查核实。</w:t>
      </w:r>
    </w:p>
    <w:p w14:paraId="57F177FB">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（7）经磋商小组对报价文件的评审及磋商后，要求供应商在规定的时间内提交最后报价，采购代理机构向各磋商响应供应商发出最后报价通知，由供应商在规定的时间内自行填写最终报价加盖签章并上传。</w:t>
      </w:r>
    </w:p>
    <w:p w14:paraId="0076C98A">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（8）已提交磋商响应文件的供应商，在提交最后报价之前，若因磋商文件实质性变动导致供应商无法满足采购需求的，允许供应商退出磋商。</w:t>
      </w:r>
    </w:p>
    <w:p w14:paraId="756B2150">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（9）采购代理机构公布各有效供应商的商务技术得分情况及最后报价情况，制作开标记录表，供应商予以确认，不予确认的应说明理由，否则视为无异议。</w:t>
      </w:r>
    </w:p>
    <w:p w14:paraId="5E886FB6">
      <w:pPr>
        <w:autoSpaceDN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（10）评审结束后，公布成交候选供应商名单及采购人最终确定成交供应商名单的时间和公告方式等</w:t>
      </w:r>
      <w:r>
        <w:rPr>
          <w:rFonts w:hint="eastAsia" w:ascii="宋体" w:hAnsi="宋体" w:eastAsia="宋体" w:cs="宋体"/>
          <w:color w:val="auto"/>
          <w:kern w:val="0"/>
          <w:sz w:val="21"/>
          <w:szCs w:val="21"/>
          <w:highlight w:val="none"/>
        </w:rPr>
        <w:t>。</w:t>
      </w:r>
    </w:p>
    <w:p w14:paraId="5A242E95">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6.3.2特殊情况说明</w:t>
      </w:r>
    </w:p>
    <w:p w14:paraId="2A11627B">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（1）本项目采用电子交易，如遇“政府采购云平台”电子化开标或评审程序调整的，按调整后程序执行。</w:t>
      </w:r>
    </w:p>
    <w:p w14:paraId="4E4ED221">
      <w:pPr>
        <w:autoSpaceDN w:val="0"/>
        <w:spacing w:line="360" w:lineRule="auto"/>
        <w:ind w:firstLine="373" w:firstLineChars="177"/>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1"/>
          <w:szCs w:val="21"/>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0439FFC0">
      <w:pPr>
        <w:pStyle w:val="4"/>
        <w:autoSpaceDN w:val="0"/>
        <w:spacing w:before="360"/>
        <w:ind w:firstLine="221" w:firstLineChars="100"/>
        <w:rPr>
          <w:rFonts w:hint="eastAsia" w:ascii="宋体" w:hAnsi="宋体" w:eastAsia="宋体" w:cs="宋体"/>
          <w:color w:val="auto"/>
          <w:sz w:val="22"/>
          <w:szCs w:val="22"/>
          <w:highlight w:val="none"/>
        </w:rPr>
      </w:pPr>
      <w:bookmarkStart w:id="33" w:name="_Toc1206"/>
      <w:bookmarkStart w:id="34" w:name="_Toc28197"/>
      <w:r>
        <w:rPr>
          <w:rFonts w:hint="eastAsia" w:ascii="宋体" w:hAnsi="宋体" w:eastAsia="宋体" w:cs="宋体"/>
          <w:color w:val="auto"/>
          <w:sz w:val="22"/>
          <w:szCs w:val="22"/>
          <w:highlight w:val="none"/>
        </w:rPr>
        <w:t>七、评审</w:t>
      </w:r>
      <w:bookmarkEnd w:id="33"/>
      <w:bookmarkEnd w:id="34"/>
      <w:bookmarkStart w:id="35" w:name="_Toc294012141"/>
      <w:bookmarkStart w:id="36" w:name="_Toc298767927"/>
      <w:bookmarkStart w:id="37" w:name="_Toc82338245"/>
      <w:bookmarkStart w:id="38" w:name="_Toc82873328"/>
      <w:bookmarkStart w:id="39" w:name="_Toc211745569"/>
    </w:p>
    <w:p w14:paraId="41D89FC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7.1 评审工作的组织</w:t>
      </w:r>
    </w:p>
    <w:p w14:paraId="3393CE13">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采购人或采购代理机构负责组织本项目的评审工作，并依据相关规定履行职责。</w:t>
      </w:r>
    </w:p>
    <w:p w14:paraId="7B05E07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7.2 磋商小组的组建</w:t>
      </w:r>
    </w:p>
    <w:p w14:paraId="66B29C11">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7.2.1磋商小组由采购人或采购代理机构依法组建，成员由采购人代表和评审专家组成，成员人数为三人或以上单数，其中评审专家不少于成员总数的三分之二。</w:t>
      </w:r>
    </w:p>
    <w:p w14:paraId="33D01BD4">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7.2.2评审专家从省级或以上财政部门设立的政府采购评审专家库中通过随机方式抽取产生。磋商小组成员名单在采购结果公告前保密。</w:t>
      </w:r>
    </w:p>
    <w:p w14:paraId="59B1B65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7.3 磋商小组的职责</w:t>
      </w:r>
    </w:p>
    <w:p w14:paraId="1D616D96">
      <w:pPr>
        <w:autoSpaceDN w:val="0"/>
        <w:spacing w:line="360" w:lineRule="auto"/>
        <w:ind w:firstLine="371" w:firstLineChars="176"/>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7.3.1磋商小组负责具体评审事务，并独立履行下列职责：</w:t>
      </w:r>
    </w:p>
    <w:p w14:paraId="5983D74B">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（1）审查、评价磋商响应文件是否符合竞争性磋商文件的资格、商务、技术等实质性要求；</w:t>
      </w:r>
    </w:p>
    <w:p w14:paraId="237CF2F7">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（2）要求磋商响应供应商对磋商响应文件有关事项作出澄清或者说明；</w:t>
      </w:r>
    </w:p>
    <w:p w14:paraId="5E7DC12F">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（3）对磋商响应文件进行比较和评价；</w:t>
      </w:r>
    </w:p>
    <w:p w14:paraId="063B3C32">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（4）确定成交候选供应商名单，以及根据采购人委托直接确定成交供应商；</w:t>
      </w:r>
    </w:p>
    <w:p w14:paraId="7D63E1BF">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（5）向采购人、采购代理机构或者有关部门报告评审中发现的违法行为。</w:t>
      </w:r>
    </w:p>
    <w:p w14:paraId="709A4C6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7.4 评审原则</w:t>
      </w:r>
    </w:p>
    <w:p w14:paraId="3B9A4AE1">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7.4.1评审原则：</w:t>
      </w:r>
      <w:r>
        <w:rPr>
          <w:rFonts w:hint="eastAsia" w:ascii="宋体" w:hAnsi="宋体" w:eastAsia="宋体" w:cs="宋体"/>
          <w:color w:val="auto"/>
          <w:kern w:val="0"/>
          <w:sz w:val="21"/>
          <w:szCs w:val="20"/>
          <w:highlight w:val="none"/>
        </w:rPr>
        <w:t>磋商小组</w:t>
      </w:r>
      <w:r>
        <w:rPr>
          <w:rFonts w:hint="eastAsia" w:ascii="宋体" w:hAnsi="宋体" w:eastAsia="宋体" w:cs="宋体"/>
          <w:color w:val="auto"/>
          <w:sz w:val="21"/>
          <w:szCs w:val="21"/>
          <w:highlight w:val="none"/>
        </w:rPr>
        <w:t>按照客观、公正、审慎、择优的原则，根据竞争性磋商文件规定的评审程序、评审方法和评审标准进行独立评审。</w:t>
      </w:r>
    </w:p>
    <w:p w14:paraId="6794D20A">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7.4.2评审工作将依据</w:t>
      </w:r>
      <w:r>
        <w:rPr>
          <w:rFonts w:hint="eastAsia" w:ascii="宋体" w:hAnsi="宋体" w:eastAsia="宋体" w:cs="宋体"/>
          <w:color w:val="auto"/>
          <w:kern w:val="0"/>
          <w:sz w:val="21"/>
          <w:szCs w:val="20"/>
          <w:highlight w:val="none"/>
        </w:rPr>
        <w:t>竞争性磋商文件、磋商响应文件及竞争性磋商文件中事先已列明的内容进行（如现场方案讲解、演示、样品等）。</w:t>
      </w:r>
    </w:p>
    <w:p w14:paraId="0ED3CDB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7.5 评审意见的争议处理</w:t>
      </w:r>
    </w:p>
    <w:p w14:paraId="0CB1B7F3">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磋商小组成员对需要共同认定的事项存在争议的，按照少数服从多数的原则作出结论。</w:t>
      </w:r>
      <w:r>
        <w:rPr>
          <w:rFonts w:hint="eastAsia" w:ascii="宋体" w:hAnsi="宋体" w:eastAsia="宋体" w:cs="宋体"/>
          <w:color w:val="auto"/>
          <w:sz w:val="21"/>
          <w:szCs w:val="21"/>
          <w:highlight w:val="none"/>
        </w:rPr>
        <w:t>持不同意见的磋商小组成员应当在评审报告上签署不同意见及理由，否则视为同意评审报告。</w:t>
      </w:r>
    </w:p>
    <w:p w14:paraId="46C7C97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7.6 评委纪律</w:t>
      </w:r>
    </w:p>
    <w:p w14:paraId="5354C438">
      <w:pPr>
        <w:autoSpaceDN w:val="0"/>
        <w:spacing w:line="360" w:lineRule="auto"/>
        <w:ind w:firstLine="371" w:firstLineChars="177"/>
        <w:rPr>
          <w:rFonts w:hint="eastAsia" w:ascii="宋体" w:hAnsi="宋体" w:eastAsia="宋体" w:cs="宋体"/>
          <w:color w:val="auto"/>
          <w:sz w:val="18"/>
          <w:szCs w:val="21"/>
          <w:highlight w:val="none"/>
        </w:rPr>
      </w:pPr>
      <w:r>
        <w:rPr>
          <w:rFonts w:hint="eastAsia" w:ascii="宋体" w:hAnsi="宋体" w:eastAsia="宋体" w:cs="宋体"/>
          <w:color w:val="auto"/>
          <w:sz w:val="21"/>
          <w:szCs w:val="21"/>
          <w:highlight w:val="none"/>
        </w:rPr>
        <w:t>磋商小组成员必须严格遵守保密规定，不得泄露评审的有关情况</w:t>
      </w:r>
      <w:r>
        <w:rPr>
          <w:rFonts w:hint="eastAsia" w:ascii="宋体" w:hAnsi="宋体" w:eastAsia="宋体" w:cs="宋体"/>
          <w:color w:val="auto"/>
          <w:kern w:val="0"/>
          <w:sz w:val="21"/>
          <w:szCs w:val="20"/>
          <w:highlight w:val="none"/>
        </w:rPr>
        <w:t>，任何单位和个人不得干扰、影响评标的正常进行，磋商小组成员不得私下与磋商响应供应商接触，不得出现浙江省政府采购活动现场组织管理办法中规定的其他禁止行为。</w:t>
      </w:r>
    </w:p>
    <w:p w14:paraId="0F9C8A26">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7.7 评审方法和标准</w:t>
      </w:r>
    </w:p>
    <w:p w14:paraId="0AAE5477">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7.7.1评审方法和标准：</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79E29279">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1"/>
          <w:highlight w:val="none"/>
        </w:rPr>
        <w:t>7.7.2</w:t>
      </w:r>
      <w:r>
        <w:rPr>
          <w:rFonts w:hint="eastAsia" w:ascii="宋体" w:hAnsi="宋体" w:eastAsia="宋体" w:cs="宋体"/>
          <w:b/>
          <w:color w:val="auto"/>
          <w:kern w:val="0"/>
          <w:sz w:val="21"/>
          <w:szCs w:val="20"/>
          <w:highlight w:val="none"/>
        </w:rPr>
        <w:t>标书信息开启后，磋商小组首先依法对磋商响应供应商的资格文件进行审查，审查各磋商响应供应商的资格符合情况。</w:t>
      </w:r>
      <w:r>
        <w:rPr>
          <w:rFonts w:hint="eastAsia" w:ascii="宋体" w:hAnsi="宋体" w:eastAsia="宋体" w:cs="宋体"/>
          <w:b/>
          <w:color w:val="auto"/>
          <w:kern w:val="0"/>
          <w:sz w:val="21"/>
          <w:szCs w:val="21"/>
          <w:highlight w:val="none"/>
        </w:rPr>
        <w:t>供应商</w:t>
      </w:r>
      <w:r>
        <w:rPr>
          <w:rFonts w:hint="eastAsia" w:ascii="宋体" w:hAnsi="宋体" w:eastAsia="宋体" w:cs="宋体"/>
          <w:b/>
          <w:color w:val="auto"/>
          <w:sz w:val="21"/>
          <w:szCs w:val="21"/>
          <w:highlight w:val="none"/>
        </w:rPr>
        <w:t>信用记录查询与使用：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035463E4">
      <w:pPr>
        <w:autoSpaceDN w:val="0"/>
        <w:spacing w:line="360" w:lineRule="auto"/>
        <w:ind w:firstLine="373" w:firstLineChars="177"/>
        <w:rPr>
          <w:rFonts w:hint="eastAsia" w:ascii="宋体" w:hAnsi="宋体" w:eastAsia="宋体" w:cs="宋体"/>
          <w:color w:val="auto"/>
          <w:kern w:val="0"/>
          <w:sz w:val="18"/>
          <w:szCs w:val="21"/>
          <w:highlight w:val="none"/>
        </w:rPr>
      </w:pPr>
      <w:r>
        <w:rPr>
          <w:rFonts w:hint="eastAsia" w:ascii="宋体" w:hAnsi="宋体" w:eastAsia="宋体" w:cs="宋体"/>
          <w:b/>
          <w:color w:val="auto"/>
          <w:kern w:val="0"/>
          <w:sz w:val="21"/>
          <w:szCs w:val="21"/>
          <w:highlight w:val="none"/>
        </w:rPr>
        <w:t>7.7.3资格审查结束后，磋商小组将按照竞争性磋商文件中规定的评审方法和标准，对符合性审查合格的磋商响应文件进行商务和技术评估，综合比较与评价。</w:t>
      </w:r>
      <w:r>
        <w:rPr>
          <w:rFonts w:hint="eastAsia" w:ascii="宋体" w:hAnsi="宋体" w:eastAsia="宋体" w:cs="宋体"/>
          <w:color w:val="auto"/>
          <w:kern w:val="0"/>
          <w:sz w:val="21"/>
          <w:szCs w:val="21"/>
          <w:highlight w:val="none"/>
        </w:rPr>
        <w:t>详细评审方法和标准见本竞争性磋商文件第七章《评审办法》</w:t>
      </w:r>
      <w:r>
        <w:rPr>
          <w:rFonts w:hint="eastAsia" w:ascii="宋体" w:hAnsi="宋体" w:eastAsia="宋体" w:cs="宋体"/>
          <w:color w:val="auto"/>
          <w:kern w:val="0"/>
          <w:sz w:val="18"/>
          <w:szCs w:val="21"/>
          <w:highlight w:val="none"/>
        </w:rPr>
        <w:t>。</w:t>
      </w:r>
    </w:p>
    <w:p w14:paraId="2601CC14">
      <w:pPr>
        <w:pStyle w:val="4"/>
        <w:autoSpaceDN w:val="0"/>
        <w:spacing w:before="360"/>
        <w:ind w:firstLine="221" w:firstLineChars="100"/>
        <w:rPr>
          <w:rFonts w:hint="eastAsia" w:ascii="宋体" w:hAnsi="宋体" w:eastAsia="宋体" w:cs="宋体"/>
          <w:color w:val="auto"/>
          <w:sz w:val="24"/>
          <w:szCs w:val="24"/>
          <w:highlight w:val="none"/>
        </w:rPr>
      </w:pPr>
      <w:bookmarkStart w:id="40" w:name="_Toc5711"/>
      <w:bookmarkStart w:id="41" w:name="_Toc3628"/>
      <w:r>
        <w:rPr>
          <w:rFonts w:hint="eastAsia" w:ascii="宋体" w:hAnsi="宋体" w:eastAsia="宋体" w:cs="宋体"/>
          <w:color w:val="auto"/>
          <w:sz w:val="22"/>
          <w:szCs w:val="22"/>
          <w:highlight w:val="none"/>
        </w:rPr>
        <w:t>八、采购结果确认与公告</w:t>
      </w:r>
      <w:bookmarkEnd w:id="40"/>
      <w:bookmarkEnd w:id="41"/>
    </w:p>
    <w:p w14:paraId="6CD62C2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8.1 采购结果确认（确定成交供应商）</w:t>
      </w:r>
    </w:p>
    <w:p w14:paraId="2D4032D6">
      <w:pPr>
        <w:autoSpaceDN w:val="0"/>
        <w:spacing w:line="360" w:lineRule="auto"/>
        <w:ind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8.1.1采购结果确认（确定成交供应商）：本项目由采购人根据磋商小组递交的《评审报告》，通过“政府采购云平台”依法确认采购结果、确定成交供应商。具体流程如下：</w:t>
      </w:r>
    </w:p>
    <w:p w14:paraId="3E51689C">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（1）采购代理机构将在评审结束后2个工作日内将评审报告送采购人。</w:t>
      </w:r>
    </w:p>
    <w:p w14:paraId="54151C22">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（2）采购人将在收到评审报告之日起5个工作日内，在评审报告推荐的成交候选供应商名单中按顺序确定成交供应商，并将确认意见以书面形式回复采购代理机构。</w:t>
      </w:r>
    </w:p>
    <w:p w14:paraId="7AC4EBEB">
      <w:pPr>
        <w:autoSpaceDN w:val="0"/>
        <w:spacing w:line="360" w:lineRule="auto"/>
        <w:ind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8.1.2采购人及采购组织机构不对评审结果做任何解释。</w:t>
      </w:r>
    </w:p>
    <w:p w14:paraId="121948A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8.2 采购结果公告和成交通知书签发</w:t>
      </w:r>
    </w:p>
    <w:p w14:paraId="5C164D23">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0"/>
          <w:highlight w:val="none"/>
        </w:rPr>
        <w:t>8.2.1采购结果公告及《成交通知书》签发：</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0851F0C8">
      <w:pPr>
        <w:autoSpaceDN w:val="0"/>
        <w:spacing w:line="360" w:lineRule="auto"/>
        <w:ind w:firstLine="369" w:firstLineChars="175"/>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1"/>
          <w:highlight w:val="none"/>
        </w:rPr>
        <w:t>8.2.2成交公告期限为1个工作日；</w:t>
      </w:r>
    </w:p>
    <w:p w14:paraId="0DF75D77">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9.2.3成交通知书发出后，成交供应商无正当理由不得放弃成交。</w:t>
      </w:r>
    </w:p>
    <w:p w14:paraId="5039885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42" w:name="_Toc35391900"/>
      <w:r>
        <w:rPr>
          <w:rFonts w:hint="eastAsia" w:ascii="宋体" w:hAnsi="宋体" w:eastAsia="宋体" w:cs="宋体"/>
          <w:b/>
          <w:bCs/>
          <w:color w:val="auto"/>
          <w:sz w:val="21"/>
          <w:szCs w:val="24"/>
          <w:highlight w:val="none"/>
        </w:rPr>
        <w:t>8.3 采购过程、采购结果的质疑</w:t>
      </w:r>
    </w:p>
    <w:p w14:paraId="630FAF89">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磋商响应供应商认为采购过程、采购结果使自己的合法权益受到损害的，应当按照本章节第1.16.2款规定，以书面形式一次性向采购人、采购代理机构提出质疑。</w:t>
      </w:r>
      <w:r>
        <w:rPr>
          <w:rFonts w:hint="eastAsia" w:ascii="宋体" w:hAnsi="宋体" w:eastAsia="宋体" w:cs="宋体"/>
          <w:color w:val="auto"/>
          <w:sz w:val="21"/>
          <w:szCs w:val="21"/>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E4E08E7">
      <w:pPr>
        <w:pStyle w:val="4"/>
        <w:autoSpaceDN w:val="0"/>
        <w:spacing w:before="360"/>
        <w:ind w:firstLine="221" w:firstLineChars="100"/>
        <w:rPr>
          <w:rFonts w:hint="eastAsia" w:ascii="宋体" w:hAnsi="宋体" w:eastAsia="宋体" w:cs="宋体"/>
          <w:color w:val="auto"/>
          <w:sz w:val="22"/>
          <w:szCs w:val="22"/>
          <w:highlight w:val="none"/>
        </w:rPr>
      </w:pPr>
      <w:bookmarkStart w:id="43" w:name="_Toc8954"/>
      <w:bookmarkStart w:id="44" w:name="_Toc24033"/>
      <w:r>
        <w:rPr>
          <w:rFonts w:hint="eastAsia" w:ascii="宋体" w:hAnsi="宋体" w:eastAsia="宋体" w:cs="宋体"/>
          <w:color w:val="auto"/>
          <w:sz w:val="22"/>
          <w:szCs w:val="22"/>
          <w:highlight w:val="none"/>
        </w:rPr>
        <w:t>九、</w:t>
      </w:r>
      <w:bookmarkEnd w:id="42"/>
      <w:r>
        <w:rPr>
          <w:rFonts w:hint="eastAsia" w:ascii="宋体" w:hAnsi="宋体" w:eastAsia="宋体" w:cs="宋体"/>
          <w:color w:val="auto"/>
          <w:sz w:val="22"/>
          <w:szCs w:val="22"/>
          <w:highlight w:val="none"/>
        </w:rPr>
        <w:t>采购代理服务费和造价咨询服务费</w:t>
      </w:r>
      <w:bookmarkEnd w:id="43"/>
      <w:bookmarkEnd w:id="44"/>
    </w:p>
    <w:p w14:paraId="62A0AFF3">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sz w:val="21"/>
          <w:szCs w:val="20"/>
          <w:highlight w:val="none"/>
        </w:rPr>
        <w:t>9.1.1采购代理服务费和造价咨询服务费的</w:t>
      </w:r>
      <w:r>
        <w:rPr>
          <w:rFonts w:hint="eastAsia" w:ascii="宋体" w:hAnsi="宋体" w:eastAsia="宋体" w:cs="宋体"/>
          <w:b/>
          <w:color w:val="auto"/>
          <w:kern w:val="0"/>
          <w:sz w:val="21"/>
          <w:szCs w:val="20"/>
          <w:highlight w:val="none"/>
        </w:rPr>
        <w:t>支付方：</w:t>
      </w:r>
      <w:r>
        <w:rPr>
          <w:rFonts w:hint="eastAsia" w:ascii="宋体" w:hAnsi="宋体" w:eastAsia="宋体" w:cs="宋体"/>
          <w:b/>
          <w:color w:val="auto"/>
          <w:kern w:val="0"/>
          <w:sz w:val="21"/>
          <w:szCs w:val="20"/>
          <w:highlight w:val="none"/>
          <w:u w:val="single"/>
        </w:rPr>
        <w:t>成交供应商</w:t>
      </w:r>
      <w:r>
        <w:rPr>
          <w:rFonts w:hint="eastAsia" w:ascii="宋体" w:hAnsi="宋体" w:eastAsia="宋体" w:cs="宋体"/>
          <w:b/>
          <w:color w:val="auto"/>
          <w:kern w:val="0"/>
          <w:sz w:val="21"/>
          <w:szCs w:val="20"/>
          <w:highlight w:val="none"/>
        </w:rPr>
        <w:t>；</w:t>
      </w:r>
    </w:p>
    <w:p w14:paraId="636A436E">
      <w:pPr>
        <w:autoSpaceDN w:val="0"/>
        <w:spacing w:line="360" w:lineRule="auto"/>
        <w:ind w:right="42" w:rightChars="20" w:firstLine="373" w:firstLineChars="177"/>
        <w:rPr>
          <w:rFonts w:hint="eastAsia" w:ascii="宋体" w:hAnsi="宋体" w:eastAsia="宋体" w:cs="宋体"/>
          <w:b/>
          <w:color w:val="auto"/>
          <w:sz w:val="21"/>
          <w:szCs w:val="20"/>
          <w:highlight w:val="none"/>
        </w:rPr>
      </w:pPr>
      <w:r>
        <w:rPr>
          <w:rFonts w:hint="eastAsia" w:ascii="宋体" w:hAnsi="宋体" w:eastAsia="宋体" w:cs="宋体"/>
          <w:b/>
          <w:color w:val="auto"/>
          <w:kern w:val="0"/>
          <w:sz w:val="21"/>
          <w:szCs w:val="20"/>
          <w:highlight w:val="none"/>
        </w:rPr>
        <w:t>9.1.2</w:t>
      </w:r>
      <w:r>
        <w:rPr>
          <w:rFonts w:hint="eastAsia" w:ascii="宋体" w:hAnsi="宋体" w:eastAsia="宋体" w:cs="宋体"/>
          <w:b/>
          <w:color w:val="auto"/>
          <w:sz w:val="21"/>
          <w:szCs w:val="20"/>
          <w:highlight w:val="none"/>
        </w:rPr>
        <w:t>收取标准或金额：</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0"/>
          <w:highlight w:val="none"/>
        </w:rPr>
        <w:t>；</w:t>
      </w:r>
    </w:p>
    <w:p w14:paraId="1A23CF66">
      <w:pPr>
        <w:autoSpaceDN w:val="0"/>
        <w:spacing w:line="360" w:lineRule="auto"/>
        <w:ind w:right="42" w:rightChars="20" w:firstLine="371" w:firstLineChars="177"/>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9.1.3缴纳时间：成交供应商确定后7日内，一次性缴纳；</w:t>
      </w:r>
    </w:p>
    <w:p w14:paraId="6B5E2FA2">
      <w:pPr>
        <w:autoSpaceDN w:val="0"/>
        <w:spacing w:line="360" w:lineRule="auto"/>
        <w:ind w:right="42" w:rightChars="20" w:firstLine="371" w:firstLineChars="177"/>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9.1.4缴纳形式：电汇、转账、支票、汇票（不接受现金），由成交供应商账户转出；</w:t>
      </w:r>
    </w:p>
    <w:p w14:paraId="345BEDB0">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9.1.5特别说明：</w:t>
      </w:r>
    </w:p>
    <w:p w14:paraId="1A518270">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（1）磋商响应供应商在磋商报价时应将采购代理服务费和造价咨询服务费计入磋商总价（单独列项或列入综合单价内，未计入的视为已包含）；</w:t>
      </w:r>
    </w:p>
    <w:p w14:paraId="1396FE6D">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（2）采购代理服务费和造价咨询服务费缴纳凭证将作为采购人合同付款和验收的前提条件，成交供应商未按上述规定和磋商承诺缴纳采购代理服务费的，合同款不予支付、合同验收不予通过；</w:t>
      </w:r>
    </w:p>
    <w:p w14:paraId="0F2AA6C6">
      <w:pPr>
        <w:autoSpaceDN w:val="0"/>
        <w:spacing w:line="360" w:lineRule="auto"/>
        <w:ind w:firstLine="373" w:firstLineChars="177"/>
        <w:rPr>
          <w:rFonts w:hint="eastAsia" w:ascii="宋体" w:hAnsi="宋体" w:eastAsia="宋体" w:cs="宋体"/>
          <w:color w:val="auto"/>
          <w:kern w:val="0"/>
          <w:sz w:val="20"/>
          <w:szCs w:val="20"/>
          <w:highlight w:val="none"/>
        </w:rPr>
      </w:pPr>
      <w:r>
        <w:rPr>
          <w:rFonts w:hint="eastAsia" w:ascii="宋体" w:hAnsi="宋体" w:eastAsia="宋体" w:cs="宋体"/>
          <w:b/>
          <w:color w:val="auto"/>
          <w:sz w:val="21"/>
          <w:szCs w:val="20"/>
          <w:highlight w:val="none"/>
        </w:rPr>
        <w:t>9.1.6</w:t>
      </w:r>
      <w:r>
        <w:rPr>
          <w:rFonts w:hint="eastAsia" w:ascii="宋体" w:hAnsi="宋体" w:eastAsia="宋体" w:cs="宋体"/>
          <w:b/>
          <w:color w:val="auto"/>
          <w:sz w:val="21"/>
          <w:szCs w:val="21"/>
          <w:highlight w:val="none"/>
        </w:rPr>
        <w:t>成交供应商确定后，成交供应商拒绝签订合同的，或因自身原因被取消成交资格或放弃成交的，已收取的采购代理服务费和造价咨询服务费不予退还，未支付的采购代理服务费和造价咨询服务费由采购人追偿后支付。</w:t>
      </w:r>
    </w:p>
    <w:p w14:paraId="3AD27DE6">
      <w:pPr>
        <w:pStyle w:val="4"/>
        <w:autoSpaceDN w:val="0"/>
        <w:spacing w:before="360"/>
        <w:ind w:firstLine="221" w:firstLineChars="100"/>
        <w:rPr>
          <w:rFonts w:hint="eastAsia" w:ascii="宋体" w:hAnsi="宋体" w:eastAsia="宋体" w:cs="宋体"/>
          <w:color w:val="auto"/>
          <w:sz w:val="22"/>
          <w:szCs w:val="22"/>
          <w:highlight w:val="none"/>
        </w:rPr>
      </w:pPr>
      <w:bookmarkStart w:id="45" w:name="_Toc440162792"/>
      <w:bookmarkStart w:id="46" w:name="_Toc424164160"/>
      <w:bookmarkStart w:id="47" w:name="_Toc35391901"/>
      <w:bookmarkStart w:id="48" w:name="_Toc11698"/>
      <w:bookmarkStart w:id="49" w:name="_Toc8489"/>
      <w:r>
        <w:rPr>
          <w:rFonts w:hint="eastAsia" w:ascii="宋体" w:hAnsi="宋体" w:eastAsia="宋体" w:cs="宋体"/>
          <w:color w:val="auto"/>
          <w:sz w:val="22"/>
          <w:szCs w:val="22"/>
          <w:highlight w:val="none"/>
        </w:rPr>
        <w:t>十、</w:t>
      </w:r>
      <w:bookmarkEnd w:id="45"/>
      <w:bookmarkEnd w:id="46"/>
      <w:r>
        <w:rPr>
          <w:rFonts w:hint="eastAsia" w:ascii="宋体" w:hAnsi="宋体" w:eastAsia="宋体" w:cs="宋体"/>
          <w:color w:val="auto"/>
          <w:sz w:val="22"/>
          <w:szCs w:val="22"/>
          <w:highlight w:val="none"/>
        </w:rPr>
        <w:t>合同签订和履约担保</w:t>
      </w:r>
      <w:bookmarkEnd w:id="47"/>
      <w:bookmarkEnd w:id="48"/>
      <w:bookmarkEnd w:id="49"/>
    </w:p>
    <w:p w14:paraId="2499B42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10.1 签订合同</w:t>
      </w:r>
    </w:p>
    <w:p w14:paraId="18E2B84F">
      <w:pPr>
        <w:autoSpaceDN w:val="0"/>
        <w:spacing w:line="360" w:lineRule="auto"/>
        <w:ind w:firstLine="371" w:firstLineChars="176"/>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10.1.1合同签订时间期限：</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0"/>
          <w:highlight w:val="none"/>
        </w:rPr>
        <w:t>；</w:t>
      </w:r>
    </w:p>
    <w:p w14:paraId="7264705A">
      <w:pPr>
        <w:autoSpaceDN w:val="0"/>
        <w:spacing w:line="360" w:lineRule="auto"/>
        <w:ind w:firstLine="371" w:firstLineChars="17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10.1.2成交供应商应在《磋商须知前附表》中规定的时间内，与采购人通过“政府采购云平台”签订政府采购合同。</w:t>
      </w:r>
      <w:r>
        <w:rPr>
          <w:rFonts w:hint="eastAsia" w:ascii="宋体" w:hAnsi="宋体" w:eastAsia="宋体" w:cs="宋体"/>
          <w:color w:val="auto"/>
          <w:kern w:val="0"/>
          <w:sz w:val="21"/>
          <w:szCs w:val="20"/>
          <w:highlight w:val="none"/>
        </w:rPr>
        <w:t>所签订的合同不得对竞争性磋商文件确定的事项和成交供应商磋商响应文件作实质性修改。</w:t>
      </w:r>
    </w:p>
    <w:p w14:paraId="3EF44B1F">
      <w:pPr>
        <w:autoSpaceDN w:val="0"/>
        <w:spacing w:line="360" w:lineRule="auto"/>
        <w:ind w:firstLine="371" w:firstLineChars="176"/>
        <w:rPr>
          <w:rFonts w:hint="eastAsia" w:ascii="宋体" w:hAnsi="宋体" w:eastAsia="宋体" w:cs="宋体"/>
          <w:color w:val="auto"/>
          <w:kern w:val="0"/>
          <w:sz w:val="21"/>
          <w:szCs w:val="20"/>
          <w:highlight w:val="none"/>
        </w:rPr>
      </w:pPr>
      <w:r>
        <w:rPr>
          <w:rFonts w:hint="eastAsia" w:ascii="宋体" w:hAnsi="宋体" w:eastAsia="宋体" w:cs="宋体"/>
          <w:b/>
          <w:color w:val="auto"/>
          <w:sz w:val="21"/>
          <w:szCs w:val="20"/>
          <w:highlight w:val="none"/>
        </w:rPr>
        <w:t>10.1.3</w:t>
      </w:r>
      <w:r>
        <w:rPr>
          <w:rFonts w:hint="eastAsia" w:ascii="宋体" w:hAnsi="宋体" w:eastAsia="宋体" w:cs="宋体"/>
          <w:b/>
          <w:color w:val="auto"/>
          <w:kern w:val="0"/>
          <w:sz w:val="21"/>
          <w:szCs w:val="20"/>
          <w:highlight w:val="none"/>
        </w:rPr>
        <w:t>成交供应商</w:t>
      </w:r>
      <w:r>
        <w:rPr>
          <w:rFonts w:hint="eastAsia" w:ascii="宋体" w:hAnsi="宋体" w:eastAsia="宋体" w:cs="宋体"/>
          <w:b/>
          <w:color w:val="auto"/>
          <w:sz w:val="21"/>
          <w:szCs w:val="20"/>
          <w:highlight w:val="none"/>
        </w:rPr>
        <w:t>拒绝与采购人签订合同的</w:t>
      </w:r>
      <w:r>
        <w:rPr>
          <w:rFonts w:hint="eastAsia" w:ascii="宋体" w:hAnsi="宋体" w:eastAsia="宋体" w:cs="宋体"/>
          <w:b/>
          <w:color w:val="auto"/>
          <w:kern w:val="0"/>
          <w:sz w:val="21"/>
          <w:szCs w:val="20"/>
          <w:highlight w:val="none"/>
        </w:rPr>
        <w:t>，</w:t>
      </w:r>
      <w:r>
        <w:rPr>
          <w:rFonts w:hint="eastAsia" w:ascii="宋体" w:hAnsi="宋体" w:eastAsia="宋体" w:cs="宋体"/>
          <w:b/>
          <w:color w:val="auto"/>
          <w:sz w:val="21"/>
          <w:szCs w:val="21"/>
          <w:highlight w:val="none"/>
        </w:rPr>
        <w:t>采购人、采购代理机构将对其失信行为上报至同级政府采购监督管理部门对其依法处理。</w:t>
      </w:r>
    </w:p>
    <w:p w14:paraId="55A6A8F2">
      <w:pPr>
        <w:autoSpaceDN w:val="0"/>
        <w:spacing w:line="360" w:lineRule="auto"/>
        <w:ind w:firstLine="371" w:firstLineChars="176"/>
        <w:rPr>
          <w:rFonts w:hint="eastAsia" w:ascii="宋体" w:hAnsi="宋体" w:eastAsia="宋体" w:cs="宋体"/>
          <w:b/>
          <w:color w:val="auto"/>
          <w:sz w:val="21"/>
          <w:szCs w:val="20"/>
          <w:highlight w:val="none"/>
        </w:rPr>
      </w:pPr>
      <w:r>
        <w:rPr>
          <w:rFonts w:hint="eastAsia" w:ascii="宋体" w:hAnsi="宋体" w:eastAsia="宋体" w:cs="宋体"/>
          <w:b/>
          <w:color w:val="auto"/>
          <w:kern w:val="0"/>
          <w:sz w:val="21"/>
          <w:szCs w:val="20"/>
          <w:highlight w:val="none"/>
        </w:rPr>
        <w:t>10.1.4原</w:t>
      </w:r>
      <w:r>
        <w:rPr>
          <w:rFonts w:hint="eastAsia" w:ascii="宋体" w:hAnsi="宋体" w:eastAsia="宋体" w:cs="宋体"/>
          <w:b/>
          <w:color w:val="auto"/>
          <w:sz w:val="21"/>
          <w:szCs w:val="20"/>
          <w:highlight w:val="none"/>
        </w:rPr>
        <w:t>成交供应商拒绝与采购人签订合同后，采购人可以按照评审报告推荐的成交候选人名单排序，确定下一候选人为成交供应商，也可以重新开展政府采购活动。</w:t>
      </w:r>
    </w:p>
    <w:p w14:paraId="6A044AA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10.2 履约担保（履约保证金）</w:t>
      </w:r>
    </w:p>
    <w:p w14:paraId="32EAD979">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10.2.1履约担保递交要求：</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0"/>
          <w:highlight w:val="none"/>
        </w:rPr>
        <w:t>；成交供应商应递交而未递交履约担保的，合同款不予支付、合同验收不予通过。</w:t>
      </w:r>
    </w:p>
    <w:p w14:paraId="5DC21574">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521089ED">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（1）采购人已向</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支付了合同款的，</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须一次性退还采购人已支付的合同款，并向采购人支付等额违约金；</w:t>
      </w:r>
    </w:p>
    <w:p w14:paraId="7F69CDFB">
      <w:pPr>
        <w:autoSpaceDN w:val="0"/>
        <w:spacing w:line="360" w:lineRule="auto"/>
        <w:ind w:firstLine="371" w:firstLineChars="177"/>
        <w:rPr>
          <w:rFonts w:hint="eastAsia" w:ascii="宋体" w:hAnsi="宋体" w:eastAsia="宋体" w:cs="宋体"/>
          <w:b/>
          <w:color w:val="auto"/>
          <w:kern w:val="0"/>
          <w:sz w:val="21"/>
          <w:szCs w:val="20"/>
          <w:highlight w:val="none"/>
        </w:rPr>
      </w:pPr>
      <w:r>
        <w:rPr>
          <w:rFonts w:hint="eastAsia" w:ascii="宋体" w:hAnsi="宋体" w:eastAsia="宋体" w:cs="宋体"/>
          <w:color w:val="auto"/>
          <w:kern w:val="0"/>
          <w:sz w:val="21"/>
          <w:szCs w:val="21"/>
          <w:highlight w:val="none"/>
        </w:rPr>
        <w:t>（2）采购人还未向</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支付合同款的，</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须一次性向采购人支付合同总额30%的违约金。</w:t>
      </w:r>
    </w:p>
    <w:p w14:paraId="6EC03CD6">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10.2.3履约保证金在成交供应商按约定履约完毕后退还（具体退还方式详见采购合同）。</w:t>
      </w:r>
    </w:p>
    <w:p w14:paraId="6500C97A">
      <w:pPr>
        <w:pStyle w:val="4"/>
        <w:autoSpaceDN w:val="0"/>
        <w:spacing w:before="360"/>
        <w:ind w:firstLine="221" w:firstLineChars="100"/>
        <w:rPr>
          <w:rFonts w:hint="eastAsia" w:ascii="宋体" w:hAnsi="宋体" w:eastAsia="宋体" w:cs="宋体"/>
          <w:color w:val="auto"/>
          <w:sz w:val="22"/>
          <w:szCs w:val="22"/>
          <w:highlight w:val="none"/>
        </w:rPr>
      </w:pPr>
      <w:bookmarkStart w:id="50" w:name="_Toc23573"/>
      <w:bookmarkStart w:id="51" w:name="_Toc35391902"/>
      <w:bookmarkStart w:id="52" w:name="_Toc15048"/>
      <w:r>
        <w:rPr>
          <w:rFonts w:hint="eastAsia" w:ascii="宋体" w:hAnsi="宋体" w:eastAsia="宋体" w:cs="宋体"/>
          <w:color w:val="auto"/>
          <w:sz w:val="22"/>
          <w:szCs w:val="22"/>
          <w:highlight w:val="none"/>
        </w:rPr>
        <w:t>十一、其他事项说明</w:t>
      </w:r>
      <w:bookmarkEnd w:id="50"/>
      <w:bookmarkEnd w:id="51"/>
      <w:bookmarkEnd w:id="52"/>
    </w:p>
    <w:p w14:paraId="28BCAB1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11.1 中小企业信用融资</w:t>
      </w:r>
    </w:p>
    <w:p w14:paraId="1004EC80">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16"/>
          <w:highlight w:val="none"/>
        </w:rPr>
        <w:t>11.1.1中小企业融资相关规定：</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182BCB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11.2 重要提醒</w:t>
      </w:r>
    </w:p>
    <w:p w14:paraId="15CF9B1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16"/>
          <w:highlight w:val="none"/>
        </w:rPr>
        <w:t>11.2.1磋商重要提醒：</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54290EA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11.3 竞争性磋商文件解释权</w:t>
      </w:r>
    </w:p>
    <w:p w14:paraId="30D94704">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11.3.1竞争性磋商文件解释权：</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0443D79A">
      <w:pPr>
        <w:pStyle w:val="68"/>
        <w:rPr>
          <w:rFonts w:hint="eastAsia" w:ascii="宋体" w:hAnsi="宋体" w:eastAsia="宋体" w:cs="宋体"/>
          <w:color w:val="auto"/>
          <w:highlight w:val="none"/>
        </w:rPr>
        <w:sectPr>
          <w:footerReference r:id="rId9" w:type="first"/>
          <w:footerReference r:id="rId8" w:type="default"/>
          <w:pgSz w:w="11905" w:h="16838"/>
          <w:pgMar w:top="856" w:right="1191" w:bottom="1417" w:left="1191" w:header="567" w:footer="680" w:gutter="0"/>
          <w:pgBorders>
            <w:top w:val="none" w:sz="0" w:space="0"/>
            <w:left w:val="none" w:sz="0" w:space="0"/>
            <w:bottom w:val="none" w:sz="0" w:space="0"/>
            <w:right w:val="none" w:sz="0" w:space="0"/>
          </w:pgBorders>
          <w:pgNumType w:fmt="decimal" w:start="0"/>
          <w:cols w:space="0" w:num="1"/>
          <w:titlePg/>
          <w:rtlGutter w:val="0"/>
          <w:docGrid w:linePitch="286" w:charSpace="0"/>
        </w:sectPr>
      </w:pPr>
    </w:p>
    <w:p w14:paraId="5B9E02D4">
      <w:pPr>
        <w:pStyle w:val="3"/>
        <w:autoSpaceDN w:val="0"/>
        <w:spacing w:before="240"/>
        <w:rPr>
          <w:rFonts w:hint="eastAsia" w:ascii="宋体" w:hAnsi="宋体" w:eastAsia="宋体" w:cs="宋体"/>
          <w:bCs/>
          <w:color w:val="auto"/>
          <w:kern w:val="44"/>
          <w:sz w:val="44"/>
          <w:szCs w:val="44"/>
          <w:highlight w:val="none"/>
        </w:rPr>
      </w:pPr>
      <w:bookmarkStart w:id="53" w:name="_Toc28471"/>
      <w:r>
        <w:rPr>
          <w:rFonts w:hint="eastAsia" w:ascii="宋体" w:hAnsi="宋体" w:eastAsia="宋体" w:cs="宋体"/>
          <w:bCs/>
          <w:color w:val="auto"/>
          <w:kern w:val="44"/>
          <w:sz w:val="44"/>
          <w:szCs w:val="44"/>
          <w:highlight w:val="none"/>
        </w:rPr>
        <w:t xml:space="preserve">第四章  </w:t>
      </w:r>
      <w:bookmarkEnd w:id="35"/>
      <w:bookmarkEnd w:id="36"/>
      <w:r>
        <w:rPr>
          <w:rFonts w:hint="eastAsia" w:ascii="宋体" w:hAnsi="宋体" w:eastAsia="宋体" w:cs="宋体"/>
          <w:bCs/>
          <w:color w:val="auto"/>
          <w:kern w:val="44"/>
          <w:sz w:val="44"/>
          <w:szCs w:val="44"/>
          <w:highlight w:val="none"/>
        </w:rPr>
        <w:t>采购内容及技术要求</w:t>
      </w:r>
      <w:bookmarkEnd w:id="53"/>
    </w:p>
    <w:p w14:paraId="6E2EF466">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54" w:name="_Toc57713377"/>
      <w:bookmarkStart w:id="55" w:name="_Toc23814"/>
      <w:bookmarkStart w:id="56" w:name="_Toc5206"/>
      <w:bookmarkStart w:id="57" w:name="_Toc26474"/>
      <w:bookmarkStart w:id="58" w:name="_Toc442102512"/>
      <w:bookmarkStart w:id="59" w:name="_Toc420505109"/>
      <w:r>
        <w:rPr>
          <w:rFonts w:ascii="宋体" w:hAnsi="宋体" w:eastAsia="宋体" w:cs="Times New Roman"/>
          <w:b/>
          <w:bCs/>
          <w:color w:val="auto"/>
          <w:kern w:val="0"/>
          <w:sz w:val="21"/>
          <w:szCs w:val="21"/>
          <w:highlight w:val="none"/>
          <w:lang w:val="en-US" w:eastAsia="zh-CN" w:bidi="ar-SA"/>
        </w:rPr>
        <w:t>一、</w:t>
      </w:r>
      <w:r>
        <w:rPr>
          <w:rFonts w:hint="eastAsia" w:ascii="宋体" w:hAnsi="宋体" w:eastAsia="宋体" w:cs="Times New Roman"/>
          <w:b/>
          <w:bCs/>
          <w:color w:val="auto"/>
          <w:kern w:val="0"/>
          <w:sz w:val="21"/>
          <w:szCs w:val="21"/>
          <w:highlight w:val="none"/>
          <w:lang w:val="en-US" w:eastAsia="zh-CN" w:bidi="ar-SA"/>
        </w:rPr>
        <w:t>项目概况</w:t>
      </w:r>
      <w:bookmarkEnd w:id="54"/>
      <w:bookmarkEnd w:id="55"/>
      <w:bookmarkEnd w:id="56"/>
      <w:bookmarkEnd w:id="57"/>
    </w:p>
    <w:p w14:paraId="4CA5B404">
      <w:pPr>
        <w:spacing w:line="360" w:lineRule="auto"/>
        <w:ind w:firstLine="42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浙江中医药大学文磊教授实验室改造项目</w:t>
      </w:r>
      <w:r>
        <w:rPr>
          <w:rFonts w:hint="eastAsia" w:ascii="宋体" w:hAnsi="宋体" w:cs="Times New Roman"/>
          <w:color w:val="auto"/>
          <w:szCs w:val="21"/>
          <w:highlight w:val="none"/>
        </w:rPr>
        <w:t>主要内容</w:t>
      </w:r>
      <w:r>
        <w:rPr>
          <w:rFonts w:hint="eastAsia" w:ascii="宋体" w:hAnsi="宋体" w:cs="Times New Roman"/>
          <w:color w:val="auto"/>
          <w:szCs w:val="21"/>
          <w:highlight w:val="none"/>
          <w:lang w:eastAsia="zh-CN"/>
        </w:rPr>
        <w:t>实验室装饰、电气、暖通、家具、自控系统等施工，</w:t>
      </w:r>
      <w:r>
        <w:rPr>
          <w:rFonts w:hint="eastAsia" w:ascii="宋体" w:hAnsi="宋体" w:cs="Times New Roman"/>
          <w:color w:val="auto"/>
          <w:szCs w:val="21"/>
          <w:highlight w:val="none"/>
          <w:lang w:val="en-US" w:eastAsia="zh-CN"/>
        </w:rPr>
        <w:t>具体</w:t>
      </w:r>
      <w:r>
        <w:rPr>
          <w:rFonts w:hint="eastAsia" w:ascii="宋体" w:hAnsi="宋体" w:cs="Times New Roman"/>
          <w:color w:val="auto"/>
          <w:szCs w:val="21"/>
          <w:highlight w:val="none"/>
        </w:rPr>
        <w:t>详见图纸及工程量清单，本项目工期</w:t>
      </w:r>
      <w:r>
        <w:rPr>
          <w:rFonts w:hint="eastAsia" w:ascii="宋体" w:hAnsi="宋体" w:cs="Times New Roman"/>
          <w:color w:val="auto"/>
          <w:szCs w:val="21"/>
          <w:highlight w:val="none"/>
          <w:lang w:val="en-US" w:eastAsia="zh-CN"/>
        </w:rPr>
        <w:t>55日历天</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招标图纸与工程量清单不一致时，以工程量清单为准。</w:t>
      </w:r>
    </w:p>
    <w:bookmarkEnd w:id="58"/>
    <w:bookmarkEnd w:id="59"/>
    <w:p w14:paraId="503220F7">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60" w:name="_Toc4338"/>
      <w:bookmarkStart w:id="61" w:name="_Toc27411"/>
      <w:bookmarkStart w:id="62" w:name="_Toc8820"/>
      <w:bookmarkStart w:id="63" w:name="_Toc57713381"/>
      <w:bookmarkStart w:id="64" w:name="_Toc13034"/>
      <w:bookmarkStart w:id="65" w:name="_Toc19432"/>
      <w:bookmarkStart w:id="66" w:name="_Toc78549727"/>
      <w:bookmarkStart w:id="67" w:name="_Toc8763"/>
      <w:r>
        <w:rPr>
          <w:rFonts w:hint="eastAsia" w:ascii="宋体" w:hAnsi="宋体" w:eastAsia="宋体" w:cs="Times New Roman"/>
          <w:b/>
          <w:bCs/>
          <w:color w:val="auto"/>
          <w:kern w:val="0"/>
          <w:sz w:val="21"/>
          <w:szCs w:val="21"/>
          <w:highlight w:val="none"/>
          <w:lang w:val="en-US" w:eastAsia="zh-CN" w:bidi="ar-SA"/>
        </w:rPr>
        <w:t>二、相关技术及材质要求</w:t>
      </w:r>
      <w:bookmarkEnd w:id="60"/>
      <w:bookmarkEnd w:id="61"/>
      <w:bookmarkEnd w:id="62"/>
    </w:p>
    <w:p w14:paraId="1B121393">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国家及地方现行颁布的其它相关法律法规。</w:t>
      </w:r>
    </w:p>
    <w:p w14:paraId="49CBD89F">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标准和规范的冲突处理</w:t>
      </w:r>
    </w:p>
    <w:p w14:paraId="3FC34A4A">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（1）图纸、标准、规范之间发生冲突时，采用要求最为严格的标准、规范。</w:t>
      </w:r>
    </w:p>
    <w:p w14:paraId="3D95022B">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（2）图纸、标准、规范与本招标文件之间发生冲突时，采用其中最为严格的要求。</w:t>
      </w:r>
    </w:p>
    <w:p w14:paraId="1BBBF815">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（3）在总体技术标准及相应规范下，各子系统有更细更明晰的标准及规范和特殊要求时应在投标文件中相应列出。</w:t>
      </w:r>
    </w:p>
    <w:p w14:paraId="7425DFD8">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所有设备家具安装后成交供应商进行环境检测，并提供第三方检测机构出具的合格检测报告证明。安装调试完成后，根据厂家或行业标准组织验收。</w:t>
      </w:r>
    </w:p>
    <w:p w14:paraId="52E9A029">
      <w:pPr>
        <w:widowControl w:val="0"/>
        <w:spacing w:line="360" w:lineRule="auto"/>
        <w:ind w:firstLine="420" w:firstLineChars="200"/>
        <w:jc w:val="both"/>
        <w:rPr>
          <w:rFonts w:hint="default"/>
          <w:color w:val="auto"/>
          <w:highlight w:val="none"/>
          <w:lang w:val="en-US" w:eastAsia="zh-CN"/>
        </w:rPr>
      </w:pPr>
      <w:r>
        <w:rPr>
          <w:rFonts w:hint="eastAsia" w:ascii="宋体" w:hAnsi="宋体" w:cs="Times New Roman"/>
          <w:color w:val="auto"/>
          <w:kern w:val="2"/>
          <w:sz w:val="21"/>
          <w:szCs w:val="21"/>
          <w:highlight w:val="none"/>
          <w:lang w:val="en-US" w:eastAsia="zh-CN" w:bidi="ar-SA"/>
        </w:rPr>
        <w:t>3、材质要求详见图纸及图纸附件。</w:t>
      </w:r>
    </w:p>
    <w:p w14:paraId="6E089CF6">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pPr>
      <w:bookmarkStart w:id="68" w:name="_Toc27007"/>
      <w:bookmarkStart w:id="69" w:name="_Hlk112060207"/>
      <w:r>
        <w:rPr>
          <w:rFonts w:hint="eastAsia" w:ascii="宋体" w:hAnsi="宋体" w:eastAsia="宋体" w:cs="Times New Roman"/>
          <w:b/>
          <w:bCs/>
          <w:color w:val="auto"/>
          <w:kern w:val="0"/>
          <w:sz w:val="21"/>
          <w:szCs w:val="21"/>
          <w:highlight w:val="none"/>
          <w:lang w:val="en-US" w:eastAsia="zh-CN" w:bidi="ar-SA"/>
        </w:rPr>
        <w:t>三、主要材料（设备）品牌推荐表</w:t>
      </w:r>
      <w:bookmarkEnd w:id="68"/>
    </w:p>
    <w:tbl>
      <w:tblPr>
        <w:tblStyle w:val="51"/>
        <w:tblW w:w="505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1"/>
        <w:gridCol w:w="2283"/>
        <w:gridCol w:w="4877"/>
        <w:gridCol w:w="1741"/>
      </w:tblGrid>
      <w:tr w14:paraId="28A6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483" w:type="pct"/>
            <w:tcBorders>
              <w:tl2br w:val="nil"/>
              <w:tr2bl w:val="nil"/>
            </w:tcBorders>
            <w:noWrap w:val="0"/>
            <w:vAlign w:val="center"/>
          </w:tcPr>
          <w:p w14:paraId="558973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58" w:type="pct"/>
            <w:tcBorders>
              <w:tl2br w:val="nil"/>
              <w:tr2bl w:val="nil"/>
            </w:tcBorders>
            <w:noWrap w:val="0"/>
            <w:vAlign w:val="center"/>
          </w:tcPr>
          <w:p w14:paraId="5146687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材料（设备）名称</w:t>
            </w:r>
          </w:p>
        </w:tc>
        <w:tc>
          <w:tcPr>
            <w:tcW w:w="2474" w:type="pct"/>
            <w:tcBorders>
              <w:tl2br w:val="nil"/>
              <w:tr2bl w:val="nil"/>
            </w:tcBorders>
            <w:noWrap w:val="0"/>
            <w:vAlign w:val="center"/>
          </w:tcPr>
          <w:p w14:paraId="44EE9BA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采购人推荐生产厂或品牌</w:t>
            </w:r>
          </w:p>
        </w:tc>
        <w:tc>
          <w:tcPr>
            <w:tcW w:w="883" w:type="pct"/>
            <w:tcBorders>
              <w:tl2br w:val="nil"/>
              <w:tr2bl w:val="nil"/>
            </w:tcBorders>
            <w:noWrap w:val="0"/>
            <w:vAlign w:val="center"/>
          </w:tcPr>
          <w:p w14:paraId="3A4267D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备注及技术要求</w:t>
            </w:r>
          </w:p>
        </w:tc>
      </w:tr>
      <w:tr w14:paraId="77C0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53A13A06">
            <w:pPr>
              <w:pStyle w:val="301"/>
              <w:spacing w:before="133" w:beforeLines="0" w:afterLines="0"/>
              <w:jc w:val="center"/>
              <w:rPr>
                <w:rFonts w:hint="eastAsia" w:ascii="宋体" w:hAnsi="宋体" w:eastAsia="宋体" w:cs="宋体"/>
                <w:color w:val="auto"/>
                <w:kern w:val="0"/>
                <w:szCs w:val="21"/>
                <w:highlight w:val="none"/>
              </w:rPr>
            </w:pPr>
            <w:r>
              <w:rPr>
                <w:rFonts w:hint="eastAsia" w:ascii="宋体" w:hAnsi="宋体" w:cs="宋体"/>
                <w:color w:val="auto"/>
                <w:sz w:val="21"/>
                <w:szCs w:val="21"/>
                <w:highlight w:val="none"/>
                <w:lang w:eastAsia="zh-CN"/>
              </w:rPr>
              <w:t>1</w:t>
            </w:r>
          </w:p>
        </w:tc>
        <w:tc>
          <w:tcPr>
            <w:tcW w:w="1158" w:type="pct"/>
            <w:tcBorders>
              <w:tl2br w:val="nil"/>
              <w:tr2bl w:val="nil"/>
            </w:tcBorders>
            <w:noWrap w:val="0"/>
            <w:vAlign w:val="center"/>
          </w:tcPr>
          <w:p w14:paraId="31D8DC5C">
            <w:pPr>
              <w:pStyle w:val="301"/>
              <w:spacing w:before="25" w:beforeLines="0" w:afterLines="0" w:line="272" w:lineRule="exact"/>
              <w:ind w:right="301" w:rightChars="0"/>
              <w:jc w:val="both"/>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PVC</w:t>
            </w:r>
          </w:p>
        </w:tc>
        <w:tc>
          <w:tcPr>
            <w:tcW w:w="2474" w:type="pct"/>
            <w:tcBorders>
              <w:tl2br w:val="nil"/>
              <w:tr2bl w:val="nil"/>
            </w:tcBorders>
            <w:noWrap w:val="0"/>
            <w:vAlign w:val="center"/>
          </w:tcPr>
          <w:p w14:paraId="052C8549">
            <w:pPr>
              <w:pStyle w:val="301"/>
              <w:spacing w:before="133"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Gerflor、Altro、Polyflor或同档次及以上</w:t>
            </w:r>
          </w:p>
        </w:tc>
        <w:tc>
          <w:tcPr>
            <w:tcW w:w="883" w:type="pct"/>
            <w:tcBorders>
              <w:tl2br w:val="nil"/>
              <w:tr2bl w:val="nil"/>
            </w:tcBorders>
            <w:noWrap w:val="0"/>
            <w:vAlign w:val="center"/>
          </w:tcPr>
          <w:p w14:paraId="55CC817A">
            <w:pPr>
              <w:widowControl/>
              <w:jc w:val="center"/>
              <w:rPr>
                <w:rFonts w:hint="eastAsia" w:ascii="宋体" w:hAnsi="宋体" w:eastAsia="宋体" w:cs="宋体"/>
                <w:color w:val="auto"/>
                <w:kern w:val="0"/>
                <w:szCs w:val="21"/>
                <w:highlight w:val="none"/>
              </w:rPr>
            </w:pPr>
          </w:p>
        </w:tc>
      </w:tr>
      <w:tr w14:paraId="3E8D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4AEB65D4">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 w:val="21"/>
                <w:szCs w:val="21"/>
                <w:highlight w:val="none"/>
                <w:lang w:eastAsia="zh-CN"/>
              </w:rPr>
              <w:t>2</w:t>
            </w:r>
          </w:p>
        </w:tc>
        <w:tc>
          <w:tcPr>
            <w:tcW w:w="1158" w:type="pct"/>
            <w:tcBorders>
              <w:tl2br w:val="nil"/>
              <w:tr2bl w:val="nil"/>
            </w:tcBorders>
            <w:noWrap w:val="0"/>
            <w:vAlign w:val="center"/>
          </w:tcPr>
          <w:p w14:paraId="1147CDD9">
            <w:pPr>
              <w:pStyle w:val="301"/>
              <w:spacing w:before="105" w:beforeLines="0" w:afterLines="0"/>
              <w:jc w:val="both"/>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彩钢板及净化门</w:t>
            </w:r>
          </w:p>
        </w:tc>
        <w:tc>
          <w:tcPr>
            <w:tcW w:w="2474" w:type="pct"/>
            <w:tcBorders>
              <w:tl2br w:val="nil"/>
              <w:tr2bl w:val="nil"/>
            </w:tcBorders>
            <w:noWrap w:val="0"/>
            <w:vAlign w:val="center"/>
          </w:tcPr>
          <w:p w14:paraId="15FBB56E">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同心、万事达、林森或同档次及以上</w:t>
            </w:r>
          </w:p>
        </w:tc>
        <w:tc>
          <w:tcPr>
            <w:tcW w:w="883" w:type="pct"/>
            <w:tcBorders>
              <w:tl2br w:val="nil"/>
              <w:tr2bl w:val="nil"/>
            </w:tcBorders>
            <w:noWrap w:val="0"/>
            <w:vAlign w:val="center"/>
          </w:tcPr>
          <w:p w14:paraId="66547618">
            <w:pPr>
              <w:widowControl/>
              <w:jc w:val="center"/>
              <w:rPr>
                <w:rFonts w:hint="eastAsia" w:ascii="宋体" w:hAnsi="宋体" w:eastAsia="宋体" w:cs="宋体"/>
                <w:color w:val="auto"/>
                <w:kern w:val="0"/>
                <w:szCs w:val="21"/>
                <w:highlight w:val="none"/>
              </w:rPr>
            </w:pPr>
          </w:p>
        </w:tc>
      </w:tr>
      <w:tr w14:paraId="6DCC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22D5AEEB">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 w:val="21"/>
                <w:szCs w:val="21"/>
                <w:highlight w:val="none"/>
                <w:lang w:eastAsia="zh-CN"/>
              </w:rPr>
              <w:t>3</w:t>
            </w:r>
          </w:p>
        </w:tc>
        <w:tc>
          <w:tcPr>
            <w:tcW w:w="1158" w:type="pct"/>
            <w:tcBorders>
              <w:tl2br w:val="nil"/>
              <w:tr2bl w:val="nil"/>
            </w:tcBorders>
            <w:noWrap w:val="0"/>
            <w:vAlign w:val="center"/>
          </w:tcPr>
          <w:p w14:paraId="5A040122">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传递窗</w:t>
            </w:r>
          </w:p>
        </w:tc>
        <w:tc>
          <w:tcPr>
            <w:tcW w:w="2474" w:type="pct"/>
            <w:tcBorders>
              <w:tl2br w:val="nil"/>
              <w:tr2bl w:val="nil"/>
            </w:tcBorders>
            <w:noWrap w:val="0"/>
            <w:vAlign w:val="center"/>
          </w:tcPr>
          <w:p w14:paraId="16F6A1B2">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恒夏、苏净、KLC或同档次及以上</w:t>
            </w:r>
          </w:p>
        </w:tc>
        <w:tc>
          <w:tcPr>
            <w:tcW w:w="883" w:type="pct"/>
            <w:tcBorders>
              <w:tl2br w:val="nil"/>
              <w:tr2bl w:val="nil"/>
            </w:tcBorders>
            <w:noWrap w:val="0"/>
            <w:vAlign w:val="center"/>
          </w:tcPr>
          <w:p w14:paraId="0618E52D">
            <w:pPr>
              <w:widowControl/>
              <w:jc w:val="center"/>
              <w:rPr>
                <w:rFonts w:hint="eastAsia" w:ascii="宋体" w:hAnsi="宋体" w:eastAsia="宋体" w:cs="宋体"/>
                <w:color w:val="auto"/>
                <w:kern w:val="0"/>
                <w:szCs w:val="21"/>
                <w:highlight w:val="none"/>
              </w:rPr>
            </w:pPr>
          </w:p>
        </w:tc>
      </w:tr>
      <w:tr w14:paraId="1135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65777A77">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4</w:t>
            </w:r>
          </w:p>
        </w:tc>
        <w:tc>
          <w:tcPr>
            <w:tcW w:w="1158" w:type="pct"/>
            <w:tcBorders>
              <w:tl2br w:val="nil"/>
              <w:tr2bl w:val="nil"/>
            </w:tcBorders>
            <w:noWrap w:val="0"/>
            <w:vAlign w:val="center"/>
          </w:tcPr>
          <w:p w14:paraId="06A7FEBE">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电线、电缆</w:t>
            </w:r>
          </w:p>
        </w:tc>
        <w:tc>
          <w:tcPr>
            <w:tcW w:w="2474" w:type="pct"/>
            <w:tcBorders>
              <w:tl2br w:val="nil"/>
              <w:tr2bl w:val="nil"/>
            </w:tcBorders>
            <w:noWrap w:val="0"/>
            <w:vAlign w:val="center"/>
          </w:tcPr>
          <w:p w14:paraId="77704C37">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华美、江南、上上或同档次及以上</w:t>
            </w:r>
          </w:p>
        </w:tc>
        <w:tc>
          <w:tcPr>
            <w:tcW w:w="883" w:type="pct"/>
            <w:tcBorders>
              <w:tl2br w:val="nil"/>
              <w:tr2bl w:val="nil"/>
            </w:tcBorders>
            <w:noWrap w:val="0"/>
            <w:vAlign w:val="center"/>
          </w:tcPr>
          <w:p w14:paraId="008E5135">
            <w:pPr>
              <w:widowControl/>
              <w:jc w:val="center"/>
              <w:rPr>
                <w:rFonts w:hint="eastAsia" w:ascii="宋体" w:hAnsi="宋体" w:eastAsia="宋体" w:cs="宋体"/>
                <w:color w:val="auto"/>
                <w:kern w:val="0"/>
                <w:szCs w:val="21"/>
                <w:highlight w:val="none"/>
              </w:rPr>
            </w:pPr>
          </w:p>
        </w:tc>
      </w:tr>
      <w:tr w14:paraId="2D0F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5C61EA44">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5</w:t>
            </w:r>
          </w:p>
        </w:tc>
        <w:tc>
          <w:tcPr>
            <w:tcW w:w="1158" w:type="pct"/>
            <w:tcBorders>
              <w:tl2br w:val="nil"/>
              <w:tr2bl w:val="nil"/>
            </w:tcBorders>
            <w:noWrap w:val="0"/>
            <w:vAlign w:val="center"/>
          </w:tcPr>
          <w:p w14:paraId="53F64CCC">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灯具</w:t>
            </w:r>
          </w:p>
        </w:tc>
        <w:tc>
          <w:tcPr>
            <w:tcW w:w="2474" w:type="pct"/>
            <w:tcBorders>
              <w:tl2br w:val="nil"/>
              <w:tr2bl w:val="nil"/>
            </w:tcBorders>
            <w:noWrap w:val="0"/>
            <w:vAlign w:val="center"/>
          </w:tcPr>
          <w:p w14:paraId="732C7E5F">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佳静、佳洁、洁奥或同档次及以上</w:t>
            </w:r>
          </w:p>
        </w:tc>
        <w:tc>
          <w:tcPr>
            <w:tcW w:w="883" w:type="pct"/>
            <w:tcBorders>
              <w:tl2br w:val="nil"/>
              <w:tr2bl w:val="nil"/>
            </w:tcBorders>
            <w:noWrap w:val="0"/>
            <w:vAlign w:val="center"/>
          </w:tcPr>
          <w:p w14:paraId="6F00AB91">
            <w:pPr>
              <w:widowControl/>
              <w:jc w:val="center"/>
              <w:rPr>
                <w:rFonts w:hint="eastAsia" w:ascii="宋体" w:hAnsi="宋体" w:eastAsia="宋体" w:cs="宋体"/>
                <w:color w:val="auto"/>
                <w:kern w:val="0"/>
                <w:szCs w:val="21"/>
                <w:highlight w:val="none"/>
              </w:rPr>
            </w:pPr>
          </w:p>
        </w:tc>
      </w:tr>
      <w:tr w14:paraId="42951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7CEFC831">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6</w:t>
            </w:r>
          </w:p>
        </w:tc>
        <w:tc>
          <w:tcPr>
            <w:tcW w:w="1158" w:type="pct"/>
            <w:tcBorders>
              <w:tl2br w:val="nil"/>
              <w:tr2bl w:val="nil"/>
            </w:tcBorders>
            <w:noWrap w:val="0"/>
            <w:vAlign w:val="center"/>
          </w:tcPr>
          <w:p w14:paraId="6B93AD0C">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rPr>
              <w:t>组合式空气处理机组</w:t>
            </w:r>
          </w:p>
        </w:tc>
        <w:tc>
          <w:tcPr>
            <w:tcW w:w="2474" w:type="pct"/>
            <w:tcBorders>
              <w:tl2br w:val="nil"/>
              <w:tr2bl w:val="nil"/>
            </w:tcBorders>
            <w:noWrap w:val="0"/>
            <w:vAlign w:val="center"/>
          </w:tcPr>
          <w:p w14:paraId="781E65FD">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维克、雅士、清华同方或同档次及以上</w:t>
            </w:r>
          </w:p>
        </w:tc>
        <w:tc>
          <w:tcPr>
            <w:tcW w:w="883" w:type="pct"/>
            <w:tcBorders>
              <w:tl2br w:val="nil"/>
              <w:tr2bl w:val="nil"/>
            </w:tcBorders>
            <w:noWrap w:val="0"/>
            <w:vAlign w:val="center"/>
          </w:tcPr>
          <w:p w14:paraId="45B19769">
            <w:pPr>
              <w:widowControl/>
              <w:jc w:val="center"/>
              <w:rPr>
                <w:rFonts w:hint="eastAsia" w:ascii="宋体" w:hAnsi="宋体" w:eastAsia="宋体" w:cs="宋体"/>
                <w:color w:val="auto"/>
                <w:kern w:val="0"/>
                <w:szCs w:val="21"/>
                <w:highlight w:val="none"/>
              </w:rPr>
            </w:pPr>
          </w:p>
        </w:tc>
      </w:tr>
      <w:tr w14:paraId="71700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0710A3BC">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7</w:t>
            </w:r>
          </w:p>
        </w:tc>
        <w:tc>
          <w:tcPr>
            <w:tcW w:w="1158" w:type="pct"/>
            <w:tcBorders>
              <w:tl2br w:val="nil"/>
              <w:tr2bl w:val="nil"/>
            </w:tcBorders>
            <w:noWrap w:val="0"/>
            <w:vAlign w:val="center"/>
          </w:tcPr>
          <w:p w14:paraId="1B64F9E3">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玻璃钢离心风机、活性炭排风机箱、中高效排风机箱</w:t>
            </w:r>
          </w:p>
        </w:tc>
        <w:tc>
          <w:tcPr>
            <w:tcW w:w="2474" w:type="pct"/>
            <w:tcBorders>
              <w:tl2br w:val="nil"/>
              <w:tr2bl w:val="nil"/>
            </w:tcBorders>
            <w:noWrap w:val="0"/>
            <w:vAlign w:val="center"/>
          </w:tcPr>
          <w:p w14:paraId="33C5D11A">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上海应达、顶裕、可瑞斯或同档次及以上</w:t>
            </w:r>
          </w:p>
        </w:tc>
        <w:tc>
          <w:tcPr>
            <w:tcW w:w="883" w:type="pct"/>
            <w:tcBorders>
              <w:tl2br w:val="nil"/>
              <w:tr2bl w:val="nil"/>
            </w:tcBorders>
            <w:noWrap w:val="0"/>
            <w:vAlign w:val="center"/>
          </w:tcPr>
          <w:p w14:paraId="6EB84D9B">
            <w:pPr>
              <w:widowControl/>
              <w:jc w:val="center"/>
              <w:rPr>
                <w:rFonts w:hint="eastAsia" w:ascii="宋体" w:hAnsi="宋体" w:eastAsia="宋体" w:cs="宋体"/>
                <w:color w:val="auto"/>
                <w:kern w:val="0"/>
                <w:szCs w:val="21"/>
                <w:highlight w:val="none"/>
              </w:rPr>
            </w:pPr>
          </w:p>
        </w:tc>
      </w:tr>
      <w:tr w14:paraId="2E49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409555AC">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8</w:t>
            </w:r>
          </w:p>
        </w:tc>
        <w:tc>
          <w:tcPr>
            <w:tcW w:w="1158" w:type="pct"/>
            <w:tcBorders>
              <w:tl2br w:val="nil"/>
              <w:tr2bl w:val="nil"/>
            </w:tcBorders>
            <w:noWrap w:val="0"/>
            <w:vAlign w:val="center"/>
          </w:tcPr>
          <w:p w14:paraId="6502CFCF">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碳钢风阀、风口</w:t>
            </w:r>
          </w:p>
        </w:tc>
        <w:tc>
          <w:tcPr>
            <w:tcW w:w="2474" w:type="pct"/>
            <w:tcBorders>
              <w:tl2br w:val="nil"/>
              <w:tr2bl w:val="nil"/>
            </w:tcBorders>
            <w:noWrap w:val="0"/>
            <w:vAlign w:val="center"/>
          </w:tcPr>
          <w:p w14:paraId="7EFFD06C">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苏和、盈达、上海显隆或同档次及以上</w:t>
            </w:r>
          </w:p>
        </w:tc>
        <w:tc>
          <w:tcPr>
            <w:tcW w:w="883" w:type="pct"/>
            <w:tcBorders>
              <w:tl2br w:val="nil"/>
              <w:tr2bl w:val="nil"/>
            </w:tcBorders>
            <w:noWrap w:val="0"/>
            <w:vAlign w:val="center"/>
          </w:tcPr>
          <w:p w14:paraId="766CDF33">
            <w:pPr>
              <w:widowControl/>
              <w:jc w:val="center"/>
              <w:rPr>
                <w:rFonts w:hint="eastAsia" w:ascii="宋体" w:hAnsi="宋体" w:eastAsia="宋体" w:cs="宋体"/>
                <w:color w:val="auto"/>
                <w:kern w:val="0"/>
                <w:szCs w:val="21"/>
                <w:highlight w:val="none"/>
              </w:rPr>
            </w:pPr>
          </w:p>
        </w:tc>
      </w:tr>
      <w:tr w14:paraId="677E1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6FA65355">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9</w:t>
            </w:r>
          </w:p>
        </w:tc>
        <w:tc>
          <w:tcPr>
            <w:tcW w:w="1158" w:type="pct"/>
            <w:tcBorders>
              <w:tl2br w:val="nil"/>
              <w:tr2bl w:val="nil"/>
            </w:tcBorders>
            <w:noWrap w:val="0"/>
            <w:vAlign w:val="center"/>
          </w:tcPr>
          <w:p w14:paraId="38033FCC">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除臭设备</w:t>
            </w:r>
          </w:p>
        </w:tc>
        <w:tc>
          <w:tcPr>
            <w:tcW w:w="2474" w:type="pct"/>
            <w:tcBorders>
              <w:tl2br w:val="nil"/>
              <w:tr2bl w:val="nil"/>
            </w:tcBorders>
            <w:noWrap w:val="0"/>
            <w:vAlign w:val="center"/>
          </w:tcPr>
          <w:p w14:paraId="36F08740">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明康、渤浪岛、朗净或同档次及以上</w:t>
            </w:r>
          </w:p>
        </w:tc>
        <w:tc>
          <w:tcPr>
            <w:tcW w:w="883" w:type="pct"/>
            <w:tcBorders>
              <w:tl2br w:val="nil"/>
              <w:tr2bl w:val="nil"/>
            </w:tcBorders>
            <w:noWrap w:val="0"/>
            <w:vAlign w:val="center"/>
          </w:tcPr>
          <w:p w14:paraId="30FD3172">
            <w:pPr>
              <w:widowControl/>
              <w:jc w:val="center"/>
              <w:rPr>
                <w:rFonts w:hint="eastAsia" w:ascii="宋体" w:hAnsi="宋体" w:eastAsia="宋体" w:cs="宋体"/>
                <w:color w:val="auto"/>
                <w:kern w:val="0"/>
                <w:szCs w:val="21"/>
                <w:highlight w:val="none"/>
              </w:rPr>
            </w:pPr>
          </w:p>
        </w:tc>
      </w:tr>
      <w:tr w14:paraId="709E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3020B17A">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10</w:t>
            </w:r>
          </w:p>
        </w:tc>
        <w:tc>
          <w:tcPr>
            <w:tcW w:w="1158" w:type="pct"/>
            <w:tcBorders>
              <w:tl2br w:val="nil"/>
              <w:tr2bl w:val="nil"/>
            </w:tcBorders>
            <w:noWrap w:val="0"/>
            <w:vAlign w:val="center"/>
          </w:tcPr>
          <w:p w14:paraId="05ACED3C">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试验台</w:t>
            </w:r>
          </w:p>
        </w:tc>
        <w:tc>
          <w:tcPr>
            <w:tcW w:w="2474" w:type="pct"/>
            <w:tcBorders>
              <w:tl2br w:val="nil"/>
              <w:tr2bl w:val="nil"/>
            </w:tcBorders>
            <w:noWrap w:val="0"/>
            <w:vAlign w:val="center"/>
          </w:tcPr>
          <w:p w14:paraId="2CB3494B">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摩尔、成威、新奇生或同档次及以上</w:t>
            </w:r>
          </w:p>
        </w:tc>
        <w:tc>
          <w:tcPr>
            <w:tcW w:w="883" w:type="pct"/>
            <w:tcBorders>
              <w:tl2br w:val="nil"/>
              <w:tr2bl w:val="nil"/>
            </w:tcBorders>
            <w:noWrap w:val="0"/>
            <w:vAlign w:val="center"/>
          </w:tcPr>
          <w:p w14:paraId="237E60DA">
            <w:pPr>
              <w:widowControl/>
              <w:jc w:val="center"/>
              <w:rPr>
                <w:rFonts w:hint="eastAsia" w:ascii="宋体" w:hAnsi="宋体" w:eastAsia="宋体" w:cs="宋体"/>
                <w:color w:val="auto"/>
                <w:kern w:val="0"/>
                <w:szCs w:val="21"/>
                <w:highlight w:val="none"/>
              </w:rPr>
            </w:pPr>
          </w:p>
        </w:tc>
      </w:tr>
      <w:tr w14:paraId="19E5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13F16D64">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11</w:t>
            </w:r>
          </w:p>
        </w:tc>
        <w:tc>
          <w:tcPr>
            <w:tcW w:w="1158" w:type="pct"/>
            <w:tcBorders>
              <w:tl2br w:val="nil"/>
              <w:tr2bl w:val="nil"/>
            </w:tcBorders>
            <w:noWrap w:val="0"/>
            <w:vAlign w:val="center"/>
          </w:tcPr>
          <w:p w14:paraId="1D9ED829">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实验台面</w:t>
            </w:r>
          </w:p>
        </w:tc>
        <w:tc>
          <w:tcPr>
            <w:tcW w:w="2474" w:type="pct"/>
            <w:tcBorders>
              <w:tl2br w:val="nil"/>
              <w:tr2bl w:val="nil"/>
            </w:tcBorders>
            <w:noWrap w:val="0"/>
            <w:vAlign w:val="center"/>
          </w:tcPr>
          <w:p w14:paraId="285D269D">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威盛亚、 千思板 、杜肯或同档次及以上</w:t>
            </w:r>
          </w:p>
        </w:tc>
        <w:tc>
          <w:tcPr>
            <w:tcW w:w="883" w:type="pct"/>
            <w:tcBorders>
              <w:tl2br w:val="nil"/>
              <w:tr2bl w:val="nil"/>
            </w:tcBorders>
            <w:noWrap w:val="0"/>
            <w:vAlign w:val="center"/>
          </w:tcPr>
          <w:p w14:paraId="340BBC47">
            <w:pPr>
              <w:widowControl/>
              <w:jc w:val="center"/>
              <w:rPr>
                <w:rFonts w:hint="eastAsia" w:ascii="宋体" w:hAnsi="宋体" w:eastAsia="宋体" w:cs="宋体"/>
                <w:color w:val="auto"/>
                <w:kern w:val="0"/>
                <w:szCs w:val="21"/>
                <w:highlight w:val="none"/>
              </w:rPr>
            </w:pPr>
          </w:p>
        </w:tc>
      </w:tr>
      <w:tr w14:paraId="408B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04676C38">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12</w:t>
            </w:r>
          </w:p>
        </w:tc>
        <w:tc>
          <w:tcPr>
            <w:tcW w:w="1158" w:type="pct"/>
            <w:tcBorders>
              <w:tl2br w:val="nil"/>
              <w:tr2bl w:val="nil"/>
            </w:tcBorders>
            <w:noWrap w:val="0"/>
            <w:vAlign w:val="center"/>
          </w:tcPr>
          <w:p w14:paraId="0D93A026">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通风柜、排风试剂柜</w:t>
            </w:r>
          </w:p>
        </w:tc>
        <w:tc>
          <w:tcPr>
            <w:tcW w:w="2474" w:type="pct"/>
            <w:tcBorders>
              <w:tl2br w:val="nil"/>
              <w:tr2bl w:val="nil"/>
            </w:tcBorders>
            <w:noWrap w:val="0"/>
            <w:vAlign w:val="center"/>
          </w:tcPr>
          <w:p w14:paraId="6B9F4218">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摩尔、成威、新奇生或同档次及以上</w:t>
            </w:r>
          </w:p>
        </w:tc>
        <w:tc>
          <w:tcPr>
            <w:tcW w:w="883" w:type="pct"/>
            <w:tcBorders>
              <w:tl2br w:val="nil"/>
              <w:tr2bl w:val="nil"/>
            </w:tcBorders>
            <w:noWrap w:val="0"/>
            <w:vAlign w:val="center"/>
          </w:tcPr>
          <w:p w14:paraId="1BD037CC">
            <w:pPr>
              <w:widowControl/>
              <w:jc w:val="center"/>
              <w:rPr>
                <w:rFonts w:hint="eastAsia" w:ascii="宋体" w:hAnsi="宋体" w:eastAsia="宋体" w:cs="宋体"/>
                <w:color w:val="auto"/>
                <w:kern w:val="0"/>
                <w:szCs w:val="21"/>
                <w:highlight w:val="none"/>
              </w:rPr>
            </w:pPr>
          </w:p>
        </w:tc>
      </w:tr>
      <w:tr w14:paraId="6345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32ED2EF8">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13</w:t>
            </w:r>
          </w:p>
        </w:tc>
        <w:tc>
          <w:tcPr>
            <w:tcW w:w="1158" w:type="pct"/>
            <w:tcBorders>
              <w:tl2br w:val="nil"/>
              <w:tr2bl w:val="nil"/>
            </w:tcBorders>
            <w:noWrap w:val="0"/>
            <w:vAlign w:val="center"/>
          </w:tcPr>
          <w:p w14:paraId="702B27BB">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水配件</w:t>
            </w:r>
          </w:p>
        </w:tc>
        <w:tc>
          <w:tcPr>
            <w:tcW w:w="2474" w:type="pct"/>
            <w:tcBorders>
              <w:tl2br w:val="nil"/>
              <w:tr2bl w:val="nil"/>
            </w:tcBorders>
            <w:noWrap w:val="0"/>
            <w:vAlign w:val="center"/>
          </w:tcPr>
          <w:p w14:paraId="14F72A26">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 xml:space="preserve">科恩、智创利德，赫途创新 或同档次及以上 </w:t>
            </w:r>
          </w:p>
        </w:tc>
        <w:tc>
          <w:tcPr>
            <w:tcW w:w="883" w:type="pct"/>
            <w:tcBorders>
              <w:tl2br w:val="nil"/>
              <w:tr2bl w:val="nil"/>
            </w:tcBorders>
            <w:noWrap w:val="0"/>
            <w:vAlign w:val="center"/>
          </w:tcPr>
          <w:p w14:paraId="37CCAB3F">
            <w:pPr>
              <w:widowControl/>
              <w:jc w:val="center"/>
              <w:rPr>
                <w:rFonts w:hint="eastAsia" w:ascii="宋体" w:hAnsi="宋体" w:eastAsia="宋体" w:cs="宋体"/>
                <w:color w:val="auto"/>
                <w:kern w:val="0"/>
                <w:szCs w:val="21"/>
                <w:highlight w:val="none"/>
              </w:rPr>
            </w:pPr>
          </w:p>
        </w:tc>
      </w:tr>
      <w:tr w14:paraId="2C8EE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3" w:type="pct"/>
            <w:tcBorders>
              <w:tl2br w:val="nil"/>
              <w:tr2bl w:val="nil"/>
            </w:tcBorders>
            <w:noWrap w:val="0"/>
            <w:vAlign w:val="center"/>
          </w:tcPr>
          <w:p w14:paraId="7F6E1A4C">
            <w:pPr>
              <w:pStyle w:val="301"/>
              <w:spacing w:before="105" w:beforeLines="0" w:afterLine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eastAsia="zh-CN"/>
              </w:rPr>
              <w:t>14</w:t>
            </w:r>
          </w:p>
        </w:tc>
        <w:tc>
          <w:tcPr>
            <w:tcW w:w="1158" w:type="pct"/>
            <w:tcBorders>
              <w:tl2br w:val="nil"/>
              <w:tr2bl w:val="nil"/>
            </w:tcBorders>
            <w:noWrap w:val="0"/>
            <w:vAlign w:val="center"/>
          </w:tcPr>
          <w:p w14:paraId="6B9C2C37">
            <w:pPr>
              <w:pStyle w:val="301"/>
              <w:spacing w:before="105" w:beforeLines="0" w:afterLines="0"/>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通风柜控制系统</w:t>
            </w:r>
          </w:p>
        </w:tc>
        <w:tc>
          <w:tcPr>
            <w:tcW w:w="2474" w:type="pct"/>
            <w:tcBorders>
              <w:tl2br w:val="nil"/>
              <w:tr2bl w:val="nil"/>
            </w:tcBorders>
            <w:noWrap w:val="0"/>
            <w:vAlign w:val="center"/>
          </w:tcPr>
          <w:p w14:paraId="41E15E53">
            <w:pPr>
              <w:pStyle w:val="301"/>
              <w:spacing w:before="105" w:beforeLines="0" w:afterLine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摩尔、西门子、江森或同档次及以上</w:t>
            </w:r>
          </w:p>
        </w:tc>
        <w:tc>
          <w:tcPr>
            <w:tcW w:w="883" w:type="pct"/>
            <w:tcBorders>
              <w:tl2br w:val="nil"/>
              <w:tr2bl w:val="nil"/>
            </w:tcBorders>
            <w:noWrap w:val="0"/>
            <w:vAlign w:val="center"/>
          </w:tcPr>
          <w:p w14:paraId="22AD0AE6">
            <w:pPr>
              <w:widowControl/>
              <w:jc w:val="center"/>
              <w:rPr>
                <w:rFonts w:hint="eastAsia" w:ascii="宋体" w:hAnsi="宋体" w:eastAsia="宋体" w:cs="宋体"/>
                <w:color w:val="auto"/>
                <w:kern w:val="0"/>
                <w:szCs w:val="21"/>
                <w:highlight w:val="none"/>
              </w:rPr>
            </w:pPr>
          </w:p>
        </w:tc>
      </w:tr>
    </w:tbl>
    <w:p w14:paraId="22C5D52D">
      <w:pPr>
        <w:rPr>
          <w:rFonts w:hint="eastAsia" w:ascii="Times New Roman" w:hAnsi="Times New Roman" w:eastAsia="宋体" w:cs="Times New Roman"/>
          <w:color w:val="auto"/>
          <w:highlight w:val="none"/>
        </w:rPr>
      </w:pPr>
    </w:p>
    <w:bookmarkEnd w:id="69"/>
    <w:p w14:paraId="7350D21D">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0" w:name="_Toc191"/>
      <w:bookmarkStart w:id="71" w:name="_Toc9773"/>
      <w:bookmarkStart w:id="72" w:name="_Toc172"/>
      <w:r>
        <w:rPr>
          <w:rFonts w:hint="eastAsia" w:ascii="宋体" w:hAnsi="宋体" w:eastAsia="宋体" w:cs="Times New Roman"/>
          <w:b/>
          <w:bCs/>
          <w:color w:val="auto"/>
          <w:kern w:val="0"/>
          <w:sz w:val="21"/>
          <w:szCs w:val="21"/>
          <w:highlight w:val="none"/>
          <w:lang w:val="en-US" w:eastAsia="zh-CN" w:bidi="ar-SA"/>
        </w:rPr>
        <w:t>四、采购人对工程管理的要求</w:t>
      </w:r>
      <w:bookmarkEnd w:id="70"/>
      <w:bookmarkEnd w:id="71"/>
      <w:bookmarkEnd w:id="72"/>
    </w:p>
    <w:p w14:paraId="201EA22E">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1、本工程发包范围内的工程项目，不得转包，未经采购人同意一律不得分包。一经发现立即取消承包资格，作违约处理，并承担由此引起的一切经济损失。</w:t>
      </w:r>
    </w:p>
    <w:p w14:paraId="7506D904">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2、供应商应严格按磋商文件和已确认的施工技术方案组织施工，并无条件地接受采购人或其委托的监理单位（如有）对施工质量、进度、安全、投资的监督和管理。</w:t>
      </w:r>
    </w:p>
    <w:p w14:paraId="7A7D213C">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43B6B20D">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4、</w:t>
      </w:r>
      <w:r>
        <w:rPr>
          <w:rFonts w:hint="eastAsia" w:ascii="宋体" w:hAnsi="宋体" w:eastAsia="宋体" w:cs="仿宋"/>
          <w:color w:val="auto"/>
          <w:kern w:val="2"/>
          <w:sz w:val="21"/>
          <w:szCs w:val="21"/>
          <w:highlight w:val="none"/>
          <w:lang w:val="en-US" w:eastAsia="zh-CN" w:bidi="ar-SA"/>
        </w:rPr>
        <w:t>在施工期间，成交供应商必须注意院内人员安全，加强安全措施，并对施工人员进行安全教育。施工人员必须持证上岗。因采购人工作的特殊性，要求中标供应商在施工中做到封闭性施工。</w:t>
      </w:r>
    </w:p>
    <w:p w14:paraId="47CD7878">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3" w:name="_Toc29730"/>
      <w:bookmarkStart w:id="74" w:name="_Toc15114"/>
      <w:bookmarkStart w:id="75" w:name="_Toc16795"/>
      <w:r>
        <w:rPr>
          <w:rFonts w:hint="eastAsia" w:ascii="宋体" w:hAnsi="宋体" w:eastAsia="宋体" w:cs="Times New Roman"/>
          <w:b/>
          <w:bCs/>
          <w:color w:val="auto"/>
          <w:kern w:val="0"/>
          <w:sz w:val="21"/>
          <w:szCs w:val="21"/>
          <w:highlight w:val="none"/>
          <w:lang w:val="en-US" w:eastAsia="zh-CN" w:bidi="ar-SA"/>
        </w:rPr>
        <w:t>五、质保要求</w:t>
      </w:r>
      <w:bookmarkEnd w:id="63"/>
      <w:bookmarkEnd w:id="73"/>
      <w:bookmarkEnd w:id="74"/>
      <w:bookmarkEnd w:id="75"/>
    </w:p>
    <w:p w14:paraId="595439CF">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▲供应商在质量保修期内对质量缺陷进行保修，并承担保修费用，质量保修期从工程竣工验收合格之日起计算不少于2年。质保期后遇到设备故障，</w:t>
      </w:r>
      <w:r>
        <w:rPr>
          <w:rFonts w:hint="eastAsia" w:ascii="宋体" w:hAnsi="宋体" w:cs="仿宋"/>
          <w:color w:val="auto"/>
          <w:kern w:val="2"/>
          <w:sz w:val="21"/>
          <w:szCs w:val="21"/>
          <w:highlight w:val="none"/>
          <w:lang w:val="en-US" w:eastAsia="zh-CN" w:bidi="ar-SA"/>
        </w:rPr>
        <w:t>供应商</w:t>
      </w:r>
      <w:r>
        <w:rPr>
          <w:rFonts w:hint="eastAsia" w:ascii="宋体" w:hAnsi="宋体" w:eastAsia="宋体" w:cs="仿宋"/>
          <w:color w:val="auto"/>
          <w:kern w:val="2"/>
          <w:sz w:val="21"/>
          <w:szCs w:val="21"/>
          <w:highlight w:val="none"/>
          <w:lang w:val="en-US" w:eastAsia="zh-CN" w:bidi="ar-SA"/>
        </w:rPr>
        <w:t>接到用户通知后24小时现场相应，72小时排除故障。确因故障复杂无法在规定时间排的，需提供备品供用户免费试用，直至原有设备故障排除</w:t>
      </w:r>
    </w:p>
    <w:p w14:paraId="73FA655E">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pPr>
      <w:bookmarkStart w:id="76" w:name="_Toc23682"/>
      <w:r>
        <w:rPr>
          <w:rFonts w:hint="eastAsia" w:ascii="宋体" w:hAnsi="宋体" w:eastAsia="宋体" w:cs="Times New Roman"/>
          <w:b/>
          <w:bCs/>
          <w:color w:val="auto"/>
          <w:kern w:val="0"/>
          <w:sz w:val="21"/>
          <w:szCs w:val="21"/>
          <w:highlight w:val="none"/>
          <w:lang w:val="en-US" w:eastAsia="zh-CN" w:bidi="ar-SA"/>
        </w:rPr>
        <w:t>六、履约保证金</w:t>
      </w:r>
      <w:bookmarkEnd w:id="76"/>
    </w:p>
    <w:p w14:paraId="0090D7A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成交金额的2%作为履约保证金，合同签订后七个工作日内由成交供应商支付给采购人，待工程竣工验收合格并交付采购人使用后退回成交供应商（遇寒暑假及国定假日顺延）。</w:t>
      </w:r>
    </w:p>
    <w:p w14:paraId="53B622F4">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7" w:name="_Toc20986"/>
      <w:r>
        <w:rPr>
          <w:rFonts w:hint="eastAsia" w:ascii="宋体" w:hAnsi="宋体" w:eastAsia="宋体" w:cs="Times New Roman"/>
          <w:b/>
          <w:bCs/>
          <w:color w:val="auto"/>
          <w:kern w:val="0"/>
          <w:sz w:val="21"/>
          <w:szCs w:val="21"/>
          <w:highlight w:val="none"/>
          <w:lang w:val="en-US" w:eastAsia="zh-CN" w:bidi="ar-SA"/>
        </w:rPr>
        <w:t>七、付款方式</w:t>
      </w:r>
      <w:bookmarkEnd w:id="77"/>
    </w:p>
    <w:p w14:paraId="381A3E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1.成交供应商提交履约保证金和正规发票后，采购人向成交供应商支付本合同暂定总价的40%作为预付款。</w:t>
      </w:r>
    </w:p>
    <w:p w14:paraId="55AE139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00B86944">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8" w:name="_Toc9508"/>
      <w:bookmarkStart w:id="79" w:name="_Toc17208"/>
      <w:bookmarkStart w:id="80" w:name="_Toc7318"/>
      <w:r>
        <w:rPr>
          <w:rFonts w:hint="eastAsia" w:ascii="宋体" w:hAnsi="宋体" w:eastAsia="宋体" w:cs="Times New Roman"/>
          <w:b/>
          <w:bCs/>
          <w:color w:val="auto"/>
          <w:kern w:val="0"/>
          <w:sz w:val="21"/>
          <w:szCs w:val="21"/>
          <w:highlight w:val="none"/>
          <w:lang w:val="en-US" w:eastAsia="zh-CN" w:bidi="ar-SA"/>
        </w:rPr>
        <w:t>八、民事责任</w:t>
      </w:r>
      <w:bookmarkEnd w:id="78"/>
      <w:bookmarkEnd w:id="79"/>
      <w:bookmarkEnd w:id="80"/>
    </w:p>
    <w:p w14:paraId="507F61A4">
      <w:pPr>
        <w:autoSpaceDE w:val="0"/>
        <w:autoSpaceDN w:val="0"/>
        <w:adjustRightInd w:val="0"/>
        <w:snapToGrid w:val="0"/>
        <w:spacing w:line="360" w:lineRule="auto"/>
        <w:ind w:firstLine="482"/>
        <w:jc w:val="left"/>
        <w:rPr>
          <w:rFonts w:ascii="宋体" w:hAnsi="宋体" w:eastAsia="宋体" w:cs="仿宋"/>
          <w:color w:val="auto"/>
          <w:szCs w:val="21"/>
          <w:highlight w:val="none"/>
        </w:rPr>
      </w:pPr>
      <w:r>
        <w:rPr>
          <w:rFonts w:hint="eastAsia" w:ascii="宋体" w:hAnsi="宋体" w:eastAsia="宋体" w:cs="仿宋"/>
          <w:color w:val="auto"/>
          <w:szCs w:val="21"/>
          <w:highlight w:val="none"/>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71A5FD5B">
      <w:pPr>
        <w:autoSpaceDE w:val="0"/>
        <w:autoSpaceDN w:val="0"/>
        <w:adjustRightInd w:val="0"/>
        <w:snapToGrid w:val="0"/>
        <w:spacing w:line="360" w:lineRule="auto"/>
        <w:ind w:firstLine="482"/>
        <w:jc w:val="left"/>
        <w:rPr>
          <w:rFonts w:ascii="宋体" w:hAnsi="宋体" w:eastAsia="宋体" w:cs="仿宋"/>
          <w:color w:val="auto"/>
          <w:szCs w:val="21"/>
          <w:highlight w:val="none"/>
        </w:rPr>
      </w:pPr>
      <w:r>
        <w:rPr>
          <w:rFonts w:hint="eastAsia" w:ascii="宋体" w:hAnsi="宋体" w:eastAsia="宋体" w:cs="仿宋"/>
          <w:color w:val="auto"/>
          <w:szCs w:val="21"/>
          <w:highlight w:val="none"/>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16295FA8">
      <w:pPr>
        <w:autoSpaceDE w:val="0"/>
        <w:autoSpaceDN w:val="0"/>
        <w:adjustRightInd w:val="0"/>
        <w:snapToGrid w:val="0"/>
        <w:spacing w:line="360" w:lineRule="auto"/>
        <w:ind w:firstLine="482"/>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3</w:t>
      </w:r>
      <w:r>
        <w:rPr>
          <w:rFonts w:hint="eastAsia" w:ascii="宋体" w:hAnsi="宋体" w:eastAsia="宋体" w:cs="仿宋"/>
          <w:color w:val="auto"/>
          <w:szCs w:val="21"/>
          <w:highlight w:val="none"/>
        </w:rPr>
        <w:t>）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FF5A120">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r>
        <w:rPr>
          <w:rFonts w:hint="eastAsia" w:ascii="宋体" w:hAnsi="宋体" w:eastAsia="宋体" w:cs="Times New Roman"/>
          <w:b/>
          <w:bCs/>
          <w:color w:val="auto"/>
          <w:kern w:val="0"/>
          <w:sz w:val="21"/>
          <w:szCs w:val="21"/>
          <w:highlight w:val="none"/>
          <w:lang w:val="en-US" w:eastAsia="zh-CN" w:bidi="ar-SA"/>
        </w:rPr>
        <w:t>九、工程量清单（后附）</w:t>
      </w:r>
      <w:bookmarkEnd w:id="64"/>
      <w:bookmarkEnd w:id="65"/>
      <w:bookmarkEnd w:id="66"/>
      <w:bookmarkEnd w:id="67"/>
    </w:p>
    <w:p w14:paraId="29101057">
      <w:pPr>
        <w:pStyle w:val="3"/>
        <w:autoSpaceDN w:val="0"/>
        <w:spacing w:before="240"/>
        <w:rPr>
          <w:rFonts w:hint="eastAsia" w:ascii="宋体" w:hAnsi="宋体" w:eastAsia="宋体" w:cs="宋体"/>
          <w:bCs/>
          <w:color w:val="auto"/>
          <w:kern w:val="44"/>
          <w:sz w:val="44"/>
          <w:szCs w:val="44"/>
          <w:highlight w:val="none"/>
        </w:rPr>
      </w:pPr>
      <w:bookmarkStart w:id="81" w:name="_Toc2810"/>
      <w:r>
        <w:rPr>
          <w:rFonts w:hint="eastAsia" w:ascii="宋体" w:hAnsi="宋体" w:eastAsia="宋体" w:cs="宋体"/>
          <w:bCs/>
          <w:color w:val="auto"/>
          <w:kern w:val="44"/>
          <w:sz w:val="44"/>
          <w:szCs w:val="44"/>
          <w:highlight w:val="none"/>
        </w:rPr>
        <w:t>第五章  合同</w:t>
      </w:r>
      <w:bookmarkEnd w:id="37"/>
      <w:bookmarkEnd w:id="38"/>
      <w:bookmarkEnd w:id="39"/>
      <w:bookmarkEnd w:id="81"/>
    </w:p>
    <w:p w14:paraId="3040F9FC">
      <w:pPr>
        <w:pStyle w:val="4"/>
        <w:autoSpaceDN w:val="0"/>
        <w:spacing w:before="360"/>
        <w:ind w:firstLine="281" w:firstLineChars="100"/>
        <w:jc w:val="center"/>
        <w:rPr>
          <w:rFonts w:hint="eastAsia" w:ascii="宋体" w:hAnsi="宋体" w:eastAsia="宋体" w:cs="宋体"/>
          <w:b/>
          <w:color w:val="auto"/>
          <w:sz w:val="28"/>
          <w:szCs w:val="28"/>
          <w:highlight w:val="none"/>
        </w:rPr>
      </w:pPr>
      <w:bookmarkStart w:id="82" w:name="_Toc5550"/>
      <w:bookmarkStart w:id="83" w:name="_Toc3509"/>
      <w:bookmarkStart w:id="84" w:name="_Toc30675"/>
      <w:bookmarkStart w:id="85" w:name="_Toc1459"/>
      <w:r>
        <w:rPr>
          <w:rFonts w:hint="eastAsia" w:ascii="宋体" w:hAnsi="宋体" w:eastAsia="宋体" w:cs="宋体"/>
          <w:b/>
          <w:color w:val="auto"/>
          <w:sz w:val="28"/>
          <w:szCs w:val="28"/>
          <w:highlight w:val="none"/>
        </w:rPr>
        <w:t>（以最终签订为准）</w:t>
      </w:r>
      <w:bookmarkEnd w:id="82"/>
      <w:bookmarkEnd w:id="83"/>
      <w:bookmarkEnd w:id="84"/>
      <w:bookmarkEnd w:id="85"/>
    </w:p>
    <w:p w14:paraId="5364652D">
      <w:pPr>
        <w:widowControl w:val="0"/>
        <w:spacing w:line="360" w:lineRule="auto"/>
        <w:ind w:firstLine="480" w:firstLineChars="200"/>
        <w:jc w:val="both"/>
        <w:rPr>
          <w:rFonts w:ascii="宋体" w:hAnsi="宋体" w:eastAsia="宋体" w:cs="Times New Roman"/>
          <w:color w:val="auto"/>
          <w:kern w:val="0"/>
          <w:sz w:val="24"/>
          <w:szCs w:val="20"/>
          <w:highlight w:val="none"/>
          <w:lang w:val="en-US" w:eastAsia="zh-CN" w:bidi="ar-SA"/>
        </w:rPr>
      </w:pPr>
      <w:r>
        <w:rPr>
          <w:rFonts w:hint="eastAsia" w:ascii="宋体" w:hAnsi="宋体" w:eastAsia="宋体" w:cs="Times New Roman"/>
          <w:color w:val="auto"/>
          <w:kern w:val="0"/>
          <w:sz w:val="24"/>
          <w:szCs w:val="20"/>
          <w:highlight w:val="none"/>
          <w:lang w:val="en-US" w:eastAsia="zh-CN" w:bidi="ar-SA"/>
        </w:rPr>
        <w:t>使用住房城乡建设部、国家工商行政管理总局制定的《建设工程施工合同（示范文本）》（GF-2017-0201）。</w:t>
      </w:r>
    </w:p>
    <w:p w14:paraId="46654061">
      <w:pPr>
        <w:spacing w:line="360" w:lineRule="auto"/>
        <w:jc w:val="center"/>
        <w:outlineLvl w:val="1"/>
        <w:rPr>
          <w:rFonts w:hint="eastAsia" w:ascii="宋体" w:hAnsi="宋体" w:cs="Times New Roman"/>
          <w:b/>
          <w:color w:val="auto"/>
          <w:sz w:val="28"/>
          <w:highlight w:val="none"/>
        </w:rPr>
      </w:pPr>
      <w:bookmarkStart w:id="86" w:name="_Toc9906"/>
      <w:bookmarkStart w:id="87" w:name="_Toc19942"/>
      <w:bookmarkStart w:id="88" w:name="_Toc14917"/>
      <w:bookmarkStart w:id="89" w:name="_Toc26844"/>
      <w:bookmarkStart w:id="90" w:name="_Toc16202"/>
      <w:bookmarkStart w:id="91" w:name="_Toc29132"/>
      <w:bookmarkStart w:id="92" w:name="_Toc2472"/>
      <w:bookmarkStart w:id="93" w:name="_Toc13285"/>
      <w:bookmarkStart w:id="94" w:name="_Toc23993"/>
      <w:r>
        <w:rPr>
          <w:rFonts w:hint="eastAsia" w:ascii="宋体" w:hAnsi="宋体" w:cs="Times New Roman"/>
          <w:b/>
          <w:color w:val="auto"/>
          <w:sz w:val="28"/>
          <w:highlight w:val="none"/>
          <w:lang w:eastAsia="zh-CN"/>
        </w:rPr>
        <w:t>浙江中医药大学文磊教授实验室改造项目</w:t>
      </w:r>
      <w:r>
        <w:rPr>
          <w:rFonts w:hint="eastAsia" w:ascii="宋体" w:hAnsi="宋体" w:cs="Times New Roman"/>
          <w:b/>
          <w:color w:val="auto"/>
          <w:sz w:val="28"/>
          <w:highlight w:val="none"/>
        </w:rPr>
        <w:t>合同</w:t>
      </w:r>
      <w:bookmarkEnd w:id="86"/>
      <w:bookmarkEnd w:id="87"/>
      <w:bookmarkEnd w:id="88"/>
    </w:p>
    <w:p w14:paraId="356AF585">
      <w:pPr>
        <w:spacing w:line="360" w:lineRule="auto"/>
        <w:jc w:val="center"/>
        <w:outlineLvl w:val="1"/>
        <w:rPr>
          <w:rFonts w:ascii="宋体" w:hAnsi="宋体" w:cs="Times New Roman"/>
          <w:b/>
          <w:color w:val="auto"/>
          <w:sz w:val="28"/>
          <w:highlight w:val="none"/>
        </w:rPr>
      </w:pPr>
      <w:bookmarkStart w:id="95" w:name="_Toc7494"/>
      <w:r>
        <w:rPr>
          <w:rFonts w:ascii="宋体" w:hAnsi="宋体" w:cs="Times New Roman"/>
          <w:b/>
          <w:color w:val="auto"/>
          <w:sz w:val="28"/>
          <w:highlight w:val="none"/>
        </w:rPr>
        <w:t xml:space="preserve">第一部分 </w:t>
      </w:r>
      <w:r>
        <w:rPr>
          <w:rFonts w:hint="eastAsia" w:ascii="宋体" w:hAnsi="宋体" w:cs="Times New Roman"/>
          <w:b/>
          <w:color w:val="auto"/>
          <w:sz w:val="28"/>
          <w:highlight w:val="none"/>
        </w:rPr>
        <w:t>合同</w:t>
      </w:r>
      <w:r>
        <w:rPr>
          <w:rFonts w:ascii="宋体" w:hAnsi="宋体" w:cs="Times New Roman"/>
          <w:b/>
          <w:color w:val="auto"/>
          <w:sz w:val="28"/>
          <w:highlight w:val="none"/>
        </w:rPr>
        <w:t>协议书</w:t>
      </w:r>
      <w:bookmarkEnd w:id="89"/>
      <w:bookmarkEnd w:id="90"/>
      <w:bookmarkEnd w:id="91"/>
      <w:bookmarkEnd w:id="92"/>
      <w:bookmarkEnd w:id="93"/>
      <w:bookmarkEnd w:id="94"/>
      <w:bookmarkEnd w:id="95"/>
    </w:p>
    <w:p w14:paraId="6763DCBC">
      <w:pPr>
        <w:spacing w:line="360" w:lineRule="auto"/>
        <w:rPr>
          <w:rFonts w:hint="eastAsia" w:ascii="宋体" w:hAnsi="宋体" w:eastAsia="宋体" w:cs="Times New Roman"/>
          <w:b/>
          <w:color w:val="auto"/>
          <w:highlight w:val="none"/>
          <w:lang w:eastAsia="zh-CN"/>
        </w:rPr>
      </w:pPr>
      <w:bookmarkStart w:id="96" w:name="_Hlk70081597"/>
      <w:bookmarkStart w:id="97" w:name="_Hlk62322485"/>
      <w:r>
        <w:rPr>
          <w:rFonts w:hint="eastAsia" w:ascii="宋体" w:hAnsi="宋体" w:cs="Times New Roman"/>
          <w:b/>
          <w:color w:val="auto"/>
          <w:highlight w:val="none"/>
        </w:rPr>
        <w:t>项目编号：</w:t>
      </w:r>
      <w:r>
        <w:rPr>
          <w:rFonts w:hint="eastAsia" w:ascii="宋体" w:hAnsi="宋体" w:cs="Times New Roman"/>
          <w:b/>
          <w:color w:val="auto"/>
          <w:highlight w:val="none"/>
          <w:lang w:eastAsia="zh-CN"/>
        </w:rPr>
        <w:t>CTZB-2025060529</w:t>
      </w:r>
    </w:p>
    <w:p w14:paraId="13124E3F">
      <w:pPr>
        <w:spacing w:line="360" w:lineRule="auto"/>
        <w:rPr>
          <w:rFonts w:ascii="宋体" w:hAnsi="宋体" w:cs="Times New Roman"/>
          <w:b/>
          <w:color w:val="auto"/>
          <w:highlight w:val="none"/>
        </w:rPr>
      </w:pPr>
      <w:r>
        <w:rPr>
          <w:rFonts w:hint="eastAsia" w:ascii="宋体" w:hAnsi="宋体" w:cs="Times New Roman"/>
          <w:b/>
          <w:color w:val="auto"/>
          <w:highlight w:val="none"/>
        </w:rPr>
        <w:t xml:space="preserve">确认书编号：  </w:t>
      </w:r>
    </w:p>
    <w:p w14:paraId="05D98C58">
      <w:pPr>
        <w:spacing w:line="360" w:lineRule="auto"/>
        <w:rPr>
          <w:rFonts w:ascii="宋体" w:hAnsi="宋体" w:cs="Times New Roman"/>
          <w:b/>
          <w:color w:val="auto"/>
          <w:highlight w:val="none"/>
          <w:u w:val="single"/>
        </w:rPr>
      </w:pPr>
      <w:r>
        <w:rPr>
          <w:rFonts w:hint="eastAsia" w:ascii="宋体" w:hAnsi="宋体" w:cs="Times New Roman"/>
          <w:b/>
          <w:color w:val="auto"/>
          <w:highlight w:val="none"/>
        </w:rPr>
        <w:t>发包人（全称）：</w:t>
      </w:r>
      <w:r>
        <w:rPr>
          <w:rFonts w:hint="eastAsia" w:ascii="宋体" w:hAnsi="宋体" w:cs="Times New Roman"/>
          <w:b/>
          <w:color w:val="auto"/>
          <w:highlight w:val="none"/>
          <w:u w:val="single"/>
        </w:rPr>
        <w:t>浙江中医药大学</w:t>
      </w:r>
    </w:p>
    <w:p w14:paraId="29947509">
      <w:pPr>
        <w:spacing w:line="360" w:lineRule="auto"/>
        <w:rPr>
          <w:rFonts w:ascii="宋体" w:hAnsi="宋体" w:cs="Times New Roman"/>
          <w:b/>
          <w:color w:val="auto"/>
          <w:highlight w:val="none"/>
          <w:u w:val="single"/>
        </w:rPr>
      </w:pPr>
      <w:r>
        <w:rPr>
          <w:rFonts w:hint="eastAsia" w:ascii="宋体" w:hAnsi="宋体" w:cs="Times New Roman"/>
          <w:b/>
          <w:color w:val="auto"/>
          <w:highlight w:val="none"/>
        </w:rPr>
        <w:t>承包人（全称）：</w:t>
      </w:r>
      <w:bookmarkStart w:id="98" w:name="_Hlk106098821"/>
      <w:r>
        <w:rPr>
          <w:rFonts w:hint="eastAsia" w:ascii="宋体" w:hAnsi="宋体" w:cs="宋体"/>
          <w:b/>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Times New Roman"/>
          <w:b/>
          <w:color w:val="auto"/>
          <w:highlight w:val="none"/>
          <w:u w:val="single"/>
        </w:rPr>
        <w:t xml:space="preserve"> </w:t>
      </w:r>
      <w:bookmarkEnd w:id="98"/>
      <w:r>
        <w:rPr>
          <w:rFonts w:hint="eastAsia" w:ascii="宋体" w:hAnsi="宋体" w:cs="Times New Roman"/>
          <w:b/>
          <w:color w:val="auto"/>
          <w:highlight w:val="none"/>
          <w:u w:val="single"/>
        </w:rPr>
        <w:t xml:space="preserve"> </w:t>
      </w:r>
    </w:p>
    <w:p w14:paraId="26894975">
      <w:pPr>
        <w:shd w:val="clear" w:color="auto" w:fill="FFFFFF"/>
        <w:snapToGrid w:val="0"/>
        <w:spacing w:line="360" w:lineRule="auto"/>
        <w:ind w:firstLine="420"/>
        <w:rPr>
          <w:rFonts w:ascii="宋体" w:hAnsi="宋体" w:cs="Times New Roman"/>
          <w:color w:val="auto"/>
          <w:highlight w:val="none"/>
          <w:shd w:val="clear" w:color="auto" w:fill="FFFFFF"/>
        </w:rPr>
      </w:pPr>
    </w:p>
    <w:p w14:paraId="2B13B137">
      <w:pPr>
        <w:shd w:val="clear" w:color="auto" w:fill="FFFFFF"/>
        <w:snapToGrid w:val="0"/>
        <w:spacing w:line="360" w:lineRule="auto"/>
        <w:ind w:firstLine="420"/>
        <w:rPr>
          <w:rFonts w:ascii="宋体" w:hAnsi="宋体" w:cs="Times New Roman"/>
          <w:b/>
          <w:color w:val="auto"/>
          <w:kern w:val="0"/>
          <w:highlight w:val="none"/>
          <w:shd w:val="clear" w:color="auto" w:fill="FFFFFF"/>
        </w:rPr>
      </w:pPr>
      <w:r>
        <w:rPr>
          <w:rFonts w:hint="eastAsia" w:ascii="宋体" w:hAnsi="宋体" w:cs="Times New Roman"/>
          <w:color w:val="auto"/>
          <w:kern w:val="0"/>
          <w:highlight w:val="none"/>
          <w:shd w:val="clear" w:color="auto" w:fill="FFFFFF"/>
        </w:rPr>
        <w:t>根据《中华人民共和国民法典》等有关法律规定，遵循平等、自愿、公平和诚实信用的原则，</w:t>
      </w:r>
      <w:r>
        <w:rPr>
          <w:rFonts w:ascii="宋体" w:hAnsi="宋体" w:cs="Times New Roman"/>
          <w:color w:val="auto"/>
          <w:kern w:val="0"/>
          <w:highlight w:val="none"/>
        </w:rPr>
        <w:t>经</w:t>
      </w:r>
      <w:r>
        <w:rPr>
          <w:rFonts w:hint="eastAsia" w:ascii="宋体" w:hAnsi="宋体" w:cs="Times New Roman"/>
          <w:color w:val="auto"/>
          <w:kern w:val="0"/>
          <w:highlight w:val="none"/>
        </w:rPr>
        <w:t>招标</w:t>
      </w:r>
      <w:r>
        <w:rPr>
          <w:rFonts w:ascii="宋体" w:hAnsi="宋体" w:cs="Times New Roman"/>
          <w:color w:val="auto"/>
          <w:kern w:val="0"/>
          <w:highlight w:val="none"/>
        </w:rPr>
        <w:t>代理机构</w:t>
      </w:r>
      <w:r>
        <w:rPr>
          <w:rFonts w:hint="eastAsia" w:ascii="宋体" w:hAnsi="宋体" w:cs="Times New Roman"/>
          <w:color w:val="auto"/>
          <w:kern w:val="0"/>
          <w:highlight w:val="none"/>
        </w:rPr>
        <w:t>浙江省成套招标代理有限公司对</w:t>
      </w:r>
      <w:r>
        <w:rPr>
          <w:rFonts w:hint="eastAsia" w:ascii="宋体" w:hAnsi="宋体" w:cs="Times New Roman"/>
          <w:color w:val="auto"/>
          <w:kern w:val="0"/>
          <w:highlight w:val="none"/>
          <w:u w:val="single"/>
        </w:rPr>
        <w:t xml:space="preserve"> </w:t>
      </w:r>
      <w:bookmarkStart w:id="99" w:name="_Hlk106098808"/>
      <w:r>
        <w:rPr>
          <w:rFonts w:hint="eastAsia" w:ascii="宋体" w:hAnsi="宋体" w:cs="Times New Roman"/>
          <w:color w:val="auto"/>
          <w:kern w:val="0"/>
          <w:highlight w:val="none"/>
          <w:u w:val="single"/>
          <w:lang w:eastAsia="zh-CN"/>
        </w:rPr>
        <w:t>浙江中医药大学文磊教授实验室改造项目</w:t>
      </w:r>
      <w:r>
        <w:rPr>
          <w:rFonts w:hint="eastAsia" w:ascii="宋体" w:hAnsi="宋体" w:cs="Times New Roman"/>
          <w:color w:val="auto"/>
          <w:kern w:val="0"/>
          <w:highlight w:val="none"/>
        </w:rPr>
        <w:t>工程</w:t>
      </w:r>
      <w:bookmarkEnd w:id="99"/>
      <w:r>
        <w:rPr>
          <w:rFonts w:ascii="宋体" w:hAnsi="宋体" w:cs="Times New Roman"/>
          <w:color w:val="auto"/>
          <w:kern w:val="0"/>
          <w:highlight w:val="none"/>
        </w:rPr>
        <w:t>通过</w:t>
      </w:r>
      <w:r>
        <w:rPr>
          <w:rFonts w:hint="eastAsia" w:ascii="宋体" w:hAnsi="宋体" w:cs="Times New Roman"/>
          <w:color w:val="auto"/>
          <w:kern w:val="0"/>
          <w:highlight w:val="none"/>
          <w:u w:val="single"/>
        </w:rPr>
        <w:t>竞争性</w:t>
      </w:r>
      <w:r>
        <w:rPr>
          <w:rFonts w:ascii="宋体" w:hAnsi="宋体" w:cs="Times New Roman"/>
          <w:color w:val="auto"/>
          <w:kern w:val="0"/>
          <w:highlight w:val="none"/>
          <w:u w:val="single"/>
        </w:rPr>
        <w:t>磋商</w:t>
      </w:r>
      <w:r>
        <w:rPr>
          <w:rFonts w:ascii="宋体" w:hAnsi="宋体" w:cs="Times New Roman"/>
          <w:color w:val="auto"/>
          <w:kern w:val="0"/>
          <w:highlight w:val="none"/>
        </w:rPr>
        <w:t>方式采购</w:t>
      </w:r>
      <w:r>
        <w:rPr>
          <w:rFonts w:hint="eastAsia" w:ascii="宋体" w:hAnsi="宋体" w:cs="Times New Roman"/>
          <w:color w:val="auto"/>
          <w:kern w:val="0"/>
          <w:highlight w:val="none"/>
        </w:rPr>
        <w:t>，确定</w:t>
      </w:r>
      <w:r>
        <w:rPr>
          <w:rFonts w:hint="eastAsia" w:ascii="宋体" w:hAnsi="宋体" w:cs="Times New Roman"/>
          <w:color w:val="auto"/>
          <w:kern w:val="0"/>
          <w:highlight w:val="none"/>
          <w:u w:val="single"/>
        </w:rPr>
        <w:t xml:space="preserve"> </w:t>
      </w:r>
      <w:r>
        <w:rPr>
          <w:rFonts w:hint="eastAsia" w:ascii="宋体" w:hAnsi="宋体" w:cs="宋体"/>
          <w:b/>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Arial"/>
          <w:bCs/>
          <w:snapToGrid w:val="0"/>
          <w:color w:val="auto"/>
          <w:kern w:val="0"/>
          <w:szCs w:val="21"/>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color w:val="auto"/>
          <w:kern w:val="0"/>
          <w:highlight w:val="none"/>
        </w:rPr>
        <w:t>为本工程成交人，</w:t>
      </w:r>
      <w:r>
        <w:rPr>
          <w:rFonts w:hint="eastAsia" w:ascii="宋体" w:hAnsi="宋体" w:cs="Times New Roman"/>
          <w:color w:val="auto"/>
          <w:kern w:val="0"/>
          <w:highlight w:val="none"/>
          <w:shd w:val="clear" w:color="auto" w:fill="FFFFFF"/>
        </w:rPr>
        <w:t>双方协商一致，共同达成如下协议：</w:t>
      </w:r>
    </w:p>
    <w:p w14:paraId="52B888AC">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一、工程概况</w:t>
      </w:r>
    </w:p>
    <w:p w14:paraId="58B64B6F">
      <w:pPr>
        <w:shd w:val="clear" w:color="auto" w:fill="FFFFFF"/>
        <w:snapToGrid w:val="0"/>
        <w:spacing w:line="360" w:lineRule="auto"/>
        <w:ind w:firstLine="420"/>
        <w:rPr>
          <w:rFonts w:ascii="宋体" w:hAnsi="宋体" w:cs="Times New Roman"/>
          <w:b/>
          <w:color w:val="auto"/>
          <w:kern w:val="0"/>
          <w:highlight w:val="none"/>
          <w:shd w:val="clear" w:color="auto" w:fill="FFFFFF"/>
        </w:rPr>
      </w:pPr>
      <w:r>
        <w:rPr>
          <w:rFonts w:hint="eastAsia" w:ascii="宋体" w:hAnsi="宋体" w:cs="Times New Roman"/>
          <w:color w:val="auto"/>
          <w:highlight w:val="none"/>
          <w:shd w:val="clear" w:color="auto" w:fill="FFFFFF"/>
        </w:rPr>
        <w:t>1.工程名称：</w:t>
      </w:r>
      <w:r>
        <w:rPr>
          <w:rFonts w:hint="eastAsia" w:ascii="宋体" w:hAnsi="宋体" w:cs="Times New Roman"/>
          <w:color w:val="auto"/>
          <w:highlight w:val="none"/>
          <w:u w:val="single"/>
          <w:shd w:val="clear" w:color="auto" w:fill="FFFFFF"/>
          <w:lang w:eastAsia="zh-CN"/>
        </w:rPr>
        <w:t>浙江中医药大学文磊教授实验室改造项目</w:t>
      </w:r>
    </w:p>
    <w:p w14:paraId="4FFC4696">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2.工程地点：浙江中医药大学项目指定地点</w:t>
      </w:r>
    </w:p>
    <w:p w14:paraId="7686E777">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 xml:space="preserve"> /   </w:t>
      </w:r>
      <w:r>
        <w:rPr>
          <w:rFonts w:hint="eastAsia" w:ascii="宋体" w:hAnsi="宋体" w:cs="Times New Roman"/>
          <w:color w:val="auto"/>
          <w:highlight w:val="none"/>
          <w:u w:val="single"/>
        </w:rPr>
        <w:t></w:t>
      </w:r>
    </w:p>
    <w:p w14:paraId="28A0CB2D">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Times New Roman"/>
          <w:color w:val="auto"/>
          <w:highlight w:val="none"/>
          <w:u w:val="single"/>
        </w:rPr>
        <w:t></w:t>
      </w:r>
      <w:r>
        <w:rPr>
          <w:rFonts w:hint="eastAsia" w:ascii="宋体" w:hAnsi="宋体" w:cs="Times New Roman"/>
          <w:color w:val="auto"/>
          <w:kern w:val="0"/>
          <w:highlight w:val="none"/>
          <w:u w:val="single"/>
        </w:rPr>
        <w:t>财政资金</w:t>
      </w:r>
      <w:r>
        <w:rPr>
          <w:rFonts w:hint="eastAsia" w:ascii="宋体" w:hAnsi="宋体" w:cs="Times New Roman"/>
          <w:color w:val="auto"/>
          <w:highlight w:val="none"/>
          <w:u w:val="single"/>
        </w:rPr>
        <w:t xml:space="preserve"> </w:t>
      </w:r>
      <w:r>
        <w:rPr>
          <w:rFonts w:hint="eastAsia" w:ascii="宋体" w:hAnsi="宋体" w:cs="宋体"/>
          <w:bCs/>
          <w:color w:val="auto"/>
          <w:szCs w:val="21"/>
          <w:highlight w:val="none"/>
        </w:rPr>
        <w:t>。</w:t>
      </w:r>
    </w:p>
    <w:p w14:paraId="1FD1114F">
      <w:pPr>
        <w:spacing w:line="360" w:lineRule="auto"/>
        <w:ind w:firstLine="420" w:firstLineChars="200"/>
        <w:rPr>
          <w:rFonts w:ascii="宋体" w:hAnsi="宋体" w:cs="Times New Roman"/>
          <w:color w:val="auto"/>
          <w:kern w:val="0"/>
          <w:highlight w:val="none"/>
          <w:u w:val="single"/>
          <w:shd w:val="clear" w:color="auto" w:fill="FFFFFF"/>
        </w:rPr>
      </w:pPr>
      <w:r>
        <w:rPr>
          <w:rFonts w:hint="eastAsia" w:ascii="宋体" w:hAnsi="宋体" w:cs="宋体"/>
          <w:bCs/>
          <w:color w:val="auto"/>
          <w:szCs w:val="21"/>
          <w:highlight w:val="none"/>
        </w:rPr>
        <w:t>5.工程内容：</w:t>
      </w:r>
      <w:r>
        <w:rPr>
          <w:rFonts w:hint="eastAsia" w:ascii="宋体" w:hAnsi="宋体" w:cs="宋体"/>
          <w:bCs/>
          <w:color w:val="auto"/>
          <w:szCs w:val="21"/>
          <w:highlight w:val="none"/>
          <w:u w:val="single"/>
        </w:rPr>
        <w:t>包括</w:t>
      </w:r>
      <w:r>
        <w:rPr>
          <w:rFonts w:hint="eastAsia" w:ascii="宋体" w:hAnsi="宋体" w:cs="Times New Roman"/>
          <w:color w:val="auto"/>
          <w:kern w:val="0"/>
          <w:highlight w:val="none"/>
          <w:u w:val="single"/>
          <w:lang w:eastAsia="zh-CN"/>
        </w:rPr>
        <w:t>浙江中医药大学文磊教授实验室改造项目</w:t>
      </w:r>
      <w:r>
        <w:rPr>
          <w:rFonts w:hint="eastAsia" w:ascii="宋体" w:hAnsi="宋体" w:cs="Times New Roman"/>
          <w:color w:val="auto"/>
          <w:kern w:val="0"/>
          <w:highlight w:val="none"/>
          <w:u w:val="single"/>
        </w:rPr>
        <w:t>施工内容</w:t>
      </w:r>
    </w:p>
    <w:p w14:paraId="1A4C34E2">
      <w:pPr>
        <w:spacing w:line="360" w:lineRule="auto"/>
        <w:ind w:firstLine="420" w:firstLineChars="200"/>
        <w:rPr>
          <w:rFonts w:hint="eastAsia" w:ascii="宋体" w:hAnsi="宋体" w:cs="Times New Roman"/>
          <w:color w:val="auto"/>
          <w:highlight w:val="none"/>
          <w:u w:val="single"/>
        </w:rPr>
      </w:pPr>
      <w:r>
        <w:rPr>
          <w:rFonts w:hint="eastAsia" w:ascii="宋体" w:hAnsi="宋体" w:cs="宋体"/>
          <w:bCs/>
          <w:color w:val="auto"/>
          <w:szCs w:val="21"/>
          <w:highlight w:val="none"/>
        </w:rPr>
        <w:t>6.工程承包范围：</w:t>
      </w:r>
      <w:r>
        <w:rPr>
          <w:rFonts w:hint="eastAsia" w:ascii="宋体" w:hAnsi="宋体" w:cs="Times New Roman"/>
          <w:color w:val="auto"/>
          <w:highlight w:val="none"/>
          <w:u w:val="single"/>
        </w:rPr>
        <w:t>1）详见磋商文件和工程量清单。其中，未纳入本次招标范围内容及其施工界面划分详见施工图、工程量清单编制说明。</w:t>
      </w:r>
    </w:p>
    <w:p w14:paraId="5297330F">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2）可能出现的施工图修改引起的工程量增减以及根据发包人明确指令需在招标范围外增加的工程量及招标范围内减少的工程量。</w:t>
      </w:r>
    </w:p>
    <w:p w14:paraId="3CF403C0">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二、合同工期</w:t>
      </w:r>
    </w:p>
    <w:p w14:paraId="348DFA69">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Times New Roman"/>
          <w:color w:val="auto"/>
          <w:highlight w:val="none"/>
          <w:u w:val="single"/>
        </w:rPr>
        <w:t>20</w:t>
      </w:r>
      <w:r>
        <w:rPr>
          <w:rFonts w:ascii="宋体" w:hAnsi="宋体" w:cs="Times New Roman"/>
          <w:color w:val="auto"/>
          <w:highlight w:val="none"/>
          <w:u w:val="single"/>
        </w:rPr>
        <w:t>2</w:t>
      </w:r>
      <w:r>
        <w:rPr>
          <w:rFonts w:hint="eastAsia" w:ascii="宋体" w:hAnsi="宋体" w:cs="Times New Roman"/>
          <w:color w:val="auto"/>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日（以开工令为准）。</w:t>
      </w:r>
    </w:p>
    <w:p w14:paraId="6EFC441F">
      <w:pPr>
        <w:spacing w:line="360" w:lineRule="auto"/>
        <w:ind w:firstLine="459"/>
        <w:rPr>
          <w:rFonts w:ascii="宋体" w:hAnsi="宋体" w:cs="Times New Roman"/>
          <w:color w:val="auto"/>
          <w:szCs w:val="21"/>
          <w:highlight w:val="none"/>
        </w:rPr>
      </w:pPr>
      <w:r>
        <w:rPr>
          <w:rFonts w:hint="eastAsia" w:ascii="宋体" w:hAnsi="宋体" w:cs="宋体"/>
          <w:color w:val="auto"/>
          <w:szCs w:val="21"/>
          <w:highlight w:val="none"/>
        </w:rPr>
        <w:t>计划竣工日期：</w:t>
      </w:r>
      <w:r>
        <w:rPr>
          <w:rFonts w:hint="eastAsia" w:ascii="宋体" w:hAnsi="宋体" w:cs="Times New Roman"/>
          <w:color w:val="auto"/>
          <w:highlight w:val="none"/>
          <w:u w:val="single"/>
        </w:rPr>
        <w:t>202</w:t>
      </w:r>
      <w:r>
        <w:rPr>
          <w:rFonts w:hint="eastAsia" w:ascii="宋体" w:hAnsi="宋体" w:cs="Times New Roman"/>
          <w:color w:val="auto"/>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23CA0466">
      <w:pPr>
        <w:spacing w:line="360" w:lineRule="auto"/>
        <w:ind w:firstLine="459"/>
        <w:rPr>
          <w:rFonts w:ascii="宋体" w:hAnsi="宋体" w:cs="宋体"/>
          <w:color w:val="auto"/>
          <w:szCs w:val="21"/>
          <w:highlight w:val="none"/>
        </w:rPr>
      </w:pPr>
      <w:r>
        <w:rPr>
          <w:rFonts w:hint="eastAsia" w:ascii="宋体" w:hAnsi="宋体" w:cs="Times New Roman"/>
          <w:color w:val="auto"/>
          <w:szCs w:val="21"/>
          <w:highlight w:val="none"/>
        </w:rPr>
        <w:t>计划总工期：</w:t>
      </w:r>
      <w:r>
        <w:rPr>
          <w:rFonts w:ascii="宋体" w:hAnsi="宋体" w:cs="Times New Roman"/>
          <w:color w:val="auto"/>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highlight w:val="none"/>
          <w:u w:val="single"/>
        </w:rPr>
        <w:t xml:space="preserve"> </w:t>
      </w:r>
      <w:r>
        <w:rPr>
          <w:rFonts w:hint="eastAsia" w:ascii="宋体" w:hAnsi="宋体" w:cs="Times New Roman"/>
          <w:color w:val="auto"/>
          <w:szCs w:val="21"/>
          <w:highlight w:val="none"/>
        </w:rPr>
        <w:t>天，自发包人通知开工之日起算。</w:t>
      </w:r>
      <w:r>
        <w:rPr>
          <w:rFonts w:ascii="宋体" w:hAnsi="宋体" w:cs="Times New Roman"/>
          <w:color w:val="auto"/>
          <w:highlight w:val="none"/>
        </w:rPr>
        <w:t>工期总日历天数与根据前述计划开竣工日期计算的工期天数不一致的，以工期总日历天数为准</w:t>
      </w:r>
      <w:r>
        <w:rPr>
          <w:rFonts w:hint="eastAsia" w:ascii="宋体" w:hAnsi="宋体" w:cs="Times New Roman"/>
          <w:color w:val="auto"/>
          <w:szCs w:val="21"/>
          <w:highlight w:val="none"/>
        </w:rPr>
        <w:t>。</w:t>
      </w:r>
    </w:p>
    <w:p w14:paraId="58C87D8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三、质量标准</w:t>
      </w:r>
    </w:p>
    <w:p w14:paraId="289CAB3E">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Times New Roman"/>
          <w:b/>
          <w:color w:val="auto"/>
          <w:highlight w:val="none"/>
          <w:u w:val="single"/>
        </w:rPr>
        <w:t>国家验收规范合格</w:t>
      </w:r>
      <w:r>
        <w:rPr>
          <w:rFonts w:hint="eastAsia" w:ascii="宋体" w:hAnsi="宋体" w:cs="宋体"/>
          <w:color w:val="auto"/>
          <w:szCs w:val="21"/>
          <w:highlight w:val="none"/>
        </w:rPr>
        <w:t>标准，达到国家有关技术标准、规范、规程要求。</w:t>
      </w:r>
    </w:p>
    <w:p w14:paraId="4EA404C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四、签约合同价与合同价格形式</w:t>
      </w:r>
      <w:r>
        <w:rPr>
          <w:rFonts w:hint="eastAsia" w:ascii="宋体" w:hAnsi="宋体" w:cs="宋体"/>
          <w:b/>
          <w:color w:val="auto"/>
          <w:szCs w:val="21"/>
          <w:highlight w:val="none"/>
        </w:rPr>
        <w:tab/>
      </w:r>
    </w:p>
    <w:p w14:paraId="5C5EA240">
      <w:pPr>
        <w:tabs>
          <w:tab w:val="left" w:pos="2410"/>
        </w:tabs>
        <w:snapToGrid w:val="0"/>
        <w:spacing w:line="360" w:lineRule="auto"/>
        <w:ind w:firstLine="420" w:firstLineChars="200"/>
        <w:rPr>
          <w:rFonts w:ascii="宋体" w:hAnsi="宋体" w:cs="Times New Roman"/>
          <w:color w:val="auto"/>
          <w:szCs w:val="21"/>
          <w:highlight w:val="none"/>
        </w:rPr>
      </w:pPr>
      <w:r>
        <w:rPr>
          <w:rFonts w:ascii="宋体" w:hAnsi="宋体" w:cs="Times New Roman"/>
          <w:color w:val="auto"/>
          <w:highlight w:val="none"/>
        </w:rPr>
        <w:t>1.</w:t>
      </w:r>
      <w:r>
        <w:rPr>
          <w:rFonts w:hint="eastAsia" w:ascii="宋体" w:hAnsi="宋体" w:cs="Times New Roman"/>
          <w:color w:val="auto"/>
          <w:highlight w:val="none"/>
        </w:rPr>
        <w:t>暂定</w:t>
      </w:r>
      <w:r>
        <w:rPr>
          <w:rFonts w:ascii="宋体" w:hAnsi="宋体" w:cs="Times New Roman"/>
          <w:color w:val="auto"/>
          <w:highlight w:val="none"/>
        </w:rPr>
        <w:t>合同</w:t>
      </w:r>
      <w:r>
        <w:rPr>
          <w:rFonts w:hint="eastAsia" w:ascii="宋体" w:hAnsi="宋体" w:cs="Times New Roman"/>
          <w:color w:val="auto"/>
          <w:highlight w:val="none"/>
        </w:rPr>
        <w:t>总</w:t>
      </w:r>
      <w:r>
        <w:rPr>
          <w:rFonts w:ascii="宋体" w:hAnsi="宋体" w:cs="Times New Roman"/>
          <w:color w:val="auto"/>
          <w:highlight w:val="none"/>
        </w:rPr>
        <w:t>价为：</w:t>
      </w:r>
    </w:p>
    <w:p w14:paraId="46FF7FEF">
      <w:pPr>
        <w:snapToGrid w:val="0"/>
        <w:spacing w:line="360" w:lineRule="auto"/>
        <w:ind w:firstLine="525" w:firstLineChars="250"/>
        <w:rPr>
          <w:rFonts w:ascii="宋体" w:hAnsi="宋体" w:cs="Times New Roman"/>
          <w:color w:val="auto"/>
          <w:highlight w:val="none"/>
        </w:rPr>
      </w:pPr>
      <w:r>
        <w:rPr>
          <w:rFonts w:ascii="宋体" w:hAnsi="宋体" w:cs="Times New Roman"/>
          <w:color w:val="auto"/>
          <w:highlight w:val="none"/>
        </w:rPr>
        <w:t>人民币（大写）</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b/>
          <w:bCs/>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highlight w:val="none"/>
        </w:rPr>
        <w:t>元)；</w:t>
      </w:r>
    </w:p>
    <w:p w14:paraId="44B92159">
      <w:pPr>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2.合同价格形式：</w:t>
      </w:r>
      <w:r>
        <w:rPr>
          <w:rFonts w:hint="eastAsia" w:ascii="宋体" w:hAnsi="宋体" w:cs="Times New Roman"/>
          <w:b/>
          <w:color w:val="auto"/>
          <w:highlight w:val="none"/>
          <w:u w:val="single"/>
        </w:rPr>
        <w:t>工程量清单</w:t>
      </w:r>
      <w:r>
        <w:rPr>
          <w:rFonts w:ascii="宋体" w:hAnsi="宋体" w:cs="Times New Roman"/>
          <w:b/>
          <w:color w:val="auto"/>
          <w:highlight w:val="none"/>
          <w:u w:val="single"/>
        </w:rPr>
        <w:t>固定</w:t>
      </w:r>
      <w:r>
        <w:rPr>
          <w:rFonts w:hint="eastAsia" w:ascii="宋体" w:hAnsi="宋体" w:cs="Times New Roman"/>
          <w:b/>
          <w:color w:val="auto"/>
          <w:highlight w:val="none"/>
          <w:u w:val="single"/>
        </w:rPr>
        <w:t>综合单价合同</w:t>
      </w:r>
      <w:r>
        <w:rPr>
          <w:rFonts w:ascii="宋体" w:hAnsi="宋体" w:cs="Times New Roman"/>
          <w:color w:val="auto"/>
          <w:highlight w:val="none"/>
        </w:rPr>
        <w:t>。</w:t>
      </w:r>
    </w:p>
    <w:p w14:paraId="3348847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五、项目经理</w:t>
      </w:r>
    </w:p>
    <w:p w14:paraId="6B181F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r>
        <w:rPr>
          <w:rFonts w:hint="eastAsia" w:ascii="宋体" w:hAnsi="宋体" w:cs="宋体"/>
          <w:color w:val="auto"/>
          <w:szCs w:val="21"/>
          <w:highlight w:val="none"/>
        </w:rPr>
        <w:t>。</w:t>
      </w:r>
    </w:p>
    <w:p w14:paraId="4A258306">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六、合同文件构成</w:t>
      </w:r>
    </w:p>
    <w:p w14:paraId="43DBBE77">
      <w:pPr>
        <w:spacing w:line="360" w:lineRule="auto"/>
        <w:ind w:firstLine="420" w:firstLineChars="200"/>
        <w:rPr>
          <w:rFonts w:ascii="宋体" w:hAnsi="宋体" w:cs="Times New Roman"/>
          <w:bCs/>
          <w:color w:val="auto"/>
          <w:szCs w:val="21"/>
          <w:highlight w:val="none"/>
        </w:rPr>
      </w:pPr>
      <w:r>
        <w:rPr>
          <w:rFonts w:hint="eastAsia" w:ascii="宋体" w:hAnsi="宋体" w:cs="宋体"/>
          <w:bCs/>
          <w:color w:val="auto"/>
          <w:szCs w:val="21"/>
          <w:highlight w:val="none"/>
        </w:rPr>
        <w:t>本协议书与下列文件一起构成合同文件：</w:t>
      </w:r>
    </w:p>
    <w:p w14:paraId="7492F867">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1）成交通知书；</w:t>
      </w:r>
    </w:p>
    <w:p w14:paraId="5BDCB448">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 xml:space="preserve">2）投标函及附录； </w:t>
      </w:r>
    </w:p>
    <w:p w14:paraId="44E5A31F">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3）</w:t>
      </w:r>
      <w:r>
        <w:rPr>
          <w:rFonts w:hint="eastAsia" w:ascii="宋体" w:hAnsi="宋体" w:cs="Times New Roman"/>
          <w:color w:val="auto"/>
          <w:highlight w:val="none"/>
          <w:u w:val="single"/>
        </w:rPr>
        <w:t>专用合同条款及其附件</w:t>
      </w:r>
      <w:r>
        <w:rPr>
          <w:rFonts w:ascii="宋体" w:hAnsi="宋体" w:cs="Times New Roman"/>
          <w:color w:val="auto"/>
          <w:highlight w:val="none"/>
          <w:u w:val="single"/>
        </w:rPr>
        <w:t xml:space="preserve">； </w:t>
      </w:r>
    </w:p>
    <w:p w14:paraId="4F24702A">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4）</w:t>
      </w:r>
      <w:r>
        <w:rPr>
          <w:rFonts w:hint="eastAsia" w:ascii="宋体" w:hAnsi="宋体" w:cs="Times New Roman"/>
          <w:color w:val="auto"/>
          <w:highlight w:val="none"/>
          <w:u w:val="single"/>
        </w:rPr>
        <w:t>通用合同条款</w:t>
      </w:r>
      <w:r>
        <w:rPr>
          <w:rFonts w:ascii="宋体" w:hAnsi="宋体" w:cs="Times New Roman"/>
          <w:color w:val="auto"/>
          <w:highlight w:val="none"/>
          <w:u w:val="single"/>
        </w:rPr>
        <w:t>；</w:t>
      </w:r>
    </w:p>
    <w:p w14:paraId="20307FF7">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（5</w:t>
      </w:r>
      <w:r>
        <w:rPr>
          <w:rFonts w:ascii="宋体" w:hAnsi="宋体" w:cs="Times New Roman"/>
          <w:color w:val="auto"/>
          <w:highlight w:val="none"/>
          <w:u w:val="single"/>
        </w:rPr>
        <w:t>）技术标准和要求；</w:t>
      </w:r>
    </w:p>
    <w:p w14:paraId="11D536ED">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（6</w:t>
      </w:r>
      <w:r>
        <w:rPr>
          <w:rFonts w:ascii="宋体" w:hAnsi="宋体" w:cs="Times New Roman"/>
          <w:color w:val="auto"/>
          <w:highlight w:val="none"/>
          <w:u w:val="single"/>
        </w:rPr>
        <w:t>）图纸（如有）；</w:t>
      </w:r>
    </w:p>
    <w:p w14:paraId="4D6467BD">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（7</w:t>
      </w:r>
      <w:r>
        <w:rPr>
          <w:rFonts w:ascii="宋体" w:hAnsi="宋体" w:cs="Times New Roman"/>
          <w:color w:val="auto"/>
          <w:highlight w:val="none"/>
          <w:u w:val="single"/>
        </w:rPr>
        <w:t>）已标价工程量清单或预算书；</w:t>
      </w:r>
    </w:p>
    <w:p w14:paraId="06CBB087">
      <w:pPr>
        <w:autoSpaceDE w:val="0"/>
        <w:autoSpaceDN w:val="0"/>
        <w:adjustRightInd w:val="0"/>
        <w:spacing w:line="360" w:lineRule="auto"/>
        <w:ind w:firstLine="420" w:firstLineChars="200"/>
        <w:jc w:val="left"/>
        <w:rPr>
          <w:rFonts w:hint="eastAsia" w:ascii="宋体" w:hAnsi="宋体" w:cs="Times New Roman"/>
          <w:color w:val="auto"/>
          <w:highlight w:val="none"/>
          <w:u w:val="single"/>
        </w:rPr>
      </w:pPr>
      <w:r>
        <w:rPr>
          <w:rFonts w:hint="eastAsia" w:ascii="宋体" w:hAnsi="宋体" w:cs="Times New Roman"/>
          <w:color w:val="auto"/>
          <w:highlight w:val="none"/>
          <w:u w:val="single"/>
        </w:rPr>
        <w:t>（8</w:t>
      </w:r>
      <w:r>
        <w:rPr>
          <w:rFonts w:ascii="宋体" w:hAnsi="宋体" w:cs="Times New Roman"/>
          <w:color w:val="auto"/>
          <w:highlight w:val="none"/>
          <w:u w:val="single"/>
        </w:rPr>
        <w:t>）工程质量保修书</w:t>
      </w:r>
      <w:r>
        <w:rPr>
          <w:rFonts w:hint="eastAsia" w:ascii="宋体" w:hAnsi="宋体" w:cs="Times New Roman"/>
          <w:color w:val="auto"/>
          <w:highlight w:val="none"/>
          <w:u w:val="single"/>
        </w:rPr>
        <w:t>；</w:t>
      </w:r>
    </w:p>
    <w:p w14:paraId="4BC424A4">
      <w:pPr>
        <w:autoSpaceDE w:val="0"/>
        <w:autoSpaceDN w:val="0"/>
        <w:adjustRightInd w:val="0"/>
        <w:spacing w:line="360" w:lineRule="auto"/>
        <w:ind w:firstLine="420" w:firstLineChars="200"/>
        <w:jc w:val="left"/>
        <w:rPr>
          <w:rFonts w:hint="eastAsia" w:ascii="宋体" w:hAnsi="宋体" w:cs="Times New Roman"/>
          <w:color w:val="auto"/>
          <w:highlight w:val="none"/>
          <w:u w:val="single"/>
        </w:rPr>
      </w:pPr>
      <w:r>
        <w:rPr>
          <w:rFonts w:hint="eastAsia" w:ascii="宋体" w:hAnsi="宋体" w:cs="Times New Roman"/>
          <w:color w:val="auto"/>
          <w:highlight w:val="none"/>
          <w:u w:val="single"/>
        </w:rPr>
        <w:t>（9）通用合同条款；</w:t>
      </w:r>
    </w:p>
    <w:p w14:paraId="39570474">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10）其他合同文件。</w:t>
      </w:r>
    </w:p>
    <w:p w14:paraId="7F694D31">
      <w:pPr>
        <w:autoSpaceDE w:val="0"/>
        <w:autoSpaceDN w:val="0"/>
        <w:adjustRightInd w:val="0"/>
        <w:spacing w:line="360" w:lineRule="auto"/>
        <w:ind w:firstLine="420" w:firstLineChars="200"/>
        <w:jc w:val="left"/>
        <w:rPr>
          <w:rFonts w:ascii="宋体" w:hAnsi="宋体" w:cs="Times New Roman"/>
          <w:color w:val="auto"/>
          <w:highlight w:val="none"/>
        </w:rPr>
      </w:pPr>
      <w:r>
        <w:rPr>
          <w:rFonts w:hint="eastAsia" w:ascii="宋体" w:hAnsi="宋体" w:cs="Times New Roman"/>
          <w:color w:val="auto"/>
          <w:szCs w:val="21"/>
          <w:highlight w:val="none"/>
        </w:rPr>
        <w:t>在合同订立及履行过程中形成的与合同有关的文件均构成合同文件组成部分。</w:t>
      </w:r>
    </w:p>
    <w:p w14:paraId="42EE0821">
      <w:pPr>
        <w:autoSpaceDE w:val="0"/>
        <w:autoSpaceDN w:val="0"/>
        <w:adjustRightInd w:val="0"/>
        <w:spacing w:line="360" w:lineRule="auto"/>
        <w:ind w:firstLine="420" w:firstLineChars="200"/>
        <w:jc w:val="left"/>
        <w:rPr>
          <w:rFonts w:ascii="宋体" w:hAnsi="宋体" w:cs="Times New Roman"/>
          <w:color w:val="auto"/>
          <w:highlight w:val="none"/>
        </w:rPr>
      </w:pPr>
      <w:r>
        <w:rPr>
          <w:rFonts w:hint="eastAsia" w:ascii="宋体" w:hAnsi="宋体" w:cs="Times New Roman"/>
          <w:color w:val="auto"/>
          <w:szCs w:val="21"/>
          <w:highlight w:val="none"/>
        </w:rPr>
        <w:t>上述各项合同文件包括合同当事人就该项合同文件所作出的补充和变更，属于同一类内容的文件，应以最新签署的为准。各项文件及其附件须经合同当事人签字和盖章。</w:t>
      </w:r>
    </w:p>
    <w:p w14:paraId="5C19825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七、承诺</w:t>
      </w:r>
    </w:p>
    <w:p w14:paraId="04FBC501">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1.</w:t>
      </w:r>
      <w:r>
        <w:rPr>
          <w:rFonts w:hint="eastAsia" w:ascii="宋体" w:hAnsi="宋体" w:cs="Times New Roman"/>
          <w:bCs/>
          <w:color w:val="auto"/>
          <w:szCs w:val="21"/>
          <w:highlight w:val="none"/>
        </w:rPr>
        <w:t>发包人承诺按照法律规定履行项目审批手续、筹集工程建设资金并按照合同约定的期限和方式支付合同价款。</w:t>
      </w:r>
    </w:p>
    <w:p w14:paraId="555C5290">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2.</w:t>
      </w:r>
      <w:r>
        <w:rPr>
          <w:rFonts w:hint="eastAsia" w:ascii="宋体" w:hAnsi="宋体" w:cs="Times New Roman"/>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6F7C58AC">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3.</w:t>
      </w:r>
      <w:r>
        <w:rPr>
          <w:rFonts w:hint="eastAsia" w:ascii="宋体" w:hAnsi="宋体" w:cs="Times New Roman"/>
          <w:bCs/>
          <w:color w:val="auto"/>
          <w:szCs w:val="21"/>
          <w:highlight w:val="none"/>
        </w:rPr>
        <w:t>发包人和承包人通过招投标形式签订合同的，双方理解并承诺不再就同一工程另行签订与合同实质性内容相背离的协议。</w:t>
      </w:r>
    </w:p>
    <w:p w14:paraId="086E2FED">
      <w:pPr>
        <w:spacing w:line="360" w:lineRule="auto"/>
        <w:ind w:firstLine="437"/>
        <w:rPr>
          <w:rFonts w:ascii="宋体" w:hAnsi="宋体" w:cs="Times New Roman"/>
          <w:color w:val="auto"/>
          <w:highlight w:val="none"/>
        </w:rPr>
      </w:pPr>
      <w:r>
        <w:rPr>
          <w:rFonts w:hint="eastAsia" w:ascii="宋体" w:hAnsi="宋体" w:cs="宋体"/>
          <w:b/>
          <w:color w:val="auto"/>
          <w:szCs w:val="21"/>
          <w:highlight w:val="none"/>
        </w:rPr>
        <w:t>八、词语含义</w:t>
      </w:r>
    </w:p>
    <w:p w14:paraId="0703CC0C">
      <w:pPr>
        <w:spacing w:line="360" w:lineRule="auto"/>
        <w:ind w:firstLine="437"/>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4E0B4383">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九、签订时间</w:t>
      </w:r>
    </w:p>
    <w:p w14:paraId="609703C4">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本合同于</w:t>
      </w:r>
      <w:r>
        <w:rPr>
          <w:rFonts w:hint="eastAsia" w:ascii="宋体" w:hAnsi="宋体" w:cs="Times New Roman"/>
          <w:color w:val="auto"/>
          <w:highlight w:val="none"/>
          <w:u w:val="single"/>
        </w:rPr>
        <w:t xml:space="preserve"> </w:t>
      </w:r>
      <w:r>
        <w:rPr>
          <w:rFonts w:hint="eastAsia" w:ascii="宋体" w:hAnsi="宋体" w:cs="宋体"/>
          <w:bCs/>
          <w:color w:val="auto"/>
          <w:szCs w:val="21"/>
          <w:highlight w:val="none"/>
          <w:u w:val="single"/>
        </w:rPr>
        <w:t xml:space="preserve"> 20</w:t>
      </w:r>
      <w:r>
        <w:rPr>
          <w:rFonts w:ascii="宋体" w:hAnsi="宋体" w:cs="宋体"/>
          <w:bCs/>
          <w:color w:val="auto"/>
          <w:szCs w:val="21"/>
          <w:highlight w:val="none"/>
          <w:u w:val="single"/>
        </w:rPr>
        <w:t>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4F7C9490">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十、签订地点</w:t>
      </w:r>
    </w:p>
    <w:p w14:paraId="7704577F">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本合同在</w:t>
      </w:r>
      <w:r>
        <w:rPr>
          <w:rFonts w:hint="eastAsia" w:ascii="宋体" w:hAnsi="宋体" w:cs="Times New Roman"/>
          <w:color w:val="auto"/>
          <w:highlight w:val="none"/>
          <w:u w:val="single"/>
        </w:rPr>
        <w:t xml:space="preserve">杭州市 </w:t>
      </w:r>
      <w:r>
        <w:rPr>
          <w:rFonts w:hint="eastAsia" w:ascii="宋体" w:hAnsi="宋体" w:cs="宋体"/>
          <w:bCs/>
          <w:color w:val="auto"/>
          <w:szCs w:val="21"/>
          <w:highlight w:val="none"/>
        </w:rPr>
        <w:t>签订。</w:t>
      </w:r>
    </w:p>
    <w:p w14:paraId="139EE02D">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十一、补充协议</w:t>
      </w:r>
    </w:p>
    <w:p w14:paraId="44624915">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合同未尽事宜，合同当事人另行签订补充协议，补充协议是合同的组成部分。</w:t>
      </w:r>
    </w:p>
    <w:p w14:paraId="5332C623">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十二、合同生效</w:t>
      </w:r>
    </w:p>
    <w:p w14:paraId="0453DBBE">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本合同自</w:t>
      </w:r>
      <w:r>
        <w:rPr>
          <w:rFonts w:hint="eastAsia" w:ascii="宋体" w:hAnsi="宋体" w:cs="Times New Roman"/>
          <w:color w:val="auto"/>
          <w:highlight w:val="none"/>
          <w:u w:val="single"/>
        </w:rPr>
        <w:t xml:space="preserve">  </w:t>
      </w:r>
      <w:r>
        <w:rPr>
          <w:rFonts w:hint="eastAsia" w:ascii="宋体" w:hAnsi="宋体" w:cs="Times New Roman"/>
          <w:b/>
          <w:color w:val="auto"/>
          <w:highlight w:val="none"/>
          <w:u w:val="single"/>
        </w:rPr>
        <w:t>双方签字、盖章且承包人提交履约保证金后</w:t>
      </w:r>
      <w:r>
        <w:rPr>
          <w:rFonts w:hint="eastAsia" w:ascii="宋体" w:hAnsi="宋体" w:cs="宋体"/>
          <w:bCs/>
          <w:color w:val="auto"/>
          <w:szCs w:val="21"/>
          <w:highlight w:val="none"/>
        </w:rPr>
        <w:t>生效。</w:t>
      </w:r>
    </w:p>
    <w:p w14:paraId="73125086">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十三、合同份数</w:t>
      </w:r>
    </w:p>
    <w:p w14:paraId="3215CB1D">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本合同一式</w:t>
      </w:r>
      <w:r>
        <w:rPr>
          <w:rFonts w:hint="eastAsia" w:ascii="宋体" w:hAnsi="宋体" w:cs="Times New Roman"/>
          <w:color w:val="auto"/>
          <w:highlight w:val="none"/>
          <w:u w:val="single"/>
        </w:rPr>
        <w:t>捌</w:t>
      </w:r>
      <w:r>
        <w:rPr>
          <w:rFonts w:hint="eastAsia" w:ascii="宋体" w:hAnsi="宋体" w:cs="宋体"/>
          <w:bCs/>
          <w:color w:val="auto"/>
          <w:szCs w:val="21"/>
          <w:highlight w:val="none"/>
        </w:rPr>
        <w:t>份，均具有同等法律效力，发包人执</w:t>
      </w:r>
      <w:r>
        <w:rPr>
          <w:rFonts w:hint="eastAsia" w:ascii="宋体" w:hAnsi="宋体" w:cs="Times New Roman"/>
          <w:color w:val="auto"/>
          <w:highlight w:val="none"/>
          <w:u w:val="single"/>
        </w:rPr>
        <w:t>肆</w:t>
      </w:r>
      <w:r>
        <w:rPr>
          <w:rFonts w:hint="eastAsia" w:ascii="宋体" w:hAnsi="宋体" w:cs="宋体"/>
          <w:bCs/>
          <w:color w:val="auto"/>
          <w:szCs w:val="21"/>
          <w:highlight w:val="none"/>
        </w:rPr>
        <w:t>份，承包人执</w:t>
      </w:r>
      <w:r>
        <w:rPr>
          <w:rFonts w:hint="eastAsia" w:ascii="宋体" w:hAnsi="宋体" w:cs="Times New Roman"/>
          <w:color w:val="auto"/>
          <w:highlight w:val="none"/>
          <w:u w:val="single"/>
        </w:rPr>
        <w:t>肆</w:t>
      </w:r>
      <w:r>
        <w:rPr>
          <w:rFonts w:hint="eastAsia" w:ascii="宋体" w:hAnsi="宋体" w:cs="宋体"/>
          <w:bCs/>
          <w:color w:val="auto"/>
          <w:szCs w:val="21"/>
          <w:highlight w:val="none"/>
        </w:rPr>
        <w:t>份。</w:t>
      </w:r>
    </w:p>
    <w:p w14:paraId="19490B28">
      <w:pPr>
        <w:adjustRightInd w:val="0"/>
        <w:snapToGrid w:val="0"/>
        <w:spacing w:line="360" w:lineRule="auto"/>
        <w:ind w:right="-624" w:rightChars="-297"/>
        <w:rPr>
          <w:rFonts w:ascii="宋体" w:hAnsi="宋体" w:cs="Times New Roman"/>
          <w:color w:val="auto"/>
          <w:highlight w:val="none"/>
        </w:rPr>
      </w:pPr>
    </w:p>
    <w:p w14:paraId="3DAEA44B">
      <w:pPr>
        <w:adjustRightInd w:val="0"/>
        <w:snapToGrid w:val="0"/>
        <w:spacing w:line="360" w:lineRule="auto"/>
        <w:ind w:right="-624" w:rightChars="-297"/>
        <w:rPr>
          <w:rFonts w:ascii="宋体" w:hAnsi="宋体" w:cs="宋体"/>
          <w:color w:val="auto"/>
          <w:kern w:val="0"/>
          <w:szCs w:val="21"/>
          <w:highlight w:val="none"/>
        </w:rPr>
      </w:pPr>
      <w:bookmarkStart w:id="100" w:name="_Toc351203494"/>
      <w:r>
        <w:rPr>
          <w:rFonts w:hint="eastAsia" w:ascii="宋体" w:hAnsi="宋体" w:cs="宋体"/>
          <w:color w:val="auto"/>
          <w:szCs w:val="21"/>
          <w:highlight w:val="none"/>
        </w:rPr>
        <w:t>发包人：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浙江中医药大学</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（盖章）</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承包</w:t>
      </w:r>
      <w:r>
        <w:rPr>
          <w:rFonts w:ascii="宋体" w:hAnsi="宋体" w:cs="宋体"/>
          <w:color w:val="auto"/>
          <w:kern w:val="0"/>
          <w:szCs w:val="21"/>
          <w:highlight w:val="none"/>
        </w:rPr>
        <w:t>人：</w:t>
      </w:r>
      <w:bookmarkStart w:id="101" w:name="_Hlk106096075"/>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宋体"/>
          <w:color w:val="auto"/>
          <w:kern w:val="0"/>
          <w:szCs w:val="21"/>
          <w:highlight w:val="none"/>
          <w:u w:val="single"/>
        </w:rPr>
        <w:t xml:space="preserve">              </w:t>
      </w:r>
      <w:bookmarkEnd w:id="101"/>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（盖章）</w:t>
      </w:r>
    </w:p>
    <w:p w14:paraId="64F592DD">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              法定代表人或其委托代理人：（签字）</w:t>
      </w:r>
    </w:p>
    <w:p w14:paraId="4DD207F8">
      <w:pPr>
        <w:tabs>
          <w:tab w:val="left" w:pos="4410"/>
        </w:tabs>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组织机构代码：</w:t>
      </w:r>
      <w:r>
        <w:rPr>
          <w:rFonts w:ascii="宋体" w:hAnsi="宋体" w:cs="宋体"/>
          <w:color w:val="auto"/>
          <w:szCs w:val="21"/>
          <w:highlight w:val="none"/>
          <w:u w:val="single"/>
        </w:rPr>
        <w:t>12330000470004110Q</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p w14:paraId="2B756FBB">
      <w:pPr>
        <w:spacing w:line="360" w:lineRule="auto"/>
        <w:ind w:right="-624" w:rightChars="-297"/>
        <w:rPr>
          <w:rFonts w:ascii="宋体" w:hAnsi="宋体" w:cs="Times New Roman"/>
          <w:color w:val="auto"/>
          <w:highlight w:val="none"/>
          <w:u w:val="single"/>
        </w:rPr>
      </w:pPr>
      <w:bookmarkStart w:id="102" w:name="_Hlk74481236"/>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杭州市滨江区滨文路</w:t>
      </w:r>
      <w:r>
        <w:rPr>
          <w:rFonts w:ascii="宋体" w:hAnsi="宋体" w:cs="宋体"/>
          <w:color w:val="auto"/>
          <w:szCs w:val="21"/>
          <w:highlight w:val="none"/>
          <w:u w:val="single"/>
        </w:rPr>
        <w:t>548</w:t>
      </w:r>
      <w:r>
        <w:rPr>
          <w:rFonts w:hint="eastAsia" w:ascii="宋体" w:hAnsi="宋体" w:cs="宋体"/>
          <w:color w:val="auto"/>
          <w:szCs w:val="21"/>
          <w:highlight w:val="none"/>
          <w:u w:val="single"/>
        </w:rPr>
        <w:t>号</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bookmarkEnd w:id="102"/>
    <w:p w14:paraId="4765A33C">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310053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166B59B7">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AF7F959">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p>
    <w:p w14:paraId="54054134">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w:t>
      </w:r>
      <w:bookmarkStart w:id="103" w:name="_Hlk74481252"/>
      <w:r>
        <w:rPr>
          <w:rFonts w:ascii="宋体" w:hAnsi="宋体" w:cs="宋体"/>
          <w:color w:val="auto"/>
          <w:kern w:val="0"/>
          <w:szCs w:val="21"/>
          <w:highlight w:val="none"/>
          <w:u w:val="single"/>
        </w:rPr>
        <w:t xml:space="preserve">            </w:t>
      </w:r>
      <w:bookmarkEnd w:id="103"/>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 xml:space="preserve">  </w:t>
      </w:r>
    </w:p>
    <w:p w14:paraId="6C185376">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 xml:space="preserve"> </w:t>
      </w:r>
    </w:p>
    <w:p w14:paraId="74FCA10F">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p w14:paraId="38E4A532">
      <w:pPr>
        <w:spacing w:line="360" w:lineRule="auto"/>
        <w:ind w:right="-624" w:rightChars="-297"/>
        <w:rPr>
          <w:rFonts w:ascii="宋体" w:hAnsi="宋体" w:cs="宋体"/>
          <w:color w:val="auto"/>
          <w:szCs w:val="21"/>
          <w:highlight w:val="none"/>
        </w:rPr>
      </w:pPr>
      <w:bookmarkStart w:id="104" w:name="_Hlk74481263"/>
      <w:r>
        <w:rPr>
          <w:rFonts w:hint="eastAsia" w:ascii="宋体" w:hAnsi="宋体" w:cs="宋体"/>
          <w:color w:val="auto"/>
          <w:szCs w:val="21"/>
          <w:highlight w:val="none"/>
        </w:rPr>
        <w:t>开户银行：</w:t>
      </w:r>
      <w:r>
        <w:rPr>
          <w:rFonts w:hint="eastAsia" w:ascii="宋体" w:hAnsi="宋体" w:cs="宋体"/>
          <w:color w:val="auto"/>
          <w:szCs w:val="21"/>
          <w:highlight w:val="none"/>
          <w:u w:val="single"/>
        </w:rPr>
        <w:t>工商银行景江苑支行</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162DE995">
      <w:pPr>
        <w:spacing w:line="360" w:lineRule="auto"/>
        <w:ind w:right="-624" w:rightChars="-297"/>
        <w:rPr>
          <w:rFonts w:ascii="宋体" w:hAnsi="宋体" w:cs="宋体"/>
          <w:color w:val="auto"/>
          <w:szCs w:val="21"/>
          <w:highlight w:val="none"/>
          <w:u w:val="single"/>
        </w:rPr>
      </w:pPr>
      <w:r>
        <w:rPr>
          <w:rFonts w:hint="eastAsia" w:ascii="宋体" w:hAnsi="宋体" w:cs="宋体"/>
          <w:color w:val="auto"/>
          <w:szCs w:val="21"/>
          <w:highlight w:val="none"/>
        </w:rPr>
        <w:t>账  号：</w:t>
      </w:r>
      <w:r>
        <w:rPr>
          <w:rFonts w:ascii="宋体" w:hAnsi="宋体" w:cs="宋体"/>
          <w:color w:val="auto"/>
          <w:szCs w:val="21"/>
          <w:highlight w:val="none"/>
          <w:u w:val="single"/>
        </w:rPr>
        <w:t xml:space="preserve">1202023419100001174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00F06CA9">
      <w:pPr>
        <w:autoSpaceDE w:val="0"/>
        <w:autoSpaceDN w:val="0"/>
        <w:adjustRightInd w:val="0"/>
        <w:jc w:val="left"/>
        <w:rPr>
          <w:rFonts w:ascii="宋体" w:hAnsi="宋体" w:cs="Times New Roman"/>
          <w:color w:val="auto"/>
          <w:kern w:val="0"/>
          <w:sz w:val="24"/>
          <w:highlight w:val="none"/>
        </w:rPr>
      </w:pPr>
    </w:p>
    <w:p w14:paraId="72AFBB7A">
      <w:pPr>
        <w:spacing w:line="360" w:lineRule="auto"/>
        <w:rPr>
          <w:rFonts w:ascii="宋体" w:hAnsi="宋体" w:cs="Times New Roman"/>
          <w:color w:val="auto"/>
          <w:highlight w:val="none"/>
        </w:rPr>
      </w:pPr>
      <w:r>
        <w:rPr>
          <w:rFonts w:hint="eastAsia" w:ascii="宋体" w:hAnsi="宋体" w:cs="Times New Roman"/>
          <w:color w:val="auto"/>
          <w:highlight w:val="none"/>
        </w:rPr>
        <w:t>鉴证单位：</w:t>
      </w:r>
      <w:r>
        <w:rPr>
          <w:rFonts w:hint="eastAsia" w:ascii="宋体" w:hAnsi="宋体" w:cs="Times New Roman"/>
          <w:color w:val="auto"/>
          <w:highlight w:val="none"/>
          <w:u w:val="single"/>
        </w:rPr>
        <w:t>浙江省成套招标代理有限公司（盖章）</w:t>
      </w:r>
    </w:p>
    <w:p w14:paraId="548ADB94">
      <w:pPr>
        <w:spacing w:line="360" w:lineRule="auto"/>
        <w:rPr>
          <w:rFonts w:ascii="宋体" w:hAnsi="宋体" w:cs="Times New Roman"/>
          <w:color w:val="auto"/>
          <w:highlight w:val="none"/>
        </w:rPr>
      </w:pPr>
      <w:r>
        <w:rPr>
          <w:rFonts w:hint="eastAsia" w:ascii="宋体" w:hAnsi="宋体" w:cs="Times New Roman"/>
          <w:color w:val="auto"/>
          <w:highlight w:val="none"/>
        </w:rPr>
        <w:t>委托代理人：</w:t>
      </w:r>
      <w:r>
        <w:rPr>
          <w:rFonts w:hint="eastAsia" w:ascii="宋体" w:hAnsi="宋体" w:cs="Times New Roman"/>
          <w:color w:val="auto"/>
          <w:highlight w:val="none"/>
          <w:u w:val="single"/>
        </w:rPr>
        <w:t>毛松翁</w:t>
      </w:r>
      <w:r>
        <w:rPr>
          <w:rFonts w:ascii="宋体" w:hAnsi="宋体" w:cs="Times New Roman"/>
          <w:color w:val="auto"/>
          <w:highlight w:val="none"/>
        </w:rPr>
        <w:t xml:space="preserve">                            </w:t>
      </w:r>
      <w:r>
        <w:rPr>
          <w:rFonts w:hint="eastAsia" w:ascii="宋体" w:hAnsi="宋体" w:cs="Times New Roman"/>
          <w:color w:val="auto"/>
          <w:highlight w:val="none"/>
        </w:rPr>
        <w:t xml:space="preserve">日 </w:t>
      </w:r>
      <w:r>
        <w:rPr>
          <w:rFonts w:ascii="宋体" w:hAnsi="宋体" w:cs="Times New Roman"/>
          <w:color w:val="auto"/>
          <w:highlight w:val="none"/>
        </w:rPr>
        <w:t xml:space="preserve">  </w:t>
      </w:r>
      <w:r>
        <w:rPr>
          <w:rFonts w:hint="eastAsia" w:ascii="宋体" w:hAnsi="宋体" w:cs="Times New Roman"/>
          <w:color w:val="auto"/>
          <w:highlight w:val="none"/>
        </w:rPr>
        <w:t>期：</w:t>
      </w:r>
      <w:r>
        <w:rPr>
          <w:rFonts w:ascii="宋体" w:hAnsi="宋体" w:cs="Times New Roman"/>
          <w:color w:val="auto"/>
          <w:highlight w:val="none"/>
        </w:rPr>
        <w:t xml:space="preserve"> </w:t>
      </w:r>
    </w:p>
    <w:p w14:paraId="1BA0275B">
      <w:pPr>
        <w:spacing w:line="360" w:lineRule="auto"/>
        <w:rPr>
          <w:rFonts w:ascii="宋体" w:hAnsi="宋体" w:cs="Times New Roman"/>
          <w:color w:val="auto"/>
          <w:highlight w:val="none"/>
        </w:rPr>
      </w:pPr>
    </w:p>
    <w:bookmarkEnd w:id="104"/>
    <w:p w14:paraId="7009BCBE">
      <w:pPr>
        <w:spacing w:line="360" w:lineRule="auto"/>
        <w:jc w:val="center"/>
        <w:outlineLvl w:val="1"/>
        <w:rPr>
          <w:rFonts w:ascii="宋体" w:hAnsi="宋体" w:cs="Times New Roman"/>
          <w:b/>
          <w:color w:val="auto"/>
          <w:sz w:val="28"/>
          <w:highlight w:val="none"/>
        </w:rPr>
      </w:pPr>
      <w:r>
        <w:rPr>
          <w:rFonts w:ascii="宋体" w:hAnsi="宋体" w:cs="Times New Roman"/>
          <w:b/>
          <w:color w:val="auto"/>
          <w:highlight w:val="none"/>
        </w:rPr>
        <w:br w:type="page"/>
      </w:r>
      <w:bookmarkStart w:id="105" w:name="_Toc23858"/>
      <w:bookmarkStart w:id="106" w:name="_Toc22109"/>
      <w:bookmarkStart w:id="107" w:name="_Toc22728"/>
      <w:bookmarkStart w:id="108" w:name="_Toc31843"/>
      <w:bookmarkStart w:id="109" w:name="_Toc31148"/>
      <w:bookmarkStart w:id="110" w:name="_Toc21340"/>
      <w:bookmarkStart w:id="111" w:name="_Toc30683"/>
      <w:bookmarkStart w:id="112" w:name="_Toc9670"/>
      <w:bookmarkStart w:id="113" w:name="_Toc65855222"/>
      <w:bookmarkStart w:id="114" w:name="_Toc31859"/>
      <w:bookmarkStart w:id="115" w:name="_Toc7177"/>
      <w:bookmarkStart w:id="116" w:name="_Toc25343"/>
      <w:bookmarkStart w:id="117" w:name="_Hlk62485489"/>
      <w:r>
        <w:rPr>
          <w:rFonts w:ascii="宋体" w:hAnsi="宋体" w:cs="Times New Roman"/>
          <w:b/>
          <w:color w:val="auto"/>
          <w:sz w:val="28"/>
          <w:highlight w:val="none"/>
        </w:rPr>
        <w:t>第二部分 通用合同条款</w:t>
      </w:r>
      <w:bookmarkEnd w:id="100"/>
      <w:r>
        <w:rPr>
          <w:rFonts w:hint="eastAsia" w:ascii="宋体" w:hAnsi="宋体" w:cs="Times New Roman"/>
          <w:b/>
          <w:color w:val="auto"/>
          <w:sz w:val="28"/>
          <w:szCs w:val="28"/>
          <w:highlight w:val="none"/>
        </w:rPr>
        <w:t>（略</w:t>
      </w:r>
      <w:r>
        <w:rPr>
          <w:rFonts w:ascii="宋体" w:hAnsi="宋体" w:cs="Times New Roman"/>
          <w:b/>
          <w:color w:val="auto"/>
          <w:sz w:val="28"/>
          <w:szCs w:val="28"/>
          <w:highlight w:val="none"/>
        </w:rPr>
        <w:t>)</w:t>
      </w:r>
      <w:bookmarkEnd w:id="105"/>
      <w:bookmarkEnd w:id="106"/>
      <w:bookmarkEnd w:id="107"/>
      <w:bookmarkEnd w:id="108"/>
      <w:bookmarkEnd w:id="109"/>
      <w:bookmarkEnd w:id="110"/>
      <w:bookmarkEnd w:id="111"/>
      <w:bookmarkEnd w:id="112"/>
      <w:bookmarkEnd w:id="113"/>
      <w:bookmarkEnd w:id="114"/>
      <w:bookmarkEnd w:id="115"/>
      <w:bookmarkEnd w:id="116"/>
    </w:p>
    <w:p w14:paraId="36A5329B">
      <w:pPr>
        <w:spacing w:line="360" w:lineRule="auto"/>
        <w:ind w:firstLine="420" w:firstLineChars="200"/>
        <w:jc w:val="center"/>
        <w:rPr>
          <w:rFonts w:ascii="宋体" w:hAnsi="宋体" w:cs="Times New Roman"/>
          <w:color w:val="auto"/>
          <w:szCs w:val="21"/>
          <w:highlight w:val="none"/>
        </w:rPr>
      </w:pPr>
      <w:r>
        <w:rPr>
          <w:rFonts w:hint="eastAsia" w:ascii="宋体" w:hAnsi="宋体" w:cs="Times New Roman"/>
          <w:color w:val="auto"/>
          <w:szCs w:val="21"/>
          <w:highlight w:val="none"/>
        </w:rPr>
        <w:t>同《建设工程施工合同》</w:t>
      </w:r>
      <w:r>
        <w:rPr>
          <w:rFonts w:ascii="宋体" w:hAnsi="宋体" w:cs="Times New Roman"/>
          <w:color w:val="auto"/>
          <w:szCs w:val="21"/>
          <w:highlight w:val="none"/>
        </w:rPr>
        <w:t>(</w:t>
      </w:r>
      <w:r>
        <w:rPr>
          <w:rFonts w:hint="eastAsia" w:ascii="宋体" w:hAnsi="宋体" w:cs="Times New Roman"/>
          <w:color w:val="auto"/>
          <w:szCs w:val="21"/>
          <w:highlight w:val="none"/>
        </w:rPr>
        <w:t>示范文本</w:t>
      </w:r>
      <w:r>
        <w:rPr>
          <w:rFonts w:ascii="宋体" w:hAnsi="宋体" w:cs="Times New Roman"/>
          <w:color w:val="auto"/>
          <w:szCs w:val="21"/>
          <w:highlight w:val="none"/>
        </w:rPr>
        <w:t>)GF-2017-0201</w:t>
      </w:r>
    </w:p>
    <w:p w14:paraId="2F91DCB9">
      <w:pPr>
        <w:spacing w:line="360" w:lineRule="auto"/>
        <w:jc w:val="center"/>
        <w:outlineLvl w:val="1"/>
        <w:rPr>
          <w:rFonts w:ascii="宋体" w:hAnsi="宋体" w:cs="Times New Roman"/>
          <w:b/>
          <w:color w:val="auto"/>
          <w:highlight w:val="none"/>
        </w:rPr>
      </w:pPr>
      <w:bookmarkStart w:id="118" w:name="_Toc5929"/>
      <w:bookmarkStart w:id="119" w:name="_Toc2535"/>
      <w:bookmarkStart w:id="120" w:name="_Toc31887"/>
      <w:bookmarkStart w:id="121" w:name="_Toc28378"/>
      <w:bookmarkStart w:id="122" w:name="_Toc12431"/>
      <w:bookmarkStart w:id="123" w:name="_Toc65855223"/>
      <w:bookmarkStart w:id="124" w:name="_Toc22755"/>
      <w:bookmarkStart w:id="125" w:name="_Toc8688"/>
      <w:bookmarkStart w:id="126" w:name="_Toc26970"/>
      <w:bookmarkStart w:id="127" w:name="_Toc10024"/>
      <w:bookmarkStart w:id="128" w:name="_Toc22444"/>
      <w:bookmarkStart w:id="129" w:name="_Toc6686"/>
      <w:bookmarkStart w:id="130" w:name="_Toc351203632"/>
      <w:r>
        <w:rPr>
          <w:rFonts w:hint="eastAsia" w:ascii="宋体" w:hAnsi="宋体" w:cs="Times New Roman"/>
          <w:b/>
          <w:color w:val="auto"/>
          <w:sz w:val="28"/>
          <w:highlight w:val="none"/>
        </w:rPr>
        <w:t>第三部分</w:t>
      </w:r>
      <w:r>
        <w:rPr>
          <w:rFonts w:ascii="宋体" w:hAnsi="宋体" w:cs="Times New Roman"/>
          <w:b/>
          <w:color w:val="auto"/>
          <w:sz w:val="28"/>
          <w:highlight w:val="none"/>
        </w:rPr>
        <w:t xml:space="preserve"> </w:t>
      </w:r>
      <w:r>
        <w:rPr>
          <w:rFonts w:hint="eastAsia" w:ascii="宋体" w:hAnsi="宋体" w:cs="Times New Roman"/>
          <w:b/>
          <w:color w:val="auto"/>
          <w:sz w:val="28"/>
          <w:highlight w:val="none"/>
        </w:rPr>
        <w:t>专用合同条款</w:t>
      </w:r>
      <w:bookmarkEnd w:id="118"/>
      <w:bookmarkEnd w:id="119"/>
      <w:bookmarkEnd w:id="120"/>
      <w:bookmarkEnd w:id="121"/>
      <w:bookmarkEnd w:id="122"/>
      <w:bookmarkEnd w:id="123"/>
      <w:bookmarkEnd w:id="124"/>
      <w:bookmarkEnd w:id="125"/>
      <w:bookmarkEnd w:id="126"/>
      <w:bookmarkEnd w:id="127"/>
      <w:bookmarkEnd w:id="128"/>
      <w:bookmarkEnd w:id="129"/>
      <w:bookmarkEnd w:id="130"/>
    </w:p>
    <w:bookmarkEnd w:id="96"/>
    <w:bookmarkEnd w:id="117"/>
    <w:p w14:paraId="58ACA3BC">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 一般约定</w:t>
      </w:r>
    </w:p>
    <w:p w14:paraId="2E47C72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 词语定义</w:t>
      </w:r>
    </w:p>
    <w:p w14:paraId="3F76F27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1.1.1合同</w:t>
      </w:r>
    </w:p>
    <w:p w14:paraId="2FC0522A">
      <w:pPr>
        <w:spacing w:line="360" w:lineRule="auto"/>
        <w:ind w:left="-315" w:leftChars="-150" w:firstLine="735" w:firstLineChars="350"/>
        <w:rPr>
          <w:rFonts w:ascii="宋体" w:hAnsi="宋体" w:cs="Times New Roman"/>
          <w:color w:val="auto"/>
          <w:szCs w:val="21"/>
          <w:highlight w:val="none"/>
        </w:rPr>
      </w:pPr>
      <w:r>
        <w:rPr>
          <w:rFonts w:ascii="宋体" w:hAnsi="宋体" w:cs="Times New Roman"/>
          <w:color w:val="auto"/>
          <w:szCs w:val="21"/>
          <w:highlight w:val="none"/>
        </w:rPr>
        <w:t>1.1.1.10其他合同文件包括：</w:t>
      </w:r>
    </w:p>
    <w:p w14:paraId="6FA9F8BD">
      <w:pPr>
        <w:spacing w:line="360" w:lineRule="auto"/>
        <w:ind w:left="-315" w:leftChars="-150" w:firstLine="735" w:firstLineChars="350"/>
        <w:rPr>
          <w:rFonts w:ascii="宋体" w:hAnsi="宋体" w:cs="Times New Roman"/>
          <w:color w:val="auto"/>
          <w:highlight w:val="none"/>
          <w:u w:val="single"/>
        </w:rPr>
      </w:pPr>
      <w:r>
        <w:rPr>
          <w:rFonts w:hint="eastAsia" w:ascii="宋体" w:hAnsi="宋体" w:cs="Times New Roman"/>
          <w:color w:val="auto"/>
          <w:highlight w:val="none"/>
          <w:u w:val="single"/>
        </w:rPr>
        <w:t>施工组织设计：施工组织设计是用来指导施工项目全过程各项活动的技术、经济和组织的综合性文件。</w:t>
      </w:r>
    </w:p>
    <w:p w14:paraId="0BF9B93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 合同当事人及其他相关方</w:t>
      </w:r>
    </w:p>
    <w:p w14:paraId="5C46493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1.1.2.4监理人：</w:t>
      </w:r>
    </w:p>
    <w:p w14:paraId="778B8572">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名    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48BC5C31">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资质类别和等级：</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662C5EC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联系电话：</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4D751BC7">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电子信箱：</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u w:val="single"/>
        </w:rPr>
        <w:t xml:space="preserve"> ；</w:t>
      </w:r>
    </w:p>
    <w:p w14:paraId="4825CB6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31E72A6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1.1.2.5 设计人：</w:t>
      </w:r>
    </w:p>
    <w:p w14:paraId="47018A3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名    称：</w:t>
      </w:r>
      <w:r>
        <w:rPr>
          <w:rFonts w:hint="eastAsia" w:ascii="宋体" w:hAnsi="宋体" w:cs="Times New Roman"/>
          <w:color w:val="auto"/>
          <w:highlight w:val="none"/>
          <w:u w:val="single"/>
        </w:rPr>
        <w:t>/；</w:t>
      </w:r>
    </w:p>
    <w:p w14:paraId="244B079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资质类别和等级：</w:t>
      </w:r>
      <w:r>
        <w:rPr>
          <w:rFonts w:hint="eastAsia" w:ascii="宋体" w:hAnsi="宋体" w:cs="Times New Roman"/>
          <w:color w:val="auto"/>
          <w:highlight w:val="none"/>
          <w:u w:val="single"/>
        </w:rPr>
        <w:t>/；</w:t>
      </w:r>
    </w:p>
    <w:p w14:paraId="2585CDA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Times New Roman"/>
          <w:color w:val="auto"/>
          <w:highlight w:val="none"/>
          <w:u w:val="single"/>
        </w:rPr>
        <w:t>/；</w:t>
      </w:r>
    </w:p>
    <w:p w14:paraId="6B1FE0A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Times New Roman"/>
          <w:color w:val="auto"/>
          <w:highlight w:val="none"/>
          <w:u w:val="single"/>
        </w:rPr>
        <w:t>/；</w:t>
      </w:r>
    </w:p>
    <w:p w14:paraId="5D26D3A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通信地址：</w:t>
      </w:r>
      <w:r>
        <w:rPr>
          <w:rFonts w:hint="eastAsia" w:ascii="宋体" w:hAnsi="宋体" w:cs="Times New Roman"/>
          <w:color w:val="auto"/>
          <w:highlight w:val="none"/>
          <w:u w:val="single"/>
        </w:rPr>
        <w:t>/；</w:t>
      </w:r>
    </w:p>
    <w:p w14:paraId="4FAFAD6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 工程和设备</w:t>
      </w:r>
    </w:p>
    <w:p w14:paraId="6F53CF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1.1.3.7 作为施工现场组成部分的其他场所包括：</w:t>
      </w:r>
      <w:r>
        <w:rPr>
          <w:rFonts w:ascii="宋体" w:hAnsi="宋体" w:cs="Times New Roman"/>
          <w:color w:val="auto"/>
          <w:highlight w:val="none"/>
          <w:u w:val="single"/>
        </w:rPr>
        <w:t>/。</w:t>
      </w:r>
    </w:p>
    <w:p w14:paraId="17DE677A">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1.1.3.9 永久占地包括：</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75F43AA9">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1.1.3.10 临时占地包括：</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C4D67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 xml:space="preserve">1.3法律 </w:t>
      </w:r>
    </w:p>
    <w:p w14:paraId="5D8E7413">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适用于合同的其他规范性文件：</w:t>
      </w:r>
    </w:p>
    <w:p w14:paraId="21E2B498">
      <w:pPr>
        <w:autoSpaceDE w:val="0"/>
        <w:autoSpaceDN w:val="0"/>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u w:val="single"/>
        </w:rPr>
        <w:t>（1）《杭州市建设工程工程量清单计价实施细则》</w:t>
      </w:r>
    </w:p>
    <w:p w14:paraId="6C54D79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（2）《关于进一步加强建筑施工领域企业安全生产工作的实施意见》的通知（杭建工发〔2011〕130号）</w:t>
      </w:r>
    </w:p>
    <w:p w14:paraId="13378D9B">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（3）《关于进一步加强建设工程安全质量物联网管理应用平台建设的通知》（</w:t>
      </w:r>
      <w:r>
        <w:rPr>
          <w:rFonts w:hint="eastAsia" w:ascii="宋体" w:hAnsi="宋体" w:cs="Times New Roman"/>
          <w:color w:val="auto"/>
          <w:kern w:val="0"/>
          <w:highlight w:val="none"/>
          <w:u w:val="single"/>
        </w:rPr>
        <w:t>杭建工发【2012】426号）</w:t>
      </w:r>
    </w:p>
    <w:p w14:paraId="441F252A">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（4）《杭州市人民政府办公厅关于印发杭州市建设工程推广应用预拌砂浆管理办法的通知》（杭政办函（2011）32号）</w:t>
      </w:r>
    </w:p>
    <w:p w14:paraId="3AE4370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（5）</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关于</w:t>
      </w:r>
      <w:r>
        <w:rPr>
          <w:rFonts w:hint="eastAsia" w:ascii="宋体" w:hAnsi="宋体" w:cs="Times New Roman"/>
          <w:color w:val="auto"/>
          <w:kern w:val="0"/>
          <w:highlight w:val="none"/>
          <w:u w:val="single"/>
        </w:rPr>
        <w:t>落实建筑工棚</w:t>
      </w:r>
      <w:r>
        <w:rPr>
          <w:rFonts w:ascii="宋体" w:hAnsi="宋体" w:cs="Times New Roman"/>
          <w:color w:val="auto"/>
          <w:kern w:val="0"/>
          <w:highlight w:val="none"/>
          <w:u w:val="single"/>
        </w:rPr>
        <w:t>安装空调事宜的通知</w:t>
      </w:r>
      <w:r>
        <w:rPr>
          <w:rFonts w:hint="eastAsia" w:ascii="宋体" w:hAnsi="宋体" w:cs="Times New Roman"/>
          <w:color w:val="auto"/>
          <w:kern w:val="0"/>
          <w:highlight w:val="none"/>
          <w:u w:val="single"/>
        </w:rPr>
        <w:t>》（</w:t>
      </w:r>
      <w:r>
        <w:rPr>
          <w:rFonts w:hint="eastAsia" w:ascii="宋体" w:hAnsi="宋体" w:cs="Times New Roman"/>
          <w:color w:val="auto"/>
          <w:highlight w:val="none"/>
          <w:u w:val="single"/>
        </w:rPr>
        <w:t>杭建工发【2011】237号）</w:t>
      </w:r>
    </w:p>
    <w:p w14:paraId="3EDDC427">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（6</w:t>
      </w:r>
      <w:r>
        <w:rPr>
          <w:rFonts w:hint="eastAsia" w:ascii="宋体" w:hAnsi="宋体" w:cs="Times New Roman"/>
          <w:color w:val="auto"/>
          <w:kern w:val="0"/>
          <w:highlight w:val="none"/>
          <w:u w:val="single"/>
        </w:rPr>
        <w:t>）《关于进一步加强杭州市建设工程市场要素价格动态管理的指导意见》（杭建市【2018】579号）</w:t>
      </w:r>
    </w:p>
    <w:p w14:paraId="43D9FF70">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（7）《关于贯彻执行浙江省建设工程计价依据（2018版）的通知》（杭建市【2018】164号）</w:t>
      </w:r>
    </w:p>
    <w:p w14:paraId="22985F67">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（8）其他：省、市、区行政主管部门颁发的其他规范性文件。</w:t>
      </w:r>
    </w:p>
    <w:p w14:paraId="522E4BE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 标准和规范</w:t>
      </w:r>
    </w:p>
    <w:p w14:paraId="3AF2626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1.4.1适用于工程的标准规范包括：</w:t>
      </w:r>
      <w:r>
        <w:rPr>
          <w:rFonts w:hint="eastAsia" w:ascii="宋体" w:hAnsi="宋体" w:cs="Times New Roman"/>
          <w:color w:val="auto"/>
          <w:highlight w:val="none"/>
          <w:u w:val="single"/>
        </w:rPr>
        <w:t>按通用条款约定；</w:t>
      </w:r>
    </w:p>
    <w:p w14:paraId="1F1C50F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 xml:space="preserve">1.4.2 发包人提供国外标准、规范的名称： </w:t>
      </w:r>
      <w:r>
        <w:rPr>
          <w:rFonts w:hint="eastAsia" w:ascii="宋体" w:hAnsi="宋体" w:cs="Times New Roman"/>
          <w:color w:val="auto"/>
          <w:highlight w:val="none"/>
          <w:u w:val="single"/>
        </w:rPr>
        <w:t xml:space="preserve"> /；</w:t>
      </w:r>
    </w:p>
    <w:p w14:paraId="6CB6A2E1">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发包人提供国外标准、规范的份数：</w:t>
      </w:r>
      <w:r>
        <w:rPr>
          <w:rFonts w:hint="eastAsia" w:ascii="宋体" w:hAnsi="宋体" w:cs="Times New Roman"/>
          <w:color w:val="auto"/>
          <w:highlight w:val="none"/>
          <w:u w:val="single"/>
        </w:rPr>
        <w:t>/；</w:t>
      </w:r>
    </w:p>
    <w:p w14:paraId="1AA6351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发包人提供国外标准、规范的名称：</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56F97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1.4.3发包人对工程的技术标准和功能要求的特殊要求：</w:t>
      </w:r>
      <w:r>
        <w:rPr>
          <w:rFonts w:hint="eastAsia" w:ascii="宋体" w:hAnsi="宋体" w:cs="Times New Roman"/>
          <w:color w:val="auto"/>
          <w:highlight w:val="none"/>
          <w:u w:val="single"/>
        </w:rPr>
        <w:t>详见设计文件和招标技术要求</w:t>
      </w:r>
      <w:r>
        <w:rPr>
          <w:rFonts w:ascii="宋体" w:hAnsi="宋体" w:cs="Times New Roman"/>
          <w:color w:val="auto"/>
          <w:highlight w:val="none"/>
          <w:u w:val="single"/>
        </w:rPr>
        <w:t>。</w:t>
      </w:r>
    </w:p>
    <w:p w14:paraId="7E4CB40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1.5 合同文件的优先顺序</w:t>
      </w:r>
    </w:p>
    <w:p w14:paraId="6295869D">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合同文件组成及优先顺序为：</w:t>
      </w:r>
      <w:r>
        <w:rPr>
          <w:rFonts w:hint="eastAsia" w:ascii="宋体" w:hAnsi="宋体" w:cs="Times New Roman"/>
          <w:color w:val="auto"/>
          <w:highlight w:val="none"/>
          <w:u w:val="single"/>
        </w:rPr>
        <w:t>（1）合同协议书；（2）专用合同条款及附件；（3）成交通知书；（4）投标函及附录；（5）询标纪要；（6）磋商文件及其补充文件（含工程量清单及招标控制价）；（7）除投标函及附录外的其他响应文件；（8）技术标准及要求；（9）图纸（如有）；（1</w:t>
      </w:r>
      <w:r>
        <w:rPr>
          <w:rFonts w:hint="eastAsia" w:ascii="宋体" w:hAnsi="宋体" w:cs="Times New Roman"/>
          <w:color w:val="auto"/>
          <w:highlight w:val="none"/>
          <w:u w:val="single"/>
          <w:lang w:val="en-US" w:eastAsia="zh-CN"/>
        </w:rPr>
        <w:t>0</w:t>
      </w:r>
      <w:r>
        <w:rPr>
          <w:rFonts w:hint="eastAsia" w:ascii="宋体" w:hAnsi="宋体" w:cs="Times New Roman"/>
          <w:color w:val="auto"/>
          <w:highlight w:val="none"/>
          <w:u w:val="single"/>
        </w:rPr>
        <w:t>）合同通用条款；（1</w:t>
      </w:r>
      <w:r>
        <w:rPr>
          <w:rFonts w:hint="eastAsia" w:ascii="宋体" w:hAnsi="宋体" w:cs="Times New Roman"/>
          <w:color w:val="auto"/>
          <w:highlight w:val="none"/>
          <w:u w:val="single"/>
          <w:lang w:val="en-US" w:eastAsia="zh-CN"/>
        </w:rPr>
        <w:t>1</w:t>
      </w:r>
      <w:r>
        <w:rPr>
          <w:rFonts w:hint="eastAsia" w:ascii="宋体" w:hAnsi="宋体" w:cs="Times New Roman"/>
          <w:color w:val="auto"/>
          <w:highlight w:val="none"/>
          <w:u w:val="single"/>
        </w:rPr>
        <w:t>）已标价的工程量清单；（12）其他合同文件。</w:t>
      </w:r>
    </w:p>
    <w:p w14:paraId="0DB63E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 图纸和承包人文件</w:t>
      </w:r>
    </w:p>
    <w:p w14:paraId="202855E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1.6.1 图纸的提供</w:t>
      </w:r>
    </w:p>
    <w:p w14:paraId="007A052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发包人向承包人提供图纸的期限：</w:t>
      </w:r>
      <w:r>
        <w:rPr>
          <w:rFonts w:hint="eastAsia" w:ascii="宋体" w:hAnsi="宋体" w:cs="Times New Roman"/>
          <w:color w:val="auto"/>
          <w:szCs w:val="21"/>
          <w:highlight w:val="none"/>
          <w:u w:val="single"/>
        </w:rPr>
        <w:t>本合同签订后7天内</w:t>
      </w:r>
      <w:r>
        <w:rPr>
          <w:rFonts w:ascii="宋体" w:hAnsi="宋体" w:cs="Times New Roman"/>
          <w:color w:val="auto"/>
          <w:highlight w:val="none"/>
          <w:u w:val="single"/>
        </w:rPr>
        <w:t>；</w:t>
      </w:r>
    </w:p>
    <w:p w14:paraId="19926D8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发包人向承包人提供图纸的数量：</w:t>
      </w:r>
      <w:r>
        <w:rPr>
          <w:rFonts w:hint="eastAsia" w:ascii="宋体" w:hAnsi="宋体" w:cs="Times New Roman"/>
          <w:color w:val="auto"/>
          <w:szCs w:val="21"/>
          <w:highlight w:val="none"/>
          <w:u w:val="single"/>
        </w:rPr>
        <w:t>陆套（包括制作竣工图的原始施工图），如承包人额外需要提供施工图纸的，则额外增加的施工图纸的制作费由承包人承担</w:t>
      </w:r>
      <w:r>
        <w:rPr>
          <w:rFonts w:hint="eastAsia" w:ascii="宋体" w:hAnsi="宋体" w:cs="宋体"/>
          <w:color w:val="auto"/>
          <w:szCs w:val="21"/>
          <w:highlight w:val="none"/>
          <w:u w:val="single"/>
        </w:rPr>
        <w:t>；</w:t>
      </w:r>
    </w:p>
    <w:p w14:paraId="6E46249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发包人向承包人提供图纸的内容：</w:t>
      </w:r>
      <w:r>
        <w:rPr>
          <w:rFonts w:hint="eastAsia" w:ascii="宋体" w:hAnsi="宋体" w:cs="Times New Roman"/>
          <w:color w:val="auto"/>
          <w:szCs w:val="21"/>
          <w:highlight w:val="none"/>
          <w:u w:val="single"/>
        </w:rPr>
        <w:t>施工图（详见签收表）。</w:t>
      </w:r>
    </w:p>
    <w:p w14:paraId="0CDA681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1.6.4 承包人文件</w:t>
      </w:r>
    </w:p>
    <w:p w14:paraId="3BB536D9">
      <w:pPr>
        <w:tabs>
          <w:tab w:val="left" w:pos="4680"/>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需要由承包人提供的文件，包括：</w:t>
      </w:r>
      <w:r>
        <w:rPr>
          <w:rFonts w:hint="eastAsia" w:ascii="宋体" w:hAnsi="宋体" w:cs="Times New Roman"/>
          <w:color w:val="auto"/>
          <w:highlight w:val="none"/>
          <w:u w:val="single"/>
        </w:rPr>
        <w:t>施工组织设计、进度计划、发包人和政府规定要求必须提供的其他文件。</w:t>
      </w:r>
    </w:p>
    <w:p w14:paraId="0E8635D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承包人提供的文件的期限为：</w:t>
      </w:r>
      <w:r>
        <w:rPr>
          <w:rFonts w:hint="eastAsia" w:ascii="宋体" w:hAnsi="宋体" w:cs="Times New Roman"/>
          <w:color w:val="auto"/>
          <w:highlight w:val="none"/>
          <w:u w:val="single"/>
        </w:rPr>
        <w:t>发包人提出要求后3天内。</w:t>
      </w:r>
    </w:p>
    <w:p w14:paraId="3C18C7F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承包人提供的文件的数量为：</w:t>
      </w:r>
      <w:r>
        <w:rPr>
          <w:rFonts w:hint="eastAsia" w:ascii="宋体" w:hAnsi="宋体" w:cs="Times New Roman"/>
          <w:color w:val="auto"/>
          <w:highlight w:val="none"/>
          <w:u w:val="single"/>
        </w:rPr>
        <w:t>双方协商确定</w:t>
      </w:r>
      <w:r>
        <w:rPr>
          <w:rFonts w:ascii="宋体" w:hAnsi="宋体" w:cs="Times New Roman"/>
          <w:color w:val="auto"/>
          <w:highlight w:val="none"/>
          <w:u w:val="single"/>
        </w:rPr>
        <w:t>；</w:t>
      </w:r>
    </w:p>
    <w:p w14:paraId="6DECDF2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承包人提供的文件的形式为：</w:t>
      </w:r>
      <w:r>
        <w:rPr>
          <w:rFonts w:hint="eastAsia" w:ascii="宋体" w:hAnsi="宋体" w:cs="Times New Roman"/>
          <w:color w:val="auto"/>
          <w:highlight w:val="none"/>
          <w:u w:val="single"/>
        </w:rPr>
        <w:t>按发包人要求</w:t>
      </w:r>
      <w:r>
        <w:rPr>
          <w:rFonts w:ascii="宋体" w:hAnsi="宋体" w:cs="Times New Roman"/>
          <w:color w:val="auto"/>
          <w:highlight w:val="none"/>
          <w:u w:val="single"/>
        </w:rPr>
        <w:t>；</w:t>
      </w:r>
    </w:p>
    <w:p w14:paraId="12B6894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w:t>
      </w:r>
      <w:r>
        <w:rPr>
          <w:rFonts w:hint="eastAsia" w:ascii="宋体" w:hAnsi="宋体" w:cs="Times New Roman"/>
          <w:color w:val="auto"/>
          <w:szCs w:val="21"/>
          <w:highlight w:val="none"/>
        </w:rPr>
        <w:t>审批</w:t>
      </w:r>
      <w:r>
        <w:rPr>
          <w:rFonts w:ascii="宋体" w:hAnsi="宋体" w:cs="Times New Roman"/>
          <w:color w:val="auto"/>
          <w:szCs w:val="21"/>
          <w:highlight w:val="none"/>
        </w:rPr>
        <w:t>承包人文件的期限：</w:t>
      </w:r>
      <w:r>
        <w:rPr>
          <w:rFonts w:hint="eastAsia" w:ascii="宋体" w:hAnsi="宋体" w:cs="Times New Roman"/>
          <w:color w:val="auto"/>
          <w:highlight w:val="none"/>
          <w:u w:val="single"/>
        </w:rPr>
        <w:t xml:space="preserve"> 收到后7天内</w:t>
      </w:r>
      <w:r>
        <w:rPr>
          <w:rFonts w:ascii="宋体" w:hAnsi="宋体" w:cs="Times New Roman"/>
          <w:color w:val="auto"/>
          <w:highlight w:val="none"/>
          <w:u w:val="single"/>
        </w:rPr>
        <w:t>。</w:t>
      </w:r>
    </w:p>
    <w:p w14:paraId="75BA138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1.6.5 现场图纸准备</w:t>
      </w:r>
    </w:p>
    <w:p w14:paraId="60B62FC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关于现场图纸准备的约定：</w:t>
      </w:r>
      <w:r>
        <w:rPr>
          <w:rFonts w:hint="eastAsia" w:ascii="宋体" w:hAnsi="宋体" w:cs="Times New Roman"/>
          <w:color w:val="auto"/>
          <w:highlight w:val="none"/>
          <w:u w:val="single"/>
        </w:rPr>
        <w:t>发包人、监理人及有关人员进行工程检查时使用的图纸由承包人提供。</w:t>
      </w:r>
    </w:p>
    <w:p w14:paraId="30B65CA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1.7 联络</w:t>
      </w:r>
    </w:p>
    <w:p w14:paraId="609ED30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1.7.1发包人和承包人应当在</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3</w:t>
      </w:r>
      <w:r>
        <w:rPr>
          <w:rFonts w:hint="eastAsia" w:ascii="宋体" w:hAnsi="宋体" w:cs="Times New Roman"/>
          <w:color w:val="auto"/>
          <w:highlight w:val="none"/>
          <w:u w:val="single"/>
        </w:rPr>
        <w:t xml:space="preserve"> </w:t>
      </w:r>
      <w:r>
        <w:rPr>
          <w:rFonts w:ascii="宋体" w:hAnsi="宋体" w:cs="Times New Roman"/>
          <w:color w:val="auto"/>
          <w:szCs w:val="21"/>
          <w:highlight w:val="none"/>
        </w:rPr>
        <w:t>天内将与合同有关的通知、批准、证明、证书、指示、指令、要求、请求、同意、意见、确定和决定等书面函件送达对方当事人</w:t>
      </w:r>
      <w:r>
        <w:rPr>
          <w:rFonts w:hint="eastAsia" w:ascii="宋体" w:hAnsi="宋体" w:cs="Times New Roman"/>
          <w:color w:val="auto"/>
          <w:szCs w:val="21"/>
          <w:highlight w:val="none"/>
        </w:rPr>
        <w:t>。</w:t>
      </w:r>
    </w:p>
    <w:p w14:paraId="25B228BF">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1.7.2 发包人接收文件的地点：</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发包人办公室  </w:t>
      </w:r>
      <w:r>
        <w:rPr>
          <w:rFonts w:hint="eastAsia" w:ascii="宋体" w:hAnsi="宋体" w:cs="宋体"/>
          <w:color w:val="auto"/>
          <w:szCs w:val="21"/>
          <w:highlight w:val="none"/>
          <w:u w:val="single"/>
        </w:rPr>
        <w:t></w:t>
      </w:r>
      <w:r>
        <w:rPr>
          <w:rFonts w:ascii="宋体" w:hAnsi="宋体" w:cs="Times New Roman"/>
          <w:color w:val="auto"/>
          <w:szCs w:val="21"/>
          <w:highlight w:val="none"/>
        </w:rPr>
        <w:t>；</w:t>
      </w:r>
    </w:p>
    <w:p w14:paraId="1BEB5951">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发包人指定的接收人为：</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待定         </w:t>
      </w:r>
      <w:r>
        <w:rPr>
          <w:rFonts w:hint="eastAsia" w:ascii="宋体" w:hAnsi="宋体" w:cs="Times New Roman"/>
          <w:color w:val="auto"/>
          <w:highlight w:val="none"/>
          <w:u w:val="single"/>
        </w:rPr>
        <w:t>；</w:t>
      </w:r>
    </w:p>
    <w:p w14:paraId="22460E7F">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承包人接收文件的地点：</w:t>
      </w:r>
      <w:r>
        <w:rPr>
          <w:rFonts w:hint="eastAsia" w:ascii="宋体" w:hAnsi="宋体" w:cs="Times New Roman"/>
          <w:color w:val="auto"/>
          <w:highlight w:val="none"/>
          <w:u w:val="single"/>
        </w:rPr>
        <w:t></w:t>
      </w:r>
      <w:r>
        <w:rPr>
          <w:rFonts w:hint="eastAsia" w:ascii="宋体" w:hAnsi="宋体" w:cs="Times New Roman"/>
          <w:color w:val="auto"/>
          <w:szCs w:val="21"/>
          <w:highlight w:val="none"/>
          <w:u w:val="single"/>
        </w:rPr>
        <w:t xml:space="preserve">  承包人办公室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6FD048E9">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待定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5C24856E">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监理人接收文件的地点：</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60270AA4">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监理人指定的接收人为：</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06E32CF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 交通运输</w:t>
      </w:r>
    </w:p>
    <w:p w14:paraId="0BF676E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1.10.1 出入现场的权利</w:t>
      </w:r>
    </w:p>
    <w:p w14:paraId="19B05E1A">
      <w:pPr>
        <w:spacing w:line="360" w:lineRule="auto"/>
        <w:ind w:firstLine="420" w:firstLineChars="200"/>
        <w:rPr>
          <w:rFonts w:ascii="宋体" w:hAnsi="宋体" w:cs="宋体"/>
          <w:color w:val="auto"/>
          <w:szCs w:val="21"/>
          <w:highlight w:val="none"/>
        </w:rPr>
      </w:pPr>
      <w:r>
        <w:rPr>
          <w:rFonts w:ascii="宋体" w:hAnsi="宋体" w:cs="Times New Roman"/>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按通用条款执行</w:t>
      </w:r>
      <w:r>
        <w:rPr>
          <w:rFonts w:hint="eastAsia" w:ascii="宋体" w:hAnsi="宋体" w:cs="Times New Roman"/>
          <w:color w:val="auto"/>
          <w:highlight w:val="none"/>
          <w:u w:val="single"/>
        </w:rPr>
        <w:t>。</w:t>
      </w:r>
    </w:p>
    <w:p w14:paraId="443D489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1.10.3 场内交通</w:t>
      </w:r>
    </w:p>
    <w:p w14:paraId="7B4BCAE7">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关于场外交通和场内交通的边界的约定：</w:t>
      </w:r>
      <w:r>
        <w:rPr>
          <w:rFonts w:hint="eastAsia" w:ascii="宋体" w:hAnsi="宋体" w:cs="Times New Roman"/>
          <w:color w:val="auto"/>
          <w:highlight w:val="none"/>
          <w:u w:val="single"/>
        </w:rPr>
        <w:t xml:space="preserve">     /      </w:t>
      </w:r>
      <w:r>
        <w:rPr>
          <w:rFonts w:ascii="宋体" w:hAnsi="宋体" w:cs="Times New Roman"/>
          <w:color w:val="auto"/>
          <w:highlight w:val="none"/>
          <w:u w:val="single"/>
        </w:rPr>
        <w:t>。</w:t>
      </w:r>
    </w:p>
    <w:p w14:paraId="1E84288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关于发包人向承包人免费提供满足工程施工需要的场内道路和交通设施的约定：</w:t>
      </w:r>
      <w:r>
        <w:rPr>
          <w:rFonts w:hint="eastAsia" w:ascii="宋体" w:hAnsi="宋体" w:cs="Times New Roman"/>
          <w:color w:val="auto"/>
          <w:highlight w:val="none"/>
          <w:u w:val="single"/>
        </w:rPr>
        <w:t>利用现有的</w:t>
      </w:r>
      <w:r>
        <w:rPr>
          <w:rFonts w:ascii="宋体" w:hAnsi="宋体" w:cs="Times New Roman"/>
          <w:color w:val="auto"/>
          <w:highlight w:val="none"/>
          <w:u w:val="single"/>
        </w:rPr>
        <w:t>场内道路和交通设施</w:t>
      </w:r>
      <w:r>
        <w:rPr>
          <w:rFonts w:hint="eastAsia" w:ascii="宋体" w:hAnsi="宋体" w:cs="Times New Roman"/>
          <w:color w:val="auto"/>
          <w:highlight w:val="none"/>
          <w:u w:val="single"/>
        </w:rPr>
        <w:t>。</w:t>
      </w:r>
    </w:p>
    <w:p w14:paraId="605223E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1.10.4超大件和超重件的运输</w:t>
      </w:r>
    </w:p>
    <w:p w14:paraId="6434770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运输超大件或超重件所需的道路和桥梁临时加固改造费用和其他有关费用由</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承担。</w:t>
      </w:r>
    </w:p>
    <w:p w14:paraId="42282CBC">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本工程的超大件：</w:t>
      </w:r>
      <w:r>
        <w:rPr>
          <w:rFonts w:hint="eastAsia" w:ascii="宋体" w:hAnsi="宋体" w:cs="Times New Roman"/>
          <w:color w:val="auto"/>
          <w:highlight w:val="none"/>
          <w:u w:val="single"/>
        </w:rPr>
        <w:t xml:space="preserve">   /    </w:t>
      </w:r>
    </w:p>
    <w:p w14:paraId="7E406077">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本工程的超重件：</w:t>
      </w:r>
      <w:r>
        <w:rPr>
          <w:rFonts w:hint="eastAsia" w:ascii="宋体" w:hAnsi="宋体" w:cs="Times New Roman"/>
          <w:color w:val="auto"/>
          <w:highlight w:val="none"/>
          <w:u w:val="single"/>
        </w:rPr>
        <w:t xml:space="preserve">   /  </w:t>
      </w:r>
      <w:r>
        <w:rPr>
          <w:rFonts w:ascii="宋体" w:hAnsi="宋体" w:cs="Times New Roman"/>
          <w:color w:val="auto"/>
          <w:highlight w:val="none"/>
          <w:u w:val="single"/>
        </w:rPr>
        <w:t xml:space="preserve">  </w:t>
      </w:r>
    </w:p>
    <w:p w14:paraId="4855CEB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 知识产权</w:t>
      </w:r>
    </w:p>
    <w:p w14:paraId="36FD183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按通用条款执行</w:t>
      </w:r>
      <w:r>
        <w:rPr>
          <w:rFonts w:hint="eastAsia" w:ascii="宋体" w:hAnsi="宋体" w:cs="Times New Roman"/>
          <w:color w:val="auto"/>
          <w:highlight w:val="none"/>
          <w:u w:val="single"/>
        </w:rPr>
        <w:t xml:space="preserve">。 </w:t>
      </w:r>
    </w:p>
    <w:p w14:paraId="1933088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关于发包人提供的上述文件的使用限制的要求：</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按通用条款执行</w:t>
      </w:r>
      <w:r>
        <w:rPr>
          <w:rFonts w:ascii="宋体" w:hAnsi="宋体" w:cs="Times New Roman"/>
          <w:color w:val="auto"/>
          <w:highlight w:val="none"/>
          <w:u w:val="single"/>
        </w:rPr>
        <w:t>。</w:t>
      </w:r>
    </w:p>
    <w:p w14:paraId="7741117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1.11.2 关于承包人为实施工程所编制文件的著作权的归属：</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5FF30CB3">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关于承包人提供的上述文件的使用限制的要求：</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097890CD">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1.11.4 承包人在施工过程中所采用的专利、专有技术、技术秘密的使用费的承担方式：</w:t>
      </w:r>
      <w:r>
        <w:rPr>
          <w:rFonts w:hint="eastAsia" w:ascii="宋体" w:hAnsi="宋体" w:cs="Times New Roman"/>
          <w:color w:val="auto"/>
          <w:highlight w:val="none"/>
          <w:u w:val="single"/>
        </w:rPr>
        <w:t xml:space="preserve">  / </w:t>
      </w:r>
      <w:r>
        <w:rPr>
          <w:rFonts w:hint="eastAsia" w:ascii="宋体" w:hAnsi="宋体" w:cs="Times New Roman"/>
          <w:color w:val="auto"/>
          <w:kern w:val="0"/>
          <w:highlight w:val="none"/>
          <w:u w:val="single"/>
        </w:rPr>
        <w:t>。</w:t>
      </w:r>
    </w:p>
    <w:p w14:paraId="2CD49A4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1.13工程量清单错误的修正</w:t>
      </w:r>
    </w:p>
    <w:p w14:paraId="45FBF5CD">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出现工程量清单错误时，是否调整合同价格：</w:t>
      </w:r>
      <w:r>
        <w:rPr>
          <w:rFonts w:hint="eastAsia" w:ascii="宋体" w:hAnsi="宋体" w:cs="Times New Roman"/>
          <w:color w:val="auto"/>
          <w:kern w:val="0"/>
          <w:highlight w:val="none"/>
          <w:u w:val="single"/>
        </w:rPr>
        <w:t>是</w:t>
      </w:r>
      <w:r>
        <w:rPr>
          <w:rFonts w:hint="eastAsia" w:ascii="宋体" w:hAnsi="宋体" w:cs="Times New Roman"/>
          <w:color w:val="auto"/>
          <w:highlight w:val="none"/>
          <w:u w:val="single"/>
        </w:rPr>
        <w:t>。</w:t>
      </w:r>
    </w:p>
    <w:p w14:paraId="4A756F92">
      <w:pPr>
        <w:spacing w:line="360" w:lineRule="auto"/>
        <w:ind w:firstLine="420" w:firstLineChars="200"/>
        <w:rPr>
          <w:rFonts w:ascii="宋体" w:hAnsi="宋体" w:cs="Times New Roman"/>
          <w:color w:val="auto"/>
          <w:kern w:val="0"/>
          <w:highlight w:val="none"/>
          <w:u w:val="single"/>
        </w:rPr>
      </w:pPr>
      <w:r>
        <w:rPr>
          <w:rFonts w:ascii="宋体" w:hAnsi="宋体" w:cs="Times New Roman"/>
          <w:color w:val="auto"/>
          <w:szCs w:val="21"/>
          <w:highlight w:val="none"/>
        </w:rPr>
        <w:t>允许调整合同价格的工程量偏差范围</w:t>
      </w:r>
      <w:r>
        <w:rPr>
          <w:rFonts w:hint="eastAsia" w:ascii="宋体" w:hAnsi="宋体" w:cs="Times New Roman"/>
          <w:color w:val="auto"/>
          <w:szCs w:val="21"/>
          <w:highlight w:val="none"/>
        </w:rPr>
        <w:t>：</w:t>
      </w:r>
      <w:r>
        <w:rPr>
          <w:rFonts w:hint="eastAsia" w:ascii="宋体" w:hAnsi="宋体" w:cs="Times New Roman"/>
          <w:color w:val="auto"/>
          <w:kern w:val="0"/>
          <w:highlight w:val="none"/>
          <w:u w:val="single"/>
        </w:rPr>
        <w:t>经合同双方书面确认后按实调整。</w:t>
      </w:r>
      <w:r>
        <w:rPr>
          <w:rFonts w:hint="eastAsia" w:ascii="宋体" w:hAnsi="宋体" w:cs="Times New Roman"/>
          <w:color w:val="auto"/>
          <w:highlight w:val="none"/>
          <w:u w:val="single"/>
        </w:rPr>
        <w:t>在工程量清单内已列入的材料设备单价不予调整，其他</w:t>
      </w:r>
      <w:r>
        <w:rPr>
          <w:rFonts w:hint="eastAsia" w:ascii="宋体" w:hAnsi="宋体" w:cs="Times New Roman"/>
          <w:color w:val="auto"/>
          <w:kern w:val="0"/>
          <w:highlight w:val="none"/>
          <w:u w:val="single"/>
        </w:rPr>
        <w:t>调整按专用条款1</w:t>
      </w:r>
      <w:r>
        <w:rPr>
          <w:rFonts w:ascii="宋体" w:hAnsi="宋体" w:cs="Times New Roman"/>
          <w:color w:val="auto"/>
          <w:kern w:val="0"/>
          <w:highlight w:val="none"/>
          <w:u w:val="single"/>
        </w:rPr>
        <w:t>0.4.1</w:t>
      </w:r>
      <w:r>
        <w:rPr>
          <w:rFonts w:hint="eastAsia" w:ascii="宋体" w:hAnsi="宋体" w:cs="Times New Roman"/>
          <w:color w:val="auto"/>
          <w:kern w:val="0"/>
          <w:highlight w:val="none"/>
          <w:u w:val="single"/>
        </w:rPr>
        <w:t>执行</w:t>
      </w:r>
      <w:r>
        <w:rPr>
          <w:rFonts w:ascii="宋体" w:hAnsi="宋体" w:cs="Times New Roman"/>
          <w:color w:val="auto"/>
          <w:kern w:val="0"/>
          <w:highlight w:val="none"/>
          <w:u w:val="single"/>
        </w:rPr>
        <w:t>。</w:t>
      </w:r>
    </w:p>
    <w:p w14:paraId="025D73A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调整合同价格的</w:t>
      </w:r>
      <w:r>
        <w:rPr>
          <w:rFonts w:hint="eastAsia" w:ascii="宋体" w:hAnsi="宋体" w:cs="Times New Roman"/>
          <w:color w:val="auto"/>
          <w:kern w:val="0"/>
          <w:highlight w:val="none"/>
        </w:rPr>
        <w:t>修正时间：</w:t>
      </w:r>
      <w:r>
        <w:rPr>
          <w:rFonts w:hint="eastAsia" w:ascii="宋体" w:hAnsi="宋体" w:cs="Times New Roman"/>
          <w:color w:val="auto"/>
          <w:highlight w:val="none"/>
          <w:u w:val="single"/>
        </w:rPr>
        <w:t>在工程结算审核时调整。</w:t>
      </w:r>
    </w:p>
    <w:p w14:paraId="0D2329C2">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2. 发包人</w:t>
      </w:r>
    </w:p>
    <w:p w14:paraId="4BCFA43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发包人应根据工程所需配备发包人代表，同时配备</w:t>
      </w:r>
      <w:r>
        <w:rPr>
          <w:rFonts w:ascii="宋体" w:hAnsi="宋体" w:cs="Times New Roman"/>
          <w:color w:val="auto"/>
          <w:highlight w:val="none"/>
        </w:rPr>
        <w:t>1</w:t>
      </w:r>
      <w:r>
        <w:rPr>
          <w:rFonts w:hint="eastAsia" w:ascii="宋体" w:hAnsi="宋体" w:cs="Times New Roman"/>
          <w:color w:val="auto"/>
          <w:highlight w:val="none"/>
        </w:rPr>
        <w:t>名相关人员到岗履职。</w:t>
      </w:r>
    </w:p>
    <w:p w14:paraId="7C31C53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2.2 发包人代表</w:t>
      </w:r>
    </w:p>
    <w:p w14:paraId="2A6A0F1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发包人代表：</w:t>
      </w:r>
    </w:p>
    <w:p w14:paraId="6E8DAA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p>
    <w:p w14:paraId="6DA941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身份证号：</w:t>
      </w:r>
      <w:r>
        <w:rPr>
          <w:rFonts w:hint="eastAsia" w:ascii="宋体" w:hAnsi="宋体" w:cs="Times New Roman"/>
          <w:color w:val="auto"/>
          <w:kern w:val="0"/>
          <w:highlight w:val="none"/>
          <w:u w:val="single"/>
        </w:rPr>
        <w:t xml:space="preserve">/    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w:t>
      </w:r>
    </w:p>
    <w:p w14:paraId="192B526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职    务：</w:t>
      </w:r>
      <w:r>
        <w:rPr>
          <w:rFonts w:hint="eastAsia" w:ascii="宋体" w:hAnsi="宋体" w:cs="宋体"/>
          <w:color w:val="auto"/>
          <w:kern w:val="0"/>
          <w:szCs w:val="21"/>
          <w:highlight w:val="none"/>
          <w:u w:val="single"/>
        </w:rPr>
        <w:t></w:t>
      </w:r>
      <w:r>
        <w:rPr>
          <w:rFonts w:hint="eastAsia" w:ascii="宋体" w:hAnsi="宋体" w:cs="Times New Roman"/>
          <w:color w:val="auto"/>
          <w:kern w:val="0"/>
          <w:szCs w:val="21"/>
          <w:highlight w:val="none"/>
          <w:u w:val="single"/>
        </w:rPr>
        <w:t xml:space="preserve">          /              </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w:t>
      </w:r>
    </w:p>
    <w:p w14:paraId="31B0BCB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宋体"/>
          <w:color w:val="auto"/>
          <w:kern w:val="0"/>
          <w:szCs w:val="21"/>
          <w:highlight w:val="none"/>
          <w:u w:val="single"/>
        </w:rPr>
        <w:t> </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w:t>
      </w:r>
    </w:p>
    <w:p w14:paraId="59CF0BC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宋体"/>
          <w:color w:val="auto"/>
          <w:kern w:val="0"/>
          <w:szCs w:val="21"/>
          <w:highlight w:val="none"/>
          <w:u w:val="single"/>
        </w:rPr>
        <w:t>      /  </w:t>
      </w:r>
      <w:r>
        <w:rPr>
          <w:rFonts w:hint="eastAsia" w:ascii="宋体" w:hAnsi="宋体" w:cs="Times New Roman"/>
          <w:color w:val="auto"/>
          <w:kern w:val="0"/>
          <w:szCs w:val="21"/>
          <w:highlight w:val="none"/>
          <w:u w:val="single"/>
        </w:rPr>
        <w:t xml:space="preserve"> </w:t>
      </w:r>
      <w:r>
        <w:rPr>
          <w:rFonts w:hint="eastAsia" w:ascii="宋体" w:hAnsi="宋体" w:cs="宋体"/>
          <w:color w:val="auto"/>
          <w:kern w:val="0"/>
          <w:szCs w:val="21"/>
          <w:highlight w:val="none"/>
          <w:u w:val="single"/>
        </w:rPr>
        <w:t></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w:t>
      </w:r>
    </w:p>
    <w:p w14:paraId="7F6CCF8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通信地址：</w:t>
      </w:r>
      <w:r>
        <w:rPr>
          <w:rFonts w:hint="eastAsia" w:ascii="宋体" w:hAnsi="宋体" w:cs="Times New Roman"/>
          <w:color w:val="auto"/>
          <w:szCs w:val="21"/>
          <w:highlight w:val="none"/>
          <w:u w:val="single"/>
        </w:rPr>
        <w:t>杭州市滨文路548号浙江中医药大学</w:t>
      </w:r>
      <w:r>
        <w:rPr>
          <w:rFonts w:ascii="宋体" w:hAnsi="宋体" w:cs="Times New Roman"/>
          <w:color w:val="auto"/>
          <w:kern w:val="0"/>
          <w:highlight w:val="none"/>
          <w:u w:val="single"/>
        </w:rPr>
        <w:t>。</w:t>
      </w:r>
    </w:p>
    <w:p w14:paraId="730C76DE">
      <w:pPr>
        <w:spacing w:line="360" w:lineRule="auto"/>
        <w:ind w:firstLine="420" w:firstLineChars="200"/>
        <w:rPr>
          <w:rFonts w:ascii="宋体" w:hAnsi="宋体" w:cs="Times New Roman"/>
          <w:b/>
          <w:color w:val="auto"/>
          <w:highlight w:val="none"/>
        </w:rPr>
      </w:pPr>
      <w:r>
        <w:rPr>
          <w:rFonts w:ascii="宋体" w:hAnsi="宋体" w:cs="Times New Roman"/>
          <w:color w:val="auto"/>
          <w:szCs w:val="21"/>
          <w:highlight w:val="none"/>
        </w:rPr>
        <w:t>发包人对发包人代表的授权范围如下：</w:t>
      </w:r>
      <w:r>
        <w:rPr>
          <w:rFonts w:hint="eastAsia" w:ascii="宋体" w:hAnsi="宋体" w:cs="Times New Roman"/>
          <w:color w:val="auto"/>
          <w:highlight w:val="none"/>
          <w:u w:val="single"/>
        </w:rPr>
        <w:t>对质量、成本、安全、进度进行全面管理，涉及合同价格变更、安全事故、质量事故等重大事项的处理须经发包人领导班子签字同意并加盖发包人公章后方能生效</w:t>
      </w:r>
      <w:r>
        <w:rPr>
          <w:rFonts w:ascii="宋体" w:hAnsi="宋体" w:cs="Times New Roman"/>
          <w:color w:val="auto"/>
          <w:szCs w:val="21"/>
          <w:highlight w:val="none"/>
        </w:rPr>
        <w:t>。</w:t>
      </w:r>
    </w:p>
    <w:p w14:paraId="535B46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 施工现场、施工条件和基础资料的提供</w:t>
      </w:r>
    </w:p>
    <w:p w14:paraId="77963E2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2.4.1 提供施工现场</w:t>
      </w:r>
    </w:p>
    <w:p w14:paraId="7B51C2B3">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关于发包人移交施工现场的期限要求：</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u w:val="single"/>
        </w:rPr>
        <w:t xml:space="preserve">   /     </w:t>
      </w:r>
      <w:r>
        <w:rPr>
          <w:rFonts w:hint="eastAsia" w:ascii="宋体" w:hAnsi="宋体" w:cs="Times New Roman"/>
          <w:color w:val="auto"/>
          <w:highlight w:val="none"/>
          <w:u w:val="single"/>
        </w:rPr>
        <w:t xml:space="preserve"> </w:t>
      </w:r>
      <w:r>
        <w:rPr>
          <w:rFonts w:ascii="宋体" w:hAnsi="宋体" w:cs="Times New Roman"/>
          <w:color w:val="auto"/>
          <w:szCs w:val="21"/>
          <w:highlight w:val="none"/>
        </w:rPr>
        <w:t>。</w:t>
      </w:r>
    </w:p>
    <w:p w14:paraId="08BD0BA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2.4.2 提供施工条件</w:t>
      </w:r>
    </w:p>
    <w:p w14:paraId="00ABA6AE">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关于发包人应负责提供施工</w:t>
      </w:r>
      <w:r>
        <w:rPr>
          <w:rFonts w:hint="eastAsia" w:ascii="宋体" w:hAnsi="宋体" w:cs="Times New Roman"/>
          <w:color w:val="auto"/>
          <w:highlight w:val="none"/>
        </w:rPr>
        <w:t>所需要的条件，</w:t>
      </w:r>
      <w:r>
        <w:rPr>
          <w:rFonts w:ascii="宋体" w:hAnsi="宋体" w:cs="Times New Roman"/>
          <w:color w:val="auto"/>
          <w:highlight w:val="none"/>
        </w:rPr>
        <w:t>包括：</w:t>
      </w:r>
      <w:bookmarkStart w:id="131" w:name="_Hlk74471726"/>
      <w:r>
        <w:rPr>
          <w:rFonts w:ascii="宋体" w:hAnsi="宋体" w:cs="Times New Roman"/>
          <w:color w:val="auto"/>
          <w:highlight w:val="non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1</w:t>
      </w:r>
      <w:r>
        <w:rPr>
          <w:rFonts w:hint="eastAsia" w:ascii="宋体" w:hAnsi="宋体" w:cs="Times New Roman"/>
          <w:color w:val="auto"/>
          <w:highlight w:val="none"/>
          <w:u w:val="single"/>
        </w:rPr>
        <w:t>）</w:t>
      </w:r>
      <w:r>
        <w:rPr>
          <w:rFonts w:ascii="宋体" w:hAnsi="宋体" w:cs="Times New Roman"/>
          <w:color w:val="auto"/>
          <w:highlight w:val="none"/>
          <w:u w:val="single"/>
        </w:rPr>
        <w:t>施工场地具备施工条件的要求及完成的时间：场地</w:t>
      </w:r>
      <w:r>
        <w:rPr>
          <w:rFonts w:hint="eastAsia" w:ascii="宋体" w:hAnsi="宋体" w:cs="Times New Roman"/>
          <w:color w:val="auto"/>
          <w:highlight w:val="none"/>
          <w:u w:val="single"/>
        </w:rPr>
        <w:t>已</w:t>
      </w:r>
      <w:r>
        <w:rPr>
          <w:rFonts w:ascii="宋体" w:hAnsi="宋体" w:cs="Times New Roman"/>
          <w:color w:val="auto"/>
          <w:highlight w:val="none"/>
          <w:u w:val="single"/>
        </w:rPr>
        <w:t>具备施工条件</w:t>
      </w:r>
      <w:r>
        <w:rPr>
          <w:rFonts w:hint="eastAsia" w:ascii="宋体" w:hAnsi="宋体" w:cs="Times New Roman"/>
          <w:color w:val="auto"/>
          <w:highlight w:val="none"/>
          <w:u w:val="single"/>
        </w:rPr>
        <w:t>。</w:t>
      </w:r>
    </w:p>
    <w:p w14:paraId="4E02640D">
      <w:pPr>
        <w:topLinePunct/>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r>
        <w:rPr>
          <w:rFonts w:hint="eastAsia" w:ascii="Times New Roman" w:hAnsi="Times New Roman" w:cs="Times New Roman"/>
          <w:color w:val="auto"/>
          <w:highlight w:val="none"/>
          <w:u w:val="single"/>
        </w:rPr>
        <w:t>。</w:t>
      </w:r>
    </w:p>
    <w:bookmarkEnd w:id="131"/>
    <w:p w14:paraId="31A1475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2.5 资金来源证明及支付担保</w:t>
      </w:r>
    </w:p>
    <w:p w14:paraId="4B147194">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发包人提供资金来源证明的期限要求：</w:t>
      </w:r>
      <w:r>
        <w:rPr>
          <w:rFonts w:hint="eastAsia" w:ascii="宋体" w:hAnsi="宋体" w:cs="Times New Roman"/>
          <w:color w:val="auto"/>
          <w:highlight w:val="none"/>
          <w:u w:val="single"/>
        </w:rPr>
        <w:t>/。</w:t>
      </w:r>
    </w:p>
    <w:p w14:paraId="132BF9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发包人是否提供支付担保：</w:t>
      </w:r>
      <w:r>
        <w:rPr>
          <w:rFonts w:hint="eastAsia" w:ascii="宋体" w:hAnsi="宋体" w:cs="Times New Roman"/>
          <w:color w:val="auto"/>
          <w:highlight w:val="none"/>
          <w:u w:val="single"/>
        </w:rPr>
        <w:t>/。</w:t>
      </w:r>
    </w:p>
    <w:p w14:paraId="6A6139C5">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发包人提供支付担保的形式：</w:t>
      </w:r>
      <w:r>
        <w:rPr>
          <w:rFonts w:hint="eastAsia" w:ascii="宋体" w:hAnsi="宋体" w:cs="Times New Roman"/>
          <w:color w:val="auto"/>
          <w:highlight w:val="none"/>
          <w:u w:val="single"/>
        </w:rPr>
        <w:t>/。</w:t>
      </w:r>
    </w:p>
    <w:p w14:paraId="56D6D365">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3. 承包人</w:t>
      </w:r>
    </w:p>
    <w:p w14:paraId="28A4F45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3.1 承包人的一般义务</w:t>
      </w:r>
    </w:p>
    <w:p w14:paraId="583F9D9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w:t>
      </w:r>
      <w:r>
        <w:rPr>
          <w:rFonts w:hint="eastAsia" w:ascii="宋体" w:hAnsi="宋体" w:cs="Times New Roman"/>
          <w:color w:val="auto"/>
          <w:szCs w:val="21"/>
          <w:highlight w:val="none"/>
        </w:rPr>
        <w:t>9</w:t>
      </w:r>
      <w:r>
        <w:rPr>
          <w:rFonts w:ascii="宋体" w:hAnsi="宋体" w:cs="Times New Roman"/>
          <w:color w:val="auto"/>
          <w:szCs w:val="21"/>
          <w:highlight w:val="none"/>
        </w:rPr>
        <w:t>）承包人提交的竣工资料的内容：</w:t>
      </w:r>
      <w:r>
        <w:rPr>
          <w:rFonts w:hint="eastAsia" w:ascii="宋体" w:hAnsi="宋体" w:cs="Times New Roman"/>
          <w:color w:val="auto"/>
          <w:kern w:val="0"/>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Times New Roman"/>
          <w:color w:val="auto"/>
          <w:highlight w:val="none"/>
          <w:u w:val="single"/>
        </w:rPr>
        <w:t>。</w:t>
      </w:r>
    </w:p>
    <w:p w14:paraId="15DED77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承包人需要提交的竣工资料套数：</w:t>
      </w:r>
      <w:r>
        <w:rPr>
          <w:rFonts w:hint="eastAsia" w:ascii="宋体" w:hAnsi="宋体" w:cs="Times New Roman"/>
          <w:color w:val="auto"/>
          <w:highlight w:val="non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kern w:val="0"/>
          <w:highlight w:val="none"/>
          <w:u w:val="single"/>
        </w:rPr>
        <w:t>一式陆份，同时提供电子文档</w:t>
      </w:r>
      <w:r>
        <w:rPr>
          <w:rFonts w:ascii="宋体" w:hAnsi="宋体" w:cs="Times New Roman"/>
          <w:color w:val="auto"/>
          <w:highlight w:val="none"/>
          <w:u w:val="single"/>
        </w:rPr>
        <w:t>。</w:t>
      </w:r>
    </w:p>
    <w:p w14:paraId="237A296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承包人提交的竣工资料的费用承担：</w:t>
      </w:r>
      <w:r>
        <w:rPr>
          <w:rFonts w:hint="eastAsia" w:ascii="宋体" w:hAnsi="宋体" w:cs="Times New Roman"/>
          <w:color w:val="auto"/>
          <w:szCs w:val="21"/>
          <w:highlight w:val="none"/>
          <w:u w:val="single"/>
        </w:rPr>
        <w:t xml:space="preserve">  承包人承担 </w:t>
      </w:r>
      <w:r>
        <w:rPr>
          <w:rFonts w:ascii="宋体" w:hAnsi="宋体" w:cs="Times New Roman"/>
          <w:color w:val="auto"/>
          <w:szCs w:val="21"/>
          <w:highlight w:val="none"/>
          <w:u w:val="single"/>
        </w:rPr>
        <w:t xml:space="preserve"> </w:t>
      </w:r>
      <w:r>
        <w:rPr>
          <w:rFonts w:ascii="宋体" w:hAnsi="宋体" w:cs="Times New Roman"/>
          <w:color w:val="auto"/>
          <w:highlight w:val="none"/>
          <w:u w:val="single"/>
        </w:rPr>
        <w:t>。</w:t>
      </w:r>
    </w:p>
    <w:p w14:paraId="6EE4A1F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承包人提交的竣工资料移交时间：</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工程竣工验收合格后，承包人必须在竣工验收合格之日起30天内将审查合格的工程竣工档案移交给发包人</w:t>
      </w:r>
      <w:r>
        <w:rPr>
          <w:rFonts w:ascii="宋体" w:hAnsi="宋体" w:cs="Times New Roman"/>
          <w:color w:val="auto"/>
          <w:highlight w:val="none"/>
          <w:u w:val="single"/>
        </w:rPr>
        <w:t>。</w:t>
      </w:r>
      <w:r>
        <w:rPr>
          <w:rFonts w:hint="eastAsia" w:ascii="宋体" w:hAnsi="宋体" w:cs="Times New Roman"/>
          <w:color w:val="auto"/>
          <w:highlight w:val="none"/>
          <w:u w:val="single"/>
        </w:rPr>
        <w:t>如承包人未能按期提交竣工资料并因此导致发包人无法按期竣工验收并交付使用的，则承包人须对由此产生的损失费用承担赔偿责任包括但不限于投产运营的实际收入费用及预期收入。</w:t>
      </w:r>
    </w:p>
    <w:p w14:paraId="71716260">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承包人提交的竣工资料形式要求：</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向发包方提供竣工资料及竣工验收报告，并附光盘（含影像资料、图片等）</w:t>
      </w:r>
      <w:r>
        <w:rPr>
          <w:rFonts w:ascii="宋体" w:hAnsi="宋体" w:cs="Times New Roman"/>
          <w:color w:val="auto"/>
          <w:highlight w:val="none"/>
          <w:u w:val="single"/>
        </w:rPr>
        <w:t>。</w:t>
      </w:r>
    </w:p>
    <w:p w14:paraId="0FABCD12">
      <w:pPr>
        <w:autoSpaceDE w:val="0"/>
        <w:autoSpaceDN w:val="0"/>
        <w:adjustRightInd w:val="0"/>
        <w:snapToGrid w:val="0"/>
        <w:spacing w:line="360" w:lineRule="auto"/>
        <w:ind w:left="422"/>
        <w:rPr>
          <w:rFonts w:ascii="宋体" w:hAnsi="宋体" w:cs="Times New Roman"/>
          <w:color w:val="auto"/>
          <w:szCs w:val="21"/>
          <w:highlight w:val="none"/>
        </w:rPr>
      </w:pPr>
      <w:r>
        <w:rPr>
          <w:rFonts w:ascii="宋体" w:hAnsi="宋体" w:cs="Times New Roman"/>
          <w:color w:val="auto"/>
          <w:szCs w:val="21"/>
          <w:highlight w:val="none"/>
        </w:rPr>
        <w:t>（</w:t>
      </w:r>
      <w:r>
        <w:rPr>
          <w:rFonts w:hint="eastAsia" w:ascii="宋体" w:hAnsi="宋体" w:cs="Times New Roman"/>
          <w:color w:val="auto"/>
          <w:szCs w:val="21"/>
          <w:highlight w:val="none"/>
        </w:rPr>
        <w:t>10</w:t>
      </w:r>
      <w:r>
        <w:rPr>
          <w:rFonts w:ascii="宋体" w:hAnsi="宋体" w:cs="Times New Roman"/>
          <w:color w:val="auto"/>
          <w:szCs w:val="21"/>
          <w:highlight w:val="none"/>
        </w:rPr>
        <w:t xml:space="preserve">）承包人应履行的其他义务： </w:t>
      </w:r>
    </w:p>
    <w:p w14:paraId="75A59862">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根据工程需要，提供和维修非夜间施工使用的照明、围栏设施，并负责安全保卫。</w:t>
      </w:r>
    </w:p>
    <w:p w14:paraId="461AE74A">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C731F7B">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45A7003C">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110A796">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参加发包人召开的与本工程相关的会议，并作好会前有关资料的准备。在保修期内要及时做好回访工作，属保修责任范围的事项应及时按质检标准修好。</w:t>
      </w:r>
    </w:p>
    <w:p w14:paraId="3F3FDF11">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079A02C">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0D43640B">
      <w:pPr>
        <w:autoSpaceDE w:val="0"/>
        <w:autoSpaceDN w:val="0"/>
        <w:adjustRightInd w:val="0"/>
        <w:snapToGrid w:val="0"/>
        <w:spacing w:line="360" w:lineRule="auto"/>
        <w:ind w:firstLine="420" w:firstLineChars="200"/>
        <w:rPr>
          <w:rFonts w:hint="eastAsia" w:ascii="宋体" w:hAnsi="宋体" w:eastAsia="宋体" w:cs="Times New Roman"/>
          <w:color w:val="auto"/>
          <w:highlight w:val="none"/>
          <w:u w:val="single"/>
          <w:lang w:eastAsia="zh-CN"/>
        </w:rPr>
      </w:pPr>
      <w:r>
        <w:rPr>
          <w:rFonts w:hint="eastAsia" w:ascii="宋体" w:hAnsi="宋体" w:cs="Times New Roman"/>
          <w:color w:val="auto"/>
          <w:highlight w:val="none"/>
          <w:u w:val="single"/>
        </w:rPr>
        <w:t>施工过程中，如遇临界其他工程施工有冲突的，配合发包人的管理，积极与其他工程的承包人协商配合施工，避免因此导致的工期延误。</w:t>
      </w:r>
      <w:r>
        <w:rPr>
          <w:rFonts w:hint="eastAsia" w:ascii="宋体" w:hAnsi="宋体" w:cs="Times New Roman"/>
          <w:color w:val="auto"/>
          <w:highlight w:val="none"/>
          <w:u w:val="single"/>
          <w:lang w:eastAsia="zh-CN"/>
        </w:rPr>
        <w:t>（</w:t>
      </w:r>
      <w:r>
        <w:rPr>
          <w:rFonts w:hint="eastAsia" w:ascii="宋体" w:hAnsi="宋体" w:cs="Times New Roman"/>
          <w:color w:val="auto"/>
          <w:highlight w:val="none"/>
          <w:u w:val="single"/>
          <w:lang w:val="en-US" w:eastAsia="zh-CN"/>
        </w:rPr>
        <w:t>此条款适用于有临界工程的项目</w:t>
      </w:r>
      <w:r>
        <w:rPr>
          <w:rFonts w:hint="eastAsia" w:ascii="宋体" w:hAnsi="宋体" w:cs="Times New Roman"/>
          <w:color w:val="auto"/>
          <w:highlight w:val="none"/>
          <w:u w:val="single"/>
          <w:lang w:eastAsia="zh-CN"/>
        </w:rPr>
        <w:t>）</w:t>
      </w:r>
    </w:p>
    <w:p w14:paraId="496548E3">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在工程实施过程中，严格执行省、市颁发的相关规定，切实加强外来务工人员管理，保障农民工的合法权益。若在施工期间，由于承包人的责任发生违法、违规事件，后果由承包人自负。</w:t>
      </w:r>
    </w:p>
    <w:p w14:paraId="3C5F180E">
      <w:pPr>
        <w:tabs>
          <w:tab w:val="right" w:pos="9202"/>
        </w:tabs>
        <w:spacing w:line="360" w:lineRule="auto"/>
        <w:ind w:firstLine="420"/>
        <w:rPr>
          <w:rFonts w:ascii="宋体" w:hAnsi="宋体" w:cs="Times New Roman"/>
          <w:color w:val="auto"/>
          <w:szCs w:val="21"/>
          <w:highlight w:val="none"/>
        </w:rPr>
      </w:pPr>
      <w:r>
        <w:rPr>
          <w:rFonts w:ascii="宋体" w:hAnsi="宋体" w:cs="Times New Roman"/>
          <w:color w:val="auto"/>
          <w:szCs w:val="21"/>
          <w:highlight w:val="none"/>
        </w:rPr>
        <w:t>3.2 项目经理</w:t>
      </w:r>
    </w:p>
    <w:p w14:paraId="45A22A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3.2.1 项目经理：</w:t>
      </w:r>
    </w:p>
    <w:p w14:paraId="1DAB95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199E2DE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身份证号：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157EEC9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建造师执业资格等级：</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w:t>
      </w:r>
    </w:p>
    <w:p w14:paraId="14A350C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建造师注册证书号：</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w:t>
      </w:r>
    </w:p>
    <w:p w14:paraId="2F4B8B0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建造师执业印章号：</w:t>
      </w:r>
      <w:r>
        <w:rPr>
          <w:rFonts w:hint="eastAsia" w:ascii="宋体" w:hAnsi="宋体" w:cs="宋体"/>
          <w:color w:val="auto"/>
          <w:szCs w:val="21"/>
          <w:highlight w:val="none"/>
          <w:u w:val="single"/>
        </w:rPr>
        <w:t> </w:t>
      </w:r>
      <w:r>
        <w:rPr>
          <w:rFonts w:ascii="宋体" w:hAnsi="宋体" w:cs="Times New Roman"/>
          <w:color w:val="auto"/>
          <w:highlight w:val="none"/>
          <w:u w:val="single"/>
        </w:rPr>
        <w:t>；</w:t>
      </w:r>
    </w:p>
    <w:p w14:paraId="4C2CFAD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安全生产考核合格证书号：</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highlight w:val="none"/>
          <w:u w:val="single"/>
        </w:rPr>
        <w:t>；</w:t>
      </w:r>
    </w:p>
    <w:p w14:paraId="4ECA14C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4A4E43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2B27EC61">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b/>
          <w:bCs/>
          <w:color w:val="auto"/>
          <w:szCs w:val="21"/>
          <w:highlight w:val="none"/>
          <w:u w:val="single"/>
        </w:rPr>
        <w:t xml:space="preserve">    </w:t>
      </w:r>
      <w:r>
        <w:rPr>
          <w:rFonts w:hint="eastAsia" w:ascii="宋体" w:hAnsi="宋体" w:cs="宋体"/>
          <w:color w:val="auto"/>
          <w:sz w:val="24"/>
          <w:highlight w:val="none"/>
          <w:u w:val="single"/>
        </w:rPr>
        <w:t></w:t>
      </w:r>
      <w:r>
        <w:rPr>
          <w:rFonts w:ascii="宋体" w:hAnsi="宋体" w:cs="Times New Roman"/>
          <w:color w:val="auto"/>
          <w:highlight w:val="none"/>
          <w:u w:val="single"/>
        </w:rPr>
        <w:t>；</w:t>
      </w:r>
    </w:p>
    <w:p w14:paraId="49386CE0">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承包人对项目经理的授权范围如下：</w:t>
      </w:r>
      <w:r>
        <w:rPr>
          <w:rFonts w:hint="eastAsia" w:ascii="宋体" w:hAnsi="宋体" w:cs="Times New Roman"/>
          <w:color w:val="auto"/>
          <w:highlight w:val="none"/>
          <w:u w:val="single"/>
        </w:rPr>
        <w:t>项目经理需对本工程质量</w:t>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"http://baike.baidu.com/subview/4547/8036693.htm"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安全</w:t>
      </w:r>
      <w:r>
        <w:rPr>
          <w:rFonts w:ascii="Times New Roman" w:hAnsi="Times New Roman" w:cs="Times New Roman"/>
          <w:color w:val="auto"/>
          <w:highlight w:val="none"/>
        </w:rPr>
        <w:fldChar w:fldCharType="end"/>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"http://baike.baidu.com/view/716226.htm"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进度</w:t>
      </w:r>
      <w:r>
        <w:rPr>
          <w:rFonts w:ascii="Times New Roman" w:hAnsi="Times New Roman" w:cs="Times New Roman"/>
          <w:color w:val="auto"/>
          <w:highlight w:val="none"/>
        </w:rPr>
        <w:fldChar w:fldCharType="end"/>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"http://baike.baidu.com/view/45395.htm"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成本</w:t>
      </w:r>
      <w:r>
        <w:rPr>
          <w:rFonts w:ascii="Times New Roman" w:hAnsi="Times New Roman" w:cs="Times New Roman"/>
          <w:color w:val="auto"/>
          <w:highlight w:val="none"/>
        </w:rPr>
        <w:fldChar w:fldCharType="end"/>
      </w:r>
      <w:r>
        <w:rPr>
          <w:rFonts w:hint="eastAsia" w:ascii="宋体" w:hAnsi="宋体" w:cs="Times New Roman"/>
          <w:color w:val="auto"/>
          <w:highlight w:val="none"/>
          <w:u w:val="single"/>
        </w:rPr>
        <w:t>、文明施工等全权负责，在开工日期3天前，承包人应将其委托的项目经理的授权范围明细以书面形式送交发包人</w:t>
      </w:r>
      <w:r>
        <w:rPr>
          <w:rFonts w:ascii="宋体" w:hAnsi="宋体" w:cs="Times New Roman"/>
          <w:color w:val="auto"/>
          <w:highlight w:val="none"/>
          <w:u w:val="single"/>
        </w:rPr>
        <w:t>。</w:t>
      </w:r>
    </w:p>
    <w:p w14:paraId="00AB8240">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关于项目经理每月在施工现场的时间要求：</w:t>
      </w:r>
      <w:r>
        <w:rPr>
          <w:rFonts w:hint="eastAsia" w:ascii="宋体" w:hAnsi="宋体" w:cs="Times New Roman"/>
          <w:color w:val="auto"/>
          <w:highlight w:val="none"/>
          <w:u w:val="single"/>
        </w:rPr>
        <w:t>到位率</w:t>
      </w:r>
      <w:r>
        <w:rPr>
          <w:rFonts w:ascii="宋体" w:hAnsi="宋体" w:cs="Times New Roman"/>
          <w:color w:val="auto"/>
          <w:highlight w:val="none"/>
          <w:u w:val="single"/>
        </w:rPr>
        <w:t>85</w:t>
      </w:r>
      <w:r>
        <w:rPr>
          <w:rFonts w:hint="eastAsia" w:ascii="宋体" w:hAnsi="宋体" w:cs="Times New Roman"/>
          <w:color w:val="auto"/>
          <w:highlight w:val="none"/>
          <w:u w:val="single"/>
        </w:rPr>
        <w:t>%，重要施工工序或环节时项目经理、技术负责人等必须到场</w:t>
      </w:r>
      <w:r>
        <w:rPr>
          <w:rFonts w:hint="eastAsia" w:ascii="宋体" w:hAnsi="宋体" w:cs="宋体"/>
          <w:color w:val="auto"/>
          <w:szCs w:val="21"/>
          <w:highlight w:val="none"/>
        </w:rPr>
        <w:t>。</w:t>
      </w:r>
    </w:p>
    <w:p w14:paraId="21BF08E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承包人未提交劳动合同，以及没有为项目经理缴纳社会保险证明的违约责任：</w:t>
      </w:r>
      <w:r>
        <w:rPr>
          <w:rFonts w:hint="eastAsia" w:ascii="宋体" w:hAnsi="宋体" w:cs="Times New Roman"/>
          <w:color w:val="auto"/>
          <w:highlight w:val="none"/>
          <w:u w:val="single"/>
        </w:rPr>
        <w:t>发包人有权要求终止合同并由承包人赔偿由此造成的一切损失。</w:t>
      </w:r>
    </w:p>
    <w:p w14:paraId="139A012F">
      <w:pPr>
        <w:tabs>
          <w:tab w:val="left" w:pos="720"/>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项目经理未经批准，擅自离开施工现场的违约责任：</w:t>
      </w:r>
      <w:r>
        <w:rPr>
          <w:rFonts w:hint="eastAsia" w:ascii="宋体" w:hAnsi="宋体" w:cs="Times New Roman"/>
          <w:color w:val="auto"/>
          <w:highlight w:val="none"/>
          <w:u w:val="single"/>
        </w:rPr>
        <w:t>按违约金人民币</w:t>
      </w:r>
      <w:r>
        <w:rPr>
          <w:rFonts w:ascii="宋体" w:hAnsi="宋体" w:cs="Times New Roman"/>
          <w:color w:val="auto"/>
          <w:highlight w:val="none"/>
          <w:u w:val="single"/>
        </w:rPr>
        <w:t>1000元/天</w:t>
      </w:r>
      <w:r>
        <w:rPr>
          <w:rFonts w:hint="eastAsia" w:ascii="宋体" w:hAnsi="宋体" w:cs="Times New Roman"/>
          <w:color w:val="auto"/>
          <w:highlight w:val="none"/>
          <w:u w:val="single"/>
        </w:rPr>
        <w:t>或1</w:t>
      </w:r>
      <w:r>
        <w:rPr>
          <w:rFonts w:ascii="宋体" w:hAnsi="宋体" w:cs="Times New Roman"/>
          <w:color w:val="auto"/>
          <w:highlight w:val="none"/>
          <w:u w:val="single"/>
        </w:rPr>
        <w:t>000</w:t>
      </w:r>
      <w:r>
        <w:rPr>
          <w:rFonts w:hint="eastAsia" w:ascii="宋体" w:hAnsi="宋体" w:cs="Times New Roman"/>
          <w:color w:val="auto"/>
          <w:highlight w:val="none"/>
          <w:u w:val="single"/>
        </w:rPr>
        <w:t>元/次</w:t>
      </w:r>
      <w:r>
        <w:rPr>
          <w:rFonts w:ascii="宋体" w:hAnsi="宋体" w:cs="Times New Roman"/>
          <w:color w:val="auto"/>
          <w:highlight w:val="none"/>
          <w:u w:val="single"/>
        </w:rPr>
        <w:t>从结算款中扣除</w:t>
      </w:r>
      <w:r>
        <w:rPr>
          <w:rFonts w:ascii="宋体" w:hAnsi="宋体" w:cs="Times New Roman"/>
          <w:color w:val="auto"/>
          <w:szCs w:val="21"/>
          <w:highlight w:val="none"/>
        </w:rPr>
        <w:t>。</w:t>
      </w:r>
    </w:p>
    <w:p w14:paraId="48B375A6">
      <w:pPr>
        <w:spacing w:line="360" w:lineRule="auto"/>
        <w:ind w:firstLine="315" w:firstLineChars="150"/>
        <w:rPr>
          <w:rFonts w:ascii="宋体" w:hAnsi="宋体" w:cs="Times New Roman"/>
          <w:color w:val="auto"/>
          <w:highlight w:val="none"/>
          <w:u w:val="single"/>
        </w:rPr>
      </w:pPr>
      <w:r>
        <w:rPr>
          <w:rFonts w:ascii="宋体" w:hAnsi="宋体" w:cs="Times New Roman"/>
          <w:color w:val="auto"/>
          <w:szCs w:val="21"/>
          <w:highlight w:val="none"/>
        </w:rPr>
        <w:t>3.2.3 承包人擅自更换项目经理的违约责任：</w:t>
      </w:r>
    </w:p>
    <w:p w14:paraId="12D4A650">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（1）</w:t>
      </w:r>
      <w:r>
        <w:rPr>
          <w:rFonts w:hint="eastAsia" w:ascii="宋体" w:hAnsi="宋体" w:cs="Times New Roman"/>
          <w:color w:val="auto"/>
          <w:kern w:val="0"/>
          <w:highlight w:val="none"/>
        </w:rPr>
        <w:t>承包人确需更换项目经理的，继任项目经理注册执业资格、管理经验的约定：</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u w:val="single"/>
        </w:rPr>
        <w:t>不得低于原项目经理的注册执业资格、管理经验</w:t>
      </w:r>
      <w:r>
        <w:rPr>
          <w:rFonts w:hint="eastAsia" w:ascii="宋体" w:hAnsi="宋体" w:cs="Times New Roman"/>
          <w:color w:val="auto"/>
          <w:kern w:val="0"/>
          <w:highlight w:val="none"/>
          <w:u w:val="single"/>
        </w:rPr>
        <w:t xml:space="preserve"> </w:t>
      </w:r>
      <w:r>
        <w:rPr>
          <w:rFonts w:hint="eastAsia" w:ascii="宋体" w:hAnsi="宋体" w:cs="Times New Roman"/>
          <w:color w:val="auto"/>
          <w:kern w:val="0"/>
          <w:highlight w:val="none"/>
        </w:rPr>
        <w:t>。</w:t>
      </w:r>
    </w:p>
    <w:p w14:paraId="20A77A84">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kern w:val="0"/>
          <w:highlight w:val="none"/>
        </w:rPr>
        <w:t>（2）</w:t>
      </w:r>
      <w:r>
        <w:rPr>
          <w:rFonts w:ascii="宋体" w:hAnsi="宋体" w:cs="Times New Roman"/>
          <w:color w:val="auto"/>
          <w:highlight w:val="none"/>
        </w:rPr>
        <w:t>承包人擅自更换项目经理的违约责任：</w:t>
      </w:r>
      <w:r>
        <w:rPr>
          <w:rFonts w:hint="eastAsia" w:ascii="宋体" w:hAnsi="宋体" w:cs="Times New Roman"/>
          <w:color w:val="auto"/>
          <w:highlight w:val="none"/>
          <w:u w:val="single"/>
        </w:rPr>
        <w:t>在施工期间不准更换，特殊情况要求更换的项目经理的，须经发包人同意。承包人更换项目经理的将被视为承包人违约，并按照</w:t>
      </w:r>
      <w:r>
        <w:rPr>
          <w:rFonts w:ascii="宋体" w:hAnsi="宋体" w:cs="Times New Roman"/>
          <w:color w:val="auto"/>
          <w:highlight w:val="none"/>
          <w:u w:val="single"/>
        </w:rPr>
        <w:t>0.5</w:t>
      </w:r>
      <w:r>
        <w:rPr>
          <w:rFonts w:hint="eastAsia" w:ascii="宋体" w:hAnsi="宋体" w:cs="Times New Roman"/>
          <w:color w:val="auto"/>
          <w:highlight w:val="none"/>
          <w:u w:val="single"/>
        </w:rPr>
        <w:t>万元/人/次付给发包人违约。</w:t>
      </w:r>
    </w:p>
    <w:p w14:paraId="2527FE3A">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3.2.4 承包人无正当理由拒绝更换项目经理的违约责任：</w:t>
      </w:r>
      <w:r>
        <w:rPr>
          <w:rFonts w:hint="eastAsia" w:ascii="宋体" w:hAnsi="宋体" w:cs="Times New Roman"/>
          <w:color w:val="auto"/>
          <w:highlight w:val="none"/>
          <w:u w:val="single"/>
        </w:rPr>
        <w:t>从结算款中扣除</w:t>
      </w:r>
      <w:r>
        <w:rPr>
          <w:rFonts w:ascii="宋体" w:hAnsi="宋体" w:cs="Times New Roman"/>
          <w:color w:val="auto"/>
          <w:highlight w:val="none"/>
          <w:u w:val="single"/>
        </w:rPr>
        <w:t>0.5</w:t>
      </w:r>
      <w:r>
        <w:rPr>
          <w:rFonts w:hint="eastAsia" w:ascii="宋体" w:hAnsi="宋体" w:cs="Times New Roman"/>
          <w:color w:val="auto"/>
          <w:highlight w:val="none"/>
          <w:u w:val="single"/>
        </w:rPr>
        <w:t>万元/人/次的违约金。</w:t>
      </w:r>
    </w:p>
    <w:p w14:paraId="08587C66">
      <w:pPr>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szCs w:val="21"/>
          <w:highlight w:val="none"/>
        </w:rPr>
        <w:t>3.3 承包人人员</w:t>
      </w:r>
    </w:p>
    <w:p w14:paraId="73C945F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3.3.1 承包人提交项目管理机构及施工现场管理人员安排报告的期限：</w:t>
      </w:r>
      <w:r>
        <w:rPr>
          <w:rFonts w:hint="eastAsia" w:ascii="宋体" w:hAnsi="宋体" w:cs="Times New Roman"/>
          <w:color w:val="auto"/>
          <w:highlight w:val="none"/>
          <w:u w:val="single"/>
        </w:rPr>
        <w:t>合同签订后</w:t>
      </w:r>
      <w:r>
        <w:rPr>
          <w:rFonts w:ascii="宋体" w:hAnsi="宋体" w:cs="Times New Roman"/>
          <w:color w:val="auto"/>
          <w:highlight w:val="none"/>
          <w:u w:val="single"/>
        </w:rPr>
        <w:t>7</w:t>
      </w:r>
      <w:r>
        <w:rPr>
          <w:rFonts w:hint="eastAsia" w:ascii="宋体" w:hAnsi="宋体" w:cs="Times New Roman"/>
          <w:color w:val="auto"/>
          <w:highlight w:val="none"/>
          <w:u w:val="single"/>
        </w:rPr>
        <w:t>天内。</w:t>
      </w:r>
    </w:p>
    <w:p w14:paraId="65078467">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3.3.2 承包人需更换主要施工管理人员的，继任人员的数量、注册执业资格、管理经验的约定：</w:t>
      </w:r>
      <w:r>
        <w:rPr>
          <w:rFonts w:hint="eastAsia" w:ascii="宋体" w:hAnsi="宋体" w:cs="Times New Roman"/>
          <w:color w:val="auto"/>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u w:val="single"/>
        </w:rPr>
        <w:t xml:space="preserve"> 不得低于原主要施工管理人员的数量、注册执业资格、管理经验</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rPr>
        <w:t>。</w:t>
      </w:r>
    </w:p>
    <w:p w14:paraId="35522DA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3.3.3 承包人无正当理由拒绝撤换主要施工管理人员的违约责任：</w:t>
      </w:r>
      <w:r>
        <w:rPr>
          <w:rFonts w:hint="eastAsia" w:ascii="宋体" w:hAnsi="宋体" w:cs="Times New Roman"/>
          <w:color w:val="auto"/>
          <w:highlight w:val="none"/>
          <w:u w:val="single"/>
        </w:rPr>
        <w:t>从结算款中扣除2</w:t>
      </w:r>
      <w:r>
        <w:rPr>
          <w:rFonts w:ascii="宋体" w:hAnsi="宋体" w:cs="Times New Roman"/>
          <w:color w:val="auto"/>
          <w:highlight w:val="none"/>
          <w:u w:val="single"/>
        </w:rPr>
        <w:t>000</w:t>
      </w:r>
      <w:r>
        <w:rPr>
          <w:rFonts w:hint="eastAsia" w:ascii="宋体" w:hAnsi="宋体" w:cs="Times New Roman"/>
          <w:color w:val="auto"/>
          <w:highlight w:val="none"/>
          <w:u w:val="single"/>
        </w:rPr>
        <w:t>元/人/次的违约金。</w:t>
      </w:r>
    </w:p>
    <w:p w14:paraId="0D6278B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3.3.4 承包人主要施工管理人员离开施工现场的批准要求：</w:t>
      </w:r>
      <w:r>
        <w:rPr>
          <w:rFonts w:hint="eastAsia" w:ascii="宋体" w:hAnsi="宋体" w:cs="Times New Roman"/>
          <w:color w:val="auto"/>
          <w:highlight w:val="none"/>
          <w:u w:val="single"/>
        </w:rPr>
        <w:t>按500元/人/次向发包人支付违约金。</w:t>
      </w:r>
    </w:p>
    <w:p w14:paraId="155CCB6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3.3.5承包人擅自更换主要施工管理人员的违约责任：</w:t>
      </w:r>
      <w:r>
        <w:rPr>
          <w:rFonts w:hint="eastAsia" w:ascii="宋体" w:hAnsi="宋体" w:cs="Times New Roman"/>
          <w:color w:val="auto"/>
          <w:highlight w:val="none"/>
          <w:u w:val="single"/>
        </w:rPr>
        <w:t>在施工期间不准更换，特殊情况要求更换的，须经发包人同意。</w:t>
      </w:r>
      <w:r>
        <w:rPr>
          <w:rFonts w:ascii="宋体" w:hAnsi="宋体" w:cs="Times New Roman"/>
          <w:color w:val="auto"/>
          <w:highlight w:val="none"/>
          <w:u w:val="single"/>
        </w:rPr>
        <w:t>承包人更换</w:t>
      </w:r>
      <w:r>
        <w:rPr>
          <w:rFonts w:hint="eastAsia" w:ascii="宋体" w:hAnsi="宋体" w:cs="Times New Roman"/>
          <w:color w:val="auto"/>
          <w:highlight w:val="none"/>
          <w:u w:val="single"/>
        </w:rPr>
        <w:t>技术负责人、施工员</w:t>
      </w:r>
      <w:r>
        <w:rPr>
          <w:rFonts w:ascii="宋体" w:hAnsi="宋体" w:cs="Times New Roman"/>
          <w:color w:val="auto"/>
          <w:highlight w:val="none"/>
          <w:u w:val="single"/>
        </w:rPr>
        <w:t>的将被视为</w:t>
      </w:r>
      <w:r>
        <w:rPr>
          <w:rFonts w:hint="eastAsia" w:ascii="宋体" w:hAnsi="宋体" w:cs="Times New Roman"/>
          <w:color w:val="auto"/>
          <w:highlight w:val="none"/>
          <w:u w:val="single"/>
        </w:rPr>
        <w:t>承包</w:t>
      </w:r>
      <w:r>
        <w:rPr>
          <w:rFonts w:ascii="宋体" w:hAnsi="宋体" w:cs="Times New Roman"/>
          <w:color w:val="auto"/>
          <w:highlight w:val="none"/>
          <w:u w:val="single"/>
        </w:rPr>
        <w:t>人违约</w:t>
      </w:r>
      <w:r>
        <w:rPr>
          <w:rFonts w:hint="eastAsia" w:ascii="宋体" w:hAnsi="宋体" w:cs="Times New Roman"/>
          <w:color w:val="auto"/>
          <w:highlight w:val="none"/>
          <w:u w:val="single"/>
        </w:rPr>
        <w:t>，</w:t>
      </w:r>
      <w:r>
        <w:rPr>
          <w:rFonts w:ascii="宋体" w:hAnsi="宋体" w:cs="Times New Roman"/>
          <w:color w:val="auto"/>
          <w:highlight w:val="none"/>
          <w:u w:val="single"/>
        </w:rPr>
        <w:t>并按照1</w:t>
      </w:r>
      <w:r>
        <w:rPr>
          <w:rFonts w:hint="eastAsia" w:ascii="宋体" w:hAnsi="宋体" w:cs="Times New Roman"/>
          <w:color w:val="auto"/>
          <w:highlight w:val="none"/>
          <w:u w:val="single"/>
        </w:rPr>
        <w:t>000</w:t>
      </w:r>
      <w:r>
        <w:rPr>
          <w:rFonts w:ascii="宋体" w:hAnsi="宋体" w:cs="Times New Roman"/>
          <w:color w:val="auto"/>
          <w:highlight w:val="none"/>
          <w:u w:val="single"/>
        </w:rPr>
        <w:t>元/人/</w:t>
      </w:r>
      <w:r>
        <w:rPr>
          <w:rFonts w:hint="eastAsia" w:ascii="宋体" w:hAnsi="宋体" w:cs="Times New Roman"/>
          <w:color w:val="auto"/>
          <w:highlight w:val="none"/>
          <w:u w:val="single"/>
        </w:rPr>
        <w:t>次付给发包人违约金。</w:t>
      </w:r>
    </w:p>
    <w:p w14:paraId="19B695D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承包人主要施工管理人员擅自离开施工现场的违约责任：</w:t>
      </w:r>
      <w:r>
        <w:rPr>
          <w:rFonts w:ascii="宋体" w:hAnsi="宋体" w:cs="Times New Roman"/>
          <w:color w:val="auto"/>
          <w:highlight w:val="none"/>
          <w:u w:val="single"/>
        </w:rPr>
        <w:t>若技术负责人、施工员出勤率不足投标承诺，</w:t>
      </w:r>
      <w:r>
        <w:rPr>
          <w:rFonts w:hint="eastAsia" w:ascii="宋体" w:hAnsi="宋体" w:cs="Times New Roman"/>
          <w:color w:val="auto"/>
          <w:highlight w:val="none"/>
          <w:u w:val="single"/>
        </w:rPr>
        <w:t>支付违约金800</w:t>
      </w:r>
      <w:r>
        <w:rPr>
          <w:rFonts w:ascii="宋体" w:hAnsi="宋体" w:cs="Times New Roman"/>
          <w:color w:val="auto"/>
          <w:highlight w:val="none"/>
          <w:u w:val="single"/>
        </w:rPr>
        <w:t>元人民币/天/人；安全员、质检员、材料员出勤率不足投标承诺，</w:t>
      </w:r>
      <w:r>
        <w:rPr>
          <w:rFonts w:hint="eastAsia" w:ascii="宋体" w:hAnsi="宋体" w:cs="Times New Roman"/>
          <w:color w:val="auto"/>
          <w:highlight w:val="none"/>
          <w:u w:val="single"/>
        </w:rPr>
        <w:t>支付违约金300</w:t>
      </w:r>
      <w:r>
        <w:rPr>
          <w:rFonts w:ascii="宋体" w:hAnsi="宋体" w:cs="Times New Roman"/>
          <w:color w:val="auto"/>
          <w:highlight w:val="none"/>
          <w:u w:val="single"/>
        </w:rPr>
        <w:t>元人民币/天/人</w:t>
      </w:r>
      <w:r>
        <w:rPr>
          <w:rFonts w:hint="eastAsia" w:ascii="宋体" w:hAnsi="宋体" w:cs="Times New Roman"/>
          <w:color w:val="auto"/>
          <w:highlight w:val="none"/>
          <w:u w:val="single"/>
        </w:rPr>
        <w:t>。</w:t>
      </w:r>
    </w:p>
    <w:p w14:paraId="16B27DB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 分包</w:t>
      </w:r>
    </w:p>
    <w:p w14:paraId="6746F4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3.5.1 分包的一般约定</w:t>
      </w:r>
    </w:p>
    <w:p w14:paraId="75A0E7E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禁止分包的工程包括：</w:t>
      </w:r>
      <w:r>
        <w:rPr>
          <w:rFonts w:hint="eastAsia" w:ascii="宋体" w:hAnsi="宋体" w:cs="Times New Roman"/>
          <w:color w:val="auto"/>
          <w:highlight w:val="none"/>
          <w:u w:val="single"/>
        </w:rPr>
        <w:t>本合同所有施工内容</w:t>
      </w:r>
    </w:p>
    <w:p w14:paraId="2DAB518C">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主体结构、关键性工作的范围：</w:t>
      </w:r>
      <w:r>
        <w:rPr>
          <w:rFonts w:hint="eastAsia" w:ascii="宋体" w:hAnsi="宋体" w:cs="Times New Roman"/>
          <w:color w:val="auto"/>
          <w:highlight w:val="none"/>
          <w:u w:val="single"/>
        </w:rPr>
        <w:t xml:space="preserve">/ </w:t>
      </w:r>
    </w:p>
    <w:p w14:paraId="6D646B5F">
      <w:pPr>
        <w:spacing w:line="360" w:lineRule="auto"/>
        <w:rPr>
          <w:rFonts w:ascii="宋体" w:hAnsi="宋体" w:cs="Times New Roman"/>
          <w:color w:val="auto"/>
          <w:szCs w:val="21"/>
          <w:highlight w:val="none"/>
        </w:rPr>
      </w:pPr>
      <w:r>
        <w:rPr>
          <w:rFonts w:ascii="宋体" w:hAnsi="宋体" w:cs="Times New Roman"/>
          <w:color w:val="auto"/>
          <w:szCs w:val="21"/>
          <w:highlight w:val="none"/>
        </w:rPr>
        <w:t xml:space="preserve">    3.5.2分包的确定</w:t>
      </w:r>
    </w:p>
    <w:p w14:paraId="495AD22E">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允许分包的专业工程包括：</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074A7D43">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none"/>
        </w:rPr>
        <w:t>其他关于分包的约定：</w:t>
      </w:r>
      <w:r>
        <w:rPr>
          <w:rFonts w:hint="eastAsia" w:ascii="宋体" w:hAnsi="宋体" w:cs="Times New Roman"/>
          <w:color w:val="auto"/>
          <w:highlight w:val="none"/>
          <w:u w:val="single"/>
        </w:rPr>
        <w:t>承包人不得以任何形式进行转包或分包本合同所有施工内容，否则，发包人有权解除本合同、拒付（或要求承包人退还已收）工程款，承包人还应按合同总价款的20%向发包人支付违约金。</w:t>
      </w:r>
    </w:p>
    <w:p w14:paraId="305C4CD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3.5.4 分包合同价款</w:t>
      </w:r>
    </w:p>
    <w:p w14:paraId="6781DDE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关于分包合同价款支付的约定：</w:t>
      </w:r>
      <w:r>
        <w:rPr>
          <w:rFonts w:hint="eastAsia" w:ascii="宋体" w:hAnsi="宋体" w:cs="Times New Roman"/>
          <w:color w:val="auto"/>
          <w:highlight w:val="none"/>
          <w:u w:val="single"/>
        </w:rPr>
        <w:t xml:space="preserve">  /  </w:t>
      </w:r>
    </w:p>
    <w:p w14:paraId="5035372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3.6 工程照管与成品、半成品保护</w:t>
      </w:r>
      <w:r>
        <w:rPr>
          <w:rFonts w:hint="eastAsia" w:ascii="宋体" w:hAnsi="宋体" w:cs="Times New Roman"/>
          <w:color w:val="auto"/>
          <w:szCs w:val="21"/>
          <w:highlight w:val="none"/>
        </w:rPr>
        <w:t>：</w:t>
      </w:r>
      <w:r>
        <w:rPr>
          <w:rFonts w:ascii="宋体" w:hAnsi="宋体" w:cs="Times New Roman"/>
          <w:color w:val="auto"/>
          <w:highlight w:val="none"/>
          <w:u w:val="single"/>
        </w:rPr>
        <w:t>承包人负责照管工程及工程相关的材料、工程设备的起始时间：</w:t>
      </w:r>
      <w:r>
        <w:rPr>
          <w:rFonts w:hint="eastAsia" w:ascii="宋体" w:hAnsi="宋体" w:cs="Times New Roman"/>
          <w:color w:val="auto"/>
          <w:highlight w:val="none"/>
          <w:u w:val="single"/>
        </w:rPr>
        <w:t>已完工程和设备未交付发包人之前，承包人负责与承包内容相关的所有成品和设备的保护工作，保护期间发生损坏，承包人承担修复费用。由发包人造成的损坏，发包人承担费用，修复工作由承包人负责，因此造成</w:t>
      </w:r>
      <w:r>
        <w:rPr>
          <w:rFonts w:hint="eastAsia" w:ascii="宋体" w:hAnsi="宋体" w:cs="Times New Roman"/>
          <w:color w:val="auto"/>
          <w:szCs w:val="21"/>
          <w:highlight w:val="none"/>
          <w:u w:val="single"/>
        </w:rPr>
        <w:t>关键</w:t>
      </w:r>
      <w:r>
        <w:rPr>
          <w:rFonts w:hint="eastAsia" w:ascii="宋体" w:hAnsi="宋体" w:cs="Times New Roman"/>
          <w:color w:val="auto"/>
          <w:highlight w:val="none"/>
          <w:u w:val="single"/>
        </w:rPr>
        <w:t>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0F3BD8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3.7 履约担保</w:t>
      </w:r>
    </w:p>
    <w:p w14:paraId="1DF77F1E">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承包人是否提供履约担保：</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是 </w:t>
      </w:r>
      <w:r>
        <w:rPr>
          <w:rFonts w:ascii="宋体" w:hAnsi="宋体" w:cs="Times New Roman"/>
          <w:color w:val="auto"/>
          <w:highlight w:val="none"/>
          <w:u w:val="single"/>
        </w:rPr>
        <w:t>。</w:t>
      </w:r>
    </w:p>
    <w:p w14:paraId="6C85A71E">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履约担保的形式：</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履约保证金。</w:t>
      </w:r>
    </w:p>
    <w:p w14:paraId="4B077BC1">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履约担保的金额：</w:t>
      </w:r>
      <w:r>
        <w:rPr>
          <w:rFonts w:hint="eastAsia" w:ascii="宋体" w:hAnsi="宋体" w:cs="Times New Roman"/>
          <w:color w:val="auto"/>
          <w:highlight w:val="none"/>
          <w:u w:val="single"/>
        </w:rPr>
        <w:t>本合同总价的</w:t>
      </w:r>
      <w:r>
        <w:rPr>
          <w:rFonts w:ascii="宋体" w:hAnsi="宋体" w:cs="Times New Roman"/>
          <w:color w:val="auto"/>
          <w:highlight w:val="none"/>
          <w:u w:val="single"/>
        </w:rPr>
        <w:t>2</w:t>
      </w:r>
      <w:r>
        <w:rPr>
          <w:rFonts w:hint="eastAsia" w:ascii="宋体" w:hAnsi="宋体" w:cs="Times New Roman"/>
          <w:color w:val="auto"/>
          <w:highlight w:val="none"/>
          <w:u w:val="single"/>
        </w:rPr>
        <w:t>%作为履约保证金，由承包人于本合同签订后7日内以支票、汇票或银行转账向发包人支付。</w:t>
      </w:r>
    </w:p>
    <w:p w14:paraId="0F2B1800">
      <w:pPr>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履约担保的期限：</w:t>
      </w:r>
      <w:r>
        <w:rPr>
          <w:rFonts w:hint="eastAsia" w:ascii="宋体" w:hAnsi="宋体" w:cs="Times New Roman"/>
          <w:color w:val="auto"/>
          <w:highlight w:val="none"/>
          <w:u w:val="single"/>
        </w:rPr>
        <w:t>工程竣工验收合格并交付发包人使用前保持有效</w:t>
      </w:r>
      <w:r>
        <w:rPr>
          <w:rFonts w:hint="eastAsia" w:ascii="宋体" w:hAnsi="宋体" w:cs="Times New Roman"/>
          <w:color w:val="auto"/>
          <w:szCs w:val="21"/>
          <w:highlight w:val="none"/>
        </w:rPr>
        <w:t>。</w:t>
      </w:r>
    </w:p>
    <w:p w14:paraId="519A48B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4. 监理人</w:t>
      </w:r>
    </w:p>
    <w:p w14:paraId="126C9E6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4.1监理人的一般规定</w:t>
      </w:r>
    </w:p>
    <w:p w14:paraId="3DED5B0E">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关于监理人的监理内容：</w:t>
      </w:r>
      <w:r>
        <w:rPr>
          <w:rFonts w:hint="eastAsia" w:ascii="宋体" w:hAnsi="宋体" w:cs="Times New Roman"/>
          <w:color w:val="auto"/>
          <w:highlight w:val="none"/>
          <w:u w:val="single"/>
        </w:rPr>
        <w:t>/</w:t>
      </w:r>
      <w:r>
        <w:rPr>
          <w:rFonts w:hint="eastAsia" w:ascii="宋体" w:hAnsi="宋体" w:cs="宋体"/>
          <w:color w:val="auto"/>
          <w:szCs w:val="21"/>
          <w:highlight w:val="none"/>
        </w:rPr>
        <w:t>。</w:t>
      </w:r>
    </w:p>
    <w:p w14:paraId="6A39A7D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关于监理人的监理权限：</w:t>
      </w:r>
      <w:r>
        <w:rPr>
          <w:rFonts w:hint="eastAsia" w:ascii="宋体" w:hAnsi="宋体" w:cs="Times New Roman"/>
          <w:color w:val="auto"/>
          <w:highlight w:val="none"/>
          <w:u w:val="single"/>
        </w:rPr>
        <w:t>/。</w:t>
      </w:r>
    </w:p>
    <w:p w14:paraId="77A02905">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关于监理人在施工现场的办公场所、生活场所的提供和费用承担的约定：</w:t>
      </w:r>
      <w:r>
        <w:rPr>
          <w:rFonts w:hint="eastAsia" w:ascii="宋体" w:hAnsi="宋体" w:cs="Times New Roman"/>
          <w:color w:val="auto"/>
          <w:highlight w:val="none"/>
          <w:u w:val="single"/>
        </w:rPr>
        <w:t>/</w:t>
      </w:r>
    </w:p>
    <w:p w14:paraId="2AFBA6C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4.2 监理人员</w:t>
      </w:r>
    </w:p>
    <w:p w14:paraId="059AD2C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总监理工程师：</w:t>
      </w:r>
    </w:p>
    <w:p w14:paraId="575CA40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highlight w:val="none"/>
          <w:u w:val="single"/>
        </w:rPr>
        <w:t>；</w:t>
      </w:r>
    </w:p>
    <w:p w14:paraId="7300248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职    务：</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highlight w:val="none"/>
          <w:u w:val="single"/>
        </w:rPr>
        <w:t>；</w:t>
      </w:r>
    </w:p>
    <w:p w14:paraId="49B9128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监理工程师执业资格证书号：</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w:t>
      </w:r>
    </w:p>
    <w:p w14:paraId="53E17F7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w:t>
      </w:r>
    </w:p>
    <w:p w14:paraId="576F1BE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电子信箱：</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ascii="宋体" w:hAnsi="宋体" w:cs="Times New Roman"/>
          <w:color w:val="auto"/>
          <w:szCs w:val="21"/>
          <w:highlight w:val="none"/>
          <w:u w:val="single"/>
        </w:rPr>
        <w:t>；</w:t>
      </w:r>
    </w:p>
    <w:p w14:paraId="79C8416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ascii="宋体" w:hAnsi="宋体" w:cs="Times New Roman"/>
          <w:color w:val="auto"/>
          <w:szCs w:val="21"/>
          <w:highlight w:val="none"/>
          <w:u w:val="single"/>
        </w:rPr>
        <w:t>；</w:t>
      </w:r>
    </w:p>
    <w:p w14:paraId="3139B2B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关于监理人的其他约定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p>
    <w:p w14:paraId="698DB9A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4.4 商定或确定</w:t>
      </w:r>
    </w:p>
    <w:p w14:paraId="0C7BDBD0">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在发包人和承包人不能通过协商达成一致意见时，发包人授权监理人对以下事项进行确定：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5DB52570">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5. 工程质量</w:t>
      </w:r>
    </w:p>
    <w:p w14:paraId="3B30AFD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5.1 质量要求</w:t>
      </w:r>
    </w:p>
    <w:p w14:paraId="2C97E47C">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5.1.1 特殊质量标准和要求：</w:t>
      </w:r>
      <w:r>
        <w:rPr>
          <w:rFonts w:hint="eastAsia" w:ascii="宋体" w:hAnsi="宋体" w:cs="Times New Roman"/>
          <w:color w:val="auto"/>
          <w:highlight w:val="none"/>
          <w:u w:val="single"/>
        </w:rPr>
        <w:t>除通用条款约定外，要达到设计及国家、地方和建筑行业现行的有关规范和标准的质量要求。</w:t>
      </w:r>
    </w:p>
    <w:p w14:paraId="09F18D39">
      <w:pPr>
        <w:widowControl/>
        <w:spacing w:line="360" w:lineRule="auto"/>
        <w:ind w:firstLine="420" w:firstLineChars="200"/>
        <w:jc w:val="left"/>
        <w:rPr>
          <w:rFonts w:ascii="宋体" w:hAnsi="宋体" w:cs="Times New Roman"/>
          <w:color w:val="auto"/>
          <w:kern w:val="0"/>
          <w:highlight w:val="none"/>
          <w:u w:val="single"/>
        </w:rPr>
      </w:pPr>
      <w:r>
        <w:rPr>
          <w:rFonts w:hint="eastAsia" w:ascii="宋体" w:hAnsi="宋体" w:cs="Times New Roman"/>
          <w:color w:val="auto"/>
          <w:kern w:val="0"/>
          <w:highlight w:val="none"/>
          <w:u w:val="single"/>
        </w:rPr>
        <w:t>（1）承包人在工程施工中涉及的重要部位、关键节点、工艺、材料应用等，承包人应在专业工程施工前1</w:t>
      </w:r>
      <w:r>
        <w:rPr>
          <w:rFonts w:ascii="宋体" w:hAnsi="宋体" w:cs="Times New Roman"/>
          <w:color w:val="auto"/>
          <w:kern w:val="0"/>
          <w:highlight w:val="none"/>
          <w:u w:val="single"/>
        </w:rPr>
        <w:t>0</w:t>
      </w:r>
      <w:r>
        <w:rPr>
          <w:rFonts w:hint="eastAsia" w:ascii="宋体" w:hAnsi="宋体" w:cs="Times New Roman"/>
          <w:color w:val="auto"/>
          <w:kern w:val="0"/>
          <w:highlight w:val="none"/>
          <w:u w:val="single"/>
        </w:rPr>
        <w:t>天提供主要材料样品、施工详细实施方案给发包人及监理人（如有）审核，经审核同意后方可实施。</w:t>
      </w:r>
    </w:p>
    <w:p w14:paraId="0FAA669B">
      <w:pPr>
        <w:widowControl/>
        <w:spacing w:line="360" w:lineRule="auto"/>
        <w:ind w:firstLine="420" w:firstLineChars="200"/>
        <w:jc w:val="left"/>
        <w:rPr>
          <w:rFonts w:hint="eastAsia" w:ascii="宋体" w:hAnsi="宋体" w:cs="Times New Roman"/>
          <w:color w:val="auto"/>
          <w:kern w:val="0"/>
          <w:highlight w:val="none"/>
          <w:u w:val="single"/>
        </w:rPr>
      </w:pPr>
      <w:r>
        <w:rPr>
          <w:rFonts w:hint="eastAsia" w:ascii="宋体" w:hAnsi="宋体" w:cs="Times New Roman"/>
          <w:color w:val="auto"/>
          <w:kern w:val="0"/>
          <w:highlight w:val="none"/>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2E4B9D2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关于工程奖项的约定：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w:t>
      </w:r>
    </w:p>
    <w:p w14:paraId="493719E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5.3 隐蔽工程检查</w:t>
      </w:r>
    </w:p>
    <w:p w14:paraId="3E27F20B">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5.3.2承包人提前通知监理人隐蔽工程检查的期限的约定：</w:t>
      </w:r>
      <w:r>
        <w:rPr>
          <w:rFonts w:hint="eastAsia" w:ascii="宋体" w:hAnsi="宋体" w:cs="Times New Roman"/>
          <w:color w:val="auto"/>
          <w:highlight w:val="none"/>
          <w:u w:val="single"/>
        </w:rPr>
        <w:t>承包人应当在共同检查前48小时书面通知监理人（如有）和发包人进行检查，即隐蔽工程通知对象增加发包人。</w:t>
      </w:r>
    </w:p>
    <w:p w14:paraId="3F16934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监理人不能按时进行检查时，应提前</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24</w:t>
      </w:r>
      <w:r>
        <w:rPr>
          <w:rFonts w:ascii="宋体" w:hAnsi="宋体" w:cs="Times New Roman"/>
          <w:color w:val="auto"/>
          <w:highlight w:val="none"/>
          <w:u w:val="single"/>
        </w:rPr>
        <w:t xml:space="preserve">  </w:t>
      </w:r>
      <w:r>
        <w:rPr>
          <w:rFonts w:ascii="宋体" w:hAnsi="宋体" w:cs="Times New Roman"/>
          <w:color w:val="auto"/>
          <w:szCs w:val="21"/>
          <w:highlight w:val="none"/>
        </w:rPr>
        <w:t>小时提交书面延期要求。</w:t>
      </w:r>
    </w:p>
    <w:p w14:paraId="01A6959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关于延期最长不得超过：</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48</w:t>
      </w:r>
      <w:r>
        <w:rPr>
          <w:rFonts w:ascii="宋体" w:hAnsi="宋体" w:cs="Times New Roman"/>
          <w:color w:val="auto"/>
          <w:highlight w:val="none"/>
          <w:u w:val="single"/>
        </w:rPr>
        <w:t xml:space="preserve">   </w:t>
      </w:r>
      <w:r>
        <w:rPr>
          <w:rFonts w:ascii="宋体" w:hAnsi="宋体" w:cs="Times New Roman"/>
          <w:color w:val="auto"/>
          <w:szCs w:val="21"/>
          <w:highlight w:val="none"/>
        </w:rPr>
        <w:t>小时。</w:t>
      </w:r>
    </w:p>
    <w:p w14:paraId="6321CEA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6. 安全文明施工与环境保护</w:t>
      </w:r>
    </w:p>
    <w:p w14:paraId="1FB0046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6.1安全文明施工</w:t>
      </w:r>
    </w:p>
    <w:p w14:paraId="280137DD">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6.1.1 项目安全生产的达标目标及相应事项的约定：</w:t>
      </w:r>
      <w:r>
        <w:rPr>
          <w:rFonts w:hint="eastAsia" w:ascii="宋体" w:hAnsi="宋体" w:cs="Times New Roman"/>
          <w:color w:val="auto"/>
          <w:highlight w:val="none"/>
          <w:u w:val="single"/>
        </w:rPr>
        <w:t>施工现场按照《建筑施工安全检查标准》（JGJ59-2011）评定达到“合格”标准</w:t>
      </w:r>
      <w:r>
        <w:rPr>
          <w:rFonts w:ascii="宋体" w:hAnsi="宋体" w:cs="Times New Roman"/>
          <w:color w:val="auto"/>
          <w:highlight w:val="none"/>
          <w:u w:val="single"/>
        </w:rPr>
        <w:t>。</w:t>
      </w:r>
    </w:p>
    <w:p w14:paraId="69C7C1C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6.1.4 关于治安保卫的特别约定：</w:t>
      </w:r>
      <w:r>
        <w:rPr>
          <w:rFonts w:hint="eastAsia" w:ascii="宋体" w:hAnsi="宋体" w:cs="Times New Roman"/>
          <w:color w:val="auto"/>
          <w:highlight w:val="none"/>
          <w:u w:val="single"/>
        </w:rPr>
        <w:t>按通用条款执行。</w:t>
      </w:r>
    </w:p>
    <w:p w14:paraId="32B9674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关于编制施工场地治安管理计划的约定：</w:t>
      </w:r>
      <w:r>
        <w:rPr>
          <w:rFonts w:hint="eastAsia" w:ascii="宋体" w:hAnsi="宋体" w:cs="Times New Roman"/>
          <w:color w:val="auto"/>
          <w:highlight w:val="none"/>
          <w:u w:val="single"/>
        </w:rPr>
        <w:t>按通用条款执行。</w:t>
      </w:r>
    </w:p>
    <w:p w14:paraId="172386EA">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6.1.5 文明施工</w:t>
      </w:r>
    </w:p>
    <w:p w14:paraId="595E4449">
      <w:pPr>
        <w:spacing w:line="360" w:lineRule="auto"/>
        <w:ind w:firstLine="415" w:firstLineChars="198"/>
        <w:rPr>
          <w:rFonts w:ascii="宋体" w:hAnsi="宋体" w:cs="Times New Roman"/>
          <w:color w:val="auto"/>
          <w:szCs w:val="21"/>
          <w:highlight w:val="none"/>
        </w:rPr>
      </w:pPr>
      <w:r>
        <w:rPr>
          <w:rFonts w:hint="eastAsia" w:ascii="宋体" w:hAnsi="宋体" w:cs="Times New Roman"/>
          <w:color w:val="auto"/>
          <w:szCs w:val="21"/>
          <w:highlight w:val="none"/>
        </w:rPr>
        <w:t>合同当事人对文明施工的要求：</w:t>
      </w:r>
    </w:p>
    <w:p w14:paraId="53AA02D3">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（1）遵守地方政府和有关部门对施工场地交通、环卫、安全和施工噪音等管理规定，并办理相关审批手续。</w:t>
      </w:r>
    </w:p>
    <w:p w14:paraId="331CA2AB">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（2）承包人应采取有效措施尽量减小尘土和噪音污染，需要进行夜间作业时应经有关部门批准。</w:t>
      </w:r>
    </w:p>
    <w:p w14:paraId="2D65F112">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244917B5">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（4）上述手续办理费用约定如下：由承包人支付。</w:t>
      </w:r>
    </w:p>
    <w:p w14:paraId="5F113FC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6.1.6 关于安全文明施工费支付比例和支付期限的约定：</w:t>
      </w:r>
      <w:r>
        <w:rPr>
          <w:rFonts w:hint="eastAsia" w:ascii="宋体" w:hAnsi="宋体" w:cs="Times New Roman"/>
          <w:color w:val="auto"/>
          <w:szCs w:val="21"/>
          <w:highlight w:val="none"/>
        </w:rPr>
        <w:t>按一下第</w:t>
      </w:r>
      <w:r>
        <w:rPr>
          <w:rFonts w:hint="eastAsia" w:ascii="宋体" w:hAnsi="宋体" w:cs="Times New Roman"/>
          <w:color w:val="auto"/>
          <w:highlight w:val="none"/>
          <w:u w:val="single"/>
        </w:rPr>
        <w:t>（1）</w:t>
      </w:r>
      <w:r>
        <w:rPr>
          <w:rFonts w:hint="eastAsia" w:ascii="宋体" w:hAnsi="宋体" w:cs="Times New Roman"/>
          <w:color w:val="auto"/>
          <w:szCs w:val="21"/>
          <w:highlight w:val="none"/>
        </w:rPr>
        <w:t>种方式约定：</w:t>
      </w:r>
    </w:p>
    <w:p w14:paraId="651F9FE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（1）安全文明施工费按以下第（①）种方式约定：</w:t>
      </w:r>
    </w:p>
    <w:p w14:paraId="4F261E49">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①  与进度款同比例同期支付。</w:t>
      </w:r>
    </w:p>
    <w:p w14:paraId="65CE439A">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②  其他：  /    。</w:t>
      </w:r>
    </w:p>
    <w:p w14:paraId="79B5E27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6.1.</w:t>
      </w:r>
      <w:r>
        <w:rPr>
          <w:rFonts w:ascii="宋体" w:hAnsi="宋体" w:cs="Times New Roman"/>
          <w:color w:val="auto"/>
          <w:highlight w:val="none"/>
          <w:u w:val="single"/>
        </w:rPr>
        <w:t>10</w:t>
      </w:r>
      <w:r>
        <w:rPr>
          <w:rFonts w:hint="eastAsia" w:ascii="宋体" w:hAnsi="宋体" w:cs="Times New Roman"/>
          <w:color w:val="auto"/>
          <w:highlight w:val="none"/>
          <w:u w:val="single"/>
        </w:rPr>
        <w:t>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10B920E9">
      <w:pPr>
        <w:topLinePunct/>
        <w:spacing w:line="360" w:lineRule="auto"/>
        <w:ind w:firstLine="200"/>
        <w:rPr>
          <w:rFonts w:ascii="宋体" w:hAnsi="宋体" w:cs="Times New Roman"/>
          <w:b/>
          <w:color w:val="auto"/>
          <w:highlight w:val="none"/>
        </w:rPr>
      </w:pPr>
      <w:r>
        <w:rPr>
          <w:rFonts w:ascii="宋体" w:hAnsi="宋体" w:cs="Times New Roman"/>
          <w:b/>
          <w:color w:val="auto"/>
          <w:highlight w:val="none"/>
        </w:rPr>
        <w:t>7. 工期和进度</w:t>
      </w:r>
    </w:p>
    <w:p w14:paraId="3045DD7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7.1 施工组织设计</w:t>
      </w:r>
    </w:p>
    <w:p w14:paraId="533CA9A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7.1.</w:t>
      </w:r>
      <w:r>
        <w:rPr>
          <w:rFonts w:hint="eastAsia" w:ascii="宋体" w:hAnsi="宋体" w:cs="Times New Roman"/>
          <w:color w:val="auto"/>
          <w:szCs w:val="21"/>
          <w:highlight w:val="none"/>
        </w:rPr>
        <w:t>1 合同当事人约定的</w:t>
      </w:r>
      <w:r>
        <w:rPr>
          <w:rFonts w:ascii="宋体" w:hAnsi="宋体" w:cs="Times New Roman"/>
          <w:color w:val="auto"/>
          <w:szCs w:val="21"/>
          <w:highlight w:val="none"/>
        </w:rPr>
        <w:t>施工组织设计</w:t>
      </w:r>
      <w:r>
        <w:rPr>
          <w:rFonts w:hint="eastAsia" w:ascii="宋体" w:hAnsi="宋体" w:cs="Times New Roman"/>
          <w:color w:val="auto"/>
          <w:szCs w:val="21"/>
          <w:highlight w:val="none"/>
        </w:rPr>
        <w:t>应包括的其他内容</w:t>
      </w:r>
      <w:r>
        <w:rPr>
          <w:rFonts w:ascii="宋体" w:hAnsi="宋体" w:cs="Times New Roman"/>
          <w:color w:val="auto"/>
          <w:szCs w:val="21"/>
          <w:highlight w:val="none"/>
        </w:rPr>
        <w:t>：</w:t>
      </w:r>
      <w:r>
        <w:rPr>
          <w:rFonts w:hint="eastAsia" w:ascii="宋体" w:hAnsi="宋体" w:cs="Times New Roman"/>
          <w:color w:val="auto"/>
          <w:highlight w:val="none"/>
          <w:u w:val="single"/>
        </w:rPr>
        <w:t>按通用条款执行。</w:t>
      </w:r>
    </w:p>
    <w:p w14:paraId="6D7FAEAA">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7.1.2 施工组织设计的提交和修改</w:t>
      </w:r>
    </w:p>
    <w:p w14:paraId="7948F92A">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承包人提交详细施工组织设计的期限的约定：</w:t>
      </w:r>
      <w:r>
        <w:rPr>
          <w:rFonts w:hint="eastAsia" w:ascii="宋体" w:hAnsi="宋体" w:cs="Times New Roman"/>
          <w:color w:val="auto"/>
          <w:highlight w:val="none"/>
          <w:u w:val="single"/>
        </w:rPr>
        <w:t xml:space="preserve"> 本合同签订后（3）天内提供详细施工组织设计（施工方案）和进度计划 </w:t>
      </w:r>
      <w:r>
        <w:rPr>
          <w:rFonts w:hint="eastAsia" w:ascii="宋体" w:hAnsi="宋体" w:cs="宋体"/>
          <w:color w:val="auto"/>
          <w:szCs w:val="21"/>
          <w:highlight w:val="none"/>
        </w:rPr>
        <w:t>。</w:t>
      </w:r>
    </w:p>
    <w:p w14:paraId="2F4CC7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发包人和监理人在收到</w:t>
      </w:r>
      <w:r>
        <w:rPr>
          <w:rFonts w:hint="eastAsia" w:ascii="宋体" w:hAnsi="宋体" w:cs="Times New Roman"/>
          <w:color w:val="auto"/>
          <w:szCs w:val="21"/>
          <w:highlight w:val="none"/>
        </w:rPr>
        <w:t>详细的施工组织设计</w:t>
      </w:r>
      <w:r>
        <w:rPr>
          <w:rFonts w:ascii="宋体" w:hAnsi="宋体" w:cs="Times New Roman"/>
          <w:color w:val="auto"/>
          <w:szCs w:val="21"/>
          <w:highlight w:val="none"/>
        </w:rPr>
        <w:t>后确认或提出修改意见的期限：</w:t>
      </w:r>
      <w:r>
        <w:rPr>
          <w:rFonts w:hint="eastAsia" w:ascii="宋体" w:hAnsi="宋体" w:cs="Times New Roman"/>
          <w:color w:val="auto"/>
          <w:highlight w:val="none"/>
          <w:u w:val="single"/>
        </w:rPr>
        <w:t>收到施工组织设计后 7天内</w:t>
      </w:r>
      <w:r>
        <w:rPr>
          <w:rFonts w:ascii="宋体" w:hAnsi="宋体" w:cs="Times New Roman"/>
          <w:color w:val="auto"/>
          <w:highlight w:val="none"/>
          <w:u w:val="single"/>
        </w:rPr>
        <w:t>。</w:t>
      </w:r>
    </w:p>
    <w:p w14:paraId="758EA3B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7.2 施工进度计划</w:t>
      </w:r>
    </w:p>
    <w:p w14:paraId="211D9CC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7.2.2 施工进度计划的修订</w:t>
      </w:r>
    </w:p>
    <w:p w14:paraId="2EAF1B0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发包人和监理人在收到修订的施工进度计划后确认或提出修改意见的期限：</w:t>
      </w:r>
      <w:r>
        <w:rPr>
          <w:rFonts w:hint="eastAsia" w:ascii="宋体" w:hAnsi="宋体" w:cs="Times New Roman"/>
          <w:color w:val="auto"/>
          <w:highlight w:val="none"/>
          <w:u w:val="single"/>
        </w:rPr>
        <w:t>收到修订的施工进度计划后7天内</w:t>
      </w:r>
      <w:r>
        <w:rPr>
          <w:rFonts w:ascii="宋体" w:hAnsi="宋体" w:cs="Times New Roman"/>
          <w:color w:val="auto"/>
          <w:highlight w:val="none"/>
          <w:u w:val="single"/>
        </w:rPr>
        <w:t>。</w:t>
      </w:r>
    </w:p>
    <w:p w14:paraId="21D0FD8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 开工</w:t>
      </w:r>
    </w:p>
    <w:p w14:paraId="20A5B4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7.3.1 开工准备</w:t>
      </w:r>
    </w:p>
    <w:p w14:paraId="46A0A037">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关于承包人提交工程开工报审表的期限：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ascii="宋体" w:hAnsi="宋体" w:cs="Times New Roman"/>
          <w:color w:val="auto"/>
          <w:highlight w:val="none"/>
          <w:u w:val="single"/>
        </w:rPr>
        <w:t>。</w:t>
      </w:r>
    </w:p>
    <w:p w14:paraId="5D095DF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关于发包人应完成的其他开工准备工作及期限：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hint="eastAsia" w:ascii="宋体" w:hAnsi="宋体" w:cs="Times New Roman"/>
          <w:color w:val="auto"/>
          <w:highlight w:val="none"/>
          <w:u w:val="single"/>
        </w:rPr>
        <w:t>。</w:t>
      </w:r>
    </w:p>
    <w:p w14:paraId="6330B7A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关于承包人应完成的其他开工准备工作及期限：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hint="eastAsia" w:ascii="宋体" w:hAnsi="宋体" w:cs="Times New Roman"/>
          <w:color w:val="auto"/>
          <w:szCs w:val="21"/>
          <w:highlight w:val="none"/>
        </w:rPr>
        <w:t xml:space="preserve">。     </w:t>
      </w:r>
    </w:p>
    <w:p w14:paraId="0A1B03C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7.3.2开工通知</w:t>
      </w:r>
    </w:p>
    <w:p w14:paraId="32956A0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因发包人原因造成未能在计划开工日期之日起</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9</w:t>
      </w:r>
      <w:r>
        <w:rPr>
          <w:rFonts w:hint="eastAsia" w:ascii="宋体" w:hAnsi="宋体" w:cs="Times New Roman"/>
          <w:color w:val="auto"/>
          <w:highlight w:val="none"/>
          <w:u w:val="single"/>
        </w:rPr>
        <w:t xml:space="preserve">0 </w:t>
      </w:r>
      <w:r>
        <w:rPr>
          <w:rFonts w:ascii="宋体" w:hAnsi="宋体" w:cs="Times New Roman"/>
          <w:color w:val="auto"/>
          <w:szCs w:val="21"/>
          <w:highlight w:val="none"/>
        </w:rPr>
        <w:t>天内发出开工通知的，承包人有权提出价格调整要求，或者解除合同。</w:t>
      </w:r>
    </w:p>
    <w:p w14:paraId="688A8A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7.4 测量放线</w:t>
      </w:r>
    </w:p>
    <w:p w14:paraId="315527E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7.4.1发包人向承包人提供测量基准点、基准线和水准点及其书面资料的期限：</w:t>
      </w:r>
      <w:r>
        <w:rPr>
          <w:rFonts w:hint="eastAsia" w:ascii="宋体" w:hAnsi="宋体" w:cs="Times New Roman"/>
          <w:color w:val="auto"/>
          <w:highlight w:val="none"/>
          <w:u w:val="single"/>
        </w:rPr>
        <w:t xml:space="preserve"> / </w:t>
      </w:r>
    </w:p>
    <w:p w14:paraId="20136AF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 工期延误</w:t>
      </w:r>
    </w:p>
    <w:p w14:paraId="256106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7.5.1 因发包人原因导致工期延误</w:t>
      </w:r>
    </w:p>
    <w:p w14:paraId="399B12A5">
      <w:pPr>
        <w:spacing w:line="360" w:lineRule="auto"/>
        <w:ind w:firstLine="480"/>
        <w:rPr>
          <w:rFonts w:ascii="宋体" w:hAnsi="宋体" w:cs="Times New Roman"/>
          <w:color w:val="auto"/>
          <w:highlight w:val="none"/>
          <w:u w:val="single"/>
        </w:rPr>
      </w:pPr>
      <w:r>
        <w:rPr>
          <w:rFonts w:hint="eastAsia" w:ascii="宋体" w:hAnsi="宋体" w:cs="Times New Roman"/>
          <w:color w:val="auto"/>
          <w:szCs w:val="21"/>
          <w:highlight w:val="none"/>
        </w:rPr>
        <w:t>（7）因发包人原因导致工期延误的其他情形：</w:t>
      </w:r>
    </w:p>
    <w:p w14:paraId="13B4B071">
      <w:pPr>
        <w:tabs>
          <w:tab w:val="left" w:pos="540"/>
        </w:tabs>
        <w:spacing w:line="360" w:lineRule="auto"/>
        <w:ind w:firstLine="472" w:firstLineChars="225"/>
        <w:rPr>
          <w:rFonts w:ascii="宋体" w:hAnsi="宋体" w:cs="Times New Roman"/>
          <w:color w:val="auto"/>
          <w:highlight w:val="none"/>
          <w:u w:val="single"/>
        </w:rPr>
      </w:pPr>
      <w:r>
        <w:rPr>
          <w:rFonts w:hint="eastAsia" w:ascii="宋体" w:hAnsi="宋体" w:cs="Times New Roman"/>
          <w:color w:val="auto"/>
          <w:highlight w:val="none"/>
          <w:u w:val="single"/>
        </w:rPr>
        <w:t>1）</w:t>
      </w:r>
      <w:r>
        <w:rPr>
          <w:rFonts w:ascii="宋体" w:hAnsi="宋体" w:cs="Times New Roman"/>
          <w:color w:val="auto"/>
          <w:highlight w:val="none"/>
          <w:u w:val="single"/>
        </w:rPr>
        <w:t>重大设计变更</w:t>
      </w:r>
      <w:r>
        <w:rPr>
          <w:rFonts w:hint="eastAsia" w:ascii="宋体" w:hAnsi="宋体" w:cs="Times New Roman"/>
          <w:color w:val="auto"/>
          <w:highlight w:val="none"/>
          <w:u w:val="single"/>
        </w:rPr>
        <w:t>引起</w:t>
      </w:r>
      <w:r>
        <w:rPr>
          <w:rFonts w:ascii="宋体" w:hAnsi="宋体" w:cs="Times New Roman"/>
          <w:color w:val="auto"/>
          <w:highlight w:val="none"/>
          <w:u w:val="single"/>
        </w:rPr>
        <w:t>的</w:t>
      </w:r>
      <w:r>
        <w:rPr>
          <w:rFonts w:hint="eastAsia" w:ascii="宋体" w:hAnsi="宋体" w:cs="Times New Roman"/>
          <w:color w:val="auto"/>
          <w:highlight w:val="none"/>
          <w:u w:val="single"/>
        </w:rPr>
        <w:t>工期延误</w:t>
      </w:r>
      <w:r>
        <w:rPr>
          <w:rFonts w:ascii="宋体" w:hAnsi="宋体" w:cs="Times New Roman"/>
          <w:color w:val="auto"/>
          <w:highlight w:val="none"/>
          <w:u w:val="single"/>
        </w:rPr>
        <w:t>；</w:t>
      </w:r>
    </w:p>
    <w:p w14:paraId="30298CED">
      <w:pPr>
        <w:tabs>
          <w:tab w:val="left" w:pos="540"/>
        </w:tabs>
        <w:spacing w:line="360" w:lineRule="auto"/>
        <w:ind w:firstLine="472" w:firstLineChars="225"/>
        <w:rPr>
          <w:rFonts w:ascii="宋体" w:hAnsi="宋体" w:cs="Times New Roman"/>
          <w:color w:val="auto"/>
          <w:highlight w:val="none"/>
          <w:u w:val="single"/>
        </w:rPr>
      </w:pPr>
      <w:r>
        <w:rPr>
          <w:rFonts w:hint="eastAsia" w:ascii="宋体" w:hAnsi="宋体" w:cs="Times New Roman"/>
          <w:color w:val="auto"/>
          <w:highlight w:val="none"/>
          <w:u w:val="single"/>
        </w:rPr>
        <w:t>2）其他：因发包人原因直接造成的工期延误</w:t>
      </w:r>
      <w:r>
        <w:rPr>
          <w:rFonts w:ascii="宋体" w:hAnsi="宋体" w:cs="Times New Roman"/>
          <w:color w:val="auto"/>
          <w:highlight w:val="none"/>
          <w:u w:val="single"/>
        </w:rPr>
        <w:t>；</w:t>
      </w:r>
    </w:p>
    <w:p w14:paraId="47E681C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非承包人原因引起的，发包人、承包人和监理单位</w:t>
      </w:r>
      <w:r>
        <w:rPr>
          <w:rFonts w:hint="eastAsia" w:ascii="宋体" w:hAnsi="宋体" w:cs="Times New Roman"/>
          <w:color w:val="auto"/>
          <w:highlight w:val="none"/>
          <w:u w:val="single"/>
        </w:rPr>
        <w:t>（如有）</w:t>
      </w:r>
      <w:r>
        <w:rPr>
          <w:rFonts w:ascii="宋体" w:hAnsi="宋体" w:cs="Times New Roman"/>
          <w:color w:val="auto"/>
          <w:highlight w:val="none"/>
          <w:u w:val="single"/>
        </w:rPr>
        <w:t>共同确认需要延长工期的，可按</w:t>
      </w:r>
      <w:r>
        <w:rPr>
          <w:rFonts w:hint="eastAsia" w:ascii="宋体" w:hAnsi="宋体" w:cs="Times New Roman"/>
          <w:color w:val="auto"/>
          <w:highlight w:val="none"/>
          <w:u w:val="single"/>
        </w:rPr>
        <w:t>双</w:t>
      </w:r>
      <w:r>
        <w:rPr>
          <w:rFonts w:ascii="宋体" w:hAnsi="宋体" w:cs="Times New Roman"/>
          <w:color w:val="auto"/>
          <w:highlight w:val="none"/>
          <w:u w:val="single"/>
        </w:rPr>
        <w:t>方协商一致后的书面签证予以顺延。</w:t>
      </w:r>
    </w:p>
    <w:p w14:paraId="62EC66C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7.5.2 因承包人原因导致工期延误</w:t>
      </w:r>
    </w:p>
    <w:p w14:paraId="0BB5E00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因承包人原因造成工期延误，逾期竣工违约金的计算方法为：</w:t>
      </w:r>
      <w:r>
        <w:rPr>
          <w:rFonts w:hint="eastAsia" w:ascii="宋体" w:hAnsi="宋体" w:cs="Times New Roman"/>
          <w:color w:val="auto"/>
          <w:highlight w:val="none"/>
          <w:u w:val="single"/>
        </w:rPr>
        <w:t>①、因承包人原因工程不能按合同约定工期竣工，每延误一天，承包人应按人民币0</w:t>
      </w:r>
      <w:r>
        <w:rPr>
          <w:rFonts w:ascii="宋体" w:hAnsi="宋体" w:cs="Times New Roman"/>
          <w:color w:val="auto"/>
          <w:highlight w:val="none"/>
          <w:u w:val="single"/>
        </w:rPr>
        <w:t>.3</w:t>
      </w:r>
      <w:r>
        <w:rPr>
          <w:rFonts w:hint="eastAsia" w:ascii="宋体" w:hAnsi="宋体" w:cs="Times New Roman"/>
          <w:color w:val="auto"/>
          <w:highlight w:val="none"/>
          <w:u w:val="single"/>
        </w:rPr>
        <w:t>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w:t>
      </w:r>
      <w:r>
        <w:rPr>
          <w:rFonts w:ascii="宋体" w:hAnsi="宋体" w:cs="Times New Roman"/>
          <w:color w:val="auto"/>
          <w:highlight w:val="none"/>
          <w:u w:val="single"/>
        </w:rPr>
        <w:t>0</w:t>
      </w:r>
      <w:r>
        <w:rPr>
          <w:rFonts w:hint="eastAsia" w:ascii="宋体" w:hAnsi="宋体" w:cs="Times New Roman"/>
          <w:color w:val="auto"/>
          <w:highlight w:val="none"/>
          <w:u w:val="single"/>
        </w:rPr>
        <w:t>天（含2</w:t>
      </w:r>
      <w:r>
        <w:rPr>
          <w:rFonts w:ascii="宋体" w:hAnsi="宋体" w:cs="Times New Roman"/>
          <w:color w:val="auto"/>
          <w:highlight w:val="none"/>
          <w:u w:val="single"/>
        </w:rPr>
        <w:t>0</w:t>
      </w:r>
      <w:r>
        <w:rPr>
          <w:rFonts w:hint="eastAsia" w:ascii="宋体" w:hAnsi="宋体" w:cs="Times New Roman"/>
          <w:color w:val="auto"/>
          <w:highlight w:val="none"/>
          <w:u w:val="single"/>
        </w:rPr>
        <w:t>天）的，发包人有权解除合同，也有权仍选择由承包人继续履行合同，如发包人选择由承包人继续履行合同的，竣工工期超过2</w:t>
      </w:r>
      <w:r>
        <w:rPr>
          <w:rFonts w:ascii="宋体" w:hAnsi="宋体" w:cs="Times New Roman"/>
          <w:color w:val="auto"/>
          <w:highlight w:val="none"/>
          <w:u w:val="single"/>
        </w:rPr>
        <w:t>0</w:t>
      </w:r>
      <w:r>
        <w:rPr>
          <w:rFonts w:hint="eastAsia" w:ascii="宋体" w:hAnsi="宋体" w:cs="Times New Roman"/>
          <w:color w:val="auto"/>
          <w:highlight w:val="none"/>
          <w:u w:val="single"/>
        </w:rPr>
        <w:t>天后每延误一天，承包人应按人民币</w:t>
      </w:r>
      <w:r>
        <w:rPr>
          <w:rFonts w:ascii="宋体" w:hAnsi="宋体" w:cs="Times New Roman"/>
          <w:color w:val="auto"/>
          <w:highlight w:val="none"/>
          <w:u w:val="single"/>
        </w:rPr>
        <w:t>0.6</w:t>
      </w:r>
      <w:r>
        <w:rPr>
          <w:rFonts w:hint="eastAsia" w:ascii="宋体" w:hAnsi="宋体" w:cs="Times New Roman"/>
          <w:color w:val="auto"/>
          <w:highlight w:val="none"/>
          <w:u w:val="single"/>
        </w:rPr>
        <w:t>万元向发包人支付违约金。</w:t>
      </w:r>
    </w:p>
    <w:p w14:paraId="7A29E5B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因承包人原因造成工期延误，逾期竣工违约金的上限：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不设上限，工期延误违约金发包人有权直接从履约担保中扣除，不足部分从工程款中扣除 </w:t>
      </w:r>
      <w:r>
        <w:rPr>
          <w:rFonts w:ascii="宋体" w:hAnsi="宋体" w:cs="Times New Roman"/>
          <w:color w:val="auto"/>
          <w:szCs w:val="21"/>
          <w:highlight w:val="none"/>
        </w:rPr>
        <w:t>。</w:t>
      </w:r>
    </w:p>
    <w:p w14:paraId="629DEA6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7.6 不利物质条件</w:t>
      </w:r>
    </w:p>
    <w:p w14:paraId="45814B01">
      <w:pPr>
        <w:spacing w:line="360" w:lineRule="auto"/>
        <w:ind w:firstLine="415" w:firstLineChars="198"/>
        <w:rPr>
          <w:rFonts w:ascii="宋体" w:hAnsi="宋体" w:cs="Times New Roman"/>
          <w:color w:val="auto"/>
          <w:szCs w:val="21"/>
          <w:highlight w:val="none"/>
        </w:rPr>
      </w:pPr>
      <w:r>
        <w:rPr>
          <w:rFonts w:ascii="宋体" w:hAnsi="宋体" w:cs="Times New Roman"/>
          <w:color w:val="auto"/>
          <w:szCs w:val="21"/>
          <w:highlight w:val="none"/>
        </w:rPr>
        <w:t>不利物质条件的其他情形和有关约定：</w:t>
      </w:r>
      <w:r>
        <w:rPr>
          <w:rFonts w:hint="eastAsia" w:ascii="宋体" w:hAnsi="宋体" w:cs="Times New Roman"/>
          <w:color w:val="auto"/>
          <w:highlight w:val="none"/>
          <w:u w:val="single"/>
        </w:rPr>
        <w:t xml:space="preserve"> / ；</w:t>
      </w:r>
    </w:p>
    <w:p w14:paraId="4BB3BD1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7.7异常恶劣的气候条件</w:t>
      </w:r>
    </w:p>
    <w:p w14:paraId="00E6A406">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发包人和承包人同意以下情形视为异常恶劣的气候条件：</w:t>
      </w:r>
      <w:r>
        <w:rPr>
          <w:rFonts w:hint="eastAsia" w:ascii="宋体" w:hAnsi="宋体" w:cs="Times New Roman"/>
          <w:color w:val="auto"/>
          <w:highlight w:val="none"/>
          <w:u w:val="single"/>
        </w:rPr>
        <w:t>日最高气温达到40度及以上的天气；启动台风橙色及以上的预警的天气；启动防汛预案一级响应的天气；启动防冻预案一级响应的天气。</w:t>
      </w:r>
    </w:p>
    <w:p w14:paraId="5FF6721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7.9 提前竣工的奖励</w:t>
      </w:r>
    </w:p>
    <w:p w14:paraId="221AC13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7.9.2提前竣工的奖励：</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56F680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8. 材料与设备</w:t>
      </w:r>
    </w:p>
    <w:p w14:paraId="7A2706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8.4材料与工程设备的保管与使用</w:t>
      </w:r>
    </w:p>
    <w:p w14:paraId="3897D918">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8.4.1发包人供应的材料设备的保管费用的承担：</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37D1F89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8.6 样品</w:t>
      </w:r>
    </w:p>
    <w:p w14:paraId="2733452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8.6.1</w:t>
      </w:r>
      <w:r>
        <w:rPr>
          <w:rFonts w:hint="eastAsia" w:ascii="宋体" w:hAnsi="宋体" w:cs="Times New Roman"/>
          <w:color w:val="auto"/>
          <w:szCs w:val="21"/>
          <w:highlight w:val="none"/>
        </w:rPr>
        <w:t xml:space="preserve"> </w:t>
      </w:r>
      <w:r>
        <w:rPr>
          <w:rFonts w:ascii="宋体" w:hAnsi="宋体" w:cs="Times New Roman"/>
          <w:color w:val="auto"/>
          <w:szCs w:val="21"/>
          <w:highlight w:val="none"/>
        </w:rPr>
        <w:t>样品的报送</w:t>
      </w:r>
      <w:r>
        <w:rPr>
          <w:rFonts w:hint="eastAsia" w:ascii="宋体" w:hAnsi="宋体" w:cs="Times New Roman"/>
          <w:color w:val="auto"/>
          <w:szCs w:val="21"/>
          <w:highlight w:val="none"/>
        </w:rPr>
        <w:t>与封存</w:t>
      </w:r>
    </w:p>
    <w:p w14:paraId="109D58EB">
      <w:pPr>
        <w:tabs>
          <w:tab w:val="left" w:pos="482"/>
          <w:tab w:val="left" w:pos="2183"/>
          <w:tab w:val="left" w:pos="3884"/>
          <w:tab w:val="left" w:pos="5585"/>
        </w:tabs>
        <w:autoSpaceDE w:val="0"/>
        <w:autoSpaceDN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需要承包人报送样品的材料或工程设备，样品的种类、名称、规格、数量要求：</w:t>
      </w:r>
      <w:r>
        <w:rPr>
          <w:rFonts w:hint="eastAsia" w:ascii="宋体" w:hAnsi="宋体" w:cs="Times New Roman"/>
          <w:color w:val="auto"/>
          <w:highlight w:val="none"/>
          <w:u w:val="single"/>
        </w:rPr>
        <w:t>按有关规定和监理人（如有）要求执行。</w:t>
      </w:r>
    </w:p>
    <w:p w14:paraId="38F6278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8.8 施工设备和临时设施</w:t>
      </w:r>
    </w:p>
    <w:p w14:paraId="3742C6A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8.8.1 承包人提供的施工设备和临时设施</w:t>
      </w:r>
    </w:p>
    <w:p w14:paraId="77CC7AEF">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关于修建临时设施费用承担的约定：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   </w:t>
      </w:r>
    </w:p>
    <w:p w14:paraId="588B24E2">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9. 试验与检验</w:t>
      </w:r>
    </w:p>
    <w:p w14:paraId="020A8A5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9.1试验设备与试验人员</w:t>
      </w:r>
    </w:p>
    <w:p w14:paraId="1F20B19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9.1.2 试验设备</w:t>
      </w:r>
    </w:p>
    <w:p w14:paraId="5FA1E57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施工现场需要配置的试验场所：</w:t>
      </w:r>
      <w:r>
        <w:rPr>
          <w:rFonts w:hint="eastAsia" w:ascii="宋体" w:hAnsi="宋体" w:cs="Times New Roman"/>
          <w:color w:val="auto"/>
          <w:highlight w:val="none"/>
          <w:u w:val="single"/>
        </w:rPr>
        <w:t xml:space="preserve"> 按有关规定和监理人要求执行</w:t>
      </w:r>
      <w:r>
        <w:rPr>
          <w:rFonts w:ascii="宋体" w:hAnsi="宋体" w:cs="Times New Roman"/>
          <w:color w:val="auto"/>
          <w:szCs w:val="21"/>
          <w:highlight w:val="none"/>
        </w:rPr>
        <w:t>。</w:t>
      </w:r>
      <w:r>
        <w:rPr>
          <w:rFonts w:hint="eastAsia" w:ascii="宋体" w:hAnsi="宋体" w:cs="Times New Roman"/>
          <w:color w:val="auto"/>
          <w:szCs w:val="21"/>
          <w:highlight w:val="none"/>
        </w:rPr>
        <w:t xml:space="preserve"> </w:t>
      </w:r>
    </w:p>
    <w:p w14:paraId="33222C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施工现场需要配备的试验设备：</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41AF465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施工现场需要具备的其他试验条件：</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1B1F8AAC">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highlight w:val="none"/>
        </w:rPr>
        <w:t>9.</w:t>
      </w:r>
      <w:r>
        <w:rPr>
          <w:rFonts w:hint="eastAsia" w:ascii="宋体" w:hAnsi="宋体" w:cs="Times New Roman"/>
          <w:color w:val="auto"/>
          <w:highlight w:val="none"/>
        </w:rPr>
        <w:t>3</w:t>
      </w:r>
      <w:r>
        <w:rPr>
          <w:rFonts w:hint="eastAsia" w:ascii="宋体" w:hAnsi="宋体" w:cs="Times New Roman"/>
          <w:color w:val="auto"/>
          <w:kern w:val="0"/>
          <w:highlight w:val="none"/>
        </w:rPr>
        <w:t>材料、工程设备和工程的试验和检验</w:t>
      </w:r>
    </w:p>
    <w:p w14:paraId="6EB00C49">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kern w:val="0"/>
          <w:highlight w:val="none"/>
        </w:rPr>
        <w:t>试验、检测单位资质条件约定：</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4E9B0A6E">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kern w:val="0"/>
          <w:highlight w:val="none"/>
        </w:rPr>
        <w:t>试验、检测单位选择约定：</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32B2A26A">
      <w:pPr>
        <w:spacing w:line="360" w:lineRule="auto"/>
        <w:ind w:firstLine="420"/>
        <w:rPr>
          <w:rFonts w:ascii="宋体" w:hAnsi="宋体" w:cs="Times New Roman"/>
          <w:caps/>
          <w:color w:val="auto"/>
          <w:kern w:val="0"/>
          <w:highlight w:val="none"/>
        </w:rPr>
      </w:pPr>
      <w:r>
        <w:rPr>
          <w:rFonts w:hint="eastAsia" w:ascii="宋体" w:hAnsi="宋体" w:cs="Times New Roman"/>
          <w:caps/>
          <w:color w:val="auto"/>
          <w:kern w:val="0"/>
          <w:highlight w:val="none"/>
        </w:rPr>
        <w:t>试验、检测费用约定：</w:t>
      </w:r>
      <w:r>
        <w:rPr>
          <w:rFonts w:hint="eastAsia" w:ascii="宋体" w:hAnsi="宋体" w:cs="Times New Roman"/>
          <w:caps/>
          <w:color w:val="auto"/>
          <w:kern w:val="0"/>
          <w:highlight w:val="none"/>
          <w:u w:val="single"/>
        </w:rPr>
        <w:t xml:space="preserve"> 所有工程测验、检测费用由承包人承担，并已包含在合同价款中，不再另行计算。</w:t>
      </w:r>
    </w:p>
    <w:p w14:paraId="6F66540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9.4 现场工艺试验</w:t>
      </w:r>
      <w:r>
        <w:rPr>
          <w:rFonts w:hint="eastAsia" w:ascii="宋体" w:hAnsi="宋体" w:cs="Times New Roman"/>
          <w:color w:val="auto"/>
          <w:szCs w:val="21"/>
          <w:highlight w:val="none"/>
        </w:rPr>
        <w:t xml:space="preserve"> </w:t>
      </w:r>
    </w:p>
    <w:p w14:paraId="57D2B02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现场工艺试验的有关约定：</w:t>
      </w:r>
      <w:r>
        <w:rPr>
          <w:rFonts w:hint="eastAsia" w:ascii="宋体" w:hAnsi="宋体" w:cs="Times New Roman"/>
          <w:color w:val="auto"/>
          <w:highlight w:val="none"/>
          <w:u w:val="single"/>
        </w:rPr>
        <w:t>按有关规定和监理人要求执行</w:t>
      </w:r>
    </w:p>
    <w:p w14:paraId="185F162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10. 变更</w:t>
      </w:r>
    </w:p>
    <w:p w14:paraId="2733830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10.1变更的范围</w:t>
      </w:r>
    </w:p>
    <w:p w14:paraId="3A25ECA3">
      <w:pPr>
        <w:adjustRightInd w:val="0"/>
        <w:snapToGri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关于变更的范围的约定：</w:t>
      </w:r>
      <w:r>
        <w:rPr>
          <w:rFonts w:hint="eastAsia" w:ascii="宋体" w:hAnsi="宋体" w:cs="Times New Roman"/>
          <w:color w:val="auto"/>
          <w:highlight w:val="none"/>
          <w:u w:val="single"/>
        </w:rPr>
        <w:t xml:space="preserve"> 按通用合同条款约定。</w:t>
      </w:r>
    </w:p>
    <w:p w14:paraId="242A1C4B">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10.1.2因承包人擅自变更设计发生的费用和由此导致发包人的直接损失，由承包人承担，延误的工期不予顺延。</w:t>
      </w:r>
    </w:p>
    <w:p w14:paraId="18BF947D">
      <w:pPr>
        <w:adjustRightInd w:val="0"/>
        <w:snapToGrid w:val="0"/>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21C096A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10.4 变更估价</w:t>
      </w:r>
    </w:p>
    <w:p w14:paraId="44FF663D">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10.4.1 变更估价原则</w:t>
      </w:r>
    </w:p>
    <w:p w14:paraId="328EB23F">
      <w:pPr>
        <w:autoSpaceDE w:val="0"/>
        <w:autoSpaceDN w:val="0"/>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 xml:space="preserve">关于变更估价的约定: </w:t>
      </w:r>
    </w:p>
    <w:p w14:paraId="4A25552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（1）已标价工程量清单或预算书有相同项目的，按照相同项目单价确定。</w:t>
      </w:r>
    </w:p>
    <w:p w14:paraId="55762337">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（2）无标价工程量清单或预算书中无相同项目，但有类似项目的，参照类似项目的单价确定。</w:t>
      </w:r>
    </w:p>
    <w:p w14:paraId="1204586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（3）无标价工程量清单或预算书中无相同项目及类似项目单价的，其单价的确定，按以下约定：</w:t>
      </w:r>
    </w:p>
    <w:p w14:paraId="0610990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①工程量根据联系单，按照《建设工程工程量清单计价规范》（GB50500-2013）计算，结算工程量应首先报监理及发包人初审。</w:t>
      </w:r>
    </w:p>
    <w:p w14:paraId="6068CC5A">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②清单项目中项目特征或工程内容发生部分变更的，</w:t>
      </w:r>
      <w:bookmarkStart w:id="132" w:name="_Hlk74986282"/>
      <w:r>
        <w:rPr>
          <w:rFonts w:hint="eastAsia" w:ascii="宋体" w:hAnsi="宋体" w:cs="Times New Roman"/>
          <w:color w:val="auto"/>
          <w:kern w:val="0"/>
          <w:highlight w:val="none"/>
          <w:u w:val="single"/>
        </w:rPr>
        <w:t>材料价格有投标价的执行投标价，无投标价的执行施工期间的信息价平均值，对工程所在地信息价正刊没有公布的材料，发包人应在充分市场询价基础上，参照同期同类材料市场价格水平。</w:t>
      </w:r>
      <w:bookmarkEnd w:id="132"/>
    </w:p>
    <w:p w14:paraId="6C3F975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③合同中没有适用或类似工程项目单价的：变更后综合单价=按工程招标时招标控制价组价口径计算的综合单价*优惠率（优惠率为=成交价÷招标控制价)。</w:t>
      </w:r>
    </w:p>
    <w:p w14:paraId="1260AB69">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④本工程清单内</w:t>
      </w:r>
      <w:r>
        <w:rPr>
          <w:rFonts w:hint="eastAsia" w:ascii="宋体" w:hAnsi="宋体" w:cs="Times New Roman"/>
          <w:color w:val="auto"/>
          <w:kern w:val="0"/>
          <w:highlight w:val="none"/>
          <w:u w:val="single"/>
          <w:lang w:val="en-US" w:eastAsia="zh-CN"/>
        </w:rPr>
        <w:t>按项计入的</w:t>
      </w:r>
      <w:r>
        <w:rPr>
          <w:rFonts w:hint="eastAsia" w:ascii="宋体" w:hAnsi="宋体" w:cs="Times New Roman"/>
          <w:color w:val="auto"/>
          <w:kern w:val="0"/>
          <w:highlight w:val="none"/>
          <w:u w:val="single"/>
        </w:rPr>
        <w:t>措施费用均为一次性包干使用，成交后不再作调整；</w:t>
      </w:r>
      <w:r>
        <w:rPr>
          <w:rFonts w:hint="eastAsia" w:ascii="宋体" w:hAnsi="宋体" w:cs="Times New Roman"/>
          <w:color w:val="auto"/>
          <w:highlight w:val="none"/>
          <w:u w:val="single"/>
        </w:rPr>
        <w:t>磋商响应文件中对措施费用的漏报或者少报，视作对本项目的优惠</w:t>
      </w:r>
      <w:r>
        <w:rPr>
          <w:rFonts w:hint="eastAsia" w:ascii="宋体" w:hAnsi="宋体" w:cs="Times New Roman"/>
          <w:color w:val="auto"/>
          <w:kern w:val="0"/>
          <w:highlight w:val="none"/>
          <w:u w:val="single"/>
        </w:rPr>
        <w:t>。</w:t>
      </w:r>
    </w:p>
    <w:p w14:paraId="2D3DB332">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5EFB1FE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10.5承包人的合理化建议</w:t>
      </w:r>
    </w:p>
    <w:p w14:paraId="416EA761">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监理人审查承包人合理化建议的期限：</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6CCC6DD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发包人审批承包人合理化建议的期限：</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3DCCB8E9">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承包人提出的合理化建议降低了合同价格或者提高了工程经济效益的奖励的方法和金额为：</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3F13C595">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6092C22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 暂估价</w:t>
      </w:r>
    </w:p>
    <w:p w14:paraId="7760453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暂估价材料和工程设备</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p>
    <w:p w14:paraId="711ED6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10.7.1 依法必须招标的暂估价项目</w:t>
      </w:r>
    </w:p>
    <w:p w14:paraId="7AD22B5D">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对于依法必须招标的暂估价项目的确认和批准采取第</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种方式确定。</w:t>
      </w:r>
    </w:p>
    <w:p w14:paraId="4FAE8A6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10.7.2 不属于依法必须招标的暂估价项目</w:t>
      </w:r>
    </w:p>
    <w:p w14:paraId="14DA945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对于不属于依法必须招标的暂估价项目的确认和批准采取第</w:t>
      </w:r>
      <w:r>
        <w:rPr>
          <w:rFonts w:ascii="宋体" w:hAnsi="宋体" w:cs="Times New Roman"/>
          <w:color w:val="auto"/>
          <w:highlight w:val="none"/>
          <w:u w:val="single"/>
        </w:rPr>
        <w:t xml:space="preserve">/ </w:t>
      </w:r>
      <w:r>
        <w:rPr>
          <w:rFonts w:ascii="宋体" w:hAnsi="宋体" w:cs="Times New Roman"/>
          <w:color w:val="auto"/>
          <w:szCs w:val="21"/>
          <w:highlight w:val="none"/>
        </w:rPr>
        <w:t>种方式确定。</w:t>
      </w:r>
    </w:p>
    <w:p w14:paraId="4982D9F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10.8 暂列金额</w:t>
      </w:r>
    </w:p>
    <w:p w14:paraId="57C728AD">
      <w:pPr>
        <w:autoSpaceDE w:val="0"/>
        <w:autoSpaceDN w:val="0"/>
        <w:adjustRightIn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szCs w:val="21"/>
          <w:highlight w:val="none"/>
        </w:rPr>
        <w:t>合同当事人关于暂列金额使用的约定：</w:t>
      </w:r>
      <w:r>
        <w:rPr>
          <w:rFonts w:hint="eastAsia" w:ascii="宋体" w:hAnsi="宋体" w:cs="Times New Roman"/>
          <w:color w:val="auto"/>
          <w:highlight w:val="none"/>
          <w:u w:val="single"/>
        </w:rPr>
        <w:t>/。</w:t>
      </w:r>
    </w:p>
    <w:p w14:paraId="235A3F03">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11. 价格调整</w:t>
      </w:r>
    </w:p>
    <w:p w14:paraId="25E7769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 市场价格波动引起的调整</w:t>
      </w:r>
    </w:p>
    <w:p w14:paraId="69D6F25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市场价格波动是否调整合同价格的约定：</w:t>
      </w:r>
      <w:r>
        <w:rPr>
          <w:rFonts w:hint="eastAsia" w:ascii="宋体" w:hAnsi="宋体" w:cs="Times New Roman"/>
          <w:color w:val="auto"/>
          <w:highlight w:val="none"/>
          <w:u w:val="single"/>
        </w:rPr>
        <w:t>否。</w:t>
      </w:r>
    </w:p>
    <w:p w14:paraId="0A27C68B">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12. 合同价格、计量与支付</w:t>
      </w:r>
    </w:p>
    <w:p w14:paraId="6634E7F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12.1 合同价格形式</w:t>
      </w:r>
    </w:p>
    <w:p w14:paraId="14DE3D4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w:t>
      </w:r>
      <w:r>
        <w:rPr>
          <w:rFonts w:hint="eastAsia" w:ascii="宋体" w:hAnsi="宋体" w:cs="Times New Roman"/>
          <w:color w:val="auto"/>
          <w:szCs w:val="21"/>
          <w:highlight w:val="none"/>
        </w:rPr>
        <w:t>固定综合</w:t>
      </w:r>
      <w:r>
        <w:rPr>
          <w:rFonts w:ascii="宋体" w:hAnsi="宋体" w:cs="Times New Roman"/>
          <w:color w:val="auto"/>
          <w:szCs w:val="21"/>
          <w:highlight w:val="none"/>
        </w:rPr>
        <w:t>单价合同。</w:t>
      </w:r>
    </w:p>
    <w:p w14:paraId="0AE6AF3E">
      <w:pPr>
        <w:snapToGrid w:val="0"/>
        <w:spacing w:line="360" w:lineRule="auto"/>
        <w:ind w:firstLine="392" w:firstLineChars="187"/>
        <w:rPr>
          <w:rFonts w:ascii="宋体" w:hAnsi="宋体" w:cs="Times New Roman"/>
          <w:color w:val="auto"/>
          <w:szCs w:val="21"/>
          <w:highlight w:val="none"/>
        </w:rPr>
      </w:pPr>
      <w:r>
        <w:rPr>
          <w:rFonts w:ascii="宋体" w:hAnsi="宋体" w:cs="Times New Roman"/>
          <w:color w:val="auto"/>
          <w:szCs w:val="21"/>
          <w:highlight w:val="none"/>
        </w:rPr>
        <w:t>综合单价包含的风险范围：</w:t>
      </w:r>
    </w:p>
    <w:p w14:paraId="475A19E4">
      <w:pPr>
        <w:snapToGrid w:val="0"/>
        <w:spacing w:line="360" w:lineRule="auto"/>
        <w:ind w:firstLine="392" w:firstLineChars="187"/>
        <w:rPr>
          <w:rFonts w:ascii="宋体" w:hAnsi="宋体" w:cs="Times New Roman"/>
          <w:color w:val="auto"/>
          <w:highlight w:val="none"/>
          <w:u w:val="single"/>
        </w:rPr>
      </w:pPr>
      <w:bookmarkStart w:id="133" w:name="_Hlk74661457"/>
      <w:r>
        <w:rPr>
          <w:rFonts w:hint="eastAsia" w:ascii="宋体" w:hAnsi="宋体" w:cs="Times New Roman"/>
          <w:color w:val="auto"/>
          <w:highlight w:val="none"/>
          <w:u w:val="single"/>
        </w:rPr>
        <w:t>√本合同中包括的风险范围为合同执行期内，国家有关工程建设的政策变化；</w:t>
      </w:r>
    </w:p>
    <w:p w14:paraId="50033336">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√合同执行期内，工程造价管理部门公布的价格变化；</w:t>
      </w:r>
    </w:p>
    <w:p w14:paraId="7F54E21F">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√合同执行期内，材料价格、人工及机械价格的市场变化；</w:t>
      </w:r>
    </w:p>
    <w:p w14:paraId="1EE389D8">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√现行预算定额未描述到,但又是完成分项工程必须有的工作内容,均应包含在报价内；</w:t>
      </w:r>
    </w:p>
    <w:p w14:paraId="0EF8B05A">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√周边环境影响风险；</w:t>
      </w:r>
    </w:p>
    <w:p w14:paraId="3F8B87C3">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√合同执行期内，施工临时停电、停水造成的停工；</w:t>
      </w:r>
    </w:p>
    <w:p w14:paraId="1677F70C">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√合同执行期内，因客观原因造成承包人停工、窝工；</w:t>
      </w:r>
    </w:p>
    <w:p w14:paraId="53F62845">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√合同执行期内可能发生的其他费用，包括市政、市容、环保、交通、治安等；有经验的承包商应能预计的其他费用。</w:t>
      </w:r>
    </w:p>
    <w:p w14:paraId="613B92A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风险费用的计算方法：</w:t>
      </w:r>
      <w:bookmarkEnd w:id="133"/>
      <w:r>
        <w:rPr>
          <w:rFonts w:hint="eastAsia" w:ascii="宋体" w:hAnsi="宋体" w:cs="Times New Roman"/>
          <w:color w:val="auto"/>
          <w:highlight w:val="none"/>
          <w:u w:val="single"/>
        </w:rPr>
        <w:t>本合同应由承包人承担的工、料、机在投标编制期或预算书编制期与合同实施期间所发生的市场价格波动造成风险费用已包含在签约合同价款中，费用由承包人自行承担，不得再另行计取。</w:t>
      </w:r>
    </w:p>
    <w:p w14:paraId="3A23B243">
      <w:pPr>
        <w:spacing w:line="360" w:lineRule="auto"/>
        <w:ind w:firstLine="438" w:firstLineChars="209"/>
        <w:rPr>
          <w:rFonts w:ascii="宋体" w:hAnsi="宋体" w:cs="Times New Roman"/>
          <w:color w:val="auto"/>
          <w:highlight w:val="none"/>
          <w:u w:val="single"/>
        </w:rPr>
      </w:pPr>
      <w:r>
        <w:rPr>
          <w:rFonts w:ascii="宋体" w:hAnsi="宋体" w:cs="Times New Roman"/>
          <w:color w:val="auto"/>
          <w:szCs w:val="21"/>
          <w:highlight w:val="none"/>
        </w:rPr>
        <w:t>风险范围以外合同价格的调整方法：</w:t>
      </w:r>
      <w:r>
        <w:rPr>
          <w:rFonts w:hint="eastAsia" w:ascii="宋体" w:hAnsi="宋体" w:cs="Times New Roman"/>
          <w:color w:val="auto"/>
          <w:highlight w:val="none"/>
          <w:u w:val="single"/>
        </w:rPr>
        <w:t>1）实物工程量数量按实调整。2）重大设计变更引起的技术措施变更，如发包人批准其相应费用调整，竣工结算按照本合同专用条款10.4.1条款约定执行。3）变更估价按本合同10.4.1 的约定计算。</w:t>
      </w:r>
    </w:p>
    <w:p w14:paraId="079A69F9">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2、总价合同。</w:t>
      </w:r>
    </w:p>
    <w:p w14:paraId="31816D09">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总价包含的风险范围：</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3FE48BE2">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风险费用的计算方法：</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646DB05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风险范围以外合同价格的调整方法：</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519B451">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3、其他价格方式：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000CAA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 预付款</w:t>
      </w:r>
    </w:p>
    <w:p w14:paraId="698946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12.2.1</w:t>
      </w:r>
      <w:r>
        <w:rPr>
          <w:rFonts w:hint="eastAsia" w:ascii="宋体" w:hAnsi="宋体" w:cs="Times New Roman"/>
          <w:color w:val="auto"/>
          <w:highlight w:val="none"/>
        </w:rPr>
        <w:t>预付款的支付</w:t>
      </w:r>
    </w:p>
    <w:p w14:paraId="1281F08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预付款支付比例或金额：</w:t>
      </w:r>
      <w:r>
        <w:rPr>
          <w:rFonts w:hint="eastAsia" w:ascii="宋体" w:hAnsi="宋体" w:cs="Times New Roman"/>
          <w:color w:val="auto"/>
          <w:szCs w:val="21"/>
          <w:highlight w:val="none"/>
          <w:u w:val="single"/>
        </w:rPr>
        <w:t>本</w:t>
      </w:r>
      <w:r>
        <w:rPr>
          <w:rFonts w:hint="eastAsia" w:ascii="宋体" w:hAnsi="宋体" w:cs="Times New Roman"/>
          <w:color w:val="auto"/>
          <w:highlight w:val="none"/>
          <w:u w:val="single"/>
        </w:rPr>
        <w:t>合同总价</w:t>
      </w:r>
      <w:r>
        <w:rPr>
          <w:rFonts w:hint="eastAsia" w:ascii="宋体" w:hAnsi="宋体" w:cs="Times New Roman"/>
          <w:color w:val="auto"/>
          <w:szCs w:val="21"/>
          <w:highlight w:val="none"/>
          <w:u w:val="single"/>
        </w:rPr>
        <w:t>40%</w:t>
      </w:r>
      <w:r>
        <w:rPr>
          <w:rFonts w:hint="eastAsia" w:ascii="宋体" w:hAnsi="宋体" w:cs="Times New Roman"/>
          <w:color w:val="auto"/>
          <w:highlight w:val="none"/>
          <w:u w:val="single"/>
        </w:rPr>
        <w:t>的工程预付款。</w:t>
      </w:r>
    </w:p>
    <w:p w14:paraId="097DF08B">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预付款支付期限：</w:t>
      </w:r>
      <w:r>
        <w:rPr>
          <w:rFonts w:hint="eastAsia" w:ascii="宋体" w:hAnsi="宋体" w:cs="Times New Roman"/>
          <w:color w:val="auto"/>
          <w:highlight w:val="none"/>
          <w:u w:val="single"/>
        </w:rPr>
        <w:t>在合同生效以及具备实施条件后7个工作日内支付</w:t>
      </w:r>
      <w:r>
        <w:rPr>
          <w:rFonts w:hint="eastAsia" w:ascii="宋体" w:hAnsi="宋体" w:cs="宋体"/>
          <w:color w:val="auto"/>
          <w:szCs w:val="21"/>
          <w:highlight w:val="none"/>
        </w:rPr>
        <w:t>。</w:t>
      </w:r>
    </w:p>
    <w:p w14:paraId="5DBA14F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预付款扣回的方式：</w:t>
      </w:r>
      <w:r>
        <w:rPr>
          <w:rFonts w:hint="eastAsia" w:ascii="宋体" w:hAnsi="宋体" w:cs="Times New Roman"/>
          <w:color w:val="auto"/>
          <w:highlight w:val="none"/>
          <w:u w:val="single"/>
        </w:rPr>
        <w:t>/。</w:t>
      </w:r>
    </w:p>
    <w:p w14:paraId="7EB88C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12.2.2 预付款担保</w:t>
      </w:r>
    </w:p>
    <w:p w14:paraId="671C670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承包人提交预付款担保的期限：</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3C1359A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预付款担保的形式为：</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3B28811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 计量</w:t>
      </w:r>
    </w:p>
    <w:p w14:paraId="7D00F06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12.3.1 计量原则</w:t>
      </w:r>
    </w:p>
    <w:p w14:paraId="7391C4A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工程量计算规则：</w:t>
      </w:r>
    </w:p>
    <w:p w14:paraId="312F8226">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（1）实行工程量清单计价的工程项目，其工程量的计算规则应按国家标准工程量计算规范及省级行业主管部门颁布的补充规定执行。</w:t>
      </w:r>
    </w:p>
    <w:p w14:paraId="68E165DB">
      <w:pPr>
        <w:spacing w:line="360" w:lineRule="auto"/>
        <w:ind w:firstLine="420" w:firstLineChars="200"/>
        <w:rPr>
          <w:rFonts w:ascii="宋体" w:hAnsi="宋体" w:cs="Times New Roman"/>
          <w:color w:val="auto"/>
          <w:sz w:val="18"/>
          <w:highlight w:val="none"/>
          <w:u w:val="single"/>
        </w:rPr>
      </w:pPr>
      <w:r>
        <w:rPr>
          <w:rFonts w:hint="eastAsia" w:ascii="宋体" w:hAnsi="宋体" w:cs="Times New Roman"/>
          <w:color w:val="auto"/>
          <w:highlight w:val="none"/>
          <w:u w:val="single"/>
        </w:rPr>
        <w:t>（2）不实行工程量清单计价的工程项目，工程量的计算规则应按省、市行业主管部门颁布的各专业工程定额的工程量计算规则执行。</w:t>
      </w:r>
    </w:p>
    <w:p w14:paraId="7F4A0A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12.3.2 计量周期</w:t>
      </w:r>
    </w:p>
    <w:p w14:paraId="572EB0A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关于计量周期的约定：</w:t>
      </w:r>
      <w:r>
        <w:rPr>
          <w:rFonts w:ascii="宋体" w:hAnsi="宋体" w:cs="Times New Roman"/>
          <w:color w:val="auto"/>
          <w:highlight w:val="none"/>
          <w:u w:val="single"/>
        </w:rPr>
        <w:t xml:space="preserve"> </w:t>
      </w:r>
      <w:r>
        <w:rPr>
          <w:rFonts w:hint="eastAsia" w:ascii="宋体" w:hAnsi="宋体" w:cs="Times New Roman"/>
          <w:color w:val="auto"/>
          <w:kern w:val="0"/>
          <w:highlight w:val="none"/>
          <w:u w:val="single"/>
        </w:rPr>
        <w:t>按通用条款执行</w:t>
      </w:r>
      <w:r>
        <w:rPr>
          <w:rFonts w:ascii="宋体" w:hAnsi="宋体" w:cs="Times New Roman"/>
          <w:color w:val="auto"/>
          <w:szCs w:val="21"/>
          <w:highlight w:val="none"/>
        </w:rPr>
        <w:t>。</w:t>
      </w:r>
    </w:p>
    <w:p w14:paraId="2DB573A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12.3.3 单价合同的计量</w:t>
      </w:r>
    </w:p>
    <w:p w14:paraId="5F6CD9DD">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关于单价合同计量的约定：</w:t>
      </w:r>
      <w:r>
        <w:rPr>
          <w:rFonts w:hint="eastAsia" w:ascii="宋体" w:hAnsi="宋体" w:cs="Times New Roman"/>
          <w:color w:val="auto"/>
          <w:kern w:val="0"/>
          <w:highlight w:val="none"/>
          <w:u w:val="single"/>
        </w:rPr>
        <w:t>按通用条款执行</w:t>
      </w:r>
      <w:r>
        <w:rPr>
          <w:rFonts w:hint="eastAsia" w:ascii="宋体" w:hAnsi="宋体" w:cs="Times New Roman"/>
          <w:color w:val="auto"/>
          <w:highlight w:val="none"/>
          <w:u w:val="single"/>
        </w:rPr>
        <w:t>。</w:t>
      </w:r>
    </w:p>
    <w:p w14:paraId="7CBD475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12.3.4 总价合同的计量</w:t>
      </w:r>
    </w:p>
    <w:p w14:paraId="5E05EB4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关于总价合同计量的约定：</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5C1A844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12.3.5总价合同采用支付分解表计量支付的，是否适用第12.3.4 项</w:t>
      </w:r>
      <w:r>
        <w:rPr>
          <w:rFonts w:hint="eastAsia" w:ascii="宋体" w:hAnsi="宋体" w:cs="Times New Roman"/>
          <w:color w:val="auto"/>
          <w:szCs w:val="21"/>
          <w:highlight w:val="none"/>
        </w:rPr>
        <w:t>〔</w:t>
      </w:r>
      <w:r>
        <w:rPr>
          <w:rFonts w:ascii="宋体" w:hAnsi="宋体" w:cs="Times New Roman"/>
          <w:color w:val="auto"/>
          <w:szCs w:val="21"/>
          <w:highlight w:val="none"/>
        </w:rPr>
        <w:t>总价合同的计量</w:t>
      </w:r>
      <w:r>
        <w:rPr>
          <w:rFonts w:hint="eastAsia" w:ascii="宋体" w:hAnsi="宋体" w:cs="Times New Roman"/>
          <w:color w:val="auto"/>
          <w:szCs w:val="21"/>
          <w:highlight w:val="none"/>
        </w:rPr>
        <w:t>〕</w:t>
      </w:r>
      <w:r>
        <w:rPr>
          <w:rFonts w:ascii="宋体" w:hAnsi="宋体" w:cs="Times New Roman"/>
          <w:color w:val="auto"/>
          <w:szCs w:val="21"/>
          <w:highlight w:val="none"/>
        </w:rPr>
        <w:t>约定</w:t>
      </w:r>
      <w:r>
        <w:rPr>
          <w:rFonts w:hint="eastAsia" w:ascii="宋体" w:hAnsi="宋体" w:cs="Times New Roman"/>
          <w:color w:val="auto"/>
          <w:szCs w:val="21"/>
          <w:highlight w:val="none"/>
        </w:rPr>
        <w:t>进行计量：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575D5B7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12.3.6 其他价格形式合同的计量</w:t>
      </w:r>
    </w:p>
    <w:p w14:paraId="4CC3217F">
      <w:pPr>
        <w:spacing w:line="360" w:lineRule="auto"/>
        <w:ind w:firstLine="420" w:firstLineChars="200"/>
        <w:rPr>
          <w:rFonts w:hint="eastAsia" w:ascii="宋体" w:hAnsi="宋体" w:eastAsia="宋体" w:cs="Times New Roman"/>
          <w:color w:val="auto"/>
          <w:szCs w:val="21"/>
          <w:highlight w:val="none"/>
          <w:lang w:eastAsia="zh-CN"/>
        </w:rPr>
      </w:pPr>
      <w:r>
        <w:rPr>
          <w:rFonts w:ascii="宋体" w:hAnsi="宋体" w:cs="Times New Roman"/>
          <w:color w:val="auto"/>
          <w:szCs w:val="21"/>
          <w:highlight w:val="none"/>
        </w:rPr>
        <w:t>其他价格形式的计量方式和程序</w:t>
      </w:r>
      <w:r>
        <w:rPr>
          <w:rFonts w:hint="eastAsia" w:ascii="宋体" w:hAnsi="宋体" w:cs="Times New Roman"/>
          <w:color w:val="auto"/>
          <w:szCs w:val="21"/>
          <w:highlight w:val="none"/>
        </w:rPr>
        <w:t>:</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eastAsia="zh-CN"/>
        </w:rPr>
        <w:t>。</w:t>
      </w:r>
    </w:p>
    <w:p w14:paraId="07EF1D3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 工程进度款支付</w:t>
      </w:r>
    </w:p>
    <w:p w14:paraId="723CD45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12.4.1 付款周期</w:t>
      </w:r>
    </w:p>
    <w:p w14:paraId="286BE47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eastAsia="宋体" w:cs="Times New Roman"/>
          <w:color w:val="auto"/>
          <w:w w:val="100"/>
          <w:sz w:val="21"/>
          <w:szCs w:val="21"/>
          <w:highlight w:val="none"/>
        </w:rPr>
        <w:t>暂定合同总价人民币</w:t>
      </w:r>
      <w:r>
        <w:rPr>
          <w:rFonts w:hint="eastAsia" w:ascii="宋体" w:hAnsi="宋体" w:eastAsia="宋体" w:cs="Times New Roman"/>
          <w:color w:val="auto"/>
          <w:w w:val="100"/>
          <w:sz w:val="21"/>
          <w:szCs w:val="21"/>
          <w:highlight w:val="none"/>
          <w:u w:val="single"/>
          <w:lang w:val="en-US" w:eastAsia="zh-CN"/>
        </w:rPr>
        <w:t xml:space="preserve">      </w:t>
      </w:r>
      <w:r>
        <w:rPr>
          <w:rFonts w:hint="eastAsia" w:ascii="宋体" w:hAnsi="宋体" w:eastAsia="宋体" w:cs="Times New Roman"/>
          <w:color w:val="auto"/>
          <w:w w:val="100"/>
          <w:sz w:val="21"/>
          <w:szCs w:val="21"/>
          <w:highlight w:val="none"/>
        </w:rPr>
        <w:t>元，本合同暂定总价的</w:t>
      </w:r>
      <w:r>
        <w:rPr>
          <w:rFonts w:ascii="宋体" w:hAnsi="宋体" w:eastAsia="宋体" w:cs="Times New Roman"/>
          <w:color w:val="auto"/>
          <w:w w:val="100"/>
          <w:sz w:val="21"/>
          <w:szCs w:val="24"/>
          <w:highlight w:val="none"/>
        </w:rPr>
        <w:t>2</w:t>
      </w:r>
      <w:r>
        <w:rPr>
          <w:rFonts w:hint="eastAsia" w:ascii="宋体" w:hAnsi="宋体" w:eastAsia="宋体" w:cs="Times New Roman"/>
          <w:color w:val="auto"/>
          <w:w w:val="100"/>
          <w:sz w:val="21"/>
          <w:szCs w:val="24"/>
          <w:highlight w:val="none"/>
        </w:rPr>
        <w:t>%</w:t>
      </w:r>
      <w:r>
        <w:rPr>
          <w:rFonts w:hint="eastAsia" w:ascii="宋体" w:hAnsi="宋体" w:eastAsia="宋体" w:cs="Times New Roman"/>
          <w:color w:val="auto"/>
          <w:w w:val="100"/>
          <w:sz w:val="21"/>
          <w:szCs w:val="21"/>
          <w:highlight w:val="none"/>
        </w:rPr>
        <w:t>作为履约保证金，本合同签订后七个工作日内由承包人支付给发包人，</w:t>
      </w:r>
      <w:r>
        <w:rPr>
          <w:rFonts w:hint="eastAsia" w:ascii="宋体" w:hAnsi="宋体" w:eastAsia="宋体" w:cs="Times New Roman"/>
          <w:color w:val="auto"/>
          <w:w w:val="100"/>
          <w:sz w:val="21"/>
          <w:szCs w:val="21"/>
          <w:highlight w:val="none"/>
          <w:lang w:val="en-US" w:eastAsia="zh-CN"/>
        </w:rPr>
        <w:t>待</w:t>
      </w:r>
      <w:r>
        <w:rPr>
          <w:rFonts w:hint="eastAsia" w:ascii="宋体" w:hAnsi="宋体" w:eastAsia="宋体" w:cs="Times New Roman"/>
          <w:color w:val="auto"/>
          <w:w w:val="100"/>
          <w:sz w:val="21"/>
          <w:szCs w:val="21"/>
          <w:highlight w:val="none"/>
        </w:rPr>
        <w:t>工程竣工验收合格并交付发包人使用后</w:t>
      </w:r>
      <w:r>
        <w:rPr>
          <w:rFonts w:hint="eastAsia" w:ascii="宋体" w:hAnsi="宋体" w:eastAsia="宋体" w:cs="Times New Roman"/>
          <w:color w:val="auto"/>
          <w:w w:val="100"/>
          <w:sz w:val="21"/>
          <w:szCs w:val="21"/>
          <w:highlight w:val="none"/>
          <w:lang w:eastAsia="zh-CN"/>
        </w:rPr>
        <w:t>，由发包人无息退回承包人（遇寒暑假及国定假日顺延）。</w:t>
      </w:r>
      <w:r>
        <w:rPr>
          <w:rFonts w:hint="eastAsia" w:ascii="宋体" w:hAnsi="宋体" w:eastAsia="宋体" w:cs="Times New Roman"/>
          <w:color w:val="auto"/>
          <w:w w:val="100"/>
          <w:sz w:val="21"/>
          <w:szCs w:val="21"/>
          <w:highlight w:val="none"/>
        </w:rPr>
        <w:t>待</w:t>
      </w:r>
      <w:bookmarkStart w:id="134" w:name="_Hlk74647084"/>
      <w:r>
        <w:rPr>
          <w:rFonts w:hint="eastAsia" w:ascii="宋体" w:hAnsi="宋体" w:eastAsia="宋体" w:cs="Times New Roman"/>
          <w:color w:val="auto"/>
          <w:w w:val="100"/>
          <w:sz w:val="21"/>
          <w:szCs w:val="21"/>
          <w:highlight w:val="none"/>
        </w:rPr>
        <w:t>缺陷责任期</w:t>
      </w:r>
      <w:bookmarkEnd w:id="134"/>
      <w:r>
        <w:rPr>
          <w:rFonts w:hint="eastAsia" w:ascii="宋体" w:hAnsi="宋体" w:eastAsia="宋体" w:cs="Times New Roman"/>
          <w:color w:val="auto"/>
          <w:w w:val="100"/>
          <w:sz w:val="21"/>
          <w:szCs w:val="21"/>
          <w:highlight w:val="none"/>
        </w:rPr>
        <w:t>终止后经发包人书面确认工程无质量问题、无售后服务问题和承包人无违约行为后，由发包人无息退回承包人（遇寒暑假及国定假日顺延）</w:t>
      </w:r>
      <w:r>
        <w:rPr>
          <w:rFonts w:hint="eastAsia" w:ascii="宋体" w:hAnsi="宋体" w:cs="Times New Roman"/>
          <w:color w:val="auto"/>
          <w:szCs w:val="21"/>
          <w:highlight w:val="none"/>
        </w:rPr>
        <w:t>。</w:t>
      </w:r>
    </w:p>
    <w:p w14:paraId="48422525">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（2）承包人提交履约保证金和正规发票后，发包人向承包人支付本合同暂定总价的40</w:t>
      </w:r>
      <w:r>
        <w:rPr>
          <w:rFonts w:ascii="宋体" w:hAnsi="宋体" w:cs="Times New Roman"/>
          <w:color w:val="auto"/>
          <w:szCs w:val="21"/>
          <w:highlight w:val="none"/>
        </w:rPr>
        <w:t>%</w:t>
      </w:r>
      <w:r>
        <w:rPr>
          <w:rFonts w:hint="eastAsia" w:ascii="宋体" w:hAnsi="宋体" w:cs="Times New Roman"/>
          <w:color w:val="auto"/>
          <w:szCs w:val="21"/>
          <w:highlight w:val="none"/>
        </w:rPr>
        <w:t>作为</w:t>
      </w:r>
      <w:r>
        <w:rPr>
          <w:rFonts w:ascii="宋体" w:hAnsi="宋体" w:cs="Times New Roman"/>
          <w:color w:val="auto"/>
          <w:szCs w:val="21"/>
          <w:highlight w:val="none"/>
        </w:rPr>
        <w:t>预付款</w:t>
      </w:r>
      <w:r>
        <w:rPr>
          <w:rFonts w:hint="eastAsia" w:ascii="宋体" w:hAnsi="宋体" w:cs="Times New Roman"/>
          <w:color w:val="auto"/>
          <w:szCs w:val="21"/>
          <w:highlight w:val="none"/>
        </w:rPr>
        <w:t>。</w:t>
      </w:r>
    </w:p>
    <w:p w14:paraId="08FD5E83">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3</w:t>
      </w:r>
      <w:r>
        <w:rPr>
          <w:rFonts w:hint="eastAsia" w:ascii="宋体" w:hAnsi="宋体" w:cs="Times New Roman"/>
          <w:color w:val="auto"/>
          <w:szCs w:val="21"/>
          <w:highlight w:val="none"/>
        </w:rPr>
        <w:t>）</w:t>
      </w:r>
      <w:r>
        <w:rPr>
          <w:rFonts w:ascii="宋体" w:hAnsi="宋体" w:eastAsia="宋体" w:cs="Times New Roman"/>
          <w:color w:val="auto"/>
          <w:w w:val="100"/>
          <w:sz w:val="21"/>
          <w:szCs w:val="21"/>
          <w:highlight w:val="none"/>
        </w:rPr>
        <w:t>全部工程竣工验收合格并交付发包人正常使用后7日内，</w:t>
      </w:r>
      <w:r>
        <w:rPr>
          <w:rFonts w:hint="eastAsia" w:ascii="宋体" w:hAnsi="宋体" w:eastAsia="宋体" w:cs="Times New Roman"/>
          <w:color w:val="auto"/>
          <w:w w:val="100"/>
          <w:sz w:val="21"/>
          <w:szCs w:val="21"/>
          <w:highlight w:val="none"/>
        </w:rPr>
        <w:t>且</w:t>
      </w:r>
      <w:r>
        <w:rPr>
          <w:rFonts w:ascii="宋体" w:hAnsi="宋体" w:eastAsia="宋体" w:cs="Times New Roman"/>
          <w:color w:val="auto"/>
          <w:w w:val="100"/>
          <w:sz w:val="21"/>
          <w:szCs w:val="21"/>
          <w:highlight w:val="none"/>
        </w:rPr>
        <w:t>发包人收到承包人开具的正规发票后</w:t>
      </w:r>
      <w:r>
        <w:rPr>
          <w:rFonts w:hint="eastAsia" w:ascii="宋体" w:hAnsi="宋体" w:eastAsia="宋体" w:cs="Times New Roman"/>
          <w:color w:val="auto"/>
          <w:w w:val="100"/>
          <w:sz w:val="21"/>
          <w:szCs w:val="21"/>
          <w:highlight w:val="none"/>
        </w:rPr>
        <w:t>7日内</w:t>
      </w:r>
      <w:r>
        <w:rPr>
          <w:rFonts w:ascii="宋体" w:hAnsi="宋体" w:eastAsia="宋体" w:cs="Times New Roman"/>
          <w:color w:val="auto"/>
          <w:w w:val="100"/>
          <w:sz w:val="21"/>
          <w:szCs w:val="21"/>
          <w:highlight w:val="none"/>
        </w:rPr>
        <w:t>向承包人支付</w:t>
      </w:r>
      <w:r>
        <w:rPr>
          <w:rFonts w:hint="eastAsia" w:ascii="宋体" w:hAnsi="宋体" w:eastAsia="宋体" w:cs="Times New Roman"/>
          <w:color w:val="auto"/>
          <w:w w:val="100"/>
          <w:sz w:val="21"/>
          <w:szCs w:val="21"/>
          <w:highlight w:val="none"/>
        </w:rPr>
        <w:t>本合同已完成工作量</w:t>
      </w:r>
      <w:r>
        <w:rPr>
          <w:rFonts w:ascii="宋体" w:hAnsi="宋体" w:eastAsia="宋体" w:cs="Times New Roman"/>
          <w:color w:val="auto"/>
          <w:w w:val="100"/>
          <w:sz w:val="21"/>
          <w:szCs w:val="21"/>
          <w:highlight w:val="none"/>
        </w:rPr>
        <w:t>的85%</w:t>
      </w:r>
      <w:r>
        <w:rPr>
          <w:rFonts w:hint="eastAsia" w:ascii="宋体" w:hAnsi="宋体" w:eastAsia="宋体" w:cs="Times New Roman"/>
          <w:color w:val="auto"/>
          <w:w w:val="100"/>
          <w:sz w:val="21"/>
          <w:szCs w:val="21"/>
          <w:highlight w:val="none"/>
        </w:rPr>
        <w:t>。发包人委托第三方对工程造价结算审价完毕后，发包人收到承包人开具的正规发票</w:t>
      </w:r>
      <w:r>
        <w:rPr>
          <w:rFonts w:hint="eastAsia" w:ascii="宋体" w:hAnsi="宋体" w:eastAsia="宋体" w:cs="Times New Roman"/>
          <w:color w:val="auto"/>
          <w:w w:val="100"/>
          <w:sz w:val="21"/>
          <w:szCs w:val="21"/>
          <w:highlight w:val="none"/>
          <w:lang w:val="en-US" w:eastAsia="zh-CN"/>
        </w:rPr>
        <w:t>和审定总价1.5%的质量保证金（以支票、汇票、银行转账或保函形式）</w:t>
      </w:r>
      <w:r>
        <w:rPr>
          <w:rFonts w:hint="eastAsia" w:ascii="宋体" w:hAnsi="宋体" w:eastAsia="宋体" w:cs="Times New Roman"/>
          <w:color w:val="auto"/>
          <w:w w:val="100"/>
          <w:sz w:val="21"/>
          <w:szCs w:val="21"/>
          <w:highlight w:val="none"/>
        </w:rPr>
        <w:t>后7日内，发包人向承包人支付至审定总价的100%（多退少补）；工程造价结算审价时间以发包人委托的第三方实际审价时间为准，不依通用条款规定时间执行。造价审核核增部分的审计费及核减超过</w:t>
      </w:r>
      <w:r>
        <w:rPr>
          <w:rFonts w:hint="eastAsia" w:ascii="宋体" w:hAnsi="宋体" w:eastAsia="宋体" w:cs="Times New Roman"/>
          <w:color w:val="auto"/>
          <w:w w:val="100"/>
          <w:sz w:val="21"/>
          <w:szCs w:val="24"/>
          <w:highlight w:val="none"/>
        </w:rPr>
        <w:t>5%</w:t>
      </w:r>
      <w:r>
        <w:rPr>
          <w:rFonts w:hint="eastAsia" w:ascii="宋体" w:hAnsi="宋体" w:eastAsia="宋体" w:cs="Times New Roman"/>
          <w:color w:val="auto"/>
          <w:w w:val="100"/>
          <w:sz w:val="21"/>
          <w:szCs w:val="21"/>
          <w:highlight w:val="none"/>
        </w:rPr>
        <w:t>（含）的审计费由承包人承担</w:t>
      </w:r>
      <w:r>
        <w:rPr>
          <w:rFonts w:hint="eastAsia" w:ascii="宋体" w:hAnsi="宋体" w:cs="Times New Roman"/>
          <w:color w:val="auto"/>
          <w:szCs w:val="21"/>
          <w:highlight w:val="none"/>
        </w:rPr>
        <w:t>。</w:t>
      </w:r>
    </w:p>
    <w:p w14:paraId="7EEE3AB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w:t>
      </w:r>
      <w:r>
        <w:rPr>
          <w:rFonts w:hint="eastAsia" w:ascii="宋体" w:hAnsi="宋体" w:cs="Times New Roman"/>
          <w:color w:val="auto"/>
          <w:szCs w:val="21"/>
          <w:highlight w:val="none"/>
        </w:rPr>
        <w:t>发包人每次付款前，承包人必须开具并交付相应金额的</w:t>
      </w:r>
      <w:r>
        <w:rPr>
          <w:rFonts w:hint="eastAsia" w:ascii="宋体" w:hAnsi="宋体" w:cs="Times New Roman"/>
          <w:color w:val="auto"/>
          <w:highlight w:val="none"/>
        </w:rPr>
        <w:t>增值税专用发票</w:t>
      </w:r>
      <w:r>
        <w:rPr>
          <w:rFonts w:hint="eastAsia" w:ascii="宋体" w:hAnsi="宋体" w:cs="Times New Roman"/>
          <w:color w:val="auto"/>
          <w:szCs w:val="21"/>
          <w:highlight w:val="none"/>
        </w:rPr>
        <w:t>，作为发包人付款的前提条件之一。</w:t>
      </w:r>
    </w:p>
    <w:p w14:paraId="62416806">
      <w:pPr>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6CDF234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12.4.2 进度付款申请单的编制</w:t>
      </w:r>
    </w:p>
    <w:p w14:paraId="1FE7861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关于进度付款申请单编制的约定：</w:t>
      </w:r>
      <w:r>
        <w:rPr>
          <w:rFonts w:hint="eastAsia" w:ascii="宋体" w:hAnsi="宋体" w:cs="Times New Roman"/>
          <w:color w:val="auto"/>
          <w:highlight w:val="none"/>
          <w:u w:val="single"/>
        </w:rPr>
        <w:t>按通用条款执行。</w:t>
      </w:r>
    </w:p>
    <w:p w14:paraId="552220A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12.4.3 进度付款申请单的提交</w:t>
      </w:r>
    </w:p>
    <w:p w14:paraId="43CE56D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（1）单价合同进度付款申请单提交的约定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111C9E1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（2）总价合同进度付款申请单提交的约定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DF3139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（3）其他价格形式合同进度付款申请单提交的约定：</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8E3675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12.4.4 进度款审核和支付</w:t>
      </w:r>
    </w:p>
    <w:p w14:paraId="6F978C91">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（1）监理人审查并报送发包人的期限</w:t>
      </w:r>
      <w:r>
        <w:rPr>
          <w:rFonts w:ascii="宋体" w:hAnsi="宋体" w:cs="Times New Roman"/>
          <w:color w:val="auto"/>
          <w:highlight w:val="none"/>
        </w:rPr>
        <w:t>：</w:t>
      </w:r>
      <w:r>
        <w:rPr>
          <w:rFonts w:hint="eastAsia" w:ascii="宋体" w:hAnsi="宋体" w:cs="Times New Roman"/>
          <w:color w:val="auto"/>
          <w:highlight w:val="none"/>
          <w:u w:val="single"/>
        </w:rPr>
        <w:t>/</w:t>
      </w:r>
      <w:r>
        <w:rPr>
          <w:rFonts w:ascii="宋体" w:hAnsi="宋体" w:cs="Times New Roman"/>
          <w:color w:val="auto"/>
          <w:highlight w:val="none"/>
        </w:rPr>
        <w:t>。</w:t>
      </w:r>
    </w:p>
    <w:p w14:paraId="6118D74B">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发包人完成审批并签发进度款支付证书的期限：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按通用条款执行 </w:t>
      </w:r>
      <w:r>
        <w:rPr>
          <w:rFonts w:ascii="宋体" w:hAnsi="宋体" w:cs="Times New Roman"/>
          <w:color w:val="auto"/>
          <w:highlight w:val="none"/>
        </w:rPr>
        <w:t>。</w:t>
      </w:r>
    </w:p>
    <w:p w14:paraId="2C406C18">
      <w:pPr>
        <w:spacing w:line="360" w:lineRule="auto"/>
        <w:ind w:firstLine="420" w:firstLineChars="200"/>
        <w:rPr>
          <w:rFonts w:ascii="宋体" w:hAnsi="宋体" w:cs="Times New Roman"/>
          <w:color w:val="auto"/>
          <w:szCs w:val="21"/>
          <w:highlight w:val="none"/>
        </w:rPr>
      </w:pPr>
      <w:r>
        <w:rPr>
          <w:rFonts w:ascii="宋体" w:hAnsi="宋体" w:cs="Times New Roman"/>
          <w:color w:val="auto"/>
          <w:highlight w:val="none"/>
        </w:rPr>
        <w:t>（2）发包人支付进度款的期限：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不执行通用条款，以发包人书面通知承包人开具收款发票后支付</w:t>
      </w:r>
      <w:r>
        <w:rPr>
          <w:rFonts w:ascii="宋体" w:hAnsi="宋体" w:cs="Times New Roman"/>
          <w:color w:val="auto"/>
          <w:highlight w:val="none"/>
        </w:rPr>
        <w:t>。</w:t>
      </w:r>
    </w:p>
    <w:p w14:paraId="30937D6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发包人逾期支付进度款的违约金的计算方式：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054935D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12.4.6 支付分解表的编制</w:t>
      </w:r>
    </w:p>
    <w:p w14:paraId="0F9CF1A7">
      <w:pPr>
        <w:spacing w:line="360" w:lineRule="auto"/>
        <w:ind w:left="4200" w:leftChars="200" w:hanging="3780" w:hangingChars="1800"/>
        <w:rPr>
          <w:rFonts w:ascii="宋体" w:hAnsi="宋体" w:cs="Times New Roman"/>
          <w:color w:val="auto"/>
          <w:szCs w:val="21"/>
          <w:highlight w:val="none"/>
        </w:rPr>
      </w:pPr>
      <w:r>
        <w:rPr>
          <w:rFonts w:ascii="宋体" w:hAnsi="宋体" w:cs="Times New Roman"/>
          <w:color w:val="auto"/>
          <w:szCs w:val="21"/>
          <w:highlight w:val="none"/>
        </w:rPr>
        <w:t>2、总价合同支付分解表的编制与审批：</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480165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3、单价合同的总价项目支付分解表的编制与审批：</w:t>
      </w:r>
      <w:r>
        <w:rPr>
          <w:rFonts w:hint="eastAsia" w:ascii="宋体" w:hAnsi="宋体" w:cs="Times New Roman"/>
          <w:color w:val="auto"/>
          <w:highlight w:val="none"/>
          <w:u w:val="single"/>
        </w:rPr>
        <w:t>按通用条款执行</w:t>
      </w:r>
      <w:r>
        <w:rPr>
          <w:rFonts w:ascii="宋体" w:hAnsi="宋体" w:cs="Times New Roman"/>
          <w:color w:val="auto"/>
          <w:szCs w:val="21"/>
          <w:highlight w:val="none"/>
        </w:rPr>
        <w:t>。</w:t>
      </w:r>
    </w:p>
    <w:p w14:paraId="19CCD27E">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13.</w:t>
      </w:r>
      <w:r>
        <w:rPr>
          <w:rFonts w:hint="eastAsia" w:ascii="宋体" w:hAnsi="宋体" w:cs="Times New Roman"/>
          <w:b/>
          <w:color w:val="auto"/>
          <w:highlight w:val="none"/>
        </w:rPr>
        <w:t xml:space="preserve"> </w:t>
      </w:r>
      <w:r>
        <w:rPr>
          <w:rFonts w:ascii="宋体" w:hAnsi="宋体" w:cs="Times New Roman"/>
          <w:b/>
          <w:color w:val="auto"/>
          <w:highlight w:val="none"/>
        </w:rPr>
        <w:t>验收和工程试车</w:t>
      </w:r>
    </w:p>
    <w:p w14:paraId="2788A33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13.1 分部分项工程验收</w:t>
      </w:r>
    </w:p>
    <w:p w14:paraId="1A4F923B">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13.1.2监理人不能按时进行验收时，应提前</w:t>
      </w:r>
      <w:r>
        <w:rPr>
          <w:rFonts w:ascii="宋体" w:hAnsi="宋体" w:cs="Times New Roman"/>
          <w:color w:val="auto"/>
          <w:highlight w:val="none"/>
          <w:u w:val="single"/>
        </w:rPr>
        <w:t>24</w:t>
      </w:r>
      <w:r>
        <w:rPr>
          <w:rFonts w:ascii="宋体" w:hAnsi="宋体" w:cs="Times New Roman"/>
          <w:color w:val="auto"/>
          <w:highlight w:val="none"/>
        </w:rPr>
        <w:t>小时提交书面延期要求。</w:t>
      </w:r>
    </w:p>
    <w:p w14:paraId="2AF494B0">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关于延期最长不得超过：</w:t>
      </w:r>
      <w:r>
        <w:rPr>
          <w:rFonts w:ascii="宋体" w:hAnsi="宋体" w:cs="Times New Roman"/>
          <w:color w:val="auto"/>
          <w:highlight w:val="none"/>
          <w:u w:val="single"/>
        </w:rPr>
        <w:t>48</w:t>
      </w:r>
      <w:r>
        <w:rPr>
          <w:rFonts w:ascii="宋体" w:hAnsi="宋体" w:cs="Times New Roman"/>
          <w:color w:val="auto"/>
          <w:highlight w:val="none"/>
        </w:rPr>
        <w:t>小时。</w:t>
      </w:r>
    </w:p>
    <w:p w14:paraId="487EF46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13.2 竣工验收</w:t>
      </w:r>
    </w:p>
    <w:p w14:paraId="2E55E003">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13.2.2竣工验收程序</w:t>
      </w:r>
    </w:p>
    <w:p w14:paraId="45306E9D">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关于竣工验收程序的约定：</w:t>
      </w:r>
      <w:r>
        <w:rPr>
          <w:rFonts w:hint="eastAsia" w:ascii="宋体" w:hAnsi="宋体" w:cs="Times New Roman"/>
          <w:color w:val="auto"/>
          <w:highlight w:val="none"/>
          <w:u w:val="single"/>
        </w:rPr>
        <w:t>按通用条款执行。</w:t>
      </w:r>
    </w:p>
    <w:p w14:paraId="43675EB9">
      <w:pPr>
        <w:tabs>
          <w:tab w:val="left" w:pos="482"/>
          <w:tab w:val="left" w:pos="2183"/>
          <w:tab w:val="left" w:pos="3884"/>
          <w:tab w:val="left" w:pos="5585"/>
        </w:tabs>
        <w:spacing w:line="360" w:lineRule="auto"/>
        <w:ind w:firstLine="420" w:firstLineChars="200"/>
        <w:rPr>
          <w:rFonts w:ascii="宋体" w:hAnsi="宋体" w:cs="Times New Roman"/>
          <w:color w:val="auto"/>
          <w:highlight w:val="none"/>
        </w:rPr>
      </w:pPr>
      <w:r>
        <w:rPr>
          <w:rFonts w:ascii="宋体" w:hAnsi="宋体" w:cs="Times New Roman"/>
          <w:color w:val="auto"/>
          <w:kern w:val="0"/>
          <w:highlight w:val="none"/>
        </w:rPr>
        <w:t>发包人不按照本项约定组织竣工验收、颁发工程接收证书的违约金的计算方法：</w:t>
      </w:r>
      <w:r>
        <w:rPr>
          <w:rFonts w:hint="eastAsia" w:ascii="宋体" w:hAnsi="宋体" w:cs="Times New Roman"/>
          <w:color w:val="auto"/>
          <w:highlight w:val="none"/>
          <w:u w:val="single"/>
        </w:rPr>
        <w:t>按通用条款执行</w:t>
      </w:r>
      <w:r>
        <w:rPr>
          <w:rFonts w:ascii="宋体" w:hAnsi="宋体" w:cs="Times New Roman"/>
          <w:color w:val="auto"/>
          <w:highlight w:val="none"/>
        </w:rPr>
        <w:t>。</w:t>
      </w:r>
    </w:p>
    <w:p w14:paraId="3E621E91">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13.2.5移交、接收全部与部分工程</w:t>
      </w:r>
    </w:p>
    <w:p w14:paraId="0B2CA3CE">
      <w:pPr>
        <w:spacing w:line="360" w:lineRule="auto"/>
        <w:ind w:firstLine="420" w:firstLineChars="200"/>
        <w:rPr>
          <w:rFonts w:ascii="宋体" w:hAnsi="宋体" w:cs="Times New Roman"/>
          <w:color w:val="auto"/>
          <w:kern w:val="0"/>
          <w:sz w:val="24"/>
          <w:highlight w:val="none"/>
        </w:rPr>
      </w:pPr>
      <w:r>
        <w:rPr>
          <w:rFonts w:hint="eastAsia" w:ascii="宋体" w:hAnsi="宋体" w:cs="Times New Roman"/>
          <w:color w:val="auto"/>
          <w:highlight w:val="none"/>
        </w:rPr>
        <w:t>承包人向发包人移交工程的期限：</w:t>
      </w:r>
      <w:r>
        <w:rPr>
          <w:rFonts w:hint="eastAsia" w:ascii="宋体" w:hAnsi="宋体" w:cs="Times New Roman"/>
          <w:color w:val="auto"/>
          <w:highlight w:val="none"/>
          <w:u w:val="single"/>
        </w:rPr>
        <w:t>按通用条款执行。</w:t>
      </w:r>
    </w:p>
    <w:p w14:paraId="1E50A198">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kern w:val="0"/>
          <w:highlight w:val="none"/>
        </w:rPr>
        <w:t>发包人未按本合同约定接收全部或部分工程的，违约金的计算方法为：</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r>
        <w:rPr>
          <w:rFonts w:ascii="宋体" w:hAnsi="宋体" w:cs="Times New Roman"/>
          <w:color w:val="auto"/>
          <w:highlight w:val="none"/>
        </w:rPr>
        <w:t>。</w:t>
      </w:r>
    </w:p>
    <w:p w14:paraId="1265282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承包人未按时移交工程的，违约金的计算方法为：</w:t>
      </w:r>
      <w:r>
        <w:rPr>
          <w:rFonts w:hint="eastAsia" w:ascii="宋体" w:hAnsi="宋体" w:cs="Times New Roman"/>
          <w:color w:val="auto"/>
          <w:highlight w:val="none"/>
          <w:u w:val="single"/>
        </w:rPr>
        <w:t>所有</w:t>
      </w:r>
      <w:r>
        <w:rPr>
          <w:rFonts w:ascii="宋体" w:hAnsi="宋体" w:cs="Times New Roman"/>
          <w:color w:val="auto"/>
          <w:kern w:val="0"/>
          <w:highlight w:val="none"/>
          <w:u w:val="single"/>
        </w:rPr>
        <w:t>工程</w:t>
      </w:r>
      <w:r>
        <w:rPr>
          <w:rFonts w:hint="eastAsia" w:ascii="宋体" w:hAnsi="宋体" w:cs="Times New Roman"/>
          <w:color w:val="auto"/>
          <w:kern w:val="0"/>
          <w:highlight w:val="none"/>
          <w:u w:val="single"/>
        </w:rPr>
        <w:t>经发包人、监理（如有）等部门的检验验收合格</w:t>
      </w:r>
      <w:r>
        <w:rPr>
          <w:rFonts w:ascii="宋体" w:hAnsi="宋体" w:cs="Times New Roman"/>
          <w:color w:val="auto"/>
          <w:kern w:val="0"/>
          <w:highlight w:val="none"/>
          <w:u w:val="single"/>
        </w:rPr>
        <w:t>后 3日内，承包人须向发包人移交全部工程，逾期移交的，每逾期一日，按人民币3</w:t>
      </w:r>
      <w:r>
        <w:rPr>
          <w:rFonts w:hint="eastAsia" w:ascii="宋体" w:hAnsi="宋体" w:cs="Times New Roman"/>
          <w:color w:val="auto"/>
          <w:kern w:val="0"/>
          <w:highlight w:val="none"/>
          <w:u w:val="single"/>
        </w:rPr>
        <w:t>000</w:t>
      </w:r>
      <w:r>
        <w:rPr>
          <w:rFonts w:ascii="宋体" w:hAnsi="宋体" w:cs="Times New Roman"/>
          <w:color w:val="auto"/>
          <w:kern w:val="0"/>
          <w:highlight w:val="none"/>
          <w:u w:val="single"/>
        </w:rPr>
        <w:t>元</w:t>
      </w:r>
      <w:r>
        <w:rPr>
          <w:rFonts w:hint="eastAsia" w:ascii="宋体" w:hAnsi="宋体" w:cs="Times New Roman"/>
          <w:color w:val="auto"/>
          <w:kern w:val="0"/>
          <w:highlight w:val="none"/>
          <w:u w:val="single"/>
        </w:rPr>
        <w:t>/天</w:t>
      </w:r>
      <w:r>
        <w:rPr>
          <w:rFonts w:ascii="宋体" w:hAnsi="宋体" w:cs="Times New Roman"/>
          <w:color w:val="auto"/>
          <w:kern w:val="0"/>
          <w:highlight w:val="none"/>
          <w:u w:val="single"/>
        </w:rPr>
        <w:t>向发包人支付违约金，因逾期交付工程给发包人造成经济损失的，赔偿损失。同时，承包人移交所有工程之前，发包人有权拒绝结算、支付工程款</w:t>
      </w:r>
      <w:r>
        <w:rPr>
          <w:rFonts w:hint="eastAsia" w:ascii="宋体" w:hAnsi="宋体" w:cs="宋体"/>
          <w:color w:val="auto"/>
          <w:szCs w:val="21"/>
          <w:highlight w:val="none"/>
        </w:rPr>
        <w:t>。</w:t>
      </w:r>
    </w:p>
    <w:p w14:paraId="3449272D">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13.3 工程试车</w:t>
      </w:r>
    </w:p>
    <w:p w14:paraId="68F2187B">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13.3.1 试车程序</w:t>
      </w:r>
    </w:p>
    <w:p w14:paraId="7E636F21">
      <w:pPr>
        <w:spacing w:line="360" w:lineRule="auto"/>
        <w:ind w:firstLine="525" w:firstLineChars="250"/>
        <w:rPr>
          <w:rFonts w:ascii="宋体" w:hAnsi="宋体" w:cs="Times New Roman"/>
          <w:color w:val="auto"/>
          <w:highlight w:val="none"/>
          <w:u w:val="single"/>
        </w:rPr>
      </w:pPr>
      <w:r>
        <w:rPr>
          <w:rFonts w:ascii="宋体" w:hAnsi="宋体" w:cs="Times New Roman"/>
          <w:color w:val="auto"/>
          <w:highlight w:val="none"/>
        </w:rPr>
        <w:t>工程试车内容：</w:t>
      </w:r>
      <w:bookmarkStart w:id="135" w:name="_Hlk78552738"/>
      <w:r>
        <w:rPr>
          <w:rFonts w:hint="eastAsia" w:ascii="宋体" w:hAnsi="宋体" w:cs="Times New Roman"/>
          <w:color w:val="auto"/>
          <w:highlight w:val="none"/>
          <w:u w:val="single"/>
        </w:rPr>
        <w:t>试车内容应于承包人承包范围相一致，试车费用由承包人承担。</w:t>
      </w:r>
      <w:bookmarkEnd w:id="135"/>
    </w:p>
    <w:p w14:paraId="517F0A77">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（1）单机无负荷试车费用由</w:t>
      </w:r>
      <w:r>
        <w:rPr>
          <w:rFonts w:hint="eastAsia" w:ascii="宋体" w:hAnsi="宋体" w:cs="Times New Roman"/>
          <w:color w:val="auto"/>
          <w:highlight w:val="none"/>
          <w:u w:val="single"/>
        </w:rPr>
        <w:t xml:space="preserve">承包人 </w:t>
      </w:r>
      <w:r>
        <w:rPr>
          <w:rFonts w:ascii="宋体" w:hAnsi="宋体" w:cs="Times New Roman"/>
          <w:color w:val="auto"/>
          <w:highlight w:val="none"/>
        </w:rPr>
        <w:t>承担；</w:t>
      </w:r>
    </w:p>
    <w:p w14:paraId="19D15353">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（2）无负荷联动试车费用由</w:t>
      </w:r>
      <w:r>
        <w:rPr>
          <w:rFonts w:hint="eastAsia" w:ascii="宋体" w:hAnsi="宋体" w:cs="Times New Roman"/>
          <w:color w:val="auto"/>
          <w:highlight w:val="none"/>
          <w:u w:val="single"/>
        </w:rPr>
        <w:t>承包人</w:t>
      </w:r>
      <w:r>
        <w:rPr>
          <w:rFonts w:ascii="宋体" w:hAnsi="宋体" w:cs="Times New Roman"/>
          <w:color w:val="auto"/>
          <w:highlight w:val="none"/>
          <w:u w:val="single"/>
        </w:rPr>
        <w:t xml:space="preserve"> </w:t>
      </w:r>
      <w:r>
        <w:rPr>
          <w:rFonts w:ascii="宋体" w:hAnsi="宋体" w:cs="Times New Roman"/>
          <w:color w:val="auto"/>
          <w:highlight w:val="none"/>
        </w:rPr>
        <w:t>承担。</w:t>
      </w:r>
    </w:p>
    <w:p w14:paraId="5A0461EA">
      <w:pPr>
        <w:spacing w:line="360" w:lineRule="auto"/>
        <w:ind w:firstLine="525" w:firstLineChars="250"/>
        <w:rPr>
          <w:rFonts w:ascii="宋体" w:hAnsi="宋体" w:cs="Times New Roman"/>
          <w:color w:val="auto"/>
          <w:highlight w:val="none"/>
        </w:rPr>
      </w:pPr>
      <w:r>
        <w:rPr>
          <w:rFonts w:ascii="宋体" w:hAnsi="宋体" w:cs="Times New Roman"/>
          <w:color w:val="auto"/>
          <w:highlight w:val="none"/>
        </w:rPr>
        <w:t>13.3.3 投料试车</w:t>
      </w:r>
    </w:p>
    <w:p w14:paraId="545D8AE1">
      <w:pPr>
        <w:spacing w:line="360" w:lineRule="auto"/>
        <w:ind w:firstLine="420" w:firstLineChars="200"/>
        <w:rPr>
          <w:rFonts w:ascii="宋体" w:hAnsi="宋体" w:cs="Times New Roman"/>
          <w:color w:val="auto"/>
          <w:kern w:val="0"/>
          <w:sz w:val="24"/>
          <w:highlight w:val="none"/>
        </w:rPr>
      </w:pPr>
      <w:r>
        <w:rPr>
          <w:rFonts w:hint="eastAsia" w:ascii="宋体" w:hAnsi="宋体" w:cs="Times New Roman"/>
          <w:color w:val="auto"/>
          <w:highlight w:val="none"/>
        </w:rPr>
        <w:t>关于投料试车相关事项的约定：</w:t>
      </w:r>
      <w:r>
        <w:rPr>
          <w:rFonts w:hint="eastAsia" w:ascii="宋体" w:hAnsi="宋体" w:cs="Times New Roman"/>
          <w:color w:val="auto"/>
          <w:highlight w:val="none"/>
          <w:u w:val="single"/>
        </w:rPr>
        <w:t>按通用条款执行。</w:t>
      </w:r>
    </w:p>
    <w:p w14:paraId="38C6236A">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13.6 竣工退场</w:t>
      </w:r>
    </w:p>
    <w:p w14:paraId="3638EC45">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13.6.1 竣工退场</w:t>
      </w:r>
    </w:p>
    <w:p w14:paraId="5BAB3ACD">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承包人完成竣工退场的期限：</w:t>
      </w:r>
      <w:r>
        <w:rPr>
          <w:rFonts w:ascii="宋体" w:hAnsi="宋体" w:cs="Times New Roman"/>
          <w:color w:val="auto"/>
          <w:highlight w:val="none"/>
          <w:u w:val="single"/>
        </w:rPr>
        <w:t>颁发工程接收证书后</w:t>
      </w:r>
      <w:r>
        <w:rPr>
          <w:rFonts w:hint="eastAsia" w:ascii="宋体" w:hAnsi="宋体" w:cs="Times New Roman"/>
          <w:color w:val="auto"/>
          <w:highlight w:val="none"/>
          <w:u w:val="single"/>
        </w:rPr>
        <w:t>7天</w:t>
      </w:r>
      <w:r>
        <w:rPr>
          <w:rFonts w:ascii="宋体" w:hAnsi="宋体" w:cs="Times New Roman"/>
          <w:color w:val="auto"/>
          <w:kern w:val="0"/>
          <w:sz w:val="24"/>
          <w:highlight w:val="none"/>
        </w:rPr>
        <w:t>。</w:t>
      </w:r>
    </w:p>
    <w:p w14:paraId="04883E07">
      <w:pPr>
        <w:topLinePunct/>
        <w:spacing w:line="360" w:lineRule="auto"/>
        <w:ind w:firstLine="420"/>
        <w:rPr>
          <w:rFonts w:ascii="宋体" w:hAnsi="宋体" w:cs="Times New Roman"/>
          <w:b/>
          <w:color w:val="auto"/>
          <w:sz w:val="24"/>
          <w:highlight w:val="none"/>
        </w:rPr>
      </w:pPr>
      <w:r>
        <w:rPr>
          <w:rFonts w:ascii="宋体" w:hAnsi="宋体" w:cs="Times New Roman"/>
          <w:b/>
          <w:color w:val="auto"/>
          <w:sz w:val="24"/>
          <w:highlight w:val="none"/>
        </w:rPr>
        <w:t>14. 竣工结算</w:t>
      </w:r>
    </w:p>
    <w:p w14:paraId="1DFF3CC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14.1 竣工付款申请</w:t>
      </w:r>
    </w:p>
    <w:p w14:paraId="30D1530C">
      <w:pPr>
        <w:autoSpaceDE w:val="0"/>
        <w:autoSpaceDN w:val="0"/>
        <w:adjustRightIn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承包人提交竣工付款申请单的期限：</w:t>
      </w:r>
      <w:r>
        <w:rPr>
          <w:rFonts w:hint="eastAsia" w:ascii="宋体" w:hAnsi="宋体" w:cs="Times New Roman"/>
          <w:color w:val="auto"/>
          <w:highlight w:val="none"/>
          <w:u w:val="single"/>
        </w:rPr>
        <w:t>按通用条款执行。</w:t>
      </w:r>
    </w:p>
    <w:p w14:paraId="16ADD0B4">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竣工付款申请单应包括的内容：</w:t>
      </w:r>
      <w:r>
        <w:rPr>
          <w:rFonts w:hint="eastAsia" w:ascii="宋体" w:hAnsi="宋体" w:eastAsia="宋体" w:cs="Times New Roman"/>
          <w:color w:val="auto"/>
          <w:w w:val="100"/>
          <w:sz w:val="21"/>
          <w:szCs w:val="24"/>
          <w:highlight w:val="none"/>
          <w:u w:val="single"/>
        </w:rPr>
        <w:t>（1）竣工结算合同价格；（2）发包人已支付承包人的款项；（3）已缴纳质量保证金的或提供其他工程质量担保方式的除外；（4）发包人应支付承包人的合同价款</w:t>
      </w:r>
      <w:r>
        <w:rPr>
          <w:rFonts w:ascii="宋体" w:hAnsi="宋体" w:cs="Times New Roman"/>
          <w:color w:val="auto"/>
          <w:highlight w:val="none"/>
        </w:rPr>
        <w:t>。</w:t>
      </w:r>
    </w:p>
    <w:p w14:paraId="175A38F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14.2 竣工结算审核</w:t>
      </w:r>
    </w:p>
    <w:p w14:paraId="64BC4288">
      <w:pPr>
        <w:autoSpaceDE w:val="0"/>
        <w:autoSpaceDN w:val="0"/>
        <w:adjustRightIn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szCs w:val="21"/>
          <w:highlight w:val="none"/>
        </w:rPr>
        <w:t>发包人对竣工结算审核（审计）期限</w:t>
      </w:r>
      <w:r>
        <w:rPr>
          <w:rFonts w:ascii="宋体" w:hAnsi="宋体" w:cs="Times New Roman"/>
          <w:color w:val="auto"/>
          <w:szCs w:val="21"/>
          <w:highlight w:val="none"/>
        </w:rPr>
        <w:t>：</w:t>
      </w:r>
      <w:r>
        <w:rPr>
          <w:rFonts w:hint="eastAsia" w:ascii="宋体" w:hAnsi="宋体" w:cs="Times New Roman"/>
          <w:color w:val="auto"/>
          <w:highlight w:val="none"/>
          <w:u w:val="single"/>
        </w:rPr>
        <w:t>以发包人委托的第三方实际完成的审核（审计）时间为准，不执行通用条款的约定。承包人应积极配合、协助发包人委托的第三方的审核（审计）工作，否则由承包人承担相应责任。</w:t>
      </w:r>
    </w:p>
    <w:p w14:paraId="11381A22">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发包人完成竣工付款的期限：</w:t>
      </w:r>
      <w:r>
        <w:rPr>
          <w:rFonts w:hint="eastAsia" w:ascii="宋体" w:hAnsi="宋体" w:cs="Times New Roman"/>
          <w:color w:val="auto"/>
          <w:highlight w:val="none"/>
          <w:u w:val="single"/>
        </w:rPr>
        <w:t>不执行通用条款，以发包人书面通知承包人开具收款发票后支付。</w:t>
      </w:r>
    </w:p>
    <w:p w14:paraId="191160A6">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u w:val="single"/>
        </w:rPr>
        <w:t>其中工程价款审计后核减额超过送审造价</w:t>
      </w:r>
      <w:r>
        <w:rPr>
          <w:rFonts w:ascii="宋体" w:hAnsi="宋体" w:cs="Times New Roman"/>
          <w:color w:val="auto"/>
          <w:highlight w:val="none"/>
          <w:u w:val="single"/>
        </w:rPr>
        <w:t>5%</w:t>
      </w:r>
      <w:r>
        <w:rPr>
          <w:rFonts w:hint="eastAsia" w:ascii="宋体" w:hAnsi="宋体" w:cs="Times New Roman"/>
          <w:color w:val="auto"/>
          <w:highlight w:val="none"/>
          <w:u w:val="single"/>
        </w:rPr>
        <w:t>幅度以外的审查费用及核增部分审查费用由</w:t>
      </w:r>
      <w:bookmarkStart w:id="136" w:name="_Hlk62560116"/>
      <w:r>
        <w:rPr>
          <w:rFonts w:hint="eastAsia" w:ascii="宋体" w:hAnsi="宋体" w:cs="Times New Roman"/>
          <w:color w:val="auto"/>
          <w:highlight w:val="none"/>
          <w:u w:val="single"/>
        </w:rPr>
        <w:t>承包人承担，承包人直接支付费用给项目结算审核单位，工程尾款支付时承包人必须同时提供结算审核费已付凭据</w:t>
      </w:r>
      <w:bookmarkEnd w:id="136"/>
      <w:r>
        <w:rPr>
          <w:rFonts w:hint="eastAsia" w:ascii="宋体" w:hAnsi="宋体" w:cs="Times New Roman"/>
          <w:color w:val="auto"/>
          <w:highlight w:val="none"/>
          <w:u w:val="single"/>
        </w:rPr>
        <w:t>。</w:t>
      </w:r>
    </w:p>
    <w:p w14:paraId="0CDF25D1">
      <w:pPr>
        <w:spacing w:line="360" w:lineRule="auto"/>
        <w:ind w:firstLine="420" w:firstLineChars="200"/>
        <w:rPr>
          <w:rFonts w:ascii="宋体" w:hAnsi="宋体" w:cs="Times New Roman"/>
          <w:color w:val="auto"/>
          <w:sz w:val="24"/>
          <w:highlight w:val="none"/>
        </w:rPr>
      </w:pPr>
      <w:r>
        <w:rPr>
          <w:rFonts w:hint="eastAsia" w:ascii="宋体" w:hAnsi="宋体" w:cs="Times New Roman"/>
          <w:color w:val="auto"/>
          <w:highlight w:val="none"/>
        </w:rPr>
        <w:t>关于竣工付款证书异议部分复核的方式和程序：</w:t>
      </w:r>
      <w:r>
        <w:rPr>
          <w:rFonts w:ascii="宋体" w:hAnsi="宋体" w:cs="Times New Roman"/>
          <w:color w:val="auto"/>
          <w:highlight w:val="none"/>
          <w:u w:val="single"/>
        </w:rPr>
        <w:t>按通用条款执行</w:t>
      </w:r>
      <w:r>
        <w:rPr>
          <w:rFonts w:hint="eastAsia" w:ascii="宋体" w:hAnsi="宋体" w:cs="Times New Roman"/>
          <w:color w:val="auto"/>
          <w:highlight w:val="none"/>
          <w:u w:val="single"/>
        </w:rPr>
        <w:t>。</w:t>
      </w:r>
    </w:p>
    <w:p w14:paraId="5A39A769">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14.4 最终结清</w:t>
      </w:r>
    </w:p>
    <w:p w14:paraId="1E54CA58">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14.4.1 最终结清申请单</w:t>
      </w:r>
    </w:p>
    <w:p w14:paraId="3977D1B1">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承包人提交最终结清申请单的份数：</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6</w:t>
      </w:r>
      <w:r>
        <w:rPr>
          <w:rFonts w:hint="eastAsia" w:ascii="宋体" w:hAnsi="宋体" w:cs="Times New Roman"/>
          <w:color w:val="auto"/>
          <w:szCs w:val="21"/>
          <w:highlight w:val="none"/>
          <w:u w:val="single"/>
        </w:rPr>
        <w:t>份</w:t>
      </w:r>
      <w:r>
        <w:rPr>
          <w:rFonts w:ascii="宋体" w:hAnsi="宋体" w:cs="Times New Roman"/>
          <w:color w:val="auto"/>
          <w:highlight w:val="none"/>
          <w:u w:val="single"/>
        </w:rPr>
        <w:t>。</w:t>
      </w:r>
    </w:p>
    <w:p w14:paraId="35BB73DD">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承包人提交最终结算申请单的期限：</w:t>
      </w:r>
      <w:r>
        <w:rPr>
          <w:rFonts w:ascii="宋体" w:hAnsi="宋体" w:cs="Times New Roman"/>
          <w:color w:val="auto"/>
          <w:highlight w:val="none"/>
          <w:u w:val="single"/>
        </w:rPr>
        <w:t>按通用条款执行</w:t>
      </w:r>
      <w:r>
        <w:rPr>
          <w:rFonts w:ascii="宋体" w:hAnsi="宋体" w:cs="Times New Roman"/>
          <w:color w:val="auto"/>
          <w:sz w:val="24"/>
          <w:highlight w:val="none"/>
        </w:rPr>
        <w:t xml:space="preserve">。 </w:t>
      </w:r>
    </w:p>
    <w:p w14:paraId="7569D642">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14.4.2 最终结清证书和支付</w:t>
      </w:r>
    </w:p>
    <w:p w14:paraId="55D9DF43">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（1）发包人完成最终结清申请单的</w:t>
      </w:r>
      <w:r>
        <w:rPr>
          <w:rFonts w:hint="eastAsia" w:ascii="宋体" w:hAnsi="宋体" w:cs="Times New Roman"/>
          <w:color w:val="auto"/>
          <w:highlight w:val="none"/>
        </w:rPr>
        <w:t>审批</w:t>
      </w:r>
      <w:r>
        <w:rPr>
          <w:rFonts w:ascii="宋体" w:hAnsi="宋体" w:cs="Times New Roman"/>
          <w:color w:val="auto"/>
          <w:highlight w:val="none"/>
        </w:rPr>
        <w:t>并颁发最终结清证书的期限：</w:t>
      </w:r>
      <w:r>
        <w:rPr>
          <w:rFonts w:hint="eastAsia" w:ascii="宋体" w:hAnsi="宋体" w:cs="Times New Roman"/>
          <w:color w:val="auto"/>
          <w:highlight w:val="none"/>
          <w:u w:val="single"/>
        </w:rPr>
        <w:t>不执行通用条款，以收到承包人完整的最终结算申请资料后，发包人完成内部审计及委托的第三方审计后</w:t>
      </w:r>
      <w:r>
        <w:rPr>
          <w:rFonts w:ascii="宋体" w:hAnsi="宋体" w:cs="Times New Roman"/>
          <w:color w:val="auto"/>
          <w:highlight w:val="none"/>
          <w:u w:val="single"/>
        </w:rPr>
        <w:t>。</w:t>
      </w:r>
    </w:p>
    <w:p w14:paraId="6393BBF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（2）发包人完成支付的期限：</w:t>
      </w:r>
      <w:r>
        <w:rPr>
          <w:rFonts w:ascii="宋体" w:hAnsi="宋体" w:cs="Times New Roman"/>
          <w:color w:val="auto"/>
          <w:sz w:val="24"/>
          <w:highlight w:val="none"/>
          <w:u w:val="single"/>
        </w:rPr>
        <w:t xml:space="preserve"> </w:t>
      </w:r>
      <w:r>
        <w:rPr>
          <w:rFonts w:hint="eastAsia" w:ascii="宋体" w:hAnsi="宋体" w:cs="Times New Roman"/>
          <w:color w:val="auto"/>
          <w:highlight w:val="none"/>
          <w:u w:val="single"/>
        </w:rPr>
        <w:t>不执行通用条款，以发包人书面通知承包人开具并交付正规收款发票后25个工作日内支付</w:t>
      </w:r>
      <w:r>
        <w:rPr>
          <w:rFonts w:ascii="宋体" w:hAnsi="宋体" w:cs="Times New Roman"/>
          <w:color w:val="auto"/>
          <w:highlight w:val="none"/>
          <w:u w:val="single"/>
        </w:rPr>
        <w:t>。</w:t>
      </w:r>
    </w:p>
    <w:p w14:paraId="0A8CFCC6">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15. 缺陷责任期与保修</w:t>
      </w:r>
    </w:p>
    <w:p w14:paraId="1EAEC81C">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15.2缺陷责任期</w:t>
      </w:r>
    </w:p>
    <w:p w14:paraId="6AB4DF63">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缺陷责任期的具体期限：</w:t>
      </w:r>
      <w:r>
        <w:rPr>
          <w:rFonts w:hint="eastAsia" w:ascii="宋体" w:hAnsi="宋体" w:cs="Times New Roman"/>
          <w:color w:val="auto"/>
          <w:highlight w:val="none"/>
          <w:u w:val="single"/>
        </w:rPr>
        <w:t>从工程通过发包人、监理（如有）等部门的验收并交付给发包人后的次日起计算，但该期限不低于</w:t>
      </w:r>
      <w:r>
        <w:rPr>
          <w:rFonts w:hint="eastAsia" w:ascii="宋体" w:hAnsi="宋体" w:cs="Times New Roman"/>
          <w:color w:val="auto"/>
          <w:szCs w:val="21"/>
          <w:highlight w:val="none"/>
          <w:u w:val="single"/>
        </w:rPr>
        <w:t xml:space="preserve">   </w:t>
      </w:r>
      <w:r>
        <w:rPr>
          <w:rFonts w:hint="eastAsia" w:ascii="宋体" w:hAnsi="宋体" w:cs="Times New Roman"/>
          <w:color w:val="auto"/>
          <w:highlight w:val="none"/>
          <w:u w:val="single"/>
        </w:rPr>
        <w:t>个月</w:t>
      </w:r>
      <w:r>
        <w:rPr>
          <w:rFonts w:ascii="宋体" w:hAnsi="宋体" w:cs="Times New Roman"/>
          <w:color w:val="auto"/>
          <w:sz w:val="24"/>
          <w:highlight w:val="none"/>
        </w:rPr>
        <w:t>。</w:t>
      </w:r>
    </w:p>
    <w:p w14:paraId="5685F650">
      <w:pPr>
        <w:adjustRightInd w:val="0"/>
        <w:snapToGrid w:val="0"/>
        <w:spacing w:line="360" w:lineRule="auto"/>
        <w:ind w:firstLine="420" w:firstLineChars="200"/>
        <w:rPr>
          <w:rFonts w:ascii="宋体" w:hAnsi="宋体" w:eastAsia="宋体" w:cs="Times New Roman"/>
          <w:color w:val="auto"/>
          <w:w w:val="100"/>
          <w:sz w:val="21"/>
          <w:szCs w:val="24"/>
          <w:highlight w:val="none"/>
          <w:u w:val="single"/>
        </w:rPr>
      </w:pPr>
      <w:r>
        <w:rPr>
          <w:rFonts w:hint="eastAsia" w:ascii="宋体" w:hAnsi="宋体" w:eastAsia="宋体" w:cs="Times New Roman"/>
          <w:color w:val="auto"/>
          <w:w w:val="100"/>
          <w:sz w:val="21"/>
          <w:szCs w:val="21"/>
          <w:highlight w:val="none"/>
        </w:rPr>
        <w:t>缺陷责任期内</w:t>
      </w:r>
      <w:r>
        <w:rPr>
          <w:rFonts w:ascii="宋体" w:hAnsi="宋体" w:eastAsia="宋体" w:cs="Times New Roman"/>
          <w:color w:val="auto"/>
          <w:w w:val="100"/>
          <w:sz w:val="21"/>
          <w:szCs w:val="21"/>
          <w:highlight w:val="none"/>
        </w:rPr>
        <w:t>关于</w:t>
      </w:r>
      <w:r>
        <w:rPr>
          <w:rFonts w:hint="eastAsia" w:ascii="宋体" w:hAnsi="宋体" w:eastAsia="宋体" w:cs="Times New Roman"/>
          <w:color w:val="auto"/>
          <w:w w:val="100"/>
          <w:sz w:val="21"/>
          <w:szCs w:val="21"/>
          <w:highlight w:val="none"/>
          <w:lang w:val="en-US" w:eastAsia="zh-CN"/>
        </w:rPr>
        <w:t>质量</w:t>
      </w:r>
      <w:r>
        <w:rPr>
          <w:rFonts w:hint="eastAsia" w:ascii="宋体" w:hAnsi="宋体" w:eastAsia="宋体" w:cs="Times New Roman"/>
          <w:color w:val="auto"/>
          <w:w w:val="100"/>
          <w:sz w:val="21"/>
          <w:szCs w:val="21"/>
          <w:highlight w:val="none"/>
        </w:rPr>
        <w:t>保证金</w:t>
      </w:r>
      <w:r>
        <w:rPr>
          <w:rFonts w:ascii="宋体" w:hAnsi="宋体" w:eastAsia="宋体" w:cs="Times New Roman"/>
          <w:color w:val="auto"/>
          <w:w w:val="100"/>
          <w:sz w:val="21"/>
          <w:szCs w:val="21"/>
          <w:highlight w:val="none"/>
        </w:rPr>
        <w:t>的补充约定：</w:t>
      </w:r>
    </w:p>
    <w:p w14:paraId="511026D6">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（1）</w:t>
      </w:r>
      <w:r>
        <w:rPr>
          <w:rFonts w:hint="eastAsia" w:ascii="宋体" w:hAnsi="宋体" w:eastAsia="宋体" w:cs="Times New Roman"/>
          <w:color w:val="auto"/>
          <w:w w:val="100"/>
          <w:kern w:val="0"/>
          <w:sz w:val="21"/>
          <w:szCs w:val="24"/>
          <w:highlight w:val="none"/>
          <w:u w:val="single"/>
        </w:rPr>
        <w:t>如在工程保修期内未发生按约定的须从质量保证金中代扣维修费及维修管理费情况的，则质量保证金在</w:t>
      </w:r>
      <w:r>
        <w:rPr>
          <w:rFonts w:hint="eastAsia" w:ascii="宋体" w:hAnsi="宋体" w:eastAsia="宋体" w:cs="Times New Roman"/>
          <w:color w:val="auto"/>
          <w:w w:val="100"/>
          <w:sz w:val="21"/>
          <w:szCs w:val="24"/>
          <w:highlight w:val="none"/>
          <w:u w:val="single"/>
        </w:rPr>
        <w:t>缺陷责任期满</w:t>
      </w:r>
      <w:r>
        <w:rPr>
          <w:rFonts w:hint="eastAsia" w:ascii="宋体" w:hAnsi="宋体" w:eastAsia="宋体" w:cs="Times New Roman"/>
          <w:color w:val="auto"/>
          <w:w w:val="100"/>
          <w:kern w:val="0"/>
          <w:sz w:val="21"/>
          <w:szCs w:val="24"/>
          <w:highlight w:val="none"/>
          <w:u w:val="single"/>
        </w:rPr>
        <w:t>且无质量问题后，30个工作日内退还质量保证金（无息）给承包人。</w:t>
      </w:r>
    </w:p>
    <w:p w14:paraId="3ECE897A">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（2）工程移交后，如发包人发现存在质量问题的，有权要求承包人及时维修，并赔偿给发包人带来的各种直接、间接经济损失。</w:t>
      </w:r>
      <w:r>
        <w:rPr>
          <w:rFonts w:hint="eastAsia" w:ascii="宋体" w:hAnsi="宋体" w:eastAsia="宋体" w:cs="Times New Roman"/>
          <w:color w:val="auto"/>
          <w:w w:val="100"/>
          <w:kern w:val="0"/>
          <w:sz w:val="21"/>
          <w:szCs w:val="24"/>
          <w:highlight w:val="none"/>
          <w:u w:val="single"/>
        </w:rPr>
        <w:t>承包人7天内未维修的，发包人有权委托第三方维修。所有费用及损失由承包人承担，且发包人有权没收质量保证金。</w:t>
      </w:r>
    </w:p>
    <w:p w14:paraId="39934F32">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（3）工程移交后，如发包人发现存在重大质量问题的，有权扣除承包人的全部</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，要求承包人及时维修，并赔偿给发包人带来的各种直接、间接经济损失。</w:t>
      </w:r>
    </w:p>
    <w:p w14:paraId="6427C2EC">
      <w:pPr>
        <w:adjustRightInd w:val="0"/>
        <w:snapToGrid w:val="0"/>
        <w:spacing w:line="360" w:lineRule="auto"/>
        <w:ind w:firstLine="420" w:firstLineChars="200"/>
        <w:rPr>
          <w:rFonts w:ascii="宋体" w:hAnsi="宋体" w:cs="Times New Roman"/>
          <w:color w:val="auto"/>
          <w:szCs w:val="21"/>
          <w:highlight w:val="none"/>
        </w:rPr>
      </w:pPr>
      <w:r>
        <w:rPr>
          <w:rFonts w:ascii="宋体" w:hAnsi="宋体" w:eastAsia="宋体" w:cs="Times New Roman"/>
          <w:color w:val="auto"/>
          <w:w w:val="100"/>
          <w:sz w:val="21"/>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ascii="宋体" w:hAnsi="宋体" w:cs="Times New Roman"/>
          <w:color w:val="auto"/>
          <w:kern w:val="0"/>
          <w:highlight w:val="none"/>
        </w:rPr>
        <w:t>。</w:t>
      </w:r>
    </w:p>
    <w:p w14:paraId="3C9FE8A7">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15.4保修</w:t>
      </w:r>
    </w:p>
    <w:p w14:paraId="790C7FDB">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15.4.1 保修责任</w:t>
      </w:r>
    </w:p>
    <w:p w14:paraId="63DA0E66">
      <w:pPr>
        <w:spacing w:line="360" w:lineRule="auto"/>
        <w:ind w:firstLine="420" w:firstLineChars="200"/>
        <w:rPr>
          <w:rFonts w:ascii="宋体" w:hAnsi="宋体" w:cs="Times New Roman"/>
          <w:color w:val="auto"/>
          <w:sz w:val="30"/>
          <w:highlight w:val="none"/>
        </w:rPr>
      </w:pPr>
      <w:r>
        <w:rPr>
          <w:rFonts w:ascii="宋体" w:hAnsi="宋体" w:cs="Times New Roman"/>
          <w:color w:val="auto"/>
          <w:szCs w:val="21"/>
          <w:highlight w:val="none"/>
        </w:rPr>
        <w:t>工程保修期为：</w:t>
      </w:r>
      <w:r>
        <w:rPr>
          <w:rFonts w:hint="eastAsia" w:ascii="宋体" w:hAnsi="宋体" w:cs="Times New Roman"/>
          <w:color w:val="auto"/>
          <w:highlight w:val="none"/>
          <w:u w:val="single"/>
        </w:rPr>
        <w:t>详</w:t>
      </w:r>
      <w:r>
        <w:rPr>
          <w:rFonts w:ascii="宋体" w:hAnsi="宋体" w:cs="Times New Roman"/>
          <w:color w:val="auto"/>
          <w:highlight w:val="none"/>
          <w:u w:val="single"/>
        </w:rPr>
        <w:t>工程质量保修书</w:t>
      </w:r>
      <w:r>
        <w:rPr>
          <w:rFonts w:hint="eastAsia" w:ascii="宋体" w:hAnsi="宋体" w:cs="Times New Roman"/>
          <w:color w:val="auto"/>
          <w:highlight w:val="none"/>
          <w:u w:val="single"/>
        </w:rPr>
        <w:t>约定</w:t>
      </w:r>
      <w:r>
        <w:rPr>
          <w:rFonts w:ascii="宋体" w:hAnsi="宋体" w:cs="Times New Roman"/>
          <w:color w:val="auto"/>
          <w:highlight w:val="none"/>
          <w:u w:val="single"/>
        </w:rPr>
        <w:t>。</w:t>
      </w:r>
    </w:p>
    <w:p w14:paraId="455E85D0">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15.4.3 修复通知</w:t>
      </w:r>
    </w:p>
    <w:p w14:paraId="74E6E386">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承包人收到保修通知并到达工程现场的合理时间：</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ascii="宋体" w:hAnsi="宋体" w:cs="Times New Roman"/>
          <w:color w:val="auto"/>
          <w:kern w:val="0"/>
          <w:sz w:val="24"/>
          <w:highlight w:val="none"/>
        </w:rPr>
        <w:t>。</w:t>
      </w:r>
    </w:p>
    <w:p w14:paraId="59F2F2CD">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16. 违约</w:t>
      </w:r>
    </w:p>
    <w:p w14:paraId="32CE1D80">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16.1 发包人违约</w:t>
      </w:r>
    </w:p>
    <w:p w14:paraId="0E8EA905">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16.1.1发包人违约的情形</w:t>
      </w:r>
    </w:p>
    <w:p w14:paraId="4E9A33AB">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发包人违约的其他情形：</w:t>
      </w:r>
      <w:r>
        <w:rPr>
          <w:rFonts w:hint="eastAsia" w:ascii="宋体" w:hAnsi="宋体" w:cs="Times New Roman"/>
          <w:color w:val="auto"/>
          <w:highlight w:val="none"/>
          <w:u w:val="single"/>
        </w:rPr>
        <w:t>按通用条款执行。</w:t>
      </w:r>
    </w:p>
    <w:p w14:paraId="46F3537F">
      <w:pPr>
        <w:spacing w:line="360" w:lineRule="auto"/>
        <w:ind w:left="1050" w:leftChars="200" w:hanging="630" w:hangingChars="300"/>
        <w:rPr>
          <w:rFonts w:ascii="宋体" w:hAnsi="宋体" w:cs="Times New Roman"/>
          <w:color w:val="auto"/>
          <w:kern w:val="0"/>
          <w:sz w:val="24"/>
          <w:highlight w:val="none"/>
        </w:rPr>
      </w:pPr>
      <w:r>
        <w:rPr>
          <w:rFonts w:ascii="宋体" w:hAnsi="宋体" w:cs="Times New Roman"/>
          <w:color w:val="auto"/>
          <w:highlight w:val="none"/>
        </w:rPr>
        <w:t>16.1.2 发包人违约的责任</w:t>
      </w:r>
    </w:p>
    <w:p w14:paraId="12520089">
      <w:pPr>
        <w:spacing w:line="360" w:lineRule="auto"/>
        <w:ind w:left="1050" w:leftChars="200" w:hanging="630" w:hangingChars="300"/>
        <w:rPr>
          <w:rFonts w:ascii="宋体" w:hAnsi="宋体" w:cs="Times New Roman"/>
          <w:color w:val="auto"/>
          <w:highlight w:val="none"/>
        </w:rPr>
      </w:pPr>
      <w:r>
        <w:rPr>
          <w:rFonts w:ascii="宋体" w:hAnsi="宋体" w:cs="Times New Roman"/>
          <w:color w:val="auto"/>
          <w:highlight w:val="none"/>
        </w:rPr>
        <w:t>发包人违约责任的承担方式和计算方法：</w:t>
      </w:r>
    </w:p>
    <w:p w14:paraId="69F2AF6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 xml:space="preserve">（1）因发包人原因未能在计划开工日期前7天内下达开工通知的违约责任：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3F196377">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（2）因发包人原因未能按合同约定支付合同价款的</w:t>
      </w:r>
      <w:r>
        <w:rPr>
          <w:rFonts w:hint="eastAsia" w:ascii="宋体" w:hAnsi="宋体" w:cs="Times New Roman"/>
          <w:color w:val="auto"/>
          <w:highlight w:val="none"/>
        </w:rPr>
        <w:t>的违约责任：</w:t>
      </w:r>
      <w:r>
        <w:rPr>
          <w:rFonts w:ascii="宋体" w:hAnsi="宋体" w:cs="Times New Roman"/>
          <w:color w:val="auto"/>
          <w:kern w:val="0"/>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宋体" w:hAnsi="宋体" w:cs="Times New Roman"/>
          <w:color w:val="auto"/>
          <w:kern w:val="0"/>
          <w:highlight w:val="none"/>
          <w:u w:val="single"/>
        </w:rPr>
        <w:t>，并</w:t>
      </w:r>
      <w:r>
        <w:rPr>
          <w:rFonts w:ascii="宋体" w:hAnsi="宋体" w:cs="Times New Roman"/>
          <w:color w:val="auto"/>
          <w:kern w:val="0"/>
          <w:highlight w:val="none"/>
          <w:u w:val="single"/>
        </w:rPr>
        <w:t>支付应付金额同期银行贷款利率计算的利息 。</w:t>
      </w:r>
      <w:r>
        <w:rPr>
          <w:rFonts w:hint="eastAsia" w:ascii="宋体" w:hAnsi="宋体" w:cs="Times New Roman"/>
          <w:color w:val="auto"/>
          <w:kern w:val="0"/>
          <w:highlight w:val="none"/>
          <w:u w:val="single"/>
        </w:rPr>
        <w:t>协议期间承包人不得以此为理由影响施工进度</w:t>
      </w:r>
      <w:r>
        <w:rPr>
          <w:rFonts w:hint="eastAsia" w:ascii="宋体" w:hAnsi="宋体" w:cs="Times New Roman"/>
          <w:color w:val="auto"/>
          <w:highlight w:val="none"/>
        </w:rPr>
        <w:t>。</w:t>
      </w:r>
    </w:p>
    <w:p w14:paraId="77375383">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（3）发包人违反第10.1款</w:t>
      </w:r>
      <w:r>
        <w:rPr>
          <w:rFonts w:hint="eastAsia" w:ascii="宋体" w:hAnsi="宋体" w:cs="Times New Roman"/>
          <w:color w:val="auto"/>
          <w:highlight w:val="none"/>
        </w:rPr>
        <w:t>〔</w:t>
      </w:r>
      <w:r>
        <w:rPr>
          <w:rFonts w:ascii="宋体" w:hAnsi="宋体" w:cs="Times New Roman"/>
          <w:color w:val="auto"/>
          <w:highlight w:val="none"/>
        </w:rPr>
        <w:t>变更的范围</w:t>
      </w:r>
      <w:r>
        <w:rPr>
          <w:rFonts w:hint="eastAsia" w:ascii="宋体" w:hAnsi="宋体" w:cs="Times New Roman"/>
          <w:color w:val="auto"/>
          <w:highlight w:val="none"/>
        </w:rPr>
        <w:t>〕</w:t>
      </w:r>
      <w:r>
        <w:rPr>
          <w:rFonts w:ascii="宋体" w:hAnsi="宋体" w:cs="Times New Roman"/>
          <w:color w:val="auto"/>
          <w:highlight w:val="none"/>
        </w:rPr>
        <w:t>第（2）项约定，自行实施被取消的工作或转由他人实施的违约责任：</w:t>
      </w:r>
      <w:r>
        <w:rPr>
          <w:rFonts w:hint="eastAsia" w:ascii="宋体" w:hAnsi="宋体" w:cs="Times New Roman"/>
          <w:color w:val="auto"/>
          <w:highlight w:val="none"/>
          <w:u w:val="single"/>
        </w:rPr>
        <w:t>/。</w:t>
      </w:r>
    </w:p>
    <w:p w14:paraId="67E1E2AA">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47ADD37">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（5）因发包人违反合同约定造成暂停施工的违约责任：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30FD64FE">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（6）发包人无正当理由没有在约定期限内发出复工指示，导致承包人无法复工的违约责任：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02F40434">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w:t>
      </w:r>
      <w:r>
        <w:rPr>
          <w:rFonts w:hint="eastAsia" w:ascii="宋体" w:hAnsi="宋体" w:cs="Times New Roman"/>
          <w:color w:val="auto"/>
          <w:szCs w:val="21"/>
          <w:highlight w:val="none"/>
        </w:rPr>
        <w:t>其他：</w:t>
      </w:r>
      <w:r>
        <w:rPr>
          <w:rFonts w:hint="eastAsia" w:ascii="宋体" w:hAnsi="宋体" w:cs="Times New Roman"/>
          <w:color w:val="auto"/>
          <w:highlight w:val="none"/>
          <w:u w:val="single"/>
        </w:rPr>
        <w:t xml:space="preserve"> / </w:t>
      </w:r>
    </w:p>
    <w:p w14:paraId="35F52C5A">
      <w:pPr>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16.1.3 因发包人违约解除合同</w:t>
      </w:r>
    </w:p>
    <w:p w14:paraId="34D9DFC0">
      <w:pPr>
        <w:autoSpaceDE w:val="0"/>
        <w:autoSpaceDN w:val="0"/>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承包人按16.1.1项</w:t>
      </w:r>
      <w:r>
        <w:rPr>
          <w:rFonts w:hint="eastAsia" w:ascii="宋体" w:hAnsi="宋体" w:cs="Times New Roman"/>
          <w:color w:val="auto"/>
          <w:kern w:val="0"/>
          <w:highlight w:val="none"/>
        </w:rPr>
        <w:t>〔</w:t>
      </w:r>
      <w:r>
        <w:rPr>
          <w:rFonts w:ascii="宋体" w:hAnsi="宋体" w:cs="Times New Roman"/>
          <w:color w:val="auto"/>
          <w:kern w:val="0"/>
          <w:highlight w:val="none"/>
        </w:rPr>
        <w:t>发包人违约的情形</w:t>
      </w:r>
      <w:r>
        <w:rPr>
          <w:rFonts w:hint="eastAsia" w:ascii="宋体" w:hAnsi="宋体" w:cs="Times New Roman"/>
          <w:color w:val="auto"/>
          <w:kern w:val="0"/>
          <w:highlight w:val="none"/>
        </w:rPr>
        <w:t>〕</w:t>
      </w:r>
      <w:r>
        <w:rPr>
          <w:rFonts w:ascii="宋体" w:hAnsi="宋体" w:cs="Times New Roman"/>
          <w:color w:val="auto"/>
          <w:kern w:val="0"/>
          <w:highlight w:val="none"/>
        </w:rPr>
        <w:t>约定暂停施工满</w:t>
      </w:r>
      <w:r>
        <w:rPr>
          <w:rFonts w:ascii="宋体" w:hAnsi="宋体" w:cs="Times New Roman"/>
          <w:color w:val="auto"/>
          <w:kern w:val="0"/>
          <w:highlight w:val="none"/>
          <w:u w:val="single"/>
        </w:rPr>
        <w:t xml:space="preserve"> 3</w:t>
      </w:r>
      <w:r>
        <w:rPr>
          <w:rFonts w:hint="eastAsia" w:ascii="宋体" w:hAnsi="宋体" w:cs="Times New Roman"/>
          <w:color w:val="auto"/>
          <w:kern w:val="0"/>
          <w:highlight w:val="none"/>
          <w:u w:val="single"/>
        </w:rPr>
        <w:t xml:space="preserve">0 </w:t>
      </w:r>
      <w:r>
        <w:rPr>
          <w:rFonts w:ascii="宋体" w:hAnsi="宋体" w:cs="Times New Roman"/>
          <w:color w:val="auto"/>
          <w:kern w:val="0"/>
          <w:highlight w:val="none"/>
        </w:rPr>
        <w:t>天后发包人仍不纠正其违约行为并致使合同目的不能实现的，承包人有权解除合同。</w:t>
      </w:r>
    </w:p>
    <w:p w14:paraId="2759DA42">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16.2 承包人违约</w:t>
      </w:r>
    </w:p>
    <w:p w14:paraId="5299CD42">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16.2.1 承包人违约的情形</w:t>
      </w:r>
    </w:p>
    <w:p w14:paraId="5DA7ECDA">
      <w:pPr>
        <w:tabs>
          <w:tab w:val="left" w:pos="482"/>
          <w:tab w:val="left" w:pos="2183"/>
          <w:tab w:val="left" w:pos="3884"/>
          <w:tab w:val="left" w:pos="5585"/>
        </w:tabs>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承包人违约的其他情形</w:t>
      </w:r>
      <w:r>
        <w:rPr>
          <w:rFonts w:ascii="宋体" w:hAnsi="宋体" w:cs="Times New Roman"/>
          <w:color w:val="auto"/>
          <w:kern w:val="0"/>
          <w:sz w:val="24"/>
          <w:highlight w:val="none"/>
        </w:rPr>
        <w:t>：</w:t>
      </w:r>
    </w:p>
    <w:p w14:paraId="6070A0C2">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65691336">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（2）承包人不按合同履行应承担的工作，对工程进展造成影响时，发包人有权自行或委托他人完成合同约定承包人该项工作，所产生的费用从承包人应得的款项中扣取，不足部分由承包人偿付。</w:t>
      </w:r>
    </w:p>
    <w:p w14:paraId="06D44664">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（3）承包人在竣工后7天内必须做到工完场清、料清、障清，如未在合同约定时间内做到工完场清，发包人有权指定其他单位清理，其费用在工程款中扣除，承包人还应承担由此给发包人带来的损失。</w:t>
      </w:r>
    </w:p>
    <w:p w14:paraId="6B02ED24">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（4）因承包人违反施工规范进行施工或建筑材料设备、施工工艺不合格等产生的工程质量问题而引起的返工、补救，其全部责任和费用以及赔偿均由承包人自行承担。</w:t>
      </w:r>
    </w:p>
    <w:p w14:paraId="3D2330CE">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（5）承包人应及时支付民工工资，如因拖欠民工工资引起纠纷，发包人有权从工程款中扣除直接支付给该工程的民工工资。</w:t>
      </w:r>
    </w:p>
    <w:p w14:paraId="42DC2AB1">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2A55301E">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16.2.2承包人违约的责任</w:t>
      </w:r>
    </w:p>
    <w:p w14:paraId="5AFE251D">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承包人违约责任的承担方式和计算方法</w:t>
      </w:r>
      <w:r>
        <w:rPr>
          <w:rFonts w:ascii="宋体" w:hAnsi="宋体" w:cs="Times New Roman"/>
          <w:color w:val="auto"/>
          <w:kern w:val="0"/>
          <w:sz w:val="24"/>
          <w:highlight w:val="none"/>
        </w:rPr>
        <w:t>：</w:t>
      </w:r>
    </w:p>
    <w:p w14:paraId="08C95EED">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（1）承包人违反合同约定进行转包或违法分包的违约责任：</w:t>
      </w:r>
      <w:r>
        <w:rPr>
          <w:rFonts w:hint="eastAsia" w:ascii="宋体" w:hAnsi="宋体" w:cs="Times New Roman"/>
          <w:color w:val="auto"/>
          <w:highlight w:val="none"/>
          <w:u w:val="single"/>
        </w:rPr>
        <w:t>发包人有权解除合同、拒付（或要求承包人退还已收）合同价款、没收履约担保，并要求承包人按合同总价款的</w:t>
      </w:r>
      <w:r>
        <w:rPr>
          <w:rFonts w:ascii="宋体" w:hAnsi="宋体" w:cs="Times New Roman"/>
          <w:color w:val="auto"/>
          <w:highlight w:val="none"/>
          <w:u w:val="single"/>
        </w:rPr>
        <w:t>20</w:t>
      </w:r>
      <w:r>
        <w:rPr>
          <w:rFonts w:hint="eastAsia" w:ascii="宋体" w:hAnsi="宋体" w:cs="Times New Roman"/>
          <w:color w:val="auto"/>
          <w:highlight w:val="none"/>
          <w:u w:val="single"/>
        </w:rPr>
        <w:t>%支付违约金，如给发包人造成的损失超过保证金数额的还应当对超过部份予以赔偿</w:t>
      </w:r>
      <w:r>
        <w:rPr>
          <w:rFonts w:ascii="宋体" w:hAnsi="宋体" w:cs="Times New Roman"/>
          <w:color w:val="auto"/>
          <w:highlight w:val="none"/>
          <w:u w:val="single"/>
        </w:rPr>
        <w:t>，并依法承担相应的法律责任；</w:t>
      </w:r>
    </w:p>
    <w:p w14:paraId="2AC08D5E">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（2）承包人违反合同约定采购和使用不合格的材料和工程设备的违约责任：</w:t>
      </w:r>
      <w:r>
        <w:rPr>
          <w:rFonts w:hint="eastAsia" w:ascii="宋体" w:hAnsi="宋体" w:cs="Times New Roman"/>
          <w:color w:val="auto"/>
          <w:highlight w:val="none"/>
          <w:u w:val="single"/>
        </w:rPr>
        <w:t>发包人有权要求承包人重新采购合格的</w:t>
      </w:r>
      <w:r>
        <w:rPr>
          <w:rFonts w:ascii="宋体" w:hAnsi="宋体" w:cs="Times New Roman"/>
          <w:color w:val="auto"/>
          <w:highlight w:val="none"/>
          <w:u w:val="single"/>
        </w:rPr>
        <w:t>材料和工程设备</w:t>
      </w:r>
      <w:r>
        <w:rPr>
          <w:rFonts w:hint="eastAsia" w:ascii="宋体" w:hAnsi="宋体" w:cs="Times New Roman"/>
          <w:color w:val="auto"/>
          <w:highlight w:val="none"/>
          <w:u w:val="single"/>
        </w:rPr>
        <w:t>，承包人必须及时改正并承担相应损失</w:t>
      </w:r>
      <w:r>
        <w:rPr>
          <w:rFonts w:ascii="宋体" w:hAnsi="宋体" w:cs="Times New Roman"/>
          <w:color w:val="auto"/>
          <w:kern w:val="0"/>
          <w:highlight w:val="none"/>
        </w:rPr>
        <w:t>；</w:t>
      </w:r>
    </w:p>
    <w:p w14:paraId="101543AC">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kern w:val="0"/>
          <w:highlight w:val="none"/>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的违约金，并承担由此造成发包人的全部经济损失</w:t>
      </w:r>
      <w:r>
        <w:rPr>
          <w:rFonts w:ascii="宋体" w:hAnsi="宋体" w:cs="Times New Roman"/>
          <w:color w:val="auto"/>
          <w:highlight w:val="none"/>
          <w:u w:val="single"/>
        </w:rPr>
        <w:t>。</w:t>
      </w:r>
    </w:p>
    <w:p w14:paraId="5965AC13">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经发包人、监理单位（如有）等部门检查抽检，发现承包人不按设计要求或者工程质量验收规范标准施工，或有偷工减料现象，每发现一次，发包人有权视情节严重程度要求承包人支付人民币</w:t>
      </w:r>
      <w:r>
        <w:rPr>
          <w:rFonts w:ascii="宋体" w:hAnsi="宋体" w:cs="Times New Roman"/>
          <w:color w:val="auto"/>
          <w:highlight w:val="none"/>
          <w:u w:val="single"/>
        </w:rPr>
        <w:t>2000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次-</w:t>
      </w:r>
      <w:r>
        <w:rPr>
          <w:rFonts w:ascii="宋体" w:hAnsi="宋体" w:cs="Times New Roman"/>
          <w:color w:val="auto"/>
          <w:highlight w:val="none"/>
          <w:u w:val="single"/>
        </w:rPr>
        <w:t>5000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w:t>
      </w:r>
      <w:r>
        <w:rPr>
          <w:rFonts w:ascii="宋体" w:hAnsi="宋体" w:cs="Times New Roman"/>
          <w:color w:val="auto"/>
          <w:highlight w:val="none"/>
          <w:u w:val="single"/>
        </w:rPr>
        <w:t>20%</w:t>
      </w:r>
      <w:r>
        <w:rPr>
          <w:rFonts w:hint="eastAsia" w:ascii="宋体" w:hAnsi="宋体" w:cs="Times New Roman"/>
          <w:color w:val="auto"/>
          <w:highlight w:val="none"/>
          <w:u w:val="single"/>
        </w:rPr>
        <w:t>的违约金</w:t>
      </w:r>
      <w:r>
        <w:rPr>
          <w:rFonts w:ascii="宋体" w:hAnsi="宋体" w:cs="Times New Roman"/>
          <w:color w:val="auto"/>
          <w:highlight w:val="none"/>
          <w:u w:val="single"/>
        </w:rPr>
        <w:t>。</w:t>
      </w:r>
    </w:p>
    <w:p w14:paraId="5217C197">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（3）承包人违反</w:t>
      </w:r>
      <w:r>
        <w:rPr>
          <w:rFonts w:hint="eastAsia" w:ascii="宋体" w:hAnsi="宋体" w:cs="Times New Roman"/>
          <w:color w:val="auto"/>
          <w:kern w:val="0"/>
          <w:highlight w:val="none"/>
        </w:rPr>
        <w:t>《合同通用条款》</w:t>
      </w:r>
      <w:r>
        <w:rPr>
          <w:rFonts w:ascii="宋体" w:hAnsi="宋体" w:cs="Times New Roman"/>
          <w:color w:val="auto"/>
          <w:kern w:val="0"/>
          <w:highlight w:val="none"/>
        </w:rPr>
        <w:t>第8.9款</w:t>
      </w:r>
      <w:r>
        <w:rPr>
          <w:rFonts w:hint="eastAsia" w:ascii="宋体" w:hAnsi="宋体" w:cs="Times New Roman"/>
          <w:color w:val="auto"/>
          <w:kern w:val="0"/>
          <w:highlight w:val="none"/>
        </w:rPr>
        <w:t>〔</w:t>
      </w:r>
      <w:r>
        <w:rPr>
          <w:rFonts w:ascii="宋体" w:hAnsi="宋体" w:cs="Times New Roman"/>
          <w:color w:val="auto"/>
          <w:kern w:val="0"/>
          <w:highlight w:val="none"/>
        </w:rPr>
        <w:t>材料与设备专用</w:t>
      </w:r>
      <w:r>
        <w:rPr>
          <w:rFonts w:hint="eastAsia" w:ascii="宋体" w:hAnsi="宋体" w:cs="Times New Roman"/>
          <w:color w:val="auto"/>
          <w:kern w:val="0"/>
          <w:highlight w:val="none"/>
        </w:rPr>
        <w:t>要求〕</w:t>
      </w:r>
      <w:r>
        <w:rPr>
          <w:rFonts w:ascii="宋体" w:hAnsi="宋体" w:cs="Times New Roman"/>
          <w:color w:val="auto"/>
          <w:kern w:val="0"/>
          <w:highlight w:val="none"/>
        </w:rPr>
        <w:t>的约定，未经批准，私自将已按照合同约定进入施工现场的材料或设备撤离施工现场的违约责任：</w:t>
      </w:r>
      <w:r>
        <w:rPr>
          <w:rFonts w:hint="eastAsia" w:ascii="宋体" w:hAnsi="宋体" w:cs="Times New Roman"/>
          <w:color w:val="auto"/>
          <w:highlight w:val="none"/>
          <w:u w:val="single"/>
        </w:rPr>
        <w:t>承包人应及时停止撤离，按每次</w:t>
      </w:r>
      <w:r>
        <w:rPr>
          <w:rFonts w:ascii="宋体" w:hAnsi="宋体" w:cs="Times New Roman"/>
          <w:color w:val="auto"/>
          <w:highlight w:val="none"/>
          <w:u w:val="single"/>
        </w:rPr>
        <w:t>2000</w:t>
      </w:r>
      <w:r>
        <w:rPr>
          <w:rFonts w:hint="eastAsia" w:ascii="宋体" w:hAnsi="宋体" w:cs="Times New Roman"/>
          <w:color w:val="auto"/>
          <w:highlight w:val="none"/>
          <w:u w:val="single"/>
        </w:rPr>
        <w:t>元项发包人支付违约金并承担相应损失</w:t>
      </w:r>
      <w:r>
        <w:rPr>
          <w:rFonts w:ascii="宋体" w:hAnsi="宋体" w:cs="Times New Roman"/>
          <w:color w:val="auto"/>
          <w:kern w:val="0"/>
          <w:highlight w:val="none"/>
        </w:rPr>
        <w:t>；</w:t>
      </w:r>
    </w:p>
    <w:p w14:paraId="4E987A8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kern w:val="0"/>
          <w:highlight w:val="none"/>
        </w:rPr>
        <w:t>（4）承包人未能按施工进度</w:t>
      </w:r>
      <w:r>
        <w:rPr>
          <w:rFonts w:ascii="宋体" w:hAnsi="宋体" w:cs="Times New Roman"/>
          <w:color w:val="auto"/>
          <w:highlight w:val="none"/>
          <w:u w:val="single"/>
        </w:rPr>
        <w:t>计划及时完成合同约定的工作，造成工期延误的违约责任：</w:t>
      </w:r>
      <w:r>
        <w:rPr>
          <w:rFonts w:hint="eastAsia" w:ascii="宋体" w:hAnsi="宋体" w:cs="Times New Roman"/>
          <w:color w:val="auto"/>
          <w:highlight w:val="none"/>
          <w:u w:val="single"/>
        </w:rPr>
        <w:t>按合同工期</w:t>
      </w:r>
      <w:r>
        <w:rPr>
          <w:rFonts w:ascii="宋体" w:hAnsi="宋体" w:cs="Times New Roman"/>
          <w:color w:val="auto"/>
          <w:highlight w:val="none"/>
          <w:u w:val="single"/>
        </w:rPr>
        <w:t>每延误一天，按3000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天</w:t>
      </w:r>
      <w:r>
        <w:rPr>
          <w:rFonts w:ascii="宋体" w:hAnsi="宋体" w:cs="Times New Roman"/>
          <w:color w:val="auto"/>
          <w:highlight w:val="none"/>
          <w:u w:val="single"/>
        </w:rPr>
        <w:t>向发包人支付违约金</w:t>
      </w:r>
      <w:r>
        <w:rPr>
          <w:rFonts w:hint="eastAsia" w:ascii="宋体" w:hAnsi="宋体" w:cs="Times New Roman"/>
          <w:color w:val="auto"/>
          <w:highlight w:val="none"/>
          <w:u w:val="single"/>
        </w:rPr>
        <w:t>；总</w:t>
      </w:r>
      <w:r>
        <w:rPr>
          <w:rFonts w:ascii="宋体" w:hAnsi="宋体" w:cs="Times New Roman"/>
          <w:color w:val="auto"/>
          <w:highlight w:val="none"/>
          <w:u w:val="single"/>
        </w:rPr>
        <w:t>工期延误超过20天的</w:t>
      </w:r>
      <w:r>
        <w:rPr>
          <w:rFonts w:hint="eastAsia" w:ascii="宋体" w:hAnsi="宋体" w:cs="Times New Roman"/>
          <w:color w:val="auto"/>
          <w:highlight w:val="none"/>
          <w:u w:val="single"/>
        </w:rPr>
        <w:t>（含2</w:t>
      </w:r>
      <w:r>
        <w:rPr>
          <w:rFonts w:ascii="宋体" w:hAnsi="宋体" w:cs="Times New Roman"/>
          <w:color w:val="auto"/>
          <w:highlight w:val="none"/>
          <w:u w:val="single"/>
        </w:rPr>
        <w:t>0</w:t>
      </w:r>
      <w:r>
        <w:rPr>
          <w:rFonts w:hint="eastAsia" w:ascii="宋体" w:hAnsi="宋体" w:cs="Times New Roman"/>
          <w:color w:val="auto"/>
          <w:highlight w:val="none"/>
          <w:u w:val="single"/>
        </w:rPr>
        <w:t>天）的，发包人有权解除合同、拒付工程款，也有权仍选择由承包人继续履行合同，如发包人选择由承包人继续履行合同的，竣工工期超过2</w:t>
      </w:r>
      <w:r>
        <w:rPr>
          <w:rFonts w:ascii="宋体" w:hAnsi="宋体" w:cs="Times New Roman"/>
          <w:color w:val="auto"/>
          <w:highlight w:val="none"/>
          <w:u w:val="single"/>
        </w:rPr>
        <w:t>0</w:t>
      </w:r>
      <w:r>
        <w:rPr>
          <w:rFonts w:hint="eastAsia" w:ascii="宋体" w:hAnsi="宋体" w:cs="Times New Roman"/>
          <w:color w:val="auto"/>
          <w:highlight w:val="none"/>
          <w:u w:val="single"/>
        </w:rPr>
        <w:t>天后每延误一天，承包人应按人民币</w:t>
      </w:r>
      <w:r>
        <w:rPr>
          <w:rFonts w:ascii="宋体" w:hAnsi="宋体" w:cs="Times New Roman"/>
          <w:color w:val="auto"/>
          <w:highlight w:val="none"/>
          <w:u w:val="single"/>
        </w:rPr>
        <w:t>6000</w:t>
      </w:r>
      <w:r>
        <w:rPr>
          <w:rFonts w:hint="eastAsia" w:ascii="宋体" w:hAnsi="宋体" w:cs="Times New Roman"/>
          <w:color w:val="auto"/>
          <w:highlight w:val="none"/>
          <w:u w:val="single"/>
        </w:rPr>
        <w:t>元/天向发包人支付违约金。</w:t>
      </w:r>
    </w:p>
    <w:p w14:paraId="713577E0">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cs="Times New Roman"/>
          <w:color w:val="auto"/>
          <w:kern w:val="0"/>
          <w:highlight w:val="none"/>
        </w:rPr>
        <w:t>（5）承包人在缺陷责任期及保修期内，未能在合理期限对工程缺陷进行修复，或拒绝按发包人要求进行修复的违约责任：</w:t>
      </w:r>
      <w:r>
        <w:rPr>
          <w:rFonts w:ascii="宋体" w:hAnsi="宋体" w:eastAsia="宋体" w:cs="Times New Roman"/>
          <w:color w:val="auto"/>
          <w:w w:val="100"/>
          <w:kern w:val="0"/>
          <w:sz w:val="21"/>
          <w:szCs w:val="24"/>
          <w:highlight w:val="none"/>
          <w:u w:val="single"/>
        </w:rPr>
        <w:t>工程移交后，如发包人发现存在质量问题的，有权要求承包人及时维修，并赔偿给发包人带来的各种直接、间接经济损失。承包人不及时维修的，发包人有权代为扣除</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用于维修以及支付发包人的维修管理费用（按维修费用的15%计算），并在事后要求承包人补足缺额。</w:t>
      </w:r>
    </w:p>
    <w:p w14:paraId="465DD05F">
      <w:pPr>
        <w:adjustRightInd w:val="0"/>
        <w:snapToGrid w:val="0"/>
        <w:spacing w:line="360" w:lineRule="auto"/>
        <w:ind w:firstLine="420" w:firstLineChars="200"/>
        <w:rPr>
          <w:rFonts w:ascii="宋体" w:hAnsi="宋体" w:cs="Times New Roman"/>
          <w:color w:val="auto"/>
          <w:kern w:val="0"/>
          <w:highlight w:val="none"/>
          <w:u w:val="single"/>
        </w:rPr>
      </w:pPr>
      <w:r>
        <w:rPr>
          <w:rFonts w:ascii="宋体" w:hAnsi="宋体" w:eastAsia="宋体" w:cs="Times New Roman"/>
          <w:color w:val="auto"/>
          <w:w w:val="100"/>
          <w:kern w:val="0"/>
          <w:sz w:val="21"/>
          <w:szCs w:val="24"/>
          <w:highlight w:val="none"/>
          <w:u w:val="single"/>
        </w:rPr>
        <w:t>工程移交后，如发包人发现存在重大质量问题的，有权扣除承包人的全部</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，要求承包人及时维修，并赔偿给发包人带来的各种直接、间接经济损失</w:t>
      </w:r>
      <w:r>
        <w:rPr>
          <w:rFonts w:ascii="宋体" w:hAnsi="宋体" w:cs="Times New Roman"/>
          <w:color w:val="auto"/>
          <w:kern w:val="0"/>
          <w:highlight w:val="none"/>
          <w:u w:val="single"/>
        </w:rPr>
        <w:t>。</w:t>
      </w:r>
    </w:p>
    <w:p w14:paraId="34318391">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6C65B515">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（6）承包人明确表示或者以其行为表明不履行合同主要义务的违约责任：</w:t>
      </w:r>
      <w:r>
        <w:rPr>
          <w:rFonts w:hint="eastAsia" w:ascii="宋体" w:hAnsi="宋体" w:cs="Times New Roman"/>
          <w:color w:val="auto"/>
          <w:kern w:val="0"/>
          <w:highlight w:val="none"/>
          <w:u w:val="single"/>
        </w:rPr>
        <w:t>发包人有权解除合同、拒付或（要求承包人退还已收）工程款，承包人还应支付合同总价款</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的违约金，承包人还应承担发包人的一切损失</w:t>
      </w:r>
      <w:r>
        <w:rPr>
          <w:rFonts w:ascii="宋体" w:hAnsi="宋体" w:cs="Times New Roman"/>
          <w:color w:val="auto"/>
          <w:kern w:val="0"/>
          <w:highlight w:val="none"/>
          <w:u w:val="single"/>
        </w:rPr>
        <w:t>；</w:t>
      </w:r>
    </w:p>
    <w:p w14:paraId="60E3E3D8">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（7）承包人未能按照合同约定履行其他义务的违约责任：</w:t>
      </w:r>
    </w:p>
    <w:p w14:paraId="40908BD1">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hint="eastAsia" w:ascii="宋体" w:hAnsi="宋体" w:cs="Times New Roman"/>
          <w:color w:val="auto"/>
          <w:kern w:val="0"/>
          <w:highlight w:val="none"/>
          <w:u w:val="single"/>
        </w:rPr>
        <w:t>由发包人或监理单位（如有）召集的例会和其它重要会议，承包人必须按发包人指定人选准时参加，无故缺席或迟到的，发包人有权视情节严重程度要求承包人支付</w:t>
      </w:r>
      <w:r>
        <w:rPr>
          <w:rFonts w:ascii="宋体" w:hAnsi="宋体" w:cs="Times New Roman"/>
          <w:color w:val="auto"/>
          <w:kern w:val="0"/>
          <w:highlight w:val="none"/>
          <w:u w:val="single"/>
        </w:rPr>
        <w:t>1000</w:t>
      </w:r>
      <w:r>
        <w:rPr>
          <w:rFonts w:hint="eastAsia" w:ascii="宋体" w:hAnsi="宋体" w:cs="Times New Roman"/>
          <w:color w:val="auto"/>
          <w:kern w:val="0"/>
          <w:highlight w:val="none"/>
          <w:u w:val="single"/>
        </w:rPr>
        <w:t>元每次的违约金，因此导致对会议内容不了解的，其后果由承包人自负，违约金由发包人在结算中直接扣除；因此导致对会议内容不了解的，其后果由承包人自负</w:t>
      </w:r>
      <w:r>
        <w:rPr>
          <w:rFonts w:ascii="宋体" w:hAnsi="宋体" w:cs="Times New Roman"/>
          <w:color w:val="auto"/>
          <w:kern w:val="0"/>
          <w:highlight w:val="none"/>
          <w:u w:val="single"/>
        </w:rPr>
        <w:t>。</w:t>
      </w:r>
    </w:p>
    <w:p w14:paraId="2BB88FC0">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承包人必须无条件服从发包人及监理单位</w:t>
      </w:r>
      <w:r>
        <w:rPr>
          <w:rFonts w:hint="eastAsia" w:ascii="宋体" w:hAnsi="宋体" w:cs="Times New Roman"/>
          <w:color w:val="auto"/>
          <w:kern w:val="0"/>
          <w:highlight w:val="none"/>
          <w:u w:val="single"/>
        </w:rPr>
        <w:t>（如有）对合</w:t>
      </w:r>
      <w:r>
        <w:rPr>
          <w:rFonts w:ascii="宋体" w:hAnsi="宋体" w:cs="Times New Roman"/>
          <w:color w:val="auto"/>
          <w:kern w:val="0"/>
          <w:highlight w:val="none"/>
          <w:u w:val="single"/>
        </w:rPr>
        <w:t>理的现场管理，若项目班子主要人员由于工作态度等原因，使发包人及监理不满意的，发包人有权要求更换；发包人有权对承包人在施工中出现的恶意违规及不服从管理等行为</w:t>
      </w:r>
      <w:r>
        <w:rPr>
          <w:rFonts w:hint="eastAsia" w:ascii="宋体" w:hAnsi="宋体" w:cs="Times New Roman"/>
          <w:color w:val="auto"/>
          <w:kern w:val="0"/>
          <w:highlight w:val="none"/>
          <w:u w:val="single"/>
        </w:rPr>
        <w:t>要求</w:t>
      </w:r>
      <w:r>
        <w:rPr>
          <w:rFonts w:ascii="宋体" w:hAnsi="宋体" w:cs="Times New Roman"/>
          <w:color w:val="auto"/>
          <w:kern w:val="0"/>
          <w:highlight w:val="none"/>
          <w:u w:val="single"/>
        </w:rPr>
        <w:t>按500-1000元/次的</w:t>
      </w:r>
      <w:r>
        <w:rPr>
          <w:rFonts w:hint="eastAsia" w:ascii="宋体" w:hAnsi="宋体" w:cs="Times New Roman"/>
          <w:color w:val="auto"/>
          <w:kern w:val="0"/>
          <w:highlight w:val="none"/>
          <w:u w:val="single"/>
        </w:rPr>
        <w:t>支付</w:t>
      </w:r>
      <w:r>
        <w:rPr>
          <w:rFonts w:ascii="宋体" w:hAnsi="宋体" w:cs="Times New Roman"/>
          <w:color w:val="auto"/>
          <w:kern w:val="0"/>
          <w:highlight w:val="none"/>
          <w:u w:val="single"/>
        </w:rPr>
        <w:t>违约金，该笔违约金由发包人在结算中直接扣除；</w:t>
      </w:r>
    </w:p>
    <w:p w14:paraId="69DAE1CB">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承包人在施工过程中不论遇到何种困难（</w:t>
      </w:r>
      <w:r>
        <w:rPr>
          <w:rFonts w:hint="eastAsia" w:ascii="宋体" w:hAnsi="宋体" w:cs="Times New Roman"/>
          <w:color w:val="auto"/>
          <w:kern w:val="0"/>
          <w:highlight w:val="none"/>
          <w:u w:val="single"/>
        </w:rPr>
        <w:t>除本合同约定明确的原因和</w:t>
      </w:r>
      <w:r>
        <w:rPr>
          <w:rFonts w:ascii="宋体" w:hAnsi="宋体" w:cs="Times New Roman"/>
          <w:color w:val="auto"/>
          <w:kern w:val="0"/>
          <w:highlight w:val="none"/>
          <w:u w:val="single"/>
        </w:rPr>
        <w:t>不可抗力除外），均不得以任何理由（例如发包人未签证费用</w:t>
      </w:r>
      <w:r>
        <w:rPr>
          <w:rFonts w:hint="eastAsia" w:ascii="宋体" w:hAnsi="宋体" w:cs="Times New Roman"/>
          <w:color w:val="auto"/>
          <w:kern w:val="0"/>
          <w:highlight w:val="none"/>
          <w:u w:val="single"/>
        </w:rPr>
        <w:t>、合同争议等</w:t>
      </w:r>
      <w:r>
        <w:rPr>
          <w:rFonts w:ascii="宋体" w:hAnsi="宋体" w:cs="Times New Roman"/>
          <w:color w:val="auto"/>
          <w:kern w:val="0"/>
          <w:highlight w:val="none"/>
          <w:u w:val="single"/>
        </w:rPr>
        <w:t>）擅自停工或变相停工，否则由此造成的一切后果和经济损失均由承包人承担，同时发包人有权处于3000元/天的处罚，该笔罚款由发包人在结算中直接扣除；</w:t>
      </w:r>
    </w:p>
    <w:p w14:paraId="03E2AC18">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合同及本协议履行期间，承包人保证不拖欠民工工资，</w:t>
      </w:r>
      <w:r>
        <w:rPr>
          <w:rFonts w:hint="eastAsia" w:ascii="宋体" w:hAnsi="宋体" w:cs="Times New Roman"/>
          <w:color w:val="auto"/>
          <w:highlight w:val="none"/>
          <w:u w:val="single"/>
        </w:rPr>
        <w:t>所得工程款应优先支付民工工资；</w:t>
      </w:r>
      <w:r>
        <w:rPr>
          <w:rFonts w:ascii="宋体" w:hAnsi="宋体" w:cs="Times New Roman"/>
          <w:color w:val="auto"/>
          <w:kern w:val="0"/>
          <w:highlight w:val="none"/>
          <w:u w:val="single"/>
        </w:rPr>
        <w:t>因拖欠民工工资造成的一切后果均由承包人承担。若发包人因此为承包人垫款支付的，承包人应按发包人垫付款项金额的30%向发包人偿付违约金，该笔违约金由发包人在结算中直接扣除；</w:t>
      </w:r>
    </w:p>
    <w:p w14:paraId="0F4837A5">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w:t>
      </w:r>
      <w:r>
        <w:rPr>
          <w:rFonts w:hint="eastAsia" w:ascii="宋体" w:hAnsi="宋体" w:cs="Times New Roman"/>
          <w:color w:val="auto"/>
          <w:kern w:val="0"/>
          <w:highlight w:val="none"/>
          <w:u w:val="single"/>
        </w:rPr>
        <w:t>的违约金，</w:t>
      </w:r>
      <w:r>
        <w:rPr>
          <w:rFonts w:ascii="宋体" w:hAnsi="宋体" w:cs="Times New Roman"/>
          <w:color w:val="auto"/>
          <w:kern w:val="0"/>
          <w:highlight w:val="none"/>
          <w:u w:val="single"/>
        </w:rPr>
        <w:t xml:space="preserve">由此引起的工期延误责任及损失由承包人负责承担； </w:t>
      </w:r>
    </w:p>
    <w:p w14:paraId="57F82FBC">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施工期间，承包人应严格实行隐蔽工程验收制度，如有未经</w:t>
      </w:r>
      <w:r>
        <w:rPr>
          <w:rFonts w:hint="eastAsia" w:ascii="宋体" w:hAnsi="宋体" w:cs="Times New Roman"/>
          <w:color w:val="auto"/>
          <w:kern w:val="0"/>
          <w:highlight w:val="none"/>
          <w:u w:val="single"/>
        </w:rPr>
        <w:t>发包人或</w:t>
      </w:r>
      <w:r>
        <w:rPr>
          <w:rFonts w:ascii="宋体" w:hAnsi="宋体" w:cs="Times New Roman"/>
          <w:color w:val="auto"/>
          <w:kern w:val="0"/>
          <w:highlight w:val="none"/>
          <w:u w:val="single"/>
        </w:rPr>
        <w:t>监理</w:t>
      </w:r>
      <w:r>
        <w:rPr>
          <w:rFonts w:hint="eastAsia" w:ascii="宋体" w:hAnsi="宋体" w:cs="Times New Roman"/>
          <w:color w:val="auto"/>
          <w:kern w:val="0"/>
          <w:highlight w:val="none"/>
          <w:u w:val="single"/>
        </w:rPr>
        <w:t>单位（如有）</w:t>
      </w:r>
      <w:r>
        <w:rPr>
          <w:rFonts w:ascii="宋体" w:hAnsi="宋体" w:cs="Times New Roman"/>
          <w:color w:val="auto"/>
          <w:kern w:val="0"/>
          <w:highlight w:val="none"/>
          <w:u w:val="single"/>
        </w:rPr>
        <w:t>验收自行隐蔽，发包人</w:t>
      </w:r>
      <w:r>
        <w:rPr>
          <w:rFonts w:hint="eastAsia" w:ascii="宋体" w:hAnsi="宋体" w:cs="Times New Roman"/>
          <w:color w:val="auto"/>
          <w:kern w:val="0"/>
          <w:highlight w:val="none"/>
          <w:u w:val="single"/>
        </w:rPr>
        <w:t>和监理单位（如有）</w:t>
      </w:r>
      <w:r>
        <w:rPr>
          <w:rFonts w:ascii="宋体" w:hAnsi="宋体" w:cs="Times New Roman"/>
          <w:color w:val="auto"/>
          <w:kern w:val="0"/>
          <w:highlight w:val="none"/>
          <w:u w:val="single"/>
        </w:rPr>
        <w:t>有权要求复验，所有费用由承包人承担，发包人有权视情节轻重对承包人处以人民币伍万元/次的违约金，该笔违约金由发包人在结算中直接扣除；</w:t>
      </w:r>
    </w:p>
    <w:p w14:paraId="615CA58D">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631E7084">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本合同履行过程中，承包人被处以罚款的，以实际行为发生之日为罚款缴纳的时间；</w:t>
      </w:r>
    </w:p>
    <w:p w14:paraId="449B27B9">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本合同中的罚款特指惩罚性违约金，本合同约定的违约金、罚款及损失赔偿款，发包人有权从履约担保或工程款中直接扣减。</w:t>
      </w:r>
    </w:p>
    <w:p w14:paraId="38827DBC">
      <w:pPr>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rPr>
        <w:t>⑩</w:t>
      </w:r>
      <w:r>
        <w:rPr>
          <w:rFonts w:ascii="宋体" w:hAnsi="宋体" w:cs="Times New Roman"/>
          <w:color w:val="auto"/>
          <w:kern w:val="0"/>
          <w:highlight w:val="none"/>
          <w:u w:val="single"/>
        </w:rPr>
        <w:t>合同生效后，承包人无正当理由，单方终止合同的，应向发包人承担违约责任，违约金按照合同总价的20%计取，并赔偿发包人因此造成的损失。</w:t>
      </w:r>
    </w:p>
    <w:p w14:paraId="247E11EE">
      <w:pPr>
        <w:adjustRightInd w:val="0"/>
        <w:snapToGrid w:val="0"/>
        <w:spacing w:line="360" w:lineRule="auto"/>
        <w:ind w:firstLine="420" w:firstLineChars="200"/>
        <w:rPr>
          <w:rFonts w:ascii="宋体" w:hAnsi="宋体" w:cs="Times New Roman"/>
          <w:color w:val="auto"/>
          <w:kern w:val="0"/>
          <w:highlight w:val="none"/>
          <w:u w:val="single"/>
        </w:rPr>
      </w:pPr>
      <w:r>
        <w:rPr>
          <w:rFonts w:ascii="宋体" w:hAnsi="宋体" w:cs="Times New Roman"/>
          <w:color w:val="auto"/>
          <w:kern w:val="0"/>
          <w:highlight w:val="none"/>
        </w:rPr>
        <w:fldChar w:fldCharType="begin"/>
      </w:r>
      <w:r>
        <w:rPr>
          <w:rFonts w:ascii="宋体" w:hAnsi="宋体" w:cs="Times New Roman"/>
          <w:color w:val="auto"/>
          <w:kern w:val="0"/>
          <w:highlight w:val="none"/>
        </w:rPr>
        <w:instrText xml:space="preserve"> eq \o\ac(</w:instrText>
      </w:r>
      <w:r>
        <w:rPr>
          <w:rFonts w:hint="eastAsia" w:ascii="宋体" w:hAnsi="宋体" w:cs="Times New Roman"/>
          <w:color w:val="auto"/>
          <w:kern w:val="0"/>
          <w:highlight w:val="none"/>
        </w:rPr>
        <w:instrText xml:space="preserve">○</w:instrText>
      </w:r>
      <w:r>
        <w:rPr>
          <w:rFonts w:ascii="宋体" w:hAnsi="宋体" w:cs="Times New Roman"/>
          <w:color w:val="auto"/>
          <w:kern w:val="0"/>
          <w:highlight w:val="none"/>
        </w:rPr>
        <w:instrText xml:space="preserve">,</w:instrText>
      </w:r>
      <w:r>
        <w:rPr>
          <w:rFonts w:ascii="宋体" w:hAnsi="宋体" w:cs="Times New Roman"/>
          <w:color w:val="auto"/>
          <w:kern w:val="0"/>
          <w:position w:val="1"/>
          <w:highlight w:val="none"/>
        </w:rPr>
        <w:instrText xml:space="preserve">11</w:instrText>
      </w:r>
      <w:r>
        <w:rPr>
          <w:rFonts w:ascii="宋体" w:hAnsi="宋体" w:cs="Times New Roman"/>
          <w:color w:val="auto"/>
          <w:kern w:val="0"/>
          <w:highlight w:val="none"/>
        </w:rPr>
        <w:instrText xml:space="preserve">)</w:instrText>
      </w:r>
      <w:r>
        <w:rPr>
          <w:rFonts w:ascii="宋体" w:hAnsi="宋体" w:cs="Times New Roman"/>
          <w:color w:val="auto"/>
          <w:kern w:val="0"/>
          <w:highlight w:val="none"/>
        </w:rPr>
        <w:fldChar w:fldCharType="end"/>
      </w:r>
      <w:r>
        <w:rPr>
          <w:rFonts w:hint="eastAsia" w:ascii="宋体" w:hAnsi="宋体" w:cs="Times New Roman"/>
          <w:color w:val="auto"/>
          <w:kern w:val="0"/>
          <w:highlight w:val="none"/>
          <w:u w:val="single"/>
        </w:rPr>
        <w:t>当承包人出现以下情况之一，发包人有权将承包人清退出场（并解除合同），承包人应按合同总价款的</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向发包人支付违约金：</w:t>
      </w:r>
    </w:p>
    <w:p w14:paraId="47602D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中标后一个月内以任何理由拒签合同；</w:t>
      </w:r>
    </w:p>
    <w:p w14:paraId="219FF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 xml:space="preserve"> </w:t>
      </w:r>
      <w:r>
        <w:rPr>
          <w:rFonts w:hint="eastAsia" w:ascii="宋体" w:hAnsi="宋体" w:cs="宋体"/>
          <w:color w:val="auto"/>
          <w:szCs w:val="21"/>
          <w:highlight w:val="none"/>
        </w:rPr>
        <w:t>出现质量问题拒不整改，经发包人</w:t>
      </w:r>
      <w:r>
        <w:rPr>
          <w:rFonts w:hint="eastAsia" w:ascii="宋体" w:hAnsi="宋体" w:cs="Times New Roman"/>
          <w:color w:val="auto"/>
          <w:highlight w:val="none"/>
        </w:rPr>
        <w:t>或监理单位（如有）</w:t>
      </w:r>
      <w:r>
        <w:rPr>
          <w:rFonts w:hint="eastAsia" w:ascii="宋体" w:hAnsi="宋体" w:cs="宋体"/>
          <w:color w:val="auto"/>
          <w:szCs w:val="21"/>
          <w:highlight w:val="none"/>
        </w:rPr>
        <w:t>书面通知三次（含）以上仍不见效的；</w:t>
      </w:r>
    </w:p>
    <w:p w14:paraId="3CA062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w:t>
      </w:r>
      <w:r>
        <w:rPr>
          <w:rFonts w:ascii="宋体" w:hAnsi="宋体" w:cs="宋体"/>
          <w:color w:val="auto"/>
          <w:szCs w:val="21"/>
          <w:highlight w:val="none"/>
        </w:rPr>
        <w:t xml:space="preserve"> </w:t>
      </w:r>
      <w:r>
        <w:rPr>
          <w:rFonts w:hint="eastAsia" w:ascii="宋体" w:hAnsi="宋体" w:cs="宋体"/>
          <w:color w:val="auto"/>
          <w:szCs w:val="21"/>
          <w:highlight w:val="none"/>
        </w:rPr>
        <w:t>出现安全事故，不接受监理人和有关职能部门指令采取相应措施的；</w:t>
      </w:r>
    </w:p>
    <w:p w14:paraId="1BC1C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w:t>
      </w:r>
      <w:r>
        <w:rPr>
          <w:rFonts w:ascii="宋体" w:hAnsi="宋体" w:cs="宋体"/>
          <w:color w:val="auto"/>
          <w:szCs w:val="21"/>
          <w:highlight w:val="none"/>
        </w:rPr>
        <w:t xml:space="preserve"> </w:t>
      </w:r>
      <w:r>
        <w:rPr>
          <w:rFonts w:hint="eastAsia" w:ascii="宋体" w:hAnsi="宋体" w:cs="宋体"/>
          <w:color w:val="auto"/>
          <w:szCs w:val="21"/>
          <w:highlight w:val="none"/>
        </w:rPr>
        <w:t>拒不执行发包人</w:t>
      </w:r>
      <w:r>
        <w:rPr>
          <w:rFonts w:hint="eastAsia" w:ascii="宋体" w:hAnsi="宋体" w:cs="Times New Roman"/>
          <w:color w:val="auto"/>
          <w:highlight w:val="none"/>
        </w:rPr>
        <w:t>或监理单位（如有）</w:t>
      </w:r>
      <w:r>
        <w:rPr>
          <w:rFonts w:hint="eastAsia" w:ascii="宋体" w:hAnsi="宋体" w:cs="宋体"/>
          <w:color w:val="auto"/>
          <w:szCs w:val="21"/>
          <w:highlight w:val="none"/>
        </w:rPr>
        <w:t>的指令三次（含）以上的。（相关指令违反质量和安全法规的不在此限）。</w:t>
      </w:r>
    </w:p>
    <w:p w14:paraId="7F9B619C">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16.2.3 因承包人违约解除合同</w:t>
      </w:r>
    </w:p>
    <w:p w14:paraId="1CF77773">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关于承包人违约解除合同的特别约定：</w:t>
      </w:r>
      <w:r>
        <w:rPr>
          <w:rFonts w:hint="eastAsia" w:ascii="宋体" w:hAnsi="宋体" w:cs="Times New Roman"/>
          <w:color w:val="auto"/>
          <w:highlight w:val="none"/>
          <w:u w:val="single"/>
        </w:rPr>
        <w:t>/。</w:t>
      </w:r>
    </w:p>
    <w:p w14:paraId="2634684B">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发包人</w:t>
      </w:r>
      <w:r>
        <w:rPr>
          <w:rFonts w:hint="eastAsia" w:ascii="宋体" w:hAnsi="宋体" w:cs="Times New Roman"/>
          <w:color w:val="auto"/>
          <w:highlight w:val="none"/>
        </w:rPr>
        <w:t>继续</w:t>
      </w:r>
      <w:r>
        <w:rPr>
          <w:rFonts w:ascii="宋体" w:hAnsi="宋体" w:cs="Times New Roman"/>
          <w:color w:val="auto"/>
          <w:highlight w:val="none"/>
        </w:rPr>
        <w:t>使用承包人在施工现场的材料、设备、临时工程、承包人文件和由承包人或以其名义编制的其他文件</w:t>
      </w:r>
      <w:r>
        <w:rPr>
          <w:rFonts w:hint="eastAsia" w:ascii="宋体" w:hAnsi="宋体" w:cs="Times New Roman"/>
          <w:color w:val="auto"/>
          <w:highlight w:val="none"/>
        </w:rPr>
        <w:t>的费用承担方式</w:t>
      </w:r>
      <w:r>
        <w:rPr>
          <w:rFonts w:ascii="宋体" w:hAnsi="宋体" w:cs="Times New Roman"/>
          <w:color w:val="auto"/>
          <w:highlight w:val="none"/>
        </w:rPr>
        <w:t>：</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费用另行约定，由发包人承担</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p>
    <w:p w14:paraId="1ADC50E1">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 xml:space="preserve">17. 不可抗力 </w:t>
      </w:r>
    </w:p>
    <w:p w14:paraId="7E7D9E06">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17.1 不可抗力的确认</w:t>
      </w:r>
    </w:p>
    <w:p w14:paraId="2239BEC1">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除通用合同条款约定的不可抗力事件之外，视为不可抗力的其他情形：</w:t>
      </w:r>
      <w:r>
        <w:rPr>
          <w:rFonts w:hint="eastAsia" w:ascii="宋体" w:hAnsi="宋体" w:cs="Times New Roman"/>
          <w:color w:val="auto"/>
          <w:highlight w:val="none"/>
          <w:u w:val="single"/>
        </w:rPr>
        <w:t>/。</w:t>
      </w:r>
    </w:p>
    <w:p w14:paraId="6471D7B1">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17.4 因不可抗力解除合同</w:t>
      </w:r>
    </w:p>
    <w:p w14:paraId="685FC363">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合同解除后，发包人应在商定或确定发包人应支付款项后</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28</w:t>
      </w:r>
      <w:r>
        <w:rPr>
          <w:rFonts w:ascii="宋体" w:hAnsi="宋体" w:cs="Times New Roman"/>
          <w:color w:val="auto"/>
          <w:highlight w:val="none"/>
          <w:u w:val="single"/>
        </w:rPr>
        <w:t xml:space="preserve"> </w:t>
      </w:r>
      <w:r>
        <w:rPr>
          <w:rFonts w:ascii="宋体" w:hAnsi="宋体" w:cs="Times New Roman"/>
          <w:color w:val="auto"/>
          <w:highlight w:val="none"/>
        </w:rPr>
        <w:t>天内完成款项的支付。</w:t>
      </w:r>
    </w:p>
    <w:p w14:paraId="5BA5BBCD">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18. 保险</w:t>
      </w:r>
    </w:p>
    <w:p w14:paraId="6D1852BC">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18.1 工程保险</w:t>
      </w:r>
    </w:p>
    <w:p w14:paraId="21F51749">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关于工程保险的特别约定：</w:t>
      </w:r>
      <w:r>
        <w:rPr>
          <w:rFonts w:ascii="宋体" w:hAnsi="宋体" w:cs="Times New Roman"/>
          <w:color w:val="auto"/>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Times New Roman"/>
          <w:color w:val="auto"/>
          <w:highlight w:val="none"/>
          <w:u w:val="single"/>
        </w:rPr>
        <w:t>。</w:t>
      </w:r>
    </w:p>
    <w:p w14:paraId="74AE2369">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18.3 其他保险</w:t>
      </w:r>
    </w:p>
    <w:p w14:paraId="58566DF0">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关于其他保险的约定</w:t>
      </w:r>
      <w:r>
        <w:rPr>
          <w:rFonts w:ascii="宋体" w:hAnsi="宋体" w:cs="Times New Roman"/>
          <w:color w:val="auto"/>
          <w:highlight w:val="none"/>
          <w:u w:val="single"/>
        </w:rPr>
        <w:t>：</w:t>
      </w:r>
      <w:r>
        <w:rPr>
          <w:rFonts w:hint="eastAsia" w:ascii="宋体" w:hAnsi="宋体" w:cs="Times New Roman"/>
          <w:color w:val="auto"/>
          <w:highlight w:val="none"/>
          <w:u w:val="single"/>
        </w:rPr>
        <w:t>承包人应办理与本工程相关的保险，费用均包含在合同总价内</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rPr>
        <w:t>。</w:t>
      </w:r>
    </w:p>
    <w:p w14:paraId="6F22BA2F">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承包人是否应为其施工设备等办理财产保险：</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      </w:t>
      </w:r>
    </w:p>
    <w:p w14:paraId="1D429662">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18.7 通知义务</w:t>
      </w:r>
    </w:p>
    <w:p w14:paraId="49FA41B2">
      <w:pPr>
        <w:spacing w:line="360" w:lineRule="auto"/>
        <w:ind w:firstLine="525" w:firstLineChars="250"/>
        <w:rPr>
          <w:rFonts w:ascii="宋体" w:hAnsi="宋体" w:cs="Times New Roman"/>
          <w:color w:val="auto"/>
          <w:sz w:val="24"/>
          <w:highlight w:val="none"/>
          <w:u w:val="single"/>
        </w:rPr>
      </w:pPr>
      <w:r>
        <w:rPr>
          <w:rFonts w:ascii="宋体" w:hAnsi="宋体" w:cs="Times New Roman"/>
          <w:color w:val="auto"/>
          <w:highlight w:val="none"/>
        </w:rPr>
        <w:t>关于变更保险合同时的通知义务的约定：</w:t>
      </w:r>
      <w:r>
        <w:rPr>
          <w:rFonts w:hint="eastAsia" w:ascii="宋体" w:hAnsi="宋体" w:cs="Times New Roman"/>
          <w:color w:val="auto"/>
          <w:highlight w:val="none"/>
          <w:u w:val="single"/>
        </w:rPr>
        <w:t>按通用条款执行。</w:t>
      </w:r>
    </w:p>
    <w:p w14:paraId="76225478">
      <w:pPr>
        <w:spacing w:line="360" w:lineRule="auto"/>
        <w:ind w:firstLine="482" w:firstLineChars="200"/>
        <w:rPr>
          <w:rFonts w:ascii="宋体" w:hAnsi="宋体" w:cs="Times New Roman"/>
          <w:b/>
          <w:color w:val="auto"/>
          <w:sz w:val="24"/>
          <w:highlight w:val="none"/>
        </w:rPr>
      </w:pPr>
      <w:r>
        <w:rPr>
          <w:rFonts w:ascii="宋体" w:hAnsi="宋体" w:cs="Times New Roman"/>
          <w:b/>
          <w:color w:val="auto"/>
          <w:sz w:val="24"/>
          <w:highlight w:val="none"/>
        </w:rPr>
        <w:t>20. 争议解决</w:t>
      </w:r>
    </w:p>
    <w:p w14:paraId="27FE0B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 争议评审</w:t>
      </w:r>
    </w:p>
    <w:p w14:paraId="4EF8A6A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合同当事人是否同意将工程争议提交争议评审小组决</w:t>
      </w:r>
      <w:r>
        <w:rPr>
          <w:rFonts w:hint="eastAsia" w:ascii="宋体" w:hAnsi="宋体" w:cs="Times New Roman"/>
          <w:color w:val="auto"/>
          <w:szCs w:val="21"/>
          <w:highlight w:val="none"/>
        </w:rPr>
        <w:t>定：</w:t>
      </w:r>
      <w:r>
        <w:rPr>
          <w:rFonts w:hint="eastAsia" w:ascii="宋体" w:hAnsi="宋体" w:cs="Times New Roman"/>
          <w:color w:val="auto"/>
          <w:szCs w:val="21"/>
          <w:highlight w:val="none"/>
          <w:u w:val="single"/>
        </w:rPr>
        <w:t xml:space="preserve">  否  </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 xml:space="preserve">。  </w:t>
      </w:r>
    </w:p>
    <w:p w14:paraId="349E27B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20.3.1 争议评审小组的确定</w:t>
      </w:r>
    </w:p>
    <w:p w14:paraId="5A36073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争议评审小组成员的确定：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CF133A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其他事项的约定：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BC41D51">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20.3.2 争议评审小组的决定</w:t>
      </w:r>
    </w:p>
    <w:p w14:paraId="46937B3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合同当事人关于本项的约定：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F5415B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20.4仲裁或诉讼</w:t>
      </w:r>
    </w:p>
    <w:p w14:paraId="17D1EB0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 xml:space="preserve">因合同及合同有关事项发生的争议，按下列第 </w:t>
      </w:r>
      <w:r>
        <w:rPr>
          <w:rFonts w:hint="eastAsia" w:ascii="宋体" w:hAnsi="宋体" w:cs="Times New Roman"/>
          <w:color w:val="auto"/>
          <w:highlight w:val="none"/>
          <w:u w:val="single"/>
        </w:rPr>
        <w:t>（2）</w:t>
      </w:r>
      <w:r>
        <w:rPr>
          <w:rFonts w:ascii="宋体" w:hAnsi="宋体" w:cs="Times New Roman"/>
          <w:color w:val="auto"/>
          <w:szCs w:val="21"/>
          <w:highlight w:val="none"/>
        </w:rPr>
        <w:t xml:space="preserve">  种方式</w:t>
      </w:r>
      <w:r>
        <w:rPr>
          <w:rFonts w:hint="eastAsia" w:ascii="宋体" w:hAnsi="宋体" w:cs="Times New Roman"/>
          <w:color w:val="auto"/>
          <w:szCs w:val="21"/>
          <w:highlight w:val="none"/>
        </w:rPr>
        <w:t>解</w:t>
      </w:r>
      <w:r>
        <w:rPr>
          <w:rFonts w:ascii="宋体" w:hAnsi="宋体" w:cs="Times New Roman"/>
          <w:color w:val="auto"/>
          <w:szCs w:val="21"/>
          <w:highlight w:val="none"/>
        </w:rPr>
        <w:t>决：</w:t>
      </w:r>
    </w:p>
    <w:p w14:paraId="41D29B6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（1）向</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w:t>
      </w:r>
      <w:r>
        <w:rPr>
          <w:rFonts w:ascii="宋体" w:hAnsi="宋体" w:cs="Times New Roman"/>
          <w:color w:val="auto"/>
          <w:szCs w:val="21"/>
          <w:highlight w:val="none"/>
          <w:u w:val="single"/>
        </w:rPr>
        <w:t xml:space="preserve">          </w:t>
      </w:r>
      <w:r>
        <w:rPr>
          <w:rFonts w:ascii="宋体" w:hAnsi="宋体" w:cs="Times New Roman"/>
          <w:color w:val="auto"/>
          <w:szCs w:val="21"/>
          <w:highlight w:val="none"/>
        </w:rPr>
        <w:t>仲裁委员会申请仲裁；</w:t>
      </w:r>
    </w:p>
    <w:p w14:paraId="1A0D646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 xml:space="preserve">（2）向 </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工程所在地 </w:t>
      </w:r>
      <w:r>
        <w:rPr>
          <w:rFonts w:ascii="宋体" w:hAnsi="宋体" w:cs="Times New Roman"/>
          <w:color w:val="auto"/>
          <w:szCs w:val="21"/>
          <w:highlight w:val="none"/>
        </w:rPr>
        <w:t>人民法院起诉。</w:t>
      </w:r>
    </w:p>
    <w:p w14:paraId="21E33BCA">
      <w:pPr>
        <w:spacing w:line="360" w:lineRule="auto"/>
        <w:ind w:firstLine="472" w:firstLineChars="196"/>
        <w:rPr>
          <w:rFonts w:ascii="宋体" w:hAnsi="宋体" w:cs="Times New Roman"/>
          <w:b/>
          <w:color w:val="auto"/>
          <w:sz w:val="24"/>
          <w:highlight w:val="none"/>
        </w:rPr>
      </w:pPr>
      <w:r>
        <w:rPr>
          <w:rFonts w:hint="eastAsia" w:ascii="宋体" w:hAnsi="宋体" w:cs="Times New Roman"/>
          <w:b/>
          <w:color w:val="auto"/>
          <w:sz w:val="24"/>
          <w:highlight w:val="none"/>
        </w:rPr>
        <w:t>21其他补充约定</w:t>
      </w:r>
    </w:p>
    <w:p w14:paraId="009C721E">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w:t>
      </w:r>
      <w:r>
        <w:rPr>
          <w:rFonts w:hint="eastAsia" w:ascii="宋体" w:hAnsi="宋体" w:cs="Times New Roman"/>
          <w:color w:val="auto"/>
          <w:highlight w:val="none"/>
          <w:u w:val="single"/>
        </w:rPr>
        <w:t>1</w:t>
      </w:r>
      <w:r>
        <w:rPr>
          <w:rFonts w:ascii="宋体" w:hAnsi="宋体" w:cs="Times New Roman"/>
          <w:color w:val="auto"/>
          <w:highlight w:val="none"/>
          <w:u w:val="single"/>
        </w:rPr>
        <w:t>承包人未按合同约定履行义务，造成工程质量低下、进度迟缓、延迟开工15天以上、管理混乱，发包人有权终止合同，没收全部履约担保，承包人应赔偿发包人因此造成的一切经济损失、依法承担相应的法律责任。</w:t>
      </w:r>
    </w:p>
    <w:p w14:paraId="6141ECFB">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21.2工程的保管</w:t>
      </w:r>
    </w:p>
    <w:p w14:paraId="499E506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21.2.1开工日后，施工场地由承包人负责保管并负担保管费用。</w:t>
      </w:r>
    </w:p>
    <w:p w14:paraId="2A33C217">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21.2.2施工期间，承包人实施的在建工程，承包人采购的物资、使用的设备，以及发包人采购但已经交付给承包人的物资、设备，由承包人负责保管并负担保管费用。</w:t>
      </w:r>
    </w:p>
    <w:p w14:paraId="700F7B6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21.2.3竣工日后到依据专用条款确定的工程移交日前，竣工工程（包括附属设备、设施），由承包人负责保管并负担保管费用。</w:t>
      </w:r>
    </w:p>
    <w:p w14:paraId="5DB3E982">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C76E256">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10DD9D3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21.3合格工程的移交</w:t>
      </w:r>
    </w:p>
    <w:p w14:paraId="0FA452B3">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617360F3">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21.3.2承包人应当向发包人实施工程移交的内容包括但不限于：</w:t>
      </w:r>
    </w:p>
    <w:p w14:paraId="4DE6469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①承包人实施承包的全部工程；</w:t>
      </w:r>
    </w:p>
    <w:p w14:paraId="224B640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②工程的全部附属设施、设备；</w:t>
      </w:r>
    </w:p>
    <w:p w14:paraId="1D20983E">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③工程竣工资料原件（包括但不限于：工程施工资料，工程质量保证资料，工程检验评定资料，规定的其他应交资料、附属设施以及设备的使用说明书、质量保证书、维修卡等）；</w:t>
      </w:r>
    </w:p>
    <w:p w14:paraId="58ED10A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④其他属于承包人移交义务的工程、设施、设备、文件资料。</w:t>
      </w:r>
    </w:p>
    <w:p w14:paraId="16F8E207">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21.4</w:t>
      </w:r>
      <w:r>
        <w:rPr>
          <w:rFonts w:hint="eastAsia" w:ascii="宋体" w:hAnsi="宋体" w:cs="Times New Roman"/>
          <w:color w:val="auto"/>
          <w:highlight w:val="none"/>
          <w:u w:val="single"/>
        </w:rPr>
        <w:t>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4A72F7EB">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5</w:t>
      </w:r>
      <w:r>
        <w:rPr>
          <w:rFonts w:hint="eastAsia" w:ascii="宋体" w:hAnsi="宋体" w:cs="Times New Roman"/>
          <w:color w:val="auto"/>
          <w:highlight w:val="none"/>
          <w:u w:val="single"/>
        </w:rPr>
        <w:t>发包人保留在签约后调整部分承包范围的权利，直至某些项目的取消，合同价做相应调整，承包人不得因此原因进行索赔。</w:t>
      </w:r>
    </w:p>
    <w:p w14:paraId="6956305C">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6</w:t>
      </w:r>
      <w:r>
        <w:rPr>
          <w:rFonts w:hint="eastAsia" w:ascii="宋体" w:hAnsi="宋体" w:cs="Times New Roman"/>
          <w:color w:val="auto"/>
          <w:highlight w:val="none"/>
          <w:u w:val="single"/>
        </w:rPr>
        <w:t>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074BBDAD">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7</w:t>
      </w:r>
      <w:r>
        <w:rPr>
          <w:rFonts w:hint="eastAsia" w:ascii="宋体" w:hAnsi="宋体" w:cs="Times New Roman"/>
          <w:color w:val="auto"/>
          <w:highlight w:val="none"/>
          <w:u w:val="single"/>
        </w:rPr>
        <w:t>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34F99131">
      <w:pPr>
        <w:spacing w:line="360" w:lineRule="auto"/>
        <w:ind w:firstLine="420" w:firstLineChars="200"/>
        <w:rPr>
          <w:rFonts w:hint="eastAsia"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8</w:t>
      </w:r>
      <w:r>
        <w:rPr>
          <w:rFonts w:hint="eastAsia" w:ascii="宋体" w:hAnsi="宋体" w:cs="Times New Roman"/>
          <w:color w:val="auto"/>
          <w:highlight w:val="none"/>
          <w:u w:val="single"/>
        </w:rPr>
        <w:t>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4A616BC0">
      <w:pPr>
        <w:adjustRightInd w:val="0"/>
        <w:snapToGrid w:val="0"/>
        <w:spacing w:line="360" w:lineRule="auto"/>
        <w:ind w:firstLine="422" w:firstLineChars="200"/>
        <w:rPr>
          <w:rFonts w:ascii="宋体" w:hAnsi="宋体" w:cs="Times New Roman"/>
          <w:color w:val="auto"/>
          <w:highlight w:val="none"/>
          <w:u w:val="single"/>
        </w:rPr>
      </w:pPr>
      <w:r>
        <w:rPr>
          <w:rFonts w:hint="eastAsia" w:ascii="宋体" w:hAnsi="宋体" w:cs="仿宋"/>
          <w:b/>
          <w:bCs/>
          <w:color w:val="auto"/>
          <w:kern w:val="44"/>
          <w:szCs w:val="21"/>
          <w:highlight w:val="none"/>
          <w:u w:val="single"/>
        </w:rPr>
        <w:t>21.</w:t>
      </w:r>
      <w:r>
        <w:rPr>
          <w:rFonts w:hint="eastAsia" w:ascii="宋体" w:hAnsi="宋体" w:cs="仿宋"/>
          <w:b/>
          <w:bCs/>
          <w:color w:val="auto"/>
          <w:kern w:val="44"/>
          <w:szCs w:val="21"/>
          <w:highlight w:val="none"/>
          <w:u w:val="single"/>
          <w:lang w:val="en-US" w:eastAsia="zh-CN"/>
        </w:rPr>
        <w:t>9</w:t>
      </w:r>
      <w:r>
        <w:rPr>
          <w:rFonts w:hint="eastAsia" w:ascii="宋体" w:hAnsi="宋体" w:cs="仿宋"/>
          <w:b/>
          <w:bCs/>
          <w:color w:val="auto"/>
          <w:kern w:val="44"/>
          <w:szCs w:val="21"/>
          <w:highlight w:val="none"/>
          <w:u w:val="single"/>
        </w:rPr>
        <w:t>承包人应无条件配合发包人甲供材料的现场施工，相关措施费计入报价中，不得因此增加合同费用，也不得再向甲供材料的供应商收取配合费。</w:t>
      </w:r>
    </w:p>
    <w:p w14:paraId="31D23269">
      <w:pPr>
        <w:adjustRightInd w:val="0"/>
        <w:snapToGrid w:val="0"/>
        <w:spacing w:line="360" w:lineRule="auto"/>
        <w:ind w:firstLine="420" w:firstLineChars="200"/>
        <w:rPr>
          <w:rFonts w:ascii="宋体" w:hAnsi="宋体" w:cs="Times New Roman"/>
          <w:color w:val="auto"/>
          <w:sz w:val="24"/>
          <w:highlight w:val="none"/>
        </w:rPr>
      </w:pPr>
      <w:bookmarkStart w:id="137" w:name="_Hlk74986491"/>
      <w:r>
        <w:rPr>
          <w:rFonts w:hint="eastAsia" w:ascii="宋体" w:hAnsi="宋体" w:cs="Times New Roman"/>
          <w:color w:val="auto"/>
          <w:highlight w:val="none"/>
          <w:u w:val="single"/>
        </w:rPr>
        <w:t>21.1</w:t>
      </w:r>
      <w:r>
        <w:rPr>
          <w:rFonts w:hint="eastAsia" w:ascii="宋体" w:hAnsi="宋体" w:cs="Times New Roman"/>
          <w:color w:val="auto"/>
          <w:highlight w:val="none"/>
          <w:u w:val="single"/>
          <w:lang w:val="en-US" w:eastAsia="zh-CN"/>
        </w:rPr>
        <w:t>0</w:t>
      </w:r>
      <w:r>
        <w:rPr>
          <w:rFonts w:hint="eastAsia" w:ascii="宋体" w:hAnsi="宋体" w:cs="Times New Roman"/>
          <w:color w:val="auto"/>
          <w:highlight w:val="none"/>
          <w:u w:val="single"/>
        </w:rPr>
        <w:t>发包人签发</w:t>
      </w:r>
      <w:bookmarkEnd w:id="137"/>
      <w:r>
        <w:rPr>
          <w:rFonts w:hint="eastAsia" w:ascii="宋体" w:hAnsi="宋体" w:cs="Times New Roman"/>
          <w:color w:val="auto"/>
          <w:highlight w:val="none"/>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0C08A370">
      <w:pPr>
        <w:spacing w:line="360" w:lineRule="auto"/>
        <w:rPr>
          <w:rFonts w:ascii="宋体" w:hAnsi="宋体" w:cs="Times New Roman"/>
          <w:b/>
          <w:color w:val="auto"/>
          <w:sz w:val="24"/>
          <w:highlight w:val="none"/>
        </w:rPr>
      </w:pPr>
      <w:r>
        <w:rPr>
          <w:rFonts w:hint="eastAsia" w:ascii="宋体" w:hAnsi="宋体" w:cs="Times New Roman"/>
          <w:b/>
          <w:color w:val="auto"/>
          <w:sz w:val="24"/>
          <w:highlight w:val="none"/>
        </w:rPr>
        <w:t>附件</w:t>
      </w:r>
    </w:p>
    <w:p w14:paraId="0973F0A4">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rPr>
        <w:t>：工程质量保修书</w:t>
      </w:r>
    </w:p>
    <w:p w14:paraId="62ABEDAE">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2</w:t>
      </w:r>
      <w:r>
        <w:rPr>
          <w:rFonts w:hint="eastAsia" w:ascii="宋体" w:hAnsi="宋体" w:cs="宋体"/>
          <w:color w:val="auto"/>
          <w:szCs w:val="21"/>
          <w:highlight w:val="none"/>
        </w:rPr>
        <w:t>：廉政建设合同</w:t>
      </w:r>
    </w:p>
    <w:p w14:paraId="64D0FCB4">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3</w:t>
      </w:r>
      <w:r>
        <w:rPr>
          <w:rFonts w:hint="eastAsia" w:ascii="宋体" w:hAnsi="宋体" w:cs="宋体"/>
          <w:color w:val="auto"/>
          <w:szCs w:val="21"/>
          <w:highlight w:val="none"/>
        </w:rPr>
        <w:t>：安全生产合同</w:t>
      </w:r>
    </w:p>
    <w:p w14:paraId="62B9E38E">
      <w:pPr>
        <w:rPr>
          <w:rFonts w:hint="eastAsia" w:ascii="宋体" w:hAnsi="宋体" w:cs="Times New Roman"/>
          <w:color w:val="auto"/>
          <w:highlight w:val="none"/>
        </w:rPr>
      </w:pPr>
      <w:r>
        <w:rPr>
          <w:rFonts w:hint="eastAsia" w:ascii="宋体" w:hAnsi="宋体" w:cs="Times New Roman"/>
          <w:color w:val="auto"/>
          <w:highlight w:val="none"/>
        </w:rPr>
        <w:t>附件4：主要材料（设备）清单</w:t>
      </w:r>
    </w:p>
    <w:p w14:paraId="2BD43FDD">
      <w:pPr>
        <w:rPr>
          <w:rFonts w:ascii="宋体" w:hAnsi="宋体" w:cs="Times New Roman"/>
          <w:color w:val="auto"/>
          <w:highlight w:val="none"/>
        </w:rPr>
      </w:pPr>
      <w:r>
        <w:rPr>
          <w:rFonts w:hint="eastAsia" w:ascii="宋体" w:hAnsi="宋体" w:cs="Times New Roman"/>
          <w:color w:val="auto"/>
          <w:highlight w:val="none"/>
        </w:rPr>
        <w:t>附件5：营业执照和相关资质</w:t>
      </w:r>
    </w:p>
    <w:p w14:paraId="1F472B4E">
      <w:pPr>
        <w:spacing w:line="360" w:lineRule="auto"/>
        <w:rPr>
          <w:rFonts w:ascii="宋体" w:hAnsi="宋体" w:cs="Times New Roman"/>
          <w:color w:val="auto"/>
          <w:sz w:val="30"/>
          <w:highlight w:val="none"/>
        </w:rPr>
      </w:pPr>
      <w:r>
        <w:rPr>
          <w:rFonts w:ascii="宋体" w:hAnsi="宋体" w:cs="Times New Roman"/>
          <w:color w:val="auto"/>
          <w:sz w:val="30"/>
          <w:highlight w:val="none"/>
        </w:rPr>
        <w:br w:type="page"/>
      </w:r>
      <w:r>
        <w:rPr>
          <w:rFonts w:hint="eastAsia" w:ascii="宋体" w:hAnsi="宋体" w:cs="Times New Roman"/>
          <w:color w:val="auto"/>
          <w:sz w:val="30"/>
          <w:highlight w:val="none"/>
        </w:rPr>
        <w:t>附件1：</w:t>
      </w:r>
    </w:p>
    <w:p w14:paraId="0C171B5C">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工程质量保修书</w:t>
      </w:r>
    </w:p>
    <w:p w14:paraId="018267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Times New Roman"/>
          <w:color w:val="auto"/>
          <w:highlight w:val="none"/>
          <w:u w:val="single"/>
        </w:rPr>
        <w:t>浙江中医药大学</w:t>
      </w:r>
      <w:r>
        <w:rPr>
          <w:rFonts w:hint="eastAsia" w:ascii="宋体" w:hAnsi="宋体" w:cs="宋体"/>
          <w:color w:val="auto"/>
          <w:szCs w:val="21"/>
          <w:highlight w:val="none"/>
          <w:u w:val="single"/>
        </w:rPr>
        <w:t xml:space="preserve">                    </w:t>
      </w:r>
    </w:p>
    <w:p w14:paraId="3AA26505">
      <w:pPr>
        <w:spacing w:line="360" w:lineRule="auto"/>
        <w:rPr>
          <w:rFonts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Times New Roman"/>
          <w:color w:val="auto"/>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Times New Roman"/>
          <w:color w:val="auto"/>
          <w:highlight w:val="none"/>
          <w:u w:val="single"/>
        </w:rPr>
        <w:t xml:space="preserve">    </w:t>
      </w:r>
    </w:p>
    <w:p w14:paraId="01F8575B">
      <w:pPr>
        <w:spacing w:line="360" w:lineRule="auto"/>
        <w:rPr>
          <w:rFonts w:ascii="宋体" w:hAnsi="宋体" w:cs="宋体"/>
          <w:color w:val="auto"/>
          <w:szCs w:val="21"/>
          <w:highlight w:val="none"/>
        </w:rPr>
      </w:pPr>
    </w:p>
    <w:p w14:paraId="7BE67EBA">
      <w:pPr>
        <w:spacing w:line="360" w:lineRule="auto"/>
        <w:rPr>
          <w:rFonts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bCs/>
          <w:color w:val="auto"/>
          <w:szCs w:val="21"/>
          <w:highlight w:val="none"/>
          <w:u w:val="single"/>
          <w:lang w:eastAsia="zh-CN"/>
        </w:rPr>
        <w:t>浙江中医药大学文磊教授实验室改造项目</w:t>
      </w:r>
      <w:r>
        <w:rPr>
          <w:rFonts w:hint="eastAsia" w:ascii="宋体" w:hAnsi="宋体" w:cs="宋体"/>
          <w:color w:val="auto"/>
          <w:szCs w:val="21"/>
          <w:highlight w:val="none"/>
        </w:rPr>
        <w:t>（工程全称）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签订工程质量保修书。</w:t>
      </w:r>
    </w:p>
    <w:p w14:paraId="6738A0CE">
      <w:pPr>
        <w:spacing w:line="360" w:lineRule="auto"/>
        <w:rPr>
          <w:rFonts w:ascii="宋体" w:hAnsi="宋体" w:cs="宋体"/>
          <w:color w:val="auto"/>
          <w:szCs w:val="21"/>
          <w:highlight w:val="none"/>
        </w:rPr>
      </w:pPr>
      <w:r>
        <w:rPr>
          <w:rFonts w:hint="eastAsia" w:ascii="宋体" w:hAnsi="宋体" w:cs="宋体"/>
          <w:color w:val="auto"/>
          <w:szCs w:val="21"/>
          <w:highlight w:val="none"/>
        </w:rPr>
        <w:t>　　一、工程质量保修范围和内容</w:t>
      </w:r>
    </w:p>
    <w:p w14:paraId="1A44FCB3">
      <w:pPr>
        <w:spacing w:line="360" w:lineRule="auto"/>
        <w:rPr>
          <w:rFonts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364BC9DB">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Times New Roman"/>
          <w:color w:val="auto"/>
          <w:highlight w:val="none"/>
          <w:u w:val="single"/>
        </w:rPr>
        <w:t xml:space="preserve">  合同范围内所有工作内容   </w:t>
      </w:r>
      <w:r>
        <w:rPr>
          <w:rFonts w:hint="eastAsia" w:ascii="宋体" w:hAnsi="宋体" w:cs="宋体"/>
          <w:color w:val="auto"/>
          <w:szCs w:val="21"/>
          <w:highlight w:val="none"/>
        </w:rPr>
        <w:t>。</w:t>
      </w:r>
    </w:p>
    <w:p w14:paraId="75DD5010">
      <w:pPr>
        <w:spacing w:line="360" w:lineRule="auto"/>
        <w:rPr>
          <w:rFonts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1D5B5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0C7A8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2CCC8C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3A383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4BCD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E1855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个采暖期、供冷期；</w:t>
      </w:r>
    </w:p>
    <w:p w14:paraId="1844A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EBAF3BA">
      <w:pPr>
        <w:spacing w:line="360" w:lineRule="auto"/>
        <w:ind w:firstLine="420" w:firstLineChars="200"/>
        <w:rPr>
          <w:rFonts w:ascii="宋体" w:hAnsi="宋体" w:cs="Times New Roman"/>
          <w:color w:val="auto"/>
          <w:highlight w:val="none"/>
          <w:u w:val="single"/>
        </w:rPr>
      </w:pPr>
      <w:r>
        <w:rPr>
          <w:rFonts w:hint="eastAsia" w:ascii="宋体" w:hAnsi="宋体" w:cs="宋体"/>
          <w:color w:val="auto"/>
          <w:szCs w:val="21"/>
          <w:highlight w:val="none"/>
        </w:rPr>
        <w:t>7．</w:t>
      </w:r>
      <w:r>
        <w:rPr>
          <w:rFonts w:hint="eastAsia" w:ascii="宋体" w:hAnsi="宋体" w:cs="Times New Roman"/>
          <w:color w:val="auto"/>
          <w:highlight w:val="none"/>
          <w:u w:val="single"/>
        </w:rPr>
        <w:t xml:space="preserve">本合同所有工程内容质保期 </w:t>
      </w:r>
      <w:r>
        <w:rPr>
          <w:rFonts w:hint="eastAsia" w:ascii="宋体" w:hAnsi="宋体" w:cs="Times New Roman"/>
          <w:color w:val="auto"/>
          <w:highlight w:val="none"/>
          <w:u w:val="single"/>
          <w:lang w:val="en-US" w:eastAsia="zh-CN"/>
        </w:rPr>
        <w:t xml:space="preserve">  </w:t>
      </w:r>
      <w:r>
        <w:rPr>
          <w:rFonts w:hint="eastAsia" w:ascii="宋体" w:hAnsi="宋体" w:cs="Times New Roman"/>
          <w:color w:val="auto"/>
          <w:highlight w:val="none"/>
          <w:u w:val="single"/>
        </w:rPr>
        <w:t>年，时间从本项目整体竣工验收合格并交付发包人使用之日起算</w:t>
      </w:r>
      <w:r>
        <w:rPr>
          <w:rFonts w:hint="eastAsia" w:ascii="宋体" w:hAnsi="宋体" w:cs="宋体"/>
          <w:color w:val="auto"/>
          <w:szCs w:val="21"/>
          <w:highlight w:val="none"/>
        </w:rPr>
        <w:t>；</w:t>
      </w:r>
    </w:p>
    <w:p w14:paraId="162D58F2">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17948A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三、缺陷责任期</w:t>
      </w:r>
    </w:p>
    <w:p w14:paraId="4C58EE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ascii="宋体" w:hAnsi="宋体" w:cs="宋体"/>
          <w:color w:val="auto"/>
          <w:szCs w:val="21"/>
          <w:highlight w:val="none"/>
        </w:rPr>
        <w:t>缺陷责任期自工程</w:t>
      </w:r>
      <w:r>
        <w:rPr>
          <w:rFonts w:hint="eastAsia" w:ascii="宋体" w:hAnsi="宋体" w:cs="宋体"/>
          <w:color w:val="auto"/>
          <w:szCs w:val="21"/>
          <w:highlight w:val="none"/>
        </w:rPr>
        <w:t>通过竣工验收</w:t>
      </w:r>
      <w:r>
        <w:rPr>
          <w:rFonts w:ascii="宋体" w:hAnsi="宋体" w:cs="宋体"/>
          <w:color w:val="auto"/>
          <w:szCs w:val="21"/>
          <w:highlight w:val="none"/>
        </w:rPr>
        <w:t>之日起计算。单位工程先于全部工程进行验收，单位工程缺陷责任期自单位工程验收合格之日起算。</w:t>
      </w:r>
    </w:p>
    <w:p w14:paraId="71A2DB8D">
      <w:pPr>
        <w:adjustRightInd w:val="0"/>
        <w:snapToGrid w:val="0"/>
        <w:spacing w:line="360" w:lineRule="auto"/>
        <w:ind w:firstLine="420" w:firstLineChars="200"/>
        <w:rPr>
          <w:rFonts w:ascii="宋体" w:hAnsi="宋体" w:cs="Times New Roman"/>
          <w:color w:val="auto"/>
          <w:szCs w:val="21"/>
          <w:highlight w:val="none"/>
        </w:rPr>
      </w:pPr>
      <w:r>
        <w:rPr>
          <w:rFonts w:hint="eastAsia" w:ascii="宋体" w:hAnsi="宋体" w:cs="宋体"/>
          <w:color w:val="auto"/>
          <w:szCs w:val="21"/>
          <w:highlight w:val="none"/>
        </w:rPr>
        <w:t>缺陷责任期终止后，发包人退还的质量保证金。</w:t>
      </w:r>
    </w:p>
    <w:p w14:paraId="09FF034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四、质量保修责任</w:t>
      </w:r>
    </w:p>
    <w:p w14:paraId="775D44EC">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1．质保期内属于保修范围、内容的项目，承包人应当在接到保修通知之日起24小时内派人维修，紧急情况下2小时内派人维修。承包人不在约定期限内派人保修的，发包人可以委托他人修理。</w:t>
      </w:r>
    </w:p>
    <w:p w14:paraId="12631D54">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47717F22">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68677A74">
      <w:pPr>
        <w:spacing w:line="360" w:lineRule="auto"/>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CA1F08E">
      <w:pPr>
        <w:spacing w:line="360" w:lineRule="auto"/>
        <w:rPr>
          <w:rFonts w:ascii="宋体" w:hAnsi="宋体" w:cs="宋体"/>
          <w:color w:val="auto"/>
          <w:szCs w:val="21"/>
          <w:highlight w:val="none"/>
        </w:rPr>
      </w:pPr>
      <w:r>
        <w:rPr>
          <w:rFonts w:hint="eastAsia" w:ascii="宋体" w:hAnsi="宋体" w:cs="宋体"/>
          <w:color w:val="auto"/>
          <w:szCs w:val="21"/>
          <w:highlight w:val="none"/>
        </w:rPr>
        <w:t>　　 五、保修费用</w:t>
      </w:r>
    </w:p>
    <w:p w14:paraId="4DCF0C06">
      <w:pPr>
        <w:spacing w:line="360" w:lineRule="auto"/>
        <w:rPr>
          <w:rFonts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3873D832">
      <w:pPr>
        <w:spacing w:line="360" w:lineRule="auto"/>
        <w:rPr>
          <w:rFonts w:ascii="宋体" w:hAnsi="宋体" w:cs="Times New Roman"/>
          <w:color w:val="auto"/>
          <w:highlight w:val="none"/>
          <w:u w:val="singl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六、双方约定的其他工程质量保修事项：</w:t>
      </w:r>
    </w:p>
    <w:p w14:paraId="72975B3E">
      <w:pPr>
        <w:spacing w:line="360" w:lineRule="auto"/>
        <w:ind w:firstLine="504" w:firstLineChars="24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22C896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w:t>
      </w:r>
    </w:p>
    <w:p w14:paraId="0EA10CDC">
      <w:pPr>
        <w:spacing w:line="360" w:lineRule="auto"/>
        <w:ind w:firstLine="420" w:firstLineChars="200"/>
        <w:rPr>
          <w:rFonts w:ascii="宋体" w:hAnsi="宋体" w:cs="Times New Roman"/>
          <w:color w:val="auto"/>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浙江中医药大学</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承包人(公章)：</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463942C2">
      <w:pPr>
        <w:spacing w:line="360" w:lineRule="auto"/>
        <w:ind w:left="5670" w:leftChars="200" w:right="-624" w:rightChars="-297" w:hanging="5250" w:hangingChars="2500"/>
        <w:rPr>
          <w:rFonts w:ascii="宋体" w:hAnsi="宋体" w:cs="Times New Roman"/>
          <w:color w:val="auto"/>
          <w:highlight w:val="none"/>
        </w:rPr>
      </w:pPr>
      <w:r>
        <w:rPr>
          <w:rFonts w:hint="eastAsia" w:ascii="宋体" w:hAnsi="宋体" w:cs="宋体"/>
          <w:color w:val="auto"/>
          <w:szCs w:val="21"/>
          <w:highlight w:val="none"/>
        </w:rPr>
        <w:t>地  址：</w:t>
      </w:r>
      <w:r>
        <w:rPr>
          <w:rFonts w:hint="eastAsia" w:ascii="宋体" w:hAnsi="宋体" w:cs="Times New Roman"/>
          <w:color w:val="auto"/>
          <w:highlight w:val="none"/>
          <w:u w:val="single"/>
        </w:rPr>
        <w:t>杭州市滨江区滨文路</w:t>
      </w:r>
      <w:r>
        <w:rPr>
          <w:rFonts w:ascii="宋体" w:hAnsi="宋体" w:cs="Times New Roman"/>
          <w:color w:val="auto"/>
          <w:highlight w:val="none"/>
          <w:u w:val="single"/>
        </w:rPr>
        <w:t>548</w:t>
      </w:r>
      <w:r>
        <w:rPr>
          <w:rFonts w:hint="eastAsia" w:ascii="宋体" w:hAnsi="宋体" w:cs="Times New Roman"/>
          <w:color w:val="auto"/>
          <w:highlight w:val="none"/>
          <w:u w:val="single"/>
        </w:rPr>
        <w:t>号</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179A3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法定代表人(签字)：</w:t>
      </w:r>
      <w:r>
        <w:rPr>
          <w:rFonts w:hint="eastAsia" w:ascii="宋体" w:hAnsi="宋体" w:cs="Times New Roman"/>
          <w:color w:val="auto"/>
          <w:highlight w:val="none"/>
          <w:u w:val="single"/>
        </w:rPr>
        <w:t xml:space="preserve">       </w:t>
      </w:r>
    </w:p>
    <w:p w14:paraId="7C6D70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Times New Roman"/>
          <w:color w:val="auto"/>
          <w:highlight w:val="none"/>
          <w:u w:val="single"/>
        </w:rPr>
        <w:t xml:space="preserve">       </w:t>
      </w:r>
    </w:p>
    <w:p w14:paraId="3AACD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052CC8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690804EB">
      <w:pPr>
        <w:spacing w:line="360" w:lineRule="auto"/>
        <w:ind w:left="5880" w:leftChars="200" w:right="-624" w:rightChars="-297" w:hanging="5460" w:hangingChars="26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Times New Roman"/>
          <w:color w:val="auto"/>
          <w:highlight w:val="none"/>
          <w:u w:val="single"/>
        </w:rPr>
        <w:t>工商银行景江苑支行</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03B68975">
      <w:pPr>
        <w:spacing w:line="360" w:lineRule="auto"/>
        <w:ind w:right="-624" w:rightChars="-297"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  号：</w:t>
      </w:r>
      <w:r>
        <w:rPr>
          <w:rFonts w:ascii="宋体" w:hAnsi="宋体" w:cs="宋体"/>
          <w:color w:val="auto"/>
          <w:szCs w:val="21"/>
          <w:highlight w:val="none"/>
          <w:u w:val="single"/>
        </w:rPr>
        <w:t xml:space="preserve">1202023419100001174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p>
    <w:p w14:paraId="0441D3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310053</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57D35C97">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br w:type="page"/>
      </w:r>
      <w:bookmarkEnd w:id="97"/>
      <w:r>
        <w:rPr>
          <w:rFonts w:hint="eastAsia" w:ascii="宋体" w:hAnsi="宋体" w:cs="Times New Roman"/>
          <w:color w:val="auto"/>
          <w:sz w:val="30"/>
          <w:highlight w:val="none"/>
        </w:rPr>
        <w:t>附件</w:t>
      </w:r>
      <w:r>
        <w:rPr>
          <w:rFonts w:ascii="宋体" w:hAnsi="宋体" w:cs="Times New Roman"/>
          <w:color w:val="auto"/>
          <w:sz w:val="30"/>
          <w:highlight w:val="none"/>
        </w:rPr>
        <w:t>2</w:t>
      </w:r>
      <w:r>
        <w:rPr>
          <w:rFonts w:hint="eastAsia" w:ascii="宋体" w:hAnsi="宋体" w:cs="Times New Roman"/>
          <w:color w:val="auto"/>
          <w:sz w:val="30"/>
          <w:highlight w:val="none"/>
        </w:rPr>
        <w:t>：</w:t>
      </w:r>
    </w:p>
    <w:p w14:paraId="66CF5B9B">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廉政建设合同</w:t>
      </w:r>
    </w:p>
    <w:p w14:paraId="017B42D0">
      <w:pPr>
        <w:spacing w:line="360" w:lineRule="auto"/>
        <w:jc w:val="center"/>
        <w:rPr>
          <w:rFonts w:ascii="宋体" w:hAnsi="宋体" w:cs="宋体"/>
          <w:color w:val="auto"/>
          <w:szCs w:val="21"/>
          <w:highlight w:val="none"/>
        </w:rPr>
      </w:pPr>
    </w:p>
    <w:p w14:paraId="4AD39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根据有关工程建设、廉政建设的规定，为做好工程建设中的党风廉政建设，保证工程建设高效优质，保证建设资金的安全和有效使用以及投资效益，</w:t>
      </w:r>
      <w:r>
        <w:rPr>
          <w:rFonts w:hint="eastAsia" w:ascii="宋体" w:hAnsi="宋体" w:cs="Times New Roman"/>
          <w:color w:val="auto"/>
          <w:highlight w:val="none"/>
          <w:u w:val="single"/>
          <w:lang w:eastAsia="zh-CN"/>
        </w:rPr>
        <w:t>浙江中医药大学文磊教授实验室改造项目</w:t>
      </w:r>
      <w:r>
        <w:rPr>
          <w:rFonts w:hint="eastAsia" w:ascii="宋体" w:hAnsi="宋体" w:cs="宋体"/>
          <w:color w:val="auto"/>
          <w:szCs w:val="21"/>
          <w:highlight w:val="none"/>
        </w:rPr>
        <w:t>的项目法人</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浙江中医药大学</w:t>
      </w:r>
      <w:r>
        <w:rPr>
          <w:rFonts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（以下简称发包人）与施工单位</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（以下简称承包人），特订立如下合同。</w:t>
      </w:r>
    </w:p>
    <w:p w14:paraId="42E40D1D">
      <w:pPr>
        <w:tabs>
          <w:tab w:val="left" w:pos="36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第一条 双方的权利和义务</w:t>
      </w:r>
    </w:p>
    <w:p w14:paraId="5E28D57C">
      <w:pPr>
        <w:widowControl/>
        <w:numPr>
          <w:ilvl w:val="0"/>
          <w:numId w:val="4"/>
        </w:numPr>
        <w:tabs>
          <w:tab w:val="left" w:pos="3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严格遵守党和国家有关法律法规的有关规定。 </w:t>
      </w:r>
    </w:p>
    <w:p w14:paraId="62FCF4E1">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（二）严格执行</w:t>
      </w:r>
      <w:r>
        <w:rPr>
          <w:rFonts w:hint="eastAsia" w:ascii="宋体" w:hAnsi="宋体" w:cs="Times New Roman"/>
          <w:color w:val="auto"/>
          <w:highlight w:val="none"/>
          <w:u w:val="single"/>
          <w:lang w:eastAsia="zh-CN"/>
        </w:rPr>
        <w:t>浙江中医药大学文磊教授实验室改造项目</w:t>
      </w:r>
      <w:r>
        <w:rPr>
          <w:rFonts w:hint="eastAsia" w:ascii="宋体" w:hAnsi="宋体" w:cs="宋体"/>
          <w:color w:val="auto"/>
          <w:szCs w:val="21"/>
          <w:highlight w:val="none"/>
        </w:rPr>
        <w:t>的合同文件，自觉按合同办事。</w:t>
      </w:r>
    </w:p>
    <w:p w14:paraId="170C5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（三）双方的业务活动坚持公开、公正、诚信、透明的原则（除法律认定的商业机密和合同文件另有规定之外），不得损害国家和集体利益，违反工程建设管理规章制度。</w:t>
      </w:r>
    </w:p>
    <w:p w14:paraId="419A4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14:paraId="7A0F5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14:paraId="5C369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（六）发现对方严重违反本合同义务条款的行为，有向其上级有关部门举报、建议给予处分并要求告知处理结果的权利。</w:t>
      </w:r>
    </w:p>
    <w:p w14:paraId="1B5E44BD">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第二条 发包人的义务</w:t>
      </w:r>
    </w:p>
    <w:p w14:paraId="18ADEA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（一）发包人及其工作人员不得索要和接受承包人的礼金、有价证券和贵重物品，不得在承包人报销任何由发包人或个人支付的费用等。</w:t>
      </w:r>
    </w:p>
    <w:p w14:paraId="402730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（二）发包人工作人员不得参加承包人安排的超标准宴请和娱乐活动；不得接受承包人提供的通讯工具、交通工具和高档办公用品等。</w:t>
      </w:r>
    </w:p>
    <w:p w14:paraId="589409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（三）发包人及其工作人员不得要求或者接受承包人为其住房装修、婚丧嫁娶活动、配偶子女的工作安排以及出国出境、旅游等提供方便等。</w:t>
      </w:r>
    </w:p>
    <w:p w14:paraId="5EA44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（四）发包人工作人员的配偶、子女不得从事与发包人工程有关的材料设备供应、工程分包、劳务等经济活动。</w:t>
      </w:r>
    </w:p>
    <w:p w14:paraId="3BACF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（五）发包人及其工作人员不得以任何理由向承包人推荐分包单位，不得要求承包人购买合同规定外的材料和设备。</w:t>
      </w:r>
    </w:p>
    <w:p w14:paraId="0B84BB53">
      <w:pPr>
        <w:tabs>
          <w:tab w:val="left" w:pos="720"/>
          <w:tab w:val="left" w:pos="900"/>
          <w:tab w:val="left" w:pos="288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第三条 承包人义务</w:t>
      </w:r>
    </w:p>
    <w:p w14:paraId="59BF4CE1">
      <w:pPr>
        <w:tabs>
          <w:tab w:val="left" w:pos="720"/>
          <w:tab w:val="left" w:pos="900"/>
          <w:tab w:val="left" w:pos="28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（一）承包人不得以任何理由向发包人及其工作人员行贿或馈赠礼金、有价证券、贵重礼品。</w:t>
      </w:r>
    </w:p>
    <w:p w14:paraId="67A50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（二）承包人不得以任何名义向发包人及其工作人员报销应由发包人或个人支付的任何费用。</w:t>
      </w:r>
    </w:p>
    <w:p w14:paraId="3CB2F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（三）承包人不得以任何理由安排发包人及其工作人员参加超标准宴请及娱乐活动。承包人不得为发包人或个人购置或提供通讯工具、交通工具和高档办公用品等。</w:t>
      </w:r>
    </w:p>
    <w:p w14:paraId="2669F4CA">
      <w:pPr>
        <w:tabs>
          <w:tab w:val="left" w:pos="1800"/>
          <w:tab w:val="left" w:pos="216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第四条 违约责任</w:t>
      </w:r>
    </w:p>
    <w:p w14:paraId="5A3388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（一）发包人及其工作人员违反本合同第一、二条，按管理权限，根据有关规定，给予党纪、政纪或组织处理；涉嫌犯罪的移交司法机关追究刑事责任；给承包人造成经济损失的，应予以赔偿。</w:t>
      </w:r>
    </w:p>
    <w:p w14:paraId="77F6C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5CAFE888">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第五条 双方约定：</w:t>
      </w:r>
    </w:p>
    <w:p w14:paraId="73A856D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89DEEE3">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第六条</w:t>
      </w:r>
      <w:r>
        <w:rPr>
          <w:rFonts w:hint="eastAsia" w:ascii="宋体" w:hAnsi="宋体" w:cs="宋体"/>
          <w:color w:val="auto"/>
          <w:szCs w:val="21"/>
          <w:highlight w:val="none"/>
        </w:rPr>
        <w:t xml:space="preserve"> 本合同有效期为发包人与承包人双方签署之日起至该工程项目竣工验收后止。</w:t>
      </w:r>
    </w:p>
    <w:p w14:paraId="23518194">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 xml:space="preserve">第七条 </w:t>
      </w:r>
      <w:r>
        <w:rPr>
          <w:rFonts w:hint="eastAsia" w:ascii="宋体" w:hAnsi="宋体" w:cs="宋体"/>
          <w:color w:val="auto"/>
          <w:szCs w:val="21"/>
          <w:highlight w:val="none"/>
        </w:rPr>
        <w:t>本合同作为</w:t>
      </w:r>
      <w:r>
        <w:rPr>
          <w:rFonts w:hint="eastAsia" w:ascii="宋体" w:hAnsi="宋体" w:cs="Times New Roman"/>
          <w:color w:val="auto"/>
          <w:highlight w:val="none"/>
          <w:u w:val="single"/>
          <w:lang w:eastAsia="zh-CN"/>
        </w:rPr>
        <w:t>浙江中医药大学文磊教授实验室改造项目</w:t>
      </w:r>
      <w:r>
        <w:rPr>
          <w:rFonts w:hint="eastAsia" w:ascii="宋体" w:hAnsi="宋体" w:cs="宋体"/>
          <w:color w:val="auto"/>
          <w:szCs w:val="21"/>
          <w:highlight w:val="none"/>
        </w:rPr>
        <w:t>施工合同的附件，与施工合同具有同等的法律效力，经合同双方签署立即生效。</w:t>
      </w:r>
    </w:p>
    <w:p w14:paraId="3A7CF5B9">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 xml:space="preserve">第八条 </w:t>
      </w:r>
      <w:r>
        <w:rPr>
          <w:rFonts w:hint="eastAsia" w:ascii="宋体" w:hAnsi="宋体" w:cs="宋体"/>
          <w:color w:val="auto"/>
          <w:szCs w:val="21"/>
          <w:highlight w:val="none"/>
        </w:rPr>
        <w:t>本合同发包人与承包人双方各执三份，送交双方监督单位各一份。</w:t>
      </w:r>
    </w:p>
    <w:p w14:paraId="483F3A67">
      <w:pPr>
        <w:spacing w:line="360" w:lineRule="auto"/>
        <w:rPr>
          <w:rFonts w:ascii="宋体" w:hAnsi="宋体" w:cs="Times New Roman"/>
          <w:color w:val="auto"/>
          <w:highlight w:val="none"/>
          <w:u w:val="single"/>
        </w:rPr>
      </w:pPr>
      <w:bookmarkStart w:id="138" w:name="_Hlk74481593"/>
      <w:r>
        <w:rPr>
          <w:rFonts w:hint="eastAsia" w:ascii="宋体" w:hAnsi="宋体" w:cs="宋体"/>
          <w:color w:val="auto"/>
          <w:szCs w:val="21"/>
          <w:highlight w:val="none"/>
        </w:rPr>
        <w:t>发包人：浙江中医药大学</w:t>
      </w:r>
      <w:r>
        <w:rPr>
          <w:rFonts w:hint="eastAsia" w:ascii="宋体" w:hAnsi="宋体" w:cs="Times New Roman"/>
          <w:color w:val="auto"/>
          <w:highlight w:val="none"/>
          <w:u w:val="single"/>
        </w:rPr>
        <w:t xml:space="preserve">（公章）    </w:t>
      </w:r>
      <w:r>
        <w:rPr>
          <w:rFonts w:hint="eastAsia" w:ascii="宋体" w:hAnsi="宋体" w:cs="宋体"/>
          <w:color w:val="auto"/>
          <w:szCs w:val="21"/>
          <w:highlight w:val="none"/>
        </w:rPr>
        <w:t xml:space="preserve">     承包人：</w:t>
      </w:r>
      <w:r>
        <w:rPr>
          <w:rFonts w:hint="eastAsia" w:ascii="宋体" w:hAnsi="宋体" w:cs="宋体"/>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Times New Roman"/>
          <w:color w:val="auto"/>
          <w:highlight w:val="none"/>
          <w:u w:val="single"/>
        </w:rPr>
        <w:t xml:space="preserve">  （公章） </w:t>
      </w:r>
    </w:p>
    <w:p w14:paraId="59D58BD8">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法定代表人或委托代理人：</w:t>
      </w:r>
    </w:p>
    <w:p w14:paraId="5629A6AE">
      <w:pPr>
        <w:spacing w:line="360" w:lineRule="auto"/>
        <w:rPr>
          <w:rFonts w:ascii="宋体" w:hAnsi="宋体" w:cs="宋体"/>
          <w:color w:val="auto"/>
          <w:szCs w:val="21"/>
          <w:highlight w:val="none"/>
        </w:rPr>
      </w:pPr>
      <w:bookmarkStart w:id="139" w:name="_Hlk74481629"/>
      <w:r>
        <w:rPr>
          <w:rFonts w:hint="eastAsia" w:ascii="宋体" w:hAnsi="宋体" w:cs="宋体"/>
          <w:color w:val="auto"/>
          <w:szCs w:val="21"/>
          <w:highlight w:val="none"/>
        </w:rPr>
        <w:t>地    址：杭州市滨江区滨文路</w:t>
      </w:r>
      <w:r>
        <w:rPr>
          <w:rFonts w:ascii="宋体" w:hAnsi="宋体" w:cs="宋体"/>
          <w:color w:val="auto"/>
          <w:szCs w:val="21"/>
          <w:highlight w:val="none"/>
        </w:rPr>
        <w:t>548</w:t>
      </w:r>
      <w:r>
        <w:rPr>
          <w:rFonts w:hint="eastAsia" w:ascii="宋体" w:hAnsi="宋体" w:cs="宋体"/>
          <w:color w:val="auto"/>
          <w:szCs w:val="21"/>
          <w:highlight w:val="none"/>
        </w:rPr>
        <w:t xml:space="preserve">号 </w:t>
      </w:r>
      <w:r>
        <w:rPr>
          <w:rFonts w:ascii="宋体" w:hAnsi="宋体" w:cs="宋体"/>
          <w:color w:val="auto"/>
          <w:szCs w:val="21"/>
          <w:highlight w:val="none"/>
        </w:rPr>
        <w:t xml:space="preserve">     </w:t>
      </w:r>
      <w:r>
        <w:rPr>
          <w:rFonts w:hint="eastAsia" w:ascii="宋体" w:hAnsi="宋体" w:cs="宋体"/>
          <w:color w:val="auto"/>
          <w:szCs w:val="21"/>
          <w:highlight w:val="none"/>
        </w:rPr>
        <w:t>地    址：</w:t>
      </w:r>
    </w:p>
    <w:p w14:paraId="667D946C">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rPr>
        <w:t>310053</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p>
    <w:p w14:paraId="32A9969F">
      <w:pPr>
        <w:spacing w:line="360" w:lineRule="auto"/>
        <w:rPr>
          <w:rFonts w:ascii="宋体" w:hAnsi="宋体" w:cs="Times New Roman"/>
          <w:color w:val="auto"/>
          <w:sz w:val="30"/>
          <w:highlight w:val="none"/>
        </w:rPr>
      </w:pPr>
      <w:r>
        <w:rPr>
          <w:rFonts w:hint="eastAsia" w:ascii="宋体" w:hAnsi="宋体" w:cs="宋体"/>
          <w:color w:val="auto"/>
          <w:szCs w:val="21"/>
          <w:highlight w:val="none"/>
        </w:rPr>
        <w:t xml:space="preserve">电    话：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bookmarkEnd w:id="138"/>
      <w:bookmarkEnd w:id="139"/>
      <w:r>
        <w:rPr>
          <w:rFonts w:hint="eastAsia" w:ascii="宋体" w:hAnsi="宋体" w:cs="宋体"/>
          <w:color w:val="auto"/>
          <w:sz w:val="30"/>
          <w:szCs w:val="30"/>
          <w:highlight w:val="none"/>
        </w:rPr>
        <w:t xml:space="preserve"> </w:t>
      </w:r>
      <w:bookmarkStart w:id="140" w:name="_Toc237256590"/>
      <w:bookmarkStart w:id="141" w:name="_Toc276907132"/>
      <w:bookmarkStart w:id="142" w:name="_Toc237979988"/>
    </w:p>
    <w:p w14:paraId="08036E8D">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br w:type="page"/>
      </w:r>
      <w:bookmarkEnd w:id="140"/>
      <w:bookmarkEnd w:id="141"/>
      <w:bookmarkEnd w:id="142"/>
      <w:r>
        <w:rPr>
          <w:rFonts w:hint="eastAsia" w:ascii="宋体" w:hAnsi="宋体" w:cs="Times New Roman"/>
          <w:color w:val="auto"/>
          <w:sz w:val="30"/>
          <w:highlight w:val="none"/>
        </w:rPr>
        <w:t>附件</w:t>
      </w:r>
      <w:r>
        <w:rPr>
          <w:rFonts w:ascii="宋体" w:hAnsi="宋体" w:cs="Times New Roman"/>
          <w:color w:val="auto"/>
          <w:sz w:val="30"/>
          <w:highlight w:val="none"/>
        </w:rPr>
        <w:t>3</w:t>
      </w:r>
      <w:r>
        <w:rPr>
          <w:rFonts w:hint="eastAsia" w:ascii="宋体" w:hAnsi="宋体" w:cs="Times New Roman"/>
          <w:color w:val="auto"/>
          <w:sz w:val="30"/>
          <w:highlight w:val="none"/>
        </w:rPr>
        <w:t>：</w:t>
      </w:r>
    </w:p>
    <w:p w14:paraId="63802260">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安全生产合同</w:t>
      </w:r>
    </w:p>
    <w:p w14:paraId="6A1162B1">
      <w:pPr>
        <w:spacing w:line="360" w:lineRule="auto"/>
        <w:jc w:val="center"/>
        <w:rPr>
          <w:rFonts w:ascii="宋体" w:hAnsi="宋体" w:cs="宋体"/>
          <w:color w:val="auto"/>
          <w:sz w:val="30"/>
          <w:szCs w:val="30"/>
          <w:highlight w:val="none"/>
        </w:rPr>
      </w:pPr>
    </w:p>
    <w:p w14:paraId="4BF3CDEC">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为在</w:t>
      </w:r>
      <w:r>
        <w:rPr>
          <w:rFonts w:hint="eastAsia" w:ascii="宋体" w:hAnsi="宋体" w:cs="宋体"/>
          <w:bCs/>
          <w:color w:val="auto"/>
          <w:szCs w:val="21"/>
          <w:highlight w:val="none"/>
          <w:u w:val="single"/>
          <w:lang w:eastAsia="zh-CN"/>
        </w:rPr>
        <w:t>浙江中医药大学文磊教授实验室改造项目</w:t>
      </w:r>
      <w:r>
        <w:rPr>
          <w:rFonts w:hint="eastAsia" w:ascii="宋体" w:hAnsi="宋体" w:cs="Times New Roman"/>
          <w:color w:val="auto"/>
          <w:szCs w:val="21"/>
          <w:highlight w:val="none"/>
        </w:rPr>
        <w:t>合同的实施过程中创造安全、高效的施工环境，搞好本项目的安全管理工作，本项目发包人</w:t>
      </w:r>
      <w:r>
        <w:rPr>
          <w:rFonts w:hint="eastAsia" w:ascii="宋体" w:hAnsi="宋体" w:cs="Times New Roman"/>
          <w:color w:val="auto"/>
          <w:kern w:val="0"/>
          <w:highlight w:val="none"/>
          <w:u w:val="single"/>
        </w:rPr>
        <w:t xml:space="preserve"> </w:t>
      </w:r>
      <w:r>
        <w:rPr>
          <w:rFonts w:hint="eastAsia" w:ascii="宋体" w:hAnsi="宋体" w:cs="宋体"/>
          <w:color w:val="auto"/>
          <w:szCs w:val="21"/>
          <w:highlight w:val="none"/>
          <w:u w:val="single"/>
        </w:rPr>
        <w:t>浙江中医药大学</w:t>
      </w:r>
      <w:r>
        <w:rPr>
          <w:rFonts w:ascii="宋体" w:hAnsi="宋体" w:cs="宋体"/>
          <w:color w:val="auto"/>
          <w:kern w:val="0"/>
          <w:szCs w:val="21"/>
          <w:highlight w:val="none"/>
          <w:u w:val="single"/>
        </w:rPr>
        <w:t xml:space="preserve"> </w:t>
      </w:r>
      <w:r>
        <w:rPr>
          <w:rFonts w:hint="eastAsia" w:ascii="宋体" w:hAnsi="宋体" w:cs="Times New Roman"/>
          <w:color w:val="auto"/>
          <w:szCs w:val="21"/>
          <w:highlight w:val="none"/>
        </w:rPr>
        <w:t>与承包人</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特此签订安全生产合同：</w:t>
      </w:r>
    </w:p>
    <w:p w14:paraId="6F4C7D25">
      <w:pPr>
        <w:numPr>
          <w:ilvl w:val="1"/>
          <w:numId w:val="5"/>
        </w:numPr>
        <w:tabs>
          <w:tab w:val="left" w:pos="540"/>
          <w:tab w:val="left" w:pos="720"/>
          <w:tab w:val="left" w:pos="900"/>
        </w:tabs>
        <w:spacing w:line="360" w:lineRule="auto"/>
        <w:ind w:hanging="1140"/>
        <w:rPr>
          <w:rFonts w:ascii="宋体" w:hAnsi="宋体" w:cs="Times New Roman"/>
          <w:b/>
          <w:color w:val="auto"/>
          <w:highlight w:val="none"/>
        </w:rPr>
      </w:pPr>
      <w:r>
        <w:rPr>
          <w:rFonts w:hint="eastAsia" w:ascii="宋体" w:hAnsi="宋体" w:cs="Times New Roman"/>
          <w:b/>
          <w:color w:val="auto"/>
          <w:highlight w:val="none"/>
        </w:rPr>
        <w:t>发包人职责</w:t>
      </w:r>
    </w:p>
    <w:p w14:paraId="54BDE0C2">
      <w:pPr>
        <w:tabs>
          <w:tab w:val="left" w:pos="90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1．严格遵守国家有关安全生产的法律法规，认真执行工程承包合同中的有关安全要求。</w:t>
      </w:r>
    </w:p>
    <w:p w14:paraId="259203AF">
      <w:pPr>
        <w:tabs>
          <w:tab w:val="left" w:pos="72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2.按照“安全第一、预防为主”和坚持“管生产必须管安全”的原则进行安全生产管理，做到生产与安全工作同时计划、布置、检查、总结和评比。</w:t>
      </w:r>
    </w:p>
    <w:p w14:paraId="2C66E04D">
      <w:pPr>
        <w:spacing w:line="360" w:lineRule="auto"/>
        <w:ind w:left="271" w:leftChars="129" w:firstLine="105" w:firstLineChars="50"/>
        <w:rPr>
          <w:rFonts w:ascii="宋体" w:hAnsi="宋体" w:cs="Times New Roman"/>
          <w:color w:val="auto"/>
          <w:szCs w:val="21"/>
          <w:highlight w:val="none"/>
        </w:rPr>
      </w:pPr>
      <w:r>
        <w:rPr>
          <w:rFonts w:hint="eastAsia" w:ascii="宋体" w:hAnsi="宋体" w:cs="Times New Roman"/>
          <w:color w:val="auto"/>
          <w:szCs w:val="21"/>
          <w:highlight w:val="none"/>
        </w:rPr>
        <w:t>3.重要的安全设施必须坚持与主体工程“三同时”的原则，即：同时设计、审批，</w:t>
      </w:r>
    </w:p>
    <w:p w14:paraId="2E896743">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同时施工，同时验收，投入使用。</w:t>
      </w:r>
    </w:p>
    <w:p w14:paraId="4CB57791">
      <w:pPr>
        <w:tabs>
          <w:tab w:val="left" w:pos="72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4.组织对承包人施工现场安全生产检查，监督承包人及时处理发现的各种安全隐患。</w:t>
      </w:r>
    </w:p>
    <w:p w14:paraId="2ABF4D0D">
      <w:pPr>
        <w:spacing w:line="360" w:lineRule="auto"/>
        <w:rPr>
          <w:rFonts w:ascii="宋体" w:hAnsi="宋体" w:cs="Times New Roman"/>
          <w:b/>
          <w:color w:val="auto"/>
          <w:highlight w:val="none"/>
        </w:rPr>
      </w:pPr>
      <w:r>
        <w:rPr>
          <w:rFonts w:hint="eastAsia" w:ascii="宋体" w:hAnsi="宋体" w:cs="Times New Roman"/>
          <w:b/>
          <w:color w:val="auto"/>
          <w:highlight w:val="none"/>
        </w:rPr>
        <w:t>二、承包人职责</w:t>
      </w:r>
    </w:p>
    <w:p w14:paraId="660C8FB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1.严格遵守国家有关安全生产的法律法规和有关安全生产的规定，认真执行工程承包合同中的有关安全要求。</w:t>
      </w:r>
    </w:p>
    <w:p w14:paraId="252A3D05">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3FEF1C7F">
      <w:pPr>
        <w:spacing w:line="360" w:lineRule="auto"/>
        <w:ind w:firstLine="525" w:firstLineChars="250"/>
        <w:rPr>
          <w:rFonts w:ascii="宋体" w:hAnsi="宋体" w:cs="Times New Roman"/>
          <w:color w:val="auto"/>
          <w:szCs w:val="21"/>
          <w:highlight w:val="none"/>
        </w:rPr>
      </w:pPr>
      <w:r>
        <w:rPr>
          <w:rFonts w:hint="eastAsia" w:ascii="宋体" w:hAnsi="宋体" w:cs="Times New Roman"/>
          <w:color w:val="auto"/>
          <w:szCs w:val="21"/>
          <w:highlight w:val="none"/>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6D77E7A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4.施工期间，承包人应落实预防措施，防止其员工发生任何违法、违禁、暴力或妨碍治安的行为。</w:t>
      </w:r>
    </w:p>
    <w:p w14:paraId="36F0D35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B91E4B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B3A111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7.操作人员上岗，必须按规定穿戴防护用品。各专业施工负责人和安全检查员应随时检查劳动防护用品的穿戴情况，不按规定穿戴防护用品的人员不得上岗。</w:t>
      </w:r>
    </w:p>
    <w:p w14:paraId="14541B9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8.所有施工机具设备和高空作业的设备均应定期检查，并有安全员的签字记录，保证其经常处于完发状态；不合格的机具、设备和劳动保护用品严禁使用。</w:t>
      </w:r>
    </w:p>
    <w:p w14:paraId="535D0A27">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9.施工中采用新技术、新工艺、新设备、新材料时，必须制定相应的安全技术措施，施工现场必须具有相关的安全标志牌。</w:t>
      </w:r>
    </w:p>
    <w:p w14:paraId="58C80CAC">
      <w:pPr>
        <w:tabs>
          <w:tab w:val="left" w:pos="360"/>
          <w:tab w:val="left" w:pos="54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15E96ACA">
      <w:pPr>
        <w:tabs>
          <w:tab w:val="left" w:pos="360"/>
          <w:tab w:val="left" w:pos="540"/>
          <w:tab w:val="left" w:pos="900"/>
          <w:tab w:val="left" w:pos="1080"/>
        </w:tabs>
        <w:spacing w:line="360" w:lineRule="auto"/>
        <w:ind w:firstLine="420" w:firstLineChars="200"/>
        <w:rPr>
          <w:rFonts w:ascii="宋体" w:hAnsi="宋体" w:cs="Times New Roman"/>
          <w:color w:val="auto"/>
          <w:szCs w:val="21"/>
          <w:highlight w:val="none"/>
        </w:rPr>
      </w:pPr>
    </w:p>
    <w:p w14:paraId="11A45E0B">
      <w:pPr>
        <w:tabs>
          <w:tab w:val="left" w:pos="360"/>
          <w:tab w:val="left" w:pos="540"/>
          <w:tab w:val="left" w:pos="900"/>
          <w:tab w:val="left" w:pos="1080"/>
        </w:tabs>
        <w:spacing w:line="360" w:lineRule="auto"/>
        <w:rPr>
          <w:rFonts w:ascii="宋体" w:hAnsi="宋体" w:cs="Times New Roman"/>
          <w:b/>
          <w:color w:val="auto"/>
          <w:highlight w:val="none"/>
        </w:rPr>
      </w:pPr>
      <w:r>
        <w:rPr>
          <w:rFonts w:hint="eastAsia" w:ascii="宋体" w:hAnsi="宋体" w:cs="Times New Roman"/>
          <w:b/>
          <w:color w:val="auto"/>
          <w:highlight w:val="none"/>
        </w:rPr>
        <w:t>三、违约责任</w:t>
      </w:r>
    </w:p>
    <w:p w14:paraId="6D6898BE">
      <w:pPr>
        <w:tabs>
          <w:tab w:val="left" w:pos="36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如因发包人或承包人违约造成安全事故，将依法追究责任。</w:t>
      </w:r>
    </w:p>
    <w:p w14:paraId="6B59F316">
      <w:pPr>
        <w:tabs>
          <w:tab w:val="left" w:pos="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 xml:space="preserve">本合同一式八份，双方各执四份。由双方法定代表人或授权代理人签字并加盖单位印章后生效。 </w:t>
      </w:r>
    </w:p>
    <w:p w14:paraId="4F3B6667">
      <w:pPr>
        <w:tabs>
          <w:tab w:val="left" w:pos="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p>
    <w:p w14:paraId="0800A143">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发包人：</w:t>
      </w:r>
      <w:r>
        <w:rPr>
          <w:rFonts w:hint="eastAsia" w:ascii="宋体" w:hAnsi="宋体" w:cs="宋体"/>
          <w:color w:val="auto"/>
          <w:szCs w:val="21"/>
          <w:highlight w:val="none"/>
          <w:u w:val="single"/>
        </w:rPr>
        <w:t xml:space="preserve">  浙江中医药大学 </w:t>
      </w:r>
      <w:r>
        <w:rPr>
          <w:rFonts w:hint="eastAsia" w:ascii="宋体" w:hAnsi="宋体" w:cs="Times New Roman"/>
          <w:color w:val="auto"/>
          <w:szCs w:val="21"/>
          <w:highlight w:val="none"/>
          <w:u w:val="single"/>
        </w:rPr>
        <w:t>（盖章）</w:t>
      </w:r>
      <w:r>
        <w:rPr>
          <w:rFonts w:hint="eastAsia" w:ascii="宋体" w:hAnsi="宋体" w:cs="Times New Roman"/>
          <w:color w:val="auto"/>
          <w:szCs w:val="21"/>
          <w:highlight w:val="none"/>
        </w:rPr>
        <w:t xml:space="preserve">     承包人：</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（盖章）</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 xml:space="preserve"> </w:t>
      </w:r>
    </w:p>
    <w:p w14:paraId="54C329D2">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法定代表人或授权代表人：                法定代表人或授权代表人：</w:t>
      </w:r>
    </w:p>
    <w:p w14:paraId="619C5871">
      <w:pPr>
        <w:spacing w:line="360" w:lineRule="auto"/>
        <w:ind w:left="5460" w:hanging="5460" w:hangingChars="2600"/>
        <w:rPr>
          <w:rFonts w:ascii="宋体" w:hAnsi="宋体" w:cs="宋体"/>
          <w:color w:val="auto"/>
          <w:szCs w:val="21"/>
          <w:highlight w:val="none"/>
        </w:rPr>
      </w:pPr>
      <w:r>
        <w:rPr>
          <w:rFonts w:hint="eastAsia" w:ascii="宋体" w:hAnsi="宋体" w:cs="宋体"/>
          <w:color w:val="auto"/>
          <w:szCs w:val="21"/>
          <w:highlight w:val="none"/>
        </w:rPr>
        <w:t>地    址：杭州市滨江区滨文路</w:t>
      </w:r>
      <w:r>
        <w:rPr>
          <w:rFonts w:ascii="宋体" w:hAnsi="宋体" w:cs="宋体"/>
          <w:color w:val="auto"/>
          <w:szCs w:val="21"/>
          <w:highlight w:val="none"/>
        </w:rPr>
        <w:t>548</w:t>
      </w:r>
      <w:r>
        <w:rPr>
          <w:rFonts w:hint="eastAsia" w:ascii="宋体" w:hAnsi="宋体" w:cs="宋体"/>
          <w:color w:val="auto"/>
          <w:szCs w:val="21"/>
          <w:highlight w:val="none"/>
        </w:rPr>
        <w:t xml:space="preserve">号 </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Times New Roman"/>
          <w:b/>
          <w:bCs/>
          <w:color w:val="auto"/>
          <w:szCs w:val="21"/>
          <w:highlight w:val="none"/>
          <w:u w:val="single"/>
        </w:rPr>
        <w:t xml:space="preserve"> </w:t>
      </w:r>
    </w:p>
    <w:p w14:paraId="64064951">
      <w:pPr>
        <w:spacing w:line="360" w:lineRule="auto"/>
        <w:rPr>
          <w:rFonts w:ascii="宋体" w:hAnsi="宋体" w:cs="宋体"/>
          <w:color w:val="auto"/>
          <w:szCs w:val="21"/>
          <w:highlight w:val="none"/>
        </w:rPr>
      </w:pPr>
      <w:r>
        <w:rPr>
          <w:rFonts w:hint="eastAsia" w:ascii="宋体" w:hAnsi="宋体" w:cs="宋体"/>
          <w:color w:val="auto"/>
          <w:szCs w:val="21"/>
          <w:highlight w:val="none"/>
        </w:rPr>
        <w:t>电    话：</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p>
    <w:p w14:paraId="1D9108EF">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年   月   日                            年    月    日</w:t>
      </w:r>
    </w:p>
    <w:p w14:paraId="47C14D3F">
      <w:pPr>
        <w:widowControl/>
        <w:jc w:val="left"/>
        <w:rPr>
          <w:rFonts w:ascii="宋体" w:hAnsi="宋体" w:cs="Times New Roman"/>
          <w:color w:val="auto"/>
          <w:szCs w:val="21"/>
          <w:highlight w:val="none"/>
        </w:rPr>
      </w:pPr>
      <w:r>
        <w:rPr>
          <w:rFonts w:ascii="宋体" w:hAnsi="宋体" w:cs="Times New Roman"/>
          <w:color w:val="auto"/>
          <w:szCs w:val="21"/>
          <w:highlight w:val="none"/>
        </w:rPr>
        <w:br w:type="page"/>
      </w:r>
    </w:p>
    <w:p w14:paraId="04DD98D4">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t>附件</w:t>
      </w:r>
      <w:r>
        <w:rPr>
          <w:rFonts w:ascii="宋体" w:hAnsi="宋体" w:cs="Times New Roman"/>
          <w:color w:val="auto"/>
          <w:sz w:val="30"/>
          <w:highlight w:val="none"/>
        </w:rPr>
        <w:t>4</w:t>
      </w:r>
      <w:r>
        <w:rPr>
          <w:rFonts w:hint="eastAsia" w:ascii="宋体" w:hAnsi="宋体" w:cs="Times New Roman"/>
          <w:color w:val="auto"/>
          <w:sz w:val="30"/>
          <w:highlight w:val="none"/>
        </w:rPr>
        <w:t>：</w:t>
      </w:r>
    </w:p>
    <w:p w14:paraId="0670B718">
      <w:pPr>
        <w:spacing w:line="360" w:lineRule="auto"/>
        <w:jc w:val="center"/>
        <w:rPr>
          <w:rFonts w:hint="eastAsia" w:ascii="宋体" w:hAnsi="宋体" w:cs="Times New Roman"/>
          <w:color w:val="auto"/>
          <w:sz w:val="30"/>
          <w:highlight w:val="none"/>
        </w:rPr>
      </w:pPr>
      <w:bookmarkStart w:id="143" w:name="_Toc12000"/>
      <w:bookmarkStart w:id="144" w:name="_Toc22601"/>
      <w:bookmarkStart w:id="145" w:name="_Toc5449"/>
      <w:r>
        <w:rPr>
          <w:rFonts w:hint="eastAsia" w:ascii="宋体" w:hAnsi="宋体" w:cs="Times New Roman"/>
          <w:color w:val="auto"/>
          <w:sz w:val="30"/>
          <w:highlight w:val="none"/>
        </w:rPr>
        <w:t>主要材料（设备）清单</w:t>
      </w:r>
      <w:bookmarkEnd w:id="143"/>
      <w:bookmarkEnd w:id="144"/>
      <w:bookmarkEnd w:id="145"/>
    </w:p>
    <w:p w14:paraId="3F63C39D">
      <w:pPr>
        <w:spacing w:line="360" w:lineRule="auto"/>
        <w:jc w:val="left"/>
        <w:rPr>
          <w:rFonts w:hint="default" w:ascii="宋体" w:hAnsi="宋体" w:eastAsia="宋体" w:cs="Times New Roman"/>
          <w:color w:val="auto"/>
          <w:sz w:val="30"/>
          <w:highlight w:val="none"/>
          <w:lang w:val="en-US" w:eastAsia="zh-CN"/>
        </w:rPr>
      </w:pPr>
      <w:r>
        <w:rPr>
          <w:rFonts w:hint="eastAsia" w:ascii="宋体" w:hAnsi="宋体" w:cs="Times New Roman"/>
          <w:color w:val="auto"/>
          <w:sz w:val="30"/>
          <w:highlight w:val="none"/>
          <w:lang w:val="en-US" w:eastAsia="zh-CN"/>
        </w:rPr>
        <w:t>项目名称：</w:t>
      </w:r>
    </w:p>
    <w:tbl>
      <w:tblPr>
        <w:tblStyle w:val="5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6E3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 w:type="dxa"/>
            <w:noWrap w:val="0"/>
            <w:vAlign w:val="top"/>
          </w:tcPr>
          <w:p w14:paraId="689FBAB0">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序号</w:t>
            </w:r>
          </w:p>
        </w:tc>
        <w:tc>
          <w:tcPr>
            <w:tcW w:w="2218" w:type="dxa"/>
            <w:noWrap w:val="0"/>
            <w:vAlign w:val="top"/>
          </w:tcPr>
          <w:p w14:paraId="100ED350">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材料（设备</w:t>
            </w:r>
            <w:r>
              <w:rPr>
                <w:rFonts w:hint="eastAsia" w:ascii="宋体" w:hAnsi="宋体" w:cs="宋体"/>
                <w:b/>
                <w:bCs/>
                <w:color w:val="auto"/>
                <w:kern w:val="0"/>
                <w:sz w:val="24"/>
                <w:highlight w:val="none"/>
              </w:rPr>
              <w:t>）名称</w:t>
            </w:r>
          </w:p>
        </w:tc>
        <w:tc>
          <w:tcPr>
            <w:tcW w:w="1357" w:type="dxa"/>
            <w:noWrap w:val="0"/>
            <w:vAlign w:val="top"/>
          </w:tcPr>
          <w:p w14:paraId="57B33BC7">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品牌</w:t>
            </w:r>
          </w:p>
        </w:tc>
        <w:tc>
          <w:tcPr>
            <w:tcW w:w="1536" w:type="dxa"/>
            <w:noWrap w:val="0"/>
            <w:vAlign w:val="top"/>
          </w:tcPr>
          <w:p w14:paraId="5D1FC3C8">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规格型号</w:t>
            </w:r>
          </w:p>
        </w:tc>
        <w:tc>
          <w:tcPr>
            <w:tcW w:w="2000" w:type="dxa"/>
            <w:noWrap w:val="0"/>
            <w:vAlign w:val="top"/>
          </w:tcPr>
          <w:p w14:paraId="1F841527">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厂家</w:t>
            </w:r>
          </w:p>
        </w:tc>
        <w:tc>
          <w:tcPr>
            <w:tcW w:w="973" w:type="dxa"/>
            <w:noWrap w:val="0"/>
            <w:vAlign w:val="top"/>
          </w:tcPr>
          <w:p w14:paraId="54E0DD7C">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产地</w:t>
            </w:r>
          </w:p>
        </w:tc>
      </w:tr>
      <w:tr w14:paraId="097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noWrap w:val="0"/>
            <w:vAlign w:val="top"/>
          </w:tcPr>
          <w:p w14:paraId="4EC433C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8" w:type="dxa"/>
            <w:noWrap w:val="0"/>
            <w:vAlign w:val="top"/>
          </w:tcPr>
          <w:p w14:paraId="4593B40E">
            <w:pPr>
              <w:jc w:val="center"/>
              <w:rPr>
                <w:rFonts w:ascii="宋体" w:hAnsi="宋体" w:cs="宋体"/>
                <w:color w:val="auto"/>
                <w:kern w:val="0"/>
                <w:sz w:val="24"/>
                <w:highlight w:val="none"/>
              </w:rPr>
            </w:pPr>
          </w:p>
        </w:tc>
        <w:tc>
          <w:tcPr>
            <w:tcW w:w="1357" w:type="dxa"/>
            <w:noWrap w:val="0"/>
            <w:vAlign w:val="top"/>
          </w:tcPr>
          <w:p w14:paraId="49934804">
            <w:pPr>
              <w:jc w:val="center"/>
              <w:rPr>
                <w:rFonts w:ascii="宋体" w:hAnsi="宋体" w:cs="宋体"/>
                <w:color w:val="auto"/>
                <w:kern w:val="0"/>
                <w:sz w:val="24"/>
                <w:highlight w:val="none"/>
              </w:rPr>
            </w:pPr>
          </w:p>
        </w:tc>
        <w:tc>
          <w:tcPr>
            <w:tcW w:w="1536" w:type="dxa"/>
            <w:noWrap w:val="0"/>
            <w:vAlign w:val="top"/>
          </w:tcPr>
          <w:p w14:paraId="17BD0503">
            <w:pPr>
              <w:jc w:val="center"/>
              <w:rPr>
                <w:rFonts w:ascii="宋体" w:hAnsi="宋体" w:cs="宋体"/>
                <w:color w:val="auto"/>
                <w:kern w:val="0"/>
                <w:sz w:val="24"/>
                <w:highlight w:val="none"/>
              </w:rPr>
            </w:pPr>
          </w:p>
        </w:tc>
        <w:tc>
          <w:tcPr>
            <w:tcW w:w="2000" w:type="dxa"/>
            <w:noWrap w:val="0"/>
            <w:vAlign w:val="top"/>
          </w:tcPr>
          <w:p w14:paraId="31D4A6F5">
            <w:pPr>
              <w:jc w:val="center"/>
              <w:rPr>
                <w:rFonts w:ascii="宋体" w:hAnsi="宋体" w:cs="宋体"/>
                <w:color w:val="auto"/>
                <w:kern w:val="0"/>
                <w:sz w:val="24"/>
                <w:highlight w:val="none"/>
              </w:rPr>
            </w:pPr>
          </w:p>
        </w:tc>
        <w:tc>
          <w:tcPr>
            <w:tcW w:w="973" w:type="dxa"/>
            <w:noWrap w:val="0"/>
            <w:vAlign w:val="top"/>
          </w:tcPr>
          <w:p w14:paraId="2B536471">
            <w:pPr>
              <w:jc w:val="center"/>
              <w:rPr>
                <w:rFonts w:ascii="宋体" w:hAnsi="宋体" w:cs="宋体"/>
                <w:color w:val="auto"/>
                <w:kern w:val="0"/>
                <w:sz w:val="24"/>
                <w:highlight w:val="none"/>
              </w:rPr>
            </w:pPr>
          </w:p>
        </w:tc>
      </w:tr>
      <w:tr w14:paraId="66E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noWrap w:val="0"/>
            <w:vAlign w:val="top"/>
          </w:tcPr>
          <w:p w14:paraId="705CBF23">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2</w:t>
            </w:r>
          </w:p>
        </w:tc>
        <w:tc>
          <w:tcPr>
            <w:tcW w:w="2218" w:type="dxa"/>
            <w:noWrap w:val="0"/>
            <w:vAlign w:val="top"/>
          </w:tcPr>
          <w:p w14:paraId="6032F6C4">
            <w:pPr>
              <w:jc w:val="center"/>
              <w:rPr>
                <w:rFonts w:ascii="宋体" w:hAnsi="宋体" w:cs="Times New Roman"/>
                <w:color w:val="auto"/>
                <w:kern w:val="0"/>
                <w:sz w:val="24"/>
                <w:szCs w:val="20"/>
                <w:highlight w:val="none"/>
              </w:rPr>
            </w:pPr>
          </w:p>
        </w:tc>
        <w:tc>
          <w:tcPr>
            <w:tcW w:w="1357" w:type="dxa"/>
            <w:noWrap w:val="0"/>
            <w:vAlign w:val="top"/>
          </w:tcPr>
          <w:p w14:paraId="1B27695E">
            <w:pPr>
              <w:jc w:val="center"/>
              <w:rPr>
                <w:rFonts w:ascii="宋体" w:hAnsi="宋体" w:cs="Times New Roman"/>
                <w:color w:val="auto"/>
                <w:kern w:val="0"/>
                <w:sz w:val="24"/>
                <w:szCs w:val="20"/>
                <w:highlight w:val="none"/>
              </w:rPr>
            </w:pPr>
          </w:p>
        </w:tc>
        <w:tc>
          <w:tcPr>
            <w:tcW w:w="1536" w:type="dxa"/>
            <w:noWrap w:val="0"/>
            <w:vAlign w:val="top"/>
          </w:tcPr>
          <w:p w14:paraId="3CF31B7E">
            <w:pPr>
              <w:jc w:val="center"/>
              <w:rPr>
                <w:rFonts w:ascii="宋体" w:hAnsi="宋体" w:cs="Times New Roman"/>
                <w:color w:val="auto"/>
                <w:kern w:val="0"/>
                <w:sz w:val="24"/>
                <w:szCs w:val="20"/>
                <w:highlight w:val="none"/>
              </w:rPr>
            </w:pPr>
          </w:p>
        </w:tc>
        <w:tc>
          <w:tcPr>
            <w:tcW w:w="2000" w:type="dxa"/>
            <w:noWrap w:val="0"/>
            <w:vAlign w:val="top"/>
          </w:tcPr>
          <w:p w14:paraId="697477FA">
            <w:pPr>
              <w:jc w:val="center"/>
              <w:rPr>
                <w:rFonts w:ascii="宋体" w:hAnsi="宋体" w:cs="Times New Roman"/>
                <w:color w:val="auto"/>
                <w:kern w:val="0"/>
                <w:sz w:val="24"/>
                <w:szCs w:val="20"/>
                <w:highlight w:val="none"/>
              </w:rPr>
            </w:pPr>
          </w:p>
        </w:tc>
        <w:tc>
          <w:tcPr>
            <w:tcW w:w="973" w:type="dxa"/>
            <w:noWrap w:val="0"/>
            <w:vAlign w:val="top"/>
          </w:tcPr>
          <w:p w14:paraId="717408CB">
            <w:pPr>
              <w:jc w:val="center"/>
              <w:rPr>
                <w:rFonts w:ascii="宋体" w:hAnsi="宋体" w:cs="Times New Roman"/>
                <w:color w:val="auto"/>
                <w:kern w:val="0"/>
                <w:sz w:val="24"/>
                <w:szCs w:val="20"/>
                <w:highlight w:val="none"/>
              </w:rPr>
            </w:pPr>
          </w:p>
        </w:tc>
      </w:tr>
      <w:tr w14:paraId="382C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noWrap w:val="0"/>
            <w:vAlign w:val="top"/>
          </w:tcPr>
          <w:p w14:paraId="676DEB32">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3</w:t>
            </w:r>
          </w:p>
        </w:tc>
        <w:tc>
          <w:tcPr>
            <w:tcW w:w="2218" w:type="dxa"/>
            <w:noWrap w:val="0"/>
            <w:vAlign w:val="top"/>
          </w:tcPr>
          <w:p w14:paraId="58ABDE98">
            <w:pPr>
              <w:jc w:val="center"/>
              <w:rPr>
                <w:rFonts w:ascii="宋体" w:hAnsi="宋体" w:cs="Times New Roman"/>
                <w:color w:val="auto"/>
                <w:kern w:val="0"/>
                <w:sz w:val="24"/>
                <w:szCs w:val="20"/>
                <w:highlight w:val="none"/>
              </w:rPr>
            </w:pPr>
          </w:p>
        </w:tc>
        <w:tc>
          <w:tcPr>
            <w:tcW w:w="1357" w:type="dxa"/>
            <w:noWrap w:val="0"/>
            <w:vAlign w:val="top"/>
          </w:tcPr>
          <w:p w14:paraId="41B0C8EE">
            <w:pPr>
              <w:jc w:val="center"/>
              <w:rPr>
                <w:rFonts w:ascii="宋体" w:hAnsi="宋体" w:cs="Times New Roman"/>
                <w:color w:val="auto"/>
                <w:kern w:val="0"/>
                <w:sz w:val="24"/>
                <w:szCs w:val="20"/>
                <w:highlight w:val="none"/>
              </w:rPr>
            </w:pPr>
          </w:p>
        </w:tc>
        <w:tc>
          <w:tcPr>
            <w:tcW w:w="1536" w:type="dxa"/>
            <w:noWrap w:val="0"/>
            <w:vAlign w:val="top"/>
          </w:tcPr>
          <w:p w14:paraId="73FF82A9">
            <w:pPr>
              <w:jc w:val="center"/>
              <w:rPr>
                <w:rFonts w:ascii="宋体" w:hAnsi="宋体" w:cs="Times New Roman"/>
                <w:color w:val="auto"/>
                <w:kern w:val="0"/>
                <w:sz w:val="24"/>
                <w:szCs w:val="20"/>
                <w:highlight w:val="none"/>
              </w:rPr>
            </w:pPr>
          </w:p>
        </w:tc>
        <w:tc>
          <w:tcPr>
            <w:tcW w:w="2000" w:type="dxa"/>
            <w:noWrap w:val="0"/>
            <w:vAlign w:val="top"/>
          </w:tcPr>
          <w:p w14:paraId="0196F6E0">
            <w:pPr>
              <w:jc w:val="center"/>
              <w:rPr>
                <w:rFonts w:ascii="宋体" w:hAnsi="宋体" w:cs="Times New Roman"/>
                <w:color w:val="auto"/>
                <w:kern w:val="0"/>
                <w:sz w:val="24"/>
                <w:szCs w:val="20"/>
                <w:highlight w:val="none"/>
              </w:rPr>
            </w:pPr>
          </w:p>
        </w:tc>
        <w:tc>
          <w:tcPr>
            <w:tcW w:w="973" w:type="dxa"/>
            <w:noWrap w:val="0"/>
            <w:vAlign w:val="top"/>
          </w:tcPr>
          <w:p w14:paraId="4B7DDD2F">
            <w:pPr>
              <w:jc w:val="center"/>
              <w:rPr>
                <w:rFonts w:ascii="宋体" w:hAnsi="宋体" w:cs="Times New Roman"/>
                <w:color w:val="auto"/>
                <w:kern w:val="0"/>
                <w:sz w:val="24"/>
                <w:szCs w:val="20"/>
                <w:highlight w:val="none"/>
              </w:rPr>
            </w:pPr>
          </w:p>
        </w:tc>
      </w:tr>
      <w:tr w14:paraId="392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noWrap w:val="0"/>
            <w:vAlign w:val="top"/>
          </w:tcPr>
          <w:p w14:paraId="1531B295">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4</w:t>
            </w:r>
          </w:p>
        </w:tc>
        <w:tc>
          <w:tcPr>
            <w:tcW w:w="2218" w:type="dxa"/>
            <w:noWrap w:val="0"/>
            <w:vAlign w:val="top"/>
          </w:tcPr>
          <w:p w14:paraId="35E28287">
            <w:pPr>
              <w:jc w:val="center"/>
              <w:rPr>
                <w:rFonts w:ascii="宋体" w:hAnsi="宋体" w:cs="Times New Roman"/>
                <w:color w:val="auto"/>
                <w:kern w:val="0"/>
                <w:sz w:val="24"/>
                <w:szCs w:val="20"/>
                <w:highlight w:val="none"/>
              </w:rPr>
            </w:pPr>
          </w:p>
        </w:tc>
        <w:tc>
          <w:tcPr>
            <w:tcW w:w="1357" w:type="dxa"/>
            <w:noWrap w:val="0"/>
            <w:vAlign w:val="top"/>
          </w:tcPr>
          <w:p w14:paraId="33280AC6">
            <w:pPr>
              <w:jc w:val="center"/>
              <w:rPr>
                <w:rFonts w:ascii="宋体" w:hAnsi="宋体" w:cs="Times New Roman"/>
                <w:color w:val="auto"/>
                <w:kern w:val="0"/>
                <w:sz w:val="24"/>
                <w:szCs w:val="20"/>
                <w:highlight w:val="none"/>
              </w:rPr>
            </w:pPr>
          </w:p>
        </w:tc>
        <w:tc>
          <w:tcPr>
            <w:tcW w:w="1536" w:type="dxa"/>
            <w:noWrap w:val="0"/>
            <w:vAlign w:val="top"/>
          </w:tcPr>
          <w:p w14:paraId="37C7B47E">
            <w:pPr>
              <w:jc w:val="center"/>
              <w:rPr>
                <w:rFonts w:ascii="宋体" w:hAnsi="宋体" w:cs="Times New Roman"/>
                <w:color w:val="auto"/>
                <w:kern w:val="0"/>
                <w:sz w:val="24"/>
                <w:szCs w:val="20"/>
                <w:highlight w:val="none"/>
              </w:rPr>
            </w:pPr>
          </w:p>
        </w:tc>
        <w:tc>
          <w:tcPr>
            <w:tcW w:w="2000" w:type="dxa"/>
            <w:noWrap w:val="0"/>
            <w:vAlign w:val="top"/>
          </w:tcPr>
          <w:p w14:paraId="7A75510E">
            <w:pPr>
              <w:jc w:val="center"/>
              <w:rPr>
                <w:rFonts w:ascii="宋体" w:hAnsi="宋体" w:cs="Times New Roman"/>
                <w:color w:val="auto"/>
                <w:kern w:val="0"/>
                <w:sz w:val="24"/>
                <w:szCs w:val="20"/>
                <w:highlight w:val="none"/>
              </w:rPr>
            </w:pPr>
          </w:p>
        </w:tc>
        <w:tc>
          <w:tcPr>
            <w:tcW w:w="973" w:type="dxa"/>
            <w:noWrap w:val="0"/>
            <w:vAlign w:val="top"/>
          </w:tcPr>
          <w:p w14:paraId="4E93E827">
            <w:pPr>
              <w:jc w:val="center"/>
              <w:rPr>
                <w:rFonts w:ascii="宋体" w:hAnsi="宋体" w:cs="Times New Roman"/>
                <w:color w:val="auto"/>
                <w:kern w:val="0"/>
                <w:sz w:val="24"/>
                <w:szCs w:val="20"/>
                <w:highlight w:val="none"/>
              </w:rPr>
            </w:pPr>
          </w:p>
        </w:tc>
      </w:tr>
      <w:tr w14:paraId="6AE8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noWrap w:val="0"/>
            <w:vAlign w:val="top"/>
          </w:tcPr>
          <w:p w14:paraId="62897655">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5</w:t>
            </w:r>
          </w:p>
        </w:tc>
        <w:tc>
          <w:tcPr>
            <w:tcW w:w="2218" w:type="dxa"/>
            <w:noWrap w:val="0"/>
            <w:vAlign w:val="top"/>
          </w:tcPr>
          <w:p w14:paraId="1EFAD23F">
            <w:pPr>
              <w:jc w:val="center"/>
              <w:rPr>
                <w:rFonts w:ascii="宋体" w:hAnsi="宋体" w:cs="Times New Roman"/>
                <w:color w:val="auto"/>
                <w:kern w:val="0"/>
                <w:sz w:val="24"/>
                <w:szCs w:val="20"/>
                <w:highlight w:val="none"/>
              </w:rPr>
            </w:pPr>
          </w:p>
        </w:tc>
        <w:tc>
          <w:tcPr>
            <w:tcW w:w="1357" w:type="dxa"/>
            <w:noWrap w:val="0"/>
            <w:vAlign w:val="top"/>
          </w:tcPr>
          <w:p w14:paraId="5B24A454">
            <w:pPr>
              <w:ind w:firstLine="240" w:firstLineChars="100"/>
              <w:rPr>
                <w:rFonts w:ascii="宋体" w:hAnsi="宋体" w:cs="Times New Roman"/>
                <w:color w:val="auto"/>
                <w:kern w:val="0"/>
                <w:sz w:val="24"/>
                <w:szCs w:val="20"/>
                <w:highlight w:val="none"/>
              </w:rPr>
            </w:pPr>
          </w:p>
        </w:tc>
        <w:tc>
          <w:tcPr>
            <w:tcW w:w="1536" w:type="dxa"/>
            <w:noWrap w:val="0"/>
            <w:vAlign w:val="top"/>
          </w:tcPr>
          <w:p w14:paraId="1895F7BE">
            <w:pPr>
              <w:jc w:val="center"/>
              <w:rPr>
                <w:rFonts w:ascii="宋体" w:hAnsi="宋体" w:cs="Times New Roman"/>
                <w:color w:val="auto"/>
                <w:kern w:val="0"/>
                <w:sz w:val="24"/>
                <w:szCs w:val="20"/>
                <w:highlight w:val="none"/>
              </w:rPr>
            </w:pPr>
          </w:p>
        </w:tc>
        <w:tc>
          <w:tcPr>
            <w:tcW w:w="2000" w:type="dxa"/>
            <w:noWrap w:val="0"/>
            <w:vAlign w:val="top"/>
          </w:tcPr>
          <w:p w14:paraId="0FD004DB">
            <w:pPr>
              <w:jc w:val="center"/>
              <w:rPr>
                <w:rFonts w:ascii="宋体" w:hAnsi="宋体" w:cs="Times New Roman"/>
                <w:color w:val="auto"/>
                <w:kern w:val="0"/>
                <w:sz w:val="24"/>
                <w:szCs w:val="20"/>
                <w:highlight w:val="none"/>
              </w:rPr>
            </w:pPr>
          </w:p>
        </w:tc>
        <w:tc>
          <w:tcPr>
            <w:tcW w:w="973" w:type="dxa"/>
            <w:noWrap w:val="0"/>
            <w:vAlign w:val="top"/>
          </w:tcPr>
          <w:p w14:paraId="3C946CC9">
            <w:pPr>
              <w:jc w:val="center"/>
              <w:rPr>
                <w:rFonts w:ascii="宋体" w:hAnsi="宋体" w:cs="Times New Roman"/>
                <w:color w:val="auto"/>
                <w:kern w:val="0"/>
                <w:sz w:val="24"/>
                <w:szCs w:val="20"/>
                <w:highlight w:val="none"/>
              </w:rPr>
            </w:pPr>
          </w:p>
        </w:tc>
      </w:tr>
      <w:tr w14:paraId="392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noWrap w:val="0"/>
            <w:vAlign w:val="top"/>
          </w:tcPr>
          <w:p w14:paraId="25E1F914">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6</w:t>
            </w:r>
          </w:p>
        </w:tc>
        <w:tc>
          <w:tcPr>
            <w:tcW w:w="2218" w:type="dxa"/>
            <w:noWrap w:val="0"/>
            <w:vAlign w:val="top"/>
          </w:tcPr>
          <w:p w14:paraId="66B01831">
            <w:pPr>
              <w:jc w:val="center"/>
              <w:rPr>
                <w:rFonts w:ascii="宋体" w:hAnsi="宋体" w:cs="Times New Roman"/>
                <w:color w:val="auto"/>
                <w:kern w:val="0"/>
                <w:sz w:val="24"/>
                <w:szCs w:val="20"/>
                <w:highlight w:val="none"/>
              </w:rPr>
            </w:pPr>
          </w:p>
        </w:tc>
        <w:tc>
          <w:tcPr>
            <w:tcW w:w="1357" w:type="dxa"/>
            <w:noWrap w:val="0"/>
            <w:vAlign w:val="top"/>
          </w:tcPr>
          <w:p w14:paraId="3E7B5255">
            <w:pPr>
              <w:jc w:val="center"/>
              <w:rPr>
                <w:rFonts w:ascii="宋体" w:hAnsi="宋体" w:cs="Times New Roman"/>
                <w:color w:val="auto"/>
                <w:kern w:val="0"/>
                <w:sz w:val="24"/>
                <w:szCs w:val="20"/>
                <w:highlight w:val="none"/>
              </w:rPr>
            </w:pPr>
          </w:p>
        </w:tc>
        <w:tc>
          <w:tcPr>
            <w:tcW w:w="1536" w:type="dxa"/>
            <w:noWrap w:val="0"/>
            <w:vAlign w:val="top"/>
          </w:tcPr>
          <w:p w14:paraId="5D00C2B0">
            <w:pPr>
              <w:jc w:val="center"/>
              <w:rPr>
                <w:rFonts w:ascii="宋体" w:hAnsi="宋体" w:cs="Times New Roman"/>
                <w:color w:val="auto"/>
                <w:kern w:val="0"/>
                <w:sz w:val="24"/>
                <w:szCs w:val="20"/>
                <w:highlight w:val="none"/>
              </w:rPr>
            </w:pPr>
          </w:p>
        </w:tc>
        <w:tc>
          <w:tcPr>
            <w:tcW w:w="2000" w:type="dxa"/>
            <w:noWrap w:val="0"/>
            <w:vAlign w:val="top"/>
          </w:tcPr>
          <w:p w14:paraId="4E31B4C1">
            <w:pPr>
              <w:jc w:val="center"/>
              <w:rPr>
                <w:rFonts w:ascii="宋体" w:hAnsi="宋体" w:cs="Times New Roman"/>
                <w:color w:val="auto"/>
                <w:kern w:val="0"/>
                <w:sz w:val="24"/>
                <w:szCs w:val="20"/>
                <w:highlight w:val="none"/>
              </w:rPr>
            </w:pPr>
          </w:p>
        </w:tc>
        <w:tc>
          <w:tcPr>
            <w:tcW w:w="973" w:type="dxa"/>
            <w:noWrap w:val="0"/>
            <w:vAlign w:val="top"/>
          </w:tcPr>
          <w:p w14:paraId="19DCF611">
            <w:pPr>
              <w:jc w:val="center"/>
              <w:rPr>
                <w:rFonts w:ascii="宋体" w:hAnsi="宋体" w:cs="Times New Roman"/>
                <w:color w:val="auto"/>
                <w:kern w:val="0"/>
                <w:sz w:val="24"/>
                <w:szCs w:val="20"/>
                <w:highlight w:val="none"/>
              </w:rPr>
            </w:pPr>
          </w:p>
        </w:tc>
      </w:tr>
      <w:tr w14:paraId="026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noWrap w:val="0"/>
            <w:vAlign w:val="top"/>
          </w:tcPr>
          <w:p w14:paraId="7C3A101E">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7</w:t>
            </w:r>
          </w:p>
        </w:tc>
        <w:tc>
          <w:tcPr>
            <w:tcW w:w="2218" w:type="dxa"/>
            <w:noWrap w:val="0"/>
            <w:vAlign w:val="top"/>
          </w:tcPr>
          <w:p w14:paraId="019C9EAF">
            <w:pPr>
              <w:jc w:val="center"/>
              <w:rPr>
                <w:rFonts w:ascii="宋体" w:hAnsi="宋体" w:cs="Times New Roman"/>
                <w:color w:val="auto"/>
                <w:kern w:val="0"/>
                <w:sz w:val="24"/>
                <w:szCs w:val="20"/>
                <w:highlight w:val="none"/>
              </w:rPr>
            </w:pPr>
          </w:p>
        </w:tc>
        <w:tc>
          <w:tcPr>
            <w:tcW w:w="1357" w:type="dxa"/>
            <w:noWrap w:val="0"/>
            <w:vAlign w:val="top"/>
          </w:tcPr>
          <w:p w14:paraId="36E2E5FC">
            <w:pPr>
              <w:jc w:val="center"/>
              <w:rPr>
                <w:rFonts w:ascii="宋体" w:hAnsi="宋体" w:cs="Times New Roman"/>
                <w:color w:val="auto"/>
                <w:kern w:val="0"/>
                <w:sz w:val="24"/>
                <w:szCs w:val="20"/>
                <w:highlight w:val="none"/>
              </w:rPr>
            </w:pPr>
          </w:p>
        </w:tc>
        <w:tc>
          <w:tcPr>
            <w:tcW w:w="1536" w:type="dxa"/>
            <w:noWrap w:val="0"/>
            <w:vAlign w:val="top"/>
          </w:tcPr>
          <w:p w14:paraId="497FBC38">
            <w:pPr>
              <w:jc w:val="center"/>
              <w:rPr>
                <w:rFonts w:ascii="宋体" w:hAnsi="宋体" w:cs="Times New Roman"/>
                <w:color w:val="auto"/>
                <w:kern w:val="0"/>
                <w:sz w:val="24"/>
                <w:szCs w:val="20"/>
                <w:highlight w:val="none"/>
              </w:rPr>
            </w:pPr>
          </w:p>
        </w:tc>
        <w:tc>
          <w:tcPr>
            <w:tcW w:w="2000" w:type="dxa"/>
            <w:noWrap w:val="0"/>
            <w:vAlign w:val="top"/>
          </w:tcPr>
          <w:p w14:paraId="02FA47A5">
            <w:pPr>
              <w:jc w:val="center"/>
              <w:rPr>
                <w:rFonts w:ascii="宋体" w:hAnsi="宋体" w:cs="Times New Roman"/>
                <w:color w:val="auto"/>
                <w:kern w:val="0"/>
                <w:sz w:val="24"/>
                <w:szCs w:val="20"/>
                <w:highlight w:val="none"/>
              </w:rPr>
            </w:pPr>
          </w:p>
        </w:tc>
        <w:tc>
          <w:tcPr>
            <w:tcW w:w="973" w:type="dxa"/>
            <w:noWrap w:val="0"/>
            <w:vAlign w:val="top"/>
          </w:tcPr>
          <w:p w14:paraId="6EB19A63">
            <w:pPr>
              <w:jc w:val="center"/>
              <w:rPr>
                <w:rFonts w:ascii="宋体" w:hAnsi="宋体" w:cs="Times New Roman"/>
                <w:color w:val="auto"/>
                <w:kern w:val="0"/>
                <w:sz w:val="24"/>
                <w:szCs w:val="20"/>
                <w:highlight w:val="none"/>
              </w:rPr>
            </w:pPr>
          </w:p>
        </w:tc>
      </w:tr>
    </w:tbl>
    <w:p w14:paraId="271906E2">
      <w:pPr>
        <w:pStyle w:val="21"/>
        <w:adjustRightInd w:val="0"/>
        <w:spacing w:before="0" w:line="600" w:lineRule="auto"/>
        <w:ind w:firstLine="420" w:firstLineChars="200"/>
        <w:rPr>
          <w:rFonts w:hint="eastAsia" w:ascii="宋体" w:hAnsi="宋体" w:eastAsia="宋体" w:cs="宋体"/>
          <w:color w:val="auto"/>
          <w:sz w:val="21"/>
          <w:szCs w:val="21"/>
          <w:highlight w:val="none"/>
        </w:rPr>
      </w:pPr>
    </w:p>
    <w:p w14:paraId="3C78F1CB">
      <w:pPr>
        <w:bidi w:val="0"/>
        <w:rPr>
          <w:rFonts w:hint="eastAsia"/>
          <w:color w:val="auto"/>
          <w:highlight w:val="none"/>
        </w:rPr>
      </w:pPr>
    </w:p>
    <w:p w14:paraId="1598AD6C">
      <w:pPr>
        <w:bidi w:val="0"/>
        <w:rPr>
          <w:rFonts w:hint="eastAsia"/>
          <w:color w:val="auto"/>
          <w:highlight w:val="none"/>
        </w:rPr>
      </w:pPr>
    </w:p>
    <w:p w14:paraId="3F2679CA">
      <w:pPr>
        <w:bidi w:val="0"/>
        <w:rPr>
          <w:rFonts w:hint="eastAsia"/>
          <w:color w:val="auto"/>
          <w:highlight w:val="none"/>
        </w:rPr>
      </w:pPr>
    </w:p>
    <w:p w14:paraId="47E82B7A">
      <w:pPr>
        <w:spacing w:line="360" w:lineRule="auto"/>
        <w:rPr>
          <w:rFonts w:hint="eastAsia" w:ascii="宋体" w:hAnsi="宋体" w:cs="Times New Roman"/>
          <w:color w:val="auto"/>
          <w:sz w:val="30"/>
          <w:highlight w:val="none"/>
        </w:rPr>
      </w:pPr>
      <w:r>
        <w:rPr>
          <w:rFonts w:hint="eastAsia" w:ascii="宋体" w:hAnsi="宋体" w:cs="Times New Roman"/>
          <w:color w:val="auto"/>
          <w:sz w:val="30"/>
          <w:highlight w:val="none"/>
        </w:rPr>
        <w:t>附件5：</w:t>
      </w:r>
    </w:p>
    <w:p w14:paraId="69B8114F">
      <w:pPr>
        <w:spacing w:line="360" w:lineRule="auto"/>
        <w:rPr>
          <w:rFonts w:hint="eastAsia" w:ascii="宋体" w:hAnsi="宋体" w:cs="Times New Roman"/>
          <w:color w:val="auto"/>
          <w:sz w:val="30"/>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r>
        <w:rPr>
          <w:rFonts w:hint="eastAsia" w:ascii="宋体" w:hAnsi="宋体" w:cs="Times New Roman"/>
          <w:color w:val="auto"/>
          <w:sz w:val="30"/>
          <w:highlight w:val="none"/>
        </w:rPr>
        <w:t>营业执照和相关资质</w:t>
      </w:r>
    </w:p>
    <w:p w14:paraId="1DC211F5">
      <w:pPr>
        <w:pStyle w:val="3"/>
        <w:autoSpaceDN w:val="0"/>
        <w:spacing w:before="240"/>
        <w:rPr>
          <w:rFonts w:hint="eastAsia" w:ascii="宋体" w:hAnsi="宋体" w:eastAsia="宋体" w:cs="宋体"/>
          <w:bCs/>
          <w:color w:val="auto"/>
          <w:kern w:val="44"/>
          <w:sz w:val="44"/>
          <w:szCs w:val="44"/>
          <w:highlight w:val="none"/>
        </w:rPr>
      </w:pPr>
      <w:bookmarkStart w:id="146" w:name="_Toc6"/>
      <w:r>
        <w:rPr>
          <w:rFonts w:hint="eastAsia" w:ascii="宋体" w:hAnsi="宋体" w:eastAsia="宋体" w:cs="宋体"/>
          <w:bCs/>
          <w:color w:val="auto"/>
          <w:kern w:val="44"/>
          <w:sz w:val="44"/>
          <w:szCs w:val="44"/>
          <w:highlight w:val="none"/>
        </w:rPr>
        <w:t>第六章  磋商响应文件格式</w:t>
      </w:r>
      <w:bookmarkEnd w:id="146"/>
    </w:p>
    <w:p w14:paraId="16CAFC77">
      <w:pPr>
        <w:autoSpaceDN w:val="0"/>
        <w:spacing w:before="240" w:line="360" w:lineRule="auto"/>
        <w:jc w:val="center"/>
        <w:rPr>
          <w:rFonts w:hint="eastAsia" w:ascii="宋体" w:hAnsi="宋体" w:eastAsia="宋体" w:cs="宋体"/>
          <w:color w:val="auto"/>
          <w:sz w:val="20"/>
          <w:szCs w:val="22"/>
          <w:highlight w:val="none"/>
        </w:rPr>
      </w:pPr>
      <w:bookmarkStart w:id="147" w:name="_Toc82873317"/>
      <w:bookmarkStart w:id="148" w:name="_Toc82338234"/>
      <w:bookmarkStart w:id="149" w:name="_Toc211745566"/>
      <w:r>
        <w:rPr>
          <w:rFonts w:hint="eastAsia" w:ascii="宋体" w:hAnsi="宋体" w:eastAsia="宋体" w:cs="宋体"/>
          <w:b/>
          <w:color w:val="auto"/>
          <w:sz w:val="40"/>
          <w:szCs w:val="40"/>
          <w:highlight w:val="none"/>
        </w:rPr>
        <w:t>重要提示</w:t>
      </w:r>
    </w:p>
    <w:p w14:paraId="6C5AB4F9">
      <w:pPr>
        <w:autoSpaceDN w:val="0"/>
        <w:spacing w:line="360" w:lineRule="auto"/>
        <w:ind w:firstLine="424" w:firstLineChars="151"/>
        <w:jc w:val="left"/>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（1）</w:t>
      </w:r>
      <w:r>
        <w:rPr>
          <w:rFonts w:hint="eastAsia" w:ascii="宋体" w:hAnsi="宋体" w:eastAsia="宋体" w:cs="宋体"/>
          <w:b/>
          <w:color w:val="auto"/>
          <w:sz w:val="28"/>
          <w:highlight w:val="none"/>
          <w:u w:val="single"/>
        </w:rPr>
        <w:t>本章中有提供格式的，供应商须按照格式进行编制（格式中要求提供相关证明材料的还需后附相关有效证明材料），并按格式要求进行签、章，否则视为未提供。</w:t>
      </w:r>
    </w:p>
    <w:p w14:paraId="2BA19313">
      <w:pPr>
        <w:autoSpaceDN w:val="0"/>
        <w:spacing w:line="360" w:lineRule="auto"/>
        <w:ind w:firstLine="424" w:firstLineChars="151"/>
        <w:jc w:val="left"/>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u w:val="single"/>
        </w:rPr>
        <w:t>本章未提供格式的，请供应商自行拟定格式，并加盖单位公章，否则视为未提供。</w:t>
      </w:r>
    </w:p>
    <w:p w14:paraId="6487BB58">
      <w:pPr>
        <w:autoSpaceDN w:val="0"/>
        <w:spacing w:line="360" w:lineRule="auto"/>
        <w:ind w:firstLine="424" w:firstLineChars="151"/>
        <w:jc w:val="left"/>
        <w:rPr>
          <w:rFonts w:hint="eastAsia" w:ascii="宋体" w:hAnsi="宋体" w:eastAsia="宋体" w:cs="宋体"/>
          <w:b/>
          <w:color w:val="auto"/>
          <w:kern w:val="0"/>
          <w:sz w:val="28"/>
          <w:highlight w:val="none"/>
          <w:u w:val="single"/>
        </w:rPr>
      </w:pPr>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u w:val="single"/>
        </w:rPr>
        <w:t>可以提供扫描件的相关证明材料必须加盖供应商公章，否则视为未提供（例如：各类资格资质证书、业绩材料、许可材料、荣誉证书、产品注册登记材料、产品检测材料、验收材料等）。</w:t>
      </w:r>
    </w:p>
    <w:p w14:paraId="0F21E292">
      <w:pPr>
        <w:autoSpaceDN w:val="0"/>
        <w:spacing w:line="360" w:lineRule="auto"/>
        <w:ind w:firstLine="424" w:firstLineChars="151"/>
        <w:rPr>
          <w:rFonts w:hint="eastAsia" w:ascii="宋体" w:hAnsi="宋体" w:eastAsia="宋体" w:cs="宋体"/>
          <w:b/>
          <w:color w:val="auto"/>
          <w:kern w:val="0"/>
          <w:sz w:val="28"/>
          <w:highlight w:val="none"/>
          <w:u w:val="single"/>
        </w:rPr>
      </w:pPr>
      <w:r>
        <w:rPr>
          <w:rFonts w:hint="eastAsia" w:ascii="宋体" w:hAnsi="宋体" w:eastAsia="宋体" w:cs="宋体"/>
          <w:b/>
          <w:color w:val="auto"/>
          <w:kern w:val="0"/>
          <w:sz w:val="28"/>
          <w:highlight w:val="none"/>
        </w:rPr>
        <w:t>（4）</w:t>
      </w:r>
      <w:r>
        <w:rPr>
          <w:rFonts w:hint="eastAsia" w:ascii="宋体" w:hAnsi="宋体" w:eastAsia="宋体" w:cs="宋体"/>
          <w:b/>
          <w:color w:val="auto"/>
          <w:kern w:val="0"/>
          <w:sz w:val="28"/>
          <w:highlight w:val="none"/>
          <w:u w:val="single"/>
        </w:rPr>
        <w:t>第三章投标须知第4.2.2款</w:t>
      </w:r>
      <w:r>
        <w:rPr>
          <w:rFonts w:hint="eastAsia" w:ascii="宋体" w:hAnsi="宋体" w:cs="宋体"/>
          <w:b/>
          <w:color w:val="auto"/>
          <w:kern w:val="0"/>
          <w:sz w:val="28"/>
          <w:highlight w:val="none"/>
          <w:u w:val="single"/>
          <w:lang w:eastAsia="zh-CN"/>
        </w:rPr>
        <w:t>磋商响应文件</w:t>
      </w:r>
      <w:r>
        <w:rPr>
          <w:rFonts w:hint="eastAsia" w:ascii="宋体" w:hAnsi="宋体" w:eastAsia="宋体" w:cs="宋体"/>
          <w:b/>
          <w:color w:val="auto"/>
          <w:kern w:val="0"/>
          <w:sz w:val="28"/>
          <w:highlight w:val="none"/>
          <w:u w:val="single"/>
        </w:rPr>
        <w:t>内容组成清单中标注“</w:t>
      </w:r>
      <w:r>
        <w:rPr>
          <w:rFonts w:hint="eastAsia" w:ascii="宋体" w:hAnsi="宋体" w:eastAsia="宋体" w:cs="宋体"/>
          <w:color w:val="auto"/>
          <w:kern w:val="0"/>
          <w:sz w:val="28"/>
          <w:highlight w:val="none"/>
          <w:u w:val="single"/>
        </w:rPr>
        <w:t>▲</w:t>
      </w:r>
      <w:r>
        <w:rPr>
          <w:rFonts w:hint="eastAsia" w:ascii="宋体" w:hAnsi="宋体" w:eastAsia="宋体" w:cs="宋体"/>
          <w:b/>
          <w:color w:val="auto"/>
          <w:kern w:val="0"/>
          <w:sz w:val="28"/>
          <w:highlight w:val="none"/>
          <w:u w:val="single"/>
        </w:rPr>
        <w:t>”的内容为必须提供的内容，未提供的投标无效。</w:t>
      </w:r>
    </w:p>
    <w:p w14:paraId="0E8720EF">
      <w:pPr>
        <w:autoSpaceDN w:val="0"/>
        <w:rPr>
          <w:rFonts w:hint="eastAsia" w:ascii="宋体" w:hAnsi="宋体" w:eastAsia="宋体" w:cs="宋体"/>
          <w:b/>
          <w:color w:val="auto"/>
          <w:kern w:val="0"/>
          <w:sz w:val="28"/>
          <w:highlight w:val="none"/>
          <w:u w:val="single"/>
        </w:rPr>
      </w:pPr>
      <w:r>
        <w:rPr>
          <w:rFonts w:hint="eastAsia" w:ascii="宋体" w:hAnsi="宋体" w:eastAsia="宋体" w:cs="宋体"/>
          <w:b/>
          <w:color w:val="auto"/>
          <w:kern w:val="0"/>
          <w:sz w:val="28"/>
          <w:highlight w:val="none"/>
          <w:u w:val="single"/>
        </w:rPr>
        <w:br w:type="page"/>
      </w:r>
    </w:p>
    <w:p w14:paraId="55D86DD6">
      <w:pPr>
        <w:pStyle w:val="4"/>
        <w:autoSpaceDN w:val="0"/>
        <w:spacing w:before="360"/>
        <w:ind w:firstLine="0" w:firstLineChars="0"/>
        <w:rPr>
          <w:rFonts w:hint="eastAsia" w:ascii="宋体" w:hAnsi="宋体" w:eastAsia="宋体" w:cs="宋体"/>
          <w:color w:val="auto"/>
          <w:sz w:val="28"/>
          <w:szCs w:val="28"/>
          <w:highlight w:val="none"/>
        </w:rPr>
      </w:pPr>
      <w:bookmarkStart w:id="150" w:name="_Toc29776"/>
      <w:bookmarkStart w:id="151" w:name="_Toc16177"/>
      <w:r>
        <w:rPr>
          <w:rFonts w:hint="eastAsia" w:ascii="宋体" w:hAnsi="宋体" w:eastAsia="宋体" w:cs="宋体"/>
          <w:color w:val="auto"/>
          <w:sz w:val="28"/>
          <w:szCs w:val="28"/>
          <w:highlight w:val="none"/>
        </w:rPr>
        <w:t>第一部分“资格文件格式”</w:t>
      </w:r>
      <w:bookmarkEnd w:id="150"/>
      <w:bookmarkEnd w:id="151"/>
    </w:p>
    <w:p w14:paraId="691E88B4">
      <w:pPr>
        <w:spacing w:line="276" w:lineRule="auto"/>
        <w:jc w:val="center"/>
        <w:rPr>
          <w:rFonts w:hint="eastAsia" w:ascii="宋体" w:hAnsi="宋体" w:eastAsia="宋体" w:cs="宋体"/>
          <w:b/>
          <w:color w:val="auto"/>
          <w:w w:val="90"/>
          <w:kern w:val="0"/>
          <w:sz w:val="56"/>
          <w:szCs w:val="70"/>
          <w:highlight w:val="none"/>
        </w:rPr>
      </w:pPr>
    </w:p>
    <w:p w14:paraId="6DC637BB">
      <w:pPr>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w w:val="90"/>
          <w:kern w:val="0"/>
          <w:sz w:val="56"/>
          <w:szCs w:val="70"/>
          <w:highlight w:val="none"/>
        </w:rPr>
        <w:t>浙江省省级政府采购电子交易项目</w:t>
      </w:r>
    </w:p>
    <w:p w14:paraId="41475D4D">
      <w:pPr>
        <w:spacing w:line="360" w:lineRule="auto"/>
        <w:rPr>
          <w:rFonts w:hint="eastAsia" w:ascii="宋体" w:hAnsi="宋体" w:eastAsia="宋体" w:cs="宋体"/>
          <w:color w:val="auto"/>
          <w:sz w:val="24"/>
          <w:highlight w:val="none"/>
        </w:rPr>
      </w:pPr>
    </w:p>
    <w:p w14:paraId="12B1E789">
      <w:pPr>
        <w:spacing w:line="276" w:lineRule="auto"/>
        <w:jc w:val="center"/>
        <w:rPr>
          <w:rFonts w:hint="eastAsia" w:ascii="宋体" w:hAnsi="宋体" w:eastAsia="宋体" w:cs="宋体"/>
          <w:color w:val="auto"/>
          <w:kern w:val="0"/>
          <w:sz w:val="96"/>
          <w:szCs w:val="96"/>
          <w:highlight w:val="none"/>
        </w:rPr>
      </w:pPr>
      <w:r>
        <w:rPr>
          <w:rFonts w:hint="eastAsia" w:ascii="宋体" w:hAnsi="宋体" w:eastAsia="宋体" w:cs="宋体"/>
          <w:color w:val="auto"/>
          <w:kern w:val="0"/>
          <w:sz w:val="96"/>
          <w:szCs w:val="96"/>
          <w:highlight w:val="none"/>
          <w:lang w:val="en-US" w:eastAsia="zh-CN"/>
        </w:rPr>
        <w:t>磋商响应</w:t>
      </w:r>
      <w:r>
        <w:rPr>
          <w:rFonts w:hint="eastAsia" w:ascii="宋体" w:hAnsi="宋体" w:eastAsia="宋体" w:cs="宋体"/>
          <w:color w:val="auto"/>
          <w:kern w:val="0"/>
          <w:sz w:val="96"/>
          <w:szCs w:val="96"/>
          <w:highlight w:val="none"/>
        </w:rPr>
        <w:t>文件</w:t>
      </w:r>
    </w:p>
    <w:p w14:paraId="225E6C5E">
      <w:pPr>
        <w:spacing w:line="360" w:lineRule="auto"/>
        <w:jc w:val="center"/>
        <w:rPr>
          <w:rFonts w:hint="eastAsia" w:ascii="宋体" w:hAnsi="宋体" w:eastAsia="宋体" w:cs="宋体"/>
          <w:b/>
          <w:color w:val="auto"/>
          <w:kern w:val="0"/>
          <w:sz w:val="22"/>
          <w:szCs w:val="40"/>
          <w:highlight w:val="none"/>
        </w:rPr>
      </w:pPr>
    </w:p>
    <w:p w14:paraId="4F399066">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（资格文件）</w:t>
      </w:r>
    </w:p>
    <w:p w14:paraId="247816D7">
      <w:pPr>
        <w:spacing w:line="360" w:lineRule="auto"/>
        <w:jc w:val="center"/>
        <w:rPr>
          <w:rFonts w:hint="eastAsia" w:ascii="宋体" w:hAnsi="宋体" w:eastAsia="宋体" w:cs="宋体"/>
          <w:color w:val="auto"/>
          <w:sz w:val="24"/>
          <w:highlight w:val="none"/>
        </w:rPr>
      </w:pPr>
    </w:p>
    <w:p w14:paraId="4DE7BB2E">
      <w:pPr>
        <w:spacing w:line="360" w:lineRule="auto"/>
        <w:jc w:val="center"/>
        <w:rPr>
          <w:rFonts w:hint="eastAsia" w:ascii="宋体" w:hAnsi="宋体" w:eastAsia="宋体" w:cs="宋体"/>
          <w:color w:val="auto"/>
          <w:sz w:val="24"/>
          <w:highlight w:val="none"/>
        </w:rPr>
      </w:pPr>
    </w:p>
    <w:tbl>
      <w:tblPr>
        <w:tblStyle w:val="51"/>
        <w:tblW w:w="9114" w:type="dxa"/>
        <w:jc w:val="center"/>
        <w:tblLayout w:type="fixed"/>
        <w:tblCellMar>
          <w:top w:w="0" w:type="dxa"/>
          <w:left w:w="108" w:type="dxa"/>
          <w:bottom w:w="0" w:type="dxa"/>
          <w:right w:w="108" w:type="dxa"/>
        </w:tblCellMar>
      </w:tblPr>
      <w:tblGrid>
        <w:gridCol w:w="9114"/>
      </w:tblGrid>
      <w:tr w14:paraId="2FF747BC">
        <w:tblPrEx>
          <w:tblCellMar>
            <w:top w:w="0" w:type="dxa"/>
            <w:left w:w="108" w:type="dxa"/>
            <w:bottom w:w="0" w:type="dxa"/>
            <w:right w:w="108" w:type="dxa"/>
          </w:tblCellMar>
        </w:tblPrEx>
        <w:trPr>
          <w:trHeight w:val="680" w:hRule="atLeast"/>
          <w:jc w:val="center"/>
        </w:trPr>
        <w:tc>
          <w:tcPr>
            <w:tcW w:w="9114" w:type="dxa"/>
            <w:noWrap w:val="0"/>
            <w:vAlign w:val="center"/>
          </w:tcPr>
          <w:p w14:paraId="6C176FCD">
            <w:pPr>
              <w:keepNext w:val="0"/>
              <w:keepLines w:val="0"/>
              <w:pageBreakBefore w:val="0"/>
              <w:widowControl w:val="0"/>
              <w:tabs>
                <w:tab w:val="left" w:pos="9030"/>
              </w:tabs>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cs="宋体"/>
                <w:b/>
                <w:color w:val="auto"/>
                <w:sz w:val="28"/>
                <w:szCs w:val="28"/>
                <w:highlight w:val="none"/>
                <w:lang w:eastAsia="zh-CN"/>
              </w:rPr>
              <w:t>浙江中医药大学文磊教授实验室改造项目</w:t>
            </w:r>
          </w:p>
        </w:tc>
      </w:tr>
      <w:tr w14:paraId="2E604723">
        <w:tblPrEx>
          <w:tblCellMar>
            <w:top w:w="0" w:type="dxa"/>
            <w:left w:w="108" w:type="dxa"/>
            <w:bottom w:w="0" w:type="dxa"/>
            <w:right w:w="108" w:type="dxa"/>
          </w:tblCellMar>
        </w:tblPrEx>
        <w:trPr>
          <w:trHeight w:val="680" w:hRule="atLeast"/>
          <w:jc w:val="center"/>
        </w:trPr>
        <w:tc>
          <w:tcPr>
            <w:tcW w:w="9114" w:type="dxa"/>
            <w:noWrap w:val="0"/>
            <w:vAlign w:val="center"/>
          </w:tcPr>
          <w:p w14:paraId="3DE7D2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CTZB-2025060529</w:t>
            </w:r>
          </w:p>
        </w:tc>
      </w:tr>
      <w:tr w14:paraId="70401CBA">
        <w:tblPrEx>
          <w:tblCellMar>
            <w:top w:w="0" w:type="dxa"/>
            <w:left w:w="108" w:type="dxa"/>
            <w:bottom w:w="0" w:type="dxa"/>
            <w:right w:w="108" w:type="dxa"/>
          </w:tblCellMar>
        </w:tblPrEx>
        <w:trPr>
          <w:trHeight w:val="680" w:hRule="atLeast"/>
          <w:jc w:val="center"/>
        </w:trPr>
        <w:tc>
          <w:tcPr>
            <w:tcW w:w="9114" w:type="dxa"/>
            <w:noWrap w:val="0"/>
            <w:vAlign w:val="center"/>
          </w:tcPr>
          <w:p w14:paraId="4DBFB6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供应商名称（盖章）：</w:t>
            </w:r>
            <w:r>
              <w:rPr>
                <w:rFonts w:hint="eastAsia" w:ascii="宋体" w:hAnsi="宋体" w:eastAsia="宋体" w:cs="宋体"/>
                <w:color w:val="auto"/>
                <w:sz w:val="28"/>
                <w:szCs w:val="28"/>
                <w:highlight w:val="none"/>
                <w:u w:val="single"/>
                <w:lang w:val="en-US" w:eastAsia="zh-CN"/>
              </w:rPr>
              <w:t xml:space="preserve">                                  </w:t>
            </w:r>
          </w:p>
        </w:tc>
      </w:tr>
      <w:tr w14:paraId="3A9B4948">
        <w:tblPrEx>
          <w:tblCellMar>
            <w:top w:w="0" w:type="dxa"/>
            <w:left w:w="108" w:type="dxa"/>
            <w:bottom w:w="0" w:type="dxa"/>
            <w:right w:w="108" w:type="dxa"/>
          </w:tblCellMar>
        </w:tblPrEx>
        <w:trPr>
          <w:trHeight w:val="658" w:hRule="atLeast"/>
          <w:jc w:val="center"/>
        </w:trPr>
        <w:tc>
          <w:tcPr>
            <w:tcW w:w="9114" w:type="dxa"/>
            <w:noWrap w:val="0"/>
            <w:vAlign w:val="center"/>
          </w:tcPr>
          <w:p w14:paraId="4229E3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供应商地址：</w:t>
            </w:r>
            <w:r>
              <w:rPr>
                <w:rFonts w:hint="eastAsia" w:ascii="宋体" w:hAnsi="宋体" w:eastAsia="宋体" w:cs="宋体"/>
                <w:color w:val="auto"/>
                <w:sz w:val="28"/>
                <w:szCs w:val="28"/>
                <w:highlight w:val="none"/>
                <w:u w:val="single"/>
                <w:lang w:val="en-US" w:eastAsia="zh-CN"/>
              </w:rPr>
              <w:t xml:space="preserve">                                          </w:t>
            </w:r>
          </w:p>
        </w:tc>
      </w:tr>
      <w:tr w14:paraId="1CB52F9D">
        <w:tblPrEx>
          <w:tblCellMar>
            <w:top w:w="0" w:type="dxa"/>
            <w:left w:w="108" w:type="dxa"/>
            <w:bottom w:w="0" w:type="dxa"/>
            <w:right w:w="108" w:type="dxa"/>
          </w:tblCellMar>
        </w:tblPrEx>
        <w:trPr>
          <w:trHeight w:val="680" w:hRule="atLeast"/>
          <w:jc w:val="center"/>
        </w:trPr>
        <w:tc>
          <w:tcPr>
            <w:tcW w:w="9114" w:type="dxa"/>
            <w:noWrap w:val="0"/>
            <w:vAlign w:val="center"/>
          </w:tcPr>
          <w:p w14:paraId="739045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供应商联系电话：</w:t>
            </w:r>
            <w:r>
              <w:rPr>
                <w:rFonts w:hint="eastAsia" w:ascii="宋体" w:hAnsi="宋体" w:eastAsia="宋体" w:cs="宋体"/>
                <w:color w:val="auto"/>
                <w:sz w:val="28"/>
                <w:szCs w:val="28"/>
                <w:highlight w:val="none"/>
                <w:u w:val="single"/>
                <w:lang w:val="en-US" w:eastAsia="zh-CN"/>
              </w:rPr>
              <w:t xml:space="preserve">                                      </w:t>
            </w:r>
          </w:p>
        </w:tc>
      </w:tr>
      <w:tr w14:paraId="25735CFD">
        <w:tblPrEx>
          <w:tblCellMar>
            <w:top w:w="0" w:type="dxa"/>
            <w:left w:w="108" w:type="dxa"/>
            <w:bottom w:w="0" w:type="dxa"/>
            <w:right w:w="108" w:type="dxa"/>
          </w:tblCellMar>
        </w:tblPrEx>
        <w:trPr>
          <w:trHeight w:val="680" w:hRule="atLeast"/>
          <w:jc w:val="center"/>
        </w:trPr>
        <w:tc>
          <w:tcPr>
            <w:tcW w:w="9114" w:type="dxa"/>
            <w:noWrap w:val="0"/>
            <w:vAlign w:val="center"/>
          </w:tcPr>
          <w:p w14:paraId="6B36C9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lang w:val="en-US" w:eastAsia="zh-CN"/>
              </w:rPr>
              <w:t>2025年  月  日</w:t>
            </w:r>
          </w:p>
        </w:tc>
      </w:tr>
      <w:tr w14:paraId="5C80A44B">
        <w:tblPrEx>
          <w:tblCellMar>
            <w:top w:w="0" w:type="dxa"/>
            <w:left w:w="108" w:type="dxa"/>
            <w:bottom w:w="0" w:type="dxa"/>
            <w:right w:w="108" w:type="dxa"/>
          </w:tblCellMar>
        </w:tblPrEx>
        <w:trPr>
          <w:trHeight w:val="680" w:hRule="atLeast"/>
          <w:jc w:val="center"/>
        </w:trPr>
        <w:tc>
          <w:tcPr>
            <w:tcW w:w="9114" w:type="dxa"/>
            <w:noWrap w:val="0"/>
            <w:vAlign w:val="center"/>
          </w:tcPr>
          <w:p w14:paraId="08DE5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8"/>
                <w:szCs w:val="28"/>
                <w:highlight w:val="none"/>
                <w:lang w:val="en-US" w:eastAsia="zh-CN"/>
              </w:rPr>
            </w:pPr>
          </w:p>
          <w:p w14:paraId="0EA0E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磋商响应</w:t>
            </w:r>
            <w:r>
              <w:rPr>
                <w:rFonts w:hint="eastAsia" w:ascii="宋体" w:hAnsi="宋体" w:eastAsia="宋体" w:cs="宋体"/>
                <w:b/>
                <w:color w:val="auto"/>
                <w:sz w:val="28"/>
                <w:szCs w:val="28"/>
                <w:highlight w:val="none"/>
              </w:rPr>
              <w:t>截止时间前其他单位或个人不得解密、提取</w:t>
            </w:r>
          </w:p>
        </w:tc>
      </w:tr>
    </w:tbl>
    <w:p w14:paraId="6275734E">
      <w:pPr>
        <w:rPr>
          <w:rFonts w:hint="eastAsia" w:ascii="宋体" w:hAnsi="宋体" w:eastAsia="宋体" w:cs="宋体"/>
          <w:bCs/>
          <w:color w:val="auto"/>
          <w:kern w:val="0"/>
          <w:sz w:val="28"/>
          <w:szCs w:val="28"/>
          <w:highlight w:val="none"/>
        </w:rPr>
      </w:pPr>
      <w:r>
        <w:rPr>
          <w:rFonts w:hint="eastAsia" w:ascii="Times New Roman" w:hAnsi="Times New Roman" w:eastAsia="华文中宋" w:cs="Times New Roman"/>
          <w:b/>
          <w:color w:val="auto"/>
          <w:kern w:val="0"/>
          <w:sz w:val="24"/>
          <w:szCs w:val="20"/>
          <w:highlight w:val="none"/>
          <w:lang w:val="en-US" w:eastAsia="zh-CN" w:bidi="ar-SA"/>
        </w:rPr>
        <w:br w:type="page"/>
      </w:r>
    </w:p>
    <w:p w14:paraId="6E3979A0">
      <w:pPr>
        <w:pStyle w:val="2"/>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1-1▲符合“申请人的资格要求”第1条规定的证明文件</w:t>
      </w:r>
    </w:p>
    <w:p w14:paraId="6B1DEC69">
      <w:pPr>
        <w:pStyle w:val="5"/>
        <w:autoSpaceDN w:val="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（1）▲资格承诺函</w:t>
      </w:r>
    </w:p>
    <w:p w14:paraId="2ADA7F6B">
      <w:pPr>
        <w:autoSpaceDN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资格承诺函（联合体、分包承担主体各方均须提供）</w:t>
      </w:r>
    </w:p>
    <w:p w14:paraId="57D1CD35">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u w:val="single"/>
          <w:lang w:eastAsia="zh-CN"/>
        </w:rPr>
        <w:t>浙江中医药大学</w:t>
      </w:r>
      <w:r>
        <w:rPr>
          <w:rFonts w:hint="eastAsia" w:ascii="宋体" w:hAnsi="宋体" w:eastAsia="宋体" w:cs="宋体"/>
          <w:b/>
          <w:color w:val="auto"/>
          <w:kern w:val="0"/>
          <w:sz w:val="24"/>
          <w:highlight w:val="none"/>
          <w:u w:val="single"/>
        </w:rPr>
        <w:t>、浙江省成套招标代理有限公司</w:t>
      </w:r>
      <w:r>
        <w:rPr>
          <w:rFonts w:hint="eastAsia" w:ascii="宋体" w:hAnsi="宋体" w:eastAsia="宋体" w:cs="宋体"/>
          <w:b/>
          <w:color w:val="auto"/>
          <w:kern w:val="0"/>
          <w:sz w:val="24"/>
          <w:highlight w:val="none"/>
        </w:rPr>
        <w:t>：</w:t>
      </w:r>
    </w:p>
    <w:p w14:paraId="72687DAE">
      <w:pPr>
        <w:autoSpaceDN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我方参加</w:t>
      </w:r>
      <w:r>
        <w:rPr>
          <w:rFonts w:hint="eastAsia" w:ascii="宋体" w:hAnsi="宋体" w:cs="宋体"/>
          <w:b/>
          <w:color w:val="auto"/>
          <w:kern w:val="0"/>
          <w:sz w:val="24"/>
          <w:highlight w:val="none"/>
          <w:u w:val="single"/>
          <w:lang w:eastAsia="zh-CN"/>
        </w:rPr>
        <w:t>浙江中医药大学文磊教授实验室改造项目</w:t>
      </w:r>
      <w:r>
        <w:rPr>
          <w:rFonts w:hint="eastAsia" w:ascii="宋体" w:hAnsi="宋体" w:eastAsia="宋体" w:cs="宋体"/>
          <w:b/>
          <w:color w:val="auto"/>
          <w:kern w:val="0"/>
          <w:sz w:val="24"/>
          <w:highlight w:val="none"/>
          <w:u w:val="single"/>
        </w:rPr>
        <w:t>（项目编号：</w:t>
      </w:r>
      <w:r>
        <w:rPr>
          <w:rFonts w:hint="eastAsia" w:ascii="宋体" w:hAnsi="宋体" w:cs="宋体"/>
          <w:b/>
          <w:color w:val="auto"/>
          <w:kern w:val="0"/>
          <w:sz w:val="24"/>
          <w:highlight w:val="none"/>
          <w:u w:val="single"/>
          <w:lang w:eastAsia="zh-CN"/>
        </w:rPr>
        <w:t>CTZB-2025060529</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rPr>
        <w:t>的政府采购活动，依据采购文件相关规定，郑重承诺如下：</w:t>
      </w:r>
    </w:p>
    <w:p w14:paraId="6A12F9A0">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（1）我方具有独立承担民事责任的能力；</w:t>
      </w:r>
    </w:p>
    <w:p w14:paraId="7AFDB8DD">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（2）我方具有良好的商业信誉和健全的财务会计制度；</w:t>
      </w:r>
    </w:p>
    <w:p w14:paraId="290C1186">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（3）我方具有履行本项目合同所必需的设备和专业技术能力；</w:t>
      </w:r>
    </w:p>
    <w:p w14:paraId="29CFB13C">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（4）我方有依法缴纳税收和社会保障资金的良好记录；</w:t>
      </w:r>
    </w:p>
    <w:p w14:paraId="7CD41A6A">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color w:val="auto"/>
          <w:sz w:val="24"/>
          <w:highlight w:val="none"/>
        </w:rPr>
        <w:t>；</w:t>
      </w:r>
    </w:p>
    <w:p w14:paraId="06F6A8F1">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（6）我方符合法律、行政法规规定的其他条件；</w:t>
      </w:r>
    </w:p>
    <w:p w14:paraId="0BAA951B">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kern w:val="0"/>
          <w:sz w:val="24"/>
          <w:highlight w:val="none"/>
        </w:rPr>
        <w:t>我方在</w:t>
      </w:r>
      <w:r>
        <w:rPr>
          <w:rFonts w:hint="eastAsia" w:ascii="宋体" w:hAnsi="宋体" w:cs="宋体"/>
          <w:color w:val="auto"/>
          <w:kern w:val="0"/>
          <w:sz w:val="24"/>
          <w:highlight w:val="none"/>
          <w:lang w:eastAsia="zh-CN"/>
        </w:rPr>
        <w:t>磋商响应文件</w:t>
      </w:r>
      <w:r>
        <w:rPr>
          <w:rFonts w:hint="eastAsia" w:ascii="宋体" w:hAnsi="宋体" w:eastAsia="宋体" w:cs="宋体"/>
          <w:color w:val="auto"/>
          <w:kern w:val="0"/>
          <w:sz w:val="24"/>
          <w:highlight w:val="none"/>
        </w:rPr>
        <w:t>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7A33C72">
      <w:pPr>
        <w:autoSpaceDN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以上承诺如有虚假或隐瞒，采购人可取消我方任何资格（投标/中标/签订合同），我方对此无任何异议，并愿意承担一切后果和责任。</w:t>
      </w:r>
    </w:p>
    <w:p w14:paraId="69085A37">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1D315DFC">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投标供应商名称（盖章）：__________________________________</w:t>
      </w:r>
    </w:p>
    <w:p w14:paraId="57ED552E">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日期：________年____月____日</w:t>
      </w:r>
    </w:p>
    <w:p w14:paraId="0BCB3E66">
      <w:pPr>
        <w:pStyle w:val="5"/>
        <w:autoSpaceDN w:val="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（2）▲营业执照或其他同类证明文件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14:paraId="34DF335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14:paraId="2C3792D5">
            <w:pPr>
              <w:autoSpaceDN w:val="0"/>
              <w:spacing w:before="600" w:beforeLines="250"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证明材料：</w:t>
            </w:r>
            <w:r>
              <w:rPr>
                <w:rFonts w:hint="eastAsia" w:ascii="宋体" w:hAnsi="宋体" w:eastAsia="宋体" w:cs="宋体"/>
                <w:b/>
                <w:color w:val="auto"/>
                <w:sz w:val="28"/>
                <w:highlight w:val="none"/>
                <w:u w:val="single"/>
              </w:rPr>
              <w:t>营业执照（或事业单位法人证书或执业许可证或自然人有效身份证明）</w:t>
            </w:r>
            <w:r>
              <w:rPr>
                <w:rFonts w:hint="eastAsia" w:ascii="宋体" w:hAnsi="宋体" w:eastAsia="宋体" w:cs="宋体"/>
                <w:color w:val="auto"/>
                <w:sz w:val="28"/>
                <w:highlight w:val="none"/>
              </w:rPr>
              <w:t>（提供扫描件加盖磋商响应供应商公章）</w:t>
            </w:r>
            <w:r>
              <w:rPr>
                <w:rFonts w:hint="eastAsia" w:ascii="宋体" w:hAnsi="宋体" w:eastAsia="宋体" w:cs="宋体"/>
                <w:color w:val="auto"/>
                <w:sz w:val="24"/>
                <w:highlight w:val="none"/>
              </w:rPr>
              <w:t>。</w:t>
            </w:r>
          </w:p>
          <w:p w14:paraId="5BE6C89E">
            <w:pPr>
              <w:autoSpaceDN w:val="0"/>
              <w:spacing w:line="360" w:lineRule="auto"/>
              <w:jc w:val="left"/>
              <w:rPr>
                <w:rFonts w:hint="eastAsia" w:ascii="宋体" w:hAnsi="宋体" w:eastAsia="宋体" w:cs="宋体"/>
                <w:i/>
                <w:color w:val="auto"/>
                <w:sz w:val="24"/>
                <w:highlight w:val="none"/>
              </w:rPr>
            </w:pPr>
          </w:p>
          <w:p w14:paraId="4E92A263">
            <w:pPr>
              <w:autoSpaceDN w:val="0"/>
              <w:spacing w:line="360" w:lineRule="auto"/>
              <w:jc w:val="left"/>
              <w:rPr>
                <w:rFonts w:hint="eastAsia" w:ascii="宋体" w:hAnsi="宋体" w:eastAsia="宋体" w:cs="宋体"/>
                <w:b/>
                <w:i/>
                <w:color w:val="auto"/>
                <w:sz w:val="28"/>
                <w:highlight w:val="none"/>
              </w:rPr>
            </w:pPr>
            <w:r>
              <w:rPr>
                <w:rFonts w:hint="eastAsia" w:ascii="宋体" w:hAnsi="宋体" w:eastAsia="宋体" w:cs="宋体"/>
                <w:b/>
                <w:i/>
                <w:color w:val="auto"/>
                <w:sz w:val="28"/>
                <w:highlight w:val="none"/>
              </w:rPr>
              <w:t>提示和说明：</w:t>
            </w:r>
          </w:p>
          <w:p w14:paraId="2146E886">
            <w:pPr>
              <w:autoSpaceDN w:val="0"/>
              <w:spacing w:line="360" w:lineRule="auto"/>
              <w:ind w:firstLine="369" w:firstLineChars="132"/>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FB951BA">
            <w:pPr>
              <w:autoSpaceDN w:val="0"/>
              <w:spacing w:line="360" w:lineRule="auto"/>
              <w:ind w:firstLine="422" w:firstLineChars="151"/>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6A2948">
            <w:pPr>
              <w:autoSpaceDN w:val="0"/>
              <w:spacing w:line="360" w:lineRule="auto"/>
              <w:ind w:firstLine="424" w:firstLineChars="151"/>
              <w:jc w:val="left"/>
              <w:rPr>
                <w:rFonts w:hint="eastAsia" w:ascii="宋体" w:hAnsi="宋体" w:eastAsia="宋体" w:cs="宋体"/>
                <w:i/>
                <w:color w:val="auto"/>
                <w:kern w:val="0"/>
                <w:sz w:val="24"/>
                <w:highlight w:val="none"/>
              </w:rPr>
            </w:pPr>
            <w:r>
              <w:rPr>
                <w:rFonts w:hint="eastAsia" w:ascii="宋体" w:hAnsi="宋体" w:eastAsia="宋体" w:cs="宋体"/>
                <w:b/>
                <w:color w:val="auto"/>
                <w:kern w:val="0"/>
                <w:sz w:val="28"/>
                <w:highlight w:val="none"/>
              </w:rPr>
              <w:t>c.联合体、分包承担主体各方均须提供。</w:t>
            </w:r>
          </w:p>
        </w:tc>
      </w:tr>
    </w:tbl>
    <w:p w14:paraId="76E6B5D4">
      <w:pPr>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F81E199">
      <w:pPr>
        <w:pStyle w:val="2"/>
        <w:spacing w:before="120" w:after="120"/>
        <w:ind w:firstLine="280"/>
        <w:jc w:val="both"/>
        <w:rPr>
          <w:rFonts w:hint="eastAsia" w:ascii="宋体" w:hAnsi="宋体" w:eastAsia="宋体" w:cs="宋体"/>
          <w:color w:val="auto"/>
          <w:sz w:val="40"/>
          <w:szCs w:val="44"/>
          <w:highlight w:val="none"/>
        </w:rPr>
      </w:pPr>
      <w:r>
        <w:rPr>
          <w:rFonts w:hint="eastAsia" w:ascii="宋体" w:hAnsi="宋体" w:eastAsia="宋体" w:cs="宋体"/>
          <w:bCs/>
          <w:color w:val="auto"/>
          <w:kern w:val="0"/>
          <w:sz w:val="28"/>
          <w:szCs w:val="28"/>
          <w:highlight w:val="none"/>
        </w:rPr>
        <w:t>1-2 符合“申请人的资格要求”第2条“落实政府采购政策需满足的资格要求”规定的证明文件</w:t>
      </w:r>
    </w:p>
    <w:p w14:paraId="757995EA">
      <w:pPr>
        <w:pStyle w:val="5"/>
        <w:autoSpaceDN w:val="0"/>
        <w:ind w:firstLine="561"/>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1-2-1▲中小企业声明函</w:t>
      </w:r>
    </w:p>
    <w:p w14:paraId="2C493930">
      <w:pPr>
        <w:autoSpaceDN w:val="0"/>
        <w:spacing w:line="312" w:lineRule="auto"/>
        <w:jc w:val="center"/>
        <w:rPr>
          <w:rFonts w:hint="eastAsia" w:ascii="宋体" w:hAnsi="宋体" w:eastAsia="宋体" w:cs="宋体"/>
          <w:b/>
          <w:color w:val="auto"/>
          <w:sz w:val="40"/>
          <w:szCs w:val="44"/>
          <w:highlight w:val="none"/>
        </w:rPr>
      </w:pPr>
      <w:r>
        <w:rPr>
          <w:rFonts w:hint="eastAsia" w:ascii="宋体" w:hAnsi="宋体" w:eastAsia="宋体" w:cs="宋体"/>
          <w:b/>
          <w:color w:val="auto"/>
          <w:sz w:val="40"/>
          <w:szCs w:val="44"/>
          <w:highlight w:val="none"/>
        </w:rPr>
        <w:t>▲中小企业声明函</w:t>
      </w:r>
    </w:p>
    <w:p w14:paraId="044D7AAB">
      <w:pPr>
        <w:pStyle w:val="45"/>
        <w:autoSpaceDN w:val="0"/>
        <w:spacing w:before="60" w:beforeAutospacing="0" w:after="60" w:afterAutospacing="0" w:line="312"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本公司郑重声明，根据《政府采购促进中小企业发展管理办法》（财库﹝2020﹞46 号）的规定，本公司参加</w:t>
      </w:r>
      <w:r>
        <w:rPr>
          <w:rFonts w:hint="eastAsia" w:ascii="宋体" w:hAnsi="宋体" w:eastAsia="宋体" w:cs="宋体"/>
          <w:b/>
          <w:bCs/>
          <w:i w:val="0"/>
          <w:iCs w:val="0"/>
          <w:color w:val="auto"/>
          <w:sz w:val="24"/>
          <w:szCs w:val="24"/>
          <w:highlight w:val="none"/>
          <w:u w:val="single"/>
          <w:lang w:eastAsia="zh-CN"/>
        </w:rPr>
        <w:t>浙江中医药大学</w:t>
      </w:r>
      <w:r>
        <w:rPr>
          <w:rFonts w:hint="eastAsia" w:ascii="宋体" w:hAnsi="宋体" w:eastAsia="宋体" w:cs="宋体"/>
          <w:i w:val="0"/>
          <w:iCs w:val="0"/>
          <w:color w:val="auto"/>
          <w:sz w:val="24"/>
          <w:szCs w:val="24"/>
          <w:highlight w:val="none"/>
        </w:rPr>
        <w:t>的</w:t>
      </w:r>
      <w:r>
        <w:rPr>
          <w:rFonts w:hint="eastAsia" w:cs="宋体"/>
          <w:b/>
          <w:bCs/>
          <w:i w:val="0"/>
          <w:iCs w:val="0"/>
          <w:color w:val="auto"/>
          <w:sz w:val="24"/>
          <w:szCs w:val="24"/>
          <w:highlight w:val="none"/>
          <w:u w:val="single"/>
          <w:lang w:eastAsia="zh-CN"/>
        </w:rPr>
        <w:t>浙江中医药大学文磊教授实验室改造项目</w:t>
      </w:r>
      <w:r>
        <w:rPr>
          <w:rFonts w:hint="eastAsia" w:ascii="宋体" w:hAnsi="宋体" w:eastAsia="宋体" w:cs="宋体"/>
          <w:i w:val="0"/>
          <w:iCs w:val="0"/>
          <w:color w:val="auto"/>
          <w:sz w:val="24"/>
          <w:szCs w:val="24"/>
          <w:highlight w:val="none"/>
        </w:rPr>
        <w:t>采购活动，工程的施工单位全部为符合政策要求的中小企业。企业具体情况如下：</w:t>
      </w:r>
    </w:p>
    <w:p w14:paraId="03E751D8">
      <w:pPr>
        <w:pStyle w:val="45"/>
        <w:autoSpaceDN w:val="0"/>
        <w:spacing w:before="60" w:beforeAutospacing="0" w:after="60" w:afterAutospacing="0" w:line="312" w:lineRule="auto"/>
        <w:ind w:firstLine="37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cs="宋体"/>
          <w:b/>
          <w:bCs/>
          <w:i w:val="0"/>
          <w:iCs w:val="0"/>
          <w:color w:val="auto"/>
          <w:sz w:val="24"/>
          <w:szCs w:val="24"/>
          <w:highlight w:val="none"/>
          <w:u w:val="single"/>
          <w:lang w:eastAsia="zh-CN"/>
        </w:rPr>
        <w:t>浙江中医药大学文磊教授实验室改造项目</w:t>
      </w:r>
      <w:r>
        <w:rPr>
          <w:rFonts w:hint="eastAsia" w:ascii="宋体" w:hAnsi="宋体" w:eastAsia="宋体" w:cs="宋体"/>
          <w:i w:val="0"/>
          <w:iCs w:val="0"/>
          <w:color w:val="auto"/>
          <w:sz w:val="24"/>
          <w:szCs w:val="24"/>
          <w:highlight w:val="none"/>
        </w:rPr>
        <w:t>，属于</w:t>
      </w:r>
      <w:r>
        <w:rPr>
          <w:rFonts w:hint="eastAsia" w:ascii="宋体" w:hAnsi="宋体" w:eastAsia="宋体" w:cs="宋体"/>
          <w:b/>
          <w:bCs/>
          <w:i w:val="0"/>
          <w:iCs w:val="0"/>
          <w:color w:val="auto"/>
          <w:sz w:val="24"/>
          <w:szCs w:val="24"/>
          <w:highlight w:val="none"/>
          <w:u w:val="single"/>
        </w:rPr>
        <w:t>建筑业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1532FE30">
      <w:pPr>
        <w:autoSpaceDN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以上企业，不属于大企业的分支机构，不存在控股股东为大企业的情形，也不存在与大企业的负责人为同一人的情形。</w:t>
      </w:r>
    </w:p>
    <w:p w14:paraId="5395A6D0">
      <w:pPr>
        <w:autoSpaceDN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本企业对上述声明内容的真实性负责。如有虚假，将依法承担相应责任。</w:t>
      </w:r>
    </w:p>
    <w:p w14:paraId="0A30AF24">
      <w:pPr>
        <w:autoSpaceDN w:val="0"/>
        <w:spacing w:line="360" w:lineRule="auto"/>
        <w:ind w:left="3570" w:leftChars="1700" w:firstLine="565" w:firstLineChars="20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企业名称（盖章）：</w:t>
      </w:r>
    </w:p>
    <w:p w14:paraId="4B12C289">
      <w:pPr>
        <w:autoSpaceDN w:val="0"/>
        <w:spacing w:line="360" w:lineRule="auto"/>
        <w:ind w:left="3570" w:leftChars="1700" w:firstLine="565" w:firstLineChars="20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64C71104">
      <w:pPr>
        <w:pStyle w:val="21"/>
        <w:rPr>
          <w:rFonts w:hint="eastAsia" w:ascii="宋体" w:hAnsi="宋体" w:eastAsia="宋体" w:cs="宋体"/>
          <w:b/>
          <w:bCs/>
          <w:color w:val="auto"/>
          <w:highlight w:val="none"/>
        </w:rPr>
      </w:pPr>
      <w:r>
        <w:rPr>
          <w:rFonts w:hint="eastAsia" w:ascii="宋体" w:hAnsi="宋体" w:eastAsia="宋体" w:cs="宋体"/>
          <w:b/>
          <w:bCs/>
          <w:color w:val="auto"/>
          <w:highlight w:val="none"/>
        </w:rPr>
        <w:t>备注：1、从业人员、营业收入、资产总额填报上一年度数据，无上一年度数据的新成立企业可不填报。</w:t>
      </w:r>
    </w:p>
    <w:p w14:paraId="7737A66B">
      <w:pPr>
        <w:pStyle w:val="21"/>
        <w:rPr>
          <w:rFonts w:hint="eastAsia" w:ascii="宋体" w:hAnsi="宋体" w:eastAsia="宋体" w:cs="宋体"/>
          <w:b/>
          <w:bCs/>
          <w:color w:val="auto"/>
          <w:highlight w:val="none"/>
        </w:rPr>
      </w:pPr>
      <w:r>
        <w:rPr>
          <w:rFonts w:hint="eastAsia" w:ascii="宋体" w:hAnsi="宋体" w:eastAsia="宋体" w:cs="宋体"/>
          <w:b/>
          <w:bCs/>
          <w:color w:val="auto"/>
          <w:highlight w:val="none"/>
        </w:rPr>
        <w:t>2、“建筑业”企业规模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D83028">
      <w:pPr>
        <w:pStyle w:val="21"/>
        <w:ind w:firstLine="0"/>
        <w:rPr>
          <w:rFonts w:hint="eastAsia" w:ascii="宋体" w:hAnsi="宋体" w:eastAsia="宋体" w:cs="宋体"/>
          <w:color w:val="auto"/>
          <w:highlight w:val="none"/>
        </w:rPr>
      </w:pPr>
    </w:p>
    <w:p w14:paraId="3389F81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562C18D">
      <w:pPr>
        <w:pStyle w:val="5"/>
        <w:autoSpaceDN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（1）残疾人福利性单位声明函（如是）</w:t>
      </w:r>
    </w:p>
    <w:p w14:paraId="5A178960">
      <w:pPr>
        <w:autoSpaceDN w:val="0"/>
        <w:spacing w:before="240"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z w:val="40"/>
          <w:szCs w:val="44"/>
          <w:highlight w:val="none"/>
        </w:rPr>
        <w:t>残疾人福利性单位声明函</w:t>
      </w:r>
    </w:p>
    <w:p w14:paraId="0DE1D2C1">
      <w:pPr>
        <w:autoSpaceDN w:val="0"/>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cs="宋体"/>
          <w:b/>
          <w:bCs/>
          <w:color w:val="auto"/>
          <w:kern w:val="0"/>
          <w:sz w:val="28"/>
          <w:szCs w:val="28"/>
          <w:highlight w:val="none"/>
          <w:u w:val="single"/>
          <w:lang w:eastAsia="zh-CN"/>
        </w:rPr>
        <w:t>浙江中医药大学文磊教授实验室改造项目</w:t>
      </w:r>
      <w:r>
        <w:rPr>
          <w:rFonts w:hint="eastAsia" w:ascii="宋体" w:hAnsi="宋体" w:eastAsia="宋体" w:cs="宋体"/>
          <w:b/>
          <w:bCs/>
          <w:color w:val="auto"/>
          <w:kern w:val="0"/>
          <w:sz w:val="28"/>
          <w:szCs w:val="28"/>
          <w:highlight w:val="none"/>
          <w:u w:val="single"/>
        </w:rPr>
        <w:t>（项目编号：</w:t>
      </w:r>
      <w:r>
        <w:rPr>
          <w:rFonts w:hint="eastAsia" w:ascii="宋体" w:hAnsi="宋体" w:cs="宋体"/>
          <w:b/>
          <w:bCs/>
          <w:color w:val="auto"/>
          <w:kern w:val="0"/>
          <w:sz w:val="28"/>
          <w:szCs w:val="28"/>
          <w:highlight w:val="none"/>
          <w:u w:val="single"/>
          <w:lang w:eastAsia="zh-CN"/>
        </w:rPr>
        <w:t>CTZB-2025060529</w:t>
      </w:r>
      <w:r>
        <w:rPr>
          <w:rFonts w:hint="eastAsia" w:ascii="宋体" w:hAnsi="宋体" w:eastAsia="宋体" w:cs="宋体"/>
          <w:b/>
          <w:bCs/>
          <w:color w:val="auto"/>
          <w:kern w:val="0"/>
          <w:sz w:val="28"/>
          <w:szCs w:val="28"/>
          <w:highlight w:val="none"/>
          <w:u w:val="single"/>
        </w:rPr>
        <w:t>）</w:t>
      </w:r>
      <w:r>
        <w:rPr>
          <w:rFonts w:hint="eastAsia" w:ascii="宋体" w:hAnsi="宋体" w:eastAsia="宋体" w:cs="宋体"/>
          <w:color w:val="auto"/>
          <w:spacing w:val="6"/>
          <w:sz w:val="28"/>
          <w:highlight w:val="none"/>
        </w:rPr>
        <w:t>的采购活动，由本单位承担工程。</w:t>
      </w:r>
    </w:p>
    <w:p w14:paraId="5F5348BE">
      <w:pPr>
        <w:autoSpaceDN w:val="0"/>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本单位对上述声明的真实性负责。如有虚假，将依法承担相应责任。</w:t>
      </w:r>
    </w:p>
    <w:p w14:paraId="14DD5D14">
      <w:pPr>
        <w:pStyle w:val="21"/>
        <w:rPr>
          <w:rFonts w:hint="eastAsia" w:ascii="宋体" w:hAnsi="宋体" w:eastAsia="宋体" w:cs="宋体"/>
          <w:color w:val="auto"/>
          <w:highlight w:val="none"/>
        </w:rPr>
      </w:pPr>
    </w:p>
    <w:p w14:paraId="49A633E3">
      <w:pPr>
        <w:autoSpaceDN w:val="0"/>
        <w:spacing w:line="360" w:lineRule="auto"/>
        <w:ind w:firstLine="504" w:firstLineChars="200"/>
        <w:rPr>
          <w:rFonts w:hint="eastAsia" w:ascii="宋体" w:hAnsi="宋体" w:eastAsia="宋体" w:cs="宋体"/>
          <w:color w:val="auto"/>
          <w:spacing w:val="6"/>
          <w:sz w:val="24"/>
          <w:highlight w:val="none"/>
        </w:rPr>
      </w:pPr>
    </w:p>
    <w:p w14:paraId="62D4B6BE">
      <w:pPr>
        <w:autoSpaceDN w:val="0"/>
        <w:spacing w:line="360" w:lineRule="auto"/>
        <w:ind w:firstLine="504" w:firstLineChars="200"/>
        <w:rPr>
          <w:rFonts w:hint="eastAsia" w:ascii="宋体" w:hAnsi="宋体" w:eastAsia="宋体" w:cs="宋体"/>
          <w:color w:val="auto"/>
          <w:spacing w:val="6"/>
          <w:sz w:val="24"/>
          <w:highlight w:val="none"/>
        </w:rPr>
      </w:pPr>
    </w:p>
    <w:p w14:paraId="69C5082A">
      <w:pPr>
        <w:tabs>
          <w:tab w:val="left" w:pos="4860"/>
        </w:tabs>
        <w:autoSpaceDN w:val="0"/>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kern w:val="0"/>
          <w:sz w:val="28"/>
          <w:highlight w:val="none"/>
        </w:rPr>
        <w:t>__________________________________</w:t>
      </w:r>
    </w:p>
    <w:p w14:paraId="152CC06F">
      <w:pPr>
        <w:autoSpaceDN w:val="0"/>
        <w:spacing w:line="360" w:lineRule="auto"/>
        <w:rPr>
          <w:rFonts w:hint="eastAsia" w:ascii="宋体" w:hAnsi="宋体" w:eastAsia="宋体" w:cs="宋体"/>
          <w:color w:val="auto"/>
          <w:w w:val="90"/>
          <w:kern w:val="0"/>
          <w:sz w:val="28"/>
          <w:highlight w:val="none"/>
        </w:rPr>
      </w:pPr>
      <w:r>
        <w:rPr>
          <w:rFonts w:hint="eastAsia" w:ascii="宋体" w:hAnsi="宋体" w:eastAsia="宋体" w:cs="宋体"/>
          <w:color w:val="auto"/>
          <w:spacing w:val="6"/>
          <w:sz w:val="28"/>
          <w:highlight w:val="none"/>
        </w:rPr>
        <w:t>日期：</w:t>
      </w:r>
      <w:r>
        <w:rPr>
          <w:rFonts w:hint="eastAsia" w:ascii="宋体" w:hAnsi="宋体" w:eastAsia="宋体" w:cs="宋体"/>
          <w:color w:val="auto"/>
          <w:w w:val="90"/>
          <w:kern w:val="0"/>
          <w:sz w:val="28"/>
          <w:highlight w:val="none"/>
        </w:rPr>
        <w:t>____________________________________________</w:t>
      </w:r>
    </w:p>
    <w:p w14:paraId="2FE377C7">
      <w:pPr>
        <w:autoSpaceDN w:val="0"/>
        <w:spacing w:line="360" w:lineRule="auto"/>
        <w:ind w:firstLine="426" w:firstLineChars="177"/>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9C5932C">
      <w:pPr>
        <w:autoSpaceDN w:val="0"/>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4CE05572">
      <w:pPr>
        <w:pStyle w:val="5"/>
        <w:autoSpaceDN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（2）监狱企业证明文件</w:t>
      </w:r>
    </w:p>
    <w:p w14:paraId="19390A8D">
      <w:pPr>
        <w:autoSpaceDN w:val="0"/>
        <w:spacing w:line="360" w:lineRule="auto"/>
        <w:jc w:val="center"/>
        <w:rPr>
          <w:rFonts w:hint="eastAsia" w:ascii="宋体" w:hAnsi="宋体" w:eastAsia="宋体" w:cs="宋体"/>
          <w:b/>
          <w:color w:val="auto"/>
          <w:sz w:val="40"/>
          <w:szCs w:val="44"/>
          <w:highlight w:val="none"/>
        </w:rPr>
      </w:pPr>
      <w:r>
        <w:rPr>
          <w:rFonts w:hint="eastAsia" w:ascii="宋体" w:hAnsi="宋体" w:eastAsia="宋体" w:cs="宋体"/>
          <w:b/>
          <w:color w:val="auto"/>
          <w:sz w:val="40"/>
          <w:szCs w:val="44"/>
          <w:highlight w:val="none"/>
        </w:rPr>
        <w:t>监狱企业证明文件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4D3F47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9AB46A5">
            <w:pPr>
              <w:autoSpaceDN w:val="0"/>
              <w:spacing w:line="360" w:lineRule="auto"/>
              <w:ind w:firstLine="426" w:firstLineChars="177"/>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备注:（1）根据《关于政府采购支持监狱企业发展有关问题的通知》（财库[2014]68号）的规定，符合规定要求的供应商视同为小型和微型企业。</w:t>
            </w:r>
          </w:p>
          <w:p w14:paraId="3D5B7E40">
            <w:pPr>
              <w:autoSpaceDN w:val="0"/>
              <w:spacing w:line="360" w:lineRule="auto"/>
              <w:ind w:firstLine="426" w:firstLineChars="177"/>
              <w:rPr>
                <w:rFonts w:hint="eastAsia" w:ascii="宋体" w:hAnsi="宋体" w:eastAsia="宋体" w:cs="宋体"/>
                <w:b/>
                <w:i/>
                <w:color w:val="auto"/>
                <w:kern w:val="0"/>
                <w:sz w:val="28"/>
                <w:highlight w:val="none"/>
              </w:rPr>
            </w:pPr>
            <w:r>
              <w:rPr>
                <w:rFonts w:hint="eastAsia" w:ascii="宋体" w:hAnsi="宋体" w:eastAsia="宋体" w:cs="宋体"/>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5543B73">
      <w:pPr>
        <w:pStyle w:val="21"/>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p>
    <w:p w14:paraId="645B4218">
      <w:pPr>
        <w:pStyle w:val="2"/>
        <w:spacing w:before="120" w:after="120"/>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1-3 ▲符合“申请人的资格要求”第3条“本项目的特定资格要求”的证明文件</w:t>
      </w:r>
    </w:p>
    <w:tbl>
      <w:tblPr>
        <w:tblStyle w:val="51"/>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14:paraId="159E718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14:paraId="7D359BA7">
            <w:pPr>
              <w:autoSpaceDN w:val="0"/>
              <w:snapToGrid w:val="0"/>
              <w:spacing w:line="360" w:lineRule="auto"/>
              <w:ind w:firstLine="703" w:firstLineChars="25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▲（1）</w:t>
            </w:r>
            <w:r>
              <w:rPr>
                <w:rFonts w:hint="eastAsia" w:ascii="宋体" w:hAnsi="宋体" w:cs="宋体"/>
                <w:b/>
                <w:color w:val="auto"/>
                <w:sz w:val="28"/>
                <w:highlight w:val="none"/>
                <w:lang w:val="en-US" w:eastAsia="zh-CN"/>
              </w:rPr>
              <w:t>同时具有建筑装修装饰工程专业承包二级及以上资质和建筑机电安装工程专业承包三级及以上资质</w:t>
            </w:r>
            <w:r>
              <w:rPr>
                <w:rFonts w:hint="eastAsia" w:ascii="宋体" w:hAnsi="宋体" w:eastAsia="宋体" w:cs="宋体"/>
                <w:b/>
                <w:color w:val="auto"/>
                <w:sz w:val="28"/>
                <w:highlight w:val="none"/>
              </w:rPr>
              <w:t>；</w:t>
            </w:r>
          </w:p>
          <w:p w14:paraId="5E390DFC">
            <w:pPr>
              <w:numPr>
                <w:ilvl w:val="0"/>
                <w:numId w:val="0"/>
              </w:numPr>
              <w:autoSpaceDN w:val="0"/>
              <w:snapToGrid w:val="0"/>
              <w:spacing w:line="360" w:lineRule="auto"/>
              <w:ind w:left="0" w:leftChars="0" w:firstLine="562" w:firstLineChars="200"/>
              <w:rPr>
                <w:rFonts w:hint="eastAsia" w:ascii="宋体" w:hAnsi="宋体" w:eastAsia="宋体" w:cs="宋体"/>
                <w:b/>
                <w:color w:val="auto"/>
                <w:sz w:val="28"/>
                <w:highlight w:val="none"/>
              </w:rPr>
            </w:pPr>
            <w:r>
              <w:rPr>
                <w:rFonts w:hint="eastAsia" w:ascii="宋体" w:hAnsi="宋体" w:eastAsia="宋体" w:cs="宋体"/>
                <w:b/>
                <w:color w:val="auto"/>
                <w:kern w:val="2"/>
                <w:sz w:val="28"/>
                <w:szCs w:val="24"/>
                <w:highlight w:val="none"/>
                <w:lang w:val="en-US" w:eastAsia="zh-CN" w:bidi="ar-SA"/>
              </w:rPr>
              <w:t>▲（2）</w:t>
            </w:r>
            <w:r>
              <w:rPr>
                <w:rFonts w:hint="eastAsia" w:ascii="宋体" w:hAnsi="宋体" w:eastAsia="宋体" w:cs="宋体"/>
                <w:b/>
                <w:color w:val="auto"/>
                <w:sz w:val="28"/>
                <w:highlight w:val="none"/>
              </w:rPr>
              <w:t>具有企业《安全生产许可证》。</w:t>
            </w:r>
          </w:p>
          <w:p w14:paraId="7A4395E6">
            <w:pPr>
              <w:numPr>
                <w:ilvl w:val="0"/>
                <w:numId w:val="0"/>
              </w:numPr>
              <w:autoSpaceDN w:val="0"/>
              <w:snapToGrid w:val="0"/>
              <w:spacing w:line="360" w:lineRule="auto"/>
              <w:ind w:left="0" w:leftChars="0" w:firstLine="562" w:firstLineChars="200"/>
              <w:rPr>
                <w:rFonts w:hint="eastAsia" w:ascii="宋体" w:hAnsi="宋体" w:eastAsia="宋体" w:cs="宋体"/>
                <w:b/>
                <w:color w:val="auto"/>
                <w:sz w:val="28"/>
                <w:highlight w:val="none"/>
              </w:rPr>
            </w:pPr>
            <w:r>
              <w:rPr>
                <w:rFonts w:hint="eastAsia" w:ascii="宋体" w:hAnsi="宋体" w:eastAsia="宋体" w:cs="宋体"/>
                <w:b/>
                <w:color w:val="auto"/>
                <w:kern w:val="2"/>
                <w:sz w:val="28"/>
                <w:szCs w:val="24"/>
                <w:highlight w:val="none"/>
                <w:lang w:val="en-US" w:eastAsia="zh-CN" w:bidi="ar-SA"/>
              </w:rPr>
              <w:t>▲</w:t>
            </w:r>
            <w:r>
              <w:rPr>
                <w:rFonts w:hint="eastAsia" w:ascii="宋体" w:hAnsi="宋体" w:cs="宋体"/>
                <w:b/>
                <w:color w:val="auto"/>
                <w:sz w:val="28"/>
                <w:highlight w:val="none"/>
                <w:lang w:eastAsia="zh-CN"/>
              </w:rPr>
              <w:t>（</w:t>
            </w:r>
            <w:r>
              <w:rPr>
                <w:rFonts w:hint="eastAsia" w:ascii="宋体" w:hAnsi="宋体" w:cs="宋体"/>
                <w:b/>
                <w:color w:val="auto"/>
                <w:sz w:val="28"/>
                <w:highlight w:val="none"/>
                <w:lang w:val="en-US" w:eastAsia="zh-CN"/>
              </w:rPr>
              <w:t>3</w:t>
            </w:r>
            <w:r>
              <w:rPr>
                <w:rFonts w:hint="eastAsia" w:ascii="宋体" w:hAnsi="宋体" w:cs="宋体"/>
                <w:b/>
                <w:color w:val="auto"/>
                <w:sz w:val="28"/>
                <w:highlight w:val="none"/>
                <w:lang w:eastAsia="zh-CN"/>
              </w:rPr>
              <w:t>）</w:t>
            </w:r>
            <w:r>
              <w:rPr>
                <w:rFonts w:hint="eastAsia" w:ascii="宋体" w:hAnsi="宋体" w:eastAsia="宋体" w:cs="宋体"/>
                <w:b/>
                <w:color w:val="auto"/>
                <w:sz w:val="28"/>
                <w:highlight w:val="none"/>
              </w:rPr>
              <w:t>以联合体形式参加本项目磋商的，须签订联合体协议；联合体各方均应满足资格条件。</w:t>
            </w:r>
          </w:p>
          <w:p w14:paraId="681494DB">
            <w:pPr>
              <w:autoSpaceDN w:val="0"/>
              <w:snapToGrid w:val="0"/>
              <w:spacing w:line="360" w:lineRule="auto"/>
              <w:ind w:firstLine="703" w:firstLineChars="250"/>
              <w:rPr>
                <w:rFonts w:hint="eastAsia" w:ascii="宋体" w:hAnsi="宋体" w:eastAsia="宋体" w:cs="宋体"/>
                <w:b/>
                <w:color w:val="auto"/>
                <w:sz w:val="28"/>
                <w:highlight w:val="none"/>
              </w:rPr>
            </w:pPr>
          </w:p>
          <w:p w14:paraId="3F19079B">
            <w:pPr>
              <w:pStyle w:val="4"/>
              <w:autoSpaceDN w:val="0"/>
              <w:snapToGrid w:val="0"/>
              <w:spacing w:before="360"/>
              <w:ind w:firstLine="562"/>
              <w:rPr>
                <w:rFonts w:hint="eastAsia" w:ascii="宋体" w:hAnsi="宋体" w:eastAsia="宋体" w:cs="宋体"/>
                <w:bCs w:val="0"/>
                <w:color w:val="auto"/>
                <w:sz w:val="28"/>
                <w:szCs w:val="24"/>
                <w:highlight w:val="none"/>
              </w:rPr>
            </w:pPr>
          </w:p>
        </w:tc>
      </w:tr>
    </w:tbl>
    <w:p w14:paraId="738310F4">
      <w:pPr>
        <w:pStyle w:val="5"/>
        <w:autoSpaceDN w:val="0"/>
        <w:ind w:firstLine="561"/>
        <w:jc w:val="left"/>
        <w:rPr>
          <w:rFonts w:hint="eastAsia" w:ascii="宋体" w:hAnsi="宋体" w:eastAsia="宋体" w:cs="宋体"/>
          <w:color w:val="auto"/>
          <w:kern w:val="0"/>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09DBB9">
      <w:pPr>
        <w:pStyle w:val="5"/>
        <w:autoSpaceDN w:val="0"/>
        <w:ind w:firstLine="561"/>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附、</w:t>
      </w:r>
      <w:r>
        <w:rPr>
          <w:rFonts w:hint="eastAsia" w:ascii="宋体" w:hAnsi="宋体" w:eastAsia="宋体" w:cs="宋体"/>
          <w:color w:val="auto"/>
          <w:highlight w:val="none"/>
          <w:lang w:eastAsia="zh-CN"/>
        </w:rPr>
        <w:t>联合体协议</w:t>
      </w:r>
    </w:p>
    <w:p w14:paraId="29EF8A1B">
      <w:pPr>
        <w:widowControl/>
        <w:autoSpaceDN w:val="0"/>
        <w:spacing w:line="360" w:lineRule="auto"/>
        <w:jc w:val="center"/>
        <w:rPr>
          <w:rFonts w:hint="eastAsia" w:ascii="宋体" w:hAnsi="宋体" w:eastAsia="宋体" w:cs="宋体"/>
          <w:b/>
          <w:color w:val="auto"/>
          <w:w w:val="80"/>
          <w:kern w:val="0"/>
          <w:sz w:val="32"/>
          <w:szCs w:val="44"/>
          <w:highlight w:val="none"/>
        </w:rPr>
      </w:pPr>
      <w:r>
        <w:rPr>
          <w:rFonts w:hint="eastAsia" w:ascii="宋体" w:hAnsi="宋体" w:eastAsia="宋体" w:cs="宋体"/>
          <w:b/>
          <w:color w:val="auto"/>
          <w:sz w:val="40"/>
          <w:highlight w:val="none"/>
        </w:rPr>
        <w:t>▲</w:t>
      </w:r>
      <w:r>
        <w:rPr>
          <w:rFonts w:hint="eastAsia" w:ascii="宋体" w:hAnsi="宋体" w:cs="宋体"/>
          <w:b/>
          <w:color w:val="auto"/>
          <w:sz w:val="40"/>
          <w:highlight w:val="none"/>
          <w:lang w:eastAsia="zh-CN"/>
        </w:rPr>
        <w:t>联合体协议</w:t>
      </w:r>
      <w:r>
        <w:rPr>
          <w:rFonts w:hint="eastAsia" w:ascii="宋体" w:hAnsi="宋体" w:eastAsia="宋体" w:cs="宋体"/>
          <w:b/>
          <w:color w:val="auto"/>
          <w:sz w:val="40"/>
          <w:highlight w:val="none"/>
        </w:rPr>
        <w:t>（仅联合体适用）</w:t>
      </w:r>
    </w:p>
    <w:p w14:paraId="1A271B16">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（联合体各方全称）</w:t>
      </w:r>
      <w:r>
        <w:rPr>
          <w:rFonts w:hint="eastAsia" w:ascii="宋体" w:hAnsi="宋体" w:eastAsia="宋体" w:cs="宋体"/>
          <w:color w:val="auto"/>
          <w:kern w:val="0"/>
          <w:sz w:val="24"/>
          <w:highlight w:val="none"/>
        </w:rPr>
        <w:t>_______</w:t>
      </w:r>
      <w:r>
        <w:rPr>
          <w:rFonts w:hint="eastAsia" w:ascii="宋体" w:hAnsi="宋体" w:eastAsia="宋体" w:cs="宋体"/>
          <w:color w:val="auto"/>
          <w:sz w:val="24"/>
          <w:highlight w:val="none"/>
        </w:rPr>
        <w:t>自愿组成联合体，以一个供应商的身份参加</w:t>
      </w:r>
      <w:r>
        <w:rPr>
          <w:rFonts w:hint="eastAsia" w:ascii="宋体" w:hAnsi="宋体" w:cs="宋体"/>
          <w:b/>
          <w:color w:val="auto"/>
          <w:kern w:val="0"/>
          <w:sz w:val="24"/>
          <w:highlight w:val="none"/>
          <w:u w:val="single"/>
          <w:lang w:eastAsia="zh-CN"/>
        </w:rPr>
        <w:t>浙江中医药大学文磊教授实验室改造项目</w:t>
      </w:r>
      <w:r>
        <w:rPr>
          <w:rFonts w:hint="eastAsia" w:ascii="宋体" w:hAnsi="宋体" w:eastAsia="宋体" w:cs="宋体"/>
          <w:b/>
          <w:color w:val="auto"/>
          <w:kern w:val="0"/>
          <w:sz w:val="24"/>
          <w:highlight w:val="none"/>
          <w:u w:val="single"/>
        </w:rPr>
        <w:t>（项目编号：</w:t>
      </w:r>
      <w:r>
        <w:rPr>
          <w:rFonts w:hint="eastAsia" w:ascii="宋体" w:hAnsi="宋体" w:cs="宋体"/>
          <w:b/>
          <w:color w:val="auto"/>
          <w:kern w:val="0"/>
          <w:sz w:val="24"/>
          <w:highlight w:val="none"/>
          <w:u w:val="single"/>
          <w:lang w:eastAsia="zh-CN"/>
        </w:rPr>
        <w:t>CTZB-2025060529</w:t>
      </w:r>
      <w:r>
        <w:rPr>
          <w:rFonts w:hint="eastAsia" w:ascii="宋体" w:hAnsi="宋体" w:eastAsia="宋体" w:cs="宋体"/>
          <w:b/>
          <w:color w:val="auto"/>
          <w:kern w:val="0"/>
          <w:sz w:val="24"/>
          <w:highlight w:val="none"/>
          <w:u w:val="single"/>
        </w:rPr>
        <w:t>）</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rPr>
        <w:t>政府采购活动。现就有关联合投标（响应）事宜订立协议如下：</w:t>
      </w:r>
    </w:p>
    <w:p w14:paraId="67D2D840">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（联合体牵头方全称）</w:t>
      </w:r>
      <w:r>
        <w:rPr>
          <w:rFonts w:hint="eastAsia" w:ascii="宋体" w:hAnsi="宋体" w:eastAsia="宋体" w:cs="宋体"/>
          <w:color w:val="auto"/>
          <w:kern w:val="0"/>
          <w:sz w:val="24"/>
          <w:highlight w:val="none"/>
        </w:rPr>
        <w:t>_____________</w:t>
      </w:r>
      <w:r>
        <w:rPr>
          <w:rFonts w:hint="eastAsia" w:ascii="宋体" w:hAnsi="宋体" w:eastAsia="宋体" w:cs="宋体"/>
          <w:color w:val="auto"/>
          <w:sz w:val="24"/>
          <w:highlight w:val="none"/>
        </w:rPr>
        <w:t>为联合体的牵头方，</w:t>
      </w: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（联合体成员放全称）</w:t>
      </w:r>
      <w:r>
        <w:rPr>
          <w:rFonts w:hint="eastAsia" w:ascii="宋体" w:hAnsi="宋体" w:eastAsia="宋体" w:cs="宋体"/>
          <w:color w:val="auto"/>
          <w:kern w:val="0"/>
          <w:sz w:val="24"/>
          <w:highlight w:val="none"/>
        </w:rPr>
        <w:t>_______________</w:t>
      </w:r>
      <w:r>
        <w:rPr>
          <w:rFonts w:hint="eastAsia" w:ascii="宋体" w:hAnsi="宋体" w:eastAsia="宋体" w:cs="宋体"/>
          <w:color w:val="auto"/>
          <w:sz w:val="24"/>
          <w:highlight w:val="none"/>
        </w:rPr>
        <w:t>为联合体的成员方；</w:t>
      </w:r>
    </w:p>
    <w:p w14:paraId="6722D07C">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2、联合体内部有关事项规定如下：</w:t>
      </w:r>
    </w:p>
    <w:p w14:paraId="57EC5D3C">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（1）由牵头方代表本联合体与采购人联系，负责协调工作。</w:t>
      </w:r>
    </w:p>
    <w:p w14:paraId="3BBAA346">
      <w:pPr>
        <w:autoSpaceDN w:val="0"/>
        <w:spacing w:line="360" w:lineRule="auto"/>
        <w:ind w:firstLine="465" w:firstLineChars="1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2AE4053">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180383AF">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（4）如中标（成交），联合体内部将遵守以下规定：</w:t>
      </w:r>
    </w:p>
    <w:p w14:paraId="6EC7CF33">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a．联合体牵头方和成员方共同与采购人签订采购合同，并就中标成交项目向采购人负责有连带的和各自的法律责任；</w:t>
      </w:r>
    </w:p>
    <w:p w14:paraId="678E2368">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b．联合体牵头方代表联合体成员接收采购人的指令、指示和通知，并且在整个合同实施过程中的全部事宜（包括合同款支付）均由联合体牵头方负责；</w:t>
      </w:r>
    </w:p>
    <w:p w14:paraId="2A791263">
      <w:pPr>
        <w:autoSpaceDN w:val="0"/>
        <w:spacing w:line="360" w:lineRule="auto"/>
        <w:ind w:firstLine="465" w:firstLineChars="193"/>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c．联合体各方承担的工作和义务详细安排如下：</w:t>
      </w:r>
    </w:p>
    <w:p w14:paraId="6D1D6381">
      <w:pPr>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____________________________________________________________________________________________________________________________________________________</w:t>
      </w:r>
    </w:p>
    <w:p w14:paraId="506B324F">
      <w:pPr>
        <w:autoSpaceDN w:val="0"/>
        <w:spacing w:line="360" w:lineRule="auto"/>
        <w:ind w:firstLine="465" w:firstLineChars="193"/>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（5）投标（响应）工作和联合体在中标（成交）后工程实施过程中的有关费用按各自承担的工作量分摊，具体说明如下：</w:t>
      </w:r>
      <w:r>
        <w:rPr>
          <w:rFonts w:hint="eastAsia" w:ascii="宋体" w:hAnsi="宋体" w:eastAsia="宋体" w:cs="宋体"/>
          <w:color w:val="auto"/>
          <w:sz w:val="24"/>
          <w:highlight w:val="none"/>
        </w:rPr>
        <w:t>_______________________________________________________________</w:t>
      </w:r>
    </w:p>
    <w:p w14:paraId="4A62F7A5">
      <w:pPr>
        <w:autoSpaceDN w:val="0"/>
        <w:spacing w:line="360" w:lineRule="auto"/>
        <w:ind w:firstLine="465" w:firstLineChars="19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（6）如中标（成交），采购代理服务费支付承诺如下：</w:t>
      </w:r>
      <w:r>
        <w:rPr>
          <w:rFonts w:hint="eastAsia" w:ascii="宋体" w:hAnsi="宋体" w:eastAsia="宋体" w:cs="宋体"/>
          <w:color w:val="auto"/>
          <w:sz w:val="24"/>
          <w:highlight w:val="none"/>
        </w:rPr>
        <w:t>_______________________________________________________________</w:t>
      </w:r>
    </w:p>
    <w:p w14:paraId="52182298">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3、我们承诺各成员不再以自己的名义单独投标（响应），也不再与其他供应商组成联合体参加本项目的投标（响应）。</w:t>
      </w:r>
    </w:p>
    <w:p w14:paraId="11670224">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4、本协议书自签署之日起生效，在上述（4）a所述的合同书规定的期限之后自行失效；如中标（成交）后，联合体内部另有协议的，联合体牵头方应将该协议书送交业主。</w:t>
      </w:r>
    </w:p>
    <w:p w14:paraId="71A29FFA">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5、本协议书正本一式</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份，投标时使用</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份，联合体成员各</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份，如中标（成交）送采购人</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份；副本一式</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份，联合体成员各执</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w:t>
      </w:r>
    </w:p>
    <w:p w14:paraId="71DA449E">
      <w:pPr>
        <w:widowControl/>
        <w:autoSpaceDN w:val="0"/>
        <w:jc w:val="left"/>
        <w:rPr>
          <w:rFonts w:hint="eastAsia" w:ascii="宋体" w:hAnsi="宋体" w:eastAsia="宋体" w:cs="宋体"/>
          <w:color w:val="auto"/>
          <w:sz w:val="24"/>
          <w:highlight w:val="none"/>
        </w:rPr>
      </w:pPr>
    </w:p>
    <w:tbl>
      <w:tblPr>
        <w:tblStyle w:val="51"/>
        <w:tblW w:w="0" w:type="auto"/>
        <w:tblInd w:w="0" w:type="dxa"/>
        <w:tblLayout w:type="fixed"/>
        <w:tblCellMar>
          <w:top w:w="0" w:type="dxa"/>
          <w:left w:w="108" w:type="dxa"/>
          <w:bottom w:w="0" w:type="dxa"/>
          <w:right w:w="108" w:type="dxa"/>
        </w:tblCellMar>
      </w:tblPr>
      <w:tblGrid>
        <w:gridCol w:w="4572"/>
        <w:gridCol w:w="4573"/>
      </w:tblGrid>
      <w:tr w14:paraId="03BC6E05">
        <w:tblPrEx>
          <w:tblCellMar>
            <w:top w:w="0" w:type="dxa"/>
            <w:left w:w="108" w:type="dxa"/>
            <w:bottom w:w="0" w:type="dxa"/>
            <w:right w:w="108" w:type="dxa"/>
          </w:tblCellMar>
        </w:tblPrEx>
        <w:trPr>
          <w:trHeight w:val="680" w:hRule="atLeast"/>
        </w:trPr>
        <w:tc>
          <w:tcPr>
            <w:tcW w:w="4572" w:type="dxa"/>
            <w:vAlign w:val="center"/>
          </w:tcPr>
          <w:p w14:paraId="27919DA0">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tc>
        <w:tc>
          <w:tcPr>
            <w:tcW w:w="4573" w:type="dxa"/>
            <w:vAlign w:val="center"/>
          </w:tcPr>
          <w:p w14:paraId="04A186B4">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tc>
      </w:tr>
      <w:tr w14:paraId="620E659E">
        <w:tblPrEx>
          <w:tblCellMar>
            <w:top w:w="0" w:type="dxa"/>
            <w:left w:w="108" w:type="dxa"/>
            <w:bottom w:w="0" w:type="dxa"/>
            <w:right w:w="108" w:type="dxa"/>
          </w:tblCellMar>
        </w:tblPrEx>
        <w:trPr>
          <w:trHeight w:val="680" w:hRule="atLeast"/>
        </w:trPr>
        <w:tc>
          <w:tcPr>
            <w:tcW w:w="4572" w:type="dxa"/>
            <w:vAlign w:val="center"/>
          </w:tcPr>
          <w:p w14:paraId="1207E3F7">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4573" w:type="dxa"/>
            <w:vAlign w:val="center"/>
          </w:tcPr>
          <w:p w14:paraId="45E29098">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2E97D6D6">
        <w:tblPrEx>
          <w:tblCellMar>
            <w:top w:w="0" w:type="dxa"/>
            <w:left w:w="108" w:type="dxa"/>
            <w:bottom w:w="0" w:type="dxa"/>
            <w:right w:w="108" w:type="dxa"/>
          </w:tblCellMar>
        </w:tblPrEx>
        <w:trPr>
          <w:trHeight w:val="680" w:hRule="atLeast"/>
        </w:trPr>
        <w:tc>
          <w:tcPr>
            <w:tcW w:w="4572" w:type="dxa"/>
            <w:vAlign w:val="center"/>
          </w:tcPr>
          <w:p w14:paraId="20692121">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tc>
        <w:tc>
          <w:tcPr>
            <w:tcW w:w="4573" w:type="dxa"/>
            <w:vAlign w:val="center"/>
          </w:tcPr>
          <w:p w14:paraId="7B0581F4">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tc>
      </w:tr>
      <w:tr w14:paraId="13471D6B">
        <w:tblPrEx>
          <w:tblCellMar>
            <w:top w:w="0" w:type="dxa"/>
            <w:left w:w="108" w:type="dxa"/>
            <w:bottom w:w="0" w:type="dxa"/>
            <w:right w:w="108" w:type="dxa"/>
          </w:tblCellMar>
        </w:tblPrEx>
        <w:trPr>
          <w:trHeight w:val="680" w:hRule="atLeast"/>
        </w:trPr>
        <w:tc>
          <w:tcPr>
            <w:tcW w:w="4572" w:type="dxa"/>
            <w:vAlign w:val="center"/>
          </w:tcPr>
          <w:p w14:paraId="61982E2D">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4573" w:type="dxa"/>
            <w:vAlign w:val="center"/>
          </w:tcPr>
          <w:p w14:paraId="5EDEAF63">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r>
      <w:tr w14:paraId="28FB19DE">
        <w:tblPrEx>
          <w:tblCellMar>
            <w:top w:w="0" w:type="dxa"/>
            <w:left w:w="108" w:type="dxa"/>
            <w:bottom w:w="0" w:type="dxa"/>
            <w:right w:w="108" w:type="dxa"/>
          </w:tblCellMar>
        </w:tblPrEx>
        <w:trPr>
          <w:trHeight w:val="680" w:hRule="atLeast"/>
        </w:trPr>
        <w:tc>
          <w:tcPr>
            <w:tcW w:w="4572" w:type="dxa"/>
            <w:vAlign w:val="center"/>
          </w:tcPr>
          <w:p w14:paraId="2F4F3220">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协议签订时间：</w:t>
            </w:r>
          </w:p>
        </w:tc>
        <w:tc>
          <w:tcPr>
            <w:tcW w:w="4573" w:type="dxa"/>
            <w:vAlign w:val="center"/>
          </w:tcPr>
          <w:p w14:paraId="1C775916">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协议签订时间：</w:t>
            </w:r>
          </w:p>
        </w:tc>
      </w:tr>
    </w:tbl>
    <w:p w14:paraId="13C9282D">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A28D72E">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B1999F8">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7BFBADB7">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42890C5">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412B545A">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768AAC9">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3180144">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5C09CCD">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49261FAF">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01C14F79">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2831518C">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20A1A8FD">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F0927DB">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1A7DB5EA">
      <w:pPr>
        <w:pStyle w:val="6"/>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9B06C6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DD5A4C">
      <w:pPr>
        <w:pStyle w:val="5"/>
        <w:autoSpaceDN w:val="0"/>
        <w:ind w:firstLine="561"/>
        <w:jc w:val="left"/>
        <w:rPr>
          <w:rFonts w:hint="eastAsia" w:ascii="宋体" w:hAnsi="宋体" w:eastAsia="宋体" w:cs="宋体"/>
          <w:color w:val="auto"/>
          <w:highlight w:val="none"/>
        </w:rPr>
      </w:pPr>
      <w:r>
        <w:rPr>
          <w:rFonts w:hint="eastAsia" w:ascii="宋体" w:hAnsi="宋体" w:eastAsia="宋体" w:cs="宋体"/>
          <w:color w:val="auto"/>
          <w:highlight w:val="none"/>
        </w:rPr>
        <w:t>附、分包意向协议</w:t>
      </w:r>
    </w:p>
    <w:p w14:paraId="0B0801EE">
      <w:pPr>
        <w:widowControl/>
        <w:autoSpaceDN w:val="0"/>
        <w:spacing w:line="360" w:lineRule="auto"/>
        <w:jc w:val="center"/>
        <w:rPr>
          <w:rFonts w:hint="eastAsia" w:ascii="宋体" w:hAnsi="宋体" w:eastAsia="宋体" w:cs="宋体"/>
          <w:b/>
          <w:color w:val="auto"/>
          <w:w w:val="80"/>
          <w:kern w:val="0"/>
          <w:sz w:val="32"/>
          <w:szCs w:val="44"/>
          <w:highlight w:val="none"/>
        </w:rPr>
      </w:pPr>
      <w:r>
        <w:rPr>
          <w:rFonts w:hint="eastAsia" w:ascii="宋体" w:hAnsi="宋体" w:cs="宋体"/>
          <w:b/>
          <w:color w:val="auto"/>
          <w:sz w:val="40"/>
          <w:highlight w:val="none"/>
          <w:lang w:eastAsia="zh-CN"/>
        </w:rPr>
        <w:t>分包意向协议</w:t>
      </w:r>
      <w:r>
        <w:rPr>
          <w:rFonts w:hint="eastAsia" w:ascii="宋体" w:hAnsi="宋体" w:eastAsia="宋体" w:cs="宋体"/>
          <w:b/>
          <w:color w:val="auto"/>
          <w:sz w:val="40"/>
          <w:highlight w:val="none"/>
        </w:rPr>
        <w:t>（仅分包适用）</w:t>
      </w:r>
    </w:p>
    <w:p w14:paraId="57C7C5DF">
      <w:pPr>
        <w:autoSpaceDN w:val="0"/>
        <w:spacing w:line="360" w:lineRule="auto"/>
        <w:ind w:firstLine="465" w:firstLineChars="19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（成交后以分包方式履行合同的，提供分包意向协议；采购人不同意分包或者磋商响应公寓成交后不以分包方式履行合同的，则不需要提供。）</w:t>
      </w:r>
    </w:p>
    <w:p w14:paraId="3C585433">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rPr>
        <w:t>（磋商响应供应商名称）</w:t>
      </w:r>
      <w:r>
        <w:rPr>
          <w:rFonts w:hint="eastAsia" w:ascii="宋体" w:hAnsi="宋体" w:eastAsia="宋体" w:cs="宋体"/>
          <w:color w:val="auto"/>
          <w:sz w:val="24"/>
          <w:highlight w:val="none"/>
          <w:lang w:val="zh-CN"/>
        </w:rPr>
        <w:t>若成为</w:t>
      </w:r>
      <w:r>
        <w:rPr>
          <w:rFonts w:hint="eastAsia" w:ascii="宋体" w:hAnsi="宋体" w:cs="宋体"/>
          <w:b/>
          <w:bCs/>
          <w:color w:val="auto"/>
          <w:sz w:val="24"/>
          <w:highlight w:val="none"/>
          <w:u w:val="single"/>
          <w:lang w:eastAsia="zh-CN"/>
        </w:rPr>
        <w:t>浙江中医药大学文磊教授实验室改造项目</w:t>
      </w:r>
      <w:r>
        <w:rPr>
          <w:rFonts w:hint="eastAsia" w:ascii="宋体" w:hAnsi="宋体" w:eastAsia="宋体" w:cs="宋体"/>
          <w:b/>
          <w:bCs/>
          <w:color w:val="auto"/>
          <w:sz w:val="24"/>
          <w:highlight w:val="none"/>
          <w:u w:val="single"/>
        </w:rPr>
        <w:t>（项目编号：</w:t>
      </w:r>
      <w:r>
        <w:rPr>
          <w:rFonts w:hint="eastAsia" w:ascii="宋体" w:hAnsi="宋体" w:cs="宋体"/>
          <w:b/>
          <w:bCs/>
          <w:color w:val="auto"/>
          <w:sz w:val="24"/>
          <w:highlight w:val="none"/>
          <w:u w:val="single"/>
          <w:lang w:eastAsia="zh-CN"/>
        </w:rPr>
        <w:t>CTZB-2025060529</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lang w:val="zh-CN"/>
        </w:rPr>
        <w:t>的</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val="zh-CN"/>
        </w:rPr>
        <w:t>供应商，将依法采取分包方式履行合同。</w:t>
      </w:r>
      <w:r>
        <w:rPr>
          <w:rFonts w:hint="eastAsia" w:ascii="宋体" w:hAnsi="宋体" w:eastAsia="宋体" w:cs="宋体"/>
          <w:b/>
          <w:bCs/>
          <w:color w:val="auto"/>
          <w:sz w:val="24"/>
          <w:highlight w:val="none"/>
          <w:u w:val="single"/>
        </w:rPr>
        <w:t>（磋商响应供应商名称）</w:t>
      </w:r>
      <w:r>
        <w:rPr>
          <w:rFonts w:hint="eastAsia" w:ascii="宋体" w:hAnsi="宋体" w:eastAsia="宋体" w:cs="宋体"/>
          <w:color w:val="auto"/>
          <w:sz w:val="24"/>
          <w:highlight w:val="none"/>
        </w:rPr>
        <w:t>与</w:t>
      </w:r>
      <w:r>
        <w:rPr>
          <w:rFonts w:hint="eastAsia" w:ascii="宋体" w:hAnsi="宋体" w:eastAsia="宋体" w:cs="宋体"/>
          <w:b/>
          <w:bCs/>
          <w:color w:val="auto"/>
          <w:sz w:val="24"/>
          <w:highlight w:val="none"/>
          <w:u w:val="single"/>
        </w:rPr>
        <w:t>（所有分包供应商名称）</w:t>
      </w:r>
      <w:r>
        <w:rPr>
          <w:rFonts w:hint="eastAsia" w:ascii="宋体" w:hAnsi="宋体" w:eastAsia="宋体" w:cs="宋体"/>
          <w:color w:val="auto"/>
          <w:sz w:val="24"/>
          <w:highlight w:val="none"/>
        </w:rPr>
        <w:t>达成分包意向协议</w:t>
      </w:r>
      <w:r>
        <w:rPr>
          <w:rFonts w:hint="eastAsia" w:ascii="宋体" w:hAnsi="宋体" w:eastAsia="宋体" w:cs="宋体"/>
          <w:color w:val="auto"/>
          <w:sz w:val="24"/>
          <w:highlight w:val="none"/>
          <w:lang w:val="zh-CN"/>
        </w:rPr>
        <w:t xml:space="preserve">。 </w:t>
      </w:r>
    </w:p>
    <w:p w14:paraId="1BACA63E">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一、分包标的及数量</w:t>
      </w:r>
    </w:p>
    <w:p w14:paraId="7AFE818E">
      <w:pPr>
        <w:autoSpaceDN w:val="0"/>
        <w:spacing w:line="360" w:lineRule="auto"/>
        <w:ind w:firstLine="465" w:firstLineChars="193"/>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u w:val="single"/>
        </w:rPr>
        <w:t>（磋商响应供应商名称）</w:t>
      </w:r>
      <w:r>
        <w:rPr>
          <w:rFonts w:hint="eastAsia" w:ascii="宋体" w:hAnsi="宋体" w:eastAsia="宋体" w:cs="宋体"/>
          <w:color w:val="auto"/>
          <w:sz w:val="24"/>
          <w:highlight w:val="none"/>
          <w:lang w:val="zh-CN"/>
        </w:rPr>
        <w:t>将</w:t>
      </w:r>
      <w:r>
        <w:rPr>
          <w:rFonts w:hint="eastAsia" w:ascii="宋体" w:hAnsi="宋体" w:eastAsia="宋体" w:cs="宋体"/>
          <w:b/>
          <w:bCs/>
          <w:color w:val="auto"/>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b/>
          <w:bCs/>
          <w:color w:val="auto"/>
          <w:sz w:val="24"/>
          <w:highlight w:val="none"/>
          <w:u w:val="single"/>
        </w:rPr>
        <w:t>（某分包供应商名称）</w:t>
      </w:r>
      <w:r>
        <w:rPr>
          <w:rFonts w:hint="eastAsia" w:ascii="宋体" w:hAnsi="宋体" w:eastAsia="宋体" w:cs="宋体"/>
          <w:color w:val="auto"/>
          <w:sz w:val="24"/>
          <w:highlight w:val="none"/>
          <w:lang w:val="zh-CN"/>
        </w:rPr>
        <w:t>，</w:t>
      </w:r>
      <w:r>
        <w:rPr>
          <w:rFonts w:hint="eastAsia" w:ascii="宋体" w:hAnsi="宋体" w:eastAsia="宋体" w:cs="宋体"/>
          <w:b/>
          <w:bCs/>
          <w:color w:val="auto"/>
          <w:sz w:val="24"/>
          <w:highlight w:val="none"/>
          <w:u w:val="single"/>
        </w:rPr>
        <w:t>（某分包供应商名称）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具备承</w:t>
      </w:r>
      <w:r>
        <w:rPr>
          <w:rFonts w:hint="eastAsia" w:ascii="宋体" w:hAnsi="宋体" w:eastAsia="宋体" w:cs="宋体"/>
          <w:color w:val="auto"/>
          <w:sz w:val="24"/>
          <w:highlight w:val="none"/>
        </w:rPr>
        <w:t>担</w:t>
      </w:r>
      <w:r>
        <w:rPr>
          <w:rFonts w:hint="eastAsia" w:ascii="宋体" w:hAnsi="宋体" w:eastAsia="宋体" w:cs="宋体"/>
          <w:b/>
          <w:bCs/>
          <w:color w:val="auto"/>
          <w:sz w:val="24"/>
          <w:highlight w:val="none"/>
          <w:u w:val="single"/>
          <w:lang w:val="zh-CN"/>
        </w:rPr>
        <w:t>XX工作内容</w:t>
      </w:r>
      <w:r>
        <w:rPr>
          <w:rFonts w:hint="eastAsia" w:ascii="宋体" w:hAnsi="宋体" w:eastAsia="宋体" w:cs="宋体"/>
          <w:color w:val="auto"/>
          <w:sz w:val="24"/>
          <w:highlight w:val="none"/>
          <w:lang w:val="zh-CN"/>
        </w:rPr>
        <w:t>相应资质条件且不得再次分包；</w:t>
      </w:r>
    </w:p>
    <w:p w14:paraId="69AF15F6">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分包工作履行期限、地点、方式</w:t>
      </w:r>
    </w:p>
    <w:p w14:paraId="51AA910C">
      <w:pPr>
        <w:autoSpaceDN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___________________________________________________________________    </w:t>
      </w:r>
    </w:p>
    <w:p w14:paraId="616DFDEE">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三、</w:t>
      </w:r>
      <w:r>
        <w:rPr>
          <w:rFonts w:hint="eastAsia" w:ascii="宋体" w:hAnsi="宋体" w:eastAsia="宋体" w:cs="宋体"/>
          <w:color w:val="auto"/>
          <w:kern w:val="0"/>
          <w:sz w:val="24"/>
          <w:highlight w:val="none"/>
          <w:lang w:val="zh-CN"/>
        </w:rPr>
        <w:t>质量</w:t>
      </w:r>
    </w:p>
    <w:p w14:paraId="44060F31">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w:t>
      </w:r>
    </w:p>
    <w:p w14:paraId="42D0DD28">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四、</w:t>
      </w:r>
      <w:r>
        <w:rPr>
          <w:rFonts w:hint="eastAsia" w:ascii="宋体" w:hAnsi="宋体" w:eastAsia="宋体" w:cs="宋体"/>
          <w:color w:val="auto"/>
          <w:kern w:val="0"/>
          <w:sz w:val="24"/>
          <w:highlight w:val="none"/>
          <w:lang w:val="zh-CN"/>
        </w:rPr>
        <w:t>价款或者报酬</w:t>
      </w:r>
    </w:p>
    <w:p w14:paraId="5AC75B7C">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____________________________________________________________________</w:t>
      </w:r>
    </w:p>
    <w:p w14:paraId="52CD6B1D">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违约责任</w:t>
      </w:r>
    </w:p>
    <w:p w14:paraId="4964225D">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_____________________________________________________________________</w:t>
      </w:r>
    </w:p>
    <w:p w14:paraId="4F56A499">
      <w:pPr>
        <w:autoSpaceDN w:val="0"/>
        <w:spacing w:line="360" w:lineRule="auto"/>
        <w:ind w:firstLine="463" w:firstLineChars="19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六、</w:t>
      </w:r>
      <w:r>
        <w:rPr>
          <w:rFonts w:hint="eastAsia" w:ascii="宋体" w:hAnsi="宋体" w:eastAsia="宋体" w:cs="宋体"/>
          <w:color w:val="auto"/>
          <w:kern w:val="0"/>
          <w:sz w:val="24"/>
          <w:highlight w:val="none"/>
          <w:lang w:val="zh-CN"/>
        </w:rPr>
        <w:t>争议解决的办法</w:t>
      </w:r>
    </w:p>
    <w:p w14:paraId="72D5041A">
      <w:pPr>
        <w:autoSpaceDN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____________________________________________________________________                                                                            </w:t>
      </w:r>
      <w:r>
        <w:rPr>
          <w:rFonts w:hint="eastAsia" w:ascii="宋体" w:hAnsi="宋体" w:eastAsia="宋体" w:cs="宋体"/>
          <w:color w:val="auto"/>
          <w:highlight w:val="none"/>
          <w:u w:val="single"/>
        </w:rPr>
        <w:t xml:space="preserve">  </w:t>
      </w:r>
    </w:p>
    <w:p w14:paraId="0FC9D80C">
      <w:pPr>
        <w:autoSpaceDN w:val="0"/>
        <w:spacing w:line="360" w:lineRule="auto"/>
        <w:ind w:firstLine="463" w:firstLineChars="19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七、</w:t>
      </w:r>
      <w:r>
        <w:rPr>
          <w:rFonts w:hint="eastAsia" w:ascii="宋体" w:hAnsi="宋体" w:eastAsia="宋体" w:cs="宋体"/>
          <w:color w:val="auto"/>
          <w:kern w:val="0"/>
          <w:sz w:val="24"/>
          <w:highlight w:val="none"/>
          <w:lang w:val="zh-CN"/>
        </w:rPr>
        <w:t>其他</w:t>
      </w:r>
    </w:p>
    <w:p w14:paraId="485DB94C">
      <w:pPr>
        <w:autoSpaceDN w:val="0"/>
        <w:snapToGrid w:val="0"/>
        <w:spacing w:line="360" w:lineRule="auto"/>
        <w:ind w:left="5760" w:hanging="5760" w:hangingChars="24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____________________________________________________________________</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磋商响应供应商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盖章</w:t>
      </w:r>
      <w:r>
        <w:rPr>
          <w:rFonts w:hint="eastAsia" w:ascii="宋体" w:hAnsi="宋体" w:eastAsia="宋体" w:cs="宋体"/>
          <w:color w:val="auto"/>
          <w:kern w:val="0"/>
          <w:sz w:val="24"/>
          <w:highlight w:val="none"/>
          <w:lang w:val="zh-CN"/>
        </w:rPr>
        <w:t>)：</w:t>
      </w:r>
    </w:p>
    <w:p w14:paraId="480F8F45">
      <w:pPr>
        <w:autoSpaceDN w:val="0"/>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eastAsia="宋体" w:cs="宋体"/>
          <w:color w:val="auto"/>
          <w:kern w:val="0"/>
          <w:sz w:val="24"/>
          <w:highlight w:val="none"/>
        </w:rPr>
        <w:t>盖章</w:t>
      </w:r>
      <w:r>
        <w:rPr>
          <w:rFonts w:hint="eastAsia" w:ascii="宋体" w:hAnsi="宋体" w:eastAsia="宋体" w:cs="宋体"/>
          <w:color w:val="auto"/>
          <w:kern w:val="0"/>
          <w:sz w:val="24"/>
          <w:highlight w:val="none"/>
          <w:lang w:val="zh-CN"/>
        </w:rPr>
        <w:t>）：</w:t>
      </w:r>
    </w:p>
    <w:p w14:paraId="0ACE0B17">
      <w:pPr>
        <w:autoSpaceDN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D6AA4F">
      <w:pPr>
        <w:pStyle w:val="6"/>
        <w:autoSpaceDN w:val="0"/>
        <w:spacing w:line="360" w:lineRule="auto"/>
        <w:jc w:val="left"/>
        <w:rPr>
          <w:rFonts w:hint="eastAsia" w:ascii="宋体" w:hAnsi="宋体" w:eastAsia="宋体" w:cs="宋体"/>
          <w:i/>
          <w:color w:val="auto"/>
          <w:w w:val="90"/>
          <w:sz w:val="24"/>
          <w:szCs w:val="28"/>
          <w:highlight w:val="none"/>
        </w:rPr>
      </w:pPr>
    </w:p>
    <w:p w14:paraId="77816156">
      <w:pPr>
        <w:pStyle w:val="5"/>
        <w:autoSpaceDN w:val="0"/>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highlight w:val="none"/>
        </w:rPr>
        <w:br w:type="page"/>
      </w:r>
      <w:r>
        <w:rPr>
          <w:rFonts w:hint="eastAsia" w:ascii="宋体" w:hAnsi="宋体" w:eastAsia="宋体" w:cs="宋体"/>
          <w:bCs w:val="0"/>
          <w:color w:val="auto"/>
          <w:sz w:val="24"/>
          <w:szCs w:val="20"/>
          <w:highlight w:val="none"/>
        </w:rPr>
        <w:t>附：政府采购活动现场确认声明书（开标后填写）</w:t>
      </w:r>
    </w:p>
    <w:p w14:paraId="30BFFEEA">
      <w:pPr>
        <w:widowControl/>
        <w:autoSpaceDN w:val="0"/>
        <w:spacing w:line="360" w:lineRule="auto"/>
        <w:ind w:firstLine="482" w:firstLineChars="200"/>
        <w:jc w:val="left"/>
        <w:rPr>
          <w:rFonts w:hint="eastAsia" w:ascii="宋体" w:hAnsi="宋体" w:eastAsia="宋体" w:cs="宋体"/>
          <w:b/>
          <w:color w:val="auto"/>
          <w:kern w:val="0"/>
          <w:sz w:val="24"/>
          <w:highlight w:val="none"/>
          <w:u w:val="single"/>
          <w:lang w:eastAsia="zh-CN"/>
        </w:rPr>
      </w:pPr>
      <w:r>
        <w:rPr>
          <w:rFonts w:hint="eastAsia" w:ascii="宋体" w:hAnsi="宋体" w:eastAsia="宋体" w:cs="宋体"/>
          <w:b/>
          <w:color w:val="auto"/>
          <w:kern w:val="0"/>
          <w:sz w:val="24"/>
          <w:highlight w:val="none"/>
          <w:u w:val="single"/>
        </w:rPr>
        <w:t>说明：供应商得知本项目磋商响应文件成功解密的供应商名单等信息后，认真阅读、填写此声明书并盖章或签字,发送至邮箱</w:t>
      </w:r>
      <w:r>
        <w:rPr>
          <w:rFonts w:hint="eastAsia" w:ascii="宋体" w:hAnsi="宋体" w:cs="宋体"/>
          <w:b/>
          <w:color w:val="auto"/>
          <w:kern w:val="0"/>
          <w:sz w:val="24"/>
          <w:highlight w:val="none"/>
          <w:u w:val="single"/>
          <w:lang w:eastAsia="zh-CN"/>
        </w:rPr>
        <w:t>156624554@qq.com</w:t>
      </w:r>
    </w:p>
    <w:p w14:paraId="159397D8">
      <w:pPr>
        <w:widowControl/>
        <w:autoSpaceDN w:val="0"/>
        <w:spacing w:line="360" w:lineRule="auto"/>
        <w:jc w:val="center"/>
        <w:rPr>
          <w:rFonts w:hint="eastAsia" w:ascii="宋体" w:hAnsi="宋体" w:eastAsia="宋体" w:cs="宋体"/>
          <w:b/>
          <w:color w:val="auto"/>
          <w:w w:val="80"/>
          <w:kern w:val="0"/>
          <w:sz w:val="44"/>
          <w:szCs w:val="44"/>
          <w:highlight w:val="none"/>
        </w:rPr>
      </w:pPr>
      <w:r>
        <w:rPr>
          <w:rFonts w:hint="eastAsia" w:ascii="宋体" w:hAnsi="宋体" w:eastAsia="宋体" w:cs="宋体"/>
          <w:b/>
          <w:color w:val="auto"/>
          <w:w w:val="80"/>
          <w:kern w:val="0"/>
          <w:sz w:val="44"/>
          <w:szCs w:val="44"/>
          <w:highlight w:val="none"/>
        </w:rPr>
        <w:t>政府采购活动现场确认声明书（开标后填写）</w:t>
      </w:r>
    </w:p>
    <w:p w14:paraId="3E927FAD">
      <w:pPr>
        <w:autoSpaceDN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u w:val="single"/>
          <w:lang w:eastAsia="zh-CN"/>
        </w:rPr>
        <w:t>浙江中医药大学</w:t>
      </w:r>
      <w:r>
        <w:rPr>
          <w:rFonts w:hint="eastAsia" w:ascii="宋体" w:hAnsi="宋体" w:eastAsia="宋体" w:cs="宋体"/>
          <w:b/>
          <w:color w:val="auto"/>
          <w:kern w:val="0"/>
          <w:szCs w:val="21"/>
          <w:highlight w:val="none"/>
          <w:u w:val="single"/>
        </w:rPr>
        <w:t>、浙江省成套招标代理有限公司</w:t>
      </w:r>
      <w:r>
        <w:rPr>
          <w:rFonts w:hint="eastAsia" w:ascii="宋体" w:hAnsi="宋体" w:eastAsia="宋体" w:cs="宋体"/>
          <w:b/>
          <w:color w:val="auto"/>
          <w:kern w:val="0"/>
          <w:szCs w:val="21"/>
          <w:highlight w:val="none"/>
        </w:rPr>
        <w:t>：</w:t>
      </w:r>
    </w:p>
    <w:p w14:paraId="1F585AA6">
      <w:pPr>
        <w:widowControl/>
        <w:autoSpaceDN w:val="0"/>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本人经由____________________________________________________________</w:t>
      </w:r>
      <w:r>
        <w:rPr>
          <w:rFonts w:hint="eastAsia" w:ascii="宋体" w:hAnsi="宋体" w:eastAsia="宋体" w:cs="宋体"/>
          <w:color w:val="auto"/>
          <w:kern w:val="0"/>
          <w:szCs w:val="21"/>
          <w:highlight w:val="none"/>
          <w:u w:val="single"/>
        </w:rPr>
        <w:t>（供应商名称）</w:t>
      </w:r>
      <w:r>
        <w:rPr>
          <w:rFonts w:hint="eastAsia" w:ascii="宋体" w:hAnsi="宋体" w:eastAsia="宋体" w:cs="宋体"/>
          <w:color w:val="auto"/>
          <w:kern w:val="0"/>
          <w:szCs w:val="21"/>
          <w:highlight w:val="none"/>
        </w:rPr>
        <w:t>法定代表人__________________</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合法授权参加</w:t>
      </w:r>
      <w:r>
        <w:rPr>
          <w:rFonts w:hint="eastAsia" w:ascii="宋体" w:hAnsi="宋体" w:cs="宋体"/>
          <w:b/>
          <w:color w:val="auto"/>
          <w:kern w:val="0"/>
          <w:szCs w:val="21"/>
          <w:highlight w:val="none"/>
          <w:u w:val="single"/>
          <w:lang w:eastAsia="zh-CN"/>
        </w:rPr>
        <w:t>浙江中医药大学文磊教授实验室改造项目</w:t>
      </w:r>
      <w:r>
        <w:rPr>
          <w:rFonts w:hint="eastAsia" w:ascii="宋体" w:hAnsi="宋体" w:eastAsia="宋体" w:cs="宋体"/>
          <w:b/>
          <w:color w:val="auto"/>
          <w:kern w:val="0"/>
          <w:szCs w:val="21"/>
          <w:highlight w:val="none"/>
          <w:u w:val="single"/>
        </w:rPr>
        <w:t>（项目编号：</w:t>
      </w:r>
      <w:r>
        <w:rPr>
          <w:rFonts w:hint="eastAsia" w:ascii="宋体" w:hAnsi="宋体" w:cs="宋体"/>
          <w:b/>
          <w:color w:val="auto"/>
          <w:kern w:val="0"/>
          <w:szCs w:val="21"/>
          <w:highlight w:val="none"/>
          <w:u w:val="single"/>
          <w:lang w:eastAsia="zh-CN"/>
        </w:rPr>
        <w:t>CTZB-2025060529</w:t>
      </w:r>
      <w:r>
        <w:rPr>
          <w:rFonts w:hint="eastAsia" w:ascii="宋体" w:hAnsi="宋体" w:eastAsia="宋体" w:cs="宋体"/>
          <w:b/>
          <w:color w:val="auto"/>
          <w:kern w:val="0"/>
          <w:szCs w:val="21"/>
          <w:highlight w:val="none"/>
          <w:u w:val="single"/>
        </w:rPr>
        <w:t>）</w:t>
      </w:r>
      <w:r>
        <w:rPr>
          <w:rFonts w:hint="eastAsia" w:ascii="宋体" w:hAnsi="宋体" w:eastAsia="宋体" w:cs="宋体"/>
          <w:color w:val="auto"/>
          <w:kern w:val="0"/>
          <w:szCs w:val="21"/>
          <w:highlight w:val="none"/>
        </w:rPr>
        <w:t>的政府采购活动，</w:t>
      </w:r>
      <w:r>
        <w:rPr>
          <w:rFonts w:hint="eastAsia" w:ascii="宋体" w:hAnsi="宋体" w:eastAsia="宋体" w:cs="宋体"/>
          <w:b/>
          <w:color w:val="auto"/>
          <w:kern w:val="0"/>
          <w:szCs w:val="21"/>
          <w:highlight w:val="none"/>
        </w:rPr>
        <w:t>经与本单位法定代表人（负责人）联系确认，现就有关公平竞争事项郑重声明如下：</w:t>
      </w:r>
    </w:p>
    <w:p w14:paraId="471FECDD">
      <w:pPr>
        <w:autoSpaceDN w:val="0"/>
        <w:spacing w:line="360" w:lineRule="auto"/>
        <w:ind w:firstLine="373" w:firstLineChars="177"/>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一、本单位与采购人之间：</w:t>
      </w:r>
      <w:r>
        <w:rPr>
          <w:rFonts w:hint="eastAsia" w:ascii="宋体" w:hAnsi="宋体" w:eastAsia="宋体" w:cs="宋体"/>
          <w:b/>
          <w:bCs/>
          <w:color w:val="auto"/>
          <w:kern w:val="0"/>
          <w:szCs w:val="21"/>
          <w:highlight w:val="none"/>
        </w:rPr>
        <w:t>□不存在利害关系/□存在下列利害关系</w:t>
      </w:r>
      <w:r>
        <w:rPr>
          <w:rFonts w:hint="eastAsia" w:ascii="宋体" w:hAnsi="宋体" w:eastAsia="宋体" w:cs="宋体"/>
          <w:b/>
          <w:color w:val="auto"/>
          <w:kern w:val="0"/>
          <w:szCs w:val="21"/>
          <w:highlight w:val="none"/>
        </w:rPr>
        <w:t>_______________</w:t>
      </w:r>
      <w:r>
        <w:rPr>
          <w:rFonts w:hint="eastAsia" w:ascii="宋体" w:hAnsi="宋体" w:eastAsia="宋体" w:cs="宋体"/>
          <w:b/>
          <w:bCs/>
          <w:color w:val="auto"/>
          <w:kern w:val="0"/>
          <w:szCs w:val="21"/>
          <w:highlight w:val="none"/>
        </w:rPr>
        <w:t>：</w:t>
      </w:r>
    </w:p>
    <w:p w14:paraId="7329B597">
      <w:pPr>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A.投资关系；B.行政隶属关系；C.业务指导关系；D.其他可能影响采购公正的利害关系（如有，请如实说明）：</w:t>
      </w:r>
      <w:r>
        <w:rPr>
          <w:rFonts w:hint="eastAsia" w:ascii="宋体" w:hAnsi="宋体" w:eastAsia="宋体" w:cs="宋体"/>
          <w:b/>
          <w:color w:val="auto"/>
          <w:kern w:val="0"/>
          <w:szCs w:val="21"/>
          <w:highlight w:val="none"/>
        </w:rPr>
        <w:t>__________________________________________</w:t>
      </w:r>
    </w:p>
    <w:p w14:paraId="364FC0AE">
      <w:pPr>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二、现已清楚知道参加本项目采购活动的其他所有供应商名称，本单位:</w:t>
      </w:r>
    </w:p>
    <w:p w14:paraId="0A3E7BC1">
      <w:pPr>
        <w:autoSpaceDN w:val="0"/>
        <w:spacing w:line="360" w:lineRule="auto"/>
        <w:ind w:firstLine="373" w:firstLineChars="177"/>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□与其他所有供应商之间均不存在利害关系；</w:t>
      </w:r>
    </w:p>
    <w:p w14:paraId="78ECBA99">
      <w:pPr>
        <w:autoSpaceDN w:val="0"/>
        <w:spacing w:line="360" w:lineRule="auto"/>
        <w:ind w:firstLine="373" w:firstLineChars="177"/>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□与</w:t>
      </w:r>
      <w:r>
        <w:rPr>
          <w:rFonts w:hint="eastAsia" w:ascii="宋体" w:hAnsi="宋体" w:eastAsia="宋体" w:cs="宋体"/>
          <w:b/>
          <w:color w:val="auto"/>
          <w:kern w:val="0"/>
          <w:szCs w:val="21"/>
          <w:highlight w:val="none"/>
        </w:rPr>
        <w:t>____________________________________</w:t>
      </w:r>
      <w:r>
        <w:rPr>
          <w:rFonts w:hint="eastAsia" w:ascii="宋体" w:hAnsi="宋体" w:eastAsia="宋体" w:cs="宋体"/>
          <w:b/>
          <w:bCs/>
          <w:color w:val="auto"/>
          <w:kern w:val="0"/>
          <w:szCs w:val="21"/>
          <w:highlight w:val="none"/>
          <w:u w:val="single"/>
        </w:rPr>
        <w:t>（供应商名称）</w:t>
      </w:r>
      <w:r>
        <w:rPr>
          <w:rFonts w:hint="eastAsia" w:ascii="宋体" w:hAnsi="宋体" w:eastAsia="宋体" w:cs="宋体"/>
          <w:b/>
          <w:bCs/>
          <w:color w:val="auto"/>
          <w:kern w:val="0"/>
          <w:szCs w:val="21"/>
          <w:highlight w:val="none"/>
        </w:rPr>
        <w:t>之间存在下列利害关系</w:t>
      </w:r>
      <w:r>
        <w:rPr>
          <w:rFonts w:hint="eastAsia" w:ascii="宋体" w:hAnsi="宋体" w:eastAsia="宋体" w:cs="宋体"/>
          <w:b/>
          <w:color w:val="auto"/>
          <w:kern w:val="0"/>
          <w:szCs w:val="21"/>
          <w:highlight w:val="none"/>
        </w:rPr>
        <w:t>_______</w:t>
      </w:r>
      <w:r>
        <w:rPr>
          <w:rFonts w:hint="eastAsia" w:ascii="宋体" w:hAnsi="宋体" w:eastAsia="宋体" w:cs="宋体"/>
          <w:color w:val="auto"/>
          <w:kern w:val="0"/>
          <w:szCs w:val="21"/>
          <w:highlight w:val="none"/>
        </w:rPr>
        <w:t>：</w:t>
      </w:r>
    </w:p>
    <w:p w14:paraId="6C9A0D2D">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556E3778">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B.法定代表人或负责人或实际控制人是夫妻关系；</w:t>
      </w:r>
    </w:p>
    <w:p w14:paraId="7628BB0E">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01473185">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4D321AE4">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3A93AC8A">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1B0CE7C5">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0C1508E0">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H.存在分级代理或代销关系、同一生产制造商关系、管理关系、重要业务（占主营业务收入50%以上）或重要财务往来关系（如融资）等其他实质性控制关系；</w:t>
      </w:r>
    </w:p>
    <w:p w14:paraId="276A42EC">
      <w:pPr>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I.其他利害关系情况</w:t>
      </w:r>
      <w:r>
        <w:rPr>
          <w:rFonts w:hint="eastAsia" w:ascii="宋体" w:hAnsi="宋体" w:eastAsia="宋体" w:cs="宋体"/>
          <w:b/>
          <w:color w:val="auto"/>
          <w:kern w:val="0"/>
          <w:szCs w:val="21"/>
          <w:highlight w:val="none"/>
        </w:rPr>
        <w:t>_______________________________________________</w:t>
      </w:r>
      <w:r>
        <w:rPr>
          <w:rFonts w:hint="eastAsia" w:ascii="宋体" w:hAnsi="宋体" w:eastAsia="宋体" w:cs="宋体"/>
          <w:color w:val="auto"/>
          <w:kern w:val="0"/>
          <w:szCs w:val="21"/>
          <w:highlight w:val="none"/>
        </w:rPr>
        <w:t>。</w:t>
      </w:r>
    </w:p>
    <w:p w14:paraId="6DFBA480">
      <w:pPr>
        <w:widowControl/>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三、现已清楚知道并严格遵守政府采购法律法规和现场纪律。</w:t>
      </w:r>
    </w:p>
    <w:p w14:paraId="3AC9C445">
      <w:pPr>
        <w:widowControl/>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四、我发现____________________________________________________________________供应商之间存在或可能存在上述第二条第__________________项利害关系。</w:t>
      </w:r>
    </w:p>
    <w:p w14:paraId="008FE2B9">
      <w:pPr>
        <w:autoSpaceDN w:val="0"/>
        <w:snapToGrid w:val="0"/>
        <w:spacing w:before="240" w:beforeLines="100" w:line="360" w:lineRule="auto"/>
        <w:jc w:val="right"/>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供应商盖章或法定代表人（或授权代表）签字（或盖章）：_______________</w:t>
      </w:r>
    </w:p>
    <w:p w14:paraId="6239F599">
      <w:pPr>
        <w:autoSpaceDN w:val="0"/>
        <w:jc w:val="right"/>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Cs w:val="21"/>
          <w:highlight w:val="none"/>
        </w:rPr>
        <w:t>日期：________年____月____ 日</w:t>
      </w:r>
    </w:p>
    <w:p w14:paraId="3894A45B">
      <w:pPr>
        <w:pStyle w:val="4"/>
        <w:autoSpaceDN w:val="0"/>
        <w:spacing w:before="360"/>
        <w:ind w:firstLine="0" w:firstLineChars="0"/>
        <w:rPr>
          <w:rFonts w:hint="eastAsia" w:ascii="宋体" w:hAnsi="宋体" w:eastAsia="宋体" w:cs="宋体"/>
          <w:color w:val="auto"/>
          <w:sz w:val="28"/>
          <w:szCs w:val="28"/>
          <w:highlight w:val="none"/>
        </w:rPr>
      </w:pPr>
      <w:bookmarkStart w:id="152" w:name="_Toc8008423"/>
      <w:bookmarkStart w:id="153" w:name="_Toc440162800"/>
      <w:bookmarkStart w:id="154" w:name="_Toc472"/>
      <w:bookmarkStart w:id="155" w:name="_Toc14067"/>
      <w:bookmarkStart w:id="156" w:name="_Toc7988414"/>
      <w:bookmarkStart w:id="157" w:name="_Toc44671434"/>
      <w:bookmarkStart w:id="158" w:name="_Toc17775"/>
      <w:bookmarkStart w:id="159" w:name="_Toc7988468"/>
      <w:bookmarkStart w:id="160" w:name="_Toc424164168"/>
      <w:bookmarkStart w:id="161" w:name="_Toc46485599"/>
      <w:r>
        <w:rPr>
          <w:rFonts w:hint="eastAsia" w:ascii="宋体" w:hAnsi="宋体" w:eastAsia="宋体" w:cs="宋体"/>
          <w:color w:val="auto"/>
          <w:sz w:val="28"/>
          <w:szCs w:val="28"/>
          <w:highlight w:val="none"/>
        </w:rPr>
        <w:t>第二部分“商务技术文件”格式</w:t>
      </w:r>
      <w:bookmarkEnd w:id="152"/>
      <w:bookmarkEnd w:id="153"/>
      <w:bookmarkEnd w:id="154"/>
      <w:bookmarkEnd w:id="155"/>
      <w:bookmarkEnd w:id="156"/>
      <w:bookmarkEnd w:id="157"/>
      <w:bookmarkEnd w:id="158"/>
      <w:bookmarkEnd w:id="159"/>
      <w:bookmarkEnd w:id="160"/>
      <w:bookmarkEnd w:id="161"/>
    </w:p>
    <w:p w14:paraId="17D8A208">
      <w:pPr>
        <w:pStyle w:val="2"/>
        <w:keepNext/>
        <w:keepLines/>
        <w:widowControl w:val="0"/>
        <w:autoSpaceDE/>
        <w:spacing w:before="120" w:after="120" w:line="360" w:lineRule="auto"/>
        <w:ind w:firstLine="24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 “商务技术文件”封面</w:t>
      </w:r>
    </w:p>
    <w:p w14:paraId="60DCD18E">
      <w:pPr>
        <w:pStyle w:val="6"/>
        <w:autoSpaceDN w:val="0"/>
        <w:rPr>
          <w:rFonts w:hint="eastAsia" w:ascii="宋体" w:hAnsi="宋体" w:eastAsia="宋体" w:cs="宋体"/>
          <w:color w:val="auto"/>
          <w:highlight w:val="none"/>
        </w:rPr>
      </w:pPr>
    </w:p>
    <w:p w14:paraId="00D7DFDD">
      <w:pPr>
        <w:autoSpaceDN w:val="0"/>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kern w:val="0"/>
          <w:sz w:val="52"/>
          <w:szCs w:val="90"/>
          <w:highlight w:val="none"/>
        </w:rPr>
        <w:t>浙江省政府采购电子交易项目</w:t>
      </w:r>
    </w:p>
    <w:p w14:paraId="2BBD2B35">
      <w:pPr>
        <w:autoSpaceDN w:val="0"/>
        <w:spacing w:line="360" w:lineRule="auto"/>
        <w:rPr>
          <w:rFonts w:hint="eastAsia" w:ascii="宋体" w:hAnsi="宋体" w:eastAsia="宋体" w:cs="宋体"/>
          <w:color w:val="auto"/>
          <w:sz w:val="24"/>
          <w:highlight w:val="none"/>
        </w:rPr>
      </w:pPr>
    </w:p>
    <w:p w14:paraId="4376D69D">
      <w:pPr>
        <w:autoSpaceDN w:val="0"/>
        <w:spacing w:line="276" w:lineRule="auto"/>
        <w:jc w:val="center"/>
        <w:rPr>
          <w:rFonts w:hint="eastAsia" w:ascii="宋体" w:hAnsi="宋体" w:eastAsia="宋体" w:cs="宋体"/>
          <w:color w:val="auto"/>
          <w:kern w:val="0"/>
          <w:sz w:val="120"/>
          <w:szCs w:val="120"/>
          <w:highlight w:val="none"/>
        </w:rPr>
      </w:pPr>
      <w:r>
        <w:rPr>
          <w:rFonts w:hint="eastAsia" w:ascii="宋体" w:hAnsi="宋体" w:eastAsia="宋体" w:cs="宋体"/>
          <w:color w:val="auto"/>
          <w:kern w:val="0"/>
          <w:sz w:val="120"/>
          <w:szCs w:val="120"/>
          <w:highlight w:val="none"/>
        </w:rPr>
        <w:t>磋商响应文件</w:t>
      </w:r>
    </w:p>
    <w:p w14:paraId="0BA52EB7">
      <w:pPr>
        <w:autoSpaceDN w:val="0"/>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（二、商务技术文件）</w:t>
      </w:r>
    </w:p>
    <w:p w14:paraId="6D076354">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50B04777">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69977D07">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tbl>
      <w:tblPr>
        <w:tblStyle w:val="51"/>
        <w:tblW w:w="9356" w:type="dxa"/>
        <w:tblInd w:w="108" w:type="dxa"/>
        <w:tblLayout w:type="fixed"/>
        <w:tblCellMar>
          <w:top w:w="0" w:type="dxa"/>
          <w:left w:w="108" w:type="dxa"/>
          <w:bottom w:w="0" w:type="dxa"/>
          <w:right w:w="108" w:type="dxa"/>
        </w:tblCellMar>
      </w:tblPr>
      <w:tblGrid>
        <w:gridCol w:w="9356"/>
      </w:tblGrid>
      <w:tr w14:paraId="2501EE6A">
        <w:tblPrEx>
          <w:tblCellMar>
            <w:top w:w="0" w:type="dxa"/>
            <w:left w:w="108" w:type="dxa"/>
            <w:bottom w:w="0" w:type="dxa"/>
            <w:right w:w="108" w:type="dxa"/>
          </w:tblCellMar>
        </w:tblPrEx>
        <w:trPr>
          <w:trHeight w:val="680" w:hRule="atLeast"/>
        </w:trPr>
        <w:tc>
          <w:tcPr>
            <w:tcW w:w="9356" w:type="dxa"/>
            <w:vAlign w:val="center"/>
          </w:tcPr>
          <w:p w14:paraId="540576C4">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bCs/>
                <w:color w:val="auto"/>
                <w:kern w:val="0"/>
                <w:sz w:val="28"/>
                <w:szCs w:val="32"/>
                <w:highlight w:val="none"/>
                <w:lang w:eastAsia="zh-CN"/>
              </w:rPr>
              <w:t>浙江中医药大学文磊教授实验室改造项目</w:t>
            </w:r>
          </w:p>
        </w:tc>
      </w:tr>
      <w:tr w14:paraId="1ED14B05">
        <w:tblPrEx>
          <w:tblCellMar>
            <w:top w:w="0" w:type="dxa"/>
            <w:left w:w="108" w:type="dxa"/>
            <w:bottom w:w="0" w:type="dxa"/>
            <w:right w:w="108" w:type="dxa"/>
          </w:tblCellMar>
        </w:tblPrEx>
        <w:trPr>
          <w:trHeight w:val="680" w:hRule="atLeast"/>
        </w:trPr>
        <w:tc>
          <w:tcPr>
            <w:tcW w:w="9356" w:type="dxa"/>
            <w:vAlign w:val="center"/>
          </w:tcPr>
          <w:p w14:paraId="4224DCF9">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bCs/>
                <w:color w:val="auto"/>
                <w:kern w:val="0"/>
                <w:sz w:val="28"/>
                <w:szCs w:val="32"/>
                <w:highlight w:val="none"/>
                <w:lang w:eastAsia="zh-CN"/>
              </w:rPr>
              <w:t>CTZB-2025060529</w:t>
            </w:r>
          </w:p>
        </w:tc>
      </w:tr>
      <w:tr w14:paraId="10DBB8DF">
        <w:tblPrEx>
          <w:tblCellMar>
            <w:top w:w="0" w:type="dxa"/>
            <w:left w:w="108" w:type="dxa"/>
            <w:bottom w:w="0" w:type="dxa"/>
            <w:right w:w="108" w:type="dxa"/>
          </w:tblCellMar>
        </w:tblPrEx>
        <w:trPr>
          <w:trHeight w:val="680" w:hRule="atLeast"/>
        </w:trPr>
        <w:tc>
          <w:tcPr>
            <w:tcW w:w="9356" w:type="dxa"/>
            <w:vAlign w:val="center"/>
          </w:tcPr>
          <w:p w14:paraId="2EA64E6B">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磋商响应供应商名称（盖章）：</w:t>
            </w:r>
            <w:r>
              <w:rPr>
                <w:rFonts w:hint="eastAsia" w:ascii="宋体" w:hAnsi="宋体" w:eastAsia="宋体" w:cs="宋体"/>
                <w:color w:val="auto"/>
                <w:w w:val="90"/>
                <w:kern w:val="0"/>
                <w:sz w:val="22"/>
                <w:szCs w:val="22"/>
                <w:highlight w:val="none"/>
              </w:rPr>
              <w:t>_________________________________________________</w:t>
            </w:r>
          </w:p>
        </w:tc>
      </w:tr>
      <w:tr w14:paraId="49CB20A7">
        <w:tblPrEx>
          <w:tblCellMar>
            <w:top w:w="0" w:type="dxa"/>
            <w:left w:w="108" w:type="dxa"/>
            <w:bottom w:w="0" w:type="dxa"/>
            <w:right w:w="108" w:type="dxa"/>
          </w:tblCellMar>
        </w:tblPrEx>
        <w:trPr>
          <w:trHeight w:val="680" w:hRule="atLeast"/>
        </w:trPr>
        <w:tc>
          <w:tcPr>
            <w:tcW w:w="9356" w:type="dxa"/>
            <w:vAlign w:val="center"/>
          </w:tcPr>
          <w:p w14:paraId="5AF08B23">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磋商响应供应商地址：</w:t>
            </w:r>
            <w:r>
              <w:rPr>
                <w:rFonts w:hint="eastAsia" w:ascii="宋体" w:hAnsi="宋体" w:eastAsia="宋体" w:cs="宋体"/>
                <w:color w:val="auto"/>
                <w:w w:val="90"/>
                <w:kern w:val="0"/>
                <w:sz w:val="22"/>
                <w:szCs w:val="22"/>
                <w:highlight w:val="none"/>
              </w:rPr>
              <w:t>___________________________________________________________</w:t>
            </w:r>
          </w:p>
        </w:tc>
      </w:tr>
      <w:tr w14:paraId="53D4FD7C">
        <w:tblPrEx>
          <w:tblCellMar>
            <w:top w:w="0" w:type="dxa"/>
            <w:left w:w="108" w:type="dxa"/>
            <w:bottom w:w="0" w:type="dxa"/>
            <w:right w:w="108" w:type="dxa"/>
          </w:tblCellMar>
        </w:tblPrEx>
        <w:trPr>
          <w:trHeight w:val="680" w:hRule="atLeast"/>
        </w:trPr>
        <w:tc>
          <w:tcPr>
            <w:tcW w:w="9356" w:type="dxa"/>
            <w:vAlign w:val="center"/>
          </w:tcPr>
          <w:p w14:paraId="091F2AA5">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w:t>磋商响应供应商联系电话：</w:t>
            </w:r>
            <w:r>
              <w:rPr>
                <w:rFonts w:hint="eastAsia" w:ascii="宋体" w:hAnsi="宋体" w:eastAsia="宋体" w:cs="宋体"/>
                <w:color w:val="auto"/>
                <w:w w:val="90"/>
                <w:kern w:val="0"/>
                <w:sz w:val="28"/>
                <w:highlight w:val="none"/>
              </w:rPr>
              <w:t>_________________________________________</w:t>
            </w:r>
          </w:p>
        </w:tc>
      </w:tr>
      <w:tr w14:paraId="78D3EA40">
        <w:tblPrEx>
          <w:tblCellMar>
            <w:top w:w="0" w:type="dxa"/>
            <w:left w:w="108" w:type="dxa"/>
            <w:bottom w:w="0" w:type="dxa"/>
            <w:right w:w="108" w:type="dxa"/>
          </w:tblCellMar>
        </w:tblPrEx>
        <w:trPr>
          <w:trHeight w:val="680" w:hRule="atLeast"/>
        </w:trPr>
        <w:tc>
          <w:tcPr>
            <w:tcW w:w="9356" w:type="dxa"/>
            <w:vAlign w:val="center"/>
          </w:tcPr>
          <w:p w14:paraId="05F0CA9E">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DE05397">
        <w:tblPrEx>
          <w:tblCellMar>
            <w:top w:w="0" w:type="dxa"/>
            <w:left w:w="108" w:type="dxa"/>
            <w:bottom w:w="0" w:type="dxa"/>
            <w:right w:w="108" w:type="dxa"/>
          </w:tblCellMar>
        </w:tblPrEx>
        <w:trPr>
          <w:trHeight w:val="680" w:hRule="atLeast"/>
        </w:trPr>
        <w:tc>
          <w:tcPr>
            <w:tcW w:w="9356" w:type="dxa"/>
            <w:vAlign w:val="center"/>
          </w:tcPr>
          <w:p w14:paraId="5712AC25">
            <w:pPr>
              <w:autoSpaceDN w:val="0"/>
              <w:jc w:val="center"/>
              <w:rPr>
                <w:rFonts w:hint="eastAsia" w:ascii="宋体" w:hAnsi="宋体" w:eastAsia="宋体" w:cs="宋体"/>
                <w:b/>
                <w:color w:val="auto"/>
                <w:sz w:val="28"/>
                <w:szCs w:val="28"/>
                <w:highlight w:val="none"/>
              </w:rPr>
            </w:pPr>
          </w:p>
        </w:tc>
      </w:tr>
    </w:tbl>
    <w:p w14:paraId="157179C8">
      <w:pPr>
        <w:autoSpaceDN w:val="0"/>
        <w:spacing w:line="360" w:lineRule="auto"/>
        <w:jc w:val="center"/>
        <w:rPr>
          <w:rFonts w:hint="eastAsia" w:ascii="宋体" w:hAnsi="宋体" w:eastAsia="宋体" w:cs="宋体"/>
          <w:color w:val="auto"/>
          <w:highlight w:val="none"/>
        </w:rPr>
      </w:pPr>
    </w:p>
    <w:p w14:paraId="546FB205">
      <w:pPr>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35444">
      <w:pPr>
        <w:pStyle w:val="2"/>
        <w:keepNext/>
        <w:keepLines/>
        <w:widowControl w:val="0"/>
        <w:autoSpaceDE/>
        <w:spacing w:before="120" w:after="120" w:line="360" w:lineRule="auto"/>
        <w:ind w:firstLine="24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2-2 ▲关于</w:t>
      </w:r>
      <w:r>
        <w:rPr>
          <w:rFonts w:hint="eastAsia" w:ascii="宋体" w:hAnsi="宋体" w:eastAsia="宋体" w:cs="宋体"/>
          <w:bCs/>
          <w:color w:val="auto"/>
          <w:kern w:val="0"/>
          <w:szCs w:val="24"/>
          <w:highlight w:val="none"/>
          <w:lang w:eastAsia="zh-CN"/>
        </w:rPr>
        <w:t>磋商响应文件</w:t>
      </w:r>
      <w:r>
        <w:rPr>
          <w:rFonts w:hint="eastAsia" w:ascii="宋体" w:hAnsi="宋体" w:eastAsia="宋体" w:cs="宋体"/>
          <w:bCs/>
          <w:color w:val="auto"/>
          <w:kern w:val="0"/>
          <w:szCs w:val="24"/>
          <w:highlight w:val="none"/>
        </w:rPr>
        <w:t>所有内容真实有效的承诺函</w:t>
      </w:r>
    </w:p>
    <w:p w14:paraId="7AB4475A">
      <w:pPr>
        <w:autoSpaceDN w:val="0"/>
        <w:spacing w:line="360" w:lineRule="auto"/>
        <w:jc w:val="center"/>
        <w:rPr>
          <w:rFonts w:hint="eastAsia" w:ascii="宋体" w:hAnsi="宋体" w:eastAsia="宋体" w:cs="宋体"/>
          <w:b/>
          <w:color w:val="auto"/>
          <w:kern w:val="0"/>
          <w:sz w:val="36"/>
          <w:szCs w:val="32"/>
          <w:highlight w:val="none"/>
        </w:rPr>
      </w:pPr>
    </w:p>
    <w:p w14:paraId="5D419020">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关于</w:t>
      </w:r>
      <w:r>
        <w:rPr>
          <w:rFonts w:hint="eastAsia" w:ascii="宋体" w:hAnsi="宋体" w:cs="宋体"/>
          <w:b/>
          <w:color w:val="auto"/>
          <w:sz w:val="40"/>
          <w:highlight w:val="none"/>
          <w:lang w:eastAsia="zh-CN"/>
        </w:rPr>
        <w:t>磋商响应文件</w:t>
      </w:r>
      <w:r>
        <w:rPr>
          <w:rFonts w:hint="eastAsia" w:ascii="宋体" w:hAnsi="宋体" w:eastAsia="宋体" w:cs="宋体"/>
          <w:b/>
          <w:color w:val="auto"/>
          <w:sz w:val="40"/>
          <w:highlight w:val="none"/>
        </w:rPr>
        <w:t>所有内容真实、有效的承诺函</w:t>
      </w:r>
    </w:p>
    <w:p w14:paraId="25A315D0">
      <w:pPr>
        <w:autoSpaceDN w:val="0"/>
        <w:spacing w:line="360" w:lineRule="auto"/>
        <w:rPr>
          <w:rFonts w:hint="eastAsia" w:ascii="宋体" w:hAnsi="宋体" w:eastAsia="宋体" w:cs="宋体"/>
          <w:b/>
          <w:color w:val="auto"/>
          <w:kern w:val="0"/>
          <w:sz w:val="28"/>
          <w:szCs w:val="28"/>
          <w:highlight w:val="none"/>
          <w:u w:val="single"/>
        </w:rPr>
      </w:pPr>
    </w:p>
    <w:p w14:paraId="5449B7A5">
      <w:pPr>
        <w:autoSpaceDN w:val="0"/>
        <w:spacing w:line="360" w:lineRule="auto"/>
        <w:rPr>
          <w:rFonts w:hint="eastAsia" w:ascii="宋体" w:hAnsi="宋体" w:eastAsia="宋体" w:cs="宋体"/>
          <w:b/>
          <w:color w:val="auto"/>
          <w:kern w:val="0"/>
          <w:sz w:val="32"/>
          <w:szCs w:val="28"/>
          <w:highlight w:val="none"/>
          <w:u w:val="single"/>
        </w:rPr>
      </w:pPr>
      <w:r>
        <w:rPr>
          <w:rFonts w:hint="eastAsia" w:ascii="宋体" w:hAnsi="宋体" w:eastAsia="宋体" w:cs="宋体"/>
          <w:b/>
          <w:color w:val="auto"/>
          <w:w w:val="90"/>
          <w:kern w:val="0"/>
          <w:sz w:val="28"/>
          <w:szCs w:val="22"/>
          <w:highlight w:val="none"/>
          <w:u w:val="single"/>
          <w:lang w:eastAsia="zh-CN"/>
        </w:rPr>
        <w:t>浙江中医药大学</w:t>
      </w:r>
      <w:r>
        <w:rPr>
          <w:rFonts w:hint="eastAsia" w:ascii="宋体" w:hAnsi="宋体" w:eastAsia="宋体" w:cs="宋体"/>
          <w:b/>
          <w:color w:val="auto"/>
          <w:w w:val="90"/>
          <w:kern w:val="0"/>
          <w:sz w:val="28"/>
          <w:szCs w:val="22"/>
          <w:highlight w:val="none"/>
          <w:u w:val="single"/>
        </w:rPr>
        <w:t>、浙江省成套招标代理有限公司</w:t>
      </w:r>
      <w:r>
        <w:rPr>
          <w:rFonts w:hint="eastAsia" w:ascii="宋体" w:hAnsi="宋体" w:eastAsia="宋体" w:cs="宋体"/>
          <w:b/>
          <w:color w:val="auto"/>
          <w:w w:val="90"/>
          <w:kern w:val="0"/>
          <w:sz w:val="28"/>
          <w:szCs w:val="22"/>
          <w:highlight w:val="none"/>
        </w:rPr>
        <w:t>：</w:t>
      </w:r>
    </w:p>
    <w:p w14:paraId="1B41BCA4">
      <w:pPr>
        <w:autoSpaceDN w:val="0"/>
        <w:spacing w:line="360" w:lineRule="auto"/>
        <w:rPr>
          <w:rFonts w:hint="eastAsia" w:ascii="宋体" w:hAnsi="宋体" w:eastAsia="宋体" w:cs="宋体"/>
          <w:color w:val="auto"/>
          <w:kern w:val="0"/>
          <w:sz w:val="32"/>
          <w:szCs w:val="28"/>
          <w:highlight w:val="none"/>
        </w:rPr>
      </w:pPr>
    </w:p>
    <w:p w14:paraId="01C2F5A9">
      <w:pPr>
        <w:autoSpaceDN w:val="0"/>
        <w:spacing w:line="360" w:lineRule="auto"/>
        <w:ind w:firstLine="560" w:firstLineChars="200"/>
        <w:rPr>
          <w:rFonts w:hint="eastAsia" w:ascii="宋体" w:hAnsi="宋体" w:eastAsia="宋体" w:cs="宋体"/>
          <w:color w:val="auto"/>
          <w:kern w:val="0"/>
          <w:sz w:val="28"/>
          <w:szCs w:val="22"/>
          <w:highlight w:val="none"/>
        </w:rPr>
      </w:pPr>
      <w:r>
        <w:rPr>
          <w:rFonts w:hint="eastAsia" w:ascii="宋体" w:hAnsi="宋体" w:eastAsia="宋体" w:cs="宋体"/>
          <w:color w:val="auto"/>
          <w:kern w:val="0"/>
          <w:sz w:val="28"/>
          <w:szCs w:val="22"/>
          <w:highlight w:val="none"/>
        </w:rPr>
        <w:t>我</w:t>
      </w:r>
      <w:r>
        <w:rPr>
          <w:rFonts w:hint="eastAsia" w:ascii="宋体" w:hAnsi="宋体" w:eastAsia="宋体" w:cs="宋体"/>
          <w:color w:val="auto"/>
          <w:kern w:val="0"/>
          <w:sz w:val="28"/>
          <w:szCs w:val="28"/>
          <w:highlight w:val="none"/>
        </w:rPr>
        <w:t>方</w:t>
      </w:r>
      <w:r>
        <w:rPr>
          <w:rFonts w:hint="eastAsia" w:ascii="宋体" w:hAnsi="宋体" w:eastAsia="宋体" w:cs="宋体"/>
          <w:color w:val="auto"/>
          <w:kern w:val="0"/>
          <w:sz w:val="28"/>
          <w:szCs w:val="22"/>
          <w:highlight w:val="none"/>
        </w:rPr>
        <w:t>参加</w:t>
      </w:r>
      <w:r>
        <w:rPr>
          <w:rFonts w:hint="eastAsia" w:ascii="宋体" w:hAnsi="宋体" w:cs="宋体"/>
          <w:b/>
          <w:color w:val="auto"/>
          <w:kern w:val="0"/>
          <w:sz w:val="28"/>
          <w:szCs w:val="22"/>
          <w:highlight w:val="none"/>
          <w:u w:val="single"/>
          <w:lang w:eastAsia="zh-CN"/>
        </w:rPr>
        <w:t>浙江中医药大学文磊教授实验室改造项目</w:t>
      </w:r>
      <w:r>
        <w:rPr>
          <w:rFonts w:hint="eastAsia" w:ascii="宋体" w:hAnsi="宋体" w:eastAsia="宋体" w:cs="宋体"/>
          <w:b/>
          <w:color w:val="auto"/>
          <w:kern w:val="0"/>
          <w:sz w:val="28"/>
          <w:szCs w:val="22"/>
          <w:highlight w:val="none"/>
          <w:u w:val="single"/>
        </w:rPr>
        <w:t>（项目编号：</w:t>
      </w:r>
      <w:r>
        <w:rPr>
          <w:rFonts w:hint="eastAsia" w:ascii="宋体" w:hAnsi="宋体" w:cs="宋体"/>
          <w:b/>
          <w:color w:val="auto"/>
          <w:kern w:val="0"/>
          <w:sz w:val="28"/>
          <w:szCs w:val="22"/>
          <w:highlight w:val="none"/>
          <w:u w:val="single"/>
          <w:lang w:eastAsia="zh-CN"/>
        </w:rPr>
        <w:t>CTZB-2025060529</w:t>
      </w:r>
      <w:r>
        <w:rPr>
          <w:rFonts w:hint="eastAsia" w:ascii="宋体" w:hAnsi="宋体" w:eastAsia="宋体" w:cs="宋体"/>
          <w:b/>
          <w:color w:val="auto"/>
          <w:kern w:val="0"/>
          <w:sz w:val="28"/>
          <w:szCs w:val="22"/>
          <w:highlight w:val="none"/>
          <w:u w:val="single"/>
        </w:rPr>
        <w:t>）</w:t>
      </w:r>
      <w:r>
        <w:rPr>
          <w:rFonts w:hint="eastAsia" w:ascii="宋体" w:hAnsi="宋体" w:eastAsia="宋体" w:cs="宋体"/>
          <w:color w:val="auto"/>
          <w:kern w:val="0"/>
          <w:sz w:val="28"/>
          <w:szCs w:val="22"/>
          <w:highlight w:val="none"/>
        </w:rPr>
        <w:t>的政府采购活动中所提交的</w:t>
      </w:r>
      <w:r>
        <w:rPr>
          <w:rFonts w:hint="eastAsia" w:ascii="宋体" w:hAnsi="宋体" w:cs="宋体"/>
          <w:color w:val="auto"/>
          <w:kern w:val="0"/>
          <w:sz w:val="28"/>
          <w:szCs w:val="22"/>
          <w:highlight w:val="none"/>
          <w:lang w:eastAsia="zh-CN"/>
        </w:rPr>
        <w:t>磋商响应文件</w:t>
      </w:r>
      <w:r>
        <w:rPr>
          <w:rFonts w:hint="eastAsia" w:ascii="宋体" w:hAnsi="宋体" w:eastAsia="宋体" w:cs="宋体"/>
          <w:color w:val="auto"/>
          <w:kern w:val="0"/>
          <w:sz w:val="28"/>
          <w:szCs w:val="22"/>
          <w:highlight w:val="none"/>
        </w:rPr>
        <w:t>（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731089F8">
      <w:pPr>
        <w:autoSpaceDN w:val="0"/>
        <w:spacing w:line="360" w:lineRule="auto"/>
        <w:ind w:firstLine="560" w:firstLineChars="200"/>
        <w:rPr>
          <w:rFonts w:hint="eastAsia" w:ascii="宋体" w:hAnsi="宋体" w:eastAsia="宋体" w:cs="宋体"/>
          <w:color w:val="auto"/>
          <w:kern w:val="0"/>
          <w:sz w:val="28"/>
          <w:szCs w:val="22"/>
          <w:highlight w:val="none"/>
        </w:rPr>
      </w:pPr>
    </w:p>
    <w:p w14:paraId="15222421">
      <w:pPr>
        <w:autoSpaceDN w:val="0"/>
        <w:spacing w:line="360" w:lineRule="auto"/>
        <w:ind w:firstLine="56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8"/>
          <w:szCs w:val="22"/>
          <w:highlight w:val="none"/>
        </w:rPr>
        <w:t>特此</w:t>
      </w:r>
      <w:r>
        <w:rPr>
          <w:rFonts w:hint="eastAsia" w:ascii="宋体" w:hAnsi="宋体" w:eastAsia="宋体" w:cs="宋体"/>
          <w:color w:val="auto"/>
          <w:kern w:val="0"/>
          <w:sz w:val="28"/>
          <w:szCs w:val="28"/>
          <w:highlight w:val="none"/>
        </w:rPr>
        <w:t>承诺</w:t>
      </w:r>
      <w:r>
        <w:rPr>
          <w:rFonts w:hint="eastAsia" w:ascii="宋体" w:hAnsi="宋体" w:eastAsia="宋体" w:cs="宋体"/>
          <w:color w:val="auto"/>
          <w:kern w:val="0"/>
          <w:sz w:val="28"/>
          <w:szCs w:val="22"/>
          <w:highlight w:val="none"/>
        </w:rPr>
        <w:t>！</w:t>
      </w:r>
    </w:p>
    <w:p w14:paraId="2E2EC5A5">
      <w:pPr>
        <w:autoSpaceDN w:val="0"/>
        <w:spacing w:line="360" w:lineRule="auto"/>
        <w:ind w:firstLine="420" w:firstLineChars="200"/>
        <w:rPr>
          <w:rFonts w:hint="eastAsia" w:ascii="宋体" w:hAnsi="宋体" w:eastAsia="宋体" w:cs="宋体"/>
          <w:color w:val="auto"/>
          <w:kern w:val="0"/>
          <w:szCs w:val="22"/>
          <w:highlight w:val="none"/>
        </w:rPr>
      </w:pPr>
    </w:p>
    <w:p w14:paraId="312D07B0">
      <w:pPr>
        <w:autoSpaceDN w:val="0"/>
        <w:snapToGrid w:val="0"/>
        <w:spacing w:line="360" w:lineRule="auto"/>
        <w:ind w:left="567" w:leftChars="2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投标供应商名称（盖章）：</w:t>
      </w:r>
      <w:r>
        <w:rPr>
          <w:rFonts w:hint="eastAsia" w:ascii="宋体" w:hAnsi="宋体" w:eastAsia="宋体" w:cs="宋体"/>
          <w:color w:val="auto"/>
          <w:w w:val="90"/>
          <w:kern w:val="0"/>
          <w:sz w:val="28"/>
          <w:szCs w:val="28"/>
          <w:highlight w:val="none"/>
        </w:rPr>
        <w:t>__________________________________</w:t>
      </w:r>
    </w:p>
    <w:p w14:paraId="17085A7F">
      <w:pPr>
        <w:autoSpaceDN w:val="0"/>
        <w:spacing w:line="360" w:lineRule="auto"/>
        <w:ind w:firstLine="560" w:firstLineChars="200"/>
        <w:rPr>
          <w:rFonts w:hint="eastAsia" w:ascii="宋体" w:hAnsi="宋体" w:eastAsia="宋体" w:cs="宋体"/>
          <w:color w:val="auto"/>
          <w:w w:val="90"/>
          <w:kern w:val="0"/>
          <w:sz w:val="28"/>
          <w:szCs w:val="28"/>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8"/>
          <w:szCs w:val="28"/>
          <w:highlight w:val="none"/>
        </w:rPr>
        <w:t>________年____月____日</w:t>
      </w:r>
    </w:p>
    <w:p w14:paraId="0F214E06">
      <w:pPr>
        <w:pStyle w:val="2"/>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2-3▲法人授权委托书</w:t>
      </w:r>
    </w:p>
    <w:p w14:paraId="6C160AAA">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法人授权委托书</w:t>
      </w:r>
    </w:p>
    <w:p w14:paraId="218393D7">
      <w:pPr>
        <w:autoSpaceDN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w w:val="90"/>
          <w:kern w:val="0"/>
          <w:sz w:val="28"/>
          <w:szCs w:val="28"/>
          <w:highlight w:val="none"/>
          <w:u w:val="single"/>
          <w:lang w:eastAsia="zh-CN"/>
        </w:rPr>
        <w:t>浙江中医药大学</w:t>
      </w:r>
      <w:r>
        <w:rPr>
          <w:rFonts w:hint="eastAsia" w:ascii="宋体" w:hAnsi="宋体" w:eastAsia="宋体" w:cs="宋体"/>
          <w:b/>
          <w:color w:val="auto"/>
          <w:w w:val="90"/>
          <w:kern w:val="0"/>
          <w:sz w:val="28"/>
          <w:szCs w:val="28"/>
          <w:highlight w:val="none"/>
          <w:u w:val="single"/>
        </w:rPr>
        <w:t>、浙江省成套招标代理有限公司：</w:t>
      </w:r>
    </w:p>
    <w:p w14:paraId="7CE9891B">
      <w:pPr>
        <w:pStyle w:val="6"/>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我单位授权</w:t>
      </w:r>
      <w:r>
        <w:rPr>
          <w:rFonts w:hint="eastAsia" w:ascii="宋体" w:hAnsi="宋体" w:eastAsia="宋体" w:cs="宋体"/>
          <w:color w:val="auto"/>
          <w:sz w:val="28"/>
          <w:szCs w:val="28"/>
          <w:highlight w:val="none"/>
          <w:u w:val="single"/>
        </w:rPr>
        <w:t xml:space="preserve">       （姓名、身份证号码）</w:t>
      </w:r>
      <w:r>
        <w:rPr>
          <w:rFonts w:hint="eastAsia" w:ascii="宋体" w:hAnsi="宋体" w:eastAsia="宋体" w:cs="宋体"/>
          <w:color w:val="auto"/>
          <w:sz w:val="28"/>
          <w:szCs w:val="28"/>
          <w:highlight w:val="none"/>
        </w:rPr>
        <w:t>为全权代表，参加贵单位组织的</w:t>
      </w:r>
      <w:r>
        <w:rPr>
          <w:rFonts w:hint="eastAsia" w:hAnsi="宋体" w:cs="宋体"/>
          <w:color w:val="auto"/>
          <w:kern w:val="0"/>
          <w:sz w:val="28"/>
          <w:szCs w:val="28"/>
          <w:highlight w:val="none"/>
          <w:u w:val="single"/>
          <w:lang w:eastAsia="zh-CN"/>
        </w:rPr>
        <w:t>浙江中医药大学文磊教授实验室改造项目</w:t>
      </w:r>
      <w:r>
        <w:rPr>
          <w:rFonts w:hint="eastAsia" w:ascii="宋体" w:hAnsi="宋体" w:eastAsia="宋体" w:cs="宋体"/>
          <w:color w:val="auto"/>
          <w:kern w:val="0"/>
          <w:sz w:val="28"/>
          <w:szCs w:val="28"/>
          <w:highlight w:val="none"/>
          <w:u w:val="single"/>
        </w:rPr>
        <w:t>（项目编号：</w:t>
      </w:r>
      <w:r>
        <w:rPr>
          <w:rFonts w:hint="eastAsia" w:hAnsi="宋体" w:cs="宋体"/>
          <w:color w:val="auto"/>
          <w:sz w:val="28"/>
          <w:szCs w:val="28"/>
          <w:highlight w:val="none"/>
          <w:u w:val="single"/>
          <w:lang w:eastAsia="zh-CN"/>
        </w:rPr>
        <w:t>CTZB-2025060529</w:t>
      </w:r>
      <w:r>
        <w:rPr>
          <w:rFonts w:hint="eastAsia" w:ascii="宋体" w:hAnsi="宋体" w:eastAsia="宋体" w:cs="宋体"/>
          <w:color w:val="auto"/>
          <w:sz w:val="28"/>
          <w:szCs w:val="28"/>
          <w:highlight w:val="none"/>
        </w:rPr>
        <w:t>）的采购，签署本项目相关磋商响应文件并全权处理磋商活动中的一切事宜。我单位承认全权代表做出的与本项目采购活动有关的全部行为。</w:t>
      </w:r>
    </w:p>
    <w:p w14:paraId="64732F49">
      <w:pPr>
        <w:pStyle w:val="6"/>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磋商响应供应商全称（盖单位公章）：</w:t>
      </w:r>
    </w:p>
    <w:p w14:paraId="45DC0DBF">
      <w:pPr>
        <w:pStyle w:val="6"/>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p>
    <w:p w14:paraId="08C8A7B0">
      <w:pPr>
        <w:pStyle w:val="6"/>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全权代表姓名：</w:t>
      </w:r>
    </w:p>
    <w:p w14:paraId="214064F7">
      <w:pPr>
        <w:pStyle w:val="6"/>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          电话：</w:t>
      </w:r>
    </w:p>
    <w:p w14:paraId="52DBBAA4">
      <w:pPr>
        <w:autoSpaceDN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全权代表身份证扫描件</w:t>
      </w:r>
    </w:p>
    <w:p w14:paraId="6DD1084B">
      <w:pPr>
        <w:autoSpaceDN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注：法人授权其公司员工签署及参加响应的，在磋商响应文件中出具此授权委托书，并附身份证扫描件。</w:t>
      </w:r>
    </w:p>
    <w:p w14:paraId="165048C6">
      <w:pPr>
        <w:autoSpaceDN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磋商响应文件格式中所提到的供应商代表是指以上两文件确定的签署人员。</w:t>
      </w:r>
    </w:p>
    <w:p w14:paraId="7EB507C7">
      <w:pPr>
        <w:autoSpaceDN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如参加磋商并在磋商过程中签署文件的人员与磋商响应供应商代表不一致，须另行提供授权书。</w:t>
      </w:r>
    </w:p>
    <w:p w14:paraId="587FED90">
      <w:pPr>
        <w:autoSpaceDN w:val="0"/>
        <w:spacing w:line="360" w:lineRule="auto"/>
        <w:ind w:firstLine="560" w:firstLineChars="200"/>
        <w:rPr>
          <w:rFonts w:hint="eastAsia" w:ascii="宋体" w:hAnsi="宋体" w:eastAsia="宋体" w:cs="宋体"/>
          <w:color w:val="auto"/>
          <w:sz w:val="28"/>
          <w:szCs w:val="28"/>
          <w:highlight w:val="none"/>
        </w:rPr>
        <w:sectPr>
          <w:footerReference r:id="rId10" w:type="first"/>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8D6265">
      <w:pPr>
        <w:pStyle w:val="2"/>
        <w:spacing w:before="120" w:after="120"/>
        <w:ind w:firstLine="240"/>
        <w:jc w:val="both"/>
        <w:rPr>
          <w:rFonts w:hint="eastAsia" w:ascii="宋体" w:hAnsi="宋体" w:eastAsia="宋体" w:cs="宋体"/>
          <w:color w:val="auto"/>
          <w:kern w:val="0"/>
          <w:highlight w:val="none"/>
        </w:rPr>
      </w:pPr>
      <w:bookmarkStart w:id="162" w:name="_Toc358842834"/>
      <w:r>
        <w:rPr>
          <w:rFonts w:hint="eastAsia" w:ascii="宋体" w:hAnsi="宋体" w:eastAsia="宋体" w:cs="宋体"/>
          <w:bCs/>
          <w:color w:val="auto"/>
          <w:kern w:val="0"/>
          <w:szCs w:val="24"/>
          <w:highlight w:val="none"/>
        </w:rPr>
        <w:t>2-4类似项目业绩汇总表及证明材料</w:t>
      </w:r>
    </w:p>
    <w:p w14:paraId="31C7F54E">
      <w:pPr>
        <w:autoSpaceDN w:val="0"/>
        <w:spacing w:before="24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0"/>
          <w:szCs w:val="44"/>
          <w:highlight w:val="none"/>
        </w:rPr>
        <w:t>类似项目业绩汇总表及证明材料</w:t>
      </w:r>
    </w:p>
    <w:p w14:paraId="454B5E18">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05D901C3">
      <w:pPr>
        <w:autoSpaceDN w:val="0"/>
        <w:spacing w:line="360" w:lineRule="auto"/>
        <w:rPr>
          <w:rFonts w:hint="eastAsia" w:ascii="宋体" w:hAnsi="宋体" w:eastAsia="宋体" w:cs="宋体"/>
          <w:color w:val="auto"/>
          <w:kern w:val="0"/>
          <w:sz w:val="24"/>
          <w:highlight w:val="none"/>
          <w:u w:val="singl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14:paraId="7BF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14:paraId="65FAFD44">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697" w:type="dxa"/>
            <w:noWrap/>
            <w:vAlign w:val="center"/>
          </w:tcPr>
          <w:p w14:paraId="4F513E50">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甲方单位</w:t>
            </w:r>
          </w:p>
        </w:tc>
        <w:tc>
          <w:tcPr>
            <w:tcW w:w="1559" w:type="dxa"/>
            <w:noWrap/>
            <w:vAlign w:val="center"/>
          </w:tcPr>
          <w:p w14:paraId="6CFE2FC7">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项目名称</w:t>
            </w:r>
          </w:p>
        </w:tc>
        <w:tc>
          <w:tcPr>
            <w:tcW w:w="1275" w:type="dxa"/>
            <w:noWrap/>
            <w:vAlign w:val="center"/>
          </w:tcPr>
          <w:p w14:paraId="2137AFE9">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合同金额</w:t>
            </w:r>
          </w:p>
        </w:tc>
        <w:tc>
          <w:tcPr>
            <w:tcW w:w="1134" w:type="dxa"/>
            <w:noWrap/>
            <w:vAlign w:val="center"/>
          </w:tcPr>
          <w:p w14:paraId="666A839E">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合同主要内容</w:t>
            </w:r>
          </w:p>
        </w:tc>
        <w:tc>
          <w:tcPr>
            <w:tcW w:w="1134" w:type="dxa"/>
            <w:noWrap/>
            <w:vAlign w:val="center"/>
          </w:tcPr>
          <w:p w14:paraId="49741A07">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合同签订时间</w:t>
            </w:r>
          </w:p>
        </w:tc>
        <w:tc>
          <w:tcPr>
            <w:tcW w:w="993" w:type="dxa"/>
            <w:noWrap/>
            <w:vAlign w:val="center"/>
          </w:tcPr>
          <w:p w14:paraId="1BF3265D">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甲方联系人</w:t>
            </w:r>
          </w:p>
        </w:tc>
        <w:tc>
          <w:tcPr>
            <w:tcW w:w="1040" w:type="dxa"/>
            <w:noWrap/>
            <w:vAlign w:val="center"/>
          </w:tcPr>
          <w:p w14:paraId="7E35701A">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甲方联系电话</w:t>
            </w:r>
          </w:p>
        </w:tc>
      </w:tr>
      <w:tr w14:paraId="555C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14:paraId="22BC4B1D">
            <w:pPr>
              <w:autoSpaceDN w:val="0"/>
              <w:jc w:val="center"/>
              <w:rPr>
                <w:rFonts w:hint="eastAsia" w:ascii="宋体" w:hAnsi="宋体" w:eastAsia="宋体" w:cs="宋体"/>
                <w:color w:val="auto"/>
                <w:sz w:val="24"/>
                <w:highlight w:val="none"/>
              </w:rPr>
            </w:pPr>
          </w:p>
        </w:tc>
        <w:tc>
          <w:tcPr>
            <w:tcW w:w="1697" w:type="dxa"/>
            <w:noWrap/>
            <w:vAlign w:val="center"/>
          </w:tcPr>
          <w:p w14:paraId="4801822B">
            <w:pPr>
              <w:autoSpaceDN w:val="0"/>
              <w:rPr>
                <w:rFonts w:hint="eastAsia" w:ascii="宋体" w:hAnsi="宋体" w:eastAsia="宋体" w:cs="宋体"/>
                <w:color w:val="auto"/>
                <w:sz w:val="24"/>
                <w:highlight w:val="none"/>
              </w:rPr>
            </w:pPr>
          </w:p>
        </w:tc>
        <w:tc>
          <w:tcPr>
            <w:tcW w:w="1559" w:type="dxa"/>
            <w:noWrap/>
            <w:vAlign w:val="center"/>
          </w:tcPr>
          <w:p w14:paraId="0B7AE01E">
            <w:pPr>
              <w:autoSpaceDN w:val="0"/>
              <w:rPr>
                <w:rFonts w:hint="eastAsia" w:ascii="宋体" w:hAnsi="宋体" w:eastAsia="宋体" w:cs="宋体"/>
                <w:color w:val="auto"/>
                <w:sz w:val="24"/>
                <w:highlight w:val="none"/>
              </w:rPr>
            </w:pPr>
          </w:p>
        </w:tc>
        <w:tc>
          <w:tcPr>
            <w:tcW w:w="1275" w:type="dxa"/>
            <w:noWrap/>
            <w:vAlign w:val="center"/>
          </w:tcPr>
          <w:p w14:paraId="6010D58E">
            <w:pPr>
              <w:autoSpaceDN w:val="0"/>
              <w:rPr>
                <w:rFonts w:hint="eastAsia" w:ascii="宋体" w:hAnsi="宋体" w:eastAsia="宋体" w:cs="宋体"/>
                <w:color w:val="auto"/>
                <w:sz w:val="24"/>
                <w:highlight w:val="none"/>
              </w:rPr>
            </w:pPr>
          </w:p>
        </w:tc>
        <w:tc>
          <w:tcPr>
            <w:tcW w:w="1134" w:type="dxa"/>
            <w:noWrap/>
            <w:vAlign w:val="center"/>
          </w:tcPr>
          <w:p w14:paraId="32CC17D3">
            <w:pPr>
              <w:autoSpaceDN w:val="0"/>
              <w:rPr>
                <w:rFonts w:hint="eastAsia" w:ascii="宋体" w:hAnsi="宋体" w:eastAsia="宋体" w:cs="宋体"/>
                <w:color w:val="auto"/>
                <w:sz w:val="24"/>
                <w:highlight w:val="none"/>
              </w:rPr>
            </w:pPr>
          </w:p>
        </w:tc>
        <w:tc>
          <w:tcPr>
            <w:tcW w:w="1134" w:type="dxa"/>
            <w:noWrap/>
            <w:vAlign w:val="center"/>
          </w:tcPr>
          <w:p w14:paraId="6852E430">
            <w:pPr>
              <w:autoSpaceDN w:val="0"/>
              <w:rPr>
                <w:rFonts w:hint="eastAsia" w:ascii="宋体" w:hAnsi="宋体" w:eastAsia="宋体" w:cs="宋体"/>
                <w:color w:val="auto"/>
                <w:sz w:val="24"/>
                <w:highlight w:val="none"/>
              </w:rPr>
            </w:pPr>
          </w:p>
        </w:tc>
        <w:tc>
          <w:tcPr>
            <w:tcW w:w="993" w:type="dxa"/>
            <w:noWrap/>
            <w:vAlign w:val="center"/>
          </w:tcPr>
          <w:p w14:paraId="5D29723D">
            <w:pPr>
              <w:autoSpaceDN w:val="0"/>
              <w:rPr>
                <w:rFonts w:hint="eastAsia" w:ascii="宋体" w:hAnsi="宋体" w:eastAsia="宋体" w:cs="宋体"/>
                <w:color w:val="auto"/>
                <w:sz w:val="24"/>
                <w:highlight w:val="none"/>
              </w:rPr>
            </w:pPr>
          </w:p>
        </w:tc>
        <w:tc>
          <w:tcPr>
            <w:tcW w:w="1040" w:type="dxa"/>
            <w:noWrap/>
            <w:vAlign w:val="center"/>
          </w:tcPr>
          <w:p w14:paraId="283DB9C0">
            <w:pPr>
              <w:autoSpaceDN w:val="0"/>
              <w:rPr>
                <w:rFonts w:hint="eastAsia" w:ascii="宋体" w:hAnsi="宋体" w:eastAsia="宋体" w:cs="宋体"/>
                <w:color w:val="auto"/>
                <w:sz w:val="24"/>
                <w:highlight w:val="none"/>
              </w:rPr>
            </w:pPr>
          </w:p>
        </w:tc>
      </w:tr>
      <w:tr w14:paraId="4167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0090BB6">
            <w:pPr>
              <w:autoSpaceDN w:val="0"/>
              <w:jc w:val="center"/>
              <w:rPr>
                <w:rFonts w:hint="eastAsia" w:ascii="宋体" w:hAnsi="宋体" w:eastAsia="宋体" w:cs="宋体"/>
                <w:color w:val="auto"/>
                <w:sz w:val="24"/>
                <w:highlight w:val="none"/>
              </w:rPr>
            </w:pPr>
          </w:p>
        </w:tc>
        <w:tc>
          <w:tcPr>
            <w:tcW w:w="1697" w:type="dxa"/>
            <w:noWrap/>
            <w:vAlign w:val="center"/>
          </w:tcPr>
          <w:p w14:paraId="3D4DBE27">
            <w:pPr>
              <w:autoSpaceDN w:val="0"/>
              <w:rPr>
                <w:rFonts w:hint="eastAsia" w:ascii="宋体" w:hAnsi="宋体" w:eastAsia="宋体" w:cs="宋体"/>
                <w:color w:val="auto"/>
                <w:sz w:val="24"/>
                <w:highlight w:val="none"/>
              </w:rPr>
            </w:pPr>
          </w:p>
        </w:tc>
        <w:tc>
          <w:tcPr>
            <w:tcW w:w="1559" w:type="dxa"/>
            <w:noWrap/>
            <w:vAlign w:val="center"/>
          </w:tcPr>
          <w:p w14:paraId="716EF99A">
            <w:pPr>
              <w:autoSpaceDN w:val="0"/>
              <w:rPr>
                <w:rFonts w:hint="eastAsia" w:ascii="宋体" w:hAnsi="宋体" w:eastAsia="宋体" w:cs="宋体"/>
                <w:color w:val="auto"/>
                <w:sz w:val="24"/>
                <w:highlight w:val="none"/>
              </w:rPr>
            </w:pPr>
          </w:p>
        </w:tc>
        <w:tc>
          <w:tcPr>
            <w:tcW w:w="1275" w:type="dxa"/>
            <w:noWrap/>
            <w:vAlign w:val="center"/>
          </w:tcPr>
          <w:p w14:paraId="0727FDDD">
            <w:pPr>
              <w:autoSpaceDN w:val="0"/>
              <w:rPr>
                <w:rFonts w:hint="eastAsia" w:ascii="宋体" w:hAnsi="宋体" w:eastAsia="宋体" w:cs="宋体"/>
                <w:color w:val="auto"/>
                <w:sz w:val="24"/>
                <w:highlight w:val="none"/>
              </w:rPr>
            </w:pPr>
          </w:p>
        </w:tc>
        <w:tc>
          <w:tcPr>
            <w:tcW w:w="1134" w:type="dxa"/>
            <w:noWrap/>
            <w:vAlign w:val="center"/>
          </w:tcPr>
          <w:p w14:paraId="5217C305">
            <w:pPr>
              <w:autoSpaceDN w:val="0"/>
              <w:rPr>
                <w:rFonts w:hint="eastAsia" w:ascii="宋体" w:hAnsi="宋体" w:eastAsia="宋体" w:cs="宋体"/>
                <w:color w:val="auto"/>
                <w:sz w:val="24"/>
                <w:highlight w:val="none"/>
              </w:rPr>
            </w:pPr>
          </w:p>
        </w:tc>
        <w:tc>
          <w:tcPr>
            <w:tcW w:w="1134" w:type="dxa"/>
            <w:noWrap/>
            <w:vAlign w:val="center"/>
          </w:tcPr>
          <w:p w14:paraId="0E199565">
            <w:pPr>
              <w:autoSpaceDN w:val="0"/>
              <w:rPr>
                <w:rFonts w:hint="eastAsia" w:ascii="宋体" w:hAnsi="宋体" w:eastAsia="宋体" w:cs="宋体"/>
                <w:color w:val="auto"/>
                <w:sz w:val="24"/>
                <w:highlight w:val="none"/>
              </w:rPr>
            </w:pPr>
          </w:p>
        </w:tc>
        <w:tc>
          <w:tcPr>
            <w:tcW w:w="993" w:type="dxa"/>
            <w:noWrap/>
            <w:vAlign w:val="center"/>
          </w:tcPr>
          <w:p w14:paraId="454DC5CC">
            <w:pPr>
              <w:autoSpaceDN w:val="0"/>
              <w:rPr>
                <w:rFonts w:hint="eastAsia" w:ascii="宋体" w:hAnsi="宋体" w:eastAsia="宋体" w:cs="宋体"/>
                <w:color w:val="auto"/>
                <w:sz w:val="24"/>
                <w:highlight w:val="none"/>
              </w:rPr>
            </w:pPr>
          </w:p>
        </w:tc>
        <w:tc>
          <w:tcPr>
            <w:tcW w:w="1040" w:type="dxa"/>
            <w:noWrap/>
            <w:vAlign w:val="center"/>
          </w:tcPr>
          <w:p w14:paraId="4EA1FCC9">
            <w:pPr>
              <w:autoSpaceDN w:val="0"/>
              <w:rPr>
                <w:rFonts w:hint="eastAsia" w:ascii="宋体" w:hAnsi="宋体" w:eastAsia="宋体" w:cs="宋体"/>
                <w:color w:val="auto"/>
                <w:sz w:val="24"/>
                <w:highlight w:val="none"/>
              </w:rPr>
            </w:pPr>
          </w:p>
        </w:tc>
      </w:tr>
      <w:tr w14:paraId="2C3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4EBFA20A">
            <w:pPr>
              <w:autoSpaceDN w:val="0"/>
              <w:jc w:val="center"/>
              <w:rPr>
                <w:rFonts w:hint="eastAsia" w:ascii="宋体" w:hAnsi="宋体" w:eastAsia="宋体" w:cs="宋体"/>
                <w:color w:val="auto"/>
                <w:sz w:val="24"/>
                <w:highlight w:val="none"/>
              </w:rPr>
            </w:pPr>
          </w:p>
        </w:tc>
        <w:tc>
          <w:tcPr>
            <w:tcW w:w="1697" w:type="dxa"/>
            <w:noWrap/>
            <w:vAlign w:val="center"/>
          </w:tcPr>
          <w:p w14:paraId="1ADF80ED">
            <w:pPr>
              <w:autoSpaceDN w:val="0"/>
              <w:rPr>
                <w:rFonts w:hint="eastAsia" w:ascii="宋体" w:hAnsi="宋体" w:eastAsia="宋体" w:cs="宋体"/>
                <w:color w:val="auto"/>
                <w:sz w:val="24"/>
                <w:highlight w:val="none"/>
              </w:rPr>
            </w:pPr>
          </w:p>
        </w:tc>
        <w:tc>
          <w:tcPr>
            <w:tcW w:w="1559" w:type="dxa"/>
            <w:noWrap/>
            <w:vAlign w:val="center"/>
          </w:tcPr>
          <w:p w14:paraId="5E520522">
            <w:pPr>
              <w:autoSpaceDN w:val="0"/>
              <w:rPr>
                <w:rFonts w:hint="eastAsia" w:ascii="宋体" w:hAnsi="宋体" w:eastAsia="宋体" w:cs="宋体"/>
                <w:color w:val="auto"/>
                <w:sz w:val="24"/>
                <w:highlight w:val="none"/>
              </w:rPr>
            </w:pPr>
          </w:p>
        </w:tc>
        <w:tc>
          <w:tcPr>
            <w:tcW w:w="1275" w:type="dxa"/>
            <w:noWrap/>
            <w:vAlign w:val="center"/>
          </w:tcPr>
          <w:p w14:paraId="0F0D16B4">
            <w:pPr>
              <w:autoSpaceDN w:val="0"/>
              <w:rPr>
                <w:rFonts w:hint="eastAsia" w:ascii="宋体" w:hAnsi="宋体" w:eastAsia="宋体" w:cs="宋体"/>
                <w:color w:val="auto"/>
                <w:sz w:val="24"/>
                <w:highlight w:val="none"/>
              </w:rPr>
            </w:pPr>
          </w:p>
        </w:tc>
        <w:tc>
          <w:tcPr>
            <w:tcW w:w="1134" w:type="dxa"/>
            <w:noWrap/>
            <w:vAlign w:val="center"/>
          </w:tcPr>
          <w:p w14:paraId="1BAEB2D6">
            <w:pPr>
              <w:autoSpaceDN w:val="0"/>
              <w:rPr>
                <w:rFonts w:hint="eastAsia" w:ascii="宋体" w:hAnsi="宋体" w:eastAsia="宋体" w:cs="宋体"/>
                <w:color w:val="auto"/>
                <w:sz w:val="24"/>
                <w:highlight w:val="none"/>
              </w:rPr>
            </w:pPr>
          </w:p>
        </w:tc>
        <w:tc>
          <w:tcPr>
            <w:tcW w:w="1134" w:type="dxa"/>
            <w:noWrap/>
            <w:vAlign w:val="center"/>
          </w:tcPr>
          <w:p w14:paraId="6C500F76">
            <w:pPr>
              <w:autoSpaceDN w:val="0"/>
              <w:rPr>
                <w:rFonts w:hint="eastAsia" w:ascii="宋体" w:hAnsi="宋体" w:eastAsia="宋体" w:cs="宋体"/>
                <w:color w:val="auto"/>
                <w:sz w:val="24"/>
                <w:highlight w:val="none"/>
              </w:rPr>
            </w:pPr>
          </w:p>
        </w:tc>
        <w:tc>
          <w:tcPr>
            <w:tcW w:w="993" w:type="dxa"/>
            <w:noWrap/>
            <w:vAlign w:val="center"/>
          </w:tcPr>
          <w:p w14:paraId="220D0802">
            <w:pPr>
              <w:autoSpaceDN w:val="0"/>
              <w:rPr>
                <w:rFonts w:hint="eastAsia" w:ascii="宋体" w:hAnsi="宋体" w:eastAsia="宋体" w:cs="宋体"/>
                <w:color w:val="auto"/>
                <w:sz w:val="24"/>
                <w:highlight w:val="none"/>
              </w:rPr>
            </w:pPr>
          </w:p>
        </w:tc>
        <w:tc>
          <w:tcPr>
            <w:tcW w:w="1040" w:type="dxa"/>
            <w:noWrap/>
            <w:vAlign w:val="center"/>
          </w:tcPr>
          <w:p w14:paraId="49791C4C">
            <w:pPr>
              <w:autoSpaceDN w:val="0"/>
              <w:rPr>
                <w:rFonts w:hint="eastAsia" w:ascii="宋体" w:hAnsi="宋体" w:eastAsia="宋体" w:cs="宋体"/>
                <w:color w:val="auto"/>
                <w:sz w:val="24"/>
                <w:highlight w:val="none"/>
              </w:rPr>
            </w:pPr>
          </w:p>
        </w:tc>
      </w:tr>
      <w:tr w14:paraId="5E48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34B5F7E">
            <w:pPr>
              <w:autoSpaceDN w:val="0"/>
              <w:jc w:val="center"/>
              <w:rPr>
                <w:rFonts w:hint="eastAsia" w:ascii="宋体" w:hAnsi="宋体" w:eastAsia="宋体" w:cs="宋体"/>
                <w:color w:val="auto"/>
                <w:sz w:val="24"/>
                <w:highlight w:val="none"/>
              </w:rPr>
            </w:pPr>
          </w:p>
        </w:tc>
        <w:tc>
          <w:tcPr>
            <w:tcW w:w="1697" w:type="dxa"/>
            <w:noWrap/>
            <w:vAlign w:val="center"/>
          </w:tcPr>
          <w:p w14:paraId="75144BE6">
            <w:pPr>
              <w:autoSpaceDN w:val="0"/>
              <w:rPr>
                <w:rFonts w:hint="eastAsia" w:ascii="宋体" w:hAnsi="宋体" w:eastAsia="宋体" w:cs="宋体"/>
                <w:color w:val="auto"/>
                <w:sz w:val="24"/>
                <w:highlight w:val="none"/>
              </w:rPr>
            </w:pPr>
          </w:p>
        </w:tc>
        <w:tc>
          <w:tcPr>
            <w:tcW w:w="1559" w:type="dxa"/>
            <w:noWrap/>
            <w:vAlign w:val="center"/>
          </w:tcPr>
          <w:p w14:paraId="75DA5607">
            <w:pPr>
              <w:autoSpaceDN w:val="0"/>
              <w:rPr>
                <w:rFonts w:hint="eastAsia" w:ascii="宋体" w:hAnsi="宋体" w:eastAsia="宋体" w:cs="宋体"/>
                <w:color w:val="auto"/>
                <w:sz w:val="24"/>
                <w:highlight w:val="none"/>
              </w:rPr>
            </w:pPr>
          </w:p>
        </w:tc>
        <w:tc>
          <w:tcPr>
            <w:tcW w:w="1275" w:type="dxa"/>
            <w:noWrap/>
            <w:vAlign w:val="center"/>
          </w:tcPr>
          <w:p w14:paraId="06594672">
            <w:pPr>
              <w:autoSpaceDN w:val="0"/>
              <w:rPr>
                <w:rFonts w:hint="eastAsia" w:ascii="宋体" w:hAnsi="宋体" w:eastAsia="宋体" w:cs="宋体"/>
                <w:color w:val="auto"/>
                <w:sz w:val="24"/>
                <w:highlight w:val="none"/>
              </w:rPr>
            </w:pPr>
          </w:p>
        </w:tc>
        <w:tc>
          <w:tcPr>
            <w:tcW w:w="1134" w:type="dxa"/>
            <w:noWrap/>
            <w:vAlign w:val="center"/>
          </w:tcPr>
          <w:p w14:paraId="5F6F4452">
            <w:pPr>
              <w:autoSpaceDN w:val="0"/>
              <w:rPr>
                <w:rFonts w:hint="eastAsia" w:ascii="宋体" w:hAnsi="宋体" w:eastAsia="宋体" w:cs="宋体"/>
                <w:color w:val="auto"/>
                <w:sz w:val="24"/>
                <w:highlight w:val="none"/>
              </w:rPr>
            </w:pPr>
          </w:p>
        </w:tc>
        <w:tc>
          <w:tcPr>
            <w:tcW w:w="1134" w:type="dxa"/>
            <w:noWrap/>
            <w:vAlign w:val="center"/>
          </w:tcPr>
          <w:p w14:paraId="5EFC57CF">
            <w:pPr>
              <w:autoSpaceDN w:val="0"/>
              <w:rPr>
                <w:rFonts w:hint="eastAsia" w:ascii="宋体" w:hAnsi="宋体" w:eastAsia="宋体" w:cs="宋体"/>
                <w:color w:val="auto"/>
                <w:sz w:val="24"/>
                <w:highlight w:val="none"/>
              </w:rPr>
            </w:pPr>
          </w:p>
        </w:tc>
        <w:tc>
          <w:tcPr>
            <w:tcW w:w="993" w:type="dxa"/>
            <w:noWrap/>
            <w:vAlign w:val="center"/>
          </w:tcPr>
          <w:p w14:paraId="2AB4FE5B">
            <w:pPr>
              <w:autoSpaceDN w:val="0"/>
              <w:rPr>
                <w:rFonts w:hint="eastAsia" w:ascii="宋体" w:hAnsi="宋体" w:eastAsia="宋体" w:cs="宋体"/>
                <w:color w:val="auto"/>
                <w:sz w:val="24"/>
                <w:highlight w:val="none"/>
              </w:rPr>
            </w:pPr>
          </w:p>
        </w:tc>
        <w:tc>
          <w:tcPr>
            <w:tcW w:w="1040" w:type="dxa"/>
            <w:noWrap/>
            <w:vAlign w:val="center"/>
          </w:tcPr>
          <w:p w14:paraId="75640455">
            <w:pPr>
              <w:autoSpaceDN w:val="0"/>
              <w:rPr>
                <w:rFonts w:hint="eastAsia" w:ascii="宋体" w:hAnsi="宋体" w:eastAsia="宋体" w:cs="宋体"/>
                <w:color w:val="auto"/>
                <w:sz w:val="24"/>
                <w:highlight w:val="none"/>
              </w:rPr>
            </w:pPr>
          </w:p>
        </w:tc>
      </w:tr>
      <w:tr w14:paraId="518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3D2A0F7E">
            <w:pPr>
              <w:autoSpaceDN w:val="0"/>
              <w:jc w:val="center"/>
              <w:rPr>
                <w:rFonts w:hint="eastAsia" w:ascii="宋体" w:hAnsi="宋体" w:eastAsia="宋体" w:cs="宋体"/>
                <w:color w:val="auto"/>
                <w:sz w:val="24"/>
                <w:highlight w:val="none"/>
              </w:rPr>
            </w:pPr>
          </w:p>
        </w:tc>
        <w:tc>
          <w:tcPr>
            <w:tcW w:w="1697" w:type="dxa"/>
            <w:noWrap/>
            <w:vAlign w:val="center"/>
          </w:tcPr>
          <w:p w14:paraId="0B80DC0E">
            <w:pPr>
              <w:autoSpaceDN w:val="0"/>
              <w:rPr>
                <w:rFonts w:hint="eastAsia" w:ascii="宋体" w:hAnsi="宋体" w:eastAsia="宋体" w:cs="宋体"/>
                <w:color w:val="auto"/>
                <w:sz w:val="24"/>
                <w:highlight w:val="none"/>
              </w:rPr>
            </w:pPr>
          </w:p>
        </w:tc>
        <w:tc>
          <w:tcPr>
            <w:tcW w:w="1559" w:type="dxa"/>
            <w:noWrap/>
            <w:vAlign w:val="center"/>
          </w:tcPr>
          <w:p w14:paraId="77DBB50B">
            <w:pPr>
              <w:autoSpaceDN w:val="0"/>
              <w:rPr>
                <w:rFonts w:hint="eastAsia" w:ascii="宋体" w:hAnsi="宋体" w:eastAsia="宋体" w:cs="宋体"/>
                <w:color w:val="auto"/>
                <w:sz w:val="24"/>
                <w:highlight w:val="none"/>
              </w:rPr>
            </w:pPr>
          </w:p>
        </w:tc>
        <w:tc>
          <w:tcPr>
            <w:tcW w:w="1275" w:type="dxa"/>
            <w:noWrap/>
            <w:vAlign w:val="center"/>
          </w:tcPr>
          <w:p w14:paraId="71E04760">
            <w:pPr>
              <w:autoSpaceDN w:val="0"/>
              <w:rPr>
                <w:rFonts w:hint="eastAsia" w:ascii="宋体" w:hAnsi="宋体" w:eastAsia="宋体" w:cs="宋体"/>
                <w:color w:val="auto"/>
                <w:sz w:val="24"/>
                <w:highlight w:val="none"/>
              </w:rPr>
            </w:pPr>
          </w:p>
        </w:tc>
        <w:tc>
          <w:tcPr>
            <w:tcW w:w="1134" w:type="dxa"/>
            <w:noWrap/>
            <w:vAlign w:val="center"/>
          </w:tcPr>
          <w:p w14:paraId="7C8F252C">
            <w:pPr>
              <w:autoSpaceDN w:val="0"/>
              <w:rPr>
                <w:rFonts w:hint="eastAsia" w:ascii="宋体" w:hAnsi="宋体" w:eastAsia="宋体" w:cs="宋体"/>
                <w:color w:val="auto"/>
                <w:sz w:val="24"/>
                <w:highlight w:val="none"/>
              </w:rPr>
            </w:pPr>
          </w:p>
        </w:tc>
        <w:tc>
          <w:tcPr>
            <w:tcW w:w="1134" w:type="dxa"/>
            <w:noWrap/>
            <w:vAlign w:val="center"/>
          </w:tcPr>
          <w:p w14:paraId="3C319DB2">
            <w:pPr>
              <w:autoSpaceDN w:val="0"/>
              <w:rPr>
                <w:rFonts w:hint="eastAsia" w:ascii="宋体" w:hAnsi="宋体" w:eastAsia="宋体" w:cs="宋体"/>
                <w:color w:val="auto"/>
                <w:sz w:val="24"/>
                <w:highlight w:val="none"/>
              </w:rPr>
            </w:pPr>
          </w:p>
        </w:tc>
        <w:tc>
          <w:tcPr>
            <w:tcW w:w="993" w:type="dxa"/>
            <w:noWrap/>
            <w:vAlign w:val="center"/>
          </w:tcPr>
          <w:p w14:paraId="1A74CD40">
            <w:pPr>
              <w:autoSpaceDN w:val="0"/>
              <w:rPr>
                <w:rFonts w:hint="eastAsia" w:ascii="宋体" w:hAnsi="宋体" w:eastAsia="宋体" w:cs="宋体"/>
                <w:color w:val="auto"/>
                <w:sz w:val="24"/>
                <w:highlight w:val="none"/>
              </w:rPr>
            </w:pPr>
          </w:p>
        </w:tc>
        <w:tc>
          <w:tcPr>
            <w:tcW w:w="1040" w:type="dxa"/>
            <w:noWrap/>
            <w:vAlign w:val="center"/>
          </w:tcPr>
          <w:p w14:paraId="42A6FEE8">
            <w:pPr>
              <w:autoSpaceDN w:val="0"/>
              <w:rPr>
                <w:rFonts w:hint="eastAsia" w:ascii="宋体" w:hAnsi="宋体" w:eastAsia="宋体" w:cs="宋体"/>
                <w:color w:val="auto"/>
                <w:sz w:val="24"/>
                <w:highlight w:val="none"/>
              </w:rPr>
            </w:pPr>
          </w:p>
        </w:tc>
      </w:tr>
      <w:tr w14:paraId="6D03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BD3E244">
            <w:pPr>
              <w:autoSpaceDN w:val="0"/>
              <w:jc w:val="center"/>
              <w:rPr>
                <w:rFonts w:hint="eastAsia" w:ascii="宋体" w:hAnsi="宋体" w:eastAsia="宋体" w:cs="宋体"/>
                <w:color w:val="auto"/>
                <w:sz w:val="24"/>
                <w:highlight w:val="none"/>
              </w:rPr>
            </w:pPr>
          </w:p>
        </w:tc>
        <w:tc>
          <w:tcPr>
            <w:tcW w:w="1697" w:type="dxa"/>
            <w:noWrap/>
            <w:vAlign w:val="center"/>
          </w:tcPr>
          <w:p w14:paraId="31B0873E">
            <w:pPr>
              <w:autoSpaceDN w:val="0"/>
              <w:rPr>
                <w:rFonts w:hint="eastAsia" w:ascii="宋体" w:hAnsi="宋体" w:eastAsia="宋体" w:cs="宋体"/>
                <w:color w:val="auto"/>
                <w:sz w:val="24"/>
                <w:highlight w:val="none"/>
              </w:rPr>
            </w:pPr>
          </w:p>
        </w:tc>
        <w:tc>
          <w:tcPr>
            <w:tcW w:w="1559" w:type="dxa"/>
            <w:noWrap/>
            <w:vAlign w:val="center"/>
          </w:tcPr>
          <w:p w14:paraId="2F75E006">
            <w:pPr>
              <w:autoSpaceDN w:val="0"/>
              <w:rPr>
                <w:rFonts w:hint="eastAsia" w:ascii="宋体" w:hAnsi="宋体" w:eastAsia="宋体" w:cs="宋体"/>
                <w:color w:val="auto"/>
                <w:sz w:val="24"/>
                <w:highlight w:val="none"/>
              </w:rPr>
            </w:pPr>
          </w:p>
        </w:tc>
        <w:tc>
          <w:tcPr>
            <w:tcW w:w="1275" w:type="dxa"/>
            <w:noWrap/>
            <w:vAlign w:val="center"/>
          </w:tcPr>
          <w:p w14:paraId="6CDFE8BC">
            <w:pPr>
              <w:autoSpaceDN w:val="0"/>
              <w:rPr>
                <w:rFonts w:hint="eastAsia" w:ascii="宋体" w:hAnsi="宋体" w:eastAsia="宋体" w:cs="宋体"/>
                <w:color w:val="auto"/>
                <w:sz w:val="24"/>
                <w:highlight w:val="none"/>
              </w:rPr>
            </w:pPr>
          </w:p>
        </w:tc>
        <w:tc>
          <w:tcPr>
            <w:tcW w:w="1134" w:type="dxa"/>
            <w:noWrap/>
            <w:vAlign w:val="center"/>
          </w:tcPr>
          <w:p w14:paraId="2985FC6E">
            <w:pPr>
              <w:autoSpaceDN w:val="0"/>
              <w:rPr>
                <w:rFonts w:hint="eastAsia" w:ascii="宋体" w:hAnsi="宋体" w:eastAsia="宋体" w:cs="宋体"/>
                <w:color w:val="auto"/>
                <w:sz w:val="24"/>
                <w:highlight w:val="none"/>
              </w:rPr>
            </w:pPr>
          </w:p>
        </w:tc>
        <w:tc>
          <w:tcPr>
            <w:tcW w:w="1134" w:type="dxa"/>
            <w:noWrap/>
            <w:vAlign w:val="center"/>
          </w:tcPr>
          <w:p w14:paraId="095EC4BD">
            <w:pPr>
              <w:autoSpaceDN w:val="0"/>
              <w:rPr>
                <w:rFonts w:hint="eastAsia" w:ascii="宋体" w:hAnsi="宋体" w:eastAsia="宋体" w:cs="宋体"/>
                <w:color w:val="auto"/>
                <w:sz w:val="24"/>
                <w:highlight w:val="none"/>
              </w:rPr>
            </w:pPr>
          </w:p>
        </w:tc>
        <w:tc>
          <w:tcPr>
            <w:tcW w:w="993" w:type="dxa"/>
            <w:noWrap/>
            <w:vAlign w:val="center"/>
          </w:tcPr>
          <w:p w14:paraId="2882E099">
            <w:pPr>
              <w:autoSpaceDN w:val="0"/>
              <w:rPr>
                <w:rFonts w:hint="eastAsia" w:ascii="宋体" w:hAnsi="宋体" w:eastAsia="宋体" w:cs="宋体"/>
                <w:color w:val="auto"/>
                <w:sz w:val="24"/>
                <w:highlight w:val="none"/>
              </w:rPr>
            </w:pPr>
          </w:p>
        </w:tc>
        <w:tc>
          <w:tcPr>
            <w:tcW w:w="1040" w:type="dxa"/>
            <w:noWrap/>
            <w:vAlign w:val="center"/>
          </w:tcPr>
          <w:p w14:paraId="43F73BDA">
            <w:pPr>
              <w:autoSpaceDN w:val="0"/>
              <w:rPr>
                <w:rFonts w:hint="eastAsia" w:ascii="宋体" w:hAnsi="宋体" w:eastAsia="宋体" w:cs="宋体"/>
                <w:color w:val="auto"/>
                <w:sz w:val="24"/>
                <w:highlight w:val="none"/>
              </w:rPr>
            </w:pPr>
          </w:p>
        </w:tc>
      </w:tr>
      <w:tr w14:paraId="4AB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14:paraId="32EC8F19">
            <w:pPr>
              <w:autoSpaceDN w:val="0"/>
              <w:jc w:val="center"/>
              <w:rPr>
                <w:rFonts w:hint="eastAsia" w:ascii="宋体" w:hAnsi="宋体" w:eastAsia="宋体" w:cs="宋体"/>
                <w:color w:val="auto"/>
                <w:sz w:val="24"/>
                <w:highlight w:val="none"/>
              </w:rPr>
            </w:pPr>
          </w:p>
        </w:tc>
        <w:tc>
          <w:tcPr>
            <w:tcW w:w="1697" w:type="dxa"/>
            <w:noWrap/>
            <w:vAlign w:val="center"/>
          </w:tcPr>
          <w:p w14:paraId="5F012D59">
            <w:pPr>
              <w:autoSpaceDN w:val="0"/>
              <w:rPr>
                <w:rFonts w:hint="eastAsia" w:ascii="宋体" w:hAnsi="宋体" w:eastAsia="宋体" w:cs="宋体"/>
                <w:color w:val="auto"/>
                <w:sz w:val="24"/>
                <w:highlight w:val="none"/>
              </w:rPr>
            </w:pPr>
          </w:p>
        </w:tc>
        <w:tc>
          <w:tcPr>
            <w:tcW w:w="1559" w:type="dxa"/>
            <w:noWrap/>
            <w:vAlign w:val="center"/>
          </w:tcPr>
          <w:p w14:paraId="3B315281">
            <w:pPr>
              <w:autoSpaceDN w:val="0"/>
              <w:rPr>
                <w:rFonts w:hint="eastAsia" w:ascii="宋体" w:hAnsi="宋体" w:eastAsia="宋体" w:cs="宋体"/>
                <w:color w:val="auto"/>
                <w:sz w:val="24"/>
                <w:highlight w:val="none"/>
              </w:rPr>
            </w:pPr>
          </w:p>
        </w:tc>
        <w:tc>
          <w:tcPr>
            <w:tcW w:w="1275" w:type="dxa"/>
            <w:noWrap/>
            <w:vAlign w:val="center"/>
          </w:tcPr>
          <w:p w14:paraId="73AB35A5">
            <w:pPr>
              <w:autoSpaceDN w:val="0"/>
              <w:rPr>
                <w:rFonts w:hint="eastAsia" w:ascii="宋体" w:hAnsi="宋体" w:eastAsia="宋体" w:cs="宋体"/>
                <w:color w:val="auto"/>
                <w:sz w:val="24"/>
                <w:highlight w:val="none"/>
              </w:rPr>
            </w:pPr>
          </w:p>
        </w:tc>
        <w:tc>
          <w:tcPr>
            <w:tcW w:w="1134" w:type="dxa"/>
            <w:noWrap/>
            <w:vAlign w:val="center"/>
          </w:tcPr>
          <w:p w14:paraId="14C3F058">
            <w:pPr>
              <w:autoSpaceDN w:val="0"/>
              <w:rPr>
                <w:rFonts w:hint="eastAsia" w:ascii="宋体" w:hAnsi="宋体" w:eastAsia="宋体" w:cs="宋体"/>
                <w:color w:val="auto"/>
                <w:sz w:val="24"/>
                <w:highlight w:val="none"/>
              </w:rPr>
            </w:pPr>
          </w:p>
        </w:tc>
        <w:tc>
          <w:tcPr>
            <w:tcW w:w="1134" w:type="dxa"/>
            <w:noWrap/>
            <w:vAlign w:val="center"/>
          </w:tcPr>
          <w:p w14:paraId="59956ADD">
            <w:pPr>
              <w:autoSpaceDN w:val="0"/>
              <w:rPr>
                <w:rFonts w:hint="eastAsia" w:ascii="宋体" w:hAnsi="宋体" w:eastAsia="宋体" w:cs="宋体"/>
                <w:color w:val="auto"/>
                <w:sz w:val="24"/>
                <w:highlight w:val="none"/>
              </w:rPr>
            </w:pPr>
          </w:p>
        </w:tc>
        <w:tc>
          <w:tcPr>
            <w:tcW w:w="993" w:type="dxa"/>
            <w:noWrap/>
            <w:vAlign w:val="center"/>
          </w:tcPr>
          <w:p w14:paraId="74A43DD0">
            <w:pPr>
              <w:autoSpaceDN w:val="0"/>
              <w:rPr>
                <w:rFonts w:hint="eastAsia" w:ascii="宋体" w:hAnsi="宋体" w:eastAsia="宋体" w:cs="宋体"/>
                <w:color w:val="auto"/>
                <w:sz w:val="24"/>
                <w:highlight w:val="none"/>
              </w:rPr>
            </w:pPr>
          </w:p>
        </w:tc>
        <w:tc>
          <w:tcPr>
            <w:tcW w:w="1040" w:type="dxa"/>
            <w:noWrap/>
            <w:vAlign w:val="center"/>
          </w:tcPr>
          <w:p w14:paraId="5884186F">
            <w:pPr>
              <w:autoSpaceDN w:val="0"/>
              <w:rPr>
                <w:rFonts w:hint="eastAsia" w:ascii="宋体" w:hAnsi="宋体" w:eastAsia="宋体" w:cs="宋体"/>
                <w:color w:val="auto"/>
                <w:sz w:val="24"/>
                <w:highlight w:val="none"/>
              </w:rPr>
            </w:pPr>
          </w:p>
        </w:tc>
      </w:tr>
    </w:tbl>
    <w:p w14:paraId="66217FD5">
      <w:pPr>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2ED16273">
      <w:pPr>
        <w:autoSpaceDN w:val="0"/>
        <w:spacing w:line="360" w:lineRule="auto"/>
        <w:rPr>
          <w:rFonts w:hint="eastAsia" w:ascii="宋体" w:hAnsi="宋体" w:eastAsia="宋体" w:cs="宋体"/>
          <w:b/>
          <w:color w:val="auto"/>
          <w:w w:val="90"/>
          <w:kern w:val="0"/>
          <w:sz w:val="24"/>
          <w:highlight w:val="none"/>
        </w:rPr>
      </w:pPr>
      <w:r>
        <w:rPr>
          <w:rFonts w:hint="eastAsia" w:ascii="宋体" w:hAnsi="宋体" w:eastAsia="宋体" w:cs="宋体"/>
          <w:b/>
          <w:color w:val="auto"/>
          <w:sz w:val="24"/>
          <w:highlight w:val="none"/>
        </w:rPr>
        <w:t>（1）后附证明材料，</w:t>
      </w:r>
      <w:r>
        <w:rPr>
          <w:rFonts w:hint="eastAsia" w:ascii="宋体" w:hAnsi="宋体" w:eastAsia="宋体" w:cs="宋体"/>
          <w:b/>
          <w:color w:val="auto"/>
          <w:w w:val="90"/>
          <w:kern w:val="0"/>
          <w:sz w:val="24"/>
          <w:highlight w:val="none"/>
        </w:rPr>
        <w:t>证明材料详见评审办法要求。</w:t>
      </w:r>
    </w:p>
    <w:p w14:paraId="3770506C">
      <w:pPr>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（2）没有类似业绩的，此表可以不提供。</w:t>
      </w:r>
    </w:p>
    <w:p w14:paraId="303C9D09">
      <w:pPr>
        <w:autoSpaceDN w:val="0"/>
        <w:spacing w:line="360" w:lineRule="auto"/>
        <w:rPr>
          <w:rFonts w:hint="eastAsia" w:ascii="宋体" w:hAnsi="宋体" w:eastAsia="宋体" w:cs="宋体"/>
          <w:color w:val="auto"/>
          <w:sz w:val="24"/>
          <w:highlight w:val="none"/>
        </w:rPr>
      </w:pPr>
    </w:p>
    <w:p w14:paraId="210AE7F2">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1186AA8A">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0D76FA9B">
      <w:pPr>
        <w:autoSpaceDE w:val="0"/>
        <w:autoSpaceDN w:val="0"/>
        <w:adjustRightInd w:val="0"/>
        <w:spacing w:line="360" w:lineRule="auto"/>
        <w:ind w:firstLine="420"/>
        <w:jc w:val="left"/>
        <w:rPr>
          <w:rFonts w:hint="eastAsia" w:ascii="宋体" w:hAnsi="宋体" w:eastAsia="宋体" w:cs="宋体"/>
          <w:color w:val="auto"/>
          <w:w w:val="90"/>
          <w:kern w:val="0"/>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336B5F">
      <w:pPr>
        <w:pStyle w:val="2"/>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5</w:t>
      </w:r>
      <w:r>
        <w:rPr>
          <w:rFonts w:hint="eastAsia" w:ascii="宋体" w:hAnsi="宋体" w:eastAsia="宋体" w:cs="宋体"/>
          <w:bCs/>
          <w:color w:val="auto"/>
          <w:kern w:val="0"/>
          <w:szCs w:val="24"/>
          <w:highlight w:val="none"/>
        </w:rPr>
        <w:t xml:space="preserve"> 商务技术偏离表</w:t>
      </w:r>
    </w:p>
    <w:p w14:paraId="01C61E13">
      <w:pPr>
        <w:autoSpaceDN w:val="0"/>
        <w:spacing w:line="360" w:lineRule="auto"/>
        <w:jc w:val="center"/>
        <w:rPr>
          <w:rFonts w:hint="eastAsia" w:ascii="宋体" w:hAnsi="宋体" w:eastAsia="宋体" w:cs="宋体"/>
          <w:b/>
          <w:color w:val="auto"/>
          <w:kern w:val="0"/>
          <w:sz w:val="44"/>
          <w:szCs w:val="28"/>
          <w:highlight w:val="none"/>
        </w:rPr>
      </w:pPr>
      <w:r>
        <w:rPr>
          <w:rFonts w:hint="eastAsia" w:ascii="宋体" w:hAnsi="宋体" w:eastAsia="宋体" w:cs="宋体"/>
          <w:b/>
          <w:color w:val="auto"/>
          <w:kern w:val="0"/>
          <w:sz w:val="44"/>
          <w:szCs w:val="28"/>
          <w:highlight w:val="none"/>
        </w:rPr>
        <w:t>商务技术偏离表</w:t>
      </w:r>
    </w:p>
    <w:p w14:paraId="453F6DC7">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606E274F">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3AD2D0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14:paraId="17688438">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565" w:type="dxa"/>
            <w:tcBorders>
              <w:top w:val="single" w:color="auto" w:sz="2" w:space="0"/>
            </w:tcBorders>
            <w:noWrap/>
            <w:vAlign w:val="center"/>
          </w:tcPr>
          <w:p w14:paraId="115389DB">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磋商文件要求</w:t>
            </w:r>
          </w:p>
        </w:tc>
        <w:tc>
          <w:tcPr>
            <w:tcW w:w="2606" w:type="dxa"/>
            <w:tcBorders>
              <w:top w:val="single" w:color="auto" w:sz="2" w:space="0"/>
            </w:tcBorders>
            <w:noWrap/>
            <w:vAlign w:val="center"/>
          </w:tcPr>
          <w:p w14:paraId="0B209B34">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响应情况</w:t>
            </w:r>
          </w:p>
        </w:tc>
        <w:tc>
          <w:tcPr>
            <w:tcW w:w="1437" w:type="dxa"/>
            <w:tcBorders>
              <w:top w:val="single" w:color="auto" w:sz="2" w:space="0"/>
            </w:tcBorders>
            <w:noWrap/>
            <w:vAlign w:val="center"/>
          </w:tcPr>
          <w:p w14:paraId="1B1AF236">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正/负偏离</w:t>
            </w:r>
          </w:p>
        </w:tc>
        <w:tc>
          <w:tcPr>
            <w:tcW w:w="1857" w:type="dxa"/>
            <w:tcBorders>
              <w:top w:val="single" w:color="auto" w:sz="2" w:space="0"/>
              <w:right w:val="single" w:color="auto" w:sz="2" w:space="0"/>
            </w:tcBorders>
            <w:noWrap/>
            <w:vAlign w:val="center"/>
          </w:tcPr>
          <w:p w14:paraId="4826D98F">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理由</w:t>
            </w:r>
          </w:p>
        </w:tc>
      </w:tr>
      <w:tr w14:paraId="473142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2EEE53D7">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565" w:type="dxa"/>
            <w:noWrap/>
            <w:vAlign w:val="center"/>
          </w:tcPr>
          <w:p w14:paraId="4A9792FF">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C4D2DD8">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9D678E8">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399A2637">
            <w:pPr>
              <w:autoSpaceDN w:val="0"/>
              <w:spacing w:line="400" w:lineRule="exact"/>
              <w:jc w:val="center"/>
              <w:rPr>
                <w:rFonts w:hint="eastAsia" w:ascii="宋体" w:hAnsi="宋体" w:eastAsia="宋体" w:cs="宋体"/>
                <w:bCs/>
                <w:color w:val="auto"/>
                <w:kern w:val="0"/>
                <w:sz w:val="24"/>
                <w:highlight w:val="none"/>
              </w:rPr>
            </w:pPr>
          </w:p>
        </w:tc>
      </w:tr>
      <w:tr w14:paraId="69C3A8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DF63416">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565" w:type="dxa"/>
            <w:noWrap/>
            <w:vAlign w:val="center"/>
          </w:tcPr>
          <w:p w14:paraId="460B17D4">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663BD9E5">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04B32640">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2F5083B">
            <w:pPr>
              <w:autoSpaceDN w:val="0"/>
              <w:spacing w:line="400" w:lineRule="exact"/>
              <w:jc w:val="center"/>
              <w:rPr>
                <w:rFonts w:hint="eastAsia" w:ascii="宋体" w:hAnsi="宋体" w:eastAsia="宋体" w:cs="宋体"/>
                <w:bCs/>
                <w:color w:val="auto"/>
                <w:kern w:val="0"/>
                <w:sz w:val="24"/>
                <w:highlight w:val="none"/>
              </w:rPr>
            </w:pPr>
          </w:p>
        </w:tc>
      </w:tr>
      <w:tr w14:paraId="78737C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2D52770">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p>
        </w:tc>
        <w:tc>
          <w:tcPr>
            <w:tcW w:w="2565" w:type="dxa"/>
            <w:noWrap/>
            <w:vAlign w:val="center"/>
          </w:tcPr>
          <w:p w14:paraId="1F944AA5">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77055A52">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08B13DE7">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249DB89E">
            <w:pPr>
              <w:autoSpaceDN w:val="0"/>
              <w:spacing w:line="400" w:lineRule="exact"/>
              <w:jc w:val="center"/>
              <w:rPr>
                <w:rFonts w:hint="eastAsia" w:ascii="宋体" w:hAnsi="宋体" w:eastAsia="宋体" w:cs="宋体"/>
                <w:bCs/>
                <w:color w:val="auto"/>
                <w:kern w:val="0"/>
                <w:sz w:val="24"/>
                <w:highlight w:val="none"/>
              </w:rPr>
            </w:pPr>
          </w:p>
        </w:tc>
      </w:tr>
      <w:tr w14:paraId="721237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51E81860">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3B336ECC">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66ACAFF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1FDBD8E">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5AF129C8">
            <w:pPr>
              <w:autoSpaceDN w:val="0"/>
              <w:spacing w:line="400" w:lineRule="exact"/>
              <w:jc w:val="center"/>
              <w:rPr>
                <w:rFonts w:hint="eastAsia" w:ascii="宋体" w:hAnsi="宋体" w:eastAsia="宋体" w:cs="宋体"/>
                <w:bCs/>
                <w:color w:val="auto"/>
                <w:kern w:val="0"/>
                <w:sz w:val="24"/>
                <w:highlight w:val="none"/>
              </w:rPr>
            </w:pPr>
          </w:p>
        </w:tc>
      </w:tr>
      <w:tr w14:paraId="26A99E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7D423A1">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2345540">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01592B1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C9775DC">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8B3929F">
            <w:pPr>
              <w:autoSpaceDN w:val="0"/>
              <w:spacing w:line="400" w:lineRule="exact"/>
              <w:jc w:val="center"/>
              <w:rPr>
                <w:rFonts w:hint="eastAsia" w:ascii="宋体" w:hAnsi="宋体" w:eastAsia="宋体" w:cs="宋体"/>
                <w:bCs/>
                <w:color w:val="auto"/>
                <w:kern w:val="0"/>
                <w:sz w:val="24"/>
                <w:highlight w:val="none"/>
              </w:rPr>
            </w:pPr>
          </w:p>
        </w:tc>
      </w:tr>
      <w:tr w14:paraId="631C1F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CDC1DFB">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3A566CDA">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34C4C802">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5A956EC0">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2B5A0AB">
            <w:pPr>
              <w:autoSpaceDN w:val="0"/>
              <w:spacing w:line="400" w:lineRule="exact"/>
              <w:jc w:val="center"/>
              <w:rPr>
                <w:rFonts w:hint="eastAsia" w:ascii="宋体" w:hAnsi="宋体" w:eastAsia="宋体" w:cs="宋体"/>
                <w:bCs/>
                <w:color w:val="auto"/>
                <w:kern w:val="0"/>
                <w:sz w:val="24"/>
                <w:highlight w:val="none"/>
              </w:rPr>
            </w:pPr>
          </w:p>
        </w:tc>
      </w:tr>
      <w:tr w14:paraId="4398FA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31A1C99">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29808DA">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175C42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2E22BACB">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0D7868C1">
            <w:pPr>
              <w:autoSpaceDN w:val="0"/>
              <w:spacing w:line="400" w:lineRule="exact"/>
              <w:jc w:val="center"/>
              <w:rPr>
                <w:rFonts w:hint="eastAsia" w:ascii="宋体" w:hAnsi="宋体" w:eastAsia="宋体" w:cs="宋体"/>
                <w:bCs/>
                <w:color w:val="auto"/>
                <w:kern w:val="0"/>
                <w:sz w:val="24"/>
                <w:highlight w:val="none"/>
              </w:rPr>
            </w:pPr>
          </w:p>
        </w:tc>
      </w:tr>
      <w:tr w14:paraId="7658E4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C84CEF7">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28555E23">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72B81E83">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5586A7E6">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3D4F487F">
            <w:pPr>
              <w:autoSpaceDN w:val="0"/>
              <w:spacing w:line="400" w:lineRule="exact"/>
              <w:jc w:val="center"/>
              <w:rPr>
                <w:rFonts w:hint="eastAsia" w:ascii="宋体" w:hAnsi="宋体" w:eastAsia="宋体" w:cs="宋体"/>
                <w:bCs/>
                <w:color w:val="auto"/>
                <w:kern w:val="0"/>
                <w:sz w:val="24"/>
                <w:highlight w:val="none"/>
              </w:rPr>
            </w:pPr>
          </w:p>
        </w:tc>
      </w:tr>
      <w:tr w14:paraId="2BF0B2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54C3314">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9F32026">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222541A">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71123016">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034732DD">
            <w:pPr>
              <w:autoSpaceDN w:val="0"/>
              <w:spacing w:line="400" w:lineRule="exact"/>
              <w:jc w:val="center"/>
              <w:rPr>
                <w:rFonts w:hint="eastAsia" w:ascii="宋体" w:hAnsi="宋体" w:eastAsia="宋体" w:cs="宋体"/>
                <w:bCs/>
                <w:color w:val="auto"/>
                <w:kern w:val="0"/>
                <w:sz w:val="24"/>
                <w:highlight w:val="none"/>
              </w:rPr>
            </w:pPr>
          </w:p>
        </w:tc>
      </w:tr>
      <w:tr w14:paraId="2017F3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14:paraId="2272F2EB">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tcBorders>
              <w:bottom w:val="single" w:color="auto" w:sz="2" w:space="0"/>
            </w:tcBorders>
            <w:noWrap/>
            <w:vAlign w:val="center"/>
          </w:tcPr>
          <w:p w14:paraId="32692600">
            <w:pPr>
              <w:autoSpaceDN w:val="0"/>
              <w:spacing w:line="400" w:lineRule="exact"/>
              <w:jc w:val="center"/>
              <w:rPr>
                <w:rFonts w:hint="eastAsia" w:ascii="宋体" w:hAnsi="宋体" w:eastAsia="宋体" w:cs="宋体"/>
                <w:bCs/>
                <w:color w:val="auto"/>
                <w:kern w:val="0"/>
                <w:sz w:val="24"/>
                <w:highlight w:val="none"/>
              </w:rPr>
            </w:pPr>
          </w:p>
        </w:tc>
        <w:tc>
          <w:tcPr>
            <w:tcW w:w="2606" w:type="dxa"/>
            <w:tcBorders>
              <w:bottom w:val="single" w:color="auto" w:sz="2" w:space="0"/>
            </w:tcBorders>
            <w:noWrap/>
            <w:vAlign w:val="center"/>
          </w:tcPr>
          <w:p w14:paraId="41DB8572">
            <w:pPr>
              <w:autoSpaceDN w:val="0"/>
              <w:spacing w:line="400" w:lineRule="exact"/>
              <w:jc w:val="center"/>
              <w:rPr>
                <w:rFonts w:hint="eastAsia" w:ascii="宋体" w:hAnsi="宋体" w:eastAsia="宋体" w:cs="宋体"/>
                <w:bCs/>
                <w:color w:val="auto"/>
                <w:kern w:val="0"/>
                <w:sz w:val="24"/>
                <w:highlight w:val="none"/>
              </w:rPr>
            </w:pPr>
          </w:p>
        </w:tc>
        <w:tc>
          <w:tcPr>
            <w:tcW w:w="1437" w:type="dxa"/>
            <w:tcBorders>
              <w:bottom w:val="single" w:color="auto" w:sz="2" w:space="0"/>
            </w:tcBorders>
            <w:noWrap/>
            <w:vAlign w:val="center"/>
          </w:tcPr>
          <w:p w14:paraId="2B848B64">
            <w:pPr>
              <w:autoSpaceDN w:val="0"/>
              <w:spacing w:line="400" w:lineRule="exact"/>
              <w:jc w:val="center"/>
              <w:rPr>
                <w:rFonts w:hint="eastAsia" w:ascii="宋体" w:hAnsi="宋体" w:eastAsia="宋体" w:cs="宋体"/>
                <w:bCs/>
                <w:color w:val="auto"/>
                <w:kern w:val="0"/>
                <w:sz w:val="24"/>
                <w:highlight w:val="none"/>
              </w:rPr>
            </w:pPr>
          </w:p>
        </w:tc>
        <w:tc>
          <w:tcPr>
            <w:tcW w:w="1857" w:type="dxa"/>
            <w:tcBorders>
              <w:bottom w:val="single" w:color="auto" w:sz="2" w:space="0"/>
              <w:right w:val="single" w:color="auto" w:sz="2" w:space="0"/>
            </w:tcBorders>
            <w:noWrap/>
            <w:vAlign w:val="center"/>
          </w:tcPr>
          <w:p w14:paraId="43464D23">
            <w:pPr>
              <w:autoSpaceDN w:val="0"/>
              <w:spacing w:line="400" w:lineRule="exact"/>
              <w:jc w:val="center"/>
              <w:rPr>
                <w:rFonts w:hint="eastAsia" w:ascii="宋体" w:hAnsi="宋体" w:eastAsia="宋体" w:cs="宋体"/>
                <w:bCs/>
                <w:color w:val="auto"/>
                <w:kern w:val="0"/>
                <w:sz w:val="24"/>
                <w:highlight w:val="none"/>
              </w:rPr>
            </w:pPr>
          </w:p>
        </w:tc>
      </w:tr>
    </w:tbl>
    <w:p w14:paraId="70210BF5">
      <w:pPr>
        <w:autoSpaceDN w:val="0"/>
        <w:spacing w:line="360" w:lineRule="auto"/>
        <w:rPr>
          <w:rFonts w:hint="eastAsia" w:ascii="宋体" w:hAnsi="宋体" w:eastAsia="宋体" w:cs="宋体"/>
          <w:b/>
          <w:color w:val="auto"/>
          <w:w w:val="90"/>
          <w:kern w:val="0"/>
          <w:sz w:val="24"/>
          <w:highlight w:val="none"/>
          <w:lang w:val="zh-CN"/>
        </w:rPr>
      </w:pPr>
      <w:r>
        <w:rPr>
          <w:rFonts w:hint="eastAsia" w:ascii="宋体" w:hAnsi="宋体" w:eastAsia="宋体" w:cs="宋体"/>
          <w:b/>
          <w:color w:val="auto"/>
          <w:w w:val="90"/>
          <w:kern w:val="0"/>
          <w:sz w:val="24"/>
          <w:highlight w:val="none"/>
          <w:lang w:val="zh-CN"/>
        </w:rPr>
        <w:t>备注：根据磋商文件要求，如有偏离均应填写偏离表，不填写或未提供偏离表均视为无偏离且完全响应磋商文件要求。</w:t>
      </w:r>
    </w:p>
    <w:p w14:paraId="728DC917">
      <w:pPr>
        <w:autoSpaceDN w:val="0"/>
        <w:rPr>
          <w:rFonts w:hint="eastAsia" w:ascii="宋体" w:hAnsi="宋体" w:eastAsia="宋体" w:cs="宋体"/>
          <w:color w:val="auto"/>
          <w:highlight w:val="none"/>
        </w:rPr>
      </w:pPr>
    </w:p>
    <w:p w14:paraId="3F0DA95A">
      <w:pPr>
        <w:pStyle w:val="68"/>
        <w:rPr>
          <w:rFonts w:hint="eastAsia" w:ascii="宋体" w:hAnsi="宋体" w:eastAsia="宋体" w:cs="宋体"/>
          <w:color w:val="auto"/>
          <w:highlight w:val="none"/>
        </w:rPr>
      </w:pPr>
    </w:p>
    <w:p w14:paraId="2264D437">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2D2D6D27">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5A3962CB">
      <w:pPr>
        <w:pStyle w:val="69"/>
        <w:wordWrap/>
        <w:autoSpaceDN w:val="0"/>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7ABBF3">
      <w:pPr>
        <w:pStyle w:val="2"/>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6</w:t>
      </w:r>
      <w:r>
        <w:rPr>
          <w:rFonts w:hint="eastAsia" w:ascii="宋体" w:hAnsi="宋体" w:eastAsia="宋体" w:cs="宋体"/>
          <w:bCs/>
          <w:color w:val="auto"/>
          <w:kern w:val="0"/>
          <w:szCs w:val="24"/>
          <w:highlight w:val="none"/>
        </w:rPr>
        <w:t xml:space="preserve"> 施工组织设计</w:t>
      </w:r>
    </w:p>
    <w:p w14:paraId="24863F49">
      <w:pPr>
        <w:tabs>
          <w:tab w:val="left" w:pos="720"/>
        </w:tabs>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90D3B2D">
      <w:pPr>
        <w:tabs>
          <w:tab w:val="left" w:pos="720"/>
        </w:tabs>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2、施工组织设计除采用文字表述外可附下列图表，图表及格式要求附后。</w:t>
      </w:r>
    </w:p>
    <w:p w14:paraId="30DFCCCC">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附表一  拟投入的主要施工设备表</w:t>
      </w:r>
    </w:p>
    <w:p w14:paraId="4F8C648C">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附表二  拟配备的试验和检测仪器设备表</w:t>
      </w:r>
    </w:p>
    <w:p w14:paraId="34470626">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附表三  项目管理班子配备情况表</w:t>
      </w:r>
    </w:p>
    <w:p w14:paraId="4E30D6C5">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附表四、项目经理简历表</w:t>
      </w:r>
    </w:p>
    <w:p w14:paraId="13F52F04">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附表五、技术负责人简历表</w:t>
      </w:r>
    </w:p>
    <w:p w14:paraId="4CE3A0D5">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附表六：计划开、竣工日期和施工进度网络图</w:t>
      </w:r>
    </w:p>
    <w:p w14:paraId="2AECF8A1">
      <w:pPr>
        <w:tabs>
          <w:tab w:val="left" w:pos="720"/>
        </w:tabs>
        <w:autoSpaceDN w:val="0"/>
        <w:spacing w:line="440" w:lineRule="exact"/>
        <w:jc w:val="left"/>
        <w:rPr>
          <w:rFonts w:hint="eastAsia" w:ascii="宋体" w:hAnsi="宋体" w:eastAsia="宋体" w:cs="宋体"/>
          <w:color w:val="auto"/>
          <w:sz w:val="22"/>
          <w:szCs w:val="22"/>
          <w:highlight w:val="none"/>
        </w:rPr>
      </w:pPr>
      <w:bookmarkStart w:id="163" w:name="_Toc144974865"/>
      <w:bookmarkStart w:id="164" w:name="_Toc179632817"/>
      <w:bookmarkStart w:id="165" w:name="_Toc246392155"/>
      <w:bookmarkStart w:id="166" w:name="_Toc152045797"/>
      <w:bookmarkStart w:id="167" w:name="_Toc152042586"/>
      <w:r>
        <w:rPr>
          <w:rFonts w:hint="eastAsia" w:ascii="宋体" w:hAnsi="宋体" w:eastAsia="宋体" w:cs="宋体"/>
          <w:b/>
          <w:bCs/>
          <w:color w:val="auto"/>
          <w:sz w:val="22"/>
          <w:szCs w:val="22"/>
          <w:highlight w:val="none"/>
        </w:rPr>
        <w:t>附表一：拟投入的主要施工设备表</w:t>
      </w:r>
      <w:bookmarkEnd w:id="163"/>
      <w:bookmarkEnd w:id="164"/>
      <w:bookmarkEnd w:id="165"/>
      <w:bookmarkEnd w:id="166"/>
      <w:bookmarkEnd w:id="167"/>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7D0B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14:paraId="39F9F893">
            <w:pPr>
              <w:autoSpaceDN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07" w:type="dxa"/>
            <w:noWrap/>
            <w:vAlign w:val="center"/>
          </w:tcPr>
          <w:p w14:paraId="1DEBB61D">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76" w:type="dxa"/>
            <w:noWrap/>
            <w:vAlign w:val="center"/>
          </w:tcPr>
          <w:p w14:paraId="424A0722">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3215045E">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802" w:type="dxa"/>
            <w:noWrap/>
            <w:vAlign w:val="center"/>
          </w:tcPr>
          <w:p w14:paraId="506F544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84" w:type="dxa"/>
            <w:noWrap/>
            <w:vAlign w:val="center"/>
          </w:tcPr>
          <w:p w14:paraId="767CD5F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6B9F7AA9">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54" w:type="dxa"/>
            <w:noWrap/>
            <w:vAlign w:val="center"/>
          </w:tcPr>
          <w:p w14:paraId="576C896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3F809FF5">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098" w:type="dxa"/>
            <w:noWrap/>
            <w:vAlign w:val="center"/>
          </w:tcPr>
          <w:p w14:paraId="2CD8EE63">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额定功率（KW）</w:t>
            </w:r>
          </w:p>
        </w:tc>
        <w:tc>
          <w:tcPr>
            <w:tcW w:w="892" w:type="dxa"/>
            <w:noWrap/>
            <w:vAlign w:val="center"/>
          </w:tcPr>
          <w:p w14:paraId="43104A18">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14:paraId="5C210DB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1035" w:type="dxa"/>
            <w:noWrap/>
            <w:vAlign w:val="center"/>
          </w:tcPr>
          <w:p w14:paraId="6011D2E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用于施工部位</w:t>
            </w:r>
          </w:p>
        </w:tc>
        <w:tc>
          <w:tcPr>
            <w:tcW w:w="699" w:type="dxa"/>
            <w:noWrap/>
            <w:vAlign w:val="center"/>
          </w:tcPr>
          <w:p w14:paraId="6C890AD0">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5E2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65FF0108">
            <w:pPr>
              <w:autoSpaceDN w:val="0"/>
              <w:spacing w:line="440" w:lineRule="exact"/>
              <w:jc w:val="center"/>
              <w:rPr>
                <w:rFonts w:hint="eastAsia" w:ascii="宋体" w:hAnsi="宋体" w:eastAsia="宋体" w:cs="宋体"/>
                <w:color w:val="auto"/>
                <w:sz w:val="22"/>
                <w:szCs w:val="22"/>
                <w:highlight w:val="none"/>
              </w:rPr>
            </w:pPr>
          </w:p>
        </w:tc>
        <w:tc>
          <w:tcPr>
            <w:tcW w:w="1107" w:type="dxa"/>
            <w:noWrap/>
            <w:vAlign w:val="center"/>
          </w:tcPr>
          <w:p w14:paraId="2B54594E">
            <w:pPr>
              <w:autoSpaceDN w:val="0"/>
              <w:spacing w:line="440" w:lineRule="exact"/>
              <w:jc w:val="center"/>
              <w:rPr>
                <w:rFonts w:hint="eastAsia" w:ascii="宋体" w:hAnsi="宋体" w:eastAsia="宋体" w:cs="宋体"/>
                <w:color w:val="auto"/>
                <w:sz w:val="22"/>
                <w:szCs w:val="22"/>
                <w:highlight w:val="none"/>
              </w:rPr>
            </w:pPr>
          </w:p>
        </w:tc>
        <w:tc>
          <w:tcPr>
            <w:tcW w:w="776" w:type="dxa"/>
            <w:noWrap/>
            <w:vAlign w:val="center"/>
          </w:tcPr>
          <w:p w14:paraId="60B61E94">
            <w:pPr>
              <w:autoSpaceDN w:val="0"/>
              <w:spacing w:line="440" w:lineRule="exact"/>
              <w:jc w:val="center"/>
              <w:rPr>
                <w:rFonts w:hint="eastAsia" w:ascii="宋体" w:hAnsi="宋体" w:eastAsia="宋体" w:cs="宋体"/>
                <w:color w:val="auto"/>
                <w:sz w:val="22"/>
                <w:szCs w:val="22"/>
                <w:highlight w:val="none"/>
              </w:rPr>
            </w:pPr>
          </w:p>
        </w:tc>
        <w:tc>
          <w:tcPr>
            <w:tcW w:w="802" w:type="dxa"/>
            <w:noWrap/>
            <w:vAlign w:val="center"/>
          </w:tcPr>
          <w:p w14:paraId="020CF297">
            <w:pPr>
              <w:autoSpaceDN w:val="0"/>
              <w:spacing w:line="440" w:lineRule="exact"/>
              <w:jc w:val="center"/>
              <w:rPr>
                <w:rFonts w:hint="eastAsia" w:ascii="宋体" w:hAnsi="宋体" w:eastAsia="宋体" w:cs="宋体"/>
                <w:color w:val="auto"/>
                <w:sz w:val="22"/>
                <w:szCs w:val="22"/>
                <w:highlight w:val="none"/>
              </w:rPr>
            </w:pPr>
          </w:p>
        </w:tc>
        <w:tc>
          <w:tcPr>
            <w:tcW w:w="684" w:type="dxa"/>
            <w:noWrap/>
            <w:vAlign w:val="center"/>
          </w:tcPr>
          <w:p w14:paraId="246ECDA0">
            <w:pPr>
              <w:autoSpaceDN w:val="0"/>
              <w:spacing w:line="440" w:lineRule="exact"/>
              <w:jc w:val="center"/>
              <w:rPr>
                <w:rFonts w:hint="eastAsia" w:ascii="宋体" w:hAnsi="宋体" w:eastAsia="宋体" w:cs="宋体"/>
                <w:color w:val="auto"/>
                <w:sz w:val="22"/>
                <w:szCs w:val="22"/>
                <w:highlight w:val="none"/>
              </w:rPr>
            </w:pPr>
          </w:p>
        </w:tc>
        <w:tc>
          <w:tcPr>
            <w:tcW w:w="754" w:type="dxa"/>
            <w:noWrap/>
            <w:vAlign w:val="center"/>
          </w:tcPr>
          <w:p w14:paraId="1B00895E">
            <w:pPr>
              <w:autoSpaceDN w:val="0"/>
              <w:spacing w:line="440" w:lineRule="exact"/>
              <w:jc w:val="center"/>
              <w:rPr>
                <w:rFonts w:hint="eastAsia" w:ascii="宋体" w:hAnsi="宋体" w:eastAsia="宋体" w:cs="宋体"/>
                <w:color w:val="auto"/>
                <w:sz w:val="22"/>
                <w:szCs w:val="22"/>
                <w:highlight w:val="none"/>
              </w:rPr>
            </w:pPr>
          </w:p>
        </w:tc>
        <w:tc>
          <w:tcPr>
            <w:tcW w:w="1098" w:type="dxa"/>
            <w:noWrap/>
            <w:vAlign w:val="center"/>
          </w:tcPr>
          <w:p w14:paraId="68E2D277">
            <w:pPr>
              <w:autoSpaceDN w:val="0"/>
              <w:spacing w:line="440" w:lineRule="exact"/>
              <w:jc w:val="center"/>
              <w:rPr>
                <w:rFonts w:hint="eastAsia" w:ascii="宋体" w:hAnsi="宋体" w:eastAsia="宋体" w:cs="宋体"/>
                <w:color w:val="auto"/>
                <w:sz w:val="22"/>
                <w:szCs w:val="22"/>
                <w:highlight w:val="none"/>
              </w:rPr>
            </w:pPr>
          </w:p>
        </w:tc>
        <w:tc>
          <w:tcPr>
            <w:tcW w:w="892" w:type="dxa"/>
            <w:noWrap/>
            <w:vAlign w:val="center"/>
          </w:tcPr>
          <w:p w14:paraId="0E6BF36A">
            <w:pPr>
              <w:autoSpaceDN w:val="0"/>
              <w:spacing w:line="440" w:lineRule="exact"/>
              <w:jc w:val="center"/>
              <w:rPr>
                <w:rFonts w:hint="eastAsia" w:ascii="宋体" w:hAnsi="宋体" w:eastAsia="宋体" w:cs="宋体"/>
                <w:color w:val="auto"/>
                <w:sz w:val="22"/>
                <w:szCs w:val="22"/>
                <w:highlight w:val="none"/>
              </w:rPr>
            </w:pPr>
          </w:p>
        </w:tc>
        <w:tc>
          <w:tcPr>
            <w:tcW w:w="1035" w:type="dxa"/>
            <w:noWrap/>
            <w:vAlign w:val="center"/>
          </w:tcPr>
          <w:p w14:paraId="71B22809">
            <w:pPr>
              <w:autoSpaceDN w:val="0"/>
              <w:spacing w:line="440" w:lineRule="exact"/>
              <w:jc w:val="center"/>
              <w:rPr>
                <w:rFonts w:hint="eastAsia" w:ascii="宋体" w:hAnsi="宋体" w:eastAsia="宋体" w:cs="宋体"/>
                <w:color w:val="auto"/>
                <w:sz w:val="22"/>
                <w:szCs w:val="22"/>
                <w:highlight w:val="none"/>
              </w:rPr>
            </w:pPr>
          </w:p>
        </w:tc>
        <w:tc>
          <w:tcPr>
            <w:tcW w:w="699" w:type="dxa"/>
            <w:noWrap/>
            <w:vAlign w:val="center"/>
          </w:tcPr>
          <w:p w14:paraId="5776858C">
            <w:pPr>
              <w:autoSpaceDN w:val="0"/>
              <w:spacing w:line="440" w:lineRule="exact"/>
              <w:jc w:val="center"/>
              <w:rPr>
                <w:rFonts w:hint="eastAsia" w:ascii="宋体" w:hAnsi="宋体" w:eastAsia="宋体" w:cs="宋体"/>
                <w:color w:val="auto"/>
                <w:sz w:val="22"/>
                <w:szCs w:val="22"/>
                <w:highlight w:val="none"/>
              </w:rPr>
            </w:pPr>
          </w:p>
        </w:tc>
      </w:tr>
      <w:tr w14:paraId="1763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2B5903CC">
            <w:pPr>
              <w:autoSpaceDN w:val="0"/>
              <w:spacing w:line="440" w:lineRule="exact"/>
              <w:jc w:val="center"/>
              <w:rPr>
                <w:rFonts w:hint="eastAsia" w:ascii="宋体" w:hAnsi="宋体" w:eastAsia="宋体" w:cs="宋体"/>
                <w:color w:val="auto"/>
                <w:sz w:val="22"/>
                <w:szCs w:val="22"/>
                <w:highlight w:val="none"/>
              </w:rPr>
            </w:pPr>
          </w:p>
        </w:tc>
        <w:tc>
          <w:tcPr>
            <w:tcW w:w="1107" w:type="dxa"/>
            <w:noWrap/>
            <w:vAlign w:val="center"/>
          </w:tcPr>
          <w:p w14:paraId="268D8D40">
            <w:pPr>
              <w:autoSpaceDN w:val="0"/>
              <w:spacing w:line="440" w:lineRule="exact"/>
              <w:jc w:val="center"/>
              <w:rPr>
                <w:rFonts w:hint="eastAsia" w:ascii="宋体" w:hAnsi="宋体" w:eastAsia="宋体" w:cs="宋体"/>
                <w:color w:val="auto"/>
                <w:sz w:val="22"/>
                <w:szCs w:val="22"/>
                <w:highlight w:val="none"/>
              </w:rPr>
            </w:pPr>
          </w:p>
        </w:tc>
        <w:tc>
          <w:tcPr>
            <w:tcW w:w="776" w:type="dxa"/>
            <w:noWrap/>
            <w:vAlign w:val="center"/>
          </w:tcPr>
          <w:p w14:paraId="2C540E7A">
            <w:pPr>
              <w:autoSpaceDN w:val="0"/>
              <w:spacing w:line="440" w:lineRule="exact"/>
              <w:jc w:val="center"/>
              <w:rPr>
                <w:rFonts w:hint="eastAsia" w:ascii="宋体" w:hAnsi="宋体" w:eastAsia="宋体" w:cs="宋体"/>
                <w:color w:val="auto"/>
                <w:sz w:val="22"/>
                <w:szCs w:val="22"/>
                <w:highlight w:val="none"/>
              </w:rPr>
            </w:pPr>
          </w:p>
        </w:tc>
        <w:tc>
          <w:tcPr>
            <w:tcW w:w="802" w:type="dxa"/>
            <w:noWrap/>
            <w:vAlign w:val="center"/>
          </w:tcPr>
          <w:p w14:paraId="19E91048">
            <w:pPr>
              <w:autoSpaceDN w:val="0"/>
              <w:spacing w:line="440" w:lineRule="exact"/>
              <w:jc w:val="center"/>
              <w:rPr>
                <w:rFonts w:hint="eastAsia" w:ascii="宋体" w:hAnsi="宋体" w:eastAsia="宋体" w:cs="宋体"/>
                <w:color w:val="auto"/>
                <w:sz w:val="22"/>
                <w:szCs w:val="22"/>
                <w:highlight w:val="none"/>
              </w:rPr>
            </w:pPr>
          </w:p>
        </w:tc>
        <w:tc>
          <w:tcPr>
            <w:tcW w:w="684" w:type="dxa"/>
            <w:noWrap/>
            <w:vAlign w:val="center"/>
          </w:tcPr>
          <w:p w14:paraId="0905BB46">
            <w:pPr>
              <w:autoSpaceDN w:val="0"/>
              <w:spacing w:line="440" w:lineRule="exact"/>
              <w:jc w:val="center"/>
              <w:rPr>
                <w:rFonts w:hint="eastAsia" w:ascii="宋体" w:hAnsi="宋体" w:eastAsia="宋体" w:cs="宋体"/>
                <w:color w:val="auto"/>
                <w:sz w:val="22"/>
                <w:szCs w:val="22"/>
                <w:highlight w:val="none"/>
              </w:rPr>
            </w:pPr>
          </w:p>
        </w:tc>
        <w:tc>
          <w:tcPr>
            <w:tcW w:w="754" w:type="dxa"/>
            <w:noWrap/>
            <w:vAlign w:val="center"/>
          </w:tcPr>
          <w:p w14:paraId="08E09398">
            <w:pPr>
              <w:autoSpaceDN w:val="0"/>
              <w:spacing w:line="440" w:lineRule="exact"/>
              <w:jc w:val="center"/>
              <w:rPr>
                <w:rFonts w:hint="eastAsia" w:ascii="宋体" w:hAnsi="宋体" w:eastAsia="宋体" w:cs="宋体"/>
                <w:color w:val="auto"/>
                <w:sz w:val="22"/>
                <w:szCs w:val="22"/>
                <w:highlight w:val="none"/>
              </w:rPr>
            </w:pPr>
          </w:p>
        </w:tc>
        <w:tc>
          <w:tcPr>
            <w:tcW w:w="1098" w:type="dxa"/>
            <w:noWrap/>
            <w:vAlign w:val="center"/>
          </w:tcPr>
          <w:p w14:paraId="5E891A48">
            <w:pPr>
              <w:autoSpaceDN w:val="0"/>
              <w:spacing w:line="440" w:lineRule="exact"/>
              <w:jc w:val="center"/>
              <w:rPr>
                <w:rFonts w:hint="eastAsia" w:ascii="宋体" w:hAnsi="宋体" w:eastAsia="宋体" w:cs="宋体"/>
                <w:color w:val="auto"/>
                <w:sz w:val="22"/>
                <w:szCs w:val="22"/>
                <w:highlight w:val="none"/>
              </w:rPr>
            </w:pPr>
          </w:p>
        </w:tc>
        <w:tc>
          <w:tcPr>
            <w:tcW w:w="892" w:type="dxa"/>
            <w:noWrap/>
            <w:vAlign w:val="center"/>
          </w:tcPr>
          <w:p w14:paraId="1951B2E6">
            <w:pPr>
              <w:autoSpaceDN w:val="0"/>
              <w:spacing w:line="440" w:lineRule="exact"/>
              <w:jc w:val="center"/>
              <w:rPr>
                <w:rFonts w:hint="eastAsia" w:ascii="宋体" w:hAnsi="宋体" w:eastAsia="宋体" w:cs="宋体"/>
                <w:color w:val="auto"/>
                <w:sz w:val="22"/>
                <w:szCs w:val="22"/>
                <w:highlight w:val="none"/>
              </w:rPr>
            </w:pPr>
          </w:p>
        </w:tc>
        <w:tc>
          <w:tcPr>
            <w:tcW w:w="1035" w:type="dxa"/>
            <w:noWrap/>
            <w:vAlign w:val="center"/>
          </w:tcPr>
          <w:p w14:paraId="619240E6">
            <w:pPr>
              <w:autoSpaceDN w:val="0"/>
              <w:spacing w:line="440" w:lineRule="exact"/>
              <w:jc w:val="center"/>
              <w:rPr>
                <w:rFonts w:hint="eastAsia" w:ascii="宋体" w:hAnsi="宋体" w:eastAsia="宋体" w:cs="宋体"/>
                <w:color w:val="auto"/>
                <w:sz w:val="22"/>
                <w:szCs w:val="22"/>
                <w:highlight w:val="none"/>
              </w:rPr>
            </w:pPr>
          </w:p>
        </w:tc>
        <w:tc>
          <w:tcPr>
            <w:tcW w:w="699" w:type="dxa"/>
            <w:noWrap/>
            <w:vAlign w:val="center"/>
          </w:tcPr>
          <w:p w14:paraId="67A0D55F">
            <w:pPr>
              <w:autoSpaceDN w:val="0"/>
              <w:spacing w:line="440" w:lineRule="exact"/>
              <w:jc w:val="center"/>
              <w:rPr>
                <w:rFonts w:hint="eastAsia" w:ascii="宋体" w:hAnsi="宋体" w:eastAsia="宋体" w:cs="宋体"/>
                <w:color w:val="auto"/>
                <w:sz w:val="22"/>
                <w:szCs w:val="22"/>
                <w:highlight w:val="none"/>
              </w:rPr>
            </w:pPr>
          </w:p>
        </w:tc>
      </w:tr>
      <w:tr w14:paraId="53B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14:paraId="7F99F16E">
            <w:pPr>
              <w:autoSpaceDN w:val="0"/>
              <w:spacing w:line="440" w:lineRule="exact"/>
              <w:jc w:val="center"/>
              <w:rPr>
                <w:rFonts w:hint="eastAsia" w:ascii="宋体" w:hAnsi="宋体" w:eastAsia="宋体" w:cs="宋体"/>
                <w:color w:val="auto"/>
                <w:sz w:val="22"/>
                <w:szCs w:val="22"/>
                <w:highlight w:val="none"/>
              </w:rPr>
            </w:pPr>
          </w:p>
        </w:tc>
        <w:tc>
          <w:tcPr>
            <w:tcW w:w="1107" w:type="dxa"/>
            <w:noWrap/>
          </w:tcPr>
          <w:p w14:paraId="59C8787A">
            <w:pPr>
              <w:autoSpaceDN w:val="0"/>
              <w:spacing w:line="440" w:lineRule="exact"/>
              <w:jc w:val="center"/>
              <w:rPr>
                <w:rFonts w:hint="eastAsia" w:ascii="宋体" w:hAnsi="宋体" w:eastAsia="宋体" w:cs="宋体"/>
                <w:color w:val="auto"/>
                <w:sz w:val="22"/>
                <w:szCs w:val="22"/>
                <w:highlight w:val="none"/>
              </w:rPr>
            </w:pPr>
          </w:p>
        </w:tc>
        <w:tc>
          <w:tcPr>
            <w:tcW w:w="776" w:type="dxa"/>
            <w:noWrap/>
          </w:tcPr>
          <w:p w14:paraId="4F1EBA19">
            <w:pPr>
              <w:autoSpaceDN w:val="0"/>
              <w:spacing w:line="440" w:lineRule="exact"/>
              <w:jc w:val="center"/>
              <w:rPr>
                <w:rFonts w:hint="eastAsia" w:ascii="宋体" w:hAnsi="宋体" w:eastAsia="宋体" w:cs="宋体"/>
                <w:color w:val="auto"/>
                <w:sz w:val="22"/>
                <w:szCs w:val="22"/>
                <w:highlight w:val="none"/>
              </w:rPr>
            </w:pPr>
          </w:p>
        </w:tc>
        <w:tc>
          <w:tcPr>
            <w:tcW w:w="802" w:type="dxa"/>
            <w:noWrap/>
          </w:tcPr>
          <w:p w14:paraId="4A351ABE">
            <w:pPr>
              <w:autoSpaceDN w:val="0"/>
              <w:spacing w:line="440" w:lineRule="exact"/>
              <w:jc w:val="center"/>
              <w:rPr>
                <w:rFonts w:hint="eastAsia" w:ascii="宋体" w:hAnsi="宋体" w:eastAsia="宋体" w:cs="宋体"/>
                <w:color w:val="auto"/>
                <w:sz w:val="22"/>
                <w:szCs w:val="22"/>
                <w:highlight w:val="none"/>
              </w:rPr>
            </w:pPr>
          </w:p>
        </w:tc>
        <w:tc>
          <w:tcPr>
            <w:tcW w:w="684" w:type="dxa"/>
            <w:noWrap/>
          </w:tcPr>
          <w:p w14:paraId="2B0D93D9">
            <w:pPr>
              <w:autoSpaceDN w:val="0"/>
              <w:spacing w:line="440" w:lineRule="exact"/>
              <w:jc w:val="center"/>
              <w:rPr>
                <w:rFonts w:hint="eastAsia" w:ascii="宋体" w:hAnsi="宋体" w:eastAsia="宋体" w:cs="宋体"/>
                <w:color w:val="auto"/>
                <w:sz w:val="22"/>
                <w:szCs w:val="22"/>
                <w:highlight w:val="none"/>
              </w:rPr>
            </w:pPr>
          </w:p>
        </w:tc>
        <w:tc>
          <w:tcPr>
            <w:tcW w:w="754" w:type="dxa"/>
            <w:noWrap/>
          </w:tcPr>
          <w:p w14:paraId="14EBD070">
            <w:pPr>
              <w:autoSpaceDN w:val="0"/>
              <w:spacing w:line="440" w:lineRule="exact"/>
              <w:jc w:val="center"/>
              <w:rPr>
                <w:rFonts w:hint="eastAsia" w:ascii="宋体" w:hAnsi="宋体" w:eastAsia="宋体" w:cs="宋体"/>
                <w:color w:val="auto"/>
                <w:sz w:val="22"/>
                <w:szCs w:val="22"/>
                <w:highlight w:val="none"/>
              </w:rPr>
            </w:pPr>
          </w:p>
        </w:tc>
        <w:tc>
          <w:tcPr>
            <w:tcW w:w="1098" w:type="dxa"/>
            <w:noWrap/>
          </w:tcPr>
          <w:p w14:paraId="23A0052A">
            <w:pPr>
              <w:autoSpaceDN w:val="0"/>
              <w:spacing w:line="440" w:lineRule="exact"/>
              <w:jc w:val="center"/>
              <w:rPr>
                <w:rFonts w:hint="eastAsia" w:ascii="宋体" w:hAnsi="宋体" w:eastAsia="宋体" w:cs="宋体"/>
                <w:color w:val="auto"/>
                <w:sz w:val="22"/>
                <w:szCs w:val="22"/>
                <w:highlight w:val="none"/>
              </w:rPr>
            </w:pPr>
          </w:p>
        </w:tc>
        <w:tc>
          <w:tcPr>
            <w:tcW w:w="892" w:type="dxa"/>
            <w:noWrap/>
          </w:tcPr>
          <w:p w14:paraId="32FB042C">
            <w:pPr>
              <w:autoSpaceDN w:val="0"/>
              <w:spacing w:line="440" w:lineRule="exact"/>
              <w:jc w:val="center"/>
              <w:rPr>
                <w:rFonts w:hint="eastAsia" w:ascii="宋体" w:hAnsi="宋体" w:eastAsia="宋体" w:cs="宋体"/>
                <w:color w:val="auto"/>
                <w:sz w:val="22"/>
                <w:szCs w:val="22"/>
                <w:highlight w:val="none"/>
              </w:rPr>
            </w:pPr>
          </w:p>
        </w:tc>
        <w:tc>
          <w:tcPr>
            <w:tcW w:w="1035" w:type="dxa"/>
            <w:noWrap/>
          </w:tcPr>
          <w:p w14:paraId="3B0E5BAA">
            <w:pPr>
              <w:autoSpaceDN w:val="0"/>
              <w:spacing w:line="440" w:lineRule="exact"/>
              <w:jc w:val="center"/>
              <w:rPr>
                <w:rFonts w:hint="eastAsia" w:ascii="宋体" w:hAnsi="宋体" w:eastAsia="宋体" w:cs="宋体"/>
                <w:color w:val="auto"/>
                <w:sz w:val="22"/>
                <w:szCs w:val="22"/>
                <w:highlight w:val="none"/>
              </w:rPr>
            </w:pPr>
          </w:p>
        </w:tc>
        <w:tc>
          <w:tcPr>
            <w:tcW w:w="699" w:type="dxa"/>
            <w:noWrap/>
          </w:tcPr>
          <w:p w14:paraId="3EEB3ED5">
            <w:pPr>
              <w:autoSpaceDN w:val="0"/>
              <w:spacing w:line="440" w:lineRule="exact"/>
              <w:jc w:val="center"/>
              <w:rPr>
                <w:rFonts w:hint="eastAsia" w:ascii="宋体" w:hAnsi="宋体" w:eastAsia="宋体" w:cs="宋体"/>
                <w:color w:val="auto"/>
                <w:sz w:val="22"/>
                <w:szCs w:val="22"/>
                <w:highlight w:val="none"/>
              </w:rPr>
            </w:pPr>
          </w:p>
        </w:tc>
      </w:tr>
    </w:tbl>
    <w:p w14:paraId="42709B8F">
      <w:pPr>
        <w:autoSpaceDN w:val="0"/>
        <w:spacing w:line="440" w:lineRule="exact"/>
        <w:rPr>
          <w:rFonts w:hint="eastAsia" w:ascii="宋体" w:hAnsi="宋体" w:eastAsia="宋体" w:cs="宋体"/>
          <w:color w:val="auto"/>
          <w:sz w:val="22"/>
          <w:szCs w:val="22"/>
          <w:highlight w:val="none"/>
        </w:rPr>
      </w:pPr>
    </w:p>
    <w:p w14:paraId="18A1CDBB">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68" w:name="_Toc152042587"/>
      <w:bookmarkStart w:id="169" w:name="_Toc179632818"/>
      <w:bookmarkStart w:id="170" w:name="_Toc152045798"/>
      <w:bookmarkStart w:id="171" w:name="_Toc144974866"/>
      <w:bookmarkStart w:id="172" w:name="_Toc246392156"/>
      <w:r>
        <w:rPr>
          <w:rFonts w:hint="eastAsia" w:ascii="宋体" w:hAnsi="宋体" w:eastAsia="宋体" w:cs="宋体"/>
          <w:b/>
          <w:bCs/>
          <w:color w:val="auto"/>
          <w:sz w:val="22"/>
          <w:szCs w:val="22"/>
          <w:highlight w:val="none"/>
        </w:rPr>
        <w:t>附表二：拟配备的试验和检测仪器设备表</w:t>
      </w:r>
      <w:bookmarkEnd w:id="168"/>
      <w:bookmarkEnd w:id="169"/>
      <w:bookmarkEnd w:id="170"/>
      <w:bookmarkEnd w:id="171"/>
      <w:bookmarkEnd w:id="172"/>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215B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14:paraId="7D2DEF50">
            <w:pPr>
              <w:autoSpaceDN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77" w:type="dxa"/>
            <w:noWrap/>
            <w:vAlign w:val="center"/>
          </w:tcPr>
          <w:p w14:paraId="650AD750">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仪器设备名称</w:t>
            </w:r>
          </w:p>
        </w:tc>
        <w:tc>
          <w:tcPr>
            <w:tcW w:w="822" w:type="dxa"/>
            <w:noWrap/>
            <w:vAlign w:val="center"/>
          </w:tcPr>
          <w:p w14:paraId="524F31B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AA10C8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073" w:type="dxa"/>
            <w:noWrap/>
            <w:vAlign w:val="center"/>
          </w:tcPr>
          <w:p w14:paraId="1C18DE5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27" w:type="dxa"/>
            <w:noWrap/>
            <w:vAlign w:val="center"/>
          </w:tcPr>
          <w:p w14:paraId="465B078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75649F4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00" w:type="dxa"/>
            <w:noWrap/>
            <w:vAlign w:val="center"/>
          </w:tcPr>
          <w:p w14:paraId="55866DE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7126759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12" w:type="dxa"/>
            <w:noWrap/>
            <w:vAlign w:val="center"/>
          </w:tcPr>
          <w:p w14:paraId="36F4F768">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已使用台时数</w:t>
            </w:r>
          </w:p>
        </w:tc>
        <w:tc>
          <w:tcPr>
            <w:tcW w:w="1151" w:type="dxa"/>
            <w:noWrap/>
            <w:vAlign w:val="center"/>
          </w:tcPr>
          <w:p w14:paraId="4D9DD2D9">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用途</w:t>
            </w:r>
          </w:p>
        </w:tc>
        <w:tc>
          <w:tcPr>
            <w:tcW w:w="742" w:type="dxa"/>
            <w:noWrap/>
            <w:vAlign w:val="center"/>
          </w:tcPr>
          <w:p w14:paraId="6D4DA64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142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1F1F9266">
            <w:pPr>
              <w:autoSpaceDN w:val="0"/>
              <w:spacing w:line="440" w:lineRule="exact"/>
              <w:jc w:val="center"/>
              <w:rPr>
                <w:rFonts w:hint="eastAsia" w:ascii="宋体" w:hAnsi="宋体" w:eastAsia="宋体" w:cs="宋体"/>
                <w:color w:val="auto"/>
                <w:sz w:val="22"/>
                <w:szCs w:val="22"/>
                <w:highlight w:val="none"/>
              </w:rPr>
            </w:pPr>
          </w:p>
        </w:tc>
        <w:tc>
          <w:tcPr>
            <w:tcW w:w="1177" w:type="dxa"/>
            <w:noWrap/>
            <w:vAlign w:val="center"/>
          </w:tcPr>
          <w:p w14:paraId="02B0BE30">
            <w:pPr>
              <w:autoSpaceDN w:val="0"/>
              <w:spacing w:line="440" w:lineRule="exact"/>
              <w:jc w:val="center"/>
              <w:rPr>
                <w:rFonts w:hint="eastAsia" w:ascii="宋体" w:hAnsi="宋体" w:eastAsia="宋体" w:cs="宋体"/>
                <w:color w:val="auto"/>
                <w:sz w:val="22"/>
                <w:szCs w:val="22"/>
                <w:highlight w:val="none"/>
              </w:rPr>
            </w:pPr>
          </w:p>
        </w:tc>
        <w:tc>
          <w:tcPr>
            <w:tcW w:w="822" w:type="dxa"/>
            <w:noWrap/>
            <w:vAlign w:val="center"/>
          </w:tcPr>
          <w:p w14:paraId="1B2A88F0">
            <w:pPr>
              <w:autoSpaceDN w:val="0"/>
              <w:spacing w:line="440" w:lineRule="exact"/>
              <w:jc w:val="center"/>
              <w:rPr>
                <w:rFonts w:hint="eastAsia" w:ascii="宋体" w:hAnsi="宋体" w:eastAsia="宋体" w:cs="宋体"/>
                <w:color w:val="auto"/>
                <w:sz w:val="22"/>
                <w:szCs w:val="22"/>
                <w:highlight w:val="none"/>
              </w:rPr>
            </w:pPr>
          </w:p>
        </w:tc>
        <w:tc>
          <w:tcPr>
            <w:tcW w:w="1073" w:type="dxa"/>
            <w:noWrap/>
            <w:vAlign w:val="center"/>
          </w:tcPr>
          <w:p w14:paraId="29511EC7">
            <w:pPr>
              <w:autoSpaceDN w:val="0"/>
              <w:spacing w:line="440" w:lineRule="exact"/>
              <w:jc w:val="center"/>
              <w:rPr>
                <w:rFonts w:hint="eastAsia" w:ascii="宋体" w:hAnsi="宋体" w:eastAsia="宋体" w:cs="宋体"/>
                <w:color w:val="auto"/>
                <w:sz w:val="22"/>
                <w:szCs w:val="22"/>
                <w:highlight w:val="none"/>
              </w:rPr>
            </w:pPr>
          </w:p>
        </w:tc>
        <w:tc>
          <w:tcPr>
            <w:tcW w:w="727" w:type="dxa"/>
            <w:noWrap/>
            <w:vAlign w:val="center"/>
          </w:tcPr>
          <w:p w14:paraId="47529B51">
            <w:pPr>
              <w:autoSpaceDN w:val="0"/>
              <w:spacing w:line="440" w:lineRule="exact"/>
              <w:jc w:val="center"/>
              <w:rPr>
                <w:rFonts w:hint="eastAsia" w:ascii="宋体" w:hAnsi="宋体" w:eastAsia="宋体" w:cs="宋体"/>
                <w:color w:val="auto"/>
                <w:sz w:val="22"/>
                <w:szCs w:val="22"/>
                <w:highlight w:val="none"/>
              </w:rPr>
            </w:pPr>
          </w:p>
        </w:tc>
        <w:tc>
          <w:tcPr>
            <w:tcW w:w="800" w:type="dxa"/>
            <w:noWrap/>
            <w:vAlign w:val="center"/>
          </w:tcPr>
          <w:p w14:paraId="1A208F30">
            <w:pPr>
              <w:autoSpaceDN w:val="0"/>
              <w:spacing w:line="440" w:lineRule="exact"/>
              <w:jc w:val="center"/>
              <w:rPr>
                <w:rFonts w:hint="eastAsia" w:ascii="宋体" w:hAnsi="宋体" w:eastAsia="宋体" w:cs="宋体"/>
                <w:color w:val="auto"/>
                <w:sz w:val="22"/>
                <w:szCs w:val="22"/>
                <w:highlight w:val="none"/>
              </w:rPr>
            </w:pPr>
          </w:p>
        </w:tc>
        <w:tc>
          <w:tcPr>
            <w:tcW w:w="1312" w:type="dxa"/>
            <w:noWrap/>
            <w:vAlign w:val="center"/>
          </w:tcPr>
          <w:p w14:paraId="56205958">
            <w:pPr>
              <w:autoSpaceDN w:val="0"/>
              <w:spacing w:line="440" w:lineRule="exact"/>
              <w:jc w:val="center"/>
              <w:rPr>
                <w:rFonts w:hint="eastAsia" w:ascii="宋体" w:hAnsi="宋体" w:eastAsia="宋体" w:cs="宋体"/>
                <w:color w:val="auto"/>
                <w:sz w:val="22"/>
                <w:szCs w:val="22"/>
                <w:highlight w:val="none"/>
              </w:rPr>
            </w:pPr>
          </w:p>
        </w:tc>
        <w:tc>
          <w:tcPr>
            <w:tcW w:w="1151" w:type="dxa"/>
            <w:noWrap/>
            <w:vAlign w:val="center"/>
          </w:tcPr>
          <w:p w14:paraId="26B61499">
            <w:pPr>
              <w:autoSpaceDN w:val="0"/>
              <w:spacing w:line="440" w:lineRule="exact"/>
              <w:jc w:val="center"/>
              <w:rPr>
                <w:rFonts w:hint="eastAsia" w:ascii="宋体" w:hAnsi="宋体" w:eastAsia="宋体" w:cs="宋体"/>
                <w:color w:val="auto"/>
                <w:sz w:val="22"/>
                <w:szCs w:val="22"/>
                <w:highlight w:val="none"/>
              </w:rPr>
            </w:pPr>
          </w:p>
        </w:tc>
        <w:tc>
          <w:tcPr>
            <w:tcW w:w="742" w:type="dxa"/>
            <w:noWrap/>
            <w:vAlign w:val="center"/>
          </w:tcPr>
          <w:p w14:paraId="5DBFC463">
            <w:pPr>
              <w:autoSpaceDN w:val="0"/>
              <w:spacing w:line="440" w:lineRule="exact"/>
              <w:jc w:val="center"/>
              <w:rPr>
                <w:rFonts w:hint="eastAsia" w:ascii="宋体" w:hAnsi="宋体" w:eastAsia="宋体" w:cs="宋体"/>
                <w:color w:val="auto"/>
                <w:sz w:val="22"/>
                <w:szCs w:val="22"/>
                <w:highlight w:val="none"/>
              </w:rPr>
            </w:pPr>
          </w:p>
        </w:tc>
      </w:tr>
      <w:tr w14:paraId="3622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3B16BD90">
            <w:pPr>
              <w:autoSpaceDN w:val="0"/>
              <w:spacing w:line="440" w:lineRule="exact"/>
              <w:jc w:val="center"/>
              <w:rPr>
                <w:rFonts w:hint="eastAsia" w:ascii="宋体" w:hAnsi="宋体" w:eastAsia="宋体" w:cs="宋体"/>
                <w:color w:val="auto"/>
                <w:sz w:val="22"/>
                <w:szCs w:val="22"/>
                <w:highlight w:val="none"/>
              </w:rPr>
            </w:pPr>
          </w:p>
        </w:tc>
        <w:tc>
          <w:tcPr>
            <w:tcW w:w="1177" w:type="dxa"/>
            <w:noWrap/>
            <w:vAlign w:val="center"/>
          </w:tcPr>
          <w:p w14:paraId="3EE31CDD">
            <w:pPr>
              <w:autoSpaceDN w:val="0"/>
              <w:spacing w:line="440" w:lineRule="exact"/>
              <w:jc w:val="center"/>
              <w:rPr>
                <w:rFonts w:hint="eastAsia" w:ascii="宋体" w:hAnsi="宋体" w:eastAsia="宋体" w:cs="宋体"/>
                <w:color w:val="auto"/>
                <w:sz w:val="22"/>
                <w:szCs w:val="22"/>
                <w:highlight w:val="none"/>
              </w:rPr>
            </w:pPr>
          </w:p>
        </w:tc>
        <w:tc>
          <w:tcPr>
            <w:tcW w:w="822" w:type="dxa"/>
            <w:noWrap/>
            <w:vAlign w:val="center"/>
          </w:tcPr>
          <w:p w14:paraId="7718CDCE">
            <w:pPr>
              <w:autoSpaceDN w:val="0"/>
              <w:spacing w:line="440" w:lineRule="exact"/>
              <w:jc w:val="center"/>
              <w:rPr>
                <w:rFonts w:hint="eastAsia" w:ascii="宋体" w:hAnsi="宋体" w:eastAsia="宋体" w:cs="宋体"/>
                <w:color w:val="auto"/>
                <w:sz w:val="22"/>
                <w:szCs w:val="22"/>
                <w:highlight w:val="none"/>
              </w:rPr>
            </w:pPr>
          </w:p>
        </w:tc>
        <w:tc>
          <w:tcPr>
            <w:tcW w:w="1073" w:type="dxa"/>
            <w:noWrap/>
            <w:vAlign w:val="center"/>
          </w:tcPr>
          <w:p w14:paraId="7B21B1EA">
            <w:pPr>
              <w:autoSpaceDN w:val="0"/>
              <w:spacing w:line="440" w:lineRule="exact"/>
              <w:jc w:val="center"/>
              <w:rPr>
                <w:rFonts w:hint="eastAsia" w:ascii="宋体" w:hAnsi="宋体" w:eastAsia="宋体" w:cs="宋体"/>
                <w:color w:val="auto"/>
                <w:sz w:val="22"/>
                <w:szCs w:val="22"/>
                <w:highlight w:val="none"/>
              </w:rPr>
            </w:pPr>
          </w:p>
        </w:tc>
        <w:tc>
          <w:tcPr>
            <w:tcW w:w="727" w:type="dxa"/>
            <w:noWrap/>
            <w:vAlign w:val="center"/>
          </w:tcPr>
          <w:p w14:paraId="6DA737A6">
            <w:pPr>
              <w:autoSpaceDN w:val="0"/>
              <w:spacing w:line="440" w:lineRule="exact"/>
              <w:jc w:val="center"/>
              <w:rPr>
                <w:rFonts w:hint="eastAsia" w:ascii="宋体" w:hAnsi="宋体" w:eastAsia="宋体" w:cs="宋体"/>
                <w:color w:val="auto"/>
                <w:sz w:val="22"/>
                <w:szCs w:val="22"/>
                <w:highlight w:val="none"/>
              </w:rPr>
            </w:pPr>
          </w:p>
        </w:tc>
        <w:tc>
          <w:tcPr>
            <w:tcW w:w="800" w:type="dxa"/>
            <w:noWrap/>
            <w:vAlign w:val="center"/>
          </w:tcPr>
          <w:p w14:paraId="0B95D9EF">
            <w:pPr>
              <w:autoSpaceDN w:val="0"/>
              <w:spacing w:line="440" w:lineRule="exact"/>
              <w:jc w:val="center"/>
              <w:rPr>
                <w:rFonts w:hint="eastAsia" w:ascii="宋体" w:hAnsi="宋体" w:eastAsia="宋体" w:cs="宋体"/>
                <w:color w:val="auto"/>
                <w:sz w:val="22"/>
                <w:szCs w:val="22"/>
                <w:highlight w:val="none"/>
              </w:rPr>
            </w:pPr>
          </w:p>
        </w:tc>
        <w:tc>
          <w:tcPr>
            <w:tcW w:w="1312" w:type="dxa"/>
            <w:noWrap/>
            <w:vAlign w:val="center"/>
          </w:tcPr>
          <w:p w14:paraId="62046DE2">
            <w:pPr>
              <w:autoSpaceDN w:val="0"/>
              <w:spacing w:line="440" w:lineRule="exact"/>
              <w:jc w:val="center"/>
              <w:rPr>
                <w:rFonts w:hint="eastAsia" w:ascii="宋体" w:hAnsi="宋体" w:eastAsia="宋体" w:cs="宋体"/>
                <w:color w:val="auto"/>
                <w:sz w:val="22"/>
                <w:szCs w:val="22"/>
                <w:highlight w:val="none"/>
              </w:rPr>
            </w:pPr>
          </w:p>
        </w:tc>
        <w:tc>
          <w:tcPr>
            <w:tcW w:w="1151" w:type="dxa"/>
            <w:noWrap/>
            <w:vAlign w:val="center"/>
          </w:tcPr>
          <w:p w14:paraId="5D6ADF9A">
            <w:pPr>
              <w:autoSpaceDN w:val="0"/>
              <w:spacing w:line="440" w:lineRule="exact"/>
              <w:jc w:val="center"/>
              <w:rPr>
                <w:rFonts w:hint="eastAsia" w:ascii="宋体" w:hAnsi="宋体" w:eastAsia="宋体" w:cs="宋体"/>
                <w:color w:val="auto"/>
                <w:sz w:val="22"/>
                <w:szCs w:val="22"/>
                <w:highlight w:val="none"/>
              </w:rPr>
            </w:pPr>
          </w:p>
        </w:tc>
        <w:tc>
          <w:tcPr>
            <w:tcW w:w="742" w:type="dxa"/>
            <w:noWrap/>
            <w:vAlign w:val="center"/>
          </w:tcPr>
          <w:p w14:paraId="0B777658">
            <w:pPr>
              <w:autoSpaceDN w:val="0"/>
              <w:spacing w:line="440" w:lineRule="exact"/>
              <w:jc w:val="center"/>
              <w:rPr>
                <w:rFonts w:hint="eastAsia" w:ascii="宋体" w:hAnsi="宋体" w:eastAsia="宋体" w:cs="宋体"/>
                <w:color w:val="auto"/>
                <w:sz w:val="22"/>
                <w:szCs w:val="22"/>
                <w:highlight w:val="none"/>
              </w:rPr>
            </w:pPr>
          </w:p>
        </w:tc>
      </w:tr>
      <w:tr w14:paraId="2E0B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14:paraId="1566990D">
            <w:pPr>
              <w:autoSpaceDN w:val="0"/>
              <w:spacing w:line="440" w:lineRule="exact"/>
              <w:jc w:val="center"/>
              <w:rPr>
                <w:rFonts w:hint="eastAsia" w:ascii="宋体" w:hAnsi="宋体" w:eastAsia="宋体" w:cs="宋体"/>
                <w:color w:val="auto"/>
                <w:sz w:val="22"/>
                <w:szCs w:val="22"/>
                <w:highlight w:val="none"/>
              </w:rPr>
            </w:pPr>
          </w:p>
        </w:tc>
        <w:tc>
          <w:tcPr>
            <w:tcW w:w="1177" w:type="dxa"/>
            <w:noWrap/>
          </w:tcPr>
          <w:p w14:paraId="315DB750">
            <w:pPr>
              <w:autoSpaceDN w:val="0"/>
              <w:spacing w:line="440" w:lineRule="exact"/>
              <w:jc w:val="center"/>
              <w:rPr>
                <w:rFonts w:hint="eastAsia" w:ascii="宋体" w:hAnsi="宋体" w:eastAsia="宋体" w:cs="宋体"/>
                <w:color w:val="auto"/>
                <w:sz w:val="22"/>
                <w:szCs w:val="22"/>
                <w:highlight w:val="none"/>
              </w:rPr>
            </w:pPr>
          </w:p>
        </w:tc>
        <w:tc>
          <w:tcPr>
            <w:tcW w:w="822" w:type="dxa"/>
            <w:noWrap/>
          </w:tcPr>
          <w:p w14:paraId="45DF8026">
            <w:pPr>
              <w:autoSpaceDN w:val="0"/>
              <w:spacing w:line="440" w:lineRule="exact"/>
              <w:jc w:val="center"/>
              <w:rPr>
                <w:rFonts w:hint="eastAsia" w:ascii="宋体" w:hAnsi="宋体" w:eastAsia="宋体" w:cs="宋体"/>
                <w:color w:val="auto"/>
                <w:sz w:val="22"/>
                <w:szCs w:val="22"/>
                <w:highlight w:val="none"/>
              </w:rPr>
            </w:pPr>
          </w:p>
        </w:tc>
        <w:tc>
          <w:tcPr>
            <w:tcW w:w="1073" w:type="dxa"/>
            <w:noWrap/>
          </w:tcPr>
          <w:p w14:paraId="64F3951C">
            <w:pPr>
              <w:autoSpaceDN w:val="0"/>
              <w:spacing w:line="440" w:lineRule="exact"/>
              <w:jc w:val="center"/>
              <w:rPr>
                <w:rFonts w:hint="eastAsia" w:ascii="宋体" w:hAnsi="宋体" w:eastAsia="宋体" w:cs="宋体"/>
                <w:color w:val="auto"/>
                <w:sz w:val="22"/>
                <w:szCs w:val="22"/>
                <w:highlight w:val="none"/>
              </w:rPr>
            </w:pPr>
          </w:p>
        </w:tc>
        <w:tc>
          <w:tcPr>
            <w:tcW w:w="727" w:type="dxa"/>
            <w:noWrap/>
          </w:tcPr>
          <w:p w14:paraId="3FACFB59">
            <w:pPr>
              <w:autoSpaceDN w:val="0"/>
              <w:spacing w:line="440" w:lineRule="exact"/>
              <w:jc w:val="center"/>
              <w:rPr>
                <w:rFonts w:hint="eastAsia" w:ascii="宋体" w:hAnsi="宋体" w:eastAsia="宋体" w:cs="宋体"/>
                <w:color w:val="auto"/>
                <w:sz w:val="22"/>
                <w:szCs w:val="22"/>
                <w:highlight w:val="none"/>
              </w:rPr>
            </w:pPr>
          </w:p>
        </w:tc>
        <w:tc>
          <w:tcPr>
            <w:tcW w:w="800" w:type="dxa"/>
            <w:noWrap/>
          </w:tcPr>
          <w:p w14:paraId="252E86CB">
            <w:pPr>
              <w:autoSpaceDN w:val="0"/>
              <w:spacing w:line="440" w:lineRule="exact"/>
              <w:jc w:val="center"/>
              <w:rPr>
                <w:rFonts w:hint="eastAsia" w:ascii="宋体" w:hAnsi="宋体" w:eastAsia="宋体" w:cs="宋体"/>
                <w:color w:val="auto"/>
                <w:sz w:val="22"/>
                <w:szCs w:val="22"/>
                <w:highlight w:val="none"/>
              </w:rPr>
            </w:pPr>
          </w:p>
        </w:tc>
        <w:tc>
          <w:tcPr>
            <w:tcW w:w="1312" w:type="dxa"/>
            <w:noWrap/>
          </w:tcPr>
          <w:p w14:paraId="60DB00F0">
            <w:pPr>
              <w:autoSpaceDN w:val="0"/>
              <w:spacing w:line="440" w:lineRule="exact"/>
              <w:jc w:val="center"/>
              <w:rPr>
                <w:rFonts w:hint="eastAsia" w:ascii="宋体" w:hAnsi="宋体" w:eastAsia="宋体" w:cs="宋体"/>
                <w:color w:val="auto"/>
                <w:sz w:val="22"/>
                <w:szCs w:val="22"/>
                <w:highlight w:val="none"/>
              </w:rPr>
            </w:pPr>
          </w:p>
        </w:tc>
        <w:tc>
          <w:tcPr>
            <w:tcW w:w="1151" w:type="dxa"/>
            <w:noWrap/>
          </w:tcPr>
          <w:p w14:paraId="0C07F9D7">
            <w:pPr>
              <w:autoSpaceDN w:val="0"/>
              <w:spacing w:line="440" w:lineRule="exact"/>
              <w:jc w:val="center"/>
              <w:rPr>
                <w:rFonts w:hint="eastAsia" w:ascii="宋体" w:hAnsi="宋体" w:eastAsia="宋体" w:cs="宋体"/>
                <w:color w:val="auto"/>
                <w:sz w:val="22"/>
                <w:szCs w:val="22"/>
                <w:highlight w:val="none"/>
              </w:rPr>
            </w:pPr>
          </w:p>
        </w:tc>
        <w:tc>
          <w:tcPr>
            <w:tcW w:w="742" w:type="dxa"/>
            <w:noWrap/>
          </w:tcPr>
          <w:p w14:paraId="15C45FFE">
            <w:pPr>
              <w:autoSpaceDN w:val="0"/>
              <w:spacing w:line="440" w:lineRule="exact"/>
              <w:jc w:val="center"/>
              <w:rPr>
                <w:rFonts w:hint="eastAsia" w:ascii="宋体" w:hAnsi="宋体" w:eastAsia="宋体" w:cs="宋体"/>
                <w:color w:val="auto"/>
                <w:sz w:val="22"/>
                <w:szCs w:val="22"/>
                <w:highlight w:val="none"/>
              </w:rPr>
            </w:pPr>
          </w:p>
        </w:tc>
      </w:tr>
      <w:tr w14:paraId="4D80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14:paraId="6B029D0E">
            <w:pPr>
              <w:autoSpaceDN w:val="0"/>
              <w:spacing w:line="440" w:lineRule="exact"/>
              <w:jc w:val="center"/>
              <w:rPr>
                <w:rFonts w:hint="eastAsia" w:ascii="宋体" w:hAnsi="宋体" w:eastAsia="宋体" w:cs="宋体"/>
                <w:color w:val="auto"/>
                <w:sz w:val="22"/>
                <w:szCs w:val="22"/>
                <w:highlight w:val="none"/>
              </w:rPr>
            </w:pPr>
          </w:p>
        </w:tc>
        <w:tc>
          <w:tcPr>
            <w:tcW w:w="1177" w:type="dxa"/>
            <w:noWrap/>
          </w:tcPr>
          <w:p w14:paraId="7F7CD2AC">
            <w:pPr>
              <w:autoSpaceDN w:val="0"/>
              <w:spacing w:line="440" w:lineRule="exact"/>
              <w:jc w:val="center"/>
              <w:rPr>
                <w:rFonts w:hint="eastAsia" w:ascii="宋体" w:hAnsi="宋体" w:eastAsia="宋体" w:cs="宋体"/>
                <w:color w:val="auto"/>
                <w:sz w:val="22"/>
                <w:szCs w:val="22"/>
                <w:highlight w:val="none"/>
              </w:rPr>
            </w:pPr>
          </w:p>
        </w:tc>
        <w:tc>
          <w:tcPr>
            <w:tcW w:w="822" w:type="dxa"/>
            <w:noWrap/>
          </w:tcPr>
          <w:p w14:paraId="24B67D3E">
            <w:pPr>
              <w:autoSpaceDN w:val="0"/>
              <w:spacing w:line="440" w:lineRule="exact"/>
              <w:jc w:val="center"/>
              <w:rPr>
                <w:rFonts w:hint="eastAsia" w:ascii="宋体" w:hAnsi="宋体" w:eastAsia="宋体" w:cs="宋体"/>
                <w:color w:val="auto"/>
                <w:sz w:val="22"/>
                <w:szCs w:val="22"/>
                <w:highlight w:val="none"/>
              </w:rPr>
            </w:pPr>
          </w:p>
        </w:tc>
        <w:tc>
          <w:tcPr>
            <w:tcW w:w="1073" w:type="dxa"/>
            <w:noWrap/>
          </w:tcPr>
          <w:p w14:paraId="543FE871">
            <w:pPr>
              <w:autoSpaceDN w:val="0"/>
              <w:spacing w:line="440" w:lineRule="exact"/>
              <w:jc w:val="center"/>
              <w:rPr>
                <w:rFonts w:hint="eastAsia" w:ascii="宋体" w:hAnsi="宋体" w:eastAsia="宋体" w:cs="宋体"/>
                <w:color w:val="auto"/>
                <w:sz w:val="22"/>
                <w:szCs w:val="22"/>
                <w:highlight w:val="none"/>
              </w:rPr>
            </w:pPr>
          </w:p>
        </w:tc>
        <w:tc>
          <w:tcPr>
            <w:tcW w:w="727" w:type="dxa"/>
            <w:noWrap/>
          </w:tcPr>
          <w:p w14:paraId="46284E0A">
            <w:pPr>
              <w:autoSpaceDN w:val="0"/>
              <w:spacing w:line="440" w:lineRule="exact"/>
              <w:jc w:val="center"/>
              <w:rPr>
                <w:rFonts w:hint="eastAsia" w:ascii="宋体" w:hAnsi="宋体" w:eastAsia="宋体" w:cs="宋体"/>
                <w:color w:val="auto"/>
                <w:sz w:val="22"/>
                <w:szCs w:val="22"/>
                <w:highlight w:val="none"/>
              </w:rPr>
            </w:pPr>
          </w:p>
        </w:tc>
        <w:tc>
          <w:tcPr>
            <w:tcW w:w="800" w:type="dxa"/>
            <w:noWrap/>
          </w:tcPr>
          <w:p w14:paraId="78017683">
            <w:pPr>
              <w:autoSpaceDN w:val="0"/>
              <w:spacing w:line="440" w:lineRule="exact"/>
              <w:jc w:val="center"/>
              <w:rPr>
                <w:rFonts w:hint="eastAsia" w:ascii="宋体" w:hAnsi="宋体" w:eastAsia="宋体" w:cs="宋体"/>
                <w:color w:val="auto"/>
                <w:sz w:val="22"/>
                <w:szCs w:val="22"/>
                <w:highlight w:val="none"/>
              </w:rPr>
            </w:pPr>
          </w:p>
        </w:tc>
        <w:tc>
          <w:tcPr>
            <w:tcW w:w="1312" w:type="dxa"/>
            <w:noWrap/>
          </w:tcPr>
          <w:p w14:paraId="65887D51">
            <w:pPr>
              <w:autoSpaceDN w:val="0"/>
              <w:spacing w:line="440" w:lineRule="exact"/>
              <w:jc w:val="center"/>
              <w:rPr>
                <w:rFonts w:hint="eastAsia" w:ascii="宋体" w:hAnsi="宋体" w:eastAsia="宋体" w:cs="宋体"/>
                <w:color w:val="auto"/>
                <w:sz w:val="22"/>
                <w:szCs w:val="22"/>
                <w:highlight w:val="none"/>
              </w:rPr>
            </w:pPr>
          </w:p>
        </w:tc>
        <w:tc>
          <w:tcPr>
            <w:tcW w:w="1151" w:type="dxa"/>
            <w:noWrap/>
          </w:tcPr>
          <w:p w14:paraId="05ECFE46">
            <w:pPr>
              <w:autoSpaceDN w:val="0"/>
              <w:spacing w:line="440" w:lineRule="exact"/>
              <w:jc w:val="center"/>
              <w:rPr>
                <w:rFonts w:hint="eastAsia" w:ascii="宋体" w:hAnsi="宋体" w:eastAsia="宋体" w:cs="宋体"/>
                <w:color w:val="auto"/>
                <w:sz w:val="22"/>
                <w:szCs w:val="22"/>
                <w:highlight w:val="none"/>
              </w:rPr>
            </w:pPr>
          </w:p>
        </w:tc>
        <w:tc>
          <w:tcPr>
            <w:tcW w:w="742" w:type="dxa"/>
            <w:noWrap/>
          </w:tcPr>
          <w:p w14:paraId="11410A3E">
            <w:pPr>
              <w:autoSpaceDN w:val="0"/>
              <w:spacing w:line="440" w:lineRule="exact"/>
              <w:jc w:val="center"/>
              <w:rPr>
                <w:rFonts w:hint="eastAsia" w:ascii="宋体" w:hAnsi="宋体" w:eastAsia="宋体" w:cs="宋体"/>
                <w:color w:val="auto"/>
                <w:sz w:val="22"/>
                <w:szCs w:val="22"/>
                <w:highlight w:val="none"/>
              </w:rPr>
            </w:pPr>
          </w:p>
        </w:tc>
      </w:tr>
    </w:tbl>
    <w:p w14:paraId="21C5CFAE">
      <w:pPr>
        <w:autoSpaceDN w:val="0"/>
        <w:spacing w:line="440" w:lineRule="exact"/>
        <w:rPr>
          <w:rFonts w:hint="eastAsia" w:ascii="宋体" w:hAnsi="宋体" w:eastAsia="宋体" w:cs="宋体"/>
          <w:color w:val="auto"/>
          <w:sz w:val="22"/>
          <w:szCs w:val="22"/>
          <w:highlight w:val="none"/>
        </w:rPr>
      </w:pPr>
    </w:p>
    <w:p w14:paraId="2F479869">
      <w:pPr>
        <w:autoSpaceDN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附表三、</w:t>
      </w:r>
      <w:r>
        <w:rPr>
          <w:rFonts w:hint="eastAsia" w:ascii="宋体" w:hAnsi="宋体" w:eastAsia="宋体" w:cs="宋体"/>
          <w:b/>
          <w:bCs/>
          <w:color w:val="auto"/>
          <w:kern w:val="0"/>
          <w:sz w:val="22"/>
          <w:szCs w:val="22"/>
          <w:highlight w:val="none"/>
        </w:rPr>
        <w:t>项目管理班子配备情况表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E0F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56C7ECFC">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720" w:type="dxa"/>
            <w:vMerge w:val="restart"/>
            <w:noWrap/>
            <w:vAlign w:val="center"/>
          </w:tcPr>
          <w:p w14:paraId="5D8460BB">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720" w:type="dxa"/>
            <w:vMerge w:val="restart"/>
            <w:noWrap/>
            <w:vAlign w:val="center"/>
          </w:tcPr>
          <w:p w14:paraId="5F34D18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5040" w:type="dxa"/>
            <w:gridSpan w:val="5"/>
            <w:noWrap/>
            <w:vAlign w:val="center"/>
          </w:tcPr>
          <w:p w14:paraId="518329DD">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上岗资格证明</w:t>
            </w:r>
          </w:p>
        </w:tc>
        <w:tc>
          <w:tcPr>
            <w:tcW w:w="1800" w:type="dxa"/>
            <w:gridSpan w:val="2"/>
            <w:noWrap/>
            <w:vAlign w:val="center"/>
          </w:tcPr>
          <w:p w14:paraId="06D3FE1B">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已承担在建工程情况</w:t>
            </w:r>
          </w:p>
        </w:tc>
      </w:tr>
      <w:tr w14:paraId="0125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14:paraId="4E27F5BF">
            <w:pPr>
              <w:autoSpaceDN w:val="0"/>
              <w:spacing w:line="360" w:lineRule="auto"/>
              <w:rPr>
                <w:rFonts w:hint="eastAsia" w:ascii="宋体" w:hAnsi="宋体" w:eastAsia="宋体" w:cs="宋体"/>
                <w:color w:val="auto"/>
                <w:kern w:val="0"/>
                <w:sz w:val="22"/>
                <w:szCs w:val="22"/>
                <w:highlight w:val="none"/>
              </w:rPr>
            </w:pPr>
          </w:p>
        </w:tc>
        <w:tc>
          <w:tcPr>
            <w:tcW w:w="720" w:type="dxa"/>
            <w:vMerge w:val="continue"/>
            <w:noWrap/>
          </w:tcPr>
          <w:p w14:paraId="5887EC08">
            <w:pPr>
              <w:autoSpaceDN w:val="0"/>
              <w:spacing w:line="360" w:lineRule="auto"/>
              <w:rPr>
                <w:rFonts w:hint="eastAsia" w:ascii="宋体" w:hAnsi="宋体" w:eastAsia="宋体" w:cs="宋体"/>
                <w:color w:val="auto"/>
                <w:kern w:val="0"/>
                <w:sz w:val="22"/>
                <w:szCs w:val="22"/>
                <w:highlight w:val="none"/>
              </w:rPr>
            </w:pPr>
          </w:p>
        </w:tc>
        <w:tc>
          <w:tcPr>
            <w:tcW w:w="720" w:type="dxa"/>
            <w:vMerge w:val="continue"/>
            <w:noWrap/>
          </w:tcPr>
          <w:p w14:paraId="0EE2149D">
            <w:pPr>
              <w:autoSpaceDN w:val="0"/>
              <w:spacing w:line="360" w:lineRule="auto"/>
              <w:rPr>
                <w:rFonts w:hint="eastAsia" w:ascii="宋体" w:hAnsi="宋体" w:eastAsia="宋体" w:cs="宋体"/>
                <w:color w:val="auto"/>
                <w:kern w:val="0"/>
                <w:sz w:val="22"/>
                <w:szCs w:val="22"/>
                <w:highlight w:val="none"/>
              </w:rPr>
            </w:pPr>
          </w:p>
        </w:tc>
        <w:tc>
          <w:tcPr>
            <w:tcW w:w="888" w:type="dxa"/>
            <w:noWrap/>
            <w:vAlign w:val="center"/>
          </w:tcPr>
          <w:p w14:paraId="6157851D">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证书</w:t>
            </w:r>
          </w:p>
          <w:p w14:paraId="6B37CEC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888" w:type="dxa"/>
            <w:noWrap/>
            <w:vAlign w:val="center"/>
          </w:tcPr>
          <w:p w14:paraId="40E4F12C">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级别</w:t>
            </w:r>
          </w:p>
        </w:tc>
        <w:tc>
          <w:tcPr>
            <w:tcW w:w="888" w:type="dxa"/>
            <w:noWrap/>
            <w:vAlign w:val="center"/>
          </w:tcPr>
          <w:p w14:paraId="067D4C90">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证号</w:t>
            </w:r>
          </w:p>
        </w:tc>
        <w:tc>
          <w:tcPr>
            <w:tcW w:w="888" w:type="dxa"/>
            <w:noWrap/>
            <w:vAlign w:val="center"/>
          </w:tcPr>
          <w:p w14:paraId="7C89E3B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专业</w:t>
            </w:r>
          </w:p>
        </w:tc>
        <w:tc>
          <w:tcPr>
            <w:tcW w:w="1488" w:type="dxa"/>
            <w:noWrap/>
            <w:vAlign w:val="center"/>
          </w:tcPr>
          <w:p w14:paraId="2F0BA4AF">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原服务单位</w:t>
            </w:r>
          </w:p>
        </w:tc>
        <w:tc>
          <w:tcPr>
            <w:tcW w:w="889" w:type="dxa"/>
            <w:noWrap/>
            <w:vAlign w:val="center"/>
          </w:tcPr>
          <w:p w14:paraId="0EE8C96F">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项目数</w:t>
            </w:r>
          </w:p>
        </w:tc>
        <w:tc>
          <w:tcPr>
            <w:tcW w:w="911" w:type="dxa"/>
            <w:noWrap/>
            <w:vAlign w:val="center"/>
          </w:tcPr>
          <w:p w14:paraId="0E424437">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主要项目名称</w:t>
            </w:r>
          </w:p>
        </w:tc>
      </w:tr>
      <w:tr w14:paraId="35DD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5296FDDA">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17A92F5C">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0C2E84E">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9467809">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7134465">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332E3B3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8B1C9A9">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7576AA4A">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6F71F2A6">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714587D9">
            <w:pPr>
              <w:autoSpaceDN w:val="0"/>
              <w:spacing w:line="360" w:lineRule="auto"/>
              <w:rPr>
                <w:rFonts w:hint="eastAsia" w:ascii="宋体" w:hAnsi="宋体" w:eastAsia="宋体" w:cs="宋体"/>
                <w:color w:val="auto"/>
                <w:kern w:val="0"/>
                <w:sz w:val="22"/>
                <w:szCs w:val="22"/>
                <w:highlight w:val="none"/>
              </w:rPr>
            </w:pPr>
          </w:p>
        </w:tc>
      </w:tr>
      <w:tr w14:paraId="49C0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78D38FD4">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2EF040C">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787D4497">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7DBD446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179C14E1">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C0CCA9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6CAB414">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038FDBCB">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25AF3693">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02DD2764">
            <w:pPr>
              <w:autoSpaceDN w:val="0"/>
              <w:spacing w:line="360" w:lineRule="auto"/>
              <w:rPr>
                <w:rFonts w:hint="eastAsia" w:ascii="宋体" w:hAnsi="宋体" w:eastAsia="宋体" w:cs="宋体"/>
                <w:color w:val="auto"/>
                <w:kern w:val="0"/>
                <w:sz w:val="22"/>
                <w:szCs w:val="22"/>
                <w:highlight w:val="none"/>
              </w:rPr>
            </w:pPr>
          </w:p>
        </w:tc>
      </w:tr>
      <w:tr w14:paraId="6BF0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340E502A">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1DEA7D42">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6FD908C">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49D4BD9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7240AB0B">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A1D72F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3D3894D">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4F482AA9">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6ECC5732">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79F6FD83">
            <w:pPr>
              <w:autoSpaceDN w:val="0"/>
              <w:spacing w:line="360" w:lineRule="auto"/>
              <w:rPr>
                <w:rFonts w:hint="eastAsia" w:ascii="宋体" w:hAnsi="宋体" w:eastAsia="宋体" w:cs="宋体"/>
                <w:color w:val="auto"/>
                <w:kern w:val="0"/>
                <w:sz w:val="22"/>
                <w:szCs w:val="22"/>
                <w:highlight w:val="none"/>
              </w:rPr>
            </w:pPr>
          </w:p>
        </w:tc>
      </w:tr>
      <w:tr w14:paraId="4CC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6C218F30">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29456244">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4CBE15D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7939DB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4B92EE5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0FA0D28B">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B8C2F25">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26BAE7F2">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2DC80C75">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1C97B22A">
            <w:pPr>
              <w:autoSpaceDN w:val="0"/>
              <w:spacing w:line="360" w:lineRule="auto"/>
              <w:rPr>
                <w:rFonts w:hint="eastAsia" w:ascii="宋体" w:hAnsi="宋体" w:eastAsia="宋体" w:cs="宋体"/>
                <w:color w:val="auto"/>
                <w:kern w:val="0"/>
                <w:sz w:val="22"/>
                <w:szCs w:val="22"/>
                <w:highlight w:val="none"/>
              </w:rPr>
            </w:pPr>
          </w:p>
        </w:tc>
      </w:tr>
      <w:tr w14:paraId="2C10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14:paraId="382BA552">
            <w:pPr>
              <w:autoSpaceDN w:val="0"/>
              <w:spacing w:line="360" w:lineRule="auto"/>
              <w:ind w:firstLine="495" w:firstLineChars="22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7335327A">
      <w:pPr>
        <w:autoSpaceDN w:val="0"/>
        <w:spacing w:line="440" w:lineRule="exact"/>
        <w:rPr>
          <w:rFonts w:hint="eastAsia" w:ascii="宋体" w:hAnsi="宋体" w:eastAsia="宋体" w:cs="宋体"/>
          <w:b/>
          <w:bCs/>
          <w:color w:val="auto"/>
          <w:sz w:val="22"/>
          <w:szCs w:val="22"/>
          <w:highlight w:val="none"/>
        </w:rPr>
      </w:pPr>
    </w:p>
    <w:p w14:paraId="34ADD41F">
      <w:pPr>
        <w:autoSpaceDN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附表四、</w:t>
      </w:r>
      <w:r>
        <w:rPr>
          <w:rFonts w:hint="eastAsia" w:ascii="宋体" w:hAnsi="宋体" w:eastAsia="宋体" w:cs="宋体"/>
          <w:b/>
          <w:bCs/>
          <w:color w:val="auto"/>
          <w:kern w:val="0"/>
          <w:sz w:val="22"/>
          <w:szCs w:val="22"/>
          <w:highlight w:val="none"/>
        </w:rPr>
        <w:t>项目经理简历表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F0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79D6800D">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1480" w:type="dxa"/>
            <w:noWrap/>
          </w:tcPr>
          <w:p w14:paraId="77120A45">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6C4A9B2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性别</w:t>
            </w:r>
          </w:p>
        </w:tc>
        <w:tc>
          <w:tcPr>
            <w:tcW w:w="1608" w:type="dxa"/>
            <w:noWrap/>
          </w:tcPr>
          <w:p w14:paraId="4BFCA8F3">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04FC4C0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年龄</w:t>
            </w:r>
          </w:p>
        </w:tc>
        <w:tc>
          <w:tcPr>
            <w:tcW w:w="1481" w:type="dxa"/>
            <w:noWrap/>
          </w:tcPr>
          <w:p w14:paraId="4A6B048B">
            <w:pPr>
              <w:autoSpaceDN w:val="0"/>
              <w:spacing w:line="360" w:lineRule="auto"/>
              <w:jc w:val="center"/>
              <w:rPr>
                <w:rFonts w:hint="eastAsia" w:ascii="宋体" w:hAnsi="宋体" w:eastAsia="宋体" w:cs="宋体"/>
                <w:color w:val="auto"/>
                <w:kern w:val="0"/>
                <w:sz w:val="22"/>
                <w:szCs w:val="22"/>
                <w:highlight w:val="none"/>
              </w:rPr>
            </w:pPr>
          </w:p>
        </w:tc>
      </w:tr>
      <w:tr w14:paraId="42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4F1E667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1480" w:type="dxa"/>
            <w:noWrap/>
          </w:tcPr>
          <w:p w14:paraId="55C8C254">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706441DB">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1608" w:type="dxa"/>
            <w:noWrap/>
          </w:tcPr>
          <w:p w14:paraId="1E99C1F7">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4F389C8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学历</w:t>
            </w:r>
          </w:p>
        </w:tc>
        <w:tc>
          <w:tcPr>
            <w:tcW w:w="1481" w:type="dxa"/>
            <w:noWrap/>
          </w:tcPr>
          <w:p w14:paraId="1C258CFA">
            <w:pPr>
              <w:autoSpaceDN w:val="0"/>
              <w:spacing w:line="360" w:lineRule="auto"/>
              <w:jc w:val="center"/>
              <w:rPr>
                <w:rFonts w:hint="eastAsia" w:ascii="宋体" w:hAnsi="宋体" w:eastAsia="宋体" w:cs="宋体"/>
                <w:color w:val="auto"/>
                <w:kern w:val="0"/>
                <w:sz w:val="22"/>
                <w:szCs w:val="22"/>
                <w:highlight w:val="none"/>
              </w:rPr>
            </w:pPr>
          </w:p>
        </w:tc>
      </w:tr>
      <w:tr w14:paraId="342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636438F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参加工作时间</w:t>
            </w:r>
          </w:p>
        </w:tc>
        <w:tc>
          <w:tcPr>
            <w:tcW w:w="1480" w:type="dxa"/>
            <w:noWrap/>
          </w:tcPr>
          <w:p w14:paraId="584CE67D">
            <w:pPr>
              <w:autoSpaceDN w:val="0"/>
              <w:spacing w:line="360" w:lineRule="auto"/>
              <w:jc w:val="center"/>
              <w:rPr>
                <w:rFonts w:hint="eastAsia" w:ascii="宋体" w:hAnsi="宋体" w:eastAsia="宋体" w:cs="宋体"/>
                <w:color w:val="auto"/>
                <w:kern w:val="0"/>
                <w:sz w:val="22"/>
                <w:szCs w:val="22"/>
                <w:highlight w:val="none"/>
              </w:rPr>
            </w:pPr>
          </w:p>
        </w:tc>
        <w:tc>
          <w:tcPr>
            <w:tcW w:w="3089" w:type="dxa"/>
            <w:gridSpan w:val="2"/>
            <w:noWrap/>
          </w:tcPr>
          <w:p w14:paraId="6A3F73CB">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从事项目经理年限</w:t>
            </w:r>
          </w:p>
        </w:tc>
        <w:tc>
          <w:tcPr>
            <w:tcW w:w="1481" w:type="dxa"/>
            <w:noWrap/>
          </w:tcPr>
          <w:p w14:paraId="79A9F303">
            <w:pPr>
              <w:autoSpaceDN w:val="0"/>
              <w:spacing w:line="360" w:lineRule="auto"/>
              <w:jc w:val="center"/>
              <w:rPr>
                <w:rFonts w:hint="eastAsia" w:ascii="宋体" w:hAnsi="宋体" w:eastAsia="宋体" w:cs="宋体"/>
                <w:color w:val="auto"/>
                <w:kern w:val="0"/>
                <w:sz w:val="22"/>
                <w:szCs w:val="22"/>
                <w:highlight w:val="none"/>
              </w:rPr>
            </w:pPr>
          </w:p>
        </w:tc>
      </w:tr>
      <w:tr w14:paraId="6478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02F5485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项目经理资格证书编号</w:t>
            </w:r>
          </w:p>
        </w:tc>
        <w:tc>
          <w:tcPr>
            <w:tcW w:w="6050" w:type="dxa"/>
            <w:gridSpan w:val="4"/>
            <w:noWrap/>
          </w:tcPr>
          <w:p w14:paraId="542C1DE1">
            <w:pPr>
              <w:autoSpaceDN w:val="0"/>
              <w:spacing w:line="360" w:lineRule="auto"/>
              <w:jc w:val="center"/>
              <w:rPr>
                <w:rFonts w:hint="eastAsia" w:ascii="宋体" w:hAnsi="宋体" w:eastAsia="宋体" w:cs="宋体"/>
                <w:color w:val="auto"/>
                <w:kern w:val="0"/>
                <w:sz w:val="22"/>
                <w:szCs w:val="22"/>
                <w:highlight w:val="none"/>
              </w:rPr>
            </w:pPr>
          </w:p>
        </w:tc>
      </w:tr>
      <w:tr w14:paraId="2F57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77B3B45C">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在建和已完工程项目情况</w:t>
            </w:r>
          </w:p>
        </w:tc>
      </w:tr>
      <w:tr w14:paraId="1CCA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FCDE5D9">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w:t>
            </w:r>
          </w:p>
        </w:tc>
        <w:tc>
          <w:tcPr>
            <w:tcW w:w="1480" w:type="dxa"/>
            <w:noWrap/>
          </w:tcPr>
          <w:p w14:paraId="752044E8">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1480" w:type="dxa"/>
            <w:noWrap/>
          </w:tcPr>
          <w:p w14:paraId="38C76C2E">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建设规模</w:t>
            </w:r>
          </w:p>
        </w:tc>
        <w:tc>
          <w:tcPr>
            <w:tcW w:w="1608" w:type="dxa"/>
            <w:noWrap/>
          </w:tcPr>
          <w:p w14:paraId="7EBF138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开、竣工日期</w:t>
            </w:r>
          </w:p>
        </w:tc>
        <w:tc>
          <w:tcPr>
            <w:tcW w:w="1481" w:type="dxa"/>
            <w:noWrap/>
          </w:tcPr>
          <w:p w14:paraId="53E1E41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在建或已完</w:t>
            </w:r>
          </w:p>
        </w:tc>
        <w:tc>
          <w:tcPr>
            <w:tcW w:w="1481" w:type="dxa"/>
            <w:noWrap/>
          </w:tcPr>
          <w:p w14:paraId="6A6C43ED">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w:t>
            </w:r>
          </w:p>
        </w:tc>
      </w:tr>
      <w:tr w14:paraId="763E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30052E7E">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7AADFD4F">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7E180211">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5E1F021A">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249D89D3">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6366884">
            <w:pPr>
              <w:autoSpaceDN w:val="0"/>
              <w:spacing w:line="360" w:lineRule="auto"/>
              <w:rPr>
                <w:rFonts w:hint="eastAsia" w:ascii="宋体" w:hAnsi="宋体" w:eastAsia="宋体" w:cs="宋体"/>
                <w:color w:val="auto"/>
                <w:kern w:val="0"/>
                <w:sz w:val="22"/>
                <w:szCs w:val="22"/>
                <w:highlight w:val="none"/>
              </w:rPr>
            </w:pPr>
          </w:p>
        </w:tc>
      </w:tr>
      <w:tr w14:paraId="43D1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40BED7F">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6256991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87CC5B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68E43AA">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FA936A4">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16B1603E">
            <w:pPr>
              <w:autoSpaceDN w:val="0"/>
              <w:spacing w:line="360" w:lineRule="auto"/>
              <w:rPr>
                <w:rFonts w:hint="eastAsia" w:ascii="宋体" w:hAnsi="宋体" w:eastAsia="宋体" w:cs="宋体"/>
                <w:color w:val="auto"/>
                <w:kern w:val="0"/>
                <w:sz w:val="22"/>
                <w:szCs w:val="22"/>
                <w:highlight w:val="none"/>
              </w:rPr>
            </w:pPr>
          </w:p>
        </w:tc>
      </w:tr>
      <w:tr w14:paraId="7BC2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98324C9">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1160F2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70EB277">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3E5D388">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6618AEB">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252045CC">
            <w:pPr>
              <w:autoSpaceDN w:val="0"/>
              <w:spacing w:line="360" w:lineRule="auto"/>
              <w:rPr>
                <w:rFonts w:hint="eastAsia" w:ascii="宋体" w:hAnsi="宋体" w:eastAsia="宋体" w:cs="宋体"/>
                <w:color w:val="auto"/>
                <w:kern w:val="0"/>
                <w:sz w:val="22"/>
                <w:szCs w:val="22"/>
                <w:highlight w:val="none"/>
              </w:rPr>
            </w:pPr>
          </w:p>
        </w:tc>
      </w:tr>
    </w:tbl>
    <w:p w14:paraId="4BEC3D99">
      <w:pPr>
        <w:autoSpaceDN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备注：后附项目经理注册证书、B证、职称证等</w:t>
      </w:r>
    </w:p>
    <w:p w14:paraId="7D79A410">
      <w:pPr>
        <w:autoSpaceDN w:val="0"/>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附表五、</w:t>
      </w:r>
      <w:r>
        <w:rPr>
          <w:rFonts w:hint="eastAsia" w:ascii="宋体" w:hAnsi="宋体" w:eastAsia="宋体" w:cs="宋体"/>
          <w:b/>
          <w:bCs/>
          <w:color w:val="auto"/>
          <w:kern w:val="0"/>
          <w:sz w:val="22"/>
          <w:szCs w:val="22"/>
          <w:highlight w:val="none"/>
        </w:rPr>
        <w:t>技术负责人简历表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BB8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86AC32F">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1480" w:type="dxa"/>
            <w:noWrap/>
          </w:tcPr>
          <w:p w14:paraId="067382AE">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035533A4">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性别</w:t>
            </w:r>
          </w:p>
        </w:tc>
        <w:tc>
          <w:tcPr>
            <w:tcW w:w="1608" w:type="dxa"/>
            <w:noWrap/>
          </w:tcPr>
          <w:p w14:paraId="5A817996">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196495F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年龄</w:t>
            </w:r>
          </w:p>
        </w:tc>
        <w:tc>
          <w:tcPr>
            <w:tcW w:w="1481" w:type="dxa"/>
            <w:noWrap/>
          </w:tcPr>
          <w:p w14:paraId="2FE25F32">
            <w:pPr>
              <w:autoSpaceDN w:val="0"/>
              <w:spacing w:line="360" w:lineRule="auto"/>
              <w:jc w:val="center"/>
              <w:rPr>
                <w:rFonts w:hint="eastAsia" w:ascii="宋体" w:hAnsi="宋体" w:eastAsia="宋体" w:cs="宋体"/>
                <w:color w:val="auto"/>
                <w:kern w:val="0"/>
                <w:sz w:val="22"/>
                <w:szCs w:val="22"/>
                <w:highlight w:val="none"/>
              </w:rPr>
            </w:pPr>
          </w:p>
        </w:tc>
      </w:tr>
      <w:tr w14:paraId="12E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7D98B5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1480" w:type="dxa"/>
            <w:noWrap/>
          </w:tcPr>
          <w:p w14:paraId="16B76057">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26DC1FD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1608" w:type="dxa"/>
            <w:noWrap/>
          </w:tcPr>
          <w:p w14:paraId="42A17F29">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4B8F8F5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学历</w:t>
            </w:r>
          </w:p>
        </w:tc>
        <w:tc>
          <w:tcPr>
            <w:tcW w:w="1481" w:type="dxa"/>
            <w:noWrap/>
          </w:tcPr>
          <w:p w14:paraId="1011A17F">
            <w:pPr>
              <w:autoSpaceDN w:val="0"/>
              <w:spacing w:line="360" w:lineRule="auto"/>
              <w:jc w:val="center"/>
              <w:rPr>
                <w:rFonts w:hint="eastAsia" w:ascii="宋体" w:hAnsi="宋体" w:eastAsia="宋体" w:cs="宋体"/>
                <w:color w:val="auto"/>
                <w:kern w:val="0"/>
                <w:sz w:val="22"/>
                <w:szCs w:val="22"/>
                <w:highlight w:val="none"/>
              </w:rPr>
            </w:pPr>
          </w:p>
        </w:tc>
      </w:tr>
      <w:tr w14:paraId="632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2F1E980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参加工作时间</w:t>
            </w:r>
          </w:p>
        </w:tc>
        <w:tc>
          <w:tcPr>
            <w:tcW w:w="1480" w:type="dxa"/>
            <w:noWrap/>
          </w:tcPr>
          <w:p w14:paraId="72B6EE92">
            <w:pPr>
              <w:autoSpaceDN w:val="0"/>
              <w:spacing w:line="360" w:lineRule="auto"/>
              <w:jc w:val="center"/>
              <w:rPr>
                <w:rFonts w:hint="eastAsia" w:ascii="宋体" w:hAnsi="宋体" w:eastAsia="宋体" w:cs="宋体"/>
                <w:color w:val="auto"/>
                <w:kern w:val="0"/>
                <w:sz w:val="22"/>
                <w:szCs w:val="22"/>
                <w:highlight w:val="none"/>
              </w:rPr>
            </w:pPr>
          </w:p>
        </w:tc>
        <w:tc>
          <w:tcPr>
            <w:tcW w:w="3089" w:type="dxa"/>
            <w:gridSpan w:val="2"/>
            <w:noWrap/>
          </w:tcPr>
          <w:p w14:paraId="7626184C">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从事技术负责人年限</w:t>
            </w:r>
          </w:p>
        </w:tc>
        <w:tc>
          <w:tcPr>
            <w:tcW w:w="1481" w:type="dxa"/>
            <w:noWrap/>
          </w:tcPr>
          <w:p w14:paraId="2B24D287">
            <w:pPr>
              <w:autoSpaceDN w:val="0"/>
              <w:spacing w:line="360" w:lineRule="auto"/>
              <w:jc w:val="center"/>
              <w:rPr>
                <w:rFonts w:hint="eastAsia" w:ascii="宋体" w:hAnsi="宋体" w:eastAsia="宋体" w:cs="宋体"/>
                <w:color w:val="auto"/>
                <w:kern w:val="0"/>
                <w:sz w:val="22"/>
                <w:szCs w:val="22"/>
                <w:highlight w:val="none"/>
              </w:rPr>
            </w:pPr>
          </w:p>
        </w:tc>
      </w:tr>
      <w:tr w14:paraId="5A6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31B87552">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资格证书名称及编号</w:t>
            </w:r>
          </w:p>
        </w:tc>
        <w:tc>
          <w:tcPr>
            <w:tcW w:w="6050" w:type="dxa"/>
            <w:gridSpan w:val="4"/>
            <w:noWrap/>
          </w:tcPr>
          <w:p w14:paraId="4CE27EB2">
            <w:pPr>
              <w:autoSpaceDN w:val="0"/>
              <w:spacing w:line="360" w:lineRule="auto"/>
              <w:jc w:val="center"/>
              <w:rPr>
                <w:rFonts w:hint="eastAsia" w:ascii="宋体" w:hAnsi="宋体" w:eastAsia="宋体" w:cs="宋体"/>
                <w:color w:val="auto"/>
                <w:kern w:val="0"/>
                <w:sz w:val="22"/>
                <w:szCs w:val="22"/>
                <w:highlight w:val="none"/>
              </w:rPr>
            </w:pPr>
          </w:p>
        </w:tc>
      </w:tr>
      <w:tr w14:paraId="754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27501C3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在建和已完工程项目情况</w:t>
            </w:r>
          </w:p>
        </w:tc>
      </w:tr>
      <w:tr w14:paraId="7A3C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478A0C6">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w:t>
            </w:r>
          </w:p>
        </w:tc>
        <w:tc>
          <w:tcPr>
            <w:tcW w:w="1480" w:type="dxa"/>
            <w:noWrap/>
          </w:tcPr>
          <w:p w14:paraId="601700F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1480" w:type="dxa"/>
            <w:noWrap/>
          </w:tcPr>
          <w:p w14:paraId="2D76A62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建设规模</w:t>
            </w:r>
          </w:p>
        </w:tc>
        <w:tc>
          <w:tcPr>
            <w:tcW w:w="1608" w:type="dxa"/>
            <w:noWrap/>
          </w:tcPr>
          <w:p w14:paraId="0F003C0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开、竣工日期</w:t>
            </w:r>
          </w:p>
        </w:tc>
        <w:tc>
          <w:tcPr>
            <w:tcW w:w="1481" w:type="dxa"/>
            <w:noWrap/>
          </w:tcPr>
          <w:p w14:paraId="03758D09">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在建或已完</w:t>
            </w:r>
          </w:p>
        </w:tc>
        <w:tc>
          <w:tcPr>
            <w:tcW w:w="1481" w:type="dxa"/>
            <w:noWrap/>
          </w:tcPr>
          <w:p w14:paraId="7DFDFCB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w:t>
            </w:r>
          </w:p>
        </w:tc>
      </w:tr>
      <w:tr w14:paraId="3A3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218A3418">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235E32D">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343D8E1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11825050">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1617D0BD">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41F41F64">
            <w:pPr>
              <w:autoSpaceDN w:val="0"/>
              <w:spacing w:line="360" w:lineRule="auto"/>
              <w:rPr>
                <w:rFonts w:hint="eastAsia" w:ascii="宋体" w:hAnsi="宋体" w:eastAsia="宋体" w:cs="宋体"/>
                <w:color w:val="auto"/>
                <w:kern w:val="0"/>
                <w:sz w:val="22"/>
                <w:szCs w:val="22"/>
                <w:highlight w:val="none"/>
              </w:rPr>
            </w:pPr>
          </w:p>
        </w:tc>
      </w:tr>
      <w:tr w14:paraId="77A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69125A3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C875382">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2320C0D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65D345CE">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9E06AB3">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2E08429">
            <w:pPr>
              <w:autoSpaceDN w:val="0"/>
              <w:spacing w:line="360" w:lineRule="auto"/>
              <w:rPr>
                <w:rFonts w:hint="eastAsia" w:ascii="宋体" w:hAnsi="宋体" w:eastAsia="宋体" w:cs="宋体"/>
                <w:color w:val="auto"/>
                <w:kern w:val="0"/>
                <w:sz w:val="22"/>
                <w:szCs w:val="22"/>
                <w:highlight w:val="none"/>
              </w:rPr>
            </w:pPr>
          </w:p>
        </w:tc>
      </w:tr>
      <w:tr w14:paraId="1EFB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11D7686D">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EEE9CF6">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A0407F3">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C8FC218">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0D8C7A9">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43C011FE">
            <w:pPr>
              <w:autoSpaceDN w:val="0"/>
              <w:spacing w:line="360" w:lineRule="auto"/>
              <w:rPr>
                <w:rFonts w:hint="eastAsia" w:ascii="宋体" w:hAnsi="宋体" w:eastAsia="宋体" w:cs="宋体"/>
                <w:color w:val="auto"/>
                <w:kern w:val="0"/>
                <w:sz w:val="22"/>
                <w:szCs w:val="22"/>
                <w:highlight w:val="none"/>
              </w:rPr>
            </w:pPr>
          </w:p>
        </w:tc>
      </w:tr>
    </w:tbl>
    <w:p w14:paraId="4683E5A9">
      <w:pPr>
        <w:autoSpaceDN w:val="0"/>
        <w:spacing w:line="360" w:lineRule="auto"/>
        <w:rPr>
          <w:rFonts w:hint="eastAsia" w:ascii="宋体" w:hAnsi="宋体" w:eastAsia="宋体" w:cs="宋体"/>
          <w:b/>
          <w:bCs/>
          <w:color w:val="auto"/>
          <w:kern w:val="0"/>
          <w:sz w:val="22"/>
          <w:szCs w:val="22"/>
          <w:highlight w:val="none"/>
        </w:rPr>
      </w:pPr>
    </w:p>
    <w:p w14:paraId="63DA1E0A">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73" w:name="_Toc179632819"/>
      <w:bookmarkStart w:id="174" w:name="_Toc152042588"/>
      <w:bookmarkStart w:id="175" w:name="_Toc246392157"/>
      <w:bookmarkStart w:id="176" w:name="_Toc152045799"/>
      <w:bookmarkStart w:id="177" w:name="_Toc144974867"/>
      <w:r>
        <w:rPr>
          <w:rFonts w:hint="eastAsia" w:ascii="宋体" w:hAnsi="宋体" w:eastAsia="宋体" w:cs="宋体"/>
          <w:b/>
          <w:bCs/>
          <w:color w:val="auto"/>
          <w:sz w:val="22"/>
          <w:szCs w:val="22"/>
          <w:highlight w:val="none"/>
        </w:rPr>
        <w:t>附表五：劳动力计划表</w:t>
      </w:r>
      <w:bookmarkEnd w:id="173"/>
      <w:bookmarkEnd w:id="174"/>
      <w:bookmarkEnd w:id="175"/>
      <w:bookmarkEnd w:id="176"/>
      <w:bookmarkEnd w:id="177"/>
    </w:p>
    <w:p w14:paraId="4AC2E2F3">
      <w:pPr>
        <w:autoSpaceDN w:val="0"/>
        <w:spacing w:line="440" w:lineRule="exact"/>
        <w:ind w:right="41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0B7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56CFABD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7622" w:type="dxa"/>
            <w:gridSpan w:val="7"/>
            <w:noWrap/>
            <w:vAlign w:val="center"/>
          </w:tcPr>
          <w:p w14:paraId="6D15D3A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14:paraId="1E57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798F8E68">
            <w:pPr>
              <w:autoSpaceDN w:val="0"/>
              <w:spacing w:line="440" w:lineRule="exact"/>
              <w:jc w:val="center"/>
              <w:rPr>
                <w:rFonts w:hint="eastAsia" w:ascii="宋体" w:hAnsi="宋体" w:eastAsia="宋体" w:cs="宋体"/>
                <w:color w:val="auto"/>
                <w:sz w:val="22"/>
                <w:szCs w:val="22"/>
                <w:highlight w:val="none"/>
              </w:rPr>
            </w:pPr>
          </w:p>
        </w:tc>
        <w:tc>
          <w:tcPr>
            <w:tcW w:w="872" w:type="dxa"/>
            <w:noWrap/>
            <w:vAlign w:val="center"/>
          </w:tcPr>
          <w:p w14:paraId="4F3AE228">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73E35F5F">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0DF9AD1E">
            <w:pPr>
              <w:autoSpaceDN w:val="0"/>
              <w:spacing w:line="440" w:lineRule="exact"/>
              <w:jc w:val="center"/>
              <w:rPr>
                <w:rFonts w:hint="eastAsia" w:ascii="宋体" w:hAnsi="宋体" w:eastAsia="宋体" w:cs="宋体"/>
                <w:color w:val="auto"/>
                <w:sz w:val="22"/>
                <w:szCs w:val="22"/>
                <w:highlight w:val="none"/>
              </w:rPr>
            </w:pPr>
          </w:p>
        </w:tc>
        <w:tc>
          <w:tcPr>
            <w:tcW w:w="875" w:type="dxa"/>
            <w:noWrap/>
            <w:vAlign w:val="center"/>
          </w:tcPr>
          <w:p w14:paraId="55F5510B">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73A629E1">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23FFFE9A">
            <w:pPr>
              <w:autoSpaceDN w:val="0"/>
              <w:spacing w:line="440" w:lineRule="exact"/>
              <w:jc w:val="center"/>
              <w:rPr>
                <w:rFonts w:hint="eastAsia" w:ascii="宋体" w:hAnsi="宋体" w:eastAsia="宋体" w:cs="宋体"/>
                <w:color w:val="auto"/>
                <w:sz w:val="22"/>
                <w:szCs w:val="22"/>
                <w:highlight w:val="none"/>
              </w:rPr>
            </w:pPr>
          </w:p>
        </w:tc>
        <w:tc>
          <w:tcPr>
            <w:tcW w:w="1343" w:type="dxa"/>
            <w:noWrap/>
            <w:vAlign w:val="center"/>
          </w:tcPr>
          <w:p w14:paraId="465EBC18">
            <w:pPr>
              <w:autoSpaceDN w:val="0"/>
              <w:spacing w:line="440" w:lineRule="exact"/>
              <w:jc w:val="center"/>
              <w:rPr>
                <w:rFonts w:hint="eastAsia" w:ascii="宋体" w:hAnsi="宋体" w:eastAsia="宋体" w:cs="宋体"/>
                <w:color w:val="auto"/>
                <w:sz w:val="22"/>
                <w:szCs w:val="22"/>
                <w:highlight w:val="none"/>
              </w:rPr>
            </w:pPr>
          </w:p>
        </w:tc>
      </w:tr>
      <w:tr w14:paraId="4AC2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487A4E23">
            <w:pPr>
              <w:autoSpaceDN w:val="0"/>
              <w:spacing w:line="440" w:lineRule="exact"/>
              <w:jc w:val="center"/>
              <w:rPr>
                <w:rFonts w:hint="eastAsia" w:ascii="宋体" w:hAnsi="宋体" w:eastAsia="宋体" w:cs="宋体"/>
                <w:color w:val="auto"/>
                <w:sz w:val="22"/>
                <w:szCs w:val="22"/>
                <w:highlight w:val="none"/>
              </w:rPr>
            </w:pPr>
          </w:p>
        </w:tc>
        <w:tc>
          <w:tcPr>
            <w:tcW w:w="872" w:type="dxa"/>
            <w:noWrap/>
            <w:vAlign w:val="center"/>
          </w:tcPr>
          <w:p w14:paraId="3AA9FFEF">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0F7ECE72">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05F2356">
            <w:pPr>
              <w:autoSpaceDN w:val="0"/>
              <w:spacing w:line="440" w:lineRule="exact"/>
              <w:jc w:val="center"/>
              <w:rPr>
                <w:rFonts w:hint="eastAsia" w:ascii="宋体" w:hAnsi="宋体" w:eastAsia="宋体" w:cs="宋体"/>
                <w:color w:val="auto"/>
                <w:sz w:val="22"/>
                <w:szCs w:val="22"/>
                <w:highlight w:val="none"/>
              </w:rPr>
            </w:pPr>
          </w:p>
        </w:tc>
        <w:tc>
          <w:tcPr>
            <w:tcW w:w="875" w:type="dxa"/>
            <w:noWrap/>
            <w:vAlign w:val="center"/>
          </w:tcPr>
          <w:p w14:paraId="0C239034">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04AA19B">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19FFDCA">
            <w:pPr>
              <w:autoSpaceDN w:val="0"/>
              <w:spacing w:line="440" w:lineRule="exact"/>
              <w:jc w:val="center"/>
              <w:rPr>
                <w:rFonts w:hint="eastAsia" w:ascii="宋体" w:hAnsi="宋体" w:eastAsia="宋体" w:cs="宋体"/>
                <w:color w:val="auto"/>
                <w:sz w:val="22"/>
                <w:szCs w:val="22"/>
                <w:highlight w:val="none"/>
              </w:rPr>
            </w:pPr>
          </w:p>
        </w:tc>
        <w:tc>
          <w:tcPr>
            <w:tcW w:w="1343" w:type="dxa"/>
            <w:noWrap/>
            <w:vAlign w:val="center"/>
          </w:tcPr>
          <w:p w14:paraId="44BA6AB1">
            <w:pPr>
              <w:autoSpaceDN w:val="0"/>
              <w:spacing w:line="440" w:lineRule="exact"/>
              <w:jc w:val="center"/>
              <w:rPr>
                <w:rFonts w:hint="eastAsia" w:ascii="宋体" w:hAnsi="宋体" w:eastAsia="宋体" w:cs="宋体"/>
                <w:color w:val="auto"/>
                <w:sz w:val="22"/>
                <w:szCs w:val="22"/>
                <w:highlight w:val="none"/>
              </w:rPr>
            </w:pPr>
          </w:p>
        </w:tc>
      </w:tr>
      <w:tr w14:paraId="76A8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6459FBEB">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07A33EB5">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17F9B120">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B3E27AB">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4AB78343">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42A9DFBC">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0C69C613">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0378D19A">
            <w:pPr>
              <w:autoSpaceDN w:val="0"/>
              <w:spacing w:line="440" w:lineRule="exact"/>
              <w:jc w:val="center"/>
              <w:rPr>
                <w:rFonts w:hint="eastAsia" w:ascii="宋体" w:hAnsi="宋体" w:eastAsia="宋体" w:cs="宋体"/>
                <w:color w:val="auto"/>
                <w:sz w:val="22"/>
                <w:szCs w:val="22"/>
                <w:highlight w:val="none"/>
              </w:rPr>
            </w:pPr>
          </w:p>
        </w:tc>
      </w:tr>
      <w:tr w14:paraId="550C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4BDB918B">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40448F3E">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14A869CC">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2F585EE7">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1BAD3CD6">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7FDEE562">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4BD5EA1">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532450AF">
            <w:pPr>
              <w:autoSpaceDN w:val="0"/>
              <w:spacing w:line="440" w:lineRule="exact"/>
              <w:jc w:val="center"/>
              <w:rPr>
                <w:rFonts w:hint="eastAsia" w:ascii="宋体" w:hAnsi="宋体" w:eastAsia="宋体" w:cs="宋体"/>
                <w:color w:val="auto"/>
                <w:sz w:val="22"/>
                <w:szCs w:val="22"/>
                <w:highlight w:val="none"/>
              </w:rPr>
            </w:pPr>
          </w:p>
        </w:tc>
      </w:tr>
      <w:tr w14:paraId="00E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53C09FB6">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15FB40D8">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2DF31F7A">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43E822E7">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19BFDD67">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6C253C5E">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9C4184C">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3E17D498">
            <w:pPr>
              <w:autoSpaceDN w:val="0"/>
              <w:spacing w:line="440" w:lineRule="exact"/>
              <w:jc w:val="center"/>
              <w:rPr>
                <w:rFonts w:hint="eastAsia" w:ascii="宋体" w:hAnsi="宋体" w:eastAsia="宋体" w:cs="宋体"/>
                <w:color w:val="auto"/>
                <w:sz w:val="22"/>
                <w:szCs w:val="22"/>
                <w:highlight w:val="none"/>
              </w:rPr>
            </w:pPr>
          </w:p>
        </w:tc>
      </w:tr>
    </w:tbl>
    <w:p w14:paraId="03B145B0">
      <w:pPr>
        <w:topLinePunct/>
        <w:autoSpaceDN w:val="0"/>
        <w:spacing w:line="440" w:lineRule="exact"/>
        <w:jc w:val="center"/>
        <w:rPr>
          <w:rFonts w:hint="eastAsia" w:ascii="宋体" w:hAnsi="宋体" w:eastAsia="宋体" w:cs="宋体"/>
          <w:color w:val="auto"/>
          <w:sz w:val="22"/>
          <w:szCs w:val="22"/>
          <w:highlight w:val="none"/>
        </w:rPr>
      </w:pPr>
    </w:p>
    <w:p w14:paraId="42A71CB4">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78" w:name="_Toc152045800"/>
      <w:bookmarkStart w:id="179" w:name="_Toc144974868"/>
      <w:bookmarkStart w:id="180" w:name="_Toc179632820"/>
      <w:bookmarkStart w:id="181" w:name="_Toc152042589"/>
      <w:bookmarkStart w:id="182" w:name="_Toc246392158"/>
      <w:r>
        <w:rPr>
          <w:rFonts w:hint="eastAsia" w:ascii="宋体" w:hAnsi="宋体" w:eastAsia="宋体" w:cs="宋体"/>
          <w:b/>
          <w:bCs/>
          <w:color w:val="auto"/>
          <w:sz w:val="22"/>
          <w:szCs w:val="22"/>
          <w:highlight w:val="none"/>
        </w:rPr>
        <w:t>附表六：计划开、竣工日期和施工进度网络图</w:t>
      </w:r>
      <w:bookmarkEnd w:id="178"/>
      <w:bookmarkEnd w:id="179"/>
      <w:bookmarkEnd w:id="180"/>
      <w:bookmarkEnd w:id="181"/>
      <w:bookmarkEnd w:id="182"/>
    </w:p>
    <w:p w14:paraId="17A1B18D">
      <w:pPr>
        <w:autoSpaceDN w:val="0"/>
        <w:spacing w:line="440" w:lineRule="exact"/>
        <w:rPr>
          <w:rFonts w:hint="eastAsia" w:ascii="宋体" w:hAnsi="宋体" w:eastAsia="宋体" w:cs="宋体"/>
          <w:color w:val="auto"/>
          <w:sz w:val="22"/>
          <w:szCs w:val="22"/>
          <w:highlight w:val="none"/>
        </w:rPr>
      </w:pPr>
    </w:p>
    <w:p w14:paraId="5C8D23EB">
      <w:pPr>
        <w:autoSpaceDN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磋商响应供应商应递交施工进度网络图或施工进度表，说明按磋商文件要求的计划工期进行施工的各个关键日期。</w:t>
      </w:r>
    </w:p>
    <w:p w14:paraId="634C0977">
      <w:pPr>
        <w:autoSpaceDN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施工进度表可采用网络图（或横道图）表示。</w:t>
      </w:r>
    </w:p>
    <w:p w14:paraId="6E77B3DC">
      <w:pPr>
        <w:pStyle w:val="2"/>
        <w:spacing w:before="120" w:after="120"/>
        <w:ind w:firstLine="221"/>
        <w:rPr>
          <w:rFonts w:hint="eastAsia" w:ascii="宋体" w:hAnsi="宋体" w:eastAsia="宋体" w:cs="宋体"/>
          <w:color w:val="auto"/>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CAF150">
      <w:pPr>
        <w:pStyle w:val="2"/>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7</w:t>
      </w:r>
      <w:r>
        <w:rPr>
          <w:rFonts w:hint="eastAsia" w:ascii="宋体" w:hAnsi="宋体" w:eastAsia="宋体" w:cs="宋体"/>
          <w:bCs/>
          <w:color w:val="auto"/>
          <w:kern w:val="0"/>
          <w:szCs w:val="24"/>
          <w:highlight w:val="none"/>
        </w:rPr>
        <w:t xml:space="preserve"> 技术（服务）方案</w:t>
      </w:r>
    </w:p>
    <w:p w14:paraId="3B07FEE3">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kern w:val="0"/>
          <w:sz w:val="44"/>
          <w:szCs w:val="28"/>
          <w:highlight w:val="none"/>
        </w:rPr>
        <w:t>技术（服务）方案</w:t>
      </w:r>
    </w:p>
    <w:p w14:paraId="5CA599BE">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768651A0">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2A85DA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4C6CE06A">
            <w:pPr>
              <w:autoSpaceDN w:val="0"/>
              <w:spacing w:line="360" w:lineRule="auto"/>
              <w:rPr>
                <w:rFonts w:hint="eastAsia" w:ascii="宋体" w:hAnsi="宋体" w:eastAsia="宋体" w:cs="宋体"/>
                <w:color w:val="auto"/>
                <w:sz w:val="22"/>
                <w:szCs w:val="21"/>
                <w:highlight w:val="none"/>
              </w:rPr>
            </w:pPr>
            <w:r>
              <w:rPr>
                <w:rFonts w:hint="eastAsia" w:ascii="宋体" w:hAnsi="宋体" w:eastAsia="宋体" w:cs="宋体"/>
                <w:b/>
                <w:color w:val="auto"/>
                <w:sz w:val="28"/>
                <w:highlight w:val="none"/>
              </w:rPr>
              <w:t>自行对照评审细则，但不仅限于。</w:t>
            </w:r>
          </w:p>
        </w:tc>
      </w:tr>
    </w:tbl>
    <w:p w14:paraId="1F0A01AC">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58AAC56D">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10CF9DD7">
      <w:pPr>
        <w:pStyle w:val="6"/>
        <w:autoSpaceDN w:val="0"/>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8D6933">
      <w:pPr>
        <w:pStyle w:val="2"/>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8</w:t>
      </w:r>
      <w:r>
        <w:rPr>
          <w:rFonts w:hint="eastAsia" w:ascii="宋体" w:hAnsi="宋体" w:eastAsia="宋体" w:cs="宋体"/>
          <w:bCs/>
          <w:color w:val="auto"/>
          <w:kern w:val="0"/>
          <w:szCs w:val="24"/>
          <w:highlight w:val="none"/>
        </w:rPr>
        <w:t xml:space="preserve"> 节能、环保产品证明材料（如有）</w:t>
      </w:r>
    </w:p>
    <w:p w14:paraId="7E77A07C">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节能、环保产品证明材料</w:t>
      </w:r>
    </w:p>
    <w:p w14:paraId="5B63EA90">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319E8AFE">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AA6A6B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5D0A4877">
            <w:pPr>
              <w:autoSpaceDN w:val="0"/>
              <w:spacing w:line="360" w:lineRule="auto"/>
              <w:rPr>
                <w:rFonts w:hint="eastAsia" w:ascii="宋体" w:hAnsi="宋体" w:eastAsia="宋体" w:cs="宋体"/>
                <w:color w:val="auto"/>
                <w:sz w:val="22"/>
                <w:szCs w:val="21"/>
                <w:highlight w:val="none"/>
              </w:rPr>
            </w:pPr>
            <w:r>
              <w:rPr>
                <w:rFonts w:hint="eastAsia" w:ascii="宋体" w:hAnsi="宋体" w:eastAsia="宋体" w:cs="宋体"/>
                <w:b/>
                <w:color w:val="auto"/>
                <w:sz w:val="28"/>
                <w:highlight w:val="none"/>
              </w:rPr>
              <w:t>在本项目实施过程中使用到的节能、环保产品。</w:t>
            </w:r>
          </w:p>
        </w:tc>
      </w:tr>
    </w:tbl>
    <w:p w14:paraId="34C167CD">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4B6A661C">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222DAA15">
      <w:pPr>
        <w:pStyle w:val="2"/>
        <w:spacing w:before="120" w:after="120" w:line="324" w:lineRule="auto"/>
        <w:ind w:firstLine="221"/>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bookmarkEnd w:id="162"/>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9</w:t>
      </w:r>
      <w:r>
        <w:rPr>
          <w:rFonts w:hint="eastAsia" w:ascii="宋体" w:hAnsi="宋体" w:eastAsia="宋体" w:cs="宋体"/>
          <w:bCs/>
          <w:color w:val="auto"/>
          <w:kern w:val="0"/>
          <w:szCs w:val="24"/>
          <w:highlight w:val="none"/>
        </w:rPr>
        <w:t xml:space="preserve"> 主要材料品牌表</w:t>
      </w:r>
    </w:p>
    <w:p w14:paraId="59E735ED">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主要材料品牌表</w:t>
      </w:r>
    </w:p>
    <w:p w14:paraId="344F2BC2">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52FFE2D3">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8789" w:type="dxa"/>
        <w:jc w:val="center"/>
        <w:tblLayout w:type="fixed"/>
        <w:tblCellMar>
          <w:top w:w="0" w:type="dxa"/>
          <w:left w:w="10" w:type="dxa"/>
          <w:bottom w:w="0" w:type="dxa"/>
          <w:right w:w="10" w:type="dxa"/>
        </w:tblCellMar>
      </w:tblPr>
      <w:tblGrid>
        <w:gridCol w:w="846"/>
        <w:gridCol w:w="1984"/>
        <w:gridCol w:w="3738"/>
        <w:gridCol w:w="2221"/>
      </w:tblGrid>
      <w:tr w14:paraId="50B8633B">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F75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F186B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F8966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推荐品牌或制造商</w:t>
            </w: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4B78E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所投品牌及型号</w:t>
            </w:r>
          </w:p>
        </w:tc>
      </w:tr>
      <w:tr w14:paraId="76D2CD3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D52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3B14C4">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6C1F21">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E916F2">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83ABB7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A18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D8704C">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D9337D">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C81EF6">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4C5CAD1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AD4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69240C">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D763BC">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CEF4FE">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3C7A6F7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1D5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734DCF2">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E03326">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67F1317">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39597F1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6A9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B6C2C3">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AE8CF5">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A0DA27">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3E0C93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2D7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ECBFAB">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1D950B">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BDC7D4">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6E19824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92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370D75">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23C02E">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E86379">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6C2C06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D06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D27964">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10AEA3">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58BD45">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B22BE5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7498">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C42FBB">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47E4AA">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DEBDA7">
            <w:pPr>
              <w:widowControl/>
              <w:spacing w:beforeLines="0" w:afterLines="0"/>
              <w:jc w:val="center"/>
              <w:rPr>
                <w:rFonts w:hint="default" w:ascii="宋体" w:hAnsi="宋体" w:cs="宋体"/>
                <w:color w:val="auto"/>
                <w:kern w:val="0"/>
                <w:sz w:val="21"/>
                <w:szCs w:val="21"/>
                <w:highlight w:val="none"/>
              </w:rPr>
            </w:pPr>
          </w:p>
        </w:tc>
      </w:tr>
    </w:tbl>
    <w:p w14:paraId="5C6BA053">
      <w:pPr>
        <w:autoSpaceDN w:val="0"/>
        <w:jc w:val="center"/>
        <w:rPr>
          <w:rFonts w:hint="eastAsia" w:ascii="宋体" w:hAnsi="宋体" w:eastAsia="宋体" w:cs="宋体"/>
          <w:b/>
          <w:color w:val="auto"/>
          <w:sz w:val="22"/>
          <w:szCs w:val="22"/>
          <w:highlight w:val="none"/>
        </w:rPr>
      </w:pPr>
      <w:r>
        <w:rPr>
          <w:rFonts w:hint="eastAsia" w:ascii="宋体" w:hAnsi="宋体" w:eastAsia="宋体" w:cs="宋体"/>
          <w:color w:val="auto"/>
          <w:szCs w:val="21"/>
          <w:highlight w:val="none"/>
        </w:rPr>
        <w:t>注：①</w:t>
      </w:r>
      <w:r>
        <w:rPr>
          <w:rFonts w:hint="eastAsia" w:ascii="宋体" w:hAnsi="宋体" w:eastAsia="宋体" w:cs="宋体"/>
          <w:b/>
          <w:color w:val="auto"/>
          <w:szCs w:val="21"/>
          <w:highlight w:val="none"/>
        </w:rPr>
        <w:t>磋商响应供应商可在</w:t>
      </w:r>
      <w:r>
        <w:rPr>
          <w:rFonts w:hint="eastAsia" w:ascii="宋体" w:hAnsi="宋体" w:eastAsia="宋体" w:cs="宋体"/>
          <w:b/>
          <w:color w:val="auto"/>
          <w:kern w:val="0"/>
          <w:sz w:val="22"/>
          <w:szCs w:val="22"/>
          <w:highlight w:val="none"/>
        </w:rPr>
        <w:t>“备选品牌、厂家”选择一项填写在“投标品牌”一栏中，如在此表“备选品牌、厂家”之外选择的，需要在“投标品牌”一栏中注明所选品牌</w:t>
      </w:r>
      <w:r>
        <w:rPr>
          <w:rFonts w:hint="eastAsia" w:ascii="宋体" w:hAnsi="宋体" w:eastAsia="宋体" w:cs="宋体"/>
          <w:b/>
          <w:color w:val="auto"/>
          <w:sz w:val="22"/>
          <w:szCs w:val="22"/>
          <w:highlight w:val="none"/>
        </w:rPr>
        <w:t>。</w:t>
      </w:r>
    </w:p>
    <w:p w14:paraId="5C20137B">
      <w:pPr>
        <w:pStyle w:val="119"/>
        <w:autoSpaceDN w:val="0"/>
        <w:spacing w:line="324" w:lineRule="auto"/>
        <w:ind w:left="-283" w:leftChars="-135" w:right="-334" w:rightChars="-159"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b/>
          <w:color w:val="auto"/>
          <w:sz w:val="22"/>
          <w:szCs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2E51D999">
      <w:pPr>
        <w:pStyle w:val="6"/>
        <w:tabs>
          <w:tab w:val="left" w:pos="0"/>
        </w:tabs>
        <w:autoSpaceDN w:val="0"/>
        <w:spacing w:line="324" w:lineRule="auto"/>
        <w:ind w:left="-283" w:leftChars="-135" w:right="-334" w:rightChars="-159"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③</w:t>
      </w:r>
      <w:r>
        <w:rPr>
          <w:rFonts w:hint="eastAsia" w:ascii="宋体" w:hAnsi="宋体" w:eastAsia="宋体" w:cs="宋体"/>
          <w:b/>
          <w:color w:val="auto"/>
          <w:sz w:val="22"/>
          <w:szCs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7CC24162">
      <w:pPr>
        <w:pStyle w:val="6"/>
        <w:tabs>
          <w:tab w:val="left" w:pos="0"/>
        </w:tabs>
        <w:autoSpaceDN w:val="0"/>
        <w:spacing w:line="324" w:lineRule="auto"/>
        <w:ind w:left="-283" w:leftChars="-135" w:right="-334" w:rightChars="-159" w:firstLine="331" w:firstLineChars="150"/>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④发包人有权根据实际情况在发包人推荐的供应商（厂家）或品牌范围内进行调整，承包人须接受调整，并不得因此而要求调价</w:t>
      </w:r>
      <w:r>
        <w:rPr>
          <w:rFonts w:hint="eastAsia" w:ascii="宋体" w:hAnsi="宋体" w:eastAsia="宋体" w:cs="宋体"/>
          <w:color w:val="auto"/>
          <w:kern w:val="0"/>
          <w:sz w:val="22"/>
          <w:szCs w:val="22"/>
          <w:highlight w:val="none"/>
        </w:rPr>
        <w:t>。</w:t>
      </w:r>
    </w:p>
    <w:p w14:paraId="6FB051CB">
      <w:pPr>
        <w:pStyle w:val="6"/>
        <w:tabs>
          <w:tab w:val="left" w:pos="0"/>
        </w:tabs>
        <w:autoSpaceDN w:val="0"/>
        <w:spacing w:line="324" w:lineRule="auto"/>
        <w:ind w:left="-283" w:leftChars="-135" w:right="-334" w:rightChars="-159" w:firstLine="331" w:firstLineChars="150"/>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⑤若磋商响应供应商未明确品牌，采购人将在此表 “推荐品牌或厂家”中指定品牌及型号，磋商报价不予调整。</w:t>
      </w:r>
    </w:p>
    <w:p w14:paraId="5A13CBF4">
      <w:pPr>
        <w:shd w:val="clear" w:color="auto" w:fill="FFFFFF"/>
        <w:autoSpaceDN w:val="0"/>
        <w:spacing w:line="324" w:lineRule="auto"/>
        <w:ind w:left="-283" w:leftChars="-135" w:right="-334" w:rightChars="-159" w:firstLine="331" w:firstLineChars="150"/>
        <w:rPr>
          <w:rFonts w:hint="eastAsia" w:ascii="宋体" w:hAnsi="宋体" w:eastAsia="宋体" w:cs="宋体"/>
          <w:color w:val="auto"/>
          <w:highlight w:val="none"/>
        </w:rPr>
      </w:pPr>
      <w:r>
        <w:rPr>
          <w:rFonts w:hint="eastAsia" w:ascii="宋体" w:hAnsi="宋体" w:eastAsia="宋体" w:cs="宋体"/>
          <w:b/>
          <w:color w:val="auto"/>
          <w:kern w:val="0"/>
          <w:sz w:val="22"/>
          <w:szCs w:val="22"/>
          <w:highlight w:val="none"/>
        </w:rPr>
        <w:t>⑥</w:t>
      </w:r>
      <w:r>
        <w:rPr>
          <w:rFonts w:hint="eastAsia" w:ascii="宋体" w:hAnsi="宋体" w:eastAsia="宋体" w:cs="宋体"/>
          <w:b/>
          <w:color w:val="auto"/>
          <w:kern w:val="0"/>
          <w:sz w:val="22"/>
          <w:szCs w:val="22"/>
          <w:highlight w:val="none"/>
          <w:u w:val="single"/>
        </w:rPr>
        <w:t>请将本表放置在商务技术文件中最后一页。若磋商响应文件未按要求放置或未填写，磋商小组可能做出不利于该磋商响应供应商的评审。</w:t>
      </w:r>
    </w:p>
    <w:p w14:paraId="10E8AFED">
      <w:pPr>
        <w:pStyle w:val="4"/>
        <w:autoSpaceDN w:val="0"/>
        <w:spacing w:before="360"/>
        <w:ind w:firstLine="643"/>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7F43766">
      <w:pPr>
        <w:pStyle w:val="2"/>
        <w:spacing w:before="156" w:after="156"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w:t>
      </w:r>
      <w:r>
        <w:rPr>
          <w:rFonts w:hint="eastAsia" w:ascii="宋体" w:hAnsi="宋体" w:eastAsia="宋体" w:cs="宋体"/>
          <w:bCs/>
          <w:color w:val="auto"/>
          <w:kern w:val="0"/>
          <w:szCs w:val="24"/>
          <w:highlight w:val="none"/>
          <w:lang w:val="en-US" w:eastAsia="zh-CN"/>
        </w:rPr>
        <w:t>0</w:t>
      </w:r>
      <w:r>
        <w:rPr>
          <w:rFonts w:hint="eastAsia" w:ascii="宋体" w:hAnsi="宋体" w:eastAsia="宋体" w:cs="宋体"/>
          <w:bCs/>
          <w:color w:val="auto"/>
          <w:kern w:val="0"/>
          <w:szCs w:val="24"/>
          <w:highlight w:val="none"/>
        </w:rPr>
        <w:t xml:space="preserve"> 关于对竞争性磋商文件中有关条款的拒绝声明</w:t>
      </w:r>
    </w:p>
    <w:p w14:paraId="3254EC05">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关于对竞争性磋商文件中有关条款的拒绝声明</w:t>
      </w:r>
    </w:p>
    <w:p w14:paraId="2EA82349">
      <w:pPr>
        <w:autoSpaceDN w:val="0"/>
        <w:spacing w:line="360" w:lineRule="auto"/>
        <w:rPr>
          <w:rFonts w:hint="eastAsia" w:ascii="宋体" w:hAnsi="宋体" w:eastAsia="宋体" w:cs="宋体"/>
          <w:b/>
          <w:color w:val="auto"/>
          <w:sz w:val="24"/>
          <w:highlight w:val="none"/>
          <w:u w:val="single"/>
        </w:rPr>
      </w:pPr>
    </w:p>
    <w:p w14:paraId="1EEE552F">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42F6A38C">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D2D150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5447684E">
            <w:pPr>
              <w:autoSpaceDN w:val="0"/>
              <w:spacing w:line="360" w:lineRule="auto"/>
              <w:jc w:val="center"/>
              <w:rPr>
                <w:rFonts w:hint="eastAsia" w:ascii="宋体" w:hAnsi="宋体" w:eastAsia="宋体" w:cs="宋体"/>
                <w:color w:val="auto"/>
                <w:sz w:val="22"/>
                <w:szCs w:val="21"/>
                <w:highlight w:val="none"/>
              </w:rPr>
            </w:pPr>
            <w:r>
              <w:rPr>
                <w:rFonts w:hint="eastAsia" w:ascii="宋体" w:hAnsi="宋体" w:eastAsia="宋体" w:cs="宋体"/>
                <w:i/>
                <w:color w:val="auto"/>
                <w:kern w:val="0"/>
                <w:sz w:val="28"/>
                <w:szCs w:val="22"/>
                <w:highlight w:val="none"/>
              </w:rPr>
              <w:t>（标注“▲”的实质性条款不得拒绝，否则投标响应无效）</w:t>
            </w:r>
          </w:p>
        </w:tc>
      </w:tr>
    </w:tbl>
    <w:p w14:paraId="2F63D67D">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0766EBAD">
      <w:pPr>
        <w:autoSpaceDN w:val="0"/>
        <w:snapToGrid w:val="0"/>
        <w:spacing w:line="360" w:lineRule="auto"/>
        <w:rPr>
          <w:rFonts w:hint="eastAsia" w:ascii="宋体" w:hAnsi="宋体" w:eastAsia="宋体" w:cs="宋体"/>
          <w:color w:val="auto"/>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79D36006">
      <w:pPr>
        <w:pStyle w:val="2"/>
        <w:spacing w:before="156" w:after="156"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w:t>
      </w:r>
      <w:r>
        <w:rPr>
          <w:rFonts w:hint="eastAsia" w:ascii="宋体" w:hAnsi="宋体" w:eastAsia="宋体" w:cs="宋体"/>
          <w:bCs/>
          <w:color w:val="auto"/>
          <w:kern w:val="0"/>
          <w:szCs w:val="24"/>
          <w:highlight w:val="none"/>
          <w:lang w:val="en-US" w:eastAsia="zh-CN"/>
        </w:rPr>
        <w:t>1</w:t>
      </w:r>
      <w:r>
        <w:rPr>
          <w:rFonts w:hint="eastAsia" w:ascii="宋体" w:hAnsi="宋体" w:eastAsia="宋体" w:cs="宋体"/>
          <w:bCs/>
          <w:color w:val="auto"/>
          <w:kern w:val="0"/>
          <w:szCs w:val="24"/>
          <w:highlight w:val="none"/>
        </w:rPr>
        <w:t xml:space="preserve"> 其他与技术服务有关的资料或说明（如有）</w:t>
      </w:r>
    </w:p>
    <w:p w14:paraId="741F7A9C">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其他与技术服务有关的资料或说明（如有）</w:t>
      </w:r>
    </w:p>
    <w:p w14:paraId="365C4F50">
      <w:pPr>
        <w:autoSpaceDN w:val="0"/>
        <w:spacing w:line="360" w:lineRule="auto"/>
        <w:rPr>
          <w:rFonts w:hint="eastAsia" w:ascii="宋体" w:hAnsi="宋体" w:eastAsia="宋体" w:cs="宋体"/>
          <w:b/>
          <w:color w:val="auto"/>
          <w:sz w:val="24"/>
          <w:highlight w:val="none"/>
          <w:u w:val="single"/>
        </w:rPr>
      </w:pPr>
    </w:p>
    <w:p w14:paraId="70EA8966">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浙江中医药大学文磊教授实验室改造项目</w:t>
      </w:r>
    </w:p>
    <w:p w14:paraId="7AD77793">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CTZB-2025060529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65F39C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20DED4A4">
            <w:pPr>
              <w:autoSpaceDN w:val="0"/>
              <w:spacing w:line="360" w:lineRule="auto"/>
              <w:jc w:val="center"/>
              <w:rPr>
                <w:rFonts w:hint="eastAsia" w:ascii="宋体" w:hAnsi="宋体" w:eastAsia="宋体" w:cs="宋体"/>
                <w:color w:val="auto"/>
                <w:sz w:val="22"/>
                <w:szCs w:val="21"/>
                <w:highlight w:val="none"/>
              </w:rPr>
            </w:pPr>
            <w:r>
              <w:rPr>
                <w:rFonts w:hint="eastAsia" w:ascii="宋体" w:hAnsi="宋体" w:eastAsia="宋体" w:cs="宋体"/>
                <w:i/>
                <w:color w:val="auto"/>
                <w:sz w:val="28"/>
                <w:szCs w:val="21"/>
                <w:highlight w:val="none"/>
              </w:rPr>
              <w:t>（加盖公章，否则视为未提供）</w:t>
            </w:r>
          </w:p>
        </w:tc>
      </w:tr>
    </w:tbl>
    <w:p w14:paraId="0D5F07FE">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5D324D56">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0415C4E7">
      <w:pPr>
        <w:pStyle w:val="68"/>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E4F4D88">
      <w:pPr>
        <w:pStyle w:val="6"/>
        <w:autoSpaceDN w:val="0"/>
        <w:rPr>
          <w:rFonts w:hint="eastAsia" w:ascii="宋体" w:hAnsi="宋体" w:eastAsia="宋体" w:cs="宋体"/>
          <w:color w:val="auto"/>
          <w:highlight w:val="none"/>
        </w:rPr>
      </w:pPr>
    </w:p>
    <w:p w14:paraId="74C2FDDB">
      <w:pPr>
        <w:pStyle w:val="4"/>
        <w:autoSpaceDN w:val="0"/>
        <w:spacing w:before="360"/>
        <w:ind w:firstLine="0" w:firstLineChars="0"/>
        <w:rPr>
          <w:rFonts w:hint="eastAsia" w:ascii="宋体" w:hAnsi="宋体" w:eastAsia="宋体" w:cs="宋体"/>
          <w:color w:val="auto"/>
          <w:sz w:val="28"/>
          <w:szCs w:val="28"/>
          <w:highlight w:val="none"/>
        </w:rPr>
      </w:pPr>
      <w:bookmarkStart w:id="183" w:name="_Toc422431990"/>
      <w:bookmarkStart w:id="184" w:name="_Toc345575534"/>
      <w:bookmarkStart w:id="185" w:name="_Toc12784"/>
      <w:bookmarkStart w:id="186" w:name="_Toc12366"/>
      <w:r>
        <w:rPr>
          <w:rFonts w:hint="eastAsia" w:ascii="宋体" w:hAnsi="宋体" w:eastAsia="宋体" w:cs="宋体"/>
          <w:color w:val="auto"/>
          <w:sz w:val="28"/>
          <w:szCs w:val="28"/>
          <w:highlight w:val="none"/>
        </w:rPr>
        <w:t>第三部分“报价文件</w:t>
      </w:r>
      <w:bookmarkEnd w:id="183"/>
      <w:bookmarkEnd w:id="184"/>
      <w:r>
        <w:rPr>
          <w:rFonts w:hint="eastAsia" w:ascii="宋体" w:hAnsi="宋体" w:eastAsia="宋体" w:cs="宋体"/>
          <w:color w:val="auto"/>
          <w:sz w:val="28"/>
          <w:szCs w:val="28"/>
          <w:highlight w:val="none"/>
        </w:rPr>
        <w:t>”格式</w:t>
      </w:r>
      <w:bookmarkEnd w:id="185"/>
      <w:bookmarkEnd w:id="186"/>
    </w:p>
    <w:p w14:paraId="69CFFF54">
      <w:pPr>
        <w:pStyle w:val="2"/>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3-1 “报价文件”封面</w:t>
      </w:r>
    </w:p>
    <w:p w14:paraId="2C74DBBA">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14:paraId="6F581F8B">
      <w:pPr>
        <w:autoSpaceDN w:val="0"/>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kern w:val="0"/>
          <w:sz w:val="52"/>
          <w:szCs w:val="90"/>
          <w:highlight w:val="none"/>
        </w:rPr>
        <w:t>浙江省政府采购电子交易项目</w:t>
      </w:r>
    </w:p>
    <w:p w14:paraId="21146A19">
      <w:pPr>
        <w:autoSpaceDN w:val="0"/>
        <w:spacing w:line="360" w:lineRule="auto"/>
        <w:rPr>
          <w:rFonts w:hint="eastAsia" w:ascii="宋体" w:hAnsi="宋体" w:eastAsia="宋体" w:cs="宋体"/>
          <w:color w:val="auto"/>
          <w:sz w:val="24"/>
          <w:highlight w:val="none"/>
        </w:rPr>
      </w:pPr>
    </w:p>
    <w:p w14:paraId="716EC343">
      <w:pPr>
        <w:autoSpaceDN w:val="0"/>
        <w:spacing w:line="276" w:lineRule="auto"/>
        <w:jc w:val="center"/>
        <w:rPr>
          <w:rFonts w:hint="eastAsia" w:ascii="宋体" w:hAnsi="宋体" w:eastAsia="宋体" w:cs="宋体"/>
          <w:color w:val="auto"/>
          <w:kern w:val="0"/>
          <w:sz w:val="120"/>
          <w:szCs w:val="120"/>
          <w:highlight w:val="none"/>
        </w:rPr>
      </w:pPr>
      <w:r>
        <w:rPr>
          <w:rFonts w:hint="eastAsia" w:ascii="宋体" w:hAnsi="宋体" w:eastAsia="宋体" w:cs="宋体"/>
          <w:color w:val="auto"/>
          <w:kern w:val="0"/>
          <w:sz w:val="120"/>
          <w:szCs w:val="120"/>
          <w:highlight w:val="none"/>
        </w:rPr>
        <w:t>磋商响应文件</w:t>
      </w:r>
    </w:p>
    <w:p w14:paraId="341D8F26">
      <w:pPr>
        <w:autoSpaceDN w:val="0"/>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（三、报价文件）</w:t>
      </w:r>
    </w:p>
    <w:p w14:paraId="17FE71A4">
      <w:pPr>
        <w:autoSpaceDN w:val="0"/>
        <w:spacing w:line="360" w:lineRule="auto"/>
        <w:jc w:val="center"/>
        <w:rPr>
          <w:rFonts w:hint="eastAsia" w:ascii="宋体" w:hAnsi="宋体" w:eastAsia="宋体" w:cs="宋体"/>
          <w:color w:val="auto"/>
          <w:sz w:val="24"/>
          <w:highlight w:val="none"/>
        </w:rPr>
      </w:pPr>
    </w:p>
    <w:tbl>
      <w:tblPr>
        <w:tblStyle w:val="51"/>
        <w:tblW w:w="0" w:type="auto"/>
        <w:tblInd w:w="108" w:type="dxa"/>
        <w:tblLayout w:type="fixed"/>
        <w:tblCellMar>
          <w:top w:w="0" w:type="dxa"/>
          <w:left w:w="108" w:type="dxa"/>
          <w:bottom w:w="0" w:type="dxa"/>
          <w:right w:w="108" w:type="dxa"/>
        </w:tblCellMar>
      </w:tblPr>
      <w:tblGrid>
        <w:gridCol w:w="8931"/>
      </w:tblGrid>
      <w:tr w14:paraId="6D24BC04">
        <w:tblPrEx>
          <w:tblCellMar>
            <w:top w:w="0" w:type="dxa"/>
            <w:left w:w="108" w:type="dxa"/>
            <w:bottom w:w="0" w:type="dxa"/>
            <w:right w:w="108" w:type="dxa"/>
          </w:tblCellMar>
        </w:tblPrEx>
        <w:trPr>
          <w:trHeight w:val="680" w:hRule="atLeast"/>
        </w:trPr>
        <w:tc>
          <w:tcPr>
            <w:tcW w:w="8931" w:type="dxa"/>
            <w:vAlign w:val="center"/>
          </w:tcPr>
          <w:p w14:paraId="047F5612">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color w:val="auto"/>
                <w:w w:val="90"/>
                <w:sz w:val="28"/>
                <w:szCs w:val="28"/>
                <w:highlight w:val="none"/>
                <w:lang w:eastAsia="zh-CN"/>
              </w:rPr>
              <w:t>浙江中医药大学文磊教授实验室改造项目</w:t>
            </w:r>
          </w:p>
        </w:tc>
      </w:tr>
      <w:tr w14:paraId="6A5C5E51">
        <w:tblPrEx>
          <w:tblCellMar>
            <w:top w:w="0" w:type="dxa"/>
            <w:left w:w="108" w:type="dxa"/>
            <w:bottom w:w="0" w:type="dxa"/>
            <w:right w:w="108" w:type="dxa"/>
          </w:tblCellMar>
        </w:tblPrEx>
        <w:trPr>
          <w:trHeight w:val="680" w:hRule="atLeast"/>
        </w:trPr>
        <w:tc>
          <w:tcPr>
            <w:tcW w:w="8931" w:type="dxa"/>
            <w:vAlign w:val="center"/>
          </w:tcPr>
          <w:p w14:paraId="5275C9C7">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CTZB-2025060529</w:t>
            </w:r>
          </w:p>
        </w:tc>
      </w:tr>
      <w:tr w14:paraId="25FC2D3D">
        <w:tblPrEx>
          <w:tblCellMar>
            <w:top w:w="0" w:type="dxa"/>
            <w:left w:w="108" w:type="dxa"/>
            <w:bottom w:w="0" w:type="dxa"/>
            <w:right w:w="108" w:type="dxa"/>
          </w:tblCellMar>
        </w:tblPrEx>
        <w:trPr>
          <w:trHeight w:val="680" w:hRule="atLeast"/>
        </w:trPr>
        <w:tc>
          <w:tcPr>
            <w:tcW w:w="8931" w:type="dxa"/>
            <w:vAlign w:val="center"/>
          </w:tcPr>
          <w:p w14:paraId="709867D8">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磋商响应供应商名称（盖章）：</w:t>
            </w:r>
            <w:r>
              <w:rPr>
                <w:rFonts w:hint="eastAsia" w:ascii="宋体" w:hAnsi="宋体" w:eastAsia="宋体" w:cs="宋体"/>
                <w:color w:val="auto"/>
                <w:w w:val="90"/>
                <w:kern w:val="0"/>
                <w:sz w:val="22"/>
                <w:szCs w:val="22"/>
                <w:highlight w:val="none"/>
              </w:rPr>
              <w:t>_________________________________________________</w:t>
            </w:r>
          </w:p>
        </w:tc>
      </w:tr>
      <w:tr w14:paraId="479A4F99">
        <w:tblPrEx>
          <w:tblCellMar>
            <w:top w:w="0" w:type="dxa"/>
            <w:left w:w="108" w:type="dxa"/>
            <w:bottom w:w="0" w:type="dxa"/>
            <w:right w:w="108" w:type="dxa"/>
          </w:tblCellMar>
        </w:tblPrEx>
        <w:trPr>
          <w:trHeight w:val="680" w:hRule="atLeast"/>
        </w:trPr>
        <w:tc>
          <w:tcPr>
            <w:tcW w:w="8931" w:type="dxa"/>
            <w:vAlign w:val="center"/>
          </w:tcPr>
          <w:p w14:paraId="67FA5994">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磋商响应供应商地址：</w:t>
            </w:r>
            <w:r>
              <w:rPr>
                <w:rFonts w:hint="eastAsia" w:ascii="宋体" w:hAnsi="宋体" w:eastAsia="宋体" w:cs="宋体"/>
                <w:color w:val="auto"/>
                <w:w w:val="90"/>
                <w:kern w:val="0"/>
                <w:sz w:val="22"/>
                <w:szCs w:val="22"/>
                <w:highlight w:val="none"/>
              </w:rPr>
              <w:t>___________________________________________________________</w:t>
            </w:r>
          </w:p>
        </w:tc>
      </w:tr>
      <w:tr w14:paraId="03B37CF7">
        <w:tblPrEx>
          <w:tblCellMar>
            <w:top w:w="0" w:type="dxa"/>
            <w:left w:w="108" w:type="dxa"/>
            <w:bottom w:w="0" w:type="dxa"/>
            <w:right w:w="108" w:type="dxa"/>
          </w:tblCellMar>
        </w:tblPrEx>
        <w:trPr>
          <w:trHeight w:val="680" w:hRule="atLeast"/>
        </w:trPr>
        <w:tc>
          <w:tcPr>
            <w:tcW w:w="8931" w:type="dxa"/>
            <w:vAlign w:val="center"/>
          </w:tcPr>
          <w:p w14:paraId="2CC7E375">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w:t>磋商响应供应商联系电话：</w:t>
            </w:r>
            <w:r>
              <w:rPr>
                <w:rFonts w:hint="eastAsia" w:ascii="宋体" w:hAnsi="宋体" w:eastAsia="宋体" w:cs="宋体"/>
                <w:color w:val="auto"/>
                <w:w w:val="90"/>
                <w:kern w:val="0"/>
                <w:sz w:val="22"/>
                <w:szCs w:val="22"/>
                <w:highlight w:val="none"/>
              </w:rPr>
              <w:t>______________________________________________________</w:t>
            </w:r>
          </w:p>
        </w:tc>
      </w:tr>
      <w:tr w14:paraId="16D06716">
        <w:tblPrEx>
          <w:tblCellMar>
            <w:top w:w="0" w:type="dxa"/>
            <w:left w:w="108" w:type="dxa"/>
            <w:bottom w:w="0" w:type="dxa"/>
            <w:right w:w="108" w:type="dxa"/>
          </w:tblCellMar>
        </w:tblPrEx>
        <w:trPr>
          <w:trHeight w:val="680" w:hRule="atLeast"/>
        </w:trPr>
        <w:tc>
          <w:tcPr>
            <w:tcW w:w="8931" w:type="dxa"/>
            <w:vAlign w:val="center"/>
          </w:tcPr>
          <w:p w14:paraId="23F50758">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4FF359E1">
        <w:tblPrEx>
          <w:tblCellMar>
            <w:top w:w="0" w:type="dxa"/>
            <w:left w:w="108" w:type="dxa"/>
            <w:bottom w:w="0" w:type="dxa"/>
            <w:right w:w="108" w:type="dxa"/>
          </w:tblCellMar>
        </w:tblPrEx>
        <w:trPr>
          <w:trHeight w:val="680" w:hRule="atLeast"/>
        </w:trPr>
        <w:tc>
          <w:tcPr>
            <w:tcW w:w="8931" w:type="dxa"/>
            <w:vAlign w:val="center"/>
          </w:tcPr>
          <w:p w14:paraId="0505CFBA">
            <w:pPr>
              <w:autoSpaceDN w:val="0"/>
              <w:jc w:val="center"/>
              <w:rPr>
                <w:rFonts w:hint="eastAsia" w:ascii="宋体" w:hAnsi="宋体" w:eastAsia="宋体" w:cs="宋体"/>
                <w:b/>
                <w:color w:val="auto"/>
                <w:sz w:val="28"/>
                <w:szCs w:val="28"/>
                <w:highlight w:val="none"/>
              </w:rPr>
            </w:pPr>
            <w:r>
              <w:rPr>
                <w:rFonts w:hint="eastAsia" w:ascii="宋体" w:hAnsi="宋体" w:eastAsia="宋体" w:cs="宋体"/>
                <w:color w:val="auto"/>
                <w:sz w:val="28"/>
                <w:highlight w:val="none"/>
              </w:rPr>
              <w:t>投标截止时间前其他单位或个人不得解密、提取</w:t>
            </w:r>
          </w:p>
        </w:tc>
      </w:tr>
    </w:tbl>
    <w:p w14:paraId="6C2DBDED">
      <w:pPr>
        <w:pStyle w:val="2"/>
        <w:spacing w:before="120" w:after="120"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color w:val="auto"/>
          <w:szCs w:val="32"/>
          <w:highlight w:val="none"/>
        </w:rPr>
        <w:br w:type="page"/>
      </w:r>
      <w:r>
        <w:rPr>
          <w:rFonts w:hint="eastAsia" w:ascii="宋体" w:hAnsi="宋体" w:eastAsia="宋体" w:cs="宋体"/>
          <w:bCs/>
          <w:color w:val="auto"/>
          <w:kern w:val="0"/>
          <w:sz w:val="28"/>
          <w:szCs w:val="28"/>
          <w:highlight w:val="none"/>
        </w:rPr>
        <w:t>3-2▲投标函</w:t>
      </w:r>
    </w:p>
    <w:p w14:paraId="237D9489">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0"/>
          <w:highlight w:val="none"/>
        </w:rPr>
        <w:t>投标函</w:t>
      </w:r>
    </w:p>
    <w:p w14:paraId="57E108CA">
      <w:pPr>
        <w:autoSpaceDN w:val="0"/>
        <w:spacing w:after="240" w:afterLines="10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eastAsia="zh-CN"/>
        </w:rPr>
        <w:t>浙江中医药大学</w:t>
      </w:r>
      <w:r>
        <w:rPr>
          <w:rFonts w:hint="eastAsia" w:ascii="宋体" w:hAnsi="宋体" w:eastAsia="宋体" w:cs="宋体"/>
          <w:b/>
          <w:bCs/>
          <w:color w:val="auto"/>
          <w:sz w:val="24"/>
          <w:highlight w:val="none"/>
        </w:rPr>
        <w:t>：</w:t>
      </w:r>
    </w:p>
    <w:p w14:paraId="47F61E33">
      <w:pPr>
        <w:pStyle w:val="68"/>
        <w:spacing w:line="48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1．我方已仔细研究了</w:t>
      </w:r>
      <w:r>
        <w:rPr>
          <w:rFonts w:hint="eastAsia" w:hAnsi="宋体" w:cs="宋体"/>
          <w:color w:val="auto"/>
          <w:highlight w:val="none"/>
          <w:u w:val="single"/>
          <w:lang w:eastAsia="zh-CN"/>
        </w:rPr>
        <w:t>浙江中医药大学文磊教授实验室改造项目</w:t>
      </w:r>
      <w:r>
        <w:rPr>
          <w:rFonts w:hint="eastAsia" w:ascii="宋体" w:hAnsi="宋体" w:eastAsia="宋体" w:cs="宋体"/>
          <w:color w:val="auto"/>
          <w:highlight w:val="none"/>
          <w:u w:val="single"/>
        </w:rPr>
        <w:t>（项目编号：</w:t>
      </w:r>
      <w:r>
        <w:rPr>
          <w:rFonts w:hint="eastAsia" w:hAnsi="宋体" w:cs="宋体"/>
          <w:color w:val="auto"/>
          <w:highlight w:val="none"/>
          <w:u w:val="single"/>
          <w:lang w:eastAsia="zh-CN"/>
        </w:rPr>
        <w:t>CTZB-2025060529</w:t>
      </w:r>
      <w:r>
        <w:rPr>
          <w:rFonts w:hint="eastAsia" w:ascii="宋体" w:hAnsi="宋体" w:eastAsia="宋体" w:cs="宋体"/>
          <w:color w:val="auto"/>
          <w:highlight w:val="none"/>
          <w:u w:val="single"/>
        </w:rPr>
        <w:t>）</w:t>
      </w:r>
      <w:r>
        <w:rPr>
          <w:rFonts w:hint="eastAsia" w:ascii="宋体" w:hAnsi="宋体" w:eastAsia="宋体" w:cs="宋体"/>
          <w:color w:val="auto"/>
          <w:highlight w:val="none"/>
        </w:rPr>
        <w:t>施工磋商文件的全部内容，愿意以人民币</w:t>
      </w:r>
      <w:r>
        <w:rPr>
          <w:rFonts w:hint="eastAsia" w:ascii="宋体" w:hAnsi="宋体" w:eastAsia="宋体" w:cs="宋体"/>
          <w:color w:val="auto"/>
          <w:highlight w:val="none"/>
          <w:u w:val="single"/>
        </w:rPr>
        <w:t xml:space="preserve"> （大写）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）的磋商总报价，工期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 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，按合同约定实施和完成承包工程，修补工程中的任何缺陷，工程质量达到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A10DD27">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2．我方承诺在竞争性磋商有效期内不修改、撤销磋商响应文件。</w:t>
      </w:r>
    </w:p>
    <w:p w14:paraId="5A16AC6B">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3．如我方成交：</w:t>
      </w:r>
    </w:p>
    <w:p w14:paraId="73D719DF">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（1）我方承诺在收到成交通知书后，在成交通知书规定的期限内与你方签订合同。</w:t>
      </w:r>
    </w:p>
    <w:p w14:paraId="4F638163">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（2）我方承诺按照磋商文件规定向你方递交预付款担保。</w:t>
      </w:r>
    </w:p>
    <w:p w14:paraId="19E89E57">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（3）我方承诺在合同约定的期限内完成并移交全部合同工程。</w:t>
      </w:r>
    </w:p>
    <w:p w14:paraId="5BD26182">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4．我方在此声明，所递交的磋商响应文件及有关资料内容完整、真实和准确。</w:t>
      </w:r>
    </w:p>
    <w:p w14:paraId="299B61BC">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3A3EA0DE">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说明：</w:t>
      </w:r>
      <w:r>
        <w:rPr>
          <w:rFonts w:hint="eastAsia" w:ascii="宋体" w:hAnsi="宋体" w:eastAsia="宋体" w:cs="宋体"/>
          <w:b/>
          <w:color w:val="auto"/>
          <w:kern w:val="0"/>
          <w:sz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宋体" w:hAnsi="宋体" w:eastAsia="宋体" w:cs="宋体"/>
          <w:b/>
          <w:color w:val="auto"/>
          <w:kern w:val="0"/>
          <w:sz w:val="24"/>
          <w:highlight w:val="none"/>
        </w:rPr>
        <w:t>。</w:t>
      </w:r>
    </w:p>
    <w:p w14:paraId="1CC1D1B7">
      <w:pPr>
        <w:autoSpaceDN w:val="0"/>
        <w:spacing w:line="360" w:lineRule="auto"/>
        <w:rPr>
          <w:rFonts w:hint="eastAsia" w:ascii="宋体" w:hAnsi="宋体" w:eastAsia="宋体" w:cs="宋体"/>
          <w:color w:val="auto"/>
          <w:sz w:val="24"/>
          <w:highlight w:val="none"/>
        </w:rPr>
      </w:pPr>
    </w:p>
    <w:p w14:paraId="0743255A">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磋商响应供应商（盖章）：</w:t>
      </w:r>
    </w:p>
    <w:p w14:paraId="10EEEBE0">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594B17F9">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C1CF976">
      <w:pPr>
        <w:autoSpaceDN w:val="0"/>
        <w:spacing w:line="360" w:lineRule="auto"/>
        <w:ind w:firstLine="240" w:firstLineChars="100"/>
        <w:rPr>
          <w:rFonts w:hint="eastAsia" w:ascii="宋体" w:hAnsi="宋体" w:eastAsia="宋体" w:cs="宋体"/>
          <w:color w:val="auto"/>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highlight w:val="none"/>
        </w:rPr>
        <w:t>年 月 日</w:t>
      </w:r>
    </w:p>
    <w:p w14:paraId="5476D016">
      <w:pPr>
        <w:pStyle w:val="2"/>
        <w:spacing w:before="156" w:after="156"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3-3工程量清单及计价表式（</w:t>
      </w:r>
      <w:r>
        <w:rPr>
          <w:rFonts w:hint="eastAsia" w:ascii="宋体" w:hAnsi="宋体" w:eastAsia="宋体" w:cs="宋体"/>
          <w:bCs/>
          <w:color w:val="auto"/>
          <w:kern w:val="0"/>
          <w:sz w:val="28"/>
          <w:szCs w:val="28"/>
          <w:highlight w:val="none"/>
        </w:rPr>
        <w:t>具体按清单格式</w:t>
      </w:r>
      <w:r>
        <w:rPr>
          <w:rFonts w:hint="eastAsia" w:ascii="宋体" w:hAnsi="宋体" w:eastAsia="宋体" w:cs="宋体"/>
          <w:bCs/>
          <w:color w:val="auto"/>
          <w:kern w:val="0"/>
          <w:sz w:val="28"/>
          <w:szCs w:val="28"/>
          <w:highlight w:val="none"/>
        </w:rPr>
        <w:t>）：</w:t>
      </w:r>
    </w:p>
    <w:p w14:paraId="691AC8CF">
      <w:pPr>
        <w:tabs>
          <w:tab w:val="center" w:pos="4755"/>
          <w:tab w:val="right" w:pos="9070"/>
        </w:tabs>
        <w:autoSpaceDN w:val="0"/>
        <w:spacing w:line="440" w:lineRule="exact"/>
        <w:ind w:firstLine="110" w:firstLineChars="50"/>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格式一：</w:t>
      </w:r>
    </w:p>
    <w:p w14:paraId="4603764C">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szCs w:val="22"/>
          <w:highlight w:val="none"/>
        </w:rPr>
      </w:pPr>
    </w:p>
    <w:p w14:paraId="22C4592B">
      <w:pPr>
        <w:pStyle w:val="5"/>
        <w:autoSpaceDN w:val="0"/>
        <w:ind w:firstLine="80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磋商总价</w:t>
      </w:r>
    </w:p>
    <w:p w14:paraId="671EEB72">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szCs w:val="22"/>
          <w:highlight w:val="none"/>
        </w:rPr>
      </w:pPr>
    </w:p>
    <w:p w14:paraId="587ABB03">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2B0E90EA">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599AA460">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718C325B">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40C48D6A">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（单位盖章）</w:t>
      </w:r>
    </w:p>
    <w:p w14:paraId="2B0ED442">
      <w:pPr>
        <w:pStyle w:val="45"/>
        <w:autoSpaceDN w:val="0"/>
        <w:spacing w:before="0" w:beforeAutospacing="0" w:line="720" w:lineRule="auto"/>
        <w:ind w:left="1260" w:left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315CB849">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0BF08850">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30D2FCCC">
      <w:pPr>
        <w:pStyle w:val="5"/>
        <w:autoSpaceDN w:val="0"/>
        <w:ind w:firstLine="0" w:firstLineChars="0"/>
        <w:rPr>
          <w:rFonts w:hint="eastAsia" w:ascii="宋体" w:hAnsi="宋体" w:eastAsia="宋体" w:cs="宋体"/>
          <w:b w:val="0"/>
          <w:color w:val="auto"/>
          <w:kern w:val="0"/>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highlight w:val="none"/>
        </w:rPr>
        <w:t>工程量清单报价说明</w:t>
      </w:r>
    </w:p>
    <w:p w14:paraId="09469637">
      <w:pPr>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EEB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noWrap/>
          </w:tcPr>
          <w:p w14:paraId="36A1AEB3">
            <w:pPr>
              <w:autoSpaceDN w:val="0"/>
              <w:rPr>
                <w:rFonts w:hint="eastAsia" w:ascii="宋体" w:hAnsi="宋体" w:eastAsia="宋体" w:cs="宋体"/>
                <w:color w:val="auto"/>
                <w:sz w:val="24"/>
                <w:highlight w:val="none"/>
              </w:rPr>
            </w:pPr>
          </w:p>
        </w:tc>
      </w:tr>
    </w:tbl>
    <w:p w14:paraId="1EACD880">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040A45C7">
      <w:pPr>
        <w:autoSpaceDN w:val="0"/>
        <w:snapToGrid w:val="0"/>
        <w:spacing w:line="360" w:lineRule="auto"/>
        <w:rPr>
          <w:rFonts w:hint="eastAsia" w:ascii="宋体" w:hAnsi="宋体" w:eastAsia="宋体" w:cs="宋体"/>
          <w:color w:val="auto"/>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w:t>
      </w:r>
    </w:p>
    <w:bookmarkEnd w:id="147"/>
    <w:bookmarkEnd w:id="148"/>
    <w:bookmarkEnd w:id="149"/>
    <w:p w14:paraId="694933E0">
      <w:pPr>
        <w:pStyle w:val="2"/>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3-4 其他与报价有关的资料或说明（如有）</w:t>
      </w:r>
    </w:p>
    <w:p w14:paraId="2163AA7E">
      <w:pPr>
        <w:autoSpaceDN w:val="0"/>
        <w:spacing w:before="240"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szCs w:val="44"/>
          <w:highlight w:val="none"/>
        </w:rPr>
        <w:t>其他资料或说明</w:t>
      </w:r>
    </w:p>
    <w:tbl>
      <w:tblPr>
        <w:tblStyle w:val="51"/>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721F8E2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5EDB9AEF">
            <w:pPr>
              <w:autoSpaceDN w:val="0"/>
              <w:spacing w:line="360" w:lineRule="auto"/>
              <w:jc w:val="center"/>
              <w:rPr>
                <w:rFonts w:hint="eastAsia" w:ascii="宋体" w:hAnsi="宋体" w:eastAsia="宋体" w:cs="宋体"/>
                <w:i/>
                <w:color w:val="auto"/>
                <w:sz w:val="28"/>
                <w:szCs w:val="21"/>
                <w:highlight w:val="none"/>
              </w:rPr>
            </w:pPr>
            <w:r>
              <w:rPr>
                <w:rFonts w:hint="eastAsia" w:ascii="宋体" w:hAnsi="宋体" w:eastAsia="宋体" w:cs="宋体"/>
                <w:i/>
                <w:color w:val="auto"/>
                <w:sz w:val="28"/>
                <w:szCs w:val="21"/>
                <w:highlight w:val="none"/>
              </w:rPr>
              <w:t>（加盖公章，否则视为未提供）</w:t>
            </w:r>
          </w:p>
        </w:tc>
      </w:tr>
    </w:tbl>
    <w:p w14:paraId="43C64C03">
      <w:pPr>
        <w:autoSpaceDN w:val="0"/>
        <w:spacing w:after="360" w:afterLines="150"/>
        <w:rPr>
          <w:rFonts w:hint="eastAsia" w:ascii="宋体" w:hAnsi="宋体" w:eastAsia="宋体" w:cs="宋体"/>
          <w:color w:val="auto"/>
          <w:szCs w:val="21"/>
          <w:highlight w:val="none"/>
        </w:rPr>
        <w:sectPr>
          <w:headerReference r:id="rId11" w:type="default"/>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D8201F">
      <w:pPr>
        <w:pStyle w:val="3"/>
        <w:autoSpaceDN w:val="0"/>
        <w:spacing w:before="240"/>
        <w:rPr>
          <w:rFonts w:hint="eastAsia" w:ascii="宋体" w:hAnsi="宋体" w:eastAsia="宋体" w:cs="宋体"/>
          <w:bCs/>
          <w:color w:val="auto"/>
          <w:kern w:val="44"/>
          <w:sz w:val="44"/>
          <w:szCs w:val="44"/>
          <w:highlight w:val="none"/>
        </w:rPr>
      </w:pPr>
      <w:bookmarkStart w:id="187" w:name="_Toc23664"/>
      <w:r>
        <w:rPr>
          <w:rFonts w:hint="eastAsia" w:ascii="宋体" w:hAnsi="宋体" w:eastAsia="宋体" w:cs="宋体"/>
          <w:bCs/>
          <w:color w:val="auto"/>
          <w:kern w:val="44"/>
          <w:sz w:val="44"/>
          <w:szCs w:val="44"/>
          <w:highlight w:val="none"/>
        </w:rPr>
        <w:t>第七章  评审办法</w:t>
      </w:r>
      <w:bookmarkEnd w:id="187"/>
    </w:p>
    <w:p w14:paraId="11ABB523">
      <w:pPr>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为公正、公平、科学地选择中标（成交）供应商，根据《政府采购竞争性磋商采购方式管理暂行办法》等有关法律法规的规定，并结合本项目的实际，制定本办法。</w:t>
      </w:r>
    </w:p>
    <w:p w14:paraId="6002AA06">
      <w:pPr>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本办法适用于</w:t>
      </w:r>
      <w:r>
        <w:rPr>
          <w:rFonts w:hint="eastAsia" w:ascii="宋体" w:hAnsi="宋体" w:cs="宋体"/>
          <w:b/>
          <w:color w:val="auto"/>
          <w:sz w:val="21"/>
          <w:szCs w:val="21"/>
          <w:highlight w:val="none"/>
          <w:u w:val="single"/>
          <w:lang w:eastAsia="zh-CN"/>
        </w:rPr>
        <w:t>浙江中医药大学文磊教授实验室改造项目</w:t>
      </w:r>
      <w:r>
        <w:rPr>
          <w:rFonts w:hint="eastAsia" w:ascii="宋体" w:hAnsi="宋体" w:eastAsia="宋体" w:cs="宋体"/>
          <w:b/>
          <w:color w:val="auto"/>
          <w:sz w:val="21"/>
          <w:szCs w:val="21"/>
          <w:highlight w:val="none"/>
          <w:u w:val="single"/>
        </w:rPr>
        <w:t>（项目编号：</w:t>
      </w:r>
      <w:r>
        <w:rPr>
          <w:rFonts w:hint="eastAsia" w:ascii="宋体" w:hAnsi="宋体" w:cs="宋体"/>
          <w:b/>
          <w:color w:val="auto"/>
          <w:sz w:val="21"/>
          <w:szCs w:val="21"/>
          <w:highlight w:val="none"/>
          <w:u w:val="single"/>
          <w:lang w:eastAsia="zh-CN"/>
        </w:rPr>
        <w:t>CTZB-2025060529</w:t>
      </w:r>
      <w:r>
        <w:rPr>
          <w:rFonts w:hint="eastAsia" w:ascii="宋体" w:hAnsi="宋体" w:eastAsia="宋体" w:cs="宋体"/>
          <w:b/>
          <w:color w:val="auto"/>
          <w:sz w:val="21"/>
          <w:szCs w:val="21"/>
          <w:highlight w:val="none"/>
          <w:u w:val="single"/>
        </w:rPr>
        <w:t>）</w:t>
      </w:r>
      <w:r>
        <w:rPr>
          <w:rFonts w:hint="eastAsia" w:ascii="宋体" w:hAnsi="宋体" w:eastAsia="宋体" w:cs="宋体"/>
          <w:color w:val="auto"/>
          <w:kern w:val="0"/>
          <w:sz w:val="21"/>
          <w:szCs w:val="21"/>
          <w:highlight w:val="none"/>
        </w:rPr>
        <w:t>的评审。</w:t>
      </w:r>
    </w:p>
    <w:p w14:paraId="35C45747">
      <w:pPr>
        <w:pStyle w:val="4"/>
        <w:autoSpaceDN w:val="0"/>
        <w:spacing w:before="360"/>
        <w:ind w:firstLine="0" w:firstLineChars="0"/>
        <w:rPr>
          <w:rFonts w:hint="eastAsia" w:ascii="宋体" w:hAnsi="宋体" w:eastAsia="宋体" w:cs="宋体"/>
          <w:color w:val="auto"/>
          <w:sz w:val="21"/>
          <w:szCs w:val="21"/>
          <w:highlight w:val="none"/>
        </w:rPr>
      </w:pPr>
      <w:bookmarkStart w:id="188" w:name="_Toc15230"/>
      <w:bookmarkStart w:id="189" w:name="_Toc482590097"/>
      <w:bookmarkStart w:id="190" w:name="_Toc520824345"/>
      <w:bookmarkStart w:id="191" w:name="_Toc8133"/>
      <w:r>
        <w:rPr>
          <w:rFonts w:hint="eastAsia" w:ascii="宋体" w:hAnsi="宋体" w:eastAsia="宋体" w:cs="宋体"/>
          <w:color w:val="auto"/>
          <w:sz w:val="21"/>
          <w:szCs w:val="21"/>
          <w:highlight w:val="none"/>
        </w:rPr>
        <w:t>一、总则</w:t>
      </w:r>
      <w:bookmarkEnd w:id="188"/>
      <w:bookmarkEnd w:id="189"/>
      <w:bookmarkEnd w:id="190"/>
      <w:bookmarkEnd w:id="191"/>
    </w:p>
    <w:p w14:paraId="2E40A8F8">
      <w:pPr>
        <w:autoSpaceDE w:val="0"/>
        <w:autoSpaceDN w:val="0"/>
        <w:adjustRightInd w:val="0"/>
        <w:spacing w:line="360" w:lineRule="auto"/>
        <w:ind w:firstLine="405" w:firstLineChars="192"/>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本项目为工程类项目，采用综合评分法，满分100分，</w:t>
      </w:r>
      <w:r>
        <w:rPr>
          <w:rFonts w:hint="eastAsia" w:ascii="宋体" w:hAnsi="宋体" w:eastAsia="宋体" w:cs="宋体"/>
          <w:b/>
          <w:color w:val="auto"/>
          <w:sz w:val="21"/>
          <w:szCs w:val="21"/>
          <w:highlight w:val="none"/>
        </w:rPr>
        <w:t>其中包括“商务技术”</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0分、“最终报价”</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r>
        <w:rPr>
          <w:rFonts w:hint="eastAsia" w:ascii="宋体" w:hAnsi="宋体" w:eastAsia="宋体" w:cs="宋体"/>
          <w:color w:val="auto"/>
          <w:sz w:val="21"/>
          <w:szCs w:val="21"/>
          <w:highlight w:val="none"/>
        </w:rPr>
        <w:t>磋商小组将对经磋商确定最终采购需求和提交最后报价的磋商响应供应商，根据商务技术、最终报价情况由各成员独立记名打分。评分过程中采用四舍五入法，并保留小数2位。</w:t>
      </w:r>
    </w:p>
    <w:p w14:paraId="37C81F3E">
      <w:pPr>
        <w:autoSpaceDE w:val="0"/>
        <w:autoSpaceDN w:val="0"/>
        <w:adjustRightInd w:val="0"/>
        <w:spacing w:line="360" w:lineRule="auto"/>
        <w:ind w:firstLine="405" w:firstLineChars="19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磋商响应供应商最终得分=商务技术分+最后报价分</w:t>
      </w:r>
    </w:p>
    <w:p w14:paraId="289E5141">
      <w:pPr>
        <w:pStyle w:val="4"/>
        <w:autoSpaceDN w:val="0"/>
        <w:spacing w:before="360"/>
        <w:ind w:firstLine="0" w:firstLineChars="0"/>
        <w:rPr>
          <w:rFonts w:hint="eastAsia" w:ascii="宋体" w:hAnsi="宋体" w:eastAsia="宋体" w:cs="宋体"/>
          <w:color w:val="auto"/>
          <w:sz w:val="21"/>
          <w:szCs w:val="21"/>
          <w:highlight w:val="none"/>
        </w:rPr>
      </w:pPr>
      <w:bookmarkStart w:id="192" w:name="_Toc14055"/>
      <w:bookmarkStart w:id="193" w:name="_Toc482590098"/>
      <w:bookmarkStart w:id="194" w:name="_Toc520824346"/>
      <w:bookmarkStart w:id="195" w:name="_Toc21175"/>
      <w:r>
        <w:rPr>
          <w:rFonts w:hint="eastAsia" w:ascii="宋体" w:hAnsi="宋体" w:eastAsia="宋体" w:cs="宋体"/>
          <w:color w:val="auto"/>
          <w:sz w:val="21"/>
          <w:szCs w:val="21"/>
          <w:highlight w:val="none"/>
        </w:rPr>
        <w:t>二、评审程序</w:t>
      </w:r>
      <w:bookmarkEnd w:id="192"/>
      <w:bookmarkEnd w:id="193"/>
      <w:bookmarkEnd w:id="194"/>
      <w:bookmarkEnd w:id="195"/>
    </w:p>
    <w:p w14:paraId="3822160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2.1评审前</w:t>
      </w:r>
    </w:p>
    <w:p w14:paraId="42A76831">
      <w:pPr>
        <w:autoSpaceDN w:val="0"/>
        <w:spacing w:line="360" w:lineRule="auto"/>
        <w:ind w:firstLine="401" w:firstLineChars="19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组织磋商小组签到、核对评委身份，推选磋商小组组长，由组长召集成员阅读磋商文件及相关补充、质疑、答复文件、项目书面说明等材料，了解采购项目基本情况、磋商有关事项等。</w:t>
      </w:r>
    </w:p>
    <w:p w14:paraId="27D3725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2.2磋商响应文件的资格、符合性审查</w:t>
      </w:r>
    </w:p>
    <w:p w14:paraId="6F1CAAE3">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eastAsia="宋体" w:cs="宋体"/>
          <w:bCs/>
          <w:color w:val="auto"/>
          <w:kern w:val="0"/>
          <w:sz w:val="21"/>
          <w:szCs w:val="21"/>
          <w:highlight w:val="none"/>
        </w:rPr>
        <w:t>开标（标书信息开启）后，磋商小组首先依法对磋商响应供应商的资格文件进行审查，审查各磋商响应供应商的资格符合情况。</w:t>
      </w:r>
      <w:r>
        <w:rPr>
          <w:rFonts w:hint="eastAsia" w:ascii="宋体" w:hAnsi="宋体" w:eastAsia="宋体" w:cs="宋体"/>
          <w:color w:val="auto"/>
          <w:sz w:val="21"/>
          <w:szCs w:val="21"/>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7B31F8D3">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6BF2F6A3">
      <w:pPr>
        <w:autoSpaceDN w:val="0"/>
        <w:spacing w:line="360" w:lineRule="auto"/>
        <w:ind w:firstLine="373" w:firstLineChars="177"/>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单位负责人为同一人或者存在直接控股、管理关系的不同供应商参加同一合同项下的政府采购活动的，相关磋商响应供应商均作资格无效处理。</w:t>
      </w:r>
    </w:p>
    <w:p w14:paraId="2AAAD9A9">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（3）供应商</w:t>
      </w:r>
      <w:r>
        <w:rPr>
          <w:rFonts w:hint="eastAsia" w:ascii="宋体" w:hAnsi="宋体" w:eastAsia="宋体" w:cs="宋体"/>
          <w:b/>
          <w:color w:val="auto"/>
          <w:sz w:val="21"/>
          <w:szCs w:val="21"/>
          <w:highlight w:val="none"/>
        </w:rPr>
        <w:t>信用记录查询与使用：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43BAFECD">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（4）资格审查合格的磋商响应供应商不足三家的，项目不再进行评审。除采购任务取消情形外，采购人可选择以下方式之一处理：</w:t>
      </w:r>
    </w:p>
    <w:p w14:paraId="055BDDE2">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1）将本标项作废标处理，重新组织采购；</w:t>
      </w:r>
    </w:p>
    <w:p w14:paraId="60C8B9C1">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2）按同级政府采购监督管理部门的审批意见采用其他采购方式组织采购。</w:t>
      </w:r>
    </w:p>
    <w:p w14:paraId="5C59FD12">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2.2.2对符合资格的磋商响应供应商的磋商响应文件进行符合性审查，以确定其是否满足采购文件的实质性要求。</w:t>
      </w:r>
    </w:p>
    <w:p w14:paraId="406C1744">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2.2.3《商务技术文件》存在下列情形之一的，经磋商小组认定后作无效标处理：</w:t>
      </w:r>
    </w:p>
    <w:p w14:paraId="18886794">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磋商响应文件没有对本采购文件作出实质性响应的，或不满足（不响应）本磋商文件中标注“▲”的实质性要求条款的</w:t>
      </w:r>
      <w:r>
        <w:rPr>
          <w:rFonts w:hint="eastAsia" w:ascii="宋体" w:hAnsi="宋体" w:eastAsia="宋体" w:cs="宋体"/>
          <w:b/>
          <w:color w:val="auto"/>
          <w:w w:val="90"/>
          <w:kern w:val="0"/>
          <w:sz w:val="21"/>
          <w:szCs w:val="21"/>
          <w:highlight w:val="none"/>
        </w:rPr>
        <w:t>；</w:t>
      </w:r>
    </w:p>
    <w:p w14:paraId="5BFE10A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磋商响应文件存在一个或一个以上备选（替代）方案的</w:t>
      </w:r>
      <w:r>
        <w:rPr>
          <w:rFonts w:hint="eastAsia" w:ascii="宋体" w:hAnsi="宋体" w:eastAsia="宋体" w:cs="宋体"/>
          <w:b/>
          <w:color w:val="auto"/>
          <w:kern w:val="0"/>
          <w:sz w:val="21"/>
          <w:szCs w:val="21"/>
          <w:highlight w:val="none"/>
        </w:rPr>
        <w:t>；</w:t>
      </w:r>
    </w:p>
    <w:p w14:paraId="4D4EB759">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sz w:val="21"/>
          <w:szCs w:val="21"/>
          <w:highlight w:val="none"/>
          <w:u w:val="single"/>
        </w:rPr>
        <w:t>仅提交“备份磋商响应文件”的</w:t>
      </w:r>
      <w:r>
        <w:rPr>
          <w:rFonts w:hint="eastAsia" w:ascii="宋体" w:hAnsi="宋体" w:eastAsia="宋体" w:cs="宋体"/>
          <w:b/>
          <w:color w:val="auto"/>
          <w:kern w:val="0"/>
          <w:sz w:val="21"/>
          <w:szCs w:val="21"/>
          <w:highlight w:val="none"/>
        </w:rPr>
        <w:t>；</w:t>
      </w:r>
    </w:p>
    <w:p w14:paraId="1F5166B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auto"/>
          <w:kern w:val="0"/>
          <w:sz w:val="21"/>
          <w:szCs w:val="21"/>
          <w:highlight w:val="none"/>
        </w:rPr>
        <w:t>；</w:t>
      </w:r>
    </w:p>
    <w:p w14:paraId="2F0FF590">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auto"/>
          <w:kern w:val="0"/>
          <w:sz w:val="21"/>
          <w:szCs w:val="21"/>
          <w:highlight w:val="none"/>
        </w:rPr>
        <w:t>；</w:t>
      </w:r>
    </w:p>
    <w:p w14:paraId="42E5C175">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r>
        <w:rPr>
          <w:rFonts w:hint="eastAsia" w:ascii="宋体" w:hAnsi="宋体" w:eastAsia="宋体" w:cs="宋体"/>
          <w:b/>
          <w:color w:val="auto"/>
          <w:kern w:val="0"/>
          <w:sz w:val="21"/>
          <w:szCs w:val="21"/>
          <w:highlight w:val="none"/>
          <w:u w:val="single"/>
        </w:rPr>
        <w:t>磋商响应文件标注的响应或偏离情况与事实不符，或提供了虚假材料的</w:t>
      </w:r>
      <w:r>
        <w:rPr>
          <w:rFonts w:hint="eastAsia" w:ascii="宋体" w:hAnsi="宋体" w:eastAsia="宋体" w:cs="宋体"/>
          <w:b/>
          <w:color w:val="auto"/>
          <w:kern w:val="0"/>
          <w:sz w:val="21"/>
          <w:szCs w:val="21"/>
          <w:highlight w:val="none"/>
        </w:rPr>
        <w:t>；</w:t>
      </w:r>
    </w:p>
    <w:p w14:paraId="33CA102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u w:val="single"/>
        </w:rPr>
        <w:t>磋商响应文件有效期不符合本磋商文件要求的</w:t>
      </w:r>
      <w:r>
        <w:rPr>
          <w:rFonts w:hint="eastAsia" w:ascii="宋体" w:hAnsi="宋体" w:eastAsia="宋体" w:cs="宋体"/>
          <w:b/>
          <w:color w:val="auto"/>
          <w:kern w:val="0"/>
          <w:sz w:val="21"/>
          <w:szCs w:val="21"/>
          <w:highlight w:val="none"/>
        </w:rPr>
        <w:t>；</w:t>
      </w:r>
    </w:p>
    <w:p w14:paraId="4DD5C6C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r>
        <w:rPr>
          <w:rFonts w:hint="eastAsia" w:ascii="宋体" w:hAnsi="宋体" w:eastAsia="宋体" w:cs="宋体"/>
          <w:b/>
          <w:color w:val="auto"/>
          <w:kern w:val="0"/>
          <w:sz w:val="21"/>
          <w:szCs w:val="21"/>
          <w:highlight w:val="none"/>
          <w:u w:val="single"/>
        </w:rPr>
        <w:t>磋商响应文件含有采购人不能接受的附加条件的</w:t>
      </w:r>
      <w:r>
        <w:rPr>
          <w:rFonts w:hint="eastAsia" w:ascii="宋体" w:hAnsi="宋体" w:eastAsia="宋体" w:cs="宋体"/>
          <w:b/>
          <w:color w:val="auto"/>
          <w:kern w:val="0"/>
          <w:sz w:val="21"/>
          <w:szCs w:val="21"/>
          <w:highlight w:val="none"/>
        </w:rPr>
        <w:t>；</w:t>
      </w:r>
    </w:p>
    <w:p w14:paraId="5F915DCF">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（9）</w:t>
      </w:r>
      <w:r>
        <w:rPr>
          <w:rFonts w:hint="eastAsia" w:ascii="宋体" w:hAnsi="宋体" w:eastAsia="宋体" w:cs="宋体"/>
          <w:b/>
          <w:color w:val="auto"/>
          <w:kern w:val="0"/>
          <w:sz w:val="21"/>
          <w:szCs w:val="21"/>
          <w:highlight w:val="none"/>
          <w:u w:val="single"/>
        </w:rPr>
        <w:t>参加同一合同项下政府采购活动的不同供应商之间存在利害关系的；</w:t>
      </w:r>
    </w:p>
    <w:p w14:paraId="37B40F83">
      <w:pPr>
        <w:autoSpaceDN w:val="0"/>
        <w:spacing w:line="360" w:lineRule="auto"/>
        <w:ind w:firstLine="371" w:firstLineChars="176"/>
        <w:rPr>
          <w:rFonts w:hint="eastAsia" w:ascii="宋体" w:hAnsi="宋体" w:eastAsia="宋体" w:cs="宋体"/>
          <w:b/>
          <w:color w:val="auto"/>
          <w:kern w:val="0"/>
          <w:sz w:val="21"/>
          <w:szCs w:val="21"/>
          <w:highlight w:val="none"/>
          <w:u w:val="single"/>
          <w:lang w:eastAsia="zh-CN"/>
        </w:rPr>
      </w:pP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val="en-US" w:eastAsia="zh-CN"/>
        </w:rPr>
        <w:t>10</w:t>
      </w: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ABAC95">
      <w:pPr>
        <w:autoSpaceDN w:val="0"/>
        <w:spacing w:line="360" w:lineRule="auto"/>
        <w:ind w:firstLine="373" w:firstLineChars="177"/>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11</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u w:val="single"/>
        </w:rPr>
        <w:t>存在法律、法规和采购文件规定的其他无效情形的。</w:t>
      </w:r>
    </w:p>
    <w:p w14:paraId="4740459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2.2.4《报价文件》存在下列情形之一的，经磋商小组认定后作无效标处理：</w:t>
      </w:r>
    </w:p>
    <w:p w14:paraId="7158BBB2">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磋商响应文件没有对本采购文件作出实质性响应的，或不满足（不响应）本采购文件中标注“▲”的实质性要求条款的</w:t>
      </w:r>
      <w:r>
        <w:rPr>
          <w:rFonts w:hint="eastAsia" w:ascii="宋体" w:hAnsi="宋体" w:eastAsia="宋体" w:cs="宋体"/>
          <w:b/>
          <w:color w:val="auto"/>
          <w:w w:val="90"/>
          <w:kern w:val="0"/>
          <w:sz w:val="21"/>
          <w:szCs w:val="21"/>
          <w:highlight w:val="none"/>
        </w:rPr>
        <w:t>；</w:t>
      </w:r>
    </w:p>
    <w:p w14:paraId="751581C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磋商响应文件存在一个或一个以上备选（替代）投标方案的</w:t>
      </w:r>
      <w:r>
        <w:rPr>
          <w:rFonts w:hint="eastAsia" w:ascii="宋体" w:hAnsi="宋体" w:eastAsia="宋体" w:cs="宋体"/>
          <w:b/>
          <w:color w:val="auto"/>
          <w:kern w:val="0"/>
          <w:sz w:val="21"/>
          <w:szCs w:val="21"/>
          <w:highlight w:val="none"/>
        </w:rPr>
        <w:t>；</w:t>
      </w:r>
    </w:p>
    <w:p w14:paraId="6E28F0A9">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u w:val="single"/>
        </w:rPr>
        <w:t>未按照磋商文件标明的币种报价的，或者磋商报价涵盖的内容不符合磋商文件要求的</w:t>
      </w:r>
      <w:r>
        <w:rPr>
          <w:rFonts w:hint="eastAsia" w:ascii="宋体" w:hAnsi="宋体" w:eastAsia="宋体" w:cs="宋体"/>
          <w:b/>
          <w:color w:val="auto"/>
          <w:kern w:val="0"/>
          <w:sz w:val="21"/>
          <w:szCs w:val="21"/>
          <w:highlight w:val="none"/>
        </w:rPr>
        <w:t>；</w:t>
      </w:r>
    </w:p>
    <w:p w14:paraId="34611C73">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报价出现前后不一致时拒绝按照磋商文件规定的错误修正原则进行修正的</w:t>
      </w:r>
      <w:r>
        <w:rPr>
          <w:rFonts w:hint="eastAsia" w:ascii="宋体" w:hAnsi="宋体" w:eastAsia="宋体" w:cs="宋体"/>
          <w:b/>
          <w:color w:val="auto"/>
          <w:kern w:val="0"/>
          <w:sz w:val="21"/>
          <w:szCs w:val="21"/>
          <w:highlight w:val="none"/>
        </w:rPr>
        <w:t>；</w:t>
      </w:r>
    </w:p>
    <w:p w14:paraId="138AA44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磋商报价具有选择性的</w:t>
      </w:r>
      <w:r>
        <w:rPr>
          <w:rFonts w:hint="eastAsia" w:ascii="宋体" w:hAnsi="宋体" w:eastAsia="宋体" w:cs="宋体"/>
          <w:b/>
          <w:color w:val="auto"/>
          <w:kern w:val="0"/>
          <w:sz w:val="21"/>
          <w:szCs w:val="21"/>
          <w:highlight w:val="none"/>
        </w:rPr>
        <w:t>；</w:t>
      </w:r>
    </w:p>
    <w:p w14:paraId="36C3AB7B">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（6）</w:t>
      </w:r>
      <w:r>
        <w:rPr>
          <w:rFonts w:hint="eastAsia" w:ascii="宋体" w:hAnsi="宋体" w:eastAsia="宋体" w:cs="宋体"/>
          <w:b/>
          <w:color w:val="auto"/>
          <w:kern w:val="0"/>
          <w:sz w:val="21"/>
          <w:szCs w:val="21"/>
          <w:highlight w:val="none"/>
          <w:u w:val="single"/>
        </w:rPr>
        <w:t>报价超过磋商文件中规定的预算金额或者最高限价的</w:t>
      </w:r>
      <w:r>
        <w:rPr>
          <w:rFonts w:hint="eastAsia" w:ascii="宋体" w:hAnsi="宋体" w:eastAsia="宋体" w:cs="宋体"/>
          <w:b/>
          <w:color w:val="auto"/>
          <w:kern w:val="0"/>
          <w:sz w:val="21"/>
          <w:szCs w:val="21"/>
          <w:highlight w:val="none"/>
        </w:rPr>
        <w:t>；</w:t>
      </w:r>
    </w:p>
    <w:p w14:paraId="43F4097D">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u w:val="single"/>
        </w:rPr>
        <w:t>磋商响应文件工程量清单报价中的项目编码、项目名称、项目特征、计量单位和工程量与磋商文件提供的清单不一致的</w:t>
      </w:r>
      <w:r>
        <w:rPr>
          <w:rFonts w:hint="eastAsia" w:ascii="宋体" w:hAnsi="宋体" w:eastAsia="宋体" w:cs="宋体"/>
          <w:b/>
          <w:color w:val="auto"/>
          <w:kern w:val="0"/>
          <w:sz w:val="21"/>
          <w:szCs w:val="21"/>
          <w:highlight w:val="none"/>
        </w:rPr>
        <w:t xml:space="preserve">； </w:t>
      </w:r>
    </w:p>
    <w:p w14:paraId="35ACA922">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r>
        <w:rPr>
          <w:rFonts w:hint="eastAsia" w:ascii="宋体" w:hAnsi="宋体" w:eastAsia="宋体" w:cs="宋体"/>
          <w:b/>
          <w:color w:val="auto"/>
          <w:kern w:val="0"/>
          <w:sz w:val="21"/>
          <w:szCs w:val="21"/>
          <w:highlight w:val="none"/>
          <w:u w:val="single"/>
        </w:rPr>
        <w:t>磋商响应文件未按清单要求列明暂列金额</w:t>
      </w: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val="en-US" w:eastAsia="zh-CN"/>
        </w:rPr>
        <w:t>如有</w:t>
      </w:r>
      <w:r>
        <w:rPr>
          <w:rFonts w:hint="eastAsia" w:ascii="宋体" w:hAnsi="宋体"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的</w:t>
      </w:r>
      <w:r>
        <w:rPr>
          <w:rFonts w:hint="eastAsia" w:ascii="宋体" w:hAnsi="宋体" w:eastAsia="宋体" w:cs="宋体"/>
          <w:b/>
          <w:color w:val="auto"/>
          <w:kern w:val="0"/>
          <w:sz w:val="21"/>
          <w:szCs w:val="21"/>
          <w:highlight w:val="none"/>
        </w:rPr>
        <w:t>；</w:t>
      </w:r>
    </w:p>
    <w:p w14:paraId="35F4CBB4">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r>
        <w:rPr>
          <w:rFonts w:hint="eastAsia" w:ascii="宋体" w:hAnsi="宋体" w:eastAsia="宋体" w:cs="宋体"/>
          <w:b/>
          <w:color w:val="auto"/>
          <w:kern w:val="0"/>
          <w:sz w:val="21"/>
          <w:szCs w:val="21"/>
          <w:highlight w:val="none"/>
          <w:u w:val="single"/>
        </w:rPr>
        <w:t>磋商响应文件中的取费低于清单编制说明中的最低取费标准的</w:t>
      </w:r>
      <w:r>
        <w:rPr>
          <w:rFonts w:hint="eastAsia" w:ascii="宋体" w:hAnsi="宋体" w:eastAsia="宋体" w:cs="宋体"/>
          <w:b/>
          <w:color w:val="auto"/>
          <w:kern w:val="0"/>
          <w:sz w:val="21"/>
          <w:szCs w:val="21"/>
          <w:highlight w:val="none"/>
        </w:rPr>
        <w:t>；</w:t>
      </w:r>
    </w:p>
    <w:p w14:paraId="2EDBC322">
      <w:pPr>
        <w:autoSpaceDN w:val="0"/>
        <w:spacing w:line="358"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（10）</w:t>
      </w:r>
      <w:r>
        <w:rPr>
          <w:rFonts w:hint="eastAsia" w:ascii="宋体" w:hAnsi="宋体" w:eastAsia="宋体" w:cs="宋体"/>
          <w:b/>
          <w:color w:val="auto"/>
          <w:kern w:val="0"/>
          <w:sz w:val="21"/>
          <w:szCs w:val="21"/>
          <w:highlight w:val="none"/>
          <w:u w:val="single"/>
        </w:rPr>
        <w:t>磋商报价中的规费、税金、措施费等国家、省、市强制性要求的费用报价不足或未报价的</w:t>
      </w:r>
      <w:r>
        <w:rPr>
          <w:rFonts w:hint="eastAsia" w:ascii="宋体" w:hAnsi="宋体" w:eastAsia="宋体" w:cs="宋体"/>
          <w:b/>
          <w:color w:val="auto"/>
          <w:kern w:val="0"/>
          <w:sz w:val="21"/>
          <w:szCs w:val="21"/>
          <w:highlight w:val="none"/>
        </w:rPr>
        <w:t>；</w:t>
      </w:r>
    </w:p>
    <w:p w14:paraId="52B100D2">
      <w:pPr>
        <w:autoSpaceDN w:val="0"/>
        <w:spacing w:line="358"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（11）</w:t>
      </w:r>
      <w:r>
        <w:rPr>
          <w:rFonts w:hint="eastAsia" w:ascii="宋体" w:hAnsi="宋体" w:eastAsia="宋体" w:cs="宋体"/>
          <w:b/>
          <w:color w:val="auto"/>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auto"/>
          <w:kern w:val="0"/>
          <w:sz w:val="21"/>
          <w:szCs w:val="21"/>
          <w:highlight w:val="none"/>
        </w:rPr>
        <w:t>；</w:t>
      </w:r>
    </w:p>
    <w:p w14:paraId="2F5211CE">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r>
        <w:rPr>
          <w:rFonts w:hint="eastAsia" w:ascii="宋体" w:hAnsi="宋体" w:eastAsia="宋体" w:cs="宋体"/>
          <w:b/>
          <w:color w:val="auto"/>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auto"/>
          <w:kern w:val="0"/>
          <w:sz w:val="21"/>
          <w:szCs w:val="21"/>
          <w:highlight w:val="none"/>
        </w:rPr>
        <w:t>；</w:t>
      </w:r>
    </w:p>
    <w:p w14:paraId="4878E64B">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b/>
          <w:color w:val="auto"/>
          <w:sz w:val="21"/>
          <w:szCs w:val="21"/>
          <w:highlight w:val="none"/>
          <w:u w:val="single"/>
        </w:rPr>
        <w:t>磋商小组认为磋商响应供应商的报价明显低于其他通过符合性审查的磋商响应供应商的报价</w:t>
      </w:r>
      <w:bookmarkStart w:id="196" w:name="_Hlk136872381"/>
      <w:r>
        <w:rPr>
          <w:rFonts w:hint="eastAsia" w:ascii="宋体" w:hAnsi="宋体" w:eastAsia="宋体" w:cs="宋体"/>
          <w:b/>
          <w:color w:val="auto"/>
          <w:sz w:val="21"/>
          <w:szCs w:val="21"/>
          <w:highlight w:val="none"/>
          <w:u w:val="single"/>
        </w:rPr>
        <w:t>或报价低于最高限价50%的，</w:t>
      </w:r>
      <w:bookmarkEnd w:id="196"/>
      <w:r>
        <w:rPr>
          <w:rFonts w:hint="eastAsia" w:ascii="宋体" w:hAnsi="宋体" w:eastAsia="宋体" w:cs="宋体"/>
          <w:b/>
          <w:color w:val="auto"/>
          <w:sz w:val="21"/>
          <w:szCs w:val="21"/>
          <w:highlight w:val="none"/>
          <w:u w:val="single"/>
        </w:rPr>
        <w:t>有可能影响产品质量或者不能诚信履约时，磋商响应供应商不能在规定的时间证明其报价合理性的</w:t>
      </w:r>
      <w:r>
        <w:rPr>
          <w:rFonts w:hint="eastAsia" w:ascii="宋体" w:hAnsi="宋体" w:eastAsia="宋体" w:cs="宋体"/>
          <w:b/>
          <w:color w:val="auto"/>
          <w:sz w:val="21"/>
          <w:szCs w:val="21"/>
          <w:highlight w:val="none"/>
        </w:rPr>
        <w:t>；</w:t>
      </w:r>
    </w:p>
    <w:p w14:paraId="1E46B125">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r>
        <w:rPr>
          <w:rFonts w:hint="eastAsia" w:ascii="宋体" w:hAnsi="宋体" w:eastAsia="宋体" w:cs="宋体"/>
          <w:b/>
          <w:color w:val="auto"/>
          <w:kern w:val="0"/>
          <w:sz w:val="21"/>
          <w:szCs w:val="21"/>
          <w:highlight w:val="none"/>
          <w:u w:val="single"/>
        </w:rPr>
        <w:t>磋商响应文件含有采购人不能接受的附加条件的</w:t>
      </w:r>
      <w:r>
        <w:rPr>
          <w:rFonts w:hint="eastAsia" w:ascii="宋体" w:hAnsi="宋体" w:eastAsia="宋体" w:cs="宋体"/>
          <w:b/>
          <w:color w:val="auto"/>
          <w:kern w:val="0"/>
          <w:sz w:val="21"/>
          <w:szCs w:val="21"/>
          <w:highlight w:val="none"/>
        </w:rPr>
        <w:t>；</w:t>
      </w:r>
    </w:p>
    <w:p w14:paraId="29AF42D3">
      <w:pPr>
        <w:autoSpaceDN w:val="0"/>
        <w:spacing w:line="358" w:lineRule="auto"/>
        <w:ind w:firstLine="373" w:firstLineChars="177"/>
        <w:rPr>
          <w:rFonts w:hint="eastAsia" w:ascii="宋体" w:hAnsi="宋体" w:eastAsia="宋体" w:cs="宋体"/>
          <w:color w:val="auto"/>
          <w:w w:val="90"/>
          <w:kern w:val="0"/>
          <w:sz w:val="21"/>
          <w:szCs w:val="21"/>
          <w:highlight w:val="none"/>
        </w:rPr>
      </w:pPr>
      <w:r>
        <w:rPr>
          <w:rFonts w:hint="eastAsia" w:ascii="宋体" w:hAnsi="宋体" w:eastAsia="宋体" w:cs="宋体"/>
          <w:b/>
          <w:color w:val="auto"/>
          <w:kern w:val="0"/>
          <w:sz w:val="21"/>
          <w:szCs w:val="21"/>
          <w:highlight w:val="none"/>
        </w:rPr>
        <w:t>（15）</w:t>
      </w:r>
      <w:r>
        <w:rPr>
          <w:rFonts w:hint="eastAsia" w:ascii="宋体" w:hAnsi="宋体" w:eastAsia="宋体" w:cs="宋体"/>
          <w:b/>
          <w:color w:val="auto"/>
          <w:kern w:val="0"/>
          <w:sz w:val="21"/>
          <w:szCs w:val="21"/>
          <w:highlight w:val="none"/>
          <w:u w:val="single"/>
        </w:rPr>
        <w:t>存在法律、法规和磋商文件规定的其他无效情形的</w:t>
      </w:r>
      <w:r>
        <w:rPr>
          <w:rFonts w:hint="eastAsia" w:ascii="宋体" w:hAnsi="宋体" w:eastAsia="宋体" w:cs="宋体"/>
          <w:b/>
          <w:color w:val="auto"/>
          <w:kern w:val="0"/>
          <w:sz w:val="21"/>
          <w:szCs w:val="21"/>
          <w:highlight w:val="none"/>
        </w:rPr>
        <w:t>。</w:t>
      </w:r>
    </w:p>
    <w:p w14:paraId="2AD28BB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磋商响应文件的磋商、澄清、说明或补正</w:t>
      </w:r>
    </w:p>
    <w:p w14:paraId="3CF43F2D">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2.3.1对于磋商响应文件中含义不明确、同类问题表述不一致或者有明显文字和计算错误的内容，</w:t>
      </w:r>
      <w:r>
        <w:rPr>
          <w:rFonts w:hint="eastAsia" w:ascii="宋体" w:hAnsi="宋体" w:eastAsia="宋体" w:cs="宋体"/>
          <w:b/>
          <w:color w:val="auto"/>
          <w:kern w:val="0"/>
          <w:sz w:val="21"/>
          <w:szCs w:val="21"/>
          <w:highlight w:val="none"/>
        </w:rPr>
        <w:t>磋商小组将通过“政府采购云平台”在线询标的方式</w:t>
      </w:r>
      <w:r>
        <w:rPr>
          <w:rFonts w:hint="eastAsia" w:ascii="宋体" w:hAnsi="宋体" w:eastAsia="宋体" w:cs="宋体"/>
          <w:color w:val="auto"/>
          <w:kern w:val="0"/>
          <w:sz w:val="21"/>
          <w:szCs w:val="21"/>
          <w:highlight w:val="none"/>
        </w:rPr>
        <w:t>要求磋商响应供应商在规定的时间内作出必要的澄清、说明或者补正，磋商响应供应商澄清、说明或补正时间为30分钟。</w:t>
      </w:r>
    </w:p>
    <w:p w14:paraId="07C3C5A7">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14:paraId="4647CD18">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14:paraId="40EDA267">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2.3.4在磋商过程中，</w:t>
      </w:r>
      <w:r>
        <w:rPr>
          <w:rFonts w:hint="eastAsia" w:ascii="宋体" w:hAnsi="宋体" w:eastAsia="宋体" w:cs="宋体"/>
          <w:b/>
          <w:bCs/>
          <w:color w:val="auto"/>
          <w:kern w:val="0"/>
          <w:sz w:val="21"/>
          <w:szCs w:val="21"/>
          <w:highlight w:val="none"/>
        </w:rPr>
        <w:t>磋商小组可以根据磋商文件和磋商情况实质性变动采购需求中的技术、服务要求以及合同草案条款</w:t>
      </w:r>
      <w:r>
        <w:rPr>
          <w:rFonts w:hint="eastAsia" w:ascii="宋体" w:hAnsi="宋体" w:eastAsia="宋体" w:cs="宋体"/>
          <w:color w:val="auto"/>
          <w:kern w:val="0"/>
          <w:sz w:val="21"/>
          <w:szCs w:val="21"/>
          <w:highlight w:val="none"/>
        </w:rPr>
        <w:t>，但不得变动磋商文件中的其他内容。实质性变动的内容，须经采购人代表确认。</w:t>
      </w:r>
    </w:p>
    <w:p w14:paraId="5C339A69">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2.3.5对磋商文件作出的实质性变动是磋商文件的有效组成部分，磋商小组通过“政府采购云平台”在线询标的方式同时通知所有参加磋商的供应商。</w:t>
      </w:r>
    </w:p>
    <w:p w14:paraId="126C3132">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2.3.6按磋商程序规定开始并完成磋商。</w:t>
      </w:r>
    </w:p>
    <w:p w14:paraId="60302C1E">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2.3.7所有磋商结束后，确定提交最后报价的供应商名单，确定提交最后报价的时间，并告知相关供应商，要求在规定时间内（30分钟内）通过“政府采购云平台”在线上传最后报价（须加盖公章，或者由其授权的代表签字）。</w:t>
      </w:r>
    </w:p>
    <w:p w14:paraId="4CF04679">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2.3.7上述询标、澄清、说明和补正工作如因客观原因无法通过“政府采购云平台”在线进行的，将采用书面（含邮件）形式进行。</w:t>
      </w:r>
    </w:p>
    <w:p w14:paraId="37B6686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 磋商响应文件的错误修正</w:t>
      </w:r>
    </w:p>
    <w:p w14:paraId="2AE76074">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2.4.1</w:t>
      </w:r>
      <w:r>
        <w:rPr>
          <w:rFonts w:hint="eastAsia" w:ascii="宋体" w:hAnsi="宋体" w:eastAsia="宋体" w:cs="宋体"/>
          <w:b/>
          <w:color w:val="auto"/>
          <w:kern w:val="0"/>
          <w:sz w:val="21"/>
          <w:szCs w:val="21"/>
          <w:highlight w:val="none"/>
          <w:u w:val="single"/>
        </w:rPr>
        <w:t>《磋商响应文件》报价出现前后不一致的，按照下列规定修正</w:t>
      </w:r>
      <w:r>
        <w:rPr>
          <w:rFonts w:hint="eastAsia" w:ascii="宋体" w:hAnsi="宋体" w:eastAsia="宋体" w:cs="宋体"/>
          <w:b/>
          <w:color w:val="auto"/>
          <w:kern w:val="0"/>
          <w:sz w:val="21"/>
          <w:szCs w:val="21"/>
          <w:highlight w:val="none"/>
        </w:rPr>
        <w:t>：</w:t>
      </w:r>
    </w:p>
    <w:p w14:paraId="217F3ECD">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（1）《磋商响应文件》中投标函与磋商响应文件中相应内容不一致的，以投标函为准</w:t>
      </w:r>
      <w:r>
        <w:rPr>
          <w:rFonts w:hint="eastAsia" w:ascii="宋体" w:hAnsi="宋体" w:eastAsia="宋体" w:cs="宋体"/>
          <w:color w:val="auto"/>
          <w:kern w:val="0"/>
          <w:sz w:val="21"/>
          <w:szCs w:val="21"/>
          <w:highlight w:val="none"/>
        </w:rPr>
        <w:t>。</w:t>
      </w:r>
    </w:p>
    <w:p w14:paraId="6BF3C5ED">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（2）大写金额和小写金额不一致的，以大写金额为准；</w:t>
      </w:r>
    </w:p>
    <w:p w14:paraId="0677D6EE">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（3）单价金额小数点或者百分比有明显错位的，应以开标一览表（报价表）的总价为准，并修改单价；</w:t>
      </w:r>
    </w:p>
    <w:p w14:paraId="506027F0">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（4）总价金额与按单价汇总金额不一致的，以单价金额计算结果为准。</w:t>
      </w:r>
    </w:p>
    <w:p w14:paraId="2361757B">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r>
        <w:rPr>
          <w:rFonts w:hint="eastAsia" w:ascii="宋体" w:hAnsi="宋体" w:eastAsia="宋体" w:cs="宋体"/>
          <w:b/>
          <w:color w:val="auto"/>
          <w:kern w:val="0"/>
          <w:sz w:val="21"/>
          <w:szCs w:val="21"/>
          <w:highlight w:val="none"/>
          <w:u w:val="single"/>
        </w:rPr>
        <w:t>同时出现两种以上不一致的，按照前款规定的顺序修正。修正后的报价按本章节第2.3.2款的规定经磋商响应供应商确认后产生约束力，磋商响应供应商不确认的，其投标无效</w:t>
      </w:r>
      <w:r>
        <w:rPr>
          <w:rFonts w:hint="eastAsia" w:ascii="宋体" w:hAnsi="宋体" w:eastAsia="宋体" w:cs="宋体"/>
          <w:b/>
          <w:color w:val="auto"/>
          <w:kern w:val="0"/>
          <w:sz w:val="21"/>
          <w:szCs w:val="21"/>
          <w:highlight w:val="none"/>
        </w:rPr>
        <w:t>。</w:t>
      </w:r>
    </w:p>
    <w:p w14:paraId="59862214">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2.4.2对不同文字文本《磋商响应文件》的解释发生异议的，以中文文本为准。</w:t>
      </w:r>
    </w:p>
    <w:p w14:paraId="33BBF263">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2.4.3《磋商响应文件》要求提供正、副本时，正、副本内容不一致的，以正本为准。</w:t>
      </w:r>
    </w:p>
    <w:p w14:paraId="56B2473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 磋商响应文件的评价、评分</w:t>
      </w:r>
    </w:p>
    <w:p w14:paraId="6767C4D9">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2BE12CA">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207C37D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修改评审结果</w:t>
      </w:r>
    </w:p>
    <w:p w14:paraId="3DF6E422">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2.6.1评标结果汇总完成后，除下列情形外，任何人不得修改评标结果：</w:t>
      </w:r>
    </w:p>
    <w:p w14:paraId="4160C023">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（1）分值汇总计算错误的；</w:t>
      </w:r>
    </w:p>
    <w:p w14:paraId="7EE9E185">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（2）分项评分超出评分标准范围的；</w:t>
      </w:r>
    </w:p>
    <w:p w14:paraId="62BF1516">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（3）磋商小组成员对客观评审因素评分不一致的；</w:t>
      </w:r>
    </w:p>
    <w:p w14:paraId="2E0F9230">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（4）经磋商小组认定评分畸高、畸低的。</w:t>
      </w:r>
    </w:p>
    <w:p w14:paraId="5D63EA1C">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2.6.2评标报告签署前，经复核发现存在以上情形之一的，磋商小组将当场修改评标结果，并在评标报告中记载。</w:t>
      </w:r>
    </w:p>
    <w:p w14:paraId="719D2DC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 供应商排序及推荐中标（成交）候选供应商</w:t>
      </w:r>
    </w:p>
    <w:p w14:paraId="0BCFD61E">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磋商小组根据以下规定确定供应商排名并推荐中标（成交）候选供应商。</w:t>
      </w:r>
    </w:p>
    <w:p w14:paraId="02667B5C">
      <w:pPr>
        <w:autoSpaceDN w:val="0"/>
        <w:spacing w:line="360" w:lineRule="auto"/>
        <w:ind w:firstLine="371" w:firstLineChars="176"/>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2.7.1磋商小组根据各磋商响应供应商的综合得分（商务技术分与最后报价得分之和）从高到低依次进行排名排序。特殊情形按以下原则处理：</w:t>
      </w:r>
    </w:p>
    <w:p w14:paraId="5DB41338">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（1）综合得分相同的，按最后报价低的优先原则确定排名；</w:t>
      </w:r>
    </w:p>
    <w:p w14:paraId="7929AACC">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（2）综合得分和最后报价均相同的，按商务技术得分从高到低确定排名；</w:t>
      </w:r>
    </w:p>
    <w:p w14:paraId="2B288386">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（3）综合得分、最后报价和商务技术得分均相同的由磋商小组全体成员记名投票按少数服从多数的原则确定排名。</w:t>
      </w:r>
    </w:p>
    <w:p w14:paraId="533219F5">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2.7.2根据最终得分排序，通过书面评审报告的形式，向采购人推荐综合得分由高到低顺序推荐3名以上</w:t>
      </w:r>
      <w:r>
        <w:rPr>
          <w:rFonts w:hint="eastAsia" w:ascii="宋体" w:hAnsi="宋体" w:eastAsia="宋体" w:cs="宋体"/>
          <w:b/>
          <w:color w:val="auto"/>
          <w:kern w:val="0"/>
          <w:sz w:val="21"/>
          <w:szCs w:val="21"/>
          <w:highlight w:val="none"/>
        </w:rPr>
        <w:t>中标（成交）候选供应商</w:t>
      </w:r>
      <w:r>
        <w:rPr>
          <w:rFonts w:hint="eastAsia" w:ascii="宋体" w:hAnsi="宋体" w:eastAsia="宋体" w:cs="宋体"/>
          <w:b/>
          <w:color w:val="auto"/>
          <w:sz w:val="21"/>
          <w:szCs w:val="21"/>
          <w:highlight w:val="none"/>
        </w:rPr>
        <w:t>。</w:t>
      </w:r>
    </w:p>
    <w:p w14:paraId="6127709D">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 起草、签署评审报告</w:t>
      </w:r>
    </w:p>
    <w:p w14:paraId="485678BD">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束后，磋商小组将通过“政府采购云平台”起草评审报告，磋商小组成员应当在评审报告上签字（或加注电子签章），对自己的评审意见承担法律责任。对评审报告有异议的，应当在评审报告上签署不同意见，并说明理由，否则视为同意评审报告。</w:t>
      </w:r>
    </w:p>
    <w:p w14:paraId="5337FF0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 重新评审</w:t>
      </w:r>
    </w:p>
    <w:p w14:paraId="66C17699">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评审报告签署后，采购人或者采购代理机构发现存在下列情形之一的，将组织原磋商小组进行重新评审，重新评审改变评标结果的，将书面报告同级财政部门：</w:t>
      </w:r>
    </w:p>
    <w:p w14:paraId="2665677F">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（1）分值汇总计算错误的；</w:t>
      </w:r>
    </w:p>
    <w:p w14:paraId="3E1DADD0">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（2）分项评分超出评分标准范围的；</w:t>
      </w:r>
    </w:p>
    <w:p w14:paraId="07CA19C1">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（3）磋商小组成员对客观评审因素评分不一致的；</w:t>
      </w:r>
    </w:p>
    <w:p w14:paraId="0AD3E027">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（4）经磋商小组认定评分畸高、畸低的。</w:t>
      </w:r>
    </w:p>
    <w:p w14:paraId="7CF9DA3A">
      <w:pPr>
        <w:pStyle w:val="4"/>
        <w:autoSpaceDN w:val="0"/>
        <w:spacing w:before="360"/>
        <w:ind w:firstLine="0" w:firstLineChars="0"/>
        <w:rPr>
          <w:rFonts w:hint="eastAsia" w:ascii="宋体" w:hAnsi="宋体" w:eastAsia="宋体" w:cs="宋体"/>
          <w:color w:val="auto"/>
          <w:sz w:val="21"/>
          <w:szCs w:val="21"/>
          <w:highlight w:val="none"/>
        </w:rPr>
      </w:pPr>
      <w:bookmarkStart w:id="197" w:name="_Toc520824347"/>
      <w:bookmarkStart w:id="198" w:name="_Toc29214"/>
      <w:bookmarkStart w:id="199" w:name="_Toc12999"/>
      <w:bookmarkStart w:id="200" w:name="_Toc482590099"/>
      <w:r>
        <w:rPr>
          <w:rFonts w:hint="eastAsia" w:ascii="宋体" w:hAnsi="宋体" w:eastAsia="宋体" w:cs="宋体"/>
          <w:color w:val="auto"/>
          <w:sz w:val="21"/>
          <w:szCs w:val="21"/>
          <w:highlight w:val="none"/>
        </w:rPr>
        <w:t>三、评分标准</w:t>
      </w:r>
      <w:bookmarkEnd w:id="197"/>
      <w:bookmarkEnd w:id="198"/>
      <w:bookmarkEnd w:id="199"/>
      <w:bookmarkEnd w:id="200"/>
    </w:p>
    <w:p w14:paraId="25A9D3F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 商务技术分（</w:t>
      </w:r>
      <w:r>
        <w:rPr>
          <w:rFonts w:hint="eastAsia" w:ascii="宋体" w:hAnsi="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rPr>
        <w:t>分）</w:t>
      </w:r>
    </w:p>
    <w:tbl>
      <w:tblPr>
        <w:tblStyle w:val="51"/>
        <w:tblW w:w="9342" w:type="dxa"/>
        <w:jc w:val="center"/>
        <w:tblLayout w:type="fixed"/>
        <w:tblCellMar>
          <w:top w:w="0" w:type="dxa"/>
          <w:left w:w="108" w:type="dxa"/>
          <w:bottom w:w="0" w:type="dxa"/>
          <w:right w:w="108" w:type="dxa"/>
        </w:tblCellMar>
      </w:tblPr>
      <w:tblGrid>
        <w:gridCol w:w="704"/>
        <w:gridCol w:w="1418"/>
        <w:gridCol w:w="6435"/>
        <w:gridCol w:w="785"/>
      </w:tblGrid>
      <w:tr w14:paraId="4EA6C349">
        <w:tblPrEx>
          <w:tblCellMar>
            <w:top w:w="0" w:type="dxa"/>
            <w:left w:w="108" w:type="dxa"/>
            <w:bottom w:w="0" w:type="dxa"/>
            <w:right w:w="108" w:type="dxa"/>
          </w:tblCellMar>
        </w:tblPrEx>
        <w:trPr>
          <w:trHeight w:val="454" w:hRule="atLeast"/>
          <w:jc w:val="center"/>
        </w:trPr>
        <w:tc>
          <w:tcPr>
            <w:tcW w:w="704" w:type="dxa"/>
            <w:tcBorders>
              <w:top w:val="double" w:color="auto" w:sz="4" w:space="0"/>
              <w:left w:val="double" w:color="auto" w:sz="4" w:space="0"/>
              <w:bottom w:val="single" w:color="auto" w:sz="4" w:space="0"/>
              <w:right w:val="single" w:color="000000" w:sz="8" w:space="0"/>
            </w:tcBorders>
            <w:shd w:val="clear" w:color="auto" w:fill="FFFFFF"/>
            <w:noWrap w:val="0"/>
            <w:vAlign w:val="center"/>
          </w:tcPr>
          <w:p w14:paraId="56FE1BC4">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序号</w:t>
            </w:r>
          </w:p>
        </w:tc>
        <w:tc>
          <w:tcPr>
            <w:tcW w:w="1418" w:type="dxa"/>
            <w:tcBorders>
              <w:top w:val="double" w:color="auto" w:sz="4" w:space="0"/>
              <w:left w:val="single" w:color="000000" w:sz="8" w:space="0"/>
              <w:bottom w:val="single" w:color="auto" w:sz="4" w:space="0"/>
              <w:right w:val="single" w:color="000000" w:sz="8" w:space="0"/>
            </w:tcBorders>
            <w:shd w:val="clear" w:color="auto" w:fill="FFFFFF"/>
            <w:noWrap w:val="0"/>
            <w:vAlign w:val="center"/>
          </w:tcPr>
          <w:p w14:paraId="7767E8D6">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内容</w:t>
            </w:r>
          </w:p>
        </w:tc>
        <w:tc>
          <w:tcPr>
            <w:tcW w:w="6435" w:type="dxa"/>
            <w:tcBorders>
              <w:top w:val="double" w:color="auto" w:sz="4" w:space="0"/>
              <w:left w:val="single" w:color="auto" w:sz="4" w:space="0"/>
              <w:bottom w:val="single" w:color="auto" w:sz="4" w:space="0"/>
              <w:right w:val="single" w:color="000000" w:sz="8" w:space="0"/>
            </w:tcBorders>
            <w:shd w:val="clear" w:color="auto" w:fill="FFFFFF"/>
            <w:noWrap w:val="0"/>
            <w:vAlign w:val="center"/>
          </w:tcPr>
          <w:p w14:paraId="0B33DA2A">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评分细则</w:t>
            </w:r>
          </w:p>
          <w:p w14:paraId="13AE2A8C">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注:评审结束后，合同签订前中标人应配合采购代理机构完成涉及客观分评审内容的证明材料真实性核对，中标人自行准备证明材料（业绩合同、履约情况证明、节能环保证书等）原件。</w:t>
            </w:r>
          </w:p>
        </w:tc>
        <w:tc>
          <w:tcPr>
            <w:tcW w:w="785" w:type="dxa"/>
            <w:tcBorders>
              <w:top w:val="double" w:color="auto" w:sz="4" w:space="0"/>
              <w:left w:val="single" w:color="000000" w:sz="8" w:space="0"/>
              <w:bottom w:val="single" w:color="auto" w:sz="4" w:space="0"/>
              <w:right w:val="double" w:color="auto" w:sz="4" w:space="0"/>
            </w:tcBorders>
            <w:shd w:val="clear" w:color="auto" w:fill="FFFFFF"/>
            <w:noWrap w:val="0"/>
            <w:vAlign w:val="center"/>
          </w:tcPr>
          <w:p w14:paraId="114F0AAB">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分值</w:t>
            </w:r>
          </w:p>
        </w:tc>
      </w:tr>
      <w:tr w14:paraId="0B303F9A">
        <w:tblPrEx>
          <w:tblCellMar>
            <w:top w:w="0" w:type="dxa"/>
            <w:left w:w="108" w:type="dxa"/>
            <w:bottom w:w="0" w:type="dxa"/>
            <w:right w:w="108" w:type="dxa"/>
          </w:tblCellMar>
        </w:tblPrEx>
        <w:trPr>
          <w:trHeight w:val="1079"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4E9C2A29">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1</w:t>
            </w:r>
          </w:p>
        </w:tc>
        <w:tc>
          <w:tcPr>
            <w:tcW w:w="1418" w:type="dxa"/>
            <w:tcBorders>
              <w:top w:val="single" w:color="auto" w:sz="4" w:space="0"/>
              <w:left w:val="single" w:color="auto" w:sz="4" w:space="0"/>
              <w:right w:val="single" w:color="auto" w:sz="4" w:space="0"/>
            </w:tcBorders>
            <w:shd w:val="clear" w:color="auto" w:fill="FFFFFF"/>
            <w:noWrap w:val="0"/>
            <w:vAlign w:val="center"/>
          </w:tcPr>
          <w:p w14:paraId="4148C5D6">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类似业绩</w:t>
            </w:r>
          </w:p>
          <w:p w14:paraId="00D5CB44">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（1分）</w:t>
            </w:r>
          </w:p>
        </w:tc>
        <w:tc>
          <w:tcPr>
            <w:tcW w:w="6435" w:type="dxa"/>
            <w:tcBorders>
              <w:top w:val="single" w:color="auto" w:sz="4" w:space="0"/>
              <w:left w:val="single" w:color="auto" w:sz="4" w:space="0"/>
              <w:right w:val="single" w:color="auto" w:sz="4" w:space="0"/>
            </w:tcBorders>
            <w:shd w:val="clear" w:color="auto" w:fill="FFFFFF"/>
            <w:noWrap w:val="0"/>
            <w:vAlign w:val="top"/>
          </w:tcPr>
          <w:p w14:paraId="77FEBFEB">
            <w:pPr>
              <w:snapToGrid w:val="0"/>
              <w:spacing w:line="320" w:lineRule="exact"/>
              <w:rPr>
                <w:rFonts w:ascii="宋体" w:hAnsi="宋体" w:cs="Times New Roman"/>
                <w:b/>
                <w:color w:val="auto"/>
                <w:kern w:val="0"/>
                <w:szCs w:val="21"/>
                <w:highlight w:val="none"/>
              </w:rPr>
            </w:pPr>
            <w:r>
              <w:rPr>
                <w:rFonts w:hint="eastAsia" w:ascii="Times New Roman" w:hAnsi="Times New Roman" w:cs="Times New Roman"/>
                <w:color w:val="auto"/>
                <w:highlight w:val="none"/>
              </w:rPr>
              <w:t>拟派项目负责人自2021年1月1日以来（以合同签订时间为准）以项目经理（或项目负责人）身份完成过类似项目业绩的（类似项目指洁净室、手术室、生物实验室或其他实验室等），得1分。（同时提供施工合同及竣工验收报告复印件</w:t>
            </w:r>
            <w:r>
              <w:rPr>
                <w:rFonts w:hint="eastAsia" w:cs="Times New Roman"/>
                <w:color w:val="auto"/>
                <w:highlight w:val="none"/>
                <w:lang w:eastAsia="zh-CN"/>
              </w:rPr>
              <w:t>，如未能体现评分要素的可提供项目业主证明，上述证明材料中未体现评分要素的不得分</w:t>
            </w:r>
            <w:r>
              <w:rPr>
                <w:rFonts w:hint="eastAsia" w:ascii="Times New Roman" w:hAnsi="Times New Roman" w:cs="Times New Roman"/>
                <w:color w:val="auto"/>
                <w:highlight w:val="none"/>
              </w:rPr>
              <w:t>）。</w:t>
            </w:r>
          </w:p>
        </w:tc>
        <w:tc>
          <w:tcPr>
            <w:tcW w:w="785" w:type="dxa"/>
            <w:tcBorders>
              <w:top w:val="single" w:color="auto" w:sz="4" w:space="0"/>
              <w:left w:val="single" w:color="auto" w:sz="4" w:space="0"/>
              <w:right w:val="double" w:color="auto" w:sz="4" w:space="0"/>
            </w:tcBorders>
            <w:shd w:val="clear" w:color="auto" w:fill="FFFFFF"/>
            <w:noWrap w:val="0"/>
            <w:vAlign w:val="center"/>
          </w:tcPr>
          <w:p w14:paraId="03AF8409">
            <w:pPr>
              <w:snapToGrid w:val="0"/>
              <w:spacing w:line="320" w:lineRule="exact"/>
              <w:jc w:val="center"/>
              <w:rPr>
                <w:rFonts w:hint="eastAsia" w:ascii="宋体" w:hAnsi="宋体" w:cs="Times New Roman"/>
                <w:bCs/>
                <w:color w:val="auto"/>
                <w:kern w:val="0"/>
                <w:szCs w:val="21"/>
                <w:highlight w:val="none"/>
              </w:rPr>
            </w:pPr>
            <w:r>
              <w:rPr>
                <w:rFonts w:hint="eastAsia" w:ascii="宋体" w:hAnsi="宋体" w:cs="Times New Roman"/>
                <w:bCs/>
                <w:color w:val="auto"/>
                <w:kern w:val="0"/>
                <w:szCs w:val="21"/>
                <w:highlight w:val="none"/>
              </w:rPr>
              <w:t>1</w:t>
            </w:r>
          </w:p>
        </w:tc>
      </w:tr>
      <w:tr w14:paraId="1826D2A9">
        <w:tblPrEx>
          <w:tblCellMar>
            <w:top w:w="0" w:type="dxa"/>
            <w:left w:w="108" w:type="dxa"/>
            <w:bottom w:w="0" w:type="dxa"/>
            <w:right w:w="108" w:type="dxa"/>
          </w:tblCellMar>
        </w:tblPrEx>
        <w:trPr>
          <w:trHeight w:val="1396"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57D47B3D">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2</w:t>
            </w:r>
          </w:p>
        </w:tc>
        <w:tc>
          <w:tcPr>
            <w:tcW w:w="1418" w:type="dxa"/>
            <w:tcBorders>
              <w:top w:val="single" w:color="auto" w:sz="4" w:space="0"/>
              <w:left w:val="single" w:color="auto" w:sz="4" w:space="0"/>
              <w:right w:val="single" w:color="auto" w:sz="4" w:space="0"/>
            </w:tcBorders>
            <w:shd w:val="clear" w:color="auto" w:fill="FFFFFF"/>
            <w:noWrap w:val="0"/>
            <w:vAlign w:val="center"/>
          </w:tcPr>
          <w:p w14:paraId="6CC78C1A">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认证体系</w:t>
            </w:r>
          </w:p>
          <w:p w14:paraId="65D6F109">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（3分）</w:t>
            </w:r>
          </w:p>
        </w:tc>
        <w:tc>
          <w:tcPr>
            <w:tcW w:w="6435" w:type="dxa"/>
            <w:tcBorders>
              <w:top w:val="single" w:color="auto" w:sz="4" w:space="0"/>
              <w:left w:val="single" w:color="auto" w:sz="4" w:space="0"/>
              <w:right w:val="single" w:color="auto" w:sz="4" w:space="0"/>
            </w:tcBorders>
            <w:shd w:val="clear" w:color="auto" w:fill="FFFFFF"/>
            <w:noWrap w:val="0"/>
            <w:vAlign w:val="top"/>
          </w:tcPr>
          <w:p w14:paraId="7568D15F">
            <w:pPr>
              <w:snapToGrid w:val="0"/>
              <w:spacing w:line="32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785" w:type="dxa"/>
            <w:tcBorders>
              <w:top w:val="single" w:color="auto" w:sz="4" w:space="0"/>
              <w:left w:val="single" w:color="auto" w:sz="4" w:space="0"/>
              <w:right w:val="double" w:color="auto" w:sz="4" w:space="0"/>
            </w:tcBorders>
            <w:shd w:val="clear" w:color="auto" w:fill="FFFFFF"/>
            <w:noWrap w:val="0"/>
            <w:vAlign w:val="center"/>
          </w:tcPr>
          <w:p w14:paraId="5EC98744">
            <w:pPr>
              <w:snapToGrid w:val="0"/>
              <w:spacing w:line="320" w:lineRule="exact"/>
              <w:jc w:val="center"/>
              <w:rPr>
                <w:rFonts w:ascii="宋体" w:hAnsi="宋体" w:cs="Times New Roman"/>
                <w:bCs/>
                <w:color w:val="auto"/>
                <w:kern w:val="0"/>
                <w:szCs w:val="21"/>
                <w:highlight w:val="none"/>
              </w:rPr>
            </w:pPr>
            <w:r>
              <w:rPr>
                <w:rFonts w:ascii="宋体" w:hAnsi="宋体" w:cs="Times New Roman"/>
                <w:bCs/>
                <w:color w:val="auto"/>
                <w:kern w:val="0"/>
                <w:szCs w:val="21"/>
                <w:highlight w:val="none"/>
              </w:rPr>
              <w:t>3</w:t>
            </w:r>
          </w:p>
        </w:tc>
      </w:tr>
      <w:tr w14:paraId="2BF3BBFA">
        <w:tblPrEx>
          <w:tblCellMar>
            <w:top w:w="0" w:type="dxa"/>
            <w:left w:w="108" w:type="dxa"/>
            <w:bottom w:w="0" w:type="dxa"/>
            <w:right w:w="108" w:type="dxa"/>
          </w:tblCellMar>
        </w:tblPrEx>
        <w:trPr>
          <w:trHeight w:val="1210"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noWrap w:val="0"/>
            <w:vAlign w:val="center"/>
          </w:tcPr>
          <w:p w14:paraId="5847C304">
            <w:pPr>
              <w:widowControl/>
              <w:snapToGrid w:val="0"/>
              <w:spacing w:line="320" w:lineRule="exact"/>
              <w:jc w:val="center"/>
              <w:rPr>
                <w:rFonts w:ascii="宋体" w:hAnsi="宋体" w:cs="Times New Roman"/>
                <w:b/>
                <w:color w:val="auto"/>
                <w:kern w:val="0"/>
                <w:szCs w:val="21"/>
                <w:highlight w:val="none"/>
              </w:rPr>
            </w:pPr>
            <w:r>
              <w:rPr>
                <w:rFonts w:ascii="宋体" w:hAnsi="宋体" w:cs="Times New Roman"/>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84F0E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响应程度</w:t>
            </w:r>
          </w:p>
          <w:p w14:paraId="6E629E2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10</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135D8">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全部满足或明显优于磋商文件要求的，得</w:t>
            </w:r>
            <w:r>
              <w:rPr>
                <w:rFonts w:hint="eastAsia" w:ascii="宋体" w:hAnsi="宋体" w:cs="Times New Roman"/>
                <w:color w:val="auto"/>
                <w:kern w:val="0"/>
                <w:szCs w:val="21"/>
                <w:highlight w:val="none"/>
                <w:lang w:val="en-US" w:eastAsia="zh-CN"/>
              </w:rPr>
              <w:t>10</w:t>
            </w:r>
            <w:r>
              <w:rPr>
                <w:rFonts w:hint="eastAsia" w:ascii="宋体" w:hAnsi="宋体" w:cs="Times New Roman"/>
                <w:color w:val="auto"/>
                <w:kern w:val="0"/>
                <w:szCs w:val="21"/>
                <w:highlight w:val="none"/>
              </w:rPr>
              <w:t>分；</w:t>
            </w:r>
          </w:p>
          <w:p w14:paraId="00EE815E">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不符合（负偏离）采购需求中标注“▲”条款（不可偏离）的响应无效；允许偏离的条款低于采购需求（负偏离）的每项扣</w:t>
            </w: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rPr>
              <w:t>分，扣完为止。</w:t>
            </w:r>
            <w:r>
              <w:rPr>
                <w:rFonts w:hint="eastAsia" w:ascii="宋体" w:hAnsi="宋体" w:cs="Times New Roman"/>
                <w:color w:val="auto"/>
                <w:kern w:val="0"/>
                <w:szCs w:val="21"/>
                <w:highlight w:val="none"/>
                <w:lang w:val="en-US" w:eastAsia="zh-CN"/>
              </w:rPr>
              <w:t>以商务技术偏离表为准。</w:t>
            </w:r>
            <w:r>
              <w:rPr>
                <w:rFonts w:hint="eastAsia" w:ascii="宋体" w:hAnsi="宋体" w:cs="Times New Roman"/>
                <w:color w:val="auto"/>
                <w:kern w:val="0"/>
                <w:szCs w:val="21"/>
                <w:highlight w:val="none"/>
              </w:rPr>
              <w:tab/>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1D83ED9">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10</w:t>
            </w:r>
          </w:p>
        </w:tc>
      </w:tr>
      <w:tr w14:paraId="1F73E672">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right w:val="single" w:color="auto" w:sz="4" w:space="0"/>
            </w:tcBorders>
            <w:shd w:val="clear" w:color="auto" w:fill="FFFFFF"/>
            <w:noWrap w:val="0"/>
            <w:vAlign w:val="center"/>
          </w:tcPr>
          <w:p w14:paraId="23CF02C8">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4</w:t>
            </w:r>
          </w:p>
        </w:tc>
        <w:tc>
          <w:tcPr>
            <w:tcW w:w="1418" w:type="dxa"/>
            <w:vMerge w:val="restart"/>
            <w:tcBorders>
              <w:top w:val="single" w:color="auto" w:sz="4" w:space="0"/>
              <w:left w:val="single" w:color="auto" w:sz="4" w:space="0"/>
              <w:right w:val="single" w:color="auto" w:sz="4" w:space="0"/>
            </w:tcBorders>
            <w:shd w:val="clear" w:color="auto" w:fill="FFFFFF"/>
            <w:noWrap w:val="0"/>
            <w:vAlign w:val="center"/>
          </w:tcPr>
          <w:p w14:paraId="12C2BB32">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总体施工</w:t>
            </w:r>
          </w:p>
          <w:p w14:paraId="4831679D">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技术方案</w:t>
            </w:r>
          </w:p>
          <w:p w14:paraId="7BAFA185">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14</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7AC42">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施工总体安排计划、施工场地布置方案的详细性和周密性（包括临时设施及场地安排、施工用水用电、施工便道等）。（分值</w:t>
            </w:r>
            <w:r>
              <w:rPr>
                <w:rFonts w:hint="eastAsia" w:ascii="宋体" w:hAnsi="宋体" w:cs="Courier New"/>
                <w:color w:val="auto"/>
                <w:szCs w:val="20"/>
                <w:highlight w:val="none"/>
                <w:lang w:val="en-US" w:eastAsia="zh-CN"/>
              </w:rPr>
              <w:t>0,</w:t>
            </w:r>
            <w:r>
              <w:rPr>
                <w:rFonts w:hint="eastAsia" w:ascii="宋体" w:hAnsi="宋体" w:cs="Courier New"/>
                <w:color w:val="auto"/>
                <w:szCs w:val="20"/>
                <w:highlight w:val="none"/>
              </w:rPr>
              <w:t>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8B7B196">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4</w:t>
            </w:r>
          </w:p>
        </w:tc>
      </w:tr>
      <w:tr w14:paraId="0FE42B2F">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7C530F07">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51A9A47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A9788">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Courier New"/>
                <w:color w:val="auto"/>
                <w:szCs w:val="20"/>
                <w:highlight w:val="none"/>
              </w:rPr>
              <w:t>项目的重难点分析及解决措施，合理性建议。（分值0,1,2,3）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3459D77">
            <w:pPr>
              <w:tabs>
                <w:tab w:val="left" w:pos="1500"/>
              </w:tabs>
              <w:adjustRightInd w:val="0"/>
              <w:snapToGrid w:val="0"/>
              <w:jc w:val="center"/>
              <w:rPr>
                <w:rFonts w:hint="eastAsia"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3</w:t>
            </w:r>
          </w:p>
        </w:tc>
      </w:tr>
      <w:tr w14:paraId="663E773C">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19080F1B">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BEAB16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171A1D">
            <w:pPr>
              <w:tabs>
                <w:tab w:val="left" w:pos="1500"/>
              </w:tabs>
              <w:adjustRightInd w:val="0"/>
              <w:snapToGrid w:val="0"/>
              <w:jc w:val="left"/>
              <w:rPr>
                <w:rFonts w:hint="default"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现场成品（设备）的保护，配合其他专业工程（配电、给排水、消防、安防）的组织措施。（分值0,1,2,3,4）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8E2599C">
            <w:pPr>
              <w:tabs>
                <w:tab w:val="left" w:pos="1500"/>
              </w:tabs>
              <w:adjustRightInd w:val="0"/>
              <w:snapToGrid w:val="0"/>
              <w:jc w:val="center"/>
              <w:rPr>
                <w:rFonts w:hint="default" w:ascii="宋体" w:hAnsi="宋体" w:cs="Courier New"/>
                <w:color w:val="auto"/>
                <w:szCs w:val="20"/>
                <w:highlight w:val="none"/>
                <w:lang w:val="en-US" w:eastAsia="zh-CN"/>
              </w:rPr>
            </w:pPr>
            <w:r>
              <w:rPr>
                <w:rFonts w:hint="eastAsia" w:ascii="宋体" w:hAnsi="宋体" w:cs="Courier New"/>
                <w:color w:val="auto"/>
                <w:szCs w:val="20"/>
                <w:highlight w:val="none"/>
                <w:lang w:val="en-US" w:eastAsia="zh-CN"/>
              </w:rPr>
              <w:t>4</w:t>
            </w:r>
          </w:p>
        </w:tc>
      </w:tr>
      <w:tr w14:paraId="20D03895">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096C28F">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01DCA28">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4DA9D">
            <w:pPr>
              <w:tabs>
                <w:tab w:val="left" w:pos="1500"/>
              </w:tabs>
              <w:adjustRightInd w:val="0"/>
              <w:snapToGrid w:val="0"/>
              <w:jc w:val="left"/>
              <w:rPr>
                <w:rFonts w:ascii="宋体" w:hAnsi="宋体" w:cs="Courier New"/>
                <w:color w:val="auto"/>
                <w:szCs w:val="20"/>
                <w:highlight w:val="none"/>
              </w:rPr>
            </w:pPr>
            <w:r>
              <w:rPr>
                <w:rFonts w:hint="eastAsia" w:hAnsi="宋体" w:cs="Courier New"/>
                <w:color w:val="auto"/>
                <w:highlight w:val="none"/>
              </w:rPr>
              <w:t>对项目整体充分了解，资源整合及合理利用周边有效措施</w:t>
            </w:r>
            <w:r>
              <w:rPr>
                <w:rFonts w:hint="eastAsia" w:ascii="宋体" w:hAnsi="宋体" w:cs="Courier New"/>
                <w:color w:val="auto"/>
                <w:szCs w:val="20"/>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A2E704C">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2FC20A0F">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6E3E2D46">
            <w:pPr>
              <w:widowControl/>
              <w:snapToGrid w:val="0"/>
              <w:spacing w:line="320" w:lineRule="exact"/>
              <w:jc w:val="center"/>
              <w:rPr>
                <w:rFonts w:ascii="宋体" w:hAnsi="宋体" w:cs="Times New Roman"/>
                <w:color w:val="auto"/>
                <w:kern w:val="0"/>
                <w:szCs w:val="21"/>
                <w:highlight w:val="none"/>
              </w:rPr>
            </w:pPr>
          </w:p>
          <w:p w14:paraId="478FDC31">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5</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B2423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施工进度计划和保证措施</w:t>
            </w:r>
          </w:p>
          <w:p w14:paraId="765A80EF">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w:t>
            </w:r>
            <w:r>
              <w:rPr>
                <w:rFonts w:hint="eastAsia" w:ascii="宋体" w:hAnsi="宋体" w:cs="Courier New"/>
                <w:color w:val="auto"/>
                <w:szCs w:val="20"/>
                <w:highlight w:val="none"/>
                <w:lang w:val="en-US" w:eastAsia="zh-CN"/>
              </w:rPr>
              <w:t>6</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58158">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确保工程工期及节点工期技术组织措施；赶工期方案措施、材料安排、劳动力安排、技术等方面的具体措施。（分值0,1,2,3）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B2DCBF3">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6087E956">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1023219">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77C5586B">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6FDED7">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拟派项目团队成员的专业能力及经验是否满足施工要求</w:t>
            </w:r>
            <w:r>
              <w:rPr>
                <w:rFonts w:hint="eastAsia" w:ascii="宋体" w:hAnsi="宋体" w:cs="Courier New"/>
                <w:color w:val="auto"/>
                <w:szCs w:val="20"/>
                <w:highlight w:val="none"/>
                <w:lang w:eastAsia="zh-CN"/>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59F38D67">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w:t>
            </w:r>
          </w:p>
        </w:tc>
      </w:tr>
      <w:tr w14:paraId="0E551B71">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5DAC4591">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1780C3">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32AF7">
            <w:pPr>
              <w:tabs>
                <w:tab w:val="left" w:pos="1500"/>
              </w:tabs>
              <w:adjustRightInd w:val="0"/>
              <w:snapToGrid w:val="0"/>
              <w:jc w:val="left"/>
              <w:rPr>
                <w:rFonts w:ascii="宋体" w:hAnsi="宋体" w:cs="Courier New"/>
                <w:color w:val="auto"/>
                <w:szCs w:val="20"/>
                <w:highlight w:val="none"/>
              </w:rPr>
            </w:pPr>
            <w:r>
              <w:rPr>
                <w:rFonts w:hint="eastAsia" w:ascii="宋体" w:hAnsi="宋体" w:cs="Times New Roman"/>
                <w:color w:val="auto"/>
                <w:szCs w:val="20"/>
                <w:highlight w:val="none"/>
              </w:rPr>
              <w:t>各阶段劳动力安排计划及保证措施。（分值0,1,2,3）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F9FFFC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54196750">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E1A2E4A">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340D2F">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8303A">
            <w:pPr>
              <w:tabs>
                <w:tab w:val="left" w:pos="1500"/>
              </w:tabs>
              <w:adjustRightInd w:val="0"/>
              <w:snapToGrid w:val="0"/>
              <w:jc w:val="left"/>
              <w:rPr>
                <w:rFonts w:hint="eastAsia" w:ascii="宋体" w:hAnsi="宋体" w:cs="Times New Roman"/>
                <w:color w:val="auto"/>
                <w:szCs w:val="20"/>
                <w:highlight w:val="none"/>
              </w:rPr>
            </w:pPr>
            <w:r>
              <w:rPr>
                <w:rFonts w:hint="eastAsia" w:ascii="宋体" w:hAnsi="宋体" w:cs="Times New Roman"/>
                <w:color w:val="auto"/>
                <w:szCs w:val="20"/>
                <w:highlight w:val="none"/>
              </w:rPr>
              <w:t>关键节点施工工艺或施工方法（如根据现场室内高度进行实验室通风设备安装、实验室家具电线排路、自控系统、气路系统调试等）、关键节点施工保障措施，包括组织措施及技术措施等。（分值0,1,2,3,4）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2426FA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602B8ECC">
        <w:tblPrEx>
          <w:tblCellMar>
            <w:top w:w="0" w:type="dxa"/>
            <w:left w:w="108" w:type="dxa"/>
            <w:bottom w:w="0" w:type="dxa"/>
            <w:right w:w="108" w:type="dxa"/>
          </w:tblCellMar>
        </w:tblPrEx>
        <w:trPr>
          <w:trHeight w:val="551"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37FFD4B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C3D09">
            <w:pPr>
              <w:tabs>
                <w:tab w:val="left" w:pos="1500"/>
              </w:tabs>
              <w:adjustRightInd w:val="0"/>
              <w:snapToGrid w:val="0"/>
              <w:jc w:val="center"/>
              <w:rPr>
                <w:rFonts w:ascii="宋体" w:hAnsi="宋体" w:cs="Courier New"/>
                <w:b/>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5E96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拟投入的主要施工机械设备情况和主要施工机械进场计划的满足性和合理性。（分值0,1,2,3）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E34A789">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highlight w:val="none"/>
                <w:lang w:val="en-US" w:eastAsia="zh-CN"/>
              </w:rPr>
              <w:t>3</w:t>
            </w:r>
          </w:p>
        </w:tc>
      </w:tr>
      <w:tr w14:paraId="6A295973">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0877AD6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6</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7D6073">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工程质量</w:t>
            </w:r>
          </w:p>
          <w:p w14:paraId="3929C217">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保证措施</w:t>
            </w:r>
          </w:p>
          <w:p w14:paraId="3AF9FED0">
            <w:pPr>
              <w:tabs>
                <w:tab w:val="left" w:pos="1500"/>
              </w:tabs>
              <w:adjustRightInd w:val="0"/>
              <w:snapToGrid w:val="0"/>
              <w:jc w:val="center"/>
              <w:rPr>
                <w:rFonts w:ascii="宋体" w:hAnsi="宋体" w:cs="Courier New"/>
                <w:b/>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12</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6C68D">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所用设备（材料）品牌选用优劣。（分值0,1,2,3,4）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79BB541">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291CE5E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0138F80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71AA77">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9FCDB">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Times New Roman"/>
                <w:color w:val="auto"/>
                <w:szCs w:val="21"/>
                <w:highlight w:val="none"/>
              </w:rPr>
              <w:t>质量管理体系和保障措施，主要工序质量技术保证措施及手段，自控体系完整，能有效保证技术质量，达到承诺的质量标准。严禁使用（利旧）其他工程的材料的相关承诺及措施。（分值0,1,2,3,4）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456A065D">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Times New Roman"/>
                <w:color w:val="auto"/>
                <w:kern w:val="0"/>
                <w:szCs w:val="21"/>
                <w:highlight w:val="none"/>
                <w:lang w:val="en-US" w:eastAsia="zh-CN"/>
              </w:rPr>
              <w:t>4</w:t>
            </w:r>
          </w:p>
        </w:tc>
      </w:tr>
      <w:tr w14:paraId="33FD6D8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3A0BB54">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9DF61">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CCE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质量管理重点环节实施方案：原材料进场检测、原材料存储管理、中间环节检验、防水检测、联合检测及竣工验收是否完善。（分值0,1,2,3,4）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C658430">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4</w:t>
            </w:r>
          </w:p>
        </w:tc>
      </w:tr>
      <w:tr w14:paraId="6B406778">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79D835C1">
            <w:pPr>
              <w:widowControl/>
              <w:snapToGrid w:val="0"/>
              <w:spacing w:line="320" w:lineRule="exact"/>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7</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C1CB2">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安全保证体系及安全文明施工措施要点</w:t>
            </w:r>
          </w:p>
          <w:p w14:paraId="488D3DB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9</w:t>
            </w:r>
            <w:r>
              <w:rPr>
                <w:rFonts w:hint="eastAsia" w:ascii="Times New Roman" w:hAnsi="宋体" w:cs="Times New Roman"/>
                <w:color w:val="auto"/>
                <w:szCs w:val="21"/>
                <w:highlight w:val="none"/>
              </w:rPr>
              <w:t>分</w:t>
            </w:r>
            <w:r>
              <w:rPr>
                <w:rFonts w:hint="eastAsia" w:ascii="宋体" w:hAnsi="宋体" w:cs="Times New Roman"/>
                <w:color w:val="auto"/>
                <w:kern w:val="0"/>
                <w:szCs w:val="21"/>
                <w:highlight w:val="none"/>
              </w:rPr>
              <w:t>）</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DAB9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现场安全管理体系、安全施工措施、文明施工措施。（分值0,1,2,3）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12A2B7F">
            <w:pPr>
              <w:widowControl/>
              <w:snapToGrid w:val="0"/>
              <w:spacing w:line="320" w:lineRule="exact"/>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3</w:t>
            </w:r>
          </w:p>
        </w:tc>
      </w:tr>
      <w:tr w14:paraId="4BE7A719">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402D47CC">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394B34">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B9C6A">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环境保护、噪音控制</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学校教学错峰</w:t>
            </w:r>
            <w:r>
              <w:rPr>
                <w:rFonts w:hint="eastAsia" w:ascii="宋体" w:hAnsi="宋体" w:cs="Times New Roman"/>
                <w:color w:val="auto"/>
                <w:kern w:val="0"/>
                <w:szCs w:val="21"/>
                <w:highlight w:val="none"/>
              </w:rPr>
              <w:t>措施</w:t>
            </w:r>
            <w:r>
              <w:rPr>
                <w:rFonts w:hint="eastAsia" w:ascii="宋体" w:hAnsi="宋体" w:cs="Times New Roman"/>
                <w:color w:val="auto"/>
                <w:kern w:val="0"/>
                <w:szCs w:val="21"/>
                <w:highlight w:val="none"/>
                <w:lang w:val="en-US" w:eastAsia="zh-CN"/>
              </w:rPr>
              <w:t>等</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0632AE7">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7D82700">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2FAF8096">
            <w:pPr>
              <w:widowControl/>
              <w:snapToGrid w:val="0"/>
              <w:spacing w:line="320" w:lineRule="exact"/>
              <w:jc w:val="left"/>
              <w:rPr>
                <w:rFonts w:ascii="宋体" w:hAnsi="宋体" w:cs="Times New Roman"/>
                <w:color w:val="auto"/>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9B68E">
            <w:pPr>
              <w:widowControl/>
              <w:snapToGrid w:val="0"/>
              <w:spacing w:line="320" w:lineRule="exact"/>
              <w:jc w:val="center"/>
              <w:rPr>
                <w:rFonts w:ascii="宋体" w:hAnsi="宋体" w:cs="Times New Roman"/>
                <w:color w:val="auto"/>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46F58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项目重大风险源（人身安全、</w:t>
            </w:r>
            <w:r>
              <w:rPr>
                <w:rFonts w:hint="eastAsia" w:ascii="宋体" w:hAnsi="宋体" w:cs="Times New Roman"/>
                <w:color w:val="auto"/>
                <w:kern w:val="0"/>
                <w:szCs w:val="21"/>
                <w:highlight w:val="none"/>
                <w:lang w:val="en-US" w:eastAsia="zh-CN"/>
              </w:rPr>
              <w:t>防台、</w:t>
            </w:r>
            <w:r>
              <w:rPr>
                <w:rFonts w:hint="eastAsia" w:ascii="宋体" w:hAnsi="宋体" w:cs="Times New Roman"/>
                <w:color w:val="auto"/>
                <w:kern w:val="0"/>
                <w:szCs w:val="21"/>
                <w:highlight w:val="none"/>
              </w:rPr>
              <w:t>火灾预防）识别及预防措施，安全生产事故（人身安全、火灾预防）应急处理预案。（分值0,1,2,3）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E60D408">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B1A9376">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1152C1CD">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8</w:t>
            </w:r>
          </w:p>
        </w:tc>
        <w:tc>
          <w:tcPr>
            <w:tcW w:w="1418" w:type="dxa"/>
            <w:tcBorders>
              <w:top w:val="single" w:color="auto" w:sz="4" w:space="0"/>
              <w:left w:val="single" w:color="auto" w:sz="4" w:space="0"/>
              <w:right w:val="single" w:color="auto" w:sz="4" w:space="0"/>
            </w:tcBorders>
            <w:shd w:val="clear" w:color="auto" w:fill="FFFFFF"/>
            <w:noWrap w:val="0"/>
            <w:vAlign w:val="center"/>
          </w:tcPr>
          <w:p w14:paraId="0A9B1329">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保修措施</w:t>
            </w: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3</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025251">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工程竣工后的保修服务的承诺和保证措施</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C4697CD">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02BA9E18">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bottom w:val="single" w:color="000000" w:sz="8" w:space="0"/>
              <w:right w:val="single" w:color="auto" w:sz="4" w:space="0"/>
            </w:tcBorders>
            <w:shd w:val="clear" w:color="auto" w:fill="FFFFFF"/>
            <w:noWrap w:val="0"/>
            <w:vAlign w:val="center"/>
          </w:tcPr>
          <w:p w14:paraId="3ABCE35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9</w:t>
            </w:r>
          </w:p>
        </w:tc>
        <w:tc>
          <w:tcPr>
            <w:tcW w:w="1418"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2ED65E9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政策响应</w:t>
            </w:r>
          </w:p>
          <w:p w14:paraId="35C7A991">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F189D4E">
            <w:pPr>
              <w:widowControl/>
              <w:snapToGrid w:val="0"/>
              <w:jc w:val="left"/>
              <w:rPr>
                <w:rStyle w:val="299"/>
                <w:rFonts w:hint="default" w:ascii="Times New Roman" w:hAnsi="Times New Roman" w:cs="Times New Roman"/>
                <w:color w:val="auto"/>
                <w:highlight w:val="none"/>
                <w:lang w:bidi="ar"/>
              </w:rPr>
            </w:pPr>
            <w:r>
              <w:rPr>
                <w:rFonts w:hint="eastAsia" w:ascii="宋体" w:hAnsi="宋体" w:cs="宋体"/>
                <w:color w:val="auto"/>
                <w:kern w:val="0"/>
                <w:szCs w:val="21"/>
                <w:highlight w:val="none"/>
                <w:lang w:bidi="ar"/>
              </w:rPr>
              <w:t>（1）选用的主要材料（设备）取得有效的节能产品认证证书的得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 xml:space="preserve">分（列入强制采购节能产品清单目录的产品不计分）； </w:t>
            </w:r>
            <w:r>
              <w:rPr>
                <w:rFonts w:hint="eastAsia" w:ascii="宋体" w:hAnsi="宋体" w:cs="宋体"/>
                <w:color w:val="auto"/>
                <w:kern w:val="0"/>
                <w:szCs w:val="21"/>
                <w:highlight w:val="none"/>
                <w:lang w:bidi="ar"/>
              </w:rPr>
              <w:cr/>
            </w:r>
            <w:r>
              <w:rPr>
                <w:rFonts w:hint="eastAsia" w:ascii="宋体" w:hAnsi="宋体" w:cs="宋体"/>
                <w:color w:val="auto"/>
                <w:kern w:val="0"/>
                <w:szCs w:val="21"/>
                <w:highlight w:val="none"/>
                <w:lang w:bidi="ar"/>
              </w:rPr>
              <w:t>（2）选用的主要材料（设备）取得有效的环境标志产品认证证书的得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分。</w:t>
            </w:r>
          </w:p>
          <w:p w14:paraId="53912697">
            <w:pPr>
              <w:widowControl/>
              <w:snapToGrid w:val="0"/>
              <w:spacing w:line="320" w:lineRule="exact"/>
              <w:jc w:val="left"/>
              <w:rPr>
                <w:rFonts w:ascii="宋体" w:hAnsi="宋体" w:cs="Times New Roman"/>
                <w:color w:val="auto"/>
                <w:kern w:val="0"/>
                <w:szCs w:val="21"/>
                <w:highlight w:val="none"/>
              </w:rPr>
            </w:pPr>
            <w:r>
              <w:rPr>
                <w:rStyle w:val="299"/>
                <w:rFonts w:hint="default"/>
                <w:color w:val="auto"/>
                <w:highlight w:val="none"/>
              </w:rPr>
              <w:t>证明材料：提供国家确定的认证机构出具的、处于有效期之内的认证证书复印件加盖公章。</w:t>
            </w:r>
          </w:p>
        </w:tc>
        <w:tc>
          <w:tcPr>
            <w:tcW w:w="785" w:type="dxa"/>
            <w:tcBorders>
              <w:top w:val="single" w:color="auto" w:sz="4" w:space="0"/>
              <w:left w:val="single" w:color="auto" w:sz="4" w:space="0"/>
              <w:bottom w:val="single" w:color="000000" w:sz="8" w:space="0"/>
              <w:right w:val="double" w:color="auto" w:sz="4" w:space="0"/>
            </w:tcBorders>
            <w:shd w:val="clear" w:color="auto" w:fill="FFFFFF"/>
            <w:noWrap w:val="0"/>
            <w:vAlign w:val="center"/>
          </w:tcPr>
          <w:p w14:paraId="6B47845A">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2</w:t>
            </w:r>
          </w:p>
        </w:tc>
      </w:tr>
      <w:tr w14:paraId="5B616F3A">
        <w:tblPrEx>
          <w:tblCellMar>
            <w:top w:w="0" w:type="dxa"/>
            <w:left w:w="108" w:type="dxa"/>
            <w:bottom w:w="0" w:type="dxa"/>
            <w:right w:w="108" w:type="dxa"/>
          </w:tblCellMar>
        </w:tblPrEx>
        <w:trPr>
          <w:trHeight w:val="447" w:hRule="atLeast"/>
          <w:jc w:val="center"/>
        </w:trPr>
        <w:tc>
          <w:tcPr>
            <w:tcW w:w="704" w:type="dxa"/>
            <w:tcBorders>
              <w:top w:val="single" w:color="000000" w:sz="8" w:space="0"/>
              <w:left w:val="double" w:color="auto" w:sz="4" w:space="0"/>
              <w:bottom w:val="double" w:color="auto" w:sz="4" w:space="0"/>
              <w:right w:val="single" w:color="000000" w:sz="8" w:space="0"/>
            </w:tcBorders>
            <w:shd w:val="clear" w:color="auto" w:fill="FFFFFF"/>
            <w:noWrap w:val="0"/>
            <w:vAlign w:val="center"/>
          </w:tcPr>
          <w:p w14:paraId="4F413B0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10</w:t>
            </w:r>
          </w:p>
        </w:tc>
        <w:tc>
          <w:tcPr>
            <w:tcW w:w="7853" w:type="dxa"/>
            <w:gridSpan w:val="2"/>
            <w:tcBorders>
              <w:top w:val="single" w:color="000000" w:sz="8" w:space="0"/>
              <w:left w:val="single" w:color="000000" w:sz="8" w:space="0"/>
              <w:bottom w:val="double" w:color="auto" w:sz="4" w:space="0"/>
              <w:right w:val="single" w:color="auto" w:sz="4" w:space="0"/>
            </w:tcBorders>
            <w:shd w:val="clear" w:color="auto" w:fill="FFFFFF"/>
            <w:noWrap w:val="0"/>
            <w:vAlign w:val="center"/>
          </w:tcPr>
          <w:p w14:paraId="16924971">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合    计</w:t>
            </w:r>
          </w:p>
        </w:tc>
        <w:tc>
          <w:tcPr>
            <w:tcW w:w="785" w:type="dxa"/>
            <w:tcBorders>
              <w:top w:val="single" w:color="000000" w:sz="8" w:space="0"/>
              <w:left w:val="single" w:color="auto" w:sz="4" w:space="0"/>
              <w:bottom w:val="double" w:color="auto" w:sz="4" w:space="0"/>
              <w:right w:val="double" w:color="auto" w:sz="4" w:space="0"/>
            </w:tcBorders>
            <w:shd w:val="clear" w:color="auto" w:fill="FFFFFF"/>
            <w:noWrap w:val="0"/>
            <w:vAlign w:val="center"/>
          </w:tcPr>
          <w:p w14:paraId="09A44A05">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7</w:t>
            </w:r>
            <w:r>
              <w:rPr>
                <w:rFonts w:ascii="宋体" w:hAnsi="宋体" w:cs="Times New Roman"/>
                <w:b/>
                <w:color w:val="auto"/>
                <w:kern w:val="0"/>
                <w:szCs w:val="21"/>
                <w:highlight w:val="none"/>
              </w:rPr>
              <w:t>0</w:t>
            </w:r>
            <w:r>
              <w:rPr>
                <w:rFonts w:hint="eastAsia" w:ascii="宋体" w:hAnsi="宋体" w:cs="Times New Roman"/>
                <w:b/>
                <w:color w:val="auto"/>
                <w:kern w:val="0"/>
                <w:szCs w:val="21"/>
                <w:highlight w:val="none"/>
              </w:rPr>
              <w:t>分</w:t>
            </w:r>
          </w:p>
        </w:tc>
      </w:tr>
    </w:tbl>
    <w:p w14:paraId="367DCBD6">
      <w:pPr>
        <w:autoSpaceDN w:val="0"/>
        <w:rPr>
          <w:rFonts w:hint="eastAsia" w:ascii="宋体" w:hAnsi="宋体" w:eastAsia="宋体" w:cs="宋体"/>
          <w:b/>
          <w:color w:val="auto"/>
          <w:sz w:val="24"/>
          <w:highlight w:val="none"/>
        </w:rPr>
      </w:pPr>
    </w:p>
    <w:p w14:paraId="26FAA032">
      <w:pPr>
        <w:autoSpaceDN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备注：商务技术分=（磋商小组所有成员评分合计数）/（磋商小组人数）</w:t>
      </w:r>
    </w:p>
    <w:p w14:paraId="14CEABDE">
      <w:pPr>
        <w:keepNext/>
        <w:keepLines/>
        <w:autoSpaceDN w:val="0"/>
        <w:spacing w:before="72" w:beforeLines="30" w:after="72" w:afterLines="30"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报价分（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p>
    <w:p w14:paraId="18F39B83">
      <w:pPr>
        <w:autoSpaceDN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3.2.1最后报价的合理性：分析最后报价是否合理，最后报价范围是否完整，有否重大错漏项。</w:t>
      </w:r>
    </w:p>
    <w:p w14:paraId="21523A1E">
      <w:pPr>
        <w:autoSpaceDN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3.2.2磋商报价分计算方法：</w:t>
      </w:r>
      <w:r>
        <w:rPr>
          <w:rFonts w:hint="eastAsia" w:ascii="宋体" w:hAnsi="宋体" w:eastAsia="宋体" w:cs="宋体"/>
          <w:b/>
          <w:color w:val="auto"/>
          <w:sz w:val="21"/>
          <w:szCs w:val="21"/>
          <w:highlight w:val="none"/>
        </w:rPr>
        <w:t>满足《磋商文件》要求且最后报价最低的有效供应商的最后报价为磋商基准价，其价格分为</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0分（即价格权值为</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w:t>
      </w:r>
      <w:r>
        <w:rPr>
          <w:rFonts w:hint="eastAsia" w:ascii="宋体" w:hAnsi="宋体" w:eastAsia="宋体" w:cs="宋体"/>
          <w:color w:val="auto"/>
          <w:sz w:val="21"/>
          <w:szCs w:val="21"/>
          <w:highlight w:val="none"/>
        </w:rPr>
        <w:t>其他磋商响应供应商的价格分统一按照下列公式计算（精确到小数点后二位）：</w:t>
      </w:r>
    </w:p>
    <w:p w14:paraId="00B2A8E3">
      <w:pPr>
        <w:autoSpaceDN w:val="0"/>
        <w:spacing w:line="360" w:lineRule="auto"/>
        <w:ind w:firstLine="405" w:firstLineChars="19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报价分=（磋商基准价／最后报价）×</w:t>
      </w: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0%×100</w:t>
      </w:r>
    </w:p>
    <w:p w14:paraId="106BA296">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3.2.3</w:t>
      </w:r>
      <w:r>
        <w:rPr>
          <w:rFonts w:hint="eastAsia" w:ascii="宋体" w:hAnsi="宋体" w:eastAsia="宋体" w:cs="宋体"/>
          <w:b/>
          <w:color w:val="auto"/>
          <w:kern w:val="0"/>
          <w:sz w:val="21"/>
          <w:szCs w:val="21"/>
          <w:highlight w:val="none"/>
        </w:rPr>
        <w:t>重要提示：</w:t>
      </w:r>
    </w:p>
    <w:p w14:paraId="451AFB41">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本项目专门面向中小企业采购，小型、微型、监狱及残疾人福利性企业评审价格不予扣除</w:t>
      </w:r>
      <w:r>
        <w:rPr>
          <w:rFonts w:hint="eastAsia" w:ascii="宋体" w:hAnsi="宋体" w:eastAsia="宋体" w:cs="宋体"/>
          <w:b/>
          <w:color w:val="auto"/>
          <w:kern w:val="0"/>
          <w:sz w:val="21"/>
          <w:szCs w:val="21"/>
          <w:highlight w:val="none"/>
        </w:rPr>
        <w:t>；</w:t>
      </w:r>
    </w:p>
    <w:p w14:paraId="23370F99">
      <w:pPr>
        <w:autoSpaceDN w:val="0"/>
        <w:spacing w:line="360" w:lineRule="auto"/>
        <w:ind w:firstLine="405" w:firstLineChars="192"/>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sz w:val="21"/>
          <w:szCs w:val="21"/>
          <w:highlight w:val="none"/>
          <w:u w:val="single"/>
        </w:rPr>
        <w:t>为防止围标串标和低价恶意竞标的行为，评审时如发现磋商响应供应商的报价明显高于市场价格或低于成本价，磋商响应供应商必须按照磋商小组的要求做出书面说明并提供相关证明材料。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磋商响应供应商不能合理说明原因并提供相关证明材料的，磋商小组将对其投标作无效处理，同时由采购组织机构向同级财政部门通报情况，视情将其列入不良供应商名单</w:t>
      </w:r>
      <w:r>
        <w:rPr>
          <w:rFonts w:hint="eastAsia" w:ascii="宋体" w:hAnsi="宋体" w:eastAsia="宋体" w:cs="宋体"/>
          <w:b/>
          <w:color w:val="auto"/>
          <w:sz w:val="21"/>
          <w:szCs w:val="21"/>
          <w:highlight w:val="none"/>
        </w:rPr>
        <w:t>。</w:t>
      </w:r>
    </w:p>
    <w:p w14:paraId="1AFF1C13">
      <w:pPr>
        <w:pStyle w:val="4"/>
        <w:autoSpaceDN w:val="0"/>
        <w:spacing w:before="360"/>
        <w:ind w:firstLine="0" w:firstLineChars="0"/>
        <w:rPr>
          <w:rFonts w:hint="eastAsia" w:ascii="宋体" w:hAnsi="宋体" w:eastAsia="宋体" w:cs="宋体"/>
          <w:color w:val="auto"/>
          <w:sz w:val="21"/>
          <w:szCs w:val="21"/>
          <w:highlight w:val="none"/>
        </w:rPr>
      </w:pPr>
      <w:bookmarkStart w:id="201" w:name="_Toc4750"/>
      <w:bookmarkStart w:id="202" w:name="_Toc19029"/>
      <w:r>
        <w:rPr>
          <w:rFonts w:hint="eastAsia" w:ascii="宋体" w:hAnsi="宋体" w:eastAsia="宋体" w:cs="宋体"/>
          <w:color w:val="auto"/>
          <w:sz w:val="21"/>
          <w:szCs w:val="21"/>
          <w:highlight w:val="none"/>
        </w:rPr>
        <w:t>四、其他评审事项规定</w:t>
      </w:r>
      <w:bookmarkEnd w:id="201"/>
      <w:bookmarkEnd w:id="202"/>
    </w:p>
    <w:p w14:paraId="707F6D75">
      <w:pPr>
        <w:autoSpaceDN w:val="0"/>
        <w:spacing w:line="360" w:lineRule="auto"/>
        <w:ind w:firstLine="405" w:firstLineChars="19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串通投标的认定</w:t>
      </w:r>
    </w:p>
    <w:p w14:paraId="07E07FCA">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4.1.1在评审过程中发现以下情形，被视为串通投标的：</w:t>
      </w:r>
    </w:p>
    <w:p w14:paraId="2FF1CD4F">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不同磋商响应供应商的磋商响应文件由同一单位或个人编制</w:t>
      </w:r>
      <w:r>
        <w:rPr>
          <w:rFonts w:hint="eastAsia" w:ascii="宋体" w:hAnsi="宋体" w:eastAsia="宋体" w:cs="宋体"/>
          <w:b/>
          <w:color w:val="auto"/>
          <w:kern w:val="0"/>
          <w:sz w:val="21"/>
          <w:szCs w:val="21"/>
          <w:highlight w:val="none"/>
        </w:rPr>
        <w:t>；</w:t>
      </w:r>
    </w:p>
    <w:p w14:paraId="0BE94F21">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不同磋商响应供应商委托同一单位或个人办理投标事宜</w:t>
      </w:r>
      <w:r>
        <w:rPr>
          <w:rFonts w:hint="eastAsia" w:ascii="宋体" w:hAnsi="宋体" w:eastAsia="宋体" w:cs="宋体"/>
          <w:b/>
          <w:color w:val="auto"/>
          <w:kern w:val="0"/>
          <w:sz w:val="21"/>
          <w:szCs w:val="21"/>
          <w:highlight w:val="none"/>
        </w:rPr>
        <w:t>；</w:t>
      </w:r>
    </w:p>
    <w:p w14:paraId="24C67C37">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u w:val="single"/>
        </w:rPr>
        <w:t>不同磋商响应供应商的磋商响应文件载明的项目管理成员或联系人员为同一人</w:t>
      </w:r>
      <w:r>
        <w:rPr>
          <w:rFonts w:hint="eastAsia" w:ascii="宋体" w:hAnsi="宋体" w:eastAsia="宋体" w:cs="宋体"/>
          <w:b/>
          <w:color w:val="auto"/>
          <w:kern w:val="0"/>
          <w:sz w:val="21"/>
          <w:szCs w:val="21"/>
          <w:highlight w:val="none"/>
        </w:rPr>
        <w:t>；</w:t>
      </w:r>
    </w:p>
    <w:p w14:paraId="74BB8642">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不同磋商响应供应商的磋商响应文件异常一致或者投标报价呈规律性差异</w:t>
      </w:r>
      <w:r>
        <w:rPr>
          <w:rFonts w:hint="eastAsia" w:ascii="宋体" w:hAnsi="宋体" w:eastAsia="宋体" w:cs="宋体"/>
          <w:b/>
          <w:color w:val="auto"/>
          <w:kern w:val="0"/>
          <w:sz w:val="21"/>
          <w:szCs w:val="21"/>
          <w:highlight w:val="none"/>
        </w:rPr>
        <w:t>；</w:t>
      </w:r>
    </w:p>
    <w:p w14:paraId="002E797C">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不同磋商响应供应商的磋商响应文件互相混装</w:t>
      </w:r>
      <w:r>
        <w:rPr>
          <w:rFonts w:hint="eastAsia" w:ascii="宋体" w:hAnsi="宋体" w:eastAsia="宋体" w:cs="宋体"/>
          <w:b/>
          <w:color w:val="auto"/>
          <w:kern w:val="0"/>
          <w:sz w:val="21"/>
          <w:szCs w:val="21"/>
          <w:highlight w:val="none"/>
        </w:rPr>
        <w:t>。</w:t>
      </w:r>
    </w:p>
    <w:p w14:paraId="04E90B0F">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4B8D8070">
      <w:pPr>
        <w:pStyle w:val="2"/>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 磋商响应供应商违法等重大事项的处理</w:t>
      </w:r>
    </w:p>
    <w:p w14:paraId="117F53D7">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磋商响应供应商有下列情形之一的，投标无效且将《磋商响应文件》、《询标记录》等报同级政府采购监管部门或有关职能部门查处：</w:t>
      </w:r>
    </w:p>
    <w:p w14:paraId="2F58FFCC">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（1）未如实提供债权债务、重大违法记录、利害关系等信息，影响或者可能影响成交结果的；</w:t>
      </w:r>
    </w:p>
    <w:p w14:paraId="02D03B0B">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（2）不遵循公平竞争原则、恶意串通、妨碍其他磋商响应供应商的竞争、损害采购人或其他磋商响应供应商合法权益的；</w:t>
      </w:r>
    </w:p>
    <w:p w14:paraId="5FB05893">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（3）政府采购活动中存在违法行为的；</w:t>
      </w:r>
    </w:p>
    <w:p w14:paraId="4E630233">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（3）其他严重干扰招投标秩序的行为的。</w:t>
      </w:r>
    </w:p>
    <w:p w14:paraId="33432DFB">
      <w:pPr>
        <w:pStyle w:val="2"/>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4.3 评审中合格磋商响应供应商不足法定数量的处理</w:t>
      </w:r>
    </w:p>
    <w:p w14:paraId="056CBFA0">
      <w:pPr>
        <w:autoSpaceDN w:val="0"/>
        <w:spacing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公开招标的采购项目，在评审过程中，若某个标项的有效磋商响应供应商不足三家的，除采购任务取消情形外，采购人可选择以下方式之一处理：</w:t>
      </w:r>
    </w:p>
    <w:p w14:paraId="12AC132E">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（1）将本标项作废标处理，重新组织采购；</w:t>
      </w:r>
    </w:p>
    <w:p w14:paraId="2E985D2E">
      <w:pPr>
        <w:autoSpaceDN w:val="0"/>
        <w:spacing w:line="360" w:lineRule="auto"/>
        <w:ind w:firstLine="367" w:firstLineChars="175"/>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（2）按同级政府采购监督管理部门的审批意见采用其他采购方式组织采购。</w:t>
      </w:r>
    </w:p>
    <w:p w14:paraId="643BBBD6">
      <w:pPr>
        <w:pStyle w:val="2"/>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4.4 废标适用情形</w:t>
      </w:r>
    </w:p>
    <w:p w14:paraId="758CAB4D">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在招标采购中，出现下列情形之一的，项目将予以废标：</w:t>
      </w:r>
    </w:p>
    <w:p w14:paraId="23E3DD79">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（1）符合专业条件的供应商或者对竞争性磋商文件作实质响应的供应商不足三家的；</w:t>
      </w:r>
    </w:p>
    <w:p w14:paraId="4B4A53F6">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（2）出现影响采购公正的违法、违规行为的；</w:t>
      </w:r>
    </w:p>
    <w:p w14:paraId="43B0401F">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（3）磋商响应供应商的报价均超过了采购预算，采购人不能支付的；</w:t>
      </w:r>
    </w:p>
    <w:p w14:paraId="033C33DF">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（4）因重大变故，采购任务取消的。</w:t>
      </w:r>
    </w:p>
    <w:p w14:paraId="4C523659">
      <w:pPr>
        <w:pStyle w:val="2"/>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4.5 可中止电子交易活动的情形</w:t>
      </w:r>
    </w:p>
    <w:p w14:paraId="1DD350D4">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采购过程中出现以下情形，导致电子交易平台无法正常运行，或者无法保证电子交易的公平、公正和安全时，采购组织机构可中止电子交易活动：</w:t>
      </w:r>
    </w:p>
    <w:p w14:paraId="3DBA9BDA">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（一）电子交易平台发生故障而无法登录访问的；</w:t>
      </w:r>
    </w:p>
    <w:p w14:paraId="7CE67F8A">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69711CED">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090CC27B">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3B2803BF">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00C6CF49">
      <w:pPr>
        <w:autoSpaceDN w:val="0"/>
        <w:spacing w:line="360" w:lineRule="auto"/>
        <w:ind w:firstLine="407" w:firstLineChars="19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73A301F1">
      <w:pPr>
        <w:autoSpaceDN w:val="0"/>
        <w:spacing w:line="360" w:lineRule="auto"/>
        <w:ind w:firstLine="426" w:firstLineChars="193"/>
        <w:rPr>
          <w:rFonts w:hint="eastAsia" w:ascii="宋体" w:hAnsi="宋体" w:eastAsia="宋体" w:cs="宋体"/>
          <w:b/>
          <w:color w:val="auto"/>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3F198A">
      <w:pPr>
        <w:pStyle w:val="3"/>
        <w:autoSpaceDN w:val="0"/>
        <w:spacing w:before="240"/>
        <w:rPr>
          <w:rFonts w:hint="eastAsia" w:ascii="宋体" w:hAnsi="宋体" w:eastAsia="宋体" w:cs="宋体"/>
          <w:b w:val="0"/>
          <w:bCs/>
          <w:color w:val="auto"/>
          <w:sz w:val="44"/>
          <w:szCs w:val="32"/>
          <w:highlight w:val="none"/>
        </w:rPr>
      </w:pPr>
      <w:bookmarkStart w:id="203" w:name="_Toc27569"/>
      <w:bookmarkStart w:id="204" w:name="_Toc7988416"/>
      <w:bookmarkStart w:id="205" w:name="_Toc522830350"/>
      <w:bookmarkStart w:id="206" w:name="_Toc35391913"/>
      <w:r>
        <w:rPr>
          <w:rFonts w:hint="eastAsia" w:ascii="宋体" w:hAnsi="宋体" w:eastAsia="宋体" w:cs="宋体"/>
          <w:b w:val="0"/>
          <w:bCs/>
          <w:color w:val="auto"/>
          <w:sz w:val="44"/>
          <w:szCs w:val="32"/>
          <w:highlight w:val="none"/>
        </w:rPr>
        <w:t>第八章 附件</w:t>
      </w:r>
      <w:bookmarkEnd w:id="203"/>
      <w:bookmarkEnd w:id="204"/>
      <w:bookmarkEnd w:id="205"/>
      <w:bookmarkEnd w:id="206"/>
    </w:p>
    <w:p w14:paraId="265FD539">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（以下相关文件及规定如与最新规定不一致的，以最新发布的为准）</w:t>
      </w:r>
    </w:p>
    <w:p w14:paraId="00F09AD6">
      <w:pPr>
        <w:keepNext/>
        <w:keepLines/>
        <w:autoSpaceDN w:val="0"/>
        <w:spacing w:before="240" w:line="360" w:lineRule="auto"/>
        <w:jc w:val="left"/>
        <w:outlineLvl w:val="2"/>
        <w:rPr>
          <w:rFonts w:hint="eastAsia" w:ascii="宋体" w:hAnsi="宋体" w:eastAsia="宋体" w:cs="宋体"/>
          <w:b/>
          <w:bCs/>
          <w:color w:val="auto"/>
          <w:kern w:val="0"/>
          <w:sz w:val="30"/>
          <w:highlight w:val="none"/>
        </w:rPr>
      </w:pPr>
      <w:bookmarkStart w:id="207" w:name="_Toc4294376"/>
      <w:bookmarkStart w:id="208" w:name="_Toc7664193"/>
      <w:bookmarkStart w:id="209" w:name="_Toc7668946"/>
      <w:bookmarkStart w:id="210" w:name="_Toc10432454"/>
      <w:bookmarkStart w:id="211" w:name="_Toc7488755"/>
      <w:bookmarkStart w:id="212" w:name="_Toc8007001"/>
      <w:bookmarkStart w:id="213" w:name="_Toc7663593"/>
      <w:bookmarkStart w:id="214" w:name="_Toc7988471"/>
      <w:bookmarkStart w:id="215" w:name="_Toc25765006"/>
      <w:bookmarkStart w:id="216" w:name="_Toc20358288"/>
      <w:bookmarkStart w:id="217" w:name="_Toc7542912"/>
      <w:bookmarkStart w:id="218" w:name="_Toc7574701"/>
      <w:bookmarkStart w:id="219" w:name="_Toc7993637"/>
      <w:bookmarkStart w:id="220" w:name="_Toc7492524"/>
      <w:bookmarkStart w:id="221" w:name="_Toc24471814"/>
      <w:bookmarkStart w:id="222" w:name="_Toc17428250"/>
      <w:bookmarkStart w:id="223" w:name="_Toc17428345"/>
      <w:bookmarkStart w:id="224" w:name="_Toc7988417"/>
      <w:bookmarkStart w:id="225" w:name="_Toc4649580"/>
      <w:bookmarkStart w:id="226" w:name="_Toc2002574"/>
      <w:bookmarkStart w:id="227" w:name="_Toc522417531"/>
      <w:bookmarkStart w:id="228" w:name="_Toc532440701"/>
      <w:bookmarkStart w:id="229" w:name="_Toc522830351"/>
      <w:r>
        <w:rPr>
          <w:rFonts w:hint="eastAsia" w:ascii="宋体" w:hAnsi="宋体" w:eastAsia="宋体" w:cs="宋体"/>
          <w:b/>
          <w:bCs/>
          <w:color w:val="auto"/>
          <w:kern w:val="0"/>
          <w:sz w:val="30"/>
          <w:highlight w:val="none"/>
        </w:rPr>
        <w:t>一、</w:t>
      </w:r>
      <w:bookmarkEnd w:id="207"/>
      <w:r>
        <w:rPr>
          <w:rFonts w:hint="eastAsia" w:ascii="宋体" w:hAnsi="宋体" w:eastAsia="宋体" w:cs="宋体"/>
          <w:b/>
          <w:bCs/>
          <w:color w:val="auto"/>
          <w:kern w:val="0"/>
          <w:sz w:val="30"/>
          <w:highlight w:val="none"/>
        </w:rPr>
        <w:t>政府采购支持中小企业信用融资相关事项通知</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51"/>
        <w:tblW w:w="961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610"/>
      </w:tblGrid>
      <w:tr w14:paraId="60E698B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610" w:type="dxa"/>
            <w:noWrap/>
          </w:tcPr>
          <w:p w14:paraId="78CDA73F">
            <w:pPr>
              <w:autoSpaceDN w:val="0"/>
              <w:spacing w:line="336"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政府采购支持中小企业信用融资相关事项通知</w:t>
            </w:r>
          </w:p>
          <w:p w14:paraId="0C2C029E">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为支持和促进中小企业发展，进一步发挥政府采购政策功能，浙江省财政厅，中国银行业监督管理委员会浙江监管局，浙江省人民政府金融工作办公室共同出台了《关于印发浙江省政府采购支持中小企业信用融资试点办法的通知》浙财采监[2012]13号文，并从2012年5月31日起正式启动信用融资工作，现将相关事项通知如下：</w:t>
            </w:r>
          </w:p>
          <w:p w14:paraId="58EB8A3C">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538645BA">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在杭州市政府采购网上注册入库，并取得杭州市政府采购合同的杭州市内中小企业供应商。</w:t>
            </w:r>
          </w:p>
          <w:p w14:paraId="17EF204E">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31C13713">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请登陆浙江政府采购网（http:// zfcg.czt.zj.gov.cn/）获取服务方案。</w:t>
            </w:r>
          </w:p>
          <w:p w14:paraId="527E7A56">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三、申请方式和步骤</w:t>
            </w:r>
          </w:p>
          <w:p w14:paraId="2F1E9B28">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1、供应商若有融资意向，需先与六家合作银行对接，办理相关融资前期手续；</w:t>
            </w:r>
          </w:p>
          <w:p w14:paraId="769CE935">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2、中标/成交后，供应商应与采购单位或者采购代理机构及时联系，告知融资需求；</w:t>
            </w:r>
          </w:p>
          <w:p w14:paraId="286DDFB9">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3、采购单位或者采购代理机构在政府采购信息系统录入中标合同信息时，须在合同备案页“是否为可融资合同”前打勾，并选择相应的信用融资合作银行，录入账号信息；</w:t>
            </w:r>
          </w:p>
          <w:p w14:paraId="2EE41466">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4、相关信息录入后，相关合作银行将在政府采购信息系统查询到合同备案信息，经审核，与供应商联系并办理相关融资事宜。</w:t>
            </w:r>
          </w:p>
          <w:p w14:paraId="471B6EE0">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68BB115C">
            <w:pPr>
              <w:autoSpaceDN w:val="0"/>
              <w:spacing w:line="336" w:lineRule="auto"/>
              <w:jc w:val="center"/>
              <w:rPr>
                <w:rFonts w:hint="eastAsia" w:ascii="宋体" w:hAnsi="宋体" w:eastAsia="宋体" w:cs="宋体"/>
                <w:b/>
                <w:color w:val="auto"/>
                <w:sz w:val="36"/>
                <w:highlight w:val="none"/>
              </w:rPr>
            </w:pPr>
            <w:r>
              <w:rPr>
                <w:rFonts w:hint="eastAsia" w:ascii="宋体" w:hAnsi="宋体" w:eastAsia="宋体" w:cs="宋体"/>
                <w:color w:val="auto"/>
                <w:sz w:val="24"/>
                <w:highlight w:val="none"/>
              </w:rPr>
              <w:t>请各采购单位和采购代理机构积极支持和配合政府采购信用融资工作，在合同备案节务必请仔细核对收款银行、账号信息等内容，一旦录入将无法修改。</w:t>
            </w:r>
          </w:p>
        </w:tc>
      </w:tr>
    </w:tbl>
    <w:p w14:paraId="13537DAC">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color w:val="auto"/>
          <w:sz w:val="30"/>
          <w:highlight w:val="none"/>
        </w:rPr>
        <w:br w:type="page"/>
      </w:r>
      <w:bookmarkStart w:id="230" w:name="_Toc4294377"/>
      <w:bookmarkStart w:id="231" w:name="_Toc7668947"/>
      <w:bookmarkStart w:id="232" w:name="_Toc25765007"/>
      <w:bookmarkStart w:id="233" w:name="_Toc17428251"/>
      <w:bookmarkStart w:id="234" w:name="_Toc10432455"/>
      <w:bookmarkStart w:id="235" w:name="_Toc8007002"/>
      <w:bookmarkStart w:id="236" w:name="_Toc7988472"/>
      <w:bookmarkStart w:id="237" w:name="_Toc7492525"/>
      <w:bookmarkStart w:id="238" w:name="_Toc7664194"/>
      <w:bookmarkStart w:id="239" w:name="_Toc24471815"/>
      <w:bookmarkStart w:id="240" w:name="_Toc7488756"/>
      <w:bookmarkStart w:id="241" w:name="_Toc7993638"/>
      <w:bookmarkStart w:id="242" w:name="_Toc7663594"/>
      <w:bookmarkStart w:id="243" w:name="_Toc7542913"/>
      <w:bookmarkStart w:id="244" w:name="_Toc17428346"/>
      <w:bookmarkStart w:id="245" w:name="_Toc20358289"/>
      <w:bookmarkStart w:id="246" w:name="_Toc7574702"/>
      <w:bookmarkStart w:id="247" w:name="_Toc7988418"/>
      <w:r>
        <w:rPr>
          <w:rFonts w:hint="eastAsia" w:ascii="宋体" w:hAnsi="宋体" w:eastAsia="宋体" w:cs="宋体"/>
          <w:b/>
          <w:bCs/>
          <w:color w:val="auto"/>
          <w:kern w:val="0"/>
          <w:sz w:val="30"/>
          <w:highlight w:val="none"/>
        </w:rPr>
        <w:t>二、</w:t>
      </w:r>
      <w:bookmarkEnd w:id="230"/>
      <w:r>
        <w:rPr>
          <w:rFonts w:hint="eastAsia" w:ascii="宋体" w:hAnsi="宋体" w:eastAsia="宋体" w:cs="宋体"/>
          <w:b/>
          <w:bCs/>
          <w:color w:val="auto"/>
          <w:kern w:val="0"/>
          <w:sz w:val="30"/>
          <w:highlight w:val="none"/>
        </w:rPr>
        <w:t>关于调整优化节能产品、环境标志产品政府采购执行机制的通知（财库[2019]9号）</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Style w:val="51"/>
        <w:tblW w:w="98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805"/>
      </w:tblGrid>
      <w:tr w14:paraId="1EA08631">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805" w:type="dxa"/>
            <w:noWrap/>
          </w:tcPr>
          <w:p w14:paraId="59FAD7AF">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财政部 发展改革委 生态环境部 市场监管总局</w:t>
            </w:r>
          </w:p>
          <w:p w14:paraId="5B6A6A49">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关于调整优化节能产品、环境标志产品政府采购执行机制的通知</w:t>
            </w:r>
          </w:p>
          <w:p w14:paraId="6745C6BD">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财库〔2019〕9号</w:t>
            </w:r>
          </w:p>
          <w:p w14:paraId="1789ED21">
            <w:pPr>
              <w:autoSpaceDN w:val="0"/>
              <w:spacing w:line="360" w:lineRule="auto"/>
              <w:jc w:val="center"/>
              <w:rPr>
                <w:rFonts w:hint="eastAsia" w:ascii="宋体" w:hAnsi="宋体" w:eastAsia="宋体" w:cs="宋体"/>
                <w:b/>
                <w:color w:val="auto"/>
                <w:sz w:val="24"/>
                <w:highlight w:val="none"/>
              </w:rPr>
            </w:pPr>
          </w:p>
          <w:p w14:paraId="34B1BEFE">
            <w:pPr>
              <w:autoSpaceDN w:val="0"/>
              <w:spacing w:line="360" w:lineRule="auto"/>
              <w:ind w:firstLine="48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3B624C4B">
            <w:pPr>
              <w:autoSpaceDN w:val="0"/>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BEF95C4">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一、对政府采购节能产品、环境标志产品实施品目清单管理。</w:t>
            </w:r>
            <w:r>
              <w:rPr>
                <w:rFonts w:hint="eastAsia" w:ascii="宋体" w:hAnsi="宋体" w:eastAsia="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E01FDA9">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二、依据品目清单和认证证书实施政府优先采购和强制采购。</w:t>
            </w:r>
            <w:r>
              <w:rPr>
                <w:rFonts w:hint="eastAsia" w:ascii="宋体" w:hAnsi="宋体" w:eastAsia="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C2EB393">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三、逐步扩大节能产品、环境标志产品认证机构范围。</w:t>
            </w:r>
            <w:r>
              <w:rPr>
                <w:rFonts w:hint="eastAsia" w:ascii="宋体" w:hAnsi="宋体" w:eastAsia="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B1FE754">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四、发布认证机构和获证产品信息。</w:t>
            </w:r>
            <w:r>
              <w:rPr>
                <w:rFonts w:hint="eastAsia" w:ascii="宋体" w:hAnsi="宋体" w:eastAsia="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D2B2C57">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五、加大政府绿色采购力度。</w:t>
            </w:r>
            <w:r>
              <w:rPr>
                <w:rFonts w:hint="eastAsia" w:ascii="宋体" w:hAnsi="宋体" w:eastAsia="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8F3E616">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六、本通知自2019年4月1日起执行。</w:t>
            </w:r>
            <w:r>
              <w:rPr>
                <w:rFonts w:hint="eastAsia" w:ascii="宋体" w:hAnsi="宋体" w:eastAsia="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88857B9">
            <w:pPr>
              <w:autoSpaceDN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财政部 发展改革委 生态环境部 市场监管总局</w:t>
            </w:r>
          </w:p>
          <w:p w14:paraId="2D745370">
            <w:pPr>
              <w:autoSpaceDN w:val="0"/>
              <w:spacing w:line="360" w:lineRule="auto"/>
              <w:jc w:val="right"/>
              <w:rPr>
                <w:rFonts w:hint="eastAsia" w:ascii="宋体" w:hAnsi="宋体" w:eastAsia="宋体" w:cs="宋体"/>
                <w:color w:val="auto"/>
                <w:kern w:val="0"/>
                <w:sz w:val="30"/>
                <w:szCs w:val="30"/>
                <w:highlight w:val="none"/>
              </w:rPr>
            </w:pPr>
            <w:r>
              <w:rPr>
                <w:rFonts w:hint="eastAsia" w:ascii="宋体" w:hAnsi="宋体" w:eastAsia="宋体" w:cs="宋体"/>
                <w:color w:val="auto"/>
                <w:sz w:val="24"/>
                <w:highlight w:val="none"/>
              </w:rPr>
              <w:t>2019年2月1日</w:t>
            </w:r>
          </w:p>
        </w:tc>
      </w:tr>
    </w:tbl>
    <w:p w14:paraId="39EF035F">
      <w:pPr>
        <w:widowControl/>
        <w:shd w:val="clear" w:color="auto" w:fill="FFFFFF"/>
        <w:autoSpaceDN w:val="0"/>
        <w:spacing w:line="360" w:lineRule="auto"/>
        <w:jc w:val="center"/>
        <w:textAlignment w:val="baseline"/>
        <w:rPr>
          <w:rFonts w:hint="eastAsia" w:ascii="宋体" w:hAnsi="宋体" w:eastAsia="宋体" w:cs="宋体"/>
          <w:color w:val="auto"/>
          <w:kern w:val="0"/>
          <w:sz w:val="30"/>
          <w:szCs w:val="30"/>
          <w:highlight w:val="none"/>
        </w:rPr>
      </w:pPr>
    </w:p>
    <w:p w14:paraId="584BEACA">
      <w:pPr>
        <w:widowControl/>
        <w:autoSpaceDN w:val="0"/>
        <w:spacing w:line="360" w:lineRule="auto"/>
        <w:jc w:val="right"/>
        <w:rPr>
          <w:rFonts w:hint="eastAsia" w:ascii="宋体" w:hAnsi="宋体" w:eastAsia="宋体" w:cs="宋体"/>
          <w:color w:val="auto"/>
          <w:kern w:val="0"/>
          <w:sz w:val="24"/>
          <w:szCs w:val="28"/>
          <w:highlight w:val="none"/>
        </w:rPr>
      </w:pPr>
    </w:p>
    <w:p w14:paraId="24579480">
      <w:pPr>
        <w:keepNext/>
        <w:keepLines/>
        <w:autoSpaceDN w:val="0"/>
        <w:spacing w:before="240" w:line="360" w:lineRule="auto"/>
        <w:jc w:val="left"/>
        <w:outlineLvl w:val="2"/>
        <w:rPr>
          <w:rFonts w:hint="eastAsia" w:ascii="宋体" w:hAnsi="宋体" w:eastAsia="宋体" w:cs="宋体"/>
          <w:b/>
          <w:bCs/>
          <w:color w:val="auto"/>
          <w:kern w:val="0"/>
          <w:sz w:val="30"/>
          <w:szCs w:val="28"/>
          <w:highlight w:val="none"/>
        </w:rPr>
      </w:pPr>
      <w:r>
        <w:rPr>
          <w:rFonts w:hint="eastAsia" w:ascii="宋体" w:hAnsi="宋体" w:eastAsia="宋体" w:cs="宋体"/>
          <w:b/>
          <w:bCs/>
          <w:color w:val="auto"/>
          <w:kern w:val="0"/>
          <w:sz w:val="30"/>
          <w:szCs w:val="28"/>
          <w:highlight w:val="none"/>
        </w:rPr>
        <w:br w:type="page"/>
      </w:r>
      <w:bookmarkStart w:id="248" w:name="_Toc7492526"/>
      <w:bookmarkStart w:id="249" w:name="_Toc10432456"/>
      <w:bookmarkStart w:id="250" w:name="_Toc7988419"/>
      <w:bookmarkStart w:id="251" w:name="_Toc7993639"/>
      <w:bookmarkStart w:id="252" w:name="_Toc20358290"/>
      <w:bookmarkStart w:id="253" w:name="_Toc25765008"/>
      <w:bookmarkStart w:id="254" w:name="_Toc7988473"/>
      <w:bookmarkStart w:id="255" w:name="_Toc17428252"/>
      <w:bookmarkStart w:id="256" w:name="_Toc7668948"/>
      <w:bookmarkStart w:id="257" w:name="_Toc24471816"/>
      <w:bookmarkStart w:id="258" w:name="_Toc8007003"/>
      <w:bookmarkStart w:id="259" w:name="_Toc7663595"/>
      <w:bookmarkStart w:id="260" w:name="_Toc7664195"/>
      <w:bookmarkStart w:id="261" w:name="_Toc17428347"/>
      <w:bookmarkStart w:id="262" w:name="_Toc7542914"/>
      <w:bookmarkStart w:id="263" w:name="_Toc7488757"/>
      <w:bookmarkStart w:id="264" w:name="_Toc7574703"/>
      <w:r>
        <w:rPr>
          <w:rFonts w:hint="eastAsia" w:ascii="宋体" w:hAnsi="宋体" w:eastAsia="宋体" w:cs="宋体"/>
          <w:b/>
          <w:bCs/>
          <w:color w:val="auto"/>
          <w:kern w:val="0"/>
          <w:sz w:val="30"/>
          <w:szCs w:val="28"/>
          <w:highlight w:val="none"/>
        </w:rPr>
        <w:t>三、</w:t>
      </w:r>
      <w:r>
        <w:rPr>
          <w:rFonts w:hint="eastAsia" w:ascii="宋体" w:hAnsi="宋体" w:eastAsia="宋体" w:cs="宋体"/>
          <w:b/>
          <w:bCs/>
          <w:color w:val="auto"/>
          <w:kern w:val="0"/>
          <w:sz w:val="30"/>
          <w:highlight w:val="none"/>
        </w:rPr>
        <w:t>关于印发节能产品政府采购品目清单的通知（财库〔2019〕19号）</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Style w:val="51"/>
        <w:tblW w:w="970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700"/>
      </w:tblGrid>
      <w:tr w14:paraId="2554A6E9">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700" w:type="dxa"/>
            <w:noWrap/>
          </w:tcPr>
          <w:p w14:paraId="47FC4091">
            <w:pPr>
              <w:widowControl/>
              <w:autoSpaceDN w:val="0"/>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关于印发节能产品政府采购品目清单的通知</w:t>
            </w:r>
          </w:p>
          <w:p w14:paraId="562AFF3E">
            <w:pPr>
              <w:widowControl/>
              <w:autoSpaceDN w:val="0"/>
              <w:spacing w:line="360" w:lineRule="auto"/>
              <w:jc w:val="center"/>
              <w:rPr>
                <w:rFonts w:hint="eastAsia" w:ascii="宋体" w:hAnsi="宋体" w:eastAsia="宋体" w:cs="宋体"/>
                <w:color w:val="auto"/>
                <w:kern w:val="0"/>
                <w:sz w:val="28"/>
                <w:highlight w:val="none"/>
              </w:rPr>
            </w:pPr>
            <w:r>
              <w:rPr>
                <w:rFonts w:hint="eastAsia" w:ascii="宋体" w:hAnsi="宋体" w:eastAsia="宋体" w:cs="宋体"/>
                <w:b/>
                <w:color w:val="auto"/>
                <w:kern w:val="0"/>
                <w:sz w:val="32"/>
                <w:highlight w:val="none"/>
              </w:rPr>
              <w:t>财库〔2019〕19号</w:t>
            </w:r>
          </w:p>
          <w:p w14:paraId="173990CA">
            <w:pPr>
              <w:widowControl/>
              <w:autoSpaceDN w:val="0"/>
              <w:spacing w:line="360" w:lineRule="auto"/>
              <w:jc w:val="center"/>
              <w:rPr>
                <w:rFonts w:hint="eastAsia" w:ascii="宋体" w:hAnsi="宋体" w:eastAsia="宋体" w:cs="宋体"/>
                <w:color w:val="auto"/>
                <w:kern w:val="0"/>
                <w:sz w:val="28"/>
                <w:highlight w:val="none"/>
              </w:rPr>
            </w:pPr>
          </w:p>
          <w:p w14:paraId="172D249A">
            <w:pPr>
              <w:widowControl/>
              <w:autoSpaceDN w:val="0"/>
              <w:spacing w:line="360" w:lineRule="auto"/>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有关中央预算单位，各省、自治区、直辖市、计划单列市财政厅（局）、发展改革委（经信委、工信委、工信厅、经信局），新疆生产建设兵团财政局、发展改革委：</w:t>
            </w:r>
          </w:p>
          <w:p w14:paraId="7C93E593">
            <w:pPr>
              <w:widowControl/>
              <w:autoSpaceDN w:val="0"/>
              <w:spacing w:line="360" w:lineRule="auto"/>
              <w:jc w:val="left"/>
              <w:rPr>
                <w:rFonts w:hint="eastAsia" w:ascii="宋体" w:hAnsi="宋体" w:eastAsia="宋体" w:cs="宋体"/>
                <w:color w:val="auto"/>
                <w:kern w:val="0"/>
                <w:sz w:val="28"/>
                <w:highlight w:val="none"/>
              </w:rPr>
            </w:pPr>
          </w:p>
          <w:p w14:paraId="45C37C69">
            <w:pPr>
              <w:widowControl/>
              <w:autoSpaceDN w:val="0"/>
              <w:spacing w:line="360" w:lineRule="auto"/>
              <w:ind w:firstLine="565" w:firstLineChars="202"/>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75CB01A3">
            <w:pPr>
              <w:widowControl/>
              <w:autoSpaceDN w:val="0"/>
              <w:spacing w:line="360" w:lineRule="auto"/>
              <w:jc w:val="left"/>
              <w:rPr>
                <w:rFonts w:hint="eastAsia" w:ascii="宋体" w:hAnsi="宋体" w:eastAsia="宋体" w:cs="宋体"/>
                <w:color w:val="auto"/>
                <w:kern w:val="0"/>
                <w:sz w:val="28"/>
                <w:highlight w:val="none"/>
              </w:rPr>
            </w:pPr>
          </w:p>
          <w:p w14:paraId="53F472AE">
            <w:pPr>
              <w:widowControl/>
              <w:autoSpaceDN w:val="0"/>
              <w:spacing w:line="360" w:lineRule="auto"/>
              <w:jc w:val="left"/>
              <w:rPr>
                <w:rFonts w:hint="eastAsia" w:ascii="宋体" w:hAnsi="宋体" w:eastAsia="宋体" w:cs="宋体"/>
                <w:color w:val="auto"/>
                <w:kern w:val="0"/>
                <w:sz w:val="28"/>
                <w:highlight w:val="none"/>
              </w:rPr>
            </w:pPr>
          </w:p>
          <w:p w14:paraId="480F7B6D">
            <w:pPr>
              <w:widowControl/>
              <w:autoSpaceDN w:val="0"/>
              <w:spacing w:line="360" w:lineRule="auto"/>
              <w:jc w:val="left"/>
              <w:rPr>
                <w:rFonts w:hint="eastAsia" w:ascii="宋体" w:hAnsi="宋体" w:eastAsia="宋体" w:cs="宋体"/>
                <w:color w:val="auto"/>
                <w:kern w:val="0"/>
                <w:sz w:val="28"/>
                <w:highlight w:val="none"/>
              </w:rPr>
            </w:pPr>
          </w:p>
          <w:p w14:paraId="4D7129E3">
            <w:pPr>
              <w:widowControl/>
              <w:autoSpaceDN w:val="0"/>
              <w:spacing w:line="360" w:lineRule="auto"/>
              <w:jc w:val="left"/>
              <w:rPr>
                <w:rFonts w:hint="eastAsia" w:ascii="宋体" w:hAnsi="宋体" w:eastAsia="宋体" w:cs="宋体"/>
                <w:color w:val="auto"/>
                <w:kern w:val="0"/>
                <w:sz w:val="28"/>
                <w:highlight w:val="none"/>
              </w:rPr>
            </w:pPr>
          </w:p>
          <w:p w14:paraId="6ABC9238">
            <w:pPr>
              <w:widowControl/>
              <w:autoSpaceDN w:val="0"/>
              <w:spacing w:line="360" w:lineRule="auto"/>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附件：节能产品政府采购品目清单</w:t>
            </w:r>
          </w:p>
          <w:p w14:paraId="357C4AAB">
            <w:pPr>
              <w:widowControl/>
              <w:autoSpaceDN w:val="0"/>
              <w:spacing w:line="360" w:lineRule="auto"/>
              <w:jc w:val="left"/>
              <w:rPr>
                <w:rFonts w:hint="eastAsia" w:ascii="宋体" w:hAnsi="宋体" w:eastAsia="宋体" w:cs="宋体"/>
                <w:color w:val="auto"/>
                <w:kern w:val="0"/>
                <w:sz w:val="28"/>
                <w:highlight w:val="none"/>
              </w:rPr>
            </w:pPr>
          </w:p>
          <w:p w14:paraId="5C60C41F">
            <w:pPr>
              <w:widowControl/>
              <w:autoSpaceDN w:val="0"/>
              <w:spacing w:line="360" w:lineRule="auto"/>
              <w:jc w:val="left"/>
              <w:rPr>
                <w:rFonts w:hint="eastAsia" w:ascii="宋体" w:hAnsi="宋体" w:eastAsia="宋体" w:cs="宋体"/>
                <w:color w:val="auto"/>
                <w:kern w:val="0"/>
                <w:sz w:val="28"/>
                <w:highlight w:val="none"/>
              </w:rPr>
            </w:pPr>
          </w:p>
          <w:p w14:paraId="6C84930E">
            <w:pPr>
              <w:widowControl/>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财政部发展改革委</w:t>
            </w:r>
          </w:p>
          <w:p w14:paraId="2A517933">
            <w:pPr>
              <w:widowControl/>
              <w:autoSpaceDN w:val="0"/>
              <w:spacing w:line="360" w:lineRule="auto"/>
              <w:jc w:val="right"/>
              <w:rPr>
                <w:rFonts w:hint="eastAsia" w:ascii="宋体" w:hAnsi="宋体" w:eastAsia="宋体" w:cs="宋体"/>
                <w:b/>
                <w:color w:val="auto"/>
                <w:kern w:val="0"/>
                <w:sz w:val="32"/>
                <w:highlight w:val="none"/>
              </w:rPr>
            </w:pPr>
            <w:r>
              <w:rPr>
                <w:rFonts w:hint="eastAsia" w:ascii="宋体" w:hAnsi="宋体" w:eastAsia="宋体" w:cs="宋体"/>
                <w:color w:val="auto"/>
                <w:kern w:val="0"/>
                <w:sz w:val="28"/>
                <w:highlight w:val="none"/>
              </w:rPr>
              <w:t>2019年4月2日</w:t>
            </w:r>
          </w:p>
        </w:tc>
      </w:tr>
    </w:tbl>
    <w:p w14:paraId="6D3116F8">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附：节能产品政府采购品目清单</w:t>
      </w:r>
    </w:p>
    <w:tbl>
      <w:tblPr>
        <w:tblStyle w:val="51"/>
        <w:tblW w:w="1004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692"/>
      </w:tblGrid>
      <w:tr w14:paraId="30BBF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14:paraId="7F19E47E">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676" w:type="dxa"/>
            <w:gridSpan w:val="3"/>
            <w:shd w:val="clear" w:color="auto" w:fill="DAEEF3"/>
            <w:noWrap/>
            <w:vAlign w:val="center"/>
          </w:tcPr>
          <w:p w14:paraId="05F1F24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692" w:type="dxa"/>
            <w:shd w:val="clear" w:color="auto" w:fill="DAEEF3"/>
            <w:noWrap/>
            <w:vAlign w:val="center"/>
          </w:tcPr>
          <w:p w14:paraId="0BF41EFF">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5384C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81407F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858" w:type="dxa"/>
            <w:vMerge w:val="restart"/>
            <w:noWrap/>
            <w:vAlign w:val="center"/>
          </w:tcPr>
          <w:p w14:paraId="5A60D0E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68" w:type="dxa"/>
            <w:noWrap/>
            <w:vAlign w:val="center"/>
          </w:tcPr>
          <w:p w14:paraId="0ABA6056">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550" w:type="dxa"/>
            <w:noWrap/>
            <w:vAlign w:val="center"/>
          </w:tcPr>
          <w:p w14:paraId="6BB73641">
            <w:pPr>
              <w:autoSpaceDN w:val="0"/>
              <w:jc w:val="center"/>
              <w:rPr>
                <w:rFonts w:hint="eastAsia" w:ascii="宋体" w:hAnsi="宋体" w:eastAsia="宋体" w:cs="宋体"/>
                <w:color w:val="auto"/>
                <w:w w:val="90"/>
                <w:szCs w:val="21"/>
                <w:highlight w:val="none"/>
              </w:rPr>
            </w:pPr>
          </w:p>
        </w:tc>
        <w:tc>
          <w:tcPr>
            <w:tcW w:w="3692" w:type="dxa"/>
            <w:noWrap/>
            <w:vAlign w:val="center"/>
          </w:tcPr>
          <w:p w14:paraId="6DFD868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B9F91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E10C89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374143F">
            <w:pPr>
              <w:autoSpaceDN w:val="0"/>
              <w:jc w:val="left"/>
              <w:rPr>
                <w:rFonts w:hint="eastAsia" w:ascii="宋体" w:hAnsi="宋体" w:eastAsia="宋体" w:cs="宋体"/>
                <w:color w:val="auto"/>
                <w:w w:val="90"/>
                <w:szCs w:val="21"/>
                <w:highlight w:val="none"/>
              </w:rPr>
            </w:pPr>
          </w:p>
        </w:tc>
        <w:tc>
          <w:tcPr>
            <w:tcW w:w="2268" w:type="dxa"/>
            <w:noWrap/>
            <w:vAlign w:val="center"/>
          </w:tcPr>
          <w:p w14:paraId="1D042E04">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550" w:type="dxa"/>
            <w:noWrap/>
            <w:vAlign w:val="center"/>
          </w:tcPr>
          <w:p w14:paraId="2E989A24">
            <w:pPr>
              <w:autoSpaceDN w:val="0"/>
              <w:jc w:val="center"/>
              <w:rPr>
                <w:rFonts w:hint="eastAsia" w:ascii="宋体" w:hAnsi="宋体" w:eastAsia="宋体" w:cs="宋体"/>
                <w:color w:val="auto"/>
                <w:w w:val="90"/>
                <w:szCs w:val="21"/>
                <w:highlight w:val="none"/>
              </w:rPr>
            </w:pPr>
          </w:p>
        </w:tc>
        <w:tc>
          <w:tcPr>
            <w:tcW w:w="3692" w:type="dxa"/>
            <w:noWrap/>
            <w:vAlign w:val="center"/>
          </w:tcPr>
          <w:p w14:paraId="12645EB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7600C0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C0B110E">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4213C50">
            <w:pPr>
              <w:autoSpaceDN w:val="0"/>
              <w:jc w:val="left"/>
              <w:rPr>
                <w:rFonts w:hint="eastAsia" w:ascii="宋体" w:hAnsi="宋体" w:eastAsia="宋体" w:cs="宋体"/>
                <w:color w:val="auto"/>
                <w:w w:val="90"/>
                <w:szCs w:val="21"/>
                <w:highlight w:val="none"/>
              </w:rPr>
            </w:pPr>
          </w:p>
        </w:tc>
        <w:tc>
          <w:tcPr>
            <w:tcW w:w="2268" w:type="dxa"/>
            <w:noWrap/>
            <w:vAlign w:val="center"/>
          </w:tcPr>
          <w:p w14:paraId="0D05130E">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550" w:type="dxa"/>
            <w:noWrap/>
            <w:vAlign w:val="center"/>
          </w:tcPr>
          <w:p w14:paraId="70A27CD5">
            <w:pPr>
              <w:autoSpaceDN w:val="0"/>
              <w:jc w:val="center"/>
              <w:rPr>
                <w:rFonts w:hint="eastAsia" w:ascii="宋体" w:hAnsi="宋体" w:eastAsia="宋体" w:cs="宋体"/>
                <w:color w:val="auto"/>
                <w:w w:val="90"/>
                <w:szCs w:val="21"/>
                <w:highlight w:val="none"/>
              </w:rPr>
            </w:pPr>
          </w:p>
        </w:tc>
        <w:tc>
          <w:tcPr>
            <w:tcW w:w="3692" w:type="dxa"/>
            <w:noWrap/>
            <w:vAlign w:val="center"/>
          </w:tcPr>
          <w:p w14:paraId="4F3C375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7070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A4E99E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858" w:type="dxa"/>
            <w:vMerge w:val="restart"/>
            <w:noWrap/>
            <w:vAlign w:val="center"/>
          </w:tcPr>
          <w:p w14:paraId="082A55C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68" w:type="dxa"/>
            <w:vMerge w:val="restart"/>
            <w:noWrap/>
            <w:vAlign w:val="center"/>
          </w:tcPr>
          <w:p w14:paraId="6F2D43D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550" w:type="dxa"/>
            <w:noWrap/>
            <w:vAlign w:val="center"/>
          </w:tcPr>
          <w:p w14:paraId="5ABB6F0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3692" w:type="dxa"/>
            <w:noWrap/>
            <w:vAlign w:val="center"/>
          </w:tcPr>
          <w:p w14:paraId="772ED97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69EB8C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033C772">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2BDA4003">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A3F84A4">
            <w:pPr>
              <w:autoSpaceDN w:val="0"/>
              <w:jc w:val="left"/>
              <w:rPr>
                <w:rFonts w:hint="eastAsia" w:ascii="宋体" w:hAnsi="宋体" w:eastAsia="宋体" w:cs="宋体"/>
                <w:color w:val="auto"/>
                <w:w w:val="90"/>
                <w:szCs w:val="21"/>
                <w:highlight w:val="none"/>
              </w:rPr>
            </w:pPr>
          </w:p>
        </w:tc>
        <w:tc>
          <w:tcPr>
            <w:tcW w:w="1550" w:type="dxa"/>
            <w:noWrap/>
            <w:vAlign w:val="center"/>
          </w:tcPr>
          <w:p w14:paraId="1D4549B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692" w:type="dxa"/>
            <w:noWrap/>
            <w:vAlign w:val="center"/>
          </w:tcPr>
          <w:p w14:paraId="2FDFE71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EFD0E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59E17C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726680D0">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6451643">
            <w:pPr>
              <w:autoSpaceDN w:val="0"/>
              <w:jc w:val="left"/>
              <w:rPr>
                <w:rFonts w:hint="eastAsia" w:ascii="宋体" w:hAnsi="宋体" w:eastAsia="宋体" w:cs="宋体"/>
                <w:color w:val="auto"/>
                <w:w w:val="90"/>
                <w:szCs w:val="21"/>
                <w:highlight w:val="none"/>
              </w:rPr>
            </w:pPr>
          </w:p>
        </w:tc>
        <w:tc>
          <w:tcPr>
            <w:tcW w:w="1550" w:type="dxa"/>
            <w:noWrap/>
            <w:vAlign w:val="center"/>
          </w:tcPr>
          <w:p w14:paraId="1A08FE4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692" w:type="dxa"/>
            <w:noWrap/>
            <w:vAlign w:val="center"/>
          </w:tcPr>
          <w:p w14:paraId="5028CCF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E998F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E2FA7F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1FE0FAF6">
            <w:pPr>
              <w:autoSpaceDN w:val="0"/>
              <w:jc w:val="left"/>
              <w:rPr>
                <w:rFonts w:hint="eastAsia" w:ascii="宋体" w:hAnsi="宋体" w:eastAsia="宋体" w:cs="宋体"/>
                <w:color w:val="auto"/>
                <w:w w:val="90"/>
                <w:szCs w:val="21"/>
                <w:highlight w:val="none"/>
              </w:rPr>
            </w:pPr>
          </w:p>
        </w:tc>
        <w:tc>
          <w:tcPr>
            <w:tcW w:w="2268" w:type="dxa"/>
            <w:noWrap/>
            <w:vAlign w:val="center"/>
          </w:tcPr>
          <w:p w14:paraId="75E21EA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550" w:type="dxa"/>
            <w:noWrap/>
            <w:vAlign w:val="center"/>
          </w:tcPr>
          <w:p w14:paraId="3E06CCAE">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692" w:type="dxa"/>
            <w:noWrap/>
            <w:vAlign w:val="center"/>
          </w:tcPr>
          <w:p w14:paraId="73EFA7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6FC6E5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95BEFA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78D3F642">
            <w:pPr>
              <w:autoSpaceDN w:val="0"/>
              <w:jc w:val="left"/>
              <w:rPr>
                <w:rFonts w:hint="eastAsia" w:ascii="宋体" w:hAnsi="宋体" w:eastAsia="宋体" w:cs="宋体"/>
                <w:color w:val="auto"/>
                <w:w w:val="90"/>
                <w:szCs w:val="21"/>
                <w:highlight w:val="none"/>
              </w:rPr>
            </w:pPr>
          </w:p>
        </w:tc>
        <w:tc>
          <w:tcPr>
            <w:tcW w:w="2268" w:type="dxa"/>
            <w:noWrap/>
            <w:vAlign w:val="center"/>
          </w:tcPr>
          <w:p w14:paraId="58B80684">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550" w:type="dxa"/>
            <w:noWrap/>
            <w:vAlign w:val="center"/>
          </w:tcPr>
          <w:p w14:paraId="5C8ADAB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692" w:type="dxa"/>
            <w:noWrap/>
            <w:vAlign w:val="center"/>
          </w:tcPr>
          <w:p w14:paraId="3B7B64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744B4E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6A2974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858" w:type="dxa"/>
            <w:noWrap/>
            <w:vAlign w:val="center"/>
          </w:tcPr>
          <w:p w14:paraId="46E594D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68" w:type="dxa"/>
            <w:noWrap/>
            <w:vAlign w:val="center"/>
          </w:tcPr>
          <w:p w14:paraId="651D988B">
            <w:pPr>
              <w:autoSpaceDN w:val="0"/>
              <w:jc w:val="left"/>
              <w:rPr>
                <w:rFonts w:hint="eastAsia" w:ascii="宋体" w:hAnsi="宋体" w:eastAsia="宋体" w:cs="宋体"/>
                <w:color w:val="auto"/>
                <w:w w:val="90"/>
                <w:szCs w:val="21"/>
                <w:highlight w:val="none"/>
              </w:rPr>
            </w:pPr>
          </w:p>
        </w:tc>
        <w:tc>
          <w:tcPr>
            <w:tcW w:w="1550" w:type="dxa"/>
            <w:noWrap/>
            <w:vAlign w:val="center"/>
          </w:tcPr>
          <w:p w14:paraId="285C3FE3">
            <w:pPr>
              <w:autoSpaceDN w:val="0"/>
              <w:jc w:val="center"/>
              <w:rPr>
                <w:rFonts w:hint="eastAsia" w:ascii="宋体" w:hAnsi="宋体" w:eastAsia="宋体" w:cs="宋体"/>
                <w:color w:val="auto"/>
                <w:w w:val="90"/>
                <w:szCs w:val="21"/>
                <w:highlight w:val="none"/>
              </w:rPr>
            </w:pPr>
          </w:p>
        </w:tc>
        <w:tc>
          <w:tcPr>
            <w:tcW w:w="3692" w:type="dxa"/>
            <w:noWrap/>
            <w:vAlign w:val="center"/>
          </w:tcPr>
          <w:p w14:paraId="0EBA585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2116CC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6CE569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858" w:type="dxa"/>
            <w:noWrap/>
            <w:vAlign w:val="center"/>
          </w:tcPr>
          <w:p w14:paraId="1BD001B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2268" w:type="dxa"/>
            <w:noWrap/>
            <w:vAlign w:val="center"/>
          </w:tcPr>
          <w:p w14:paraId="11FEACE7">
            <w:pPr>
              <w:autoSpaceDN w:val="0"/>
              <w:jc w:val="left"/>
              <w:rPr>
                <w:rFonts w:hint="eastAsia" w:ascii="宋体" w:hAnsi="宋体" w:eastAsia="宋体" w:cs="宋体"/>
                <w:color w:val="auto"/>
                <w:w w:val="90"/>
                <w:szCs w:val="21"/>
                <w:highlight w:val="none"/>
              </w:rPr>
            </w:pPr>
          </w:p>
        </w:tc>
        <w:tc>
          <w:tcPr>
            <w:tcW w:w="1550" w:type="dxa"/>
            <w:noWrap/>
            <w:vAlign w:val="center"/>
          </w:tcPr>
          <w:p w14:paraId="7B513ACC">
            <w:pPr>
              <w:autoSpaceDN w:val="0"/>
              <w:jc w:val="center"/>
              <w:rPr>
                <w:rFonts w:hint="eastAsia" w:ascii="宋体" w:hAnsi="宋体" w:eastAsia="宋体" w:cs="宋体"/>
                <w:color w:val="auto"/>
                <w:w w:val="90"/>
                <w:szCs w:val="21"/>
                <w:highlight w:val="none"/>
              </w:rPr>
            </w:pPr>
          </w:p>
        </w:tc>
        <w:tc>
          <w:tcPr>
            <w:tcW w:w="3692" w:type="dxa"/>
            <w:noWrap/>
            <w:vAlign w:val="center"/>
          </w:tcPr>
          <w:p w14:paraId="70851EE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3E08B9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5BFF02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858" w:type="dxa"/>
            <w:noWrap/>
            <w:vAlign w:val="center"/>
          </w:tcPr>
          <w:p w14:paraId="2DE3A7B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68" w:type="dxa"/>
            <w:noWrap/>
            <w:vAlign w:val="center"/>
          </w:tcPr>
          <w:p w14:paraId="0AB5835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550" w:type="dxa"/>
            <w:noWrap/>
            <w:vAlign w:val="center"/>
          </w:tcPr>
          <w:p w14:paraId="3C50ACDF">
            <w:pPr>
              <w:autoSpaceDN w:val="0"/>
              <w:jc w:val="center"/>
              <w:rPr>
                <w:rFonts w:hint="eastAsia" w:ascii="宋体" w:hAnsi="宋体" w:eastAsia="宋体" w:cs="宋体"/>
                <w:color w:val="auto"/>
                <w:w w:val="90"/>
                <w:szCs w:val="21"/>
                <w:highlight w:val="none"/>
              </w:rPr>
            </w:pPr>
          </w:p>
        </w:tc>
        <w:tc>
          <w:tcPr>
            <w:tcW w:w="3692" w:type="dxa"/>
            <w:noWrap/>
            <w:vAlign w:val="center"/>
          </w:tcPr>
          <w:p w14:paraId="3DB21E9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38BCDC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78D225C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858" w:type="dxa"/>
            <w:vMerge w:val="restart"/>
            <w:noWrap/>
            <w:vAlign w:val="center"/>
          </w:tcPr>
          <w:p w14:paraId="0C83D07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68" w:type="dxa"/>
            <w:vMerge w:val="restart"/>
            <w:noWrap/>
            <w:vAlign w:val="center"/>
          </w:tcPr>
          <w:p w14:paraId="3ADE7B8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550" w:type="dxa"/>
            <w:noWrap/>
            <w:vAlign w:val="center"/>
          </w:tcPr>
          <w:p w14:paraId="71D6DE93">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692" w:type="dxa"/>
            <w:noWrap/>
            <w:vAlign w:val="center"/>
          </w:tcPr>
          <w:p w14:paraId="01BCFCA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64287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46B9A16">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7A4758B">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86DB673">
            <w:pPr>
              <w:autoSpaceDN w:val="0"/>
              <w:jc w:val="left"/>
              <w:rPr>
                <w:rFonts w:hint="eastAsia" w:ascii="宋体" w:hAnsi="宋体" w:eastAsia="宋体" w:cs="宋体"/>
                <w:b/>
                <w:color w:val="auto"/>
                <w:w w:val="90"/>
                <w:szCs w:val="21"/>
                <w:highlight w:val="none"/>
              </w:rPr>
            </w:pPr>
          </w:p>
        </w:tc>
        <w:tc>
          <w:tcPr>
            <w:tcW w:w="1550" w:type="dxa"/>
            <w:noWrap/>
            <w:vAlign w:val="center"/>
          </w:tcPr>
          <w:p w14:paraId="2A981352">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692" w:type="dxa"/>
            <w:noWrap/>
            <w:vAlign w:val="center"/>
          </w:tcPr>
          <w:p w14:paraId="2621815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7D1CDB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AFB4AF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08B56B3">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98E239A">
            <w:pPr>
              <w:autoSpaceDN w:val="0"/>
              <w:jc w:val="left"/>
              <w:rPr>
                <w:rFonts w:hint="eastAsia" w:ascii="宋体" w:hAnsi="宋体" w:eastAsia="宋体" w:cs="宋体"/>
                <w:b/>
                <w:color w:val="auto"/>
                <w:w w:val="90"/>
                <w:szCs w:val="21"/>
                <w:highlight w:val="none"/>
              </w:rPr>
            </w:pPr>
          </w:p>
        </w:tc>
        <w:tc>
          <w:tcPr>
            <w:tcW w:w="1550" w:type="dxa"/>
            <w:noWrap/>
            <w:vAlign w:val="center"/>
          </w:tcPr>
          <w:p w14:paraId="295CE1C0">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692" w:type="dxa"/>
            <w:noWrap/>
            <w:vAlign w:val="center"/>
          </w:tcPr>
          <w:p w14:paraId="49F973E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1F5FC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D973A11">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893711C">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33F478D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 空调机组</w:t>
            </w:r>
          </w:p>
        </w:tc>
        <w:tc>
          <w:tcPr>
            <w:tcW w:w="1550" w:type="dxa"/>
            <w:noWrap/>
            <w:vAlign w:val="center"/>
          </w:tcPr>
          <w:p w14:paraId="6AED8008">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692" w:type="dxa"/>
            <w:noWrap/>
            <w:vAlign w:val="center"/>
          </w:tcPr>
          <w:p w14:paraId="7D36EC9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752F71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B8298A7">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0DD0E74A">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047999E8">
            <w:pPr>
              <w:autoSpaceDN w:val="0"/>
              <w:jc w:val="left"/>
              <w:rPr>
                <w:rFonts w:hint="eastAsia" w:ascii="宋体" w:hAnsi="宋体" w:eastAsia="宋体" w:cs="宋体"/>
                <w:b/>
                <w:color w:val="auto"/>
                <w:w w:val="90"/>
                <w:szCs w:val="21"/>
                <w:highlight w:val="none"/>
              </w:rPr>
            </w:pPr>
          </w:p>
        </w:tc>
        <w:tc>
          <w:tcPr>
            <w:tcW w:w="1550" w:type="dxa"/>
            <w:noWrap/>
            <w:vAlign w:val="center"/>
          </w:tcPr>
          <w:p w14:paraId="619180A5">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692" w:type="dxa"/>
            <w:noWrap/>
            <w:vAlign w:val="center"/>
          </w:tcPr>
          <w:p w14:paraId="282DC4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2A3793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6CA336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1B1DDB8F">
            <w:pPr>
              <w:autoSpaceDN w:val="0"/>
              <w:jc w:val="left"/>
              <w:rPr>
                <w:rFonts w:hint="eastAsia" w:ascii="宋体" w:hAnsi="宋体" w:eastAsia="宋体" w:cs="宋体"/>
                <w:color w:val="auto"/>
                <w:w w:val="90"/>
                <w:szCs w:val="21"/>
                <w:highlight w:val="none"/>
              </w:rPr>
            </w:pPr>
          </w:p>
        </w:tc>
        <w:tc>
          <w:tcPr>
            <w:tcW w:w="2268" w:type="dxa"/>
            <w:noWrap/>
            <w:vAlign w:val="center"/>
          </w:tcPr>
          <w:p w14:paraId="69F8A2C3">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 专用制冷、空调设备</w:t>
            </w:r>
          </w:p>
        </w:tc>
        <w:tc>
          <w:tcPr>
            <w:tcW w:w="1550" w:type="dxa"/>
            <w:noWrap/>
            <w:vAlign w:val="center"/>
          </w:tcPr>
          <w:p w14:paraId="4B76A84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692" w:type="dxa"/>
            <w:noWrap/>
            <w:vAlign w:val="center"/>
          </w:tcPr>
          <w:p w14:paraId="7871902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27738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00547C2">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D25A121">
            <w:pPr>
              <w:autoSpaceDN w:val="0"/>
              <w:jc w:val="left"/>
              <w:rPr>
                <w:rFonts w:hint="eastAsia" w:ascii="宋体" w:hAnsi="宋体" w:eastAsia="宋体" w:cs="宋体"/>
                <w:color w:val="auto"/>
                <w:w w:val="90"/>
                <w:szCs w:val="21"/>
                <w:highlight w:val="none"/>
              </w:rPr>
            </w:pPr>
          </w:p>
        </w:tc>
        <w:tc>
          <w:tcPr>
            <w:tcW w:w="2268" w:type="dxa"/>
            <w:noWrap/>
            <w:vAlign w:val="center"/>
          </w:tcPr>
          <w:p w14:paraId="007080F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 其他制冷空调设备</w:t>
            </w:r>
          </w:p>
        </w:tc>
        <w:tc>
          <w:tcPr>
            <w:tcW w:w="1550" w:type="dxa"/>
            <w:noWrap/>
            <w:vAlign w:val="center"/>
          </w:tcPr>
          <w:p w14:paraId="23593C6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692" w:type="dxa"/>
            <w:noWrap/>
            <w:vAlign w:val="center"/>
          </w:tcPr>
          <w:p w14:paraId="2BC02E54">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 /T 7190.1）</w:t>
            </w:r>
          </w:p>
          <w:p w14:paraId="52E116A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 /T 7190.2</w:t>
            </w:r>
          </w:p>
        </w:tc>
      </w:tr>
      <w:tr w14:paraId="3400E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B18751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858" w:type="dxa"/>
            <w:noWrap/>
            <w:vAlign w:val="center"/>
          </w:tcPr>
          <w:p w14:paraId="28225FA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68" w:type="dxa"/>
            <w:noWrap/>
            <w:vAlign w:val="center"/>
          </w:tcPr>
          <w:p w14:paraId="1DBDEC65">
            <w:pPr>
              <w:autoSpaceDN w:val="0"/>
              <w:jc w:val="left"/>
              <w:rPr>
                <w:rFonts w:hint="eastAsia" w:ascii="宋体" w:hAnsi="宋体" w:eastAsia="宋体" w:cs="宋体"/>
                <w:color w:val="auto"/>
                <w:w w:val="90"/>
                <w:szCs w:val="21"/>
                <w:highlight w:val="none"/>
              </w:rPr>
            </w:pPr>
          </w:p>
        </w:tc>
        <w:tc>
          <w:tcPr>
            <w:tcW w:w="1550" w:type="dxa"/>
            <w:noWrap/>
            <w:vAlign w:val="center"/>
          </w:tcPr>
          <w:p w14:paraId="429F568C">
            <w:pPr>
              <w:autoSpaceDN w:val="0"/>
              <w:jc w:val="center"/>
              <w:rPr>
                <w:rFonts w:hint="eastAsia" w:ascii="宋体" w:hAnsi="宋体" w:eastAsia="宋体" w:cs="宋体"/>
                <w:color w:val="auto"/>
                <w:w w:val="90"/>
                <w:szCs w:val="21"/>
                <w:highlight w:val="none"/>
              </w:rPr>
            </w:pPr>
          </w:p>
        </w:tc>
        <w:tc>
          <w:tcPr>
            <w:tcW w:w="3692" w:type="dxa"/>
            <w:noWrap/>
            <w:vAlign w:val="center"/>
          </w:tcPr>
          <w:p w14:paraId="261EC1E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6640DC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56C0F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858" w:type="dxa"/>
            <w:noWrap/>
            <w:vAlign w:val="center"/>
          </w:tcPr>
          <w:p w14:paraId="4B02B55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68" w:type="dxa"/>
            <w:noWrap/>
            <w:vAlign w:val="center"/>
          </w:tcPr>
          <w:p w14:paraId="15F52B9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550" w:type="dxa"/>
            <w:noWrap/>
            <w:vAlign w:val="center"/>
          </w:tcPr>
          <w:p w14:paraId="0EE59D6E">
            <w:pPr>
              <w:autoSpaceDN w:val="0"/>
              <w:jc w:val="center"/>
              <w:rPr>
                <w:rFonts w:hint="eastAsia" w:ascii="宋体" w:hAnsi="宋体" w:eastAsia="宋体" w:cs="宋体"/>
                <w:color w:val="auto"/>
                <w:w w:val="90"/>
                <w:szCs w:val="21"/>
                <w:highlight w:val="none"/>
              </w:rPr>
            </w:pPr>
          </w:p>
        </w:tc>
        <w:tc>
          <w:tcPr>
            <w:tcW w:w="3692" w:type="dxa"/>
            <w:noWrap/>
            <w:vAlign w:val="center"/>
          </w:tcPr>
          <w:p w14:paraId="6169DB6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65653A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3A1B93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858" w:type="dxa"/>
            <w:noWrap/>
            <w:vAlign w:val="center"/>
          </w:tcPr>
          <w:p w14:paraId="6D905B2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 镇流器</w:t>
            </w:r>
          </w:p>
        </w:tc>
        <w:tc>
          <w:tcPr>
            <w:tcW w:w="2268" w:type="dxa"/>
            <w:noWrap/>
            <w:vAlign w:val="center"/>
          </w:tcPr>
          <w:p w14:paraId="0FC47769">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550" w:type="dxa"/>
            <w:noWrap/>
            <w:vAlign w:val="center"/>
          </w:tcPr>
          <w:p w14:paraId="7EFF2983">
            <w:pPr>
              <w:autoSpaceDN w:val="0"/>
              <w:jc w:val="center"/>
              <w:rPr>
                <w:rFonts w:hint="eastAsia" w:ascii="宋体" w:hAnsi="宋体" w:eastAsia="宋体" w:cs="宋体"/>
                <w:color w:val="auto"/>
                <w:w w:val="90"/>
                <w:szCs w:val="21"/>
                <w:highlight w:val="none"/>
              </w:rPr>
            </w:pPr>
          </w:p>
        </w:tc>
        <w:tc>
          <w:tcPr>
            <w:tcW w:w="3692" w:type="dxa"/>
            <w:noWrap/>
            <w:vAlign w:val="center"/>
          </w:tcPr>
          <w:p w14:paraId="3D44E0D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13B28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70EEF2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858" w:type="dxa"/>
            <w:vMerge w:val="restart"/>
            <w:noWrap/>
            <w:vAlign w:val="center"/>
          </w:tcPr>
          <w:p w14:paraId="71F2307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68" w:type="dxa"/>
            <w:noWrap/>
            <w:vAlign w:val="center"/>
          </w:tcPr>
          <w:p w14:paraId="34D010F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 电冰箱</w:t>
            </w:r>
          </w:p>
        </w:tc>
        <w:tc>
          <w:tcPr>
            <w:tcW w:w="1550" w:type="dxa"/>
            <w:noWrap/>
            <w:vAlign w:val="center"/>
          </w:tcPr>
          <w:p w14:paraId="7683412A">
            <w:pPr>
              <w:autoSpaceDN w:val="0"/>
              <w:jc w:val="center"/>
              <w:rPr>
                <w:rFonts w:hint="eastAsia" w:ascii="宋体" w:hAnsi="宋体" w:eastAsia="宋体" w:cs="宋体"/>
                <w:color w:val="auto"/>
                <w:w w:val="90"/>
                <w:szCs w:val="21"/>
                <w:highlight w:val="none"/>
              </w:rPr>
            </w:pPr>
          </w:p>
        </w:tc>
        <w:tc>
          <w:tcPr>
            <w:tcW w:w="3692" w:type="dxa"/>
            <w:noWrap/>
            <w:vAlign w:val="center"/>
          </w:tcPr>
          <w:p w14:paraId="50F2B66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52D421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F44A1E6">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23D9418">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5DBB465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 空调机</w:t>
            </w:r>
          </w:p>
        </w:tc>
        <w:tc>
          <w:tcPr>
            <w:tcW w:w="1550" w:type="dxa"/>
            <w:noWrap/>
            <w:vAlign w:val="center"/>
          </w:tcPr>
          <w:p w14:paraId="29C95E27">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692" w:type="dxa"/>
            <w:noWrap/>
            <w:vAlign w:val="center"/>
          </w:tcPr>
          <w:p w14:paraId="534A031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《转速可控型房间空气调节器能效限定值及能效等级》（GB21455-2013），待 2019 年修订发布后，按《房间空气调节器能效限定值及能效等级》（GB21455-2019</w:t>
            </w:r>
          </w:p>
          <w:p w14:paraId="7F53B74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实施。</w:t>
            </w:r>
          </w:p>
        </w:tc>
      </w:tr>
      <w:tr w14:paraId="78E44A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ABD6F71">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0FD05328">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1E63EA4E">
            <w:pPr>
              <w:autoSpaceDN w:val="0"/>
              <w:jc w:val="left"/>
              <w:rPr>
                <w:rFonts w:hint="eastAsia" w:ascii="宋体" w:hAnsi="宋体" w:eastAsia="宋体" w:cs="宋体"/>
                <w:b/>
                <w:color w:val="auto"/>
                <w:w w:val="90"/>
                <w:szCs w:val="21"/>
                <w:highlight w:val="none"/>
              </w:rPr>
            </w:pPr>
          </w:p>
        </w:tc>
        <w:tc>
          <w:tcPr>
            <w:tcW w:w="1550" w:type="dxa"/>
            <w:noWrap/>
            <w:vAlign w:val="center"/>
          </w:tcPr>
          <w:p w14:paraId="1A55C77F">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692" w:type="dxa"/>
            <w:noWrap/>
            <w:vAlign w:val="center"/>
          </w:tcPr>
          <w:p w14:paraId="79E3B40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9FD3F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784A6C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D79344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C052EB5">
            <w:pPr>
              <w:autoSpaceDN w:val="0"/>
              <w:jc w:val="left"/>
              <w:rPr>
                <w:rFonts w:hint="eastAsia" w:ascii="宋体" w:hAnsi="宋体" w:eastAsia="宋体" w:cs="宋体"/>
                <w:b/>
                <w:color w:val="auto"/>
                <w:w w:val="90"/>
                <w:szCs w:val="21"/>
                <w:highlight w:val="none"/>
              </w:rPr>
            </w:pPr>
          </w:p>
        </w:tc>
        <w:tc>
          <w:tcPr>
            <w:tcW w:w="1550" w:type="dxa"/>
            <w:noWrap/>
            <w:vAlign w:val="center"/>
          </w:tcPr>
          <w:p w14:paraId="4E5B92D3">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692" w:type="dxa"/>
            <w:noWrap/>
            <w:vAlign w:val="center"/>
          </w:tcPr>
          <w:p w14:paraId="4B570A5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w:t>
            </w:r>
          </w:p>
          <w:p w14:paraId="352F438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能效等级》（GB 37479）</w:t>
            </w:r>
          </w:p>
        </w:tc>
      </w:tr>
      <w:tr w14:paraId="73ADB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343B43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07756C3">
            <w:pPr>
              <w:autoSpaceDN w:val="0"/>
              <w:jc w:val="left"/>
              <w:rPr>
                <w:rFonts w:hint="eastAsia" w:ascii="宋体" w:hAnsi="宋体" w:eastAsia="宋体" w:cs="宋体"/>
                <w:color w:val="auto"/>
                <w:w w:val="90"/>
                <w:szCs w:val="21"/>
                <w:highlight w:val="none"/>
              </w:rPr>
            </w:pPr>
          </w:p>
        </w:tc>
        <w:tc>
          <w:tcPr>
            <w:tcW w:w="2268" w:type="dxa"/>
            <w:noWrap/>
            <w:vAlign w:val="center"/>
          </w:tcPr>
          <w:p w14:paraId="553A839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550" w:type="dxa"/>
            <w:noWrap/>
            <w:vAlign w:val="center"/>
          </w:tcPr>
          <w:p w14:paraId="2B94643F">
            <w:pPr>
              <w:autoSpaceDN w:val="0"/>
              <w:jc w:val="left"/>
              <w:rPr>
                <w:rFonts w:hint="eastAsia" w:ascii="宋体" w:hAnsi="宋体" w:eastAsia="宋体" w:cs="宋体"/>
                <w:color w:val="auto"/>
                <w:w w:val="90"/>
                <w:szCs w:val="21"/>
                <w:highlight w:val="none"/>
              </w:rPr>
            </w:pPr>
          </w:p>
        </w:tc>
        <w:tc>
          <w:tcPr>
            <w:tcW w:w="3692" w:type="dxa"/>
            <w:noWrap/>
            <w:vAlign w:val="center"/>
          </w:tcPr>
          <w:p w14:paraId="0561AF4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9C93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2C3172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3AE621F">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55AF8E0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 热水器</w:t>
            </w:r>
          </w:p>
        </w:tc>
        <w:tc>
          <w:tcPr>
            <w:tcW w:w="1550" w:type="dxa"/>
            <w:noWrap/>
            <w:vAlign w:val="center"/>
          </w:tcPr>
          <w:p w14:paraId="15F8DA1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692" w:type="dxa"/>
            <w:noWrap/>
            <w:vAlign w:val="center"/>
          </w:tcPr>
          <w:p w14:paraId="4908BED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21519）</w:t>
            </w:r>
          </w:p>
        </w:tc>
      </w:tr>
      <w:tr w14:paraId="0E3647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B834895">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82D532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16C50B79">
            <w:pPr>
              <w:autoSpaceDN w:val="0"/>
              <w:jc w:val="left"/>
              <w:rPr>
                <w:rFonts w:hint="eastAsia" w:ascii="宋体" w:hAnsi="宋体" w:eastAsia="宋体" w:cs="宋体"/>
                <w:color w:val="auto"/>
                <w:w w:val="90"/>
                <w:szCs w:val="21"/>
                <w:highlight w:val="none"/>
              </w:rPr>
            </w:pPr>
          </w:p>
        </w:tc>
        <w:tc>
          <w:tcPr>
            <w:tcW w:w="1550" w:type="dxa"/>
            <w:noWrap/>
            <w:vAlign w:val="center"/>
          </w:tcPr>
          <w:p w14:paraId="21C1FEF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692" w:type="dxa"/>
            <w:noWrap/>
            <w:vAlign w:val="center"/>
          </w:tcPr>
          <w:p w14:paraId="33F691A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3F0501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C2B79E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CDAC9E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2597B29">
            <w:pPr>
              <w:autoSpaceDN w:val="0"/>
              <w:jc w:val="left"/>
              <w:rPr>
                <w:rFonts w:hint="eastAsia" w:ascii="宋体" w:hAnsi="宋体" w:eastAsia="宋体" w:cs="宋体"/>
                <w:color w:val="auto"/>
                <w:w w:val="90"/>
                <w:szCs w:val="21"/>
                <w:highlight w:val="none"/>
              </w:rPr>
            </w:pPr>
          </w:p>
        </w:tc>
        <w:tc>
          <w:tcPr>
            <w:tcW w:w="1550" w:type="dxa"/>
            <w:noWrap/>
            <w:vAlign w:val="center"/>
          </w:tcPr>
          <w:p w14:paraId="17D0236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692" w:type="dxa"/>
            <w:noWrap/>
            <w:vAlign w:val="center"/>
          </w:tcPr>
          <w:p w14:paraId="18366D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41E8E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5E9C77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48C59FF">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284808D6">
            <w:pPr>
              <w:autoSpaceDN w:val="0"/>
              <w:jc w:val="left"/>
              <w:rPr>
                <w:rFonts w:hint="eastAsia" w:ascii="宋体" w:hAnsi="宋体" w:eastAsia="宋体" w:cs="宋体"/>
                <w:color w:val="auto"/>
                <w:w w:val="90"/>
                <w:szCs w:val="21"/>
                <w:highlight w:val="none"/>
              </w:rPr>
            </w:pPr>
          </w:p>
        </w:tc>
        <w:tc>
          <w:tcPr>
            <w:tcW w:w="1550" w:type="dxa"/>
            <w:noWrap/>
            <w:vAlign w:val="center"/>
          </w:tcPr>
          <w:p w14:paraId="1390BA8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692" w:type="dxa"/>
            <w:noWrap/>
            <w:vAlign w:val="center"/>
          </w:tcPr>
          <w:p w14:paraId="552C0C5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54E983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2054E7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858" w:type="dxa"/>
            <w:vMerge w:val="restart"/>
            <w:noWrap/>
            <w:vAlign w:val="center"/>
          </w:tcPr>
          <w:p w14:paraId="3E4872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68" w:type="dxa"/>
            <w:noWrap/>
            <w:vAlign w:val="center"/>
          </w:tcPr>
          <w:p w14:paraId="564D7B2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550" w:type="dxa"/>
            <w:noWrap/>
            <w:vAlign w:val="center"/>
          </w:tcPr>
          <w:p w14:paraId="0ED28656">
            <w:pPr>
              <w:autoSpaceDN w:val="0"/>
              <w:jc w:val="center"/>
              <w:rPr>
                <w:rFonts w:hint="eastAsia" w:ascii="宋体" w:hAnsi="宋体" w:eastAsia="宋体" w:cs="宋体"/>
                <w:color w:val="auto"/>
                <w:w w:val="90"/>
                <w:szCs w:val="21"/>
                <w:highlight w:val="none"/>
              </w:rPr>
            </w:pPr>
          </w:p>
        </w:tc>
        <w:tc>
          <w:tcPr>
            <w:tcW w:w="3692" w:type="dxa"/>
            <w:noWrap/>
            <w:vAlign w:val="center"/>
          </w:tcPr>
          <w:p w14:paraId="1B0BA43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0A7C65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64B7A65">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BAD58FD">
            <w:pPr>
              <w:autoSpaceDN w:val="0"/>
              <w:jc w:val="left"/>
              <w:rPr>
                <w:rFonts w:hint="eastAsia" w:ascii="宋体" w:hAnsi="宋体" w:eastAsia="宋体" w:cs="宋体"/>
                <w:color w:val="auto"/>
                <w:w w:val="90"/>
                <w:szCs w:val="21"/>
                <w:highlight w:val="none"/>
              </w:rPr>
            </w:pPr>
          </w:p>
        </w:tc>
        <w:tc>
          <w:tcPr>
            <w:tcW w:w="2268" w:type="dxa"/>
            <w:noWrap/>
            <w:vAlign w:val="center"/>
          </w:tcPr>
          <w:p w14:paraId="5892CD2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550" w:type="dxa"/>
            <w:noWrap/>
            <w:vAlign w:val="center"/>
          </w:tcPr>
          <w:p w14:paraId="3F93B761">
            <w:pPr>
              <w:autoSpaceDN w:val="0"/>
              <w:jc w:val="center"/>
              <w:rPr>
                <w:rFonts w:hint="eastAsia" w:ascii="宋体" w:hAnsi="宋体" w:eastAsia="宋体" w:cs="宋体"/>
                <w:color w:val="auto"/>
                <w:w w:val="90"/>
                <w:szCs w:val="21"/>
                <w:highlight w:val="none"/>
              </w:rPr>
            </w:pPr>
          </w:p>
        </w:tc>
        <w:tc>
          <w:tcPr>
            <w:tcW w:w="3692" w:type="dxa"/>
            <w:noWrap/>
            <w:vAlign w:val="center"/>
          </w:tcPr>
          <w:p w14:paraId="64AAAA9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 LED 灯具能效限定值及能效等级》（GB 37478</w:t>
            </w:r>
          </w:p>
        </w:tc>
      </w:tr>
      <w:tr w14:paraId="3FA3A9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7EF134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BF98295">
            <w:pPr>
              <w:autoSpaceDN w:val="0"/>
              <w:jc w:val="left"/>
              <w:rPr>
                <w:rFonts w:hint="eastAsia" w:ascii="宋体" w:hAnsi="宋体" w:eastAsia="宋体" w:cs="宋体"/>
                <w:color w:val="auto"/>
                <w:w w:val="90"/>
                <w:szCs w:val="21"/>
                <w:highlight w:val="none"/>
              </w:rPr>
            </w:pPr>
          </w:p>
        </w:tc>
        <w:tc>
          <w:tcPr>
            <w:tcW w:w="2268" w:type="dxa"/>
            <w:noWrap/>
            <w:vAlign w:val="center"/>
          </w:tcPr>
          <w:p w14:paraId="6081D9F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550" w:type="dxa"/>
            <w:noWrap/>
            <w:vAlign w:val="center"/>
          </w:tcPr>
          <w:p w14:paraId="4F197721">
            <w:pPr>
              <w:autoSpaceDN w:val="0"/>
              <w:jc w:val="center"/>
              <w:rPr>
                <w:rFonts w:hint="eastAsia" w:ascii="宋体" w:hAnsi="宋体" w:eastAsia="宋体" w:cs="宋体"/>
                <w:color w:val="auto"/>
                <w:w w:val="90"/>
                <w:szCs w:val="21"/>
                <w:highlight w:val="none"/>
              </w:rPr>
            </w:pPr>
          </w:p>
        </w:tc>
        <w:tc>
          <w:tcPr>
            <w:tcW w:w="3692" w:type="dxa"/>
            <w:noWrap/>
            <w:vAlign w:val="center"/>
          </w:tcPr>
          <w:p w14:paraId="7D9CD74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2E250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66405C8">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9749736">
            <w:pPr>
              <w:autoSpaceDN w:val="0"/>
              <w:jc w:val="left"/>
              <w:rPr>
                <w:rFonts w:hint="eastAsia" w:ascii="宋体" w:hAnsi="宋体" w:eastAsia="宋体" w:cs="宋体"/>
                <w:color w:val="auto"/>
                <w:w w:val="90"/>
                <w:szCs w:val="21"/>
                <w:highlight w:val="none"/>
              </w:rPr>
            </w:pPr>
          </w:p>
        </w:tc>
        <w:tc>
          <w:tcPr>
            <w:tcW w:w="2268" w:type="dxa"/>
            <w:noWrap/>
            <w:vAlign w:val="center"/>
          </w:tcPr>
          <w:p w14:paraId="072C8D2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550" w:type="dxa"/>
            <w:noWrap/>
            <w:vAlign w:val="center"/>
          </w:tcPr>
          <w:p w14:paraId="30F1287F">
            <w:pPr>
              <w:autoSpaceDN w:val="0"/>
              <w:jc w:val="center"/>
              <w:rPr>
                <w:rFonts w:hint="eastAsia" w:ascii="宋体" w:hAnsi="宋体" w:eastAsia="宋体" w:cs="宋体"/>
                <w:color w:val="auto"/>
                <w:w w:val="90"/>
                <w:szCs w:val="21"/>
                <w:highlight w:val="none"/>
              </w:rPr>
            </w:pPr>
          </w:p>
        </w:tc>
        <w:tc>
          <w:tcPr>
            <w:tcW w:w="3692" w:type="dxa"/>
            <w:noWrap/>
            <w:vAlign w:val="center"/>
          </w:tcPr>
          <w:p w14:paraId="1AD7D9E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 LED 产品能效限定值及能效等级》（GB 30255）</w:t>
            </w:r>
          </w:p>
        </w:tc>
      </w:tr>
      <w:tr w14:paraId="45123C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DA4C1F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858" w:type="dxa"/>
            <w:noWrap/>
            <w:vAlign w:val="center"/>
          </w:tcPr>
          <w:p w14:paraId="537385D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68" w:type="dxa"/>
            <w:noWrap/>
            <w:vAlign w:val="center"/>
          </w:tcPr>
          <w:p w14:paraId="3581F7B4">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550" w:type="dxa"/>
            <w:noWrap/>
            <w:vAlign w:val="center"/>
          </w:tcPr>
          <w:p w14:paraId="162E4739">
            <w:pPr>
              <w:autoSpaceDN w:val="0"/>
              <w:jc w:val="center"/>
              <w:rPr>
                <w:rFonts w:hint="eastAsia" w:ascii="宋体" w:hAnsi="宋体" w:eastAsia="宋体" w:cs="宋体"/>
                <w:color w:val="auto"/>
                <w:w w:val="90"/>
                <w:szCs w:val="21"/>
                <w:highlight w:val="none"/>
              </w:rPr>
            </w:pPr>
          </w:p>
        </w:tc>
        <w:tc>
          <w:tcPr>
            <w:tcW w:w="3692" w:type="dxa"/>
            <w:noWrap/>
            <w:vAlign w:val="center"/>
          </w:tcPr>
          <w:p w14:paraId="4FC3A6F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4308DF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7EC274D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858" w:type="dxa"/>
            <w:noWrap/>
            <w:vAlign w:val="center"/>
          </w:tcPr>
          <w:p w14:paraId="4C502D2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68" w:type="dxa"/>
            <w:noWrap/>
            <w:vAlign w:val="center"/>
          </w:tcPr>
          <w:p w14:paraId="53A06392">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 视频监控设备</w:t>
            </w:r>
          </w:p>
        </w:tc>
        <w:tc>
          <w:tcPr>
            <w:tcW w:w="1550" w:type="dxa"/>
            <w:noWrap/>
            <w:vAlign w:val="center"/>
          </w:tcPr>
          <w:p w14:paraId="753D199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692" w:type="dxa"/>
            <w:noWrap/>
            <w:vAlign w:val="center"/>
          </w:tcPr>
          <w:p w14:paraId="2BC4DBB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0483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34A479A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858" w:type="dxa"/>
            <w:noWrap/>
            <w:vAlign w:val="center"/>
          </w:tcPr>
          <w:p w14:paraId="735604E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68" w:type="dxa"/>
            <w:noWrap/>
            <w:vAlign w:val="center"/>
          </w:tcPr>
          <w:p w14:paraId="69A62DB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550" w:type="dxa"/>
            <w:noWrap/>
            <w:vAlign w:val="center"/>
          </w:tcPr>
          <w:p w14:paraId="7503D2A0">
            <w:pPr>
              <w:autoSpaceDN w:val="0"/>
              <w:jc w:val="center"/>
              <w:rPr>
                <w:rFonts w:hint="eastAsia" w:ascii="宋体" w:hAnsi="宋体" w:eastAsia="宋体" w:cs="宋体"/>
                <w:color w:val="auto"/>
                <w:w w:val="90"/>
                <w:szCs w:val="21"/>
                <w:highlight w:val="none"/>
              </w:rPr>
            </w:pPr>
          </w:p>
        </w:tc>
        <w:tc>
          <w:tcPr>
            <w:tcW w:w="3692" w:type="dxa"/>
            <w:noWrap/>
            <w:vAlign w:val="center"/>
          </w:tcPr>
          <w:p w14:paraId="1A7A8D8A">
            <w:pPr>
              <w:autoSpaceDN w:val="0"/>
              <w:jc w:val="left"/>
              <w:rPr>
                <w:rFonts w:hint="eastAsia" w:ascii="宋体" w:hAnsi="宋体" w:eastAsia="宋体" w:cs="宋体"/>
                <w:color w:val="auto"/>
                <w:w w:val="90"/>
                <w:szCs w:val="21"/>
                <w:highlight w:val="none"/>
              </w:rPr>
            </w:pPr>
          </w:p>
        </w:tc>
      </w:tr>
      <w:tr w14:paraId="3C1932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1E8A443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858" w:type="dxa"/>
            <w:vMerge w:val="restart"/>
            <w:noWrap/>
            <w:vAlign w:val="center"/>
          </w:tcPr>
          <w:p w14:paraId="6D8018D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68" w:type="dxa"/>
            <w:noWrap/>
            <w:vAlign w:val="center"/>
          </w:tcPr>
          <w:p w14:paraId="69A99AF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550" w:type="dxa"/>
            <w:noWrap/>
            <w:vAlign w:val="center"/>
          </w:tcPr>
          <w:p w14:paraId="2A99FA9E">
            <w:pPr>
              <w:autoSpaceDN w:val="0"/>
              <w:jc w:val="center"/>
              <w:rPr>
                <w:rFonts w:hint="eastAsia" w:ascii="宋体" w:hAnsi="宋体" w:eastAsia="宋体" w:cs="宋体"/>
                <w:color w:val="auto"/>
                <w:w w:val="90"/>
                <w:szCs w:val="21"/>
                <w:highlight w:val="none"/>
              </w:rPr>
            </w:pPr>
          </w:p>
        </w:tc>
        <w:tc>
          <w:tcPr>
            <w:tcW w:w="3692" w:type="dxa"/>
            <w:noWrap/>
            <w:vAlign w:val="center"/>
          </w:tcPr>
          <w:p w14:paraId="1A947C2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156B16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13838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809F26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DC2AC75">
            <w:pPr>
              <w:autoSpaceDN w:val="0"/>
              <w:jc w:val="left"/>
              <w:rPr>
                <w:rFonts w:hint="eastAsia" w:ascii="宋体" w:hAnsi="宋体" w:eastAsia="宋体" w:cs="宋体"/>
                <w:b/>
                <w:color w:val="auto"/>
                <w:w w:val="90"/>
                <w:szCs w:val="21"/>
                <w:highlight w:val="none"/>
              </w:rPr>
            </w:pPr>
          </w:p>
        </w:tc>
        <w:tc>
          <w:tcPr>
            <w:tcW w:w="2268" w:type="dxa"/>
            <w:noWrap/>
            <w:vAlign w:val="center"/>
          </w:tcPr>
          <w:p w14:paraId="7CC7772F">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550" w:type="dxa"/>
            <w:noWrap/>
            <w:vAlign w:val="center"/>
          </w:tcPr>
          <w:p w14:paraId="664ACA8A">
            <w:pPr>
              <w:autoSpaceDN w:val="0"/>
              <w:jc w:val="center"/>
              <w:rPr>
                <w:rFonts w:hint="eastAsia" w:ascii="宋体" w:hAnsi="宋体" w:eastAsia="宋体" w:cs="宋体"/>
                <w:color w:val="auto"/>
                <w:w w:val="90"/>
                <w:szCs w:val="21"/>
                <w:highlight w:val="none"/>
              </w:rPr>
            </w:pPr>
          </w:p>
        </w:tc>
        <w:tc>
          <w:tcPr>
            <w:tcW w:w="3692" w:type="dxa"/>
            <w:noWrap/>
            <w:vAlign w:val="center"/>
          </w:tcPr>
          <w:p w14:paraId="1D0961D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3996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EBF252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1CF1F73">
            <w:pPr>
              <w:autoSpaceDN w:val="0"/>
              <w:jc w:val="left"/>
              <w:rPr>
                <w:rFonts w:hint="eastAsia" w:ascii="宋体" w:hAnsi="宋体" w:eastAsia="宋体" w:cs="宋体"/>
                <w:b/>
                <w:color w:val="auto"/>
                <w:w w:val="90"/>
                <w:szCs w:val="21"/>
                <w:highlight w:val="none"/>
              </w:rPr>
            </w:pPr>
          </w:p>
        </w:tc>
        <w:tc>
          <w:tcPr>
            <w:tcW w:w="2268" w:type="dxa"/>
            <w:noWrap/>
            <w:vAlign w:val="center"/>
          </w:tcPr>
          <w:p w14:paraId="1D8988E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550" w:type="dxa"/>
            <w:noWrap/>
            <w:vAlign w:val="center"/>
          </w:tcPr>
          <w:p w14:paraId="503EB962">
            <w:pPr>
              <w:autoSpaceDN w:val="0"/>
              <w:jc w:val="center"/>
              <w:rPr>
                <w:rFonts w:hint="eastAsia" w:ascii="宋体" w:hAnsi="宋体" w:eastAsia="宋体" w:cs="宋体"/>
                <w:color w:val="auto"/>
                <w:w w:val="90"/>
                <w:szCs w:val="21"/>
                <w:highlight w:val="none"/>
              </w:rPr>
            </w:pPr>
          </w:p>
        </w:tc>
        <w:tc>
          <w:tcPr>
            <w:tcW w:w="3692" w:type="dxa"/>
            <w:noWrap/>
            <w:vAlign w:val="center"/>
          </w:tcPr>
          <w:p w14:paraId="0906EB3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19ED23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D1A82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858" w:type="dxa"/>
            <w:noWrap/>
            <w:vAlign w:val="center"/>
          </w:tcPr>
          <w:p w14:paraId="63A80CFF">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68" w:type="dxa"/>
            <w:noWrap/>
            <w:vAlign w:val="center"/>
          </w:tcPr>
          <w:p w14:paraId="5B428552">
            <w:pPr>
              <w:autoSpaceDN w:val="0"/>
              <w:jc w:val="left"/>
              <w:rPr>
                <w:rFonts w:hint="eastAsia" w:ascii="宋体" w:hAnsi="宋体" w:eastAsia="宋体" w:cs="宋体"/>
                <w:color w:val="auto"/>
                <w:w w:val="90"/>
                <w:szCs w:val="21"/>
                <w:highlight w:val="none"/>
              </w:rPr>
            </w:pPr>
          </w:p>
        </w:tc>
        <w:tc>
          <w:tcPr>
            <w:tcW w:w="1550" w:type="dxa"/>
            <w:noWrap/>
            <w:vAlign w:val="center"/>
          </w:tcPr>
          <w:p w14:paraId="3536CBAB">
            <w:pPr>
              <w:autoSpaceDN w:val="0"/>
              <w:jc w:val="center"/>
              <w:rPr>
                <w:rFonts w:hint="eastAsia" w:ascii="宋体" w:hAnsi="宋体" w:eastAsia="宋体" w:cs="宋体"/>
                <w:color w:val="auto"/>
                <w:w w:val="90"/>
                <w:szCs w:val="21"/>
                <w:highlight w:val="none"/>
              </w:rPr>
            </w:pPr>
          </w:p>
        </w:tc>
        <w:tc>
          <w:tcPr>
            <w:tcW w:w="3692" w:type="dxa"/>
            <w:noWrap/>
            <w:vAlign w:val="center"/>
          </w:tcPr>
          <w:p w14:paraId="3A5CA73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0E18E7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FDDF83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858" w:type="dxa"/>
            <w:noWrap/>
            <w:vAlign w:val="center"/>
          </w:tcPr>
          <w:p w14:paraId="5129A62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68" w:type="dxa"/>
            <w:noWrap/>
            <w:vAlign w:val="center"/>
          </w:tcPr>
          <w:p w14:paraId="05A0C6CD">
            <w:pPr>
              <w:autoSpaceDN w:val="0"/>
              <w:jc w:val="left"/>
              <w:rPr>
                <w:rFonts w:hint="eastAsia" w:ascii="宋体" w:hAnsi="宋体" w:eastAsia="宋体" w:cs="宋体"/>
                <w:color w:val="auto"/>
                <w:w w:val="90"/>
                <w:szCs w:val="21"/>
                <w:highlight w:val="none"/>
              </w:rPr>
            </w:pPr>
          </w:p>
        </w:tc>
        <w:tc>
          <w:tcPr>
            <w:tcW w:w="1550" w:type="dxa"/>
            <w:noWrap/>
            <w:vAlign w:val="center"/>
          </w:tcPr>
          <w:p w14:paraId="5DAD159C">
            <w:pPr>
              <w:autoSpaceDN w:val="0"/>
              <w:jc w:val="center"/>
              <w:rPr>
                <w:rFonts w:hint="eastAsia" w:ascii="宋体" w:hAnsi="宋体" w:eastAsia="宋体" w:cs="宋体"/>
                <w:color w:val="auto"/>
                <w:w w:val="90"/>
                <w:szCs w:val="21"/>
                <w:highlight w:val="none"/>
              </w:rPr>
            </w:pPr>
          </w:p>
        </w:tc>
        <w:tc>
          <w:tcPr>
            <w:tcW w:w="3692" w:type="dxa"/>
            <w:noWrap/>
            <w:vAlign w:val="center"/>
          </w:tcPr>
          <w:p w14:paraId="02261C00">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3B29B9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0361ABE">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858" w:type="dxa"/>
            <w:noWrap/>
            <w:vAlign w:val="center"/>
          </w:tcPr>
          <w:p w14:paraId="670C605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68" w:type="dxa"/>
            <w:noWrap/>
            <w:vAlign w:val="center"/>
          </w:tcPr>
          <w:p w14:paraId="0BE0ACA4">
            <w:pPr>
              <w:autoSpaceDN w:val="0"/>
              <w:jc w:val="left"/>
              <w:rPr>
                <w:rFonts w:hint="eastAsia" w:ascii="宋体" w:hAnsi="宋体" w:eastAsia="宋体" w:cs="宋体"/>
                <w:color w:val="auto"/>
                <w:w w:val="90"/>
                <w:szCs w:val="21"/>
                <w:highlight w:val="none"/>
              </w:rPr>
            </w:pPr>
          </w:p>
        </w:tc>
        <w:tc>
          <w:tcPr>
            <w:tcW w:w="1550" w:type="dxa"/>
            <w:noWrap/>
            <w:vAlign w:val="center"/>
          </w:tcPr>
          <w:p w14:paraId="4A6B4992">
            <w:pPr>
              <w:autoSpaceDN w:val="0"/>
              <w:jc w:val="center"/>
              <w:rPr>
                <w:rFonts w:hint="eastAsia" w:ascii="宋体" w:hAnsi="宋体" w:eastAsia="宋体" w:cs="宋体"/>
                <w:color w:val="auto"/>
                <w:w w:val="90"/>
                <w:szCs w:val="21"/>
                <w:highlight w:val="none"/>
              </w:rPr>
            </w:pPr>
          </w:p>
        </w:tc>
        <w:tc>
          <w:tcPr>
            <w:tcW w:w="3692" w:type="dxa"/>
            <w:noWrap/>
            <w:vAlign w:val="center"/>
          </w:tcPr>
          <w:p w14:paraId="34FE2E4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D32EAF0">
      <w:pPr>
        <w:autoSpaceDN w:val="0"/>
        <w:spacing w:line="360" w:lineRule="auto"/>
        <w:ind w:left="-850" w:leftChars="-405" w:right="-1050" w:rightChars="-500" w:firstLine="382" w:firstLineChars="201"/>
        <w:rPr>
          <w:rFonts w:hint="eastAsia"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14:paraId="00A322A1">
      <w:pPr>
        <w:autoSpaceDN w:val="0"/>
        <w:spacing w:line="360" w:lineRule="auto"/>
        <w:ind w:left="-850" w:leftChars="-405" w:right="-1050" w:rightChars="-500" w:firstLine="382" w:firstLineChars="201"/>
        <w:rPr>
          <w:rFonts w:hint="eastAsia"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48FCC4C3">
      <w:pPr>
        <w:autoSpaceDN w:val="0"/>
        <w:spacing w:line="360" w:lineRule="auto"/>
        <w:ind w:left="-850" w:leftChars="-405" w:right="-1050" w:rightChars="-500" w:firstLine="382" w:firstLineChars="201"/>
        <w:rPr>
          <w:rFonts w:hint="eastAsia" w:ascii="宋体" w:hAnsi="宋体" w:eastAsia="宋体" w:cs="宋体"/>
          <w:color w:val="auto"/>
          <w:highlight w:val="none"/>
        </w:rPr>
      </w:pPr>
      <w:r>
        <w:rPr>
          <w:rFonts w:hint="eastAsia" w:ascii="宋体" w:hAnsi="宋体" w:eastAsia="宋体" w:cs="宋体"/>
          <w:b/>
          <w:color w:val="auto"/>
          <w:w w:val="90"/>
          <w:highlight w:val="none"/>
        </w:rPr>
        <w:t>3、以“★”标注的为政府强制采购产品。</w:t>
      </w:r>
    </w:p>
    <w:p w14:paraId="26AF5852">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24"/>
          <w:szCs w:val="28"/>
          <w:highlight w:val="none"/>
        </w:rPr>
        <w:br w:type="page"/>
      </w:r>
      <w:bookmarkStart w:id="265" w:name="_Toc7542915"/>
      <w:bookmarkStart w:id="266" w:name="_Toc20358291"/>
      <w:bookmarkStart w:id="267" w:name="_Toc7988474"/>
      <w:bookmarkStart w:id="268" w:name="_Toc24471817"/>
      <w:bookmarkStart w:id="269" w:name="_Toc25765009"/>
      <w:bookmarkStart w:id="270" w:name="_Toc7492527"/>
      <w:bookmarkStart w:id="271" w:name="_Toc8007004"/>
      <w:bookmarkStart w:id="272" w:name="_Toc7988420"/>
      <w:bookmarkStart w:id="273" w:name="_Toc7993640"/>
      <w:bookmarkStart w:id="274" w:name="_Toc17428348"/>
      <w:bookmarkStart w:id="275" w:name="_Toc7664196"/>
      <w:bookmarkStart w:id="276" w:name="_Toc7488758"/>
      <w:bookmarkStart w:id="277" w:name="_Toc17428253"/>
      <w:bookmarkStart w:id="278" w:name="_Toc7574704"/>
      <w:bookmarkStart w:id="279" w:name="_Toc7663596"/>
      <w:bookmarkStart w:id="280" w:name="_Toc10432457"/>
      <w:bookmarkStart w:id="281" w:name="_Toc7668949"/>
      <w:r>
        <w:rPr>
          <w:rFonts w:hint="eastAsia" w:ascii="宋体" w:hAnsi="宋体" w:eastAsia="宋体" w:cs="宋体"/>
          <w:b/>
          <w:bCs/>
          <w:color w:val="auto"/>
          <w:kern w:val="0"/>
          <w:sz w:val="30"/>
          <w:szCs w:val="28"/>
          <w:highlight w:val="none"/>
        </w:rPr>
        <w:t>四、</w:t>
      </w:r>
      <w:r>
        <w:rPr>
          <w:rFonts w:hint="eastAsia" w:ascii="宋体" w:hAnsi="宋体" w:eastAsia="宋体" w:cs="宋体"/>
          <w:b/>
          <w:bCs/>
          <w:color w:val="auto"/>
          <w:kern w:val="0"/>
          <w:sz w:val="30"/>
          <w:highlight w:val="none"/>
        </w:rPr>
        <w:t>关于印发环境标志产品政府采购品目清单的通知（财库〔2019〕18号）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E5A31CB">
      <w:pPr>
        <w:autoSpaceDN w:val="0"/>
        <w:jc w:val="center"/>
        <w:rPr>
          <w:rFonts w:hint="eastAsia" w:ascii="宋体" w:hAnsi="宋体" w:eastAsia="宋体" w:cs="宋体"/>
          <w:color w:val="auto"/>
          <w:kern w:val="0"/>
          <w:sz w:val="24"/>
          <w:szCs w:val="28"/>
          <w:highlight w:val="none"/>
        </w:rPr>
      </w:pPr>
    </w:p>
    <w:p w14:paraId="0294F4C7">
      <w:pPr>
        <w:autoSpaceDN w:val="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关于印发环境标志产品政府采购品目清单的通知</w:t>
      </w:r>
    </w:p>
    <w:p w14:paraId="5A4E1D7D">
      <w:pPr>
        <w:autoSpaceDN w:val="0"/>
        <w:jc w:val="center"/>
        <w:rPr>
          <w:rFonts w:hint="eastAsia" w:ascii="宋体" w:hAnsi="宋体" w:eastAsia="宋体" w:cs="宋体"/>
          <w:color w:val="auto"/>
          <w:highlight w:val="none"/>
        </w:rPr>
      </w:pPr>
      <w:r>
        <w:rPr>
          <w:rFonts w:hint="eastAsia" w:ascii="宋体" w:hAnsi="宋体" w:eastAsia="宋体" w:cs="宋体"/>
          <w:b/>
          <w:color w:val="auto"/>
          <w:kern w:val="0"/>
          <w:sz w:val="32"/>
          <w:highlight w:val="none"/>
        </w:rPr>
        <w:t>财库〔2019〕18号</w:t>
      </w:r>
    </w:p>
    <w:p w14:paraId="4E6CD816">
      <w:pPr>
        <w:autoSpaceDN w:val="0"/>
        <w:spacing w:line="360" w:lineRule="auto"/>
        <w:rPr>
          <w:rFonts w:hint="eastAsia" w:ascii="宋体" w:hAnsi="宋体" w:eastAsia="宋体" w:cs="宋体"/>
          <w:color w:val="auto"/>
          <w:kern w:val="0"/>
          <w:sz w:val="28"/>
          <w:highlight w:val="none"/>
        </w:rPr>
      </w:pPr>
    </w:p>
    <w:p w14:paraId="77D88B79">
      <w:pPr>
        <w:autoSpaceDN w:val="0"/>
        <w:spacing w:line="360" w:lineRule="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有关中央预算单位，各省、自治区、直辖市、计划单列市财政厅（局）、生态环境厅（局），新疆生产建设兵团财政局、环境保护局：</w:t>
      </w:r>
    </w:p>
    <w:p w14:paraId="5B144DEA">
      <w:pPr>
        <w:autoSpaceDN w:val="0"/>
        <w:spacing w:line="360" w:lineRule="auto"/>
        <w:rPr>
          <w:rFonts w:hint="eastAsia" w:ascii="宋体" w:hAnsi="宋体" w:eastAsia="宋体" w:cs="宋体"/>
          <w:color w:val="auto"/>
          <w:kern w:val="0"/>
          <w:sz w:val="28"/>
          <w:highlight w:val="none"/>
        </w:rPr>
      </w:pPr>
    </w:p>
    <w:p w14:paraId="6EF600F8">
      <w:pPr>
        <w:autoSpaceDN w:val="0"/>
        <w:spacing w:line="360" w:lineRule="auto"/>
        <w:ind w:firstLine="565" w:firstLineChars="202"/>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DEDF4E7">
      <w:pPr>
        <w:autoSpaceDN w:val="0"/>
        <w:spacing w:line="360" w:lineRule="auto"/>
        <w:ind w:firstLine="565" w:firstLineChars="202"/>
        <w:rPr>
          <w:rFonts w:hint="eastAsia" w:ascii="宋体" w:hAnsi="宋体" w:eastAsia="宋体" w:cs="宋体"/>
          <w:color w:val="auto"/>
          <w:kern w:val="0"/>
          <w:sz w:val="28"/>
          <w:highlight w:val="none"/>
        </w:rPr>
      </w:pPr>
    </w:p>
    <w:p w14:paraId="1E44BA9E">
      <w:pPr>
        <w:autoSpaceDN w:val="0"/>
        <w:spacing w:line="360" w:lineRule="auto"/>
        <w:ind w:firstLine="336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附件：环境标志产品政府采购品目清单</w:t>
      </w:r>
    </w:p>
    <w:p w14:paraId="6B3DDCAA">
      <w:pPr>
        <w:autoSpaceDN w:val="0"/>
        <w:spacing w:line="360" w:lineRule="auto"/>
        <w:ind w:firstLine="3360"/>
        <w:rPr>
          <w:rFonts w:hint="eastAsia" w:ascii="宋体" w:hAnsi="宋体" w:eastAsia="宋体" w:cs="宋体"/>
          <w:color w:val="auto"/>
          <w:kern w:val="0"/>
          <w:sz w:val="28"/>
          <w:highlight w:val="none"/>
        </w:rPr>
      </w:pPr>
    </w:p>
    <w:p w14:paraId="6DB43B0A">
      <w:pPr>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财政部   生态环境部</w:t>
      </w:r>
    </w:p>
    <w:p w14:paraId="5E19CF22">
      <w:pPr>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2019年3月29日</w:t>
      </w:r>
    </w:p>
    <w:p w14:paraId="7AD3AA39">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附：环境标志产品政府采购品目清单</w:t>
      </w:r>
    </w:p>
    <w:tbl>
      <w:tblPr>
        <w:tblStyle w:val="51"/>
        <w:tblW w:w="10519"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702"/>
      </w:tblGrid>
      <w:tr w14:paraId="73F11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noWrap/>
            <w:vAlign w:val="center"/>
          </w:tcPr>
          <w:p w14:paraId="694C8CF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6108" w:type="dxa"/>
            <w:gridSpan w:val="3"/>
            <w:shd w:val="clear" w:color="auto" w:fill="DAEEF3"/>
            <w:noWrap/>
            <w:vAlign w:val="center"/>
          </w:tcPr>
          <w:p w14:paraId="4C190834">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702" w:type="dxa"/>
            <w:shd w:val="clear" w:color="auto" w:fill="DAEEF3"/>
            <w:noWrap/>
            <w:vAlign w:val="center"/>
          </w:tcPr>
          <w:p w14:paraId="6F52CCC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14370A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5C064BE">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85" w:type="dxa"/>
            <w:vMerge w:val="restart"/>
            <w:noWrap/>
            <w:vAlign w:val="center"/>
          </w:tcPr>
          <w:p w14:paraId="17B45A6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68" w:type="dxa"/>
            <w:noWrap/>
            <w:vAlign w:val="center"/>
          </w:tcPr>
          <w:p w14:paraId="6C2E9DF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A02010103服务器</w:t>
            </w:r>
          </w:p>
        </w:tc>
        <w:tc>
          <w:tcPr>
            <w:tcW w:w="1855" w:type="dxa"/>
            <w:noWrap/>
            <w:vAlign w:val="center"/>
          </w:tcPr>
          <w:p w14:paraId="111212BF">
            <w:pPr>
              <w:autoSpaceDN w:val="0"/>
              <w:rPr>
                <w:rFonts w:hint="eastAsia" w:ascii="宋体" w:hAnsi="宋体" w:eastAsia="宋体" w:cs="宋体"/>
                <w:color w:val="auto"/>
                <w:w w:val="90"/>
                <w:szCs w:val="21"/>
                <w:highlight w:val="none"/>
              </w:rPr>
            </w:pPr>
          </w:p>
        </w:tc>
        <w:tc>
          <w:tcPr>
            <w:tcW w:w="3702" w:type="dxa"/>
            <w:noWrap/>
            <w:vAlign w:val="center"/>
          </w:tcPr>
          <w:p w14:paraId="72A7BE6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HJ2507网络服务器</w:t>
            </w:r>
          </w:p>
        </w:tc>
      </w:tr>
      <w:tr w14:paraId="4FBE72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5B9DE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BBECEE3">
            <w:pPr>
              <w:autoSpaceDN w:val="0"/>
              <w:rPr>
                <w:rFonts w:hint="eastAsia" w:ascii="宋体" w:hAnsi="宋体" w:eastAsia="宋体" w:cs="宋体"/>
                <w:color w:val="auto"/>
                <w:w w:val="90"/>
                <w:szCs w:val="21"/>
                <w:highlight w:val="none"/>
              </w:rPr>
            </w:pPr>
          </w:p>
        </w:tc>
        <w:tc>
          <w:tcPr>
            <w:tcW w:w="2268" w:type="dxa"/>
            <w:noWrap/>
            <w:vAlign w:val="center"/>
          </w:tcPr>
          <w:p w14:paraId="26596DC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A02010104台式计算机</w:t>
            </w:r>
          </w:p>
        </w:tc>
        <w:tc>
          <w:tcPr>
            <w:tcW w:w="1855" w:type="dxa"/>
            <w:noWrap/>
            <w:vAlign w:val="center"/>
          </w:tcPr>
          <w:p w14:paraId="528983A9">
            <w:pPr>
              <w:autoSpaceDN w:val="0"/>
              <w:rPr>
                <w:rFonts w:hint="eastAsia" w:ascii="宋体" w:hAnsi="宋体" w:eastAsia="宋体" w:cs="宋体"/>
                <w:color w:val="auto"/>
                <w:w w:val="90"/>
                <w:szCs w:val="21"/>
                <w:highlight w:val="none"/>
              </w:rPr>
            </w:pPr>
          </w:p>
        </w:tc>
        <w:tc>
          <w:tcPr>
            <w:tcW w:w="3702" w:type="dxa"/>
            <w:noWrap/>
            <w:vAlign w:val="center"/>
          </w:tcPr>
          <w:p w14:paraId="65BC39A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4E28B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274D7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1A4A8AC7">
            <w:pPr>
              <w:autoSpaceDN w:val="0"/>
              <w:rPr>
                <w:rFonts w:hint="eastAsia" w:ascii="宋体" w:hAnsi="宋体" w:eastAsia="宋体" w:cs="宋体"/>
                <w:color w:val="auto"/>
                <w:w w:val="90"/>
                <w:szCs w:val="21"/>
                <w:highlight w:val="none"/>
              </w:rPr>
            </w:pPr>
          </w:p>
        </w:tc>
        <w:tc>
          <w:tcPr>
            <w:tcW w:w="2268" w:type="dxa"/>
            <w:noWrap/>
            <w:vAlign w:val="center"/>
          </w:tcPr>
          <w:p w14:paraId="0B0388B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A02010105便携式计算机</w:t>
            </w:r>
          </w:p>
        </w:tc>
        <w:tc>
          <w:tcPr>
            <w:tcW w:w="1855" w:type="dxa"/>
            <w:noWrap/>
            <w:vAlign w:val="center"/>
          </w:tcPr>
          <w:p w14:paraId="37CF923B">
            <w:pPr>
              <w:autoSpaceDN w:val="0"/>
              <w:rPr>
                <w:rFonts w:hint="eastAsia" w:ascii="宋体" w:hAnsi="宋体" w:eastAsia="宋体" w:cs="宋体"/>
                <w:color w:val="auto"/>
                <w:w w:val="90"/>
                <w:szCs w:val="21"/>
                <w:highlight w:val="none"/>
              </w:rPr>
            </w:pPr>
          </w:p>
        </w:tc>
        <w:tc>
          <w:tcPr>
            <w:tcW w:w="3702" w:type="dxa"/>
            <w:noWrap/>
            <w:vAlign w:val="center"/>
          </w:tcPr>
          <w:p w14:paraId="41F8950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8B567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E3DB0E">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585FB09">
            <w:pPr>
              <w:autoSpaceDN w:val="0"/>
              <w:rPr>
                <w:rFonts w:hint="eastAsia" w:ascii="宋体" w:hAnsi="宋体" w:eastAsia="宋体" w:cs="宋体"/>
                <w:color w:val="auto"/>
                <w:w w:val="90"/>
                <w:szCs w:val="21"/>
                <w:highlight w:val="none"/>
              </w:rPr>
            </w:pPr>
          </w:p>
        </w:tc>
        <w:tc>
          <w:tcPr>
            <w:tcW w:w="2268" w:type="dxa"/>
            <w:noWrap/>
            <w:vAlign w:val="center"/>
          </w:tcPr>
          <w:p w14:paraId="3CF17A3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A02010107平板式微型计算机</w:t>
            </w:r>
          </w:p>
        </w:tc>
        <w:tc>
          <w:tcPr>
            <w:tcW w:w="1855" w:type="dxa"/>
            <w:noWrap/>
            <w:vAlign w:val="center"/>
          </w:tcPr>
          <w:p w14:paraId="0CA6242A">
            <w:pPr>
              <w:autoSpaceDN w:val="0"/>
              <w:rPr>
                <w:rFonts w:hint="eastAsia" w:ascii="宋体" w:hAnsi="宋体" w:eastAsia="宋体" w:cs="宋体"/>
                <w:color w:val="auto"/>
                <w:w w:val="90"/>
                <w:szCs w:val="21"/>
                <w:highlight w:val="none"/>
              </w:rPr>
            </w:pPr>
          </w:p>
        </w:tc>
        <w:tc>
          <w:tcPr>
            <w:tcW w:w="3702" w:type="dxa"/>
            <w:noWrap/>
            <w:vAlign w:val="center"/>
          </w:tcPr>
          <w:p w14:paraId="73D4CB7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3F8553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F635E69">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CBABCDA">
            <w:pPr>
              <w:autoSpaceDN w:val="0"/>
              <w:rPr>
                <w:rFonts w:hint="eastAsia" w:ascii="宋体" w:hAnsi="宋体" w:eastAsia="宋体" w:cs="宋体"/>
                <w:color w:val="auto"/>
                <w:w w:val="90"/>
                <w:szCs w:val="21"/>
                <w:highlight w:val="none"/>
              </w:rPr>
            </w:pPr>
          </w:p>
        </w:tc>
        <w:tc>
          <w:tcPr>
            <w:tcW w:w="2268" w:type="dxa"/>
            <w:noWrap/>
            <w:vAlign w:val="center"/>
          </w:tcPr>
          <w:p w14:paraId="0CFF852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A02010108网络计算机</w:t>
            </w:r>
          </w:p>
        </w:tc>
        <w:tc>
          <w:tcPr>
            <w:tcW w:w="1855" w:type="dxa"/>
            <w:noWrap/>
            <w:vAlign w:val="center"/>
          </w:tcPr>
          <w:p w14:paraId="212EE00C">
            <w:pPr>
              <w:autoSpaceDN w:val="0"/>
              <w:rPr>
                <w:rFonts w:hint="eastAsia" w:ascii="宋体" w:hAnsi="宋体" w:eastAsia="宋体" w:cs="宋体"/>
                <w:color w:val="auto"/>
                <w:w w:val="90"/>
                <w:szCs w:val="21"/>
                <w:highlight w:val="none"/>
              </w:rPr>
            </w:pPr>
          </w:p>
        </w:tc>
        <w:tc>
          <w:tcPr>
            <w:tcW w:w="3702" w:type="dxa"/>
            <w:noWrap/>
            <w:vAlign w:val="center"/>
          </w:tcPr>
          <w:p w14:paraId="34C1893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49A4F8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7E2C38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C25A9B8">
            <w:pPr>
              <w:autoSpaceDN w:val="0"/>
              <w:rPr>
                <w:rFonts w:hint="eastAsia" w:ascii="宋体" w:hAnsi="宋体" w:eastAsia="宋体" w:cs="宋体"/>
                <w:color w:val="auto"/>
                <w:w w:val="90"/>
                <w:szCs w:val="21"/>
                <w:highlight w:val="none"/>
              </w:rPr>
            </w:pPr>
          </w:p>
        </w:tc>
        <w:tc>
          <w:tcPr>
            <w:tcW w:w="2268" w:type="dxa"/>
            <w:noWrap/>
            <w:vAlign w:val="center"/>
          </w:tcPr>
          <w:p w14:paraId="1C79157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A02010109计算机工作站</w:t>
            </w:r>
          </w:p>
        </w:tc>
        <w:tc>
          <w:tcPr>
            <w:tcW w:w="1855" w:type="dxa"/>
            <w:noWrap/>
            <w:vAlign w:val="center"/>
          </w:tcPr>
          <w:p w14:paraId="5A3FC64B">
            <w:pPr>
              <w:autoSpaceDN w:val="0"/>
              <w:rPr>
                <w:rFonts w:hint="eastAsia" w:ascii="宋体" w:hAnsi="宋体" w:eastAsia="宋体" w:cs="宋体"/>
                <w:color w:val="auto"/>
                <w:w w:val="90"/>
                <w:szCs w:val="21"/>
                <w:highlight w:val="none"/>
              </w:rPr>
            </w:pPr>
          </w:p>
        </w:tc>
        <w:tc>
          <w:tcPr>
            <w:tcW w:w="3702" w:type="dxa"/>
            <w:noWrap/>
            <w:vAlign w:val="center"/>
          </w:tcPr>
          <w:p w14:paraId="50D0AEB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7C03C3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CDA09A2">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243B095">
            <w:pPr>
              <w:autoSpaceDN w:val="0"/>
              <w:rPr>
                <w:rFonts w:hint="eastAsia" w:ascii="宋体" w:hAnsi="宋体" w:eastAsia="宋体" w:cs="宋体"/>
                <w:color w:val="auto"/>
                <w:w w:val="90"/>
                <w:szCs w:val="21"/>
                <w:highlight w:val="none"/>
              </w:rPr>
            </w:pPr>
          </w:p>
        </w:tc>
        <w:tc>
          <w:tcPr>
            <w:tcW w:w="2268" w:type="dxa"/>
            <w:noWrap/>
            <w:vAlign w:val="center"/>
          </w:tcPr>
          <w:p w14:paraId="30DAAE4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A02010199其他计算机设备</w:t>
            </w:r>
          </w:p>
        </w:tc>
        <w:tc>
          <w:tcPr>
            <w:tcW w:w="1855" w:type="dxa"/>
            <w:noWrap/>
            <w:vAlign w:val="center"/>
          </w:tcPr>
          <w:p w14:paraId="524A7616">
            <w:pPr>
              <w:autoSpaceDN w:val="0"/>
              <w:rPr>
                <w:rFonts w:hint="eastAsia" w:ascii="宋体" w:hAnsi="宋体" w:eastAsia="宋体" w:cs="宋体"/>
                <w:color w:val="auto"/>
                <w:w w:val="90"/>
                <w:szCs w:val="21"/>
                <w:highlight w:val="none"/>
              </w:rPr>
            </w:pPr>
          </w:p>
        </w:tc>
        <w:tc>
          <w:tcPr>
            <w:tcW w:w="3702" w:type="dxa"/>
            <w:noWrap/>
            <w:vAlign w:val="center"/>
          </w:tcPr>
          <w:p w14:paraId="63FAEC0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7A4EC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3692E6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85" w:type="dxa"/>
            <w:vMerge w:val="restart"/>
            <w:noWrap/>
            <w:vAlign w:val="center"/>
          </w:tcPr>
          <w:p w14:paraId="7426A98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68" w:type="dxa"/>
            <w:vMerge w:val="restart"/>
            <w:noWrap/>
            <w:vAlign w:val="center"/>
          </w:tcPr>
          <w:p w14:paraId="383EA1F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55" w:type="dxa"/>
            <w:noWrap/>
            <w:vAlign w:val="center"/>
          </w:tcPr>
          <w:p w14:paraId="794A441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3702" w:type="dxa"/>
            <w:noWrap/>
            <w:vAlign w:val="center"/>
          </w:tcPr>
          <w:p w14:paraId="2441DBF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4E6130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EF4078D">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115F204">
            <w:pPr>
              <w:autoSpaceDN w:val="0"/>
              <w:rPr>
                <w:rFonts w:hint="eastAsia" w:ascii="宋体" w:hAnsi="宋体" w:eastAsia="宋体" w:cs="宋体"/>
                <w:color w:val="auto"/>
                <w:w w:val="90"/>
                <w:szCs w:val="21"/>
                <w:highlight w:val="none"/>
              </w:rPr>
            </w:pPr>
          </w:p>
        </w:tc>
        <w:tc>
          <w:tcPr>
            <w:tcW w:w="2268" w:type="dxa"/>
            <w:vMerge w:val="continue"/>
            <w:noWrap/>
            <w:vAlign w:val="center"/>
          </w:tcPr>
          <w:p w14:paraId="367A4C71">
            <w:pPr>
              <w:autoSpaceDN w:val="0"/>
              <w:rPr>
                <w:rFonts w:hint="eastAsia" w:ascii="宋体" w:hAnsi="宋体" w:eastAsia="宋体" w:cs="宋体"/>
                <w:color w:val="auto"/>
                <w:w w:val="90"/>
                <w:szCs w:val="21"/>
                <w:highlight w:val="none"/>
              </w:rPr>
            </w:pPr>
          </w:p>
        </w:tc>
        <w:tc>
          <w:tcPr>
            <w:tcW w:w="1855" w:type="dxa"/>
            <w:noWrap/>
            <w:vAlign w:val="center"/>
          </w:tcPr>
          <w:p w14:paraId="23FFD49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A0201060102激光打印机</w:t>
            </w:r>
          </w:p>
        </w:tc>
        <w:tc>
          <w:tcPr>
            <w:tcW w:w="3702" w:type="dxa"/>
            <w:noWrap/>
            <w:vAlign w:val="center"/>
          </w:tcPr>
          <w:p w14:paraId="7E0D2D8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4E08AE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29F99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10DED0E">
            <w:pPr>
              <w:autoSpaceDN w:val="0"/>
              <w:rPr>
                <w:rFonts w:hint="eastAsia" w:ascii="宋体" w:hAnsi="宋体" w:eastAsia="宋体" w:cs="宋体"/>
                <w:color w:val="auto"/>
                <w:w w:val="90"/>
                <w:szCs w:val="21"/>
                <w:highlight w:val="none"/>
              </w:rPr>
            </w:pPr>
          </w:p>
        </w:tc>
        <w:tc>
          <w:tcPr>
            <w:tcW w:w="2268" w:type="dxa"/>
            <w:vMerge w:val="continue"/>
            <w:noWrap/>
            <w:vAlign w:val="center"/>
          </w:tcPr>
          <w:p w14:paraId="0706ED7E">
            <w:pPr>
              <w:autoSpaceDN w:val="0"/>
              <w:rPr>
                <w:rFonts w:hint="eastAsia" w:ascii="宋体" w:hAnsi="宋体" w:eastAsia="宋体" w:cs="宋体"/>
                <w:color w:val="auto"/>
                <w:w w:val="90"/>
                <w:szCs w:val="21"/>
                <w:highlight w:val="none"/>
              </w:rPr>
            </w:pPr>
          </w:p>
        </w:tc>
        <w:tc>
          <w:tcPr>
            <w:tcW w:w="1855" w:type="dxa"/>
            <w:noWrap/>
            <w:vAlign w:val="center"/>
          </w:tcPr>
          <w:p w14:paraId="3F67213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A0201060103热式打印机</w:t>
            </w:r>
          </w:p>
        </w:tc>
        <w:tc>
          <w:tcPr>
            <w:tcW w:w="3702" w:type="dxa"/>
            <w:noWrap/>
            <w:vAlign w:val="center"/>
          </w:tcPr>
          <w:p w14:paraId="4523A5A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6ED151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6C31B85">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3EE57E15">
            <w:pPr>
              <w:autoSpaceDN w:val="0"/>
              <w:rPr>
                <w:rFonts w:hint="eastAsia" w:ascii="宋体" w:hAnsi="宋体" w:eastAsia="宋体" w:cs="宋体"/>
                <w:color w:val="auto"/>
                <w:w w:val="90"/>
                <w:szCs w:val="21"/>
                <w:highlight w:val="none"/>
              </w:rPr>
            </w:pPr>
          </w:p>
        </w:tc>
        <w:tc>
          <w:tcPr>
            <w:tcW w:w="2268" w:type="dxa"/>
            <w:vMerge w:val="continue"/>
            <w:noWrap/>
            <w:vAlign w:val="center"/>
          </w:tcPr>
          <w:p w14:paraId="35872978">
            <w:pPr>
              <w:autoSpaceDN w:val="0"/>
              <w:rPr>
                <w:rFonts w:hint="eastAsia" w:ascii="宋体" w:hAnsi="宋体" w:eastAsia="宋体" w:cs="宋体"/>
                <w:color w:val="auto"/>
                <w:w w:val="90"/>
                <w:szCs w:val="21"/>
                <w:highlight w:val="none"/>
              </w:rPr>
            </w:pPr>
          </w:p>
        </w:tc>
        <w:tc>
          <w:tcPr>
            <w:tcW w:w="1855" w:type="dxa"/>
            <w:noWrap/>
            <w:vAlign w:val="center"/>
          </w:tcPr>
          <w:p w14:paraId="75D81C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A0201060104针式打印机</w:t>
            </w:r>
          </w:p>
        </w:tc>
        <w:tc>
          <w:tcPr>
            <w:tcW w:w="3702" w:type="dxa"/>
            <w:noWrap/>
            <w:vAlign w:val="center"/>
          </w:tcPr>
          <w:p w14:paraId="2C2DBB4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7464AD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1B86A1">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51B15D2">
            <w:pPr>
              <w:autoSpaceDN w:val="0"/>
              <w:rPr>
                <w:rFonts w:hint="eastAsia" w:ascii="宋体" w:hAnsi="宋体" w:eastAsia="宋体" w:cs="宋体"/>
                <w:color w:val="auto"/>
                <w:w w:val="90"/>
                <w:szCs w:val="21"/>
                <w:highlight w:val="none"/>
              </w:rPr>
            </w:pPr>
          </w:p>
        </w:tc>
        <w:tc>
          <w:tcPr>
            <w:tcW w:w="2268" w:type="dxa"/>
            <w:vMerge w:val="restart"/>
            <w:noWrap/>
            <w:vAlign w:val="center"/>
          </w:tcPr>
          <w:p w14:paraId="3B99B11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55" w:type="dxa"/>
            <w:noWrap/>
            <w:vAlign w:val="center"/>
          </w:tcPr>
          <w:p w14:paraId="04D2BCC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A0201060401液晶显示器</w:t>
            </w:r>
          </w:p>
        </w:tc>
        <w:tc>
          <w:tcPr>
            <w:tcW w:w="3702" w:type="dxa"/>
            <w:noWrap/>
            <w:vAlign w:val="center"/>
          </w:tcPr>
          <w:p w14:paraId="3CAACFB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7F571A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F44867">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167BFAC">
            <w:pPr>
              <w:autoSpaceDN w:val="0"/>
              <w:rPr>
                <w:rFonts w:hint="eastAsia" w:ascii="宋体" w:hAnsi="宋体" w:eastAsia="宋体" w:cs="宋体"/>
                <w:color w:val="auto"/>
                <w:w w:val="90"/>
                <w:szCs w:val="21"/>
                <w:highlight w:val="none"/>
              </w:rPr>
            </w:pPr>
          </w:p>
        </w:tc>
        <w:tc>
          <w:tcPr>
            <w:tcW w:w="2268" w:type="dxa"/>
            <w:vMerge w:val="continue"/>
            <w:noWrap/>
            <w:vAlign w:val="center"/>
          </w:tcPr>
          <w:p w14:paraId="0DA1748A">
            <w:pPr>
              <w:autoSpaceDN w:val="0"/>
              <w:rPr>
                <w:rFonts w:hint="eastAsia" w:ascii="宋体" w:hAnsi="宋体" w:eastAsia="宋体" w:cs="宋体"/>
                <w:color w:val="auto"/>
                <w:w w:val="90"/>
                <w:szCs w:val="21"/>
                <w:highlight w:val="none"/>
              </w:rPr>
            </w:pPr>
          </w:p>
        </w:tc>
        <w:tc>
          <w:tcPr>
            <w:tcW w:w="1855" w:type="dxa"/>
            <w:noWrap/>
            <w:vAlign w:val="center"/>
          </w:tcPr>
          <w:p w14:paraId="517EFE0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A0201060499其他显示器</w:t>
            </w:r>
          </w:p>
        </w:tc>
        <w:tc>
          <w:tcPr>
            <w:tcW w:w="3702" w:type="dxa"/>
            <w:noWrap/>
            <w:vAlign w:val="center"/>
          </w:tcPr>
          <w:p w14:paraId="60A255D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4542B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EF67983">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9F33210">
            <w:pPr>
              <w:autoSpaceDN w:val="0"/>
              <w:rPr>
                <w:rFonts w:hint="eastAsia" w:ascii="宋体" w:hAnsi="宋体" w:eastAsia="宋体" w:cs="宋体"/>
                <w:color w:val="auto"/>
                <w:w w:val="90"/>
                <w:szCs w:val="21"/>
                <w:highlight w:val="none"/>
              </w:rPr>
            </w:pPr>
          </w:p>
        </w:tc>
        <w:tc>
          <w:tcPr>
            <w:tcW w:w="2268" w:type="dxa"/>
            <w:noWrap/>
            <w:vAlign w:val="center"/>
          </w:tcPr>
          <w:p w14:paraId="297053F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55" w:type="dxa"/>
            <w:noWrap/>
            <w:vAlign w:val="center"/>
          </w:tcPr>
          <w:p w14:paraId="50C9F4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702" w:type="dxa"/>
            <w:noWrap/>
            <w:vAlign w:val="center"/>
          </w:tcPr>
          <w:p w14:paraId="0CEE372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HJ2517扫描仪</w:t>
            </w:r>
          </w:p>
        </w:tc>
      </w:tr>
      <w:tr w14:paraId="2E2B02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6C8254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85" w:type="dxa"/>
            <w:noWrap/>
            <w:vAlign w:val="center"/>
          </w:tcPr>
          <w:p w14:paraId="0634667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68" w:type="dxa"/>
            <w:noWrap/>
            <w:vAlign w:val="center"/>
          </w:tcPr>
          <w:p w14:paraId="76A809B9">
            <w:pPr>
              <w:autoSpaceDN w:val="0"/>
              <w:rPr>
                <w:rFonts w:hint="eastAsia" w:ascii="宋体" w:hAnsi="宋体" w:eastAsia="宋体" w:cs="宋体"/>
                <w:color w:val="auto"/>
                <w:w w:val="90"/>
                <w:szCs w:val="21"/>
                <w:highlight w:val="none"/>
              </w:rPr>
            </w:pPr>
          </w:p>
        </w:tc>
        <w:tc>
          <w:tcPr>
            <w:tcW w:w="1855" w:type="dxa"/>
            <w:noWrap/>
            <w:vAlign w:val="center"/>
          </w:tcPr>
          <w:p w14:paraId="3CFAF2CC">
            <w:pPr>
              <w:autoSpaceDN w:val="0"/>
              <w:rPr>
                <w:rFonts w:hint="eastAsia" w:ascii="宋体" w:hAnsi="宋体" w:eastAsia="宋体" w:cs="宋体"/>
                <w:color w:val="auto"/>
                <w:w w:val="90"/>
                <w:szCs w:val="21"/>
                <w:highlight w:val="none"/>
              </w:rPr>
            </w:pPr>
          </w:p>
        </w:tc>
        <w:tc>
          <w:tcPr>
            <w:tcW w:w="3702" w:type="dxa"/>
            <w:noWrap/>
            <w:vAlign w:val="center"/>
          </w:tcPr>
          <w:p w14:paraId="09D91F9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HJ2516投影仪</w:t>
            </w:r>
          </w:p>
        </w:tc>
      </w:tr>
      <w:tr w14:paraId="066A9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2946441">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85" w:type="dxa"/>
            <w:noWrap/>
            <w:vAlign w:val="center"/>
          </w:tcPr>
          <w:p w14:paraId="17CBA20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A020201复印机</w:t>
            </w:r>
          </w:p>
        </w:tc>
        <w:tc>
          <w:tcPr>
            <w:tcW w:w="2268" w:type="dxa"/>
            <w:noWrap/>
            <w:vAlign w:val="center"/>
          </w:tcPr>
          <w:p w14:paraId="4631E705">
            <w:pPr>
              <w:autoSpaceDN w:val="0"/>
              <w:rPr>
                <w:rFonts w:hint="eastAsia" w:ascii="宋体" w:hAnsi="宋体" w:eastAsia="宋体" w:cs="宋体"/>
                <w:color w:val="auto"/>
                <w:w w:val="90"/>
                <w:szCs w:val="21"/>
                <w:highlight w:val="none"/>
              </w:rPr>
            </w:pPr>
          </w:p>
        </w:tc>
        <w:tc>
          <w:tcPr>
            <w:tcW w:w="1855" w:type="dxa"/>
            <w:noWrap/>
            <w:vAlign w:val="center"/>
          </w:tcPr>
          <w:p w14:paraId="35284438">
            <w:pPr>
              <w:autoSpaceDN w:val="0"/>
              <w:rPr>
                <w:rFonts w:hint="eastAsia" w:ascii="宋体" w:hAnsi="宋体" w:eastAsia="宋体" w:cs="宋体"/>
                <w:color w:val="auto"/>
                <w:w w:val="90"/>
                <w:szCs w:val="21"/>
                <w:highlight w:val="none"/>
              </w:rPr>
            </w:pPr>
          </w:p>
        </w:tc>
        <w:tc>
          <w:tcPr>
            <w:tcW w:w="3702" w:type="dxa"/>
            <w:noWrap/>
            <w:vAlign w:val="center"/>
          </w:tcPr>
          <w:p w14:paraId="7F98C2A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14:paraId="0049AA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45C161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85" w:type="dxa"/>
            <w:noWrap/>
            <w:vAlign w:val="center"/>
          </w:tcPr>
          <w:p w14:paraId="01534DA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2268" w:type="dxa"/>
            <w:noWrap/>
            <w:vAlign w:val="center"/>
          </w:tcPr>
          <w:p w14:paraId="1D84ACC2">
            <w:pPr>
              <w:autoSpaceDN w:val="0"/>
              <w:rPr>
                <w:rFonts w:hint="eastAsia" w:ascii="宋体" w:hAnsi="宋体" w:eastAsia="宋体" w:cs="宋体"/>
                <w:color w:val="auto"/>
                <w:w w:val="90"/>
                <w:szCs w:val="21"/>
                <w:highlight w:val="none"/>
              </w:rPr>
            </w:pPr>
          </w:p>
        </w:tc>
        <w:tc>
          <w:tcPr>
            <w:tcW w:w="1855" w:type="dxa"/>
            <w:noWrap/>
            <w:vAlign w:val="center"/>
          </w:tcPr>
          <w:p w14:paraId="31792079">
            <w:pPr>
              <w:autoSpaceDN w:val="0"/>
              <w:rPr>
                <w:rFonts w:hint="eastAsia" w:ascii="宋体" w:hAnsi="宋体" w:eastAsia="宋体" w:cs="宋体"/>
                <w:color w:val="auto"/>
                <w:w w:val="90"/>
                <w:szCs w:val="21"/>
                <w:highlight w:val="none"/>
              </w:rPr>
            </w:pPr>
          </w:p>
        </w:tc>
        <w:tc>
          <w:tcPr>
            <w:tcW w:w="3702" w:type="dxa"/>
            <w:noWrap/>
            <w:vAlign w:val="center"/>
          </w:tcPr>
          <w:p w14:paraId="2687314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14:paraId="40CF77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FE4831A">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85" w:type="dxa"/>
            <w:noWrap/>
            <w:vAlign w:val="center"/>
          </w:tcPr>
          <w:p w14:paraId="6860382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A020210文印设备</w:t>
            </w:r>
          </w:p>
        </w:tc>
        <w:tc>
          <w:tcPr>
            <w:tcW w:w="2268" w:type="dxa"/>
            <w:noWrap/>
            <w:vAlign w:val="center"/>
          </w:tcPr>
          <w:p w14:paraId="05B8061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A02021001速印机</w:t>
            </w:r>
          </w:p>
        </w:tc>
        <w:tc>
          <w:tcPr>
            <w:tcW w:w="1855" w:type="dxa"/>
            <w:noWrap/>
            <w:vAlign w:val="center"/>
          </w:tcPr>
          <w:p w14:paraId="40A59901">
            <w:pPr>
              <w:autoSpaceDN w:val="0"/>
              <w:rPr>
                <w:rFonts w:hint="eastAsia" w:ascii="宋体" w:hAnsi="宋体" w:eastAsia="宋体" w:cs="宋体"/>
                <w:color w:val="auto"/>
                <w:w w:val="90"/>
                <w:szCs w:val="21"/>
                <w:highlight w:val="none"/>
              </w:rPr>
            </w:pPr>
          </w:p>
        </w:tc>
        <w:tc>
          <w:tcPr>
            <w:tcW w:w="3702" w:type="dxa"/>
            <w:noWrap/>
            <w:vAlign w:val="center"/>
          </w:tcPr>
          <w:p w14:paraId="1C0D239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HJ472数字式一体化速印机</w:t>
            </w:r>
          </w:p>
        </w:tc>
      </w:tr>
      <w:tr w14:paraId="065DB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295E08">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85" w:type="dxa"/>
            <w:noWrap/>
            <w:vAlign w:val="center"/>
          </w:tcPr>
          <w:p w14:paraId="3285A4E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A020301载货汽车（含自卸汽车）</w:t>
            </w:r>
          </w:p>
        </w:tc>
        <w:tc>
          <w:tcPr>
            <w:tcW w:w="2268" w:type="dxa"/>
            <w:noWrap/>
            <w:vAlign w:val="center"/>
          </w:tcPr>
          <w:p w14:paraId="0392D57A">
            <w:pPr>
              <w:autoSpaceDN w:val="0"/>
              <w:rPr>
                <w:rFonts w:hint="eastAsia" w:ascii="宋体" w:hAnsi="宋体" w:eastAsia="宋体" w:cs="宋体"/>
                <w:color w:val="auto"/>
                <w:w w:val="90"/>
                <w:szCs w:val="21"/>
                <w:highlight w:val="none"/>
              </w:rPr>
            </w:pPr>
          </w:p>
        </w:tc>
        <w:tc>
          <w:tcPr>
            <w:tcW w:w="1855" w:type="dxa"/>
            <w:noWrap/>
            <w:vAlign w:val="center"/>
          </w:tcPr>
          <w:p w14:paraId="7374B3F9">
            <w:pPr>
              <w:autoSpaceDN w:val="0"/>
              <w:rPr>
                <w:rFonts w:hint="eastAsia" w:ascii="宋体" w:hAnsi="宋体" w:eastAsia="宋体" w:cs="宋体"/>
                <w:color w:val="auto"/>
                <w:w w:val="90"/>
                <w:szCs w:val="21"/>
                <w:highlight w:val="none"/>
              </w:rPr>
            </w:pPr>
          </w:p>
        </w:tc>
        <w:tc>
          <w:tcPr>
            <w:tcW w:w="3702" w:type="dxa"/>
            <w:noWrap/>
            <w:vAlign w:val="center"/>
          </w:tcPr>
          <w:p w14:paraId="544FE59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06C64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166724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85" w:type="dxa"/>
            <w:vMerge w:val="restart"/>
            <w:noWrap/>
            <w:vAlign w:val="center"/>
          </w:tcPr>
          <w:p w14:paraId="072C0CD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A020305乘用车（轿车）</w:t>
            </w:r>
          </w:p>
        </w:tc>
        <w:tc>
          <w:tcPr>
            <w:tcW w:w="2268" w:type="dxa"/>
            <w:noWrap/>
            <w:vAlign w:val="center"/>
          </w:tcPr>
          <w:p w14:paraId="55D408C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A02030501轿车</w:t>
            </w:r>
          </w:p>
        </w:tc>
        <w:tc>
          <w:tcPr>
            <w:tcW w:w="1855" w:type="dxa"/>
            <w:noWrap/>
            <w:vAlign w:val="center"/>
          </w:tcPr>
          <w:p w14:paraId="4AC59C2F">
            <w:pPr>
              <w:autoSpaceDN w:val="0"/>
              <w:rPr>
                <w:rFonts w:hint="eastAsia" w:ascii="宋体" w:hAnsi="宋体" w:eastAsia="宋体" w:cs="宋体"/>
                <w:color w:val="auto"/>
                <w:w w:val="90"/>
                <w:szCs w:val="21"/>
                <w:highlight w:val="none"/>
              </w:rPr>
            </w:pPr>
          </w:p>
        </w:tc>
        <w:tc>
          <w:tcPr>
            <w:tcW w:w="3702" w:type="dxa"/>
            <w:noWrap/>
            <w:vAlign w:val="center"/>
          </w:tcPr>
          <w:p w14:paraId="7BA7E9A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1D699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060DBE3">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50405A34">
            <w:pPr>
              <w:autoSpaceDN w:val="0"/>
              <w:rPr>
                <w:rFonts w:hint="eastAsia" w:ascii="宋体" w:hAnsi="宋体" w:eastAsia="宋体" w:cs="宋体"/>
                <w:color w:val="auto"/>
                <w:w w:val="90"/>
                <w:szCs w:val="21"/>
                <w:highlight w:val="none"/>
              </w:rPr>
            </w:pPr>
          </w:p>
        </w:tc>
        <w:tc>
          <w:tcPr>
            <w:tcW w:w="2268" w:type="dxa"/>
            <w:noWrap/>
            <w:vAlign w:val="center"/>
          </w:tcPr>
          <w:p w14:paraId="0A77097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A02030599其他乘用车（轿车）</w:t>
            </w:r>
          </w:p>
        </w:tc>
        <w:tc>
          <w:tcPr>
            <w:tcW w:w="1855" w:type="dxa"/>
            <w:noWrap/>
            <w:vAlign w:val="center"/>
          </w:tcPr>
          <w:p w14:paraId="4F814BB3">
            <w:pPr>
              <w:autoSpaceDN w:val="0"/>
              <w:rPr>
                <w:rFonts w:hint="eastAsia" w:ascii="宋体" w:hAnsi="宋体" w:eastAsia="宋体" w:cs="宋体"/>
                <w:color w:val="auto"/>
                <w:w w:val="90"/>
                <w:szCs w:val="21"/>
                <w:highlight w:val="none"/>
              </w:rPr>
            </w:pPr>
          </w:p>
        </w:tc>
        <w:tc>
          <w:tcPr>
            <w:tcW w:w="3702" w:type="dxa"/>
            <w:noWrap/>
            <w:vAlign w:val="center"/>
          </w:tcPr>
          <w:p w14:paraId="079585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326BE8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C8EB76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85" w:type="dxa"/>
            <w:noWrap/>
            <w:vAlign w:val="center"/>
          </w:tcPr>
          <w:p w14:paraId="5EEB7B6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A020306客车</w:t>
            </w:r>
          </w:p>
        </w:tc>
        <w:tc>
          <w:tcPr>
            <w:tcW w:w="2268" w:type="dxa"/>
            <w:noWrap/>
            <w:vAlign w:val="center"/>
          </w:tcPr>
          <w:p w14:paraId="28FD58B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A02030601小型客车</w:t>
            </w:r>
          </w:p>
        </w:tc>
        <w:tc>
          <w:tcPr>
            <w:tcW w:w="1855" w:type="dxa"/>
            <w:noWrap/>
            <w:vAlign w:val="center"/>
          </w:tcPr>
          <w:p w14:paraId="2A2A6521">
            <w:pPr>
              <w:autoSpaceDN w:val="0"/>
              <w:rPr>
                <w:rFonts w:hint="eastAsia" w:ascii="宋体" w:hAnsi="宋体" w:eastAsia="宋体" w:cs="宋体"/>
                <w:color w:val="auto"/>
                <w:w w:val="90"/>
                <w:szCs w:val="21"/>
                <w:highlight w:val="none"/>
              </w:rPr>
            </w:pPr>
          </w:p>
        </w:tc>
        <w:tc>
          <w:tcPr>
            <w:tcW w:w="3702" w:type="dxa"/>
            <w:noWrap/>
            <w:vAlign w:val="center"/>
          </w:tcPr>
          <w:p w14:paraId="0BC4D3A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7F60D9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1B3BC8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85" w:type="dxa"/>
            <w:noWrap/>
            <w:vAlign w:val="center"/>
          </w:tcPr>
          <w:p w14:paraId="309EC39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A020307专用车辆</w:t>
            </w:r>
          </w:p>
        </w:tc>
        <w:tc>
          <w:tcPr>
            <w:tcW w:w="2268" w:type="dxa"/>
            <w:noWrap/>
            <w:vAlign w:val="center"/>
          </w:tcPr>
          <w:p w14:paraId="052FFA4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A02030799其他专用汽车</w:t>
            </w:r>
          </w:p>
        </w:tc>
        <w:tc>
          <w:tcPr>
            <w:tcW w:w="1855" w:type="dxa"/>
            <w:noWrap/>
            <w:vAlign w:val="center"/>
          </w:tcPr>
          <w:p w14:paraId="543E075D">
            <w:pPr>
              <w:autoSpaceDN w:val="0"/>
              <w:rPr>
                <w:rFonts w:hint="eastAsia" w:ascii="宋体" w:hAnsi="宋体" w:eastAsia="宋体" w:cs="宋体"/>
                <w:color w:val="auto"/>
                <w:w w:val="90"/>
                <w:szCs w:val="21"/>
                <w:highlight w:val="none"/>
              </w:rPr>
            </w:pPr>
          </w:p>
        </w:tc>
        <w:tc>
          <w:tcPr>
            <w:tcW w:w="3702" w:type="dxa"/>
            <w:noWrap/>
            <w:vAlign w:val="center"/>
          </w:tcPr>
          <w:p w14:paraId="766257E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3C390C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5B183B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85" w:type="dxa"/>
            <w:vMerge w:val="restart"/>
            <w:noWrap/>
            <w:vAlign w:val="center"/>
          </w:tcPr>
          <w:p w14:paraId="2120249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68" w:type="dxa"/>
            <w:noWrap/>
            <w:vAlign w:val="center"/>
          </w:tcPr>
          <w:p w14:paraId="623BF6E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A02052301制冷压缩机</w:t>
            </w:r>
          </w:p>
        </w:tc>
        <w:tc>
          <w:tcPr>
            <w:tcW w:w="1855" w:type="dxa"/>
            <w:noWrap/>
            <w:vAlign w:val="center"/>
          </w:tcPr>
          <w:p w14:paraId="3A2D3DEB">
            <w:pPr>
              <w:autoSpaceDN w:val="0"/>
              <w:rPr>
                <w:rFonts w:hint="eastAsia" w:ascii="宋体" w:hAnsi="宋体" w:eastAsia="宋体" w:cs="宋体"/>
                <w:color w:val="auto"/>
                <w:w w:val="90"/>
                <w:szCs w:val="21"/>
                <w:highlight w:val="none"/>
              </w:rPr>
            </w:pPr>
          </w:p>
        </w:tc>
        <w:tc>
          <w:tcPr>
            <w:tcW w:w="3702" w:type="dxa"/>
            <w:noWrap/>
            <w:vAlign w:val="center"/>
          </w:tcPr>
          <w:p w14:paraId="1D19F1D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58F871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0AEA1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FBCEA70">
            <w:pPr>
              <w:autoSpaceDN w:val="0"/>
              <w:rPr>
                <w:rFonts w:hint="eastAsia" w:ascii="宋体" w:hAnsi="宋体" w:eastAsia="宋体" w:cs="宋体"/>
                <w:color w:val="auto"/>
                <w:w w:val="90"/>
                <w:szCs w:val="21"/>
                <w:highlight w:val="none"/>
              </w:rPr>
            </w:pPr>
          </w:p>
        </w:tc>
        <w:tc>
          <w:tcPr>
            <w:tcW w:w="2268" w:type="dxa"/>
            <w:noWrap/>
            <w:vAlign w:val="center"/>
          </w:tcPr>
          <w:p w14:paraId="3011075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A02052305空调机组</w:t>
            </w:r>
          </w:p>
        </w:tc>
        <w:tc>
          <w:tcPr>
            <w:tcW w:w="1855" w:type="dxa"/>
            <w:noWrap/>
            <w:vAlign w:val="center"/>
          </w:tcPr>
          <w:p w14:paraId="38149909">
            <w:pPr>
              <w:autoSpaceDN w:val="0"/>
              <w:rPr>
                <w:rFonts w:hint="eastAsia" w:ascii="宋体" w:hAnsi="宋体" w:eastAsia="宋体" w:cs="宋体"/>
                <w:color w:val="auto"/>
                <w:w w:val="90"/>
                <w:szCs w:val="21"/>
                <w:highlight w:val="none"/>
              </w:rPr>
            </w:pPr>
          </w:p>
        </w:tc>
        <w:tc>
          <w:tcPr>
            <w:tcW w:w="3702" w:type="dxa"/>
            <w:noWrap/>
            <w:vAlign w:val="center"/>
          </w:tcPr>
          <w:p w14:paraId="057ABFA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005927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A531B7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FA4F306">
            <w:pPr>
              <w:autoSpaceDN w:val="0"/>
              <w:rPr>
                <w:rFonts w:hint="eastAsia" w:ascii="宋体" w:hAnsi="宋体" w:eastAsia="宋体" w:cs="宋体"/>
                <w:color w:val="auto"/>
                <w:w w:val="90"/>
                <w:szCs w:val="21"/>
                <w:highlight w:val="none"/>
              </w:rPr>
            </w:pPr>
          </w:p>
        </w:tc>
        <w:tc>
          <w:tcPr>
            <w:tcW w:w="2268" w:type="dxa"/>
            <w:noWrap/>
            <w:vAlign w:val="center"/>
          </w:tcPr>
          <w:p w14:paraId="253C91D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A02052309专用制冷、空调设备</w:t>
            </w:r>
          </w:p>
        </w:tc>
        <w:tc>
          <w:tcPr>
            <w:tcW w:w="1855" w:type="dxa"/>
            <w:noWrap/>
            <w:vAlign w:val="center"/>
          </w:tcPr>
          <w:p w14:paraId="6E8D6059">
            <w:pPr>
              <w:autoSpaceDN w:val="0"/>
              <w:rPr>
                <w:rFonts w:hint="eastAsia" w:ascii="宋体" w:hAnsi="宋体" w:eastAsia="宋体" w:cs="宋体"/>
                <w:color w:val="auto"/>
                <w:w w:val="90"/>
                <w:szCs w:val="21"/>
                <w:highlight w:val="none"/>
              </w:rPr>
            </w:pPr>
          </w:p>
        </w:tc>
        <w:tc>
          <w:tcPr>
            <w:tcW w:w="3702" w:type="dxa"/>
            <w:noWrap/>
            <w:vAlign w:val="center"/>
          </w:tcPr>
          <w:p w14:paraId="1809D0B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75F583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B6423FA">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85" w:type="dxa"/>
            <w:vMerge w:val="restart"/>
            <w:noWrap/>
            <w:vAlign w:val="center"/>
          </w:tcPr>
          <w:p w14:paraId="7FEAEA0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A020618生活用电器</w:t>
            </w:r>
          </w:p>
        </w:tc>
        <w:tc>
          <w:tcPr>
            <w:tcW w:w="2268" w:type="dxa"/>
            <w:noWrap/>
            <w:vAlign w:val="center"/>
          </w:tcPr>
          <w:p w14:paraId="02750FF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A02061802空气调节电器</w:t>
            </w:r>
          </w:p>
        </w:tc>
        <w:tc>
          <w:tcPr>
            <w:tcW w:w="1855" w:type="dxa"/>
            <w:noWrap/>
            <w:vAlign w:val="center"/>
          </w:tcPr>
          <w:p w14:paraId="4C671DD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A0206180203空调机</w:t>
            </w:r>
          </w:p>
        </w:tc>
        <w:tc>
          <w:tcPr>
            <w:tcW w:w="3702" w:type="dxa"/>
            <w:noWrap/>
            <w:vAlign w:val="center"/>
          </w:tcPr>
          <w:p w14:paraId="6483CCC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HJ2535房间空气调节器</w:t>
            </w:r>
          </w:p>
        </w:tc>
      </w:tr>
      <w:tr w14:paraId="1ED6CC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4270D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2DDAA3B">
            <w:pPr>
              <w:autoSpaceDN w:val="0"/>
              <w:rPr>
                <w:rFonts w:hint="eastAsia" w:ascii="宋体" w:hAnsi="宋体" w:eastAsia="宋体" w:cs="宋体"/>
                <w:color w:val="auto"/>
                <w:w w:val="90"/>
                <w:szCs w:val="21"/>
                <w:highlight w:val="none"/>
              </w:rPr>
            </w:pPr>
          </w:p>
        </w:tc>
        <w:tc>
          <w:tcPr>
            <w:tcW w:w="2268" w:type="dxa"/>
            <w:noWrap/>
            <w:vAlign w:val="center"/>
          </w:tcPr>
          <w:p w14:paraId="672EA66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55" w:type="dxa"/>
            <w:noWrap/>
            <w:vAlign w:val="center"/>
          </w:tcPr>
          <w:p w14:paraId="75C64E58">
            <w:pPr>
              <w:autoSpaceDN w:val="0"/>
              <w:rPr>
                <w:rFonts w:hint="eastAsia" w:ascii="宋体" w:hAnsi="宋体" w:eastAsia="宋体" w:cs="宋体"/>
                <w:color w:val="auto"/>
                <w:w w:val="90"/>
                <w:szCs w:val="21"/>
                <w:highlight w:val="none"/>
              </w:rPr>
            </w:pPr>
          </w:p>
        </w:tc>
        <w:tc>
          <w:tcPr>
            <w:tcW w:w="3702" w:type="dxa"/>
            <w:noWrap/>
            <w:vAlign w:val="center"/>
          </w:tcPr>
          <w:p w14:paraId="68CC0A6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HJ/T362太阳能集热器</w:t>
            </w:r>
          </w:p>
        </w:tc>
      </w:tr>
      <w:tr w14:paraId="2FD250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CF2AE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85" w:type="dxa"/>
            <w:noWrap/>
            <w:vAlign w:val="center"/>
          </w:tcPr>
          <w:p w14:paraId="3955F64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A020619照明设备</w:t>
            </w:r>
          </w:p>
        </w:tc>
        <w:tc>
          <w:tcPr>
            <w:tcW w:w="2268" w:type="dxa"/>
            <w:noWrap/>
            <w:vAlign w:val="center"/>
          </w:tcPr>
          <w:p w14:paraId="2245B57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A02061908室内照明灯具</w:t>
            </w:r>
          </w:p>
        </w:tc>
        <w:tc>
          <w:tcPr>
            <w:tcW w:w="1855" w:type="dxa"/>
            <w:noWrap/>
            <w:vAlign w:val="center"/>
          </w:tcPr>
          <w:p w14:paraId="38B2E825">
            <w:pPr>
              <w:autoSpaceDN w:val="0"/>
              <w:rPr>
                <w:rFonts w:hint="eastAsia" w:ascii="宋体" w:hAnsi="宋体" w:eastAsia="宋体" w:cs="宋体"/>
                <w:color w:val="auto"/>
                <w:w w:val="90"/>
                <w:szCs w:val="21"/>
                <w:highlight w:val="none"/>
              </w:rPr>
            </w:pPr>
          </w:p>
        </w:tc>
        <w:tc>
          <w:tcPr>
            <w:tcW w:w="3702" w:type="dxa"/>
            <w:noWrap/>
            <w:vAlign w:val="center"/>
          </w:tcPr>
          <w:p w14:paraId="614B293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HJ2518照明光源</w:t>
            </w:r>
          </w:p>
        </w:tc>
      </w:tr>
      <w:tr w14:paraId="01F0DF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C54C7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85" w:type="dxa"/>
            <w:noWrap/>
            <w:vAlign w:val="center"/>
          </w:tcPr>
          <w:p w14:paraId="52AAD0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A020810传真及数据数字通信设备</w:t>
            </w:r>
          </w:p>
        </w:tc>
        <w:tc>
          <w:tcPr>
            <w:tcW w:w="2268" w:type="dxa"/>
            <w:noWrap/>
            <w:vAlign w:val="center"/>
          </w:tcPr>
          <w:p w14:paraId="0EB7BD5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A02081001传真通信设备</w:t>
            </w:r>
          </w:p>
        </w:tc>
        <w:tc>
          <w:tcPr>
            <w:tcW w:w="1855" w:type="dxa"/>
            <w:noWrap/>
            <w:vAlign w:val="center"/>
          </w:tcPr>
          <w:p w14:paraId="6664FE7A">
            <w:pPr>
              <w:autoSpaceDN w:val="0"/>
              <w:rPr>
                <w:rFonts w:hint="eastAsia" w:ascii="宋体" w:hAnsi="宋体" w:eastAsia="宋体" w:cs="宋体"/>
                <w:color w:val="auto"/>
                <w:w w:val="90"/>
                <w:szCs w:val="21"/>
                <w:highlight w:val="none"/>
              </w:rPr>
            </w:pPr>
          </w:p>
        </w:tc>
        <w:tc>
          <w:tcPr>
            <w:tcW w:w="3702" w:type="dxa"/>
            <w:noWrap/>
            <w:vAlign w:val="center"/>
          </w:tcPr>
          <w:p w14:paraId="5F5752C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79255B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5A76DC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85" w:type="dxa"/>
            <w:vMerge w:val="restart"/>
            <w:noWrap/>
            <w:vAlign w:val="center"/>
          </w:tcPr>
          <w:p w14:paraId="735EB0E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 电视设备</w:t>
            </w:r>
          </w:p>
        </w:tc>
        <w:tc>
          <w:tcPr>
            <w:tcW w:w="2268" w:type="dxa"/>
            <w:noWrap/>
            <w:vAlign w:val="center"/>
          </w:tcPr>
          <w:p w14:paraId="04E09AC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A02091001普通电视设备（电视机）</w:t>
            </w:r>
          </w:p>
        </w:tc>
        <w:tc>
          <w:tcPr>
            <w:tcW w:w="1855" w:type="dxa"/>
            <w:noWrap/>
            <w:vAlign w:val="center"/>
          </w:tcPr>
          <w:p w14:paraId="270598E1">
            <w:pPr>
              <w:autoSpaceDN w:val="0"/>
              <w:rPr>
                <w:rFonts w:hint="eastAsia" w:ascii="宋体" w:hAnsi="宋体" w:eastAsia="宋体" w:cs="宋体"/>
                <w:color w:val="auto"/>
                <w:w w:val="90"/>
                <w:szCs w:val="21"/>
                <w:highlight w:val="none"/>
              </w:rPr>
            </w:pPr>
          </w:p>
        </w:tc>
        <w:tc>
          <w:tcPr>
            <w:tcW w:w="3702" w:type="dxa"/>
            <w:noWrap/>
            <w:vAlign w:val="center"/>
          </w:tcPr>
          <w:p w14:paraId="1AB0858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14:paraId="0BB253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8C7D63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14AD6BAC">
            <w:pPr>
              <w:autoSpaceDN w:val="0"/>
              <w:rPr>
                <w:rFonts w:hint="eastAsia" w:ascii="宋体" w:hAnsi="宋体" w:eastAsia="宋体" w:cs="宋体"/>
                <w:color w:val="auto"/>
                <w:w w:val="90"/>
                <w:szCs w:val="21"/>
                <w:highlight w:val="none"/>
              </w:rPr>
            </w:pPr>
          </w:p>
        </w:tc>
        <w:tc>
          <w:tcPr>
            <w:tcW w:w="2268" w:type="dxa"/>
            <w:noWrap/>
            <w:vAlign w:val="center"/>
          </w:tcPr>
          <w:p w14:paraId="2CF8053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A02091003特殊功能应用电视设备</w:t>
            </w:r>
          </w:p>
        </w:tc>
        <w:tc>
          <w:tcPr>
            <w:tcW w:w="1855" w:type="dxa"/>
            <w:noWrap/>
            <w:vAlign w:val="center"/>
          </w:tcPr>
          <w:p w14:paraId="2B9202F8">
            <w:pPr>
              <w:autoSpaceDN w:val="0"/>
              <w:rPr>
                <w:rFonts w:hint="eastAsia" w:ascii="宋体" w:hAnsi="宋体" w:eastAsia="宋体" w:cs="宋体"/>
                <w:color w:val="auto"/>
                <w:w w:val="90"/>
                <w:szCs w:val="21"/>
                <w:highlight w:val="none"/>
              </w:rPr>
            </w:pPr>
          </w:p>
        </w:tc>
        <w:tc>
          <w:tcPr>
            <w:tcW w:w="3702" w:type="dxa"/>
            <w:noWrap/>
            <w:vAlign w:val="center"/>
          </w:tcPr>
          <w:p w14:paraId="647B2C5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14:paraId="2581B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FBDCCF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85" w:type="dxa"/>
            <w:vMerge w:val="restart"/>
            <w:noWrap/>
            <w:vAlign w:val="center"/>
          </w:tcPr>
          <w:p w14:paraId="6844825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A0601床类</w:t>
            </w:r>
          </w:p>
        </w:tc>
        <w:tc>
          <w:tcPr>
            <w:tcW w:w="2268" w:type="dxa"/>
            <w:noWrap/>
            <w:vAlign w:val="center"/>
          </w:tcPr>
          <w:p w14:paraId="48DD7A5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A060101钢木床类</w:t>
            </w:r>
          </w:p>
        </w:tc>
        <w:tc>
          <w:tcPr>
            <w:tcW w:w="1855" w:type="dxa"/>
            <w:noWrap/>
            <w:vAlign w:val="center"/>
          </w:tcPr>
          <w:p w14:paraId="2062BC2C">
            <w:pPr>
              <w:autoSpaceDN w:val="0"/>
              <w:rPr>
                <w:rFonts w:hint="eastAsia" w:ascii="宋体" w:hAnsi="宋体" w:eastAsia="宋体" w:cs="宋体"/>
                <w:color w:val="auto"/>
                <w:w w:val="90"/>
                <w:szCs w:val="21"/>
                <w:highlight w:val="none"/>
              </w:rPr>
            </w:pPr>
          </w:p>
        </w:tc>
        <w:tc>
          <w:tcPr>
            <w:tcW w:w="3702" w:type="dxa"/>
            <w:noWrap/>
            <w:vAlign w:val="center"/>
          </w:tcPr>
          <w:p w14:paraId="78DB091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3B7A91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1AC76C4">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DBD99B9">
            <w:pPr>
              <w:autoSpaceDN w:val="0"/>
              <w:rPr>
                <w:rFonts w:hint="eastAsia" w:ascii="宋体" w:hAnsi="宋体" w:eastAsia="宋体" w:cs="宋体"/>
                <w:color w:val="auto"/>
                <w:w w:val="90"/>
                <w:szCs w:val="21"/>
                <w:highlight w:val="none"/>
              </w:rPr>
            </w:pPr>
          </w:p>
        </w:tc>
        <w:tc>
          <w:tcPr>
            <w:tcW w:w="2268" w:type="dxa"/>
            <w:noWrap/>
            <w:vAlign w:val="center"/>
          </w:tcPr>
          <w:p w14:paraId="73A7A3A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A060104木制床类</w:t>
            </w:r>
          </w:p>
        </w:tc>
        <w:tc>
          <w:tcPr>
            <w:tcW w:w="1855" w:type="dxa"/>
            <w:noWrap/>
            <w:vAlign w:val="center"/>
          </w:tcPr>
          <w:p w14:paraId="7B2D6544">
            <w:pPr>
              <w:autoSpaceDN w:val="0"/>
              <w:rPr>
                <w:rFonts w:hint="eastAsia" w:ascii="宋体" w:hAnsi="宋体" w:eastAsia="宋体" w:cs="宋体"/>
                <w:color w:val="auto"/>
                <w:w w:val="90"/>
                <w:szCs w:val="21"/>
                <w:highlight w:val="none"/>
              </w:rPr>
            </w:pPr>
          </w:p>
        </w:tc>
        <w:tc>
          <w:tcPr>
            <w:tcW w:w="3702" w:type="dxa"/>
            <w:noWrap/>
            <w:vAlign w:val="center"/>
          </w:tcPr>
          <w:p w14:paraId="795B0A9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69F4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137FEA4">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BB434B1">
            <w:pPr>
              <w:autoSpaceDN w:val="0"/>
              <w:rPr>
                <w:rFonts w:hint="eastAsia" w:ascii="宋体" w:hAnsi="宋体" w:eastAsia="宋体" w:cs="宋体"/>
                <w:color w:val="auto"/>
                <w:w w:val="90"/>
                <w:szCs w:val="21"/>
                <w:highlight w:val="none"/>
              </w:rPr>
            </w:pPr>
          </w:p>
        </w:tc>
        <w:tc>
          <w:tcPr>
            <w:tcW w:w="2268" w:type="dxa"/>
            <w:noWrap/>
            <w:vAlign w:val="center"/>
          </w:tcPr>
          <w:p w14:paraId="7455C56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A060199其他床类</w:t>
            </w:r>
          </w:p>
        </w:tc>
        <w:tc>
          <w:tcPr>
            <w:tcW w:w="1855" w:type="dxa"/>
            <w:noWrap/>
            <w:vAlign w:val="center"/>
          </w:tcPr>
          <w:p w14:paraId="712E2D1C">
            <w:pPr>
              <w:autoSpaceDN w:val="0"/>
              <w:rPr>
                <w:rFonts w:hint="eastAsia" w:ascii="宋体" w:hAnsi="宋体" w:eastAsia="宋体" w:cs="宋体"/>
                <w:color w:val="auto"/>
                <w:w w:val="90"/>
                <w:szCs w:val="21"/>
                <w:highlight w:val="none"/>
              </w:rPr>
            </w:pPr>
          </w:p>
        </w:tc>
        <w:tc>
          <w:tcPr>
            <w:tcW w:w="3702" w:type="dxa"/>
            <w:noWrap/>
            <w:vAlign w:val="center"/>
          </w:tcPr>
          <w:p w14:paraId="0D4E40C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1029A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9F4BC2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85" w:type="dxa"/>
            <w:vMerge w:val="restart"/>
            <w:noWrap/>
            <w:vAlign w:val="center"/>
          </w:tcPr>
          <w:p w14:paraId="32E1C5F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A0602台、桌类</w:t>
            </w:r>
          </w:p>
        </w:tc>
        <w:tc>
          <w:tcPr>
            <w:tcW w:w="2268" w:type="dxa"/>
            <w:noWrap/>
            <w:vAlign w:val="center"/>
          </w:tcPr>
          <w:p w14:paraId="7AF7773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A060201钢木台、桌类</w:t>
            </w:r>
          </w:p>
        </w:tc>
        <w:tc>
          <w:tcPr>
            <w:tcW w:w="1855" w:type="dxa"/>
            <w:noWrap/>
            <w:vAlign w:val="center"/>
          </w:tcPr>
          <w:p w14:paraId="44A139B2">
            <w:pPr>
              <w:autoSpaceDN w:val="0"/>
              <w:rPr>
                <w:rFonts w:hint="eastAsia" w:ascii="宋体" w:hAnsi="宋体" w:eastAsia="宋体" w:cs="宋体"/>
                <w:color w:val="auto"/>
                <w:w w:val="90"/>
                <w:szCs w:val="21"/>
                <w:highlight w:val="none"/>
              </w:rPr>
            </w:pPr>
          </w:p>
        </w:tc>
        <w:tc>
          <w:tcPr>
            <w:tcW w:w="3702" w:type="dxa"/>
            <w:noWrap/>
            <w:vAlign w:val="center"/>
          </w:tcPr>
          <w:p w14:paraId="4F81516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C3F52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DEA571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331A6C66">
            <w:pPr>
              <w:autoSpaceDN w:val="0"/>
              <w:rPr>
                <w:rFonts w:hint="eastAsia" w:ascii="宋体" w:hAnsi="宋体" w:eastAsia="宋体" w:cs="宋体"/>
                <w:color w:val="auto"/>
                <w:w w:val="90"/>
                <w:szCs w:val="21"/>
                <w:highlight w:val="none"/>
              </w:rPr>
            </w:pPr>
          </w:p>
        </w:tc>
        <w:tc>
          <w:tcPr>
            <w:tcW w:w="2268" w:type="dxa"/>
            <w:noWrap/>
            <w:vAlign w:val="center"/>
          </w:tcPr>
          <w:p w14:paraId="31C0CFB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A060205木制台、桌类</w:t>
            </w:r>
          </w:p>
        </w:tc>
        <w:tc>
          <w:tcPr>
            <w:tcW w:w="1855" w:type="dxa"/>
            <w:noWrap/>
            <w:vAlign w:val="center"/>
          </w:tcPr>
          <w:p w14:paraId="77517761">
            <w:pPr>
              <w:autoSpaceDN w:val="0"/>
              <w:rPr>
                <w:rFonts w:hint="eastAsia" w:ascii="宋体" w:hAnsi="宋体" w:eastAsia="宋体" w:cs="宋体"/>
                <w:color w:val="auto"/>
                <w:w w:val="90"/>
                <w:szCs w:val="21"/>
                <w:highlight w:val="none"/>
              </w:rPr>
            </w:pPr>
          </w:p>
        </w:tc>
        <w:tc>
          <w:tcPr>
            <w:tcW w:w="3702" w:type="dxa"/>
            <w:noWrap/>
            <w:vAlign w:val="center"/>
          </w:tcPr>
          <w:p w14:paraId="26DF2FC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280307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8177E7E">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5FC6790C">
            <w:pPr>
              <w:autoSpaceDN w:val="0"/>
              <w:rPr>
                <w:rFonts w:hint="eastAsia" w:ascii="宋体" w:hAnsi="宋体" w:eastAsia="宋体" w:cs="宋体"/>
                <w:color w:val="auto"/>
                <w:w w:val="90"/>
                <w:szCs w:val="21"/>
                <w:highlight w:val="none"/>
              </w:rPr>
            </w:pPr>
          </w:p>
        </w:tc>
        <w:tc>
          <w:tcPr>
            <w:tcW w:w="2268" w:type="dxa"/>
            <w:noWrap/>
            <w:vAlign w:val="center"/>
          </w:tcPr>
          <w:p w14:paraId="0314135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A060299其他台、桌类</w:t>
            </w:r>
          </w:p>
        </w:tc>
        <w:tc>
          <w:tcPr>
            <w:tcW w:w="1855" w:type="dxa"/>
            <w:noWrap/>
            <w:vAlign w:val="center"/>
          </w:tcPr>
          <w:p w14:paraId="30FF7E2D">
            <w:pPr>
              <w:autoSpaceDN w:val="0"/>
              <w:rPr>
                <w:rFonts w:hint="eastAsia" w:ascii="宋体" w:hAnsi="宋体" w:eastAsia="宋体" w:cs="宋体"/>
                <w:color w:val="auto"/>
                <w:w w:val="90"/>
                <w:szCs w:val="21"/>
                <w:highlight w:val="none"/>
              </w:rPr>
            </w:pPr>
          </w:p>
        </w:tc>
        <w:tc>
          <w:tcPr>
            <w:tcW w:w="3702" w:type="dxa"/>
            <w:noWrap/>
            <w:vAlign w:val="center"/>
          </w:tcPr>
          <w:p w14:paraId="50D48C7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1313B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FC5637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85" w:type="dxa"/>
            <w:vMerge w:val="restart"/>
            <w:noWrap/>
            <w:vAlign w:val="center"/>
          </w:tcPr>
          <w:p w14:paraId="48F11FF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A0603椅凳类</w:t>
            </w:r>
          </w:p>
        </w:tc>
        <w:tc>
          <w:tcPr>
            <w:tcW w:w="2268" w:type="dxa"/>
            <w:noWrap/>
            <w:vAlign w:val="center"/>
          </w:tcPr>
          <w:p w14:paraId="1BB7953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A060301金属骨架为主的椅凳类</w:t>
            </w:r>
          </w:p>
        </w:tc>
        <w:tc>
          <w:tcPr>
            <w:tcW w:w="1855" w:type="dxa"/>
            <w:noWrap/>
            <w:vAlign w:val="center"/>
          </w:tcPr>
          <w:p w14:paraId="17248B30">
            <w:pPr>
              <w:autoSpaceDN w:val="0"/>
              <w:rPr>
                <w:rFonts w:hint="eastAsia" w:ascii="宋体" w:hAnsi="宋体" w:eastAsia="宋体" w:cs="宋体"/>
                <w:color w:val="auto"/>
                <w:w w:val="90"/>
                <w:szCs w:val="21"/>
                <w:highlight w:val="none"/>
              </w:rPr>
            </w:pPr>
          </w:p>
        </w:tc>
        <w:tc>
          <w:tcPr>
            <w:tcW w:w="3702" w:type="dxa"/>
            <w:noWrap/>
            <w:vAlign w:val="center"/>
          </w:tcPr>
          <w:p w14:paraId="362F1EE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2D4A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8A0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D9118D8">
            <w:pPr>
              <w:autoSpaceDN w:val="0"/>
              <w:rPr>
                <w:rFonts w:hint="eastAsia" w:ascii="宋体" w:hAnsi="宋体" w:eastAsia="宋体" w:cs="宋体"/>
                <w:color w:val="auto"/>
                <w:w w:val="90"/>
                <w:szCs w:val="21"/>
                <w:highlight w:val="none"/>
              </w:rPr>
            </w:pPr>
          </w:p>
        </w:tc>
        <w:tc>
          <w:tcPr>
            <w:tcW w:w="2268" w:type="dxa"/>
            <w:noWrap/>
            <w:vAlign w:val="center"/>
          </w:tcPr>
          <w:p w14:paraId="0436F18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A060302木骨架为主的椅凳类</w:t>
            </w:r>
          </w:p>
        </w:tc>
        <w:tc>
          <w:tcPr>
            <w:tcW w:w="1855" w:type="dxa"/>
            <w:noWrap/>
            <w:vAlign w:val="center"/>
          </w:tcPr>
          <w:p w14:paraId="07EF5C5A">
            <w:pPr>
              <w:autoSpaceDN w:val="0"/>
              <w:rPr>
                <w:rFonts w:hint="eastAsia" w:ascii="宋体" w:hAnsi="宋体" w:eastAsia="宋体" w:cs="宋体"/>
                <w:color w:val="auto"/>
                <w:w w:val="90"/>
                <w:szCs w:val="21"/>
                <w:highlight w:val="none"/>
              </w:rPr>
            </w:pPr>
          </w:p>
        </w:tc>
        <w:tc>
          <w:tcPr>
            <w:tcW w:w="3702" w:type="dxa"/>
            <w:noWrap/>
            <w:vAlign w:val="center"/>
          </w:tcPr>
          <w:p w14:paraId="40E5883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A1D5A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6E4E219">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DE44D17">
            <w:pPr>
              <w:autoSpaceDN w:val="0"/>
              <w:rPr>
                <w:rFonts w:hint="eastAsia" w:ascii="宋体" w:hAnsi="宋体" w:eastAsia="宋体" w:cs="宋体"/>
                <w:color w:val="auto"/>
                <w:w w:val="90"/>
                <w:szCs w:val="21"/>
                <w:highlight w:val="none"/>
              </w:rPr>
            </w:pPr>
          </w:p>
        </w:tc>
        <w:tc>
          <w:tcPr>
            <w:tcW w:w="2268" w:type="dxa"/>
            <w:noWrap/>
            <w:vAlign w:val="center"/>
          </w:tcPr>
          <w:p w14:paraId="4D99B06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A060399其他椅凳类</w:t>
            </w:r>
          </w:p>
        </w:tc>
        <w:tc>
          <w:tcPr>
            <w:tcW w:w="1855" w:type="dxa"/>
            <w:noWrap/>
            <w:vAlign w:val="center"/>
          </w:tcPr>
          <w:p w14:paraId="63FFFC14">
            <w:pPr>
              <w:autoSpaceDN w:val="0"/>
              <w:rPr>
                <w:rFonts w:hint="eastAsia" w:ascii="宋体" w:hAnsi="宋体" w:eastAsia="宋体" w:cs="宋体"/>
                <w:color w:val="auto"/>
                <w:w w:val="90"/>
                <w:szCs w:val="21"/>
                <w:highlight w:val="none"/>
              </w:rPr>
            </w:pPr>
          </w:p>
        </w:tc>
        <w:tc>
          <w:tcPr>
            <w:tcW w:w="3702" w:type="dxa"/>
            <w:noWrap/>
            <w:vAlign w:val="center"/>
          </w:tcPr>
          <w:p w14:paraId="5D597D3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DE76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738A4C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19</w:t>
            </w:r>
          </w:p>
        </w:tc>
        <w:tc>
          <w:tcPr>
            <w:tcW w:w="1985" w:type="dxa"/>
            <w:noWrap/>
            <w:vAlign w:val="center"/>
          </w:tcPr>
          <w:p w14:paraId="127B252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A0604沙发类</w:t>
            </w:r>
          </w:p>
        </w:tc>
        <w:tc>
          <w:tcPr>
            <w:tcW w:w="2268" w:type="dxa"/>
            <w:noWrap/>
            <w:vAlign w:val="center"/>
          </w:tcPr>
          <w:p w14:paraId="781F843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A060499其他沙发类</w:t>
            </w:r>
          </w:p>
        </w:tc>
        <w:tc>
          <w:tcPr>
            <w:tcW w:w="1855" w:type="dxa"/>
            <w:noWrap/>
            <w:vAlign w:val="center"/>
          </w:tcPr>
          <w:p w14:paraId="66CDACE4">
            <w:pPr>
              <w:autoSpaceDN w:val="0"/>
              <w:rPr>
                <w:rFonts w:hint="eastAsia" w:ascii="宋体" w:hAnsi="宋体" w:eastAsia="宋体" w:cs="宋体"/>
                <w:color w:val="auto"/>
                <w:w w:val="90"/>
                <w:szCs w:val="21"/>
                <w:highlight w:val="none"/>
              </w:rPr>
            </w:pPr>
          </w:p>
        </w:tc>
        <w:tc>
          <w:tcPr>
            <w:tcW w:w="3702" w:type="dxa"/>
            <w:noWrap/>
            <w:vAlign w:val="center"/>
          </w:tcPr>
          <w:p w14:paraId="64BA054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2B24E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7DB309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20</w:t>
            </w:r>
          </w:p>
        </w:tc>
        <w:tc>
          <w:tcPr>
            <w:tcW w:w="1985" w:type="dxa"/>
            <w:vMerge w:val="restart"/>
            <w:noWrap/>
            <w:vAlign w:val="center"/>
          </w:tcPr>
          <w:p w14:paraId="05B1A38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A0605柜类</w:t>
            </w:r>
          </w:p>
        </w:tc>
        <w:tc>
          <w:tcPr>
            <w:tcW w:w="2268" w:type="dxa"/>
            <w:noWrap/>
            <w:vAlign w:val="center"/>
          </w:tcPr>
          <w:p w14:paraId="7DB0DC8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A060501木质柜类</w:t>
            </w:r>
          </w:p>
        </w:tc>
        <w:tc>
          <w:tcPr>
            <w:tcW w:w="1855" w:type="dxa"/>
            <w:noWrap/>
            <w:vAlign w:val="center"/>
          </w:tcPr>
          <w:p w14:paraId="777D7E5C">
            <w:pPr>
              <w:autoSpaceDN w:val="0"/>
              <w:rPr>
                <w:rFonts w:hint="eastAsia" w:ascii="宋体" w:hAnsi="宋体" w:eastAsia="宋体" w:cs="宋体"/>
                <w:color w:val="auto"/>
                <w:w w:val="90"/>
                <w:szCs w:val="21"/>
                <w:highlight w:val="none"/>
              </w:rPr>
            </w:pPr>
          </w:p>
        </w:tc>
        <w:tc>
          <w:tcPr>
            <w:tcW w:w="3702" w:type="dxa"/>
            <w:noWrap/>
            <w:vAlign w:val="center"/>
          </w:tcPr>
          <w:p w14:paraId="4113B76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36F32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85E4B7">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AD5F621">
            <w:pPr>
              <w:autoSpaceDN w:val="0"/>
              <w:rPr>
                <w:rFonts w:hint="eastAsia" w:ascii="宋体" w:hAnsi="宋体" w:eastAsia="宋体" w:cs="宋体"/>
                <w:color w:val="auto"/>
                <w:w w:val="90"/>
                <w:szCs w:val="21"/>
                <w:highlight w:val="none"/>
              </w:rPr>
            </w:pPr>
          </w:p>
        </w:tc>
        <w:tc>
          <w:tcPr>
            <w:tcW w:w="2268" w:type="dxa"/>
            <w:noWrap/>
            <w:vAlign w:val="center"/>
          </w:tcPr>
          <w:p w14:paraId="0D16A8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A060503金属质柜类</w:t>
            </w:r>
          </w:p>
        </w:tc>
        <w:tc>
          <w:tcPr>
            <w:tcW w:w="1855" w:type="dxa"/>
            <w:noWrap/>
            <w:vAlign w:val="center"/>
          </w:tcPr>
          <w:p w14:paraId="2F4F2A2E">
            <w:pPr>
              <w:autoSpaceDN w:val="0"/>
              <w:rPr>
                <w:rFonts w:hint="eastAsia" w:ascii="宋体" w:hAnsi="宋体" w:eastAsia="宋体" w:cs="宋体"/>
                <w:color w:val="auto"/>
                <w:w w:val="90"/>
                <w:szCs w:val="21"/>
                <w:highlight w:val="none"/>
              </w:rPr>
            </w:pPr>
          </w:p>
        </w:tc>
        <w:tc>
          <w:tcPr>
            <w:tcW w:w="3702" w:type="dxa"/>
            <w:noWrap/>
            <w:vAlign w:val="center"/>
          </w:tcPr>
          <w:p w14:paraId="7D54577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4878C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FAD02C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8AECBFC">
            <w:pPr>
              <w:autoSpaceDN w:val="0"/>
              <w:rPr>
                <w:rFonts w:hint="eastAsia" w:ascii="宋体" w:hAnsi="宋体" w:eastAsia="宋体" w:cs="宋体"/>
                <w:color w:val="auto"/>
                <w:w w:val="90"/>
                <w:szCs w:val="21"/>
                <w:highlight w:val="none"/>
              </w:rPr>
            </w:pPr>
          </w:p>
        </w:tc>
        <w:tc>
          <w:tcPr>
            <w:tcW w:w="2268" w:type="dxa"/>
            <w:noWrap/>
            <w:vAlign w:val="center"/>
          </w:tcPr>
          <w:p w14:paraId="7B219E1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A060599其他柜类</w:t>
            </w:r>
          </w:p>
        </w:tc>
        <w:tc>
          <w:tcPr>
            <w:tcW w:w="1855" w:type="dxa"/>
            <w:noWrap/>
            <w:vAlign w:val="center"/>
          </w:tcPr>
          <w:p w14:paraId="0D6BDF27">
            <w:pPr>
              <w:autoSpaceDN w:val="0"/>
              <w:rPr>
                <w:rFonts w:hint="eastAsia" w:ascii="宋体" w:hAnsi="宋体" w:eastAsia="宋体" w:cs="宋体"/>
                <w:color w:val="auto"/>
                <w:w w:val="90"/>
                <w:szCs w:val="21"/>
                <w:highlight w:val="none"/>
              </w:rPr>
            </w:pPr>
          </w:p>
        </w:tc>
        <w:tc>
          <w:tcPr>
            <w:tcW w:w="3702" w:type="dxa"/>
            <w:noWrap/>
            <w:vAlign w:val="center"/>
          </w:tcPr>
          <w:p w14:paraId="7758A94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D0E8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34D33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21</w:t>
            </w:r>
          </w:p>
        </w:tc>
        <w:tc>
          <w:tcPr>
            <w:tcW w:w="1985" w:type="dxa"/>
            <w:vMerge w:val="restart"/>
            <w:noWrap/>
            <w:vAlign w:val="center"/>
          </w:tcPr>
          <w:p w14:paraId="3AB40F8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A0606架类</w:t>
            </w:r>
          </w:p>
        </w:tc>
        <w:tc>
          <w:tcPr>
            <w:tcW w:w="2268" w:type="dxa"/>
            <w:noWrap/>
            <w:vAlign w:val="center"/>
          </w:tcPr>
          <w:p w14:paraId="4A249AE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A060601木质架类</w:t>
            </w:r>
          </w:p>
        </w:tc>
        <w:tc>
          <w:tcPr>
            <w:tcW w:w="1855" w:type="dxa"/>
            <w:noWrap/>
            <w:vAlign w:val="center"/>
          </w:tcPr>
          <w:p w14:paraId="552DA6EC">
            <w:pPr>
              <w:autoSpaceDN w:val="0"/>
              <w:rPr>
                <w:rFonts w:hint="eastAsia" w:ascii="宋体" w:hAnsi="宋体" w:eastAsia="宋体" w:cs="宋体"/>
                <w:color w:val="auto"/>
                <w:w w:val="90"/>
                <w:szCs w:val="21"/>
                <w:highlight w:val="none"/>
              </w:rPr>
            </w:pPr>
          </w:p>
        </w:tc>
        <w:tc>
          <w:tcPr>
            <w:tcW w:w="3702" w:type="dxa"/>
            <w:noWrap/>
            <w:vAlign w:val="center"/>
          </w:tcPr>
          <w:p w14:paraId="77204D7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4B4A08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5A959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7D6E273">
            <w:pPr>
              <w:autoSpaceDN w:val="0"/>
              <w:rPr>
                <w:rFonts w:hint="eastAsia" w:ascii="宋体" w:hAnsi="宋体" w:eastAsia="宋体" w:cs="宋体"/>
                <w:color w:val="auto"/>
                <w:w w:val="90"/>
                <w:szCs w:val="21"/>
                <w:highlight w:val="none"/>
              </w:rPr>
            </w:pPr>
          </w:p>
        </w:tc>
        <w:tc>
          <w:tcPr>
            <w:tcW w:w="2268" w:type="dxa"/>
            <w:noWrap/>
            <w:vAlign w:val="center"/>
          </w:tcPr>
          <w:p w14:paraId="22705B6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A060602金属质架类</w:t>
            </w:r>
          </w:p>
        </w:tc>
        <w:tc>
          <w:tcPr>
            <w:tcW w:w="1855" w:type="dxa"/>
            <w:noWrap/>
            <w:vAlign w:val="center"/>
          </w:tcPr>
          <w:p w14:paraId="60887207">
            <w:pPr>
              <w:autoSpaceDN w:val="0"/>
              <w:rPr>
                <w:rFonts w:hint="eastAsia" w:ascii="宋体" w:hAnsi="宋体" w:eastAsia="宋体" w:cs="宋体"/>
                <w:color w:val="auto"/>
                <w:w w:val="90"/>
                <w:szCs w:val="21"/>
                <w:highlight w:val="none"/>
              </w:rPr>
            </w:pPr>
          </w:p>
        </w:tc>
        <w:tc>
          <w:tcPr>
            <w:tcW w:w="3702" w:type="dxa"/>
            <w:noWrap/>
            <w:vAlign w:val="center"/>
          </w:tcPr>
          <w:p w14:paraId="402C1CE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473B5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97171B">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22</w:t>
            </w:r>
          </w:p>
        </w:tc>
        <w:tc>
          <w:tcPr>
            <w:tcW w:w="1985" w:type="dxa"/>
            <w:vMerge w:val="restart"/>
            <w:noWrap/>
            <w:vAlign w:val="center"/>
          </w:tcPr>
          <w:p w14:paraId="3156593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A0607屏风类</w:t>
            </w:r>
          </w:p>
        </w:tc>
        <w:tc>
          <w:tcPr>
            <w:tcW w:w="2268" w:type="dxa"/>
            <w:noWrap/>
            <w:vAlign w:val="center"/>
          </w:tcPr>
          <w:p w14:paraId="571E005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A060701木质屏风类</w:t>
            </w:r>
          </w:p>
        </w:tc>
        <w:tc>
          <w:tcPr>
            <w:tcW w:w="1855" w:type="dxa"/>
            <w:noWrap/>
            <w:vAlign w:val="center"/>
          </w:tcPr>
          <w:p w14:paraId="217C2840">
            <w:pPr>
              <w:autoSpaceDN w:val="0"/>
              <w:rPr>
                <w:rFonts w:hint="eastAsia" w:ascii="宋体" w:hAnsi="宋体" w:eastAsia="宋体" w:cs="宋体"/>
                <w:color w:val="auto"/>
                <w:w w:val="90"/>
                <w:szCs w:val="21"/>
                <w:highlight w:val="none"/>
              </w:rPr>
            </w:pPr>
          </w:p>
        </w:tc>
        <w:tc>
          <w:tcPr>
            <w:tcW w:w="3702" w:type="dxa"/>
            <w:noWrap/>
            <w:vAlign w:val="center"/>
          </w:tcPr>
          <w:p w14:paraId="711E11B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61D8D9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B4752F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6E788DF">
            <w:pPr>
              <w:autoSpaceDN w:val="0"/>
              <w:rPr>
                <w:rFonts w:hint="eastAsia" w:ascii="宋体" w:hAnsi="宋体" w:eastAsia="宋体" w:cs="宋体"/>
                <w:color w:val="auto"/>
                <w:w w:val="90"/>
                <w:szCs w:val="21"/>
                <w:highlight w:val="none"/>
              </w:rPr>
            </w:pPr>
          </w:p>
        </w:tc>
        <w:tc>
          <w:tcPr>
            <w:tcW w:w="2268" w:type="dxa"/>
            <w:noWrap/>
            <w:vAlign w:val="center"/>
          </w:tcPr>
          <w:p w14:paraId="15A885A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A060702金属质屏风类</w:t>
            </w:r>
          </w:p>
        </w:tc>
        <w:tc>
          <w:tcPr>
            <w:tcW w:w="1855" w:type="dxa"/>
            <w:noWrap/>
            <w:vAlign w:val="center"/>
          </w:tcPr>
          <w:p w14:paraId="67F228E9">
            <w:pPr>
              <w:autoSpaceDN w:val="0"/>
              <w:rPr>
                <w:rFonts w:hint="eastAsia" w:ascii="宋体" w:hAnsi="宋体" w:eastAsia="宋体" w:cs="宋体"/>
                <w:color w:val="auto"/>
                <w:w w:val="90"/>
                <w:szCs w:val="21"/>
                <w:highlight w:val="none"/>
              </w:rPr>
            </w:pPr>
          </w:p>
        </w:tc>
        <w:tc>
          <w:tcPr>
            <w:tcW w:w="3702" w:type="dxa"/>
            <w:noWrap/>
            <w:vAlign w:val="center"/>
          </w:tcPr>
          <w:p w14:paraId="37E4755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0210B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A2168C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23</w:t>
            </w:r>
          </w:p>
        </w:tc>
        <w:tc>
          <w:tcPr>
            <w:tcW w:w="1985" w:type="dxa"/>
            <w:noWrap/>
            <w:vAlign w:val="center"/>
          </w:tcPr>
          <w:p w14:paraId="5B415B0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A060804水池</w:t>
            </w:r>
          </w:p>
        </w:tc>
        <w:tc>
          <w:tcPr>
            <w:tcW w:w="2268" w:type="dxa"/>
            <w:noWrap/>
            <w:vAlign w:val="center"/>
          </w:tcPr>
          <w:p w14:paraId="30B4BA2B">
            <w:pPr>
              <w:autoSpaceDN w:val="0"/>
              <w:rPr>
                <w:rFonts w:hint="eastAsia" w:ascii="宋体" w:hAnsi="宋体" w:eastAsia="宋体" w:cs="宋体"/>
                <w:color w:val="auto"/>
                <w:w w:val="90"/>
                <w:szCs w:val="21"/>
                <w:highlight w:val="none"/>
              </w:rPr>
            </w:pPr>
          </w:p>
        </w:tc>
        <w:tc>
          <w:tcPr>
            <w:tcW w:w="1855" w:type="dxa"/>
            <w:noWrap/>
            <w:vAlign w:val="center"/>
          </w:tcPr>
          <w:p w14:paraId="593AB167">
            <w:pPr>
              <w:autoSpaceDN w:val="0"/>
              <w:rPr>
                <w:rFonts w:hint="eastAsia" w:ascii="宋体" w:hAnsi="宋体" w:eastAsia="宋体" w:cs="宋体"/>
                <w:color w:val="auto"/>
                <w:w w:val="90"/>
                <w:szCs w:val="21"/>
                <w:highlight w:val="none"/>
              </w:rPr>
            </w:pPr>
          </w:p>
        </w:tc>
        <w:tc>
          <w:tcPr>
            <w:tcW w:w="3702" w:type="dxa"/>
            <w:noWrap/>
            <w:vAlign w:val="center"/>
          </w:tcPr>
          <w:p w14:paraId="131F0DF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14:paraId="1B98A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9E4F18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24</w:t>
            </w:r>
          </w:p>
        </w:tc>
        <w:tc>
          <w:tcPr>
            <w:tcW w:w="1985" w:type="dxa"/>
            <w:noWrap/>
            <w:vAlign w:val="center"/>
          </w:tcPr>
          <w:p w14:paraId="58A1851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A060805便器</w:t>
            </w:r>
          </w:p>
        </w:tc>
        <w:tc>
          <w:tcPr>
            <w:tcW w:w="2268" w:type="dxa"/>
            <w:noWrap/>
            <w:vAlign w:val="center"/>
          </w:tcPr>
          <w:p w14:paraId="5B293CBF">
            <w:pPr>
              <w:autoSpaceDN w:val="0"/>
              <w:rPr>
                <w:rFonts w:hint="eastAsia" w:ascii="宋体" w:hAnsi="宋体" w:eastAsia="宋体" w:cs="宋体"/>
                <w:color w:val="auto"/>
                <w:w w:val="90"/>
                <w:szCs w:val="21"/>
                <w:highlight w:val="none"/>
              </w:rPr>
            </w:pPr>
          </w:p>
        </w:tc>
        <w:tc>
          <w:tcPr>
            <w:tcW w:w="1855" w:type="dxa"/>
            <w:noWrap/>
            <w:vAlign w:val="center"/>
          </w:tcPr>
          <w:p w14:paraId="4A2EF481">
            <w:pPr>
              <w:autoSpaceDN w:val="0"/>
              <w:rPr>
                <w:rFonts w:hint="eastAsia" w:ascii="宋体" w:hAnsi="宋体" w:eastAsia="宋体" w:cs="宋体"/>
                <w:color w:val="auto"/>
                <w:w w:val="90"/>
                <w:szCs w:val="21"/>
                <w:highlight w:val="none"/>
              </w:rPr>
            </w:pPr>
          </w:p>
        </w:tc>
        <w:tc>
          <w:tcPr>
            <w:tcW w:w="3702" w:type="dxa"/>
            <w:noWrap/>
            <w:vAlign w:val="center"/>
          </w:tcPr>
          <w:p w14:paraId="5AA99BA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14:paraId="2DA759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092ECA1">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25</w:t>
            </w:r>
          </w:p>
        </w:tc>
        <w:tc>
          <w:tcPr>
            <w:tcW w:w="1985" w:type="dxa"/>
            <w:noWrap/>
            <w:vAlign w:val="center"/>
          </w:tcPr>
          <w:p w14:paraId="113E99B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A060806水嘴</w:t>
            </w:r>
          </w:p>
        </w:tc>
        <w:tc>
          <w:tcPr>
            <w:tcW w:w="2268" w:type="dxa"/>
            <w:noWrap/>
            <w:vAlign w:val="center"/>
          </w:tcPr>
          <w:p w14:paraId="446EAA8D">
            <w:pPr>
              <w:autoSpaceDN w:val="0"/>
              <w:rPr>
                <w:rFonts w:hint="eastAsia" w:ascii="宋体" w:hAnsi="宋体" w:eastAsia="宋体" w:cs="宋体"/>
                <w:color w:val="auto"/>
                <w:w w:val="90"/>
                <w:szCs w:val="21"/>
                <w:highlight w:val="none"/>
              </w:rPr>
            </w:pPr>
          </w:p>
        </w:tc>
        <w:tc>
          <w:tcPr>
            <w:tcW w:w="1855" w:type="dxa"/>
            <w:noWrap/>
            <w:vAlign w:val="center"/>
          </w:tcPr>
          <w:p w14:paraId="78EC7C4B">
            <w:pPr>
              <w:autoSpaceDN w:val="0"/>
              <w:rPr>
                <w:rFonts w:hint="eastAsia" w:ascii="宋体" w:hAnsi="宋体" w:eastAsia="宋体" w:cs="宋体"/>
                <w:color w:val="auto"/>
                <w:w w:val="90"/>
                <w:szCs w:val="21"/>
                <w:highlight w:val="none"/>
              </w:rPr>
            </w:pPr>
          </w:p>
        </w:tc>
        <w:tc>
          <w:tcPr>
            <w:tcW w:w="3702" w:type="dxa"/>
            <w:noWrap/>
            <w:vAlign w:val="center"/>
          </w:tcPr>
          <w:p w14:paraId="0B0E8E6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HJ/T411水嘴</w:t>
            </w:r>
          </w:p>
        </w:tc>
      </w:tr>
      <w:tr w14:paraId="6B3F11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09548A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26</w:t>
            </w:r>
          </w:p>
        </w:tc>
        <w:tc>
          <w:tcPr>
            <w:tcW w:w="1985" w:type="dxa"/>
            <w:noWrap/>
            <w:vAlign w:val="center"/>
          </w:tcPr>
          <w:p w14:paraId="5D69D00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A0609组合家具</w:t>
            </w:r>
          </w:p>
        </w:tc>
        <w:tc>
          <w:tcPr>
            <w:tcW w:w="2268" w:type="dxa"/>
            <w:noWrap/>
            <w:vAlign w:val="center"/>
          </w:tcPr>
          <w:p w14:paraId="19238536">
            <w:pPr>
              <w:autoSpaceDN w:val="0"/>
              <w:rPr>
                <w:rFonts w:hint="eastAsia" w:ascii="宋体" w:hAnsi="宋体" w:eastAsia="宋体" w:cs="宋体"/>
                <w:color w:val="auto"/>
                <w:w w:val="90"/>
                <w:szCs w:val="21"/>
                <w:highlight w:val="none"/>
              </w:rPr>
            </w:pPr>
          </w:p>
        </w:tc>
        <w:tc>
          <w:tcPr>
            <w:tcW w:w="1855" w:type="dxa"/>
            <w:noWrap/>
            <w:vAlign w:val="center"/>
          </w:tcPr>
          <w:p w14:paraId="74675842">
            <w:pPr>
              <w:autoSpaceDN w:val="0"/>
              <w:rPr>
                <w:rFonts w:hint="eastAsia" w:ascii="宋体" w:hAnsi="宋体" w:eastAsia="宋体" w:cs="宋体"/>
                <w:color w:val="auto"/>
                <w:w w:val="90"/>
                <w:szCs w:val="21"/>
                <w:highlight w:val="none"/>
              </w:rPr>
            </w:pPr>
          </w:p>
        </w:tc>
        <w:tc>
          <w:tcPr>
            <w:tcW w:w="3702" w:type="dxa"/>
            <w:noWrap/>
            <w:vAlign w:val="center"/>
          </w:tcPr>
          <w:p w14:paraId="7BA01B9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6C4A25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0F001E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27</w:t>
            </w:r>
          </w:p>
        </w:tc>
        <w:tc>
          <w:tcPr>
            <w:tcW w:w="1985" w:type="dxa"/>
            <w:noWrap/>
            <w:vAlign w:val="center"/>
          </w:tcPr>
          <w:p w14:paraId="204F7F5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A0610家用家具零配件</w:t>
            </w:r>
          </w:p>
        </w:tc>
        <w:tc>
          <w:tcPr>
            <w:tcW w:w="2268" w:type="dxa"/>
            <w:noWrap/>
            <w:vAlign w:val="center"/>
          </w:tcPr>
          <w:p w14:paraId="0CAB9431">
            <w:pPr>
              <w:autoSpaceDN w:val="0"/>
              <w:rPr>
                <w:rFonts w:hint="eastAsia" w:ascii="宋体" w:hAnsi="宋体" w:eastAsia="宋体" w:cs="宋体"/>
                <w:color w:val="auto"/>
                <w:w w:val="90"/>
                <w:szCs w:val="21"/>
                <w:highlight w:val="none"/>
              </w:rPr>
            </w:pPr>
          </w:p>
        </w:tc>
        <w:tc>
          <w:tcPr>
            <w:tcW w:w="1855" w:type="dxa"/>
            <w:noWrap/>
            <w:vAlign w:val="center"/>
          </w:tcPr>
          <w:p w14:paraId="51190B16">
            <w:pPr>
              <w:autoSpaceDN w:val="0"/>
              <w:rPr>
                <w:rFonts w:hint="eastAsia" w:ascii="宋体" w:hAnsi="宋体" w:eastAsia="宋体" w:cs="宋体"/>
                <w:color w:val="auto"/>
                <w:w w:val="90"/>
                <w:szCs w:val="21"/>
                <w:highlight w:val="none"/>
              </w:rPr>
            </w:pPr>
          </w:p>
        </w:tc>
        <w:tc>
          <w:tcPr>
            <w:tcW w:w="3702" w:type="dxa"/>
            <w:noWrap/>
            <w:vAlign w:val="center"/>
          </w:tcPr>
          <w:p w14:paraId="47E87A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7FAC9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3D83BE7">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28</w:t>
            </w:r>
          </w:p>
        </w:tc>
        <w:tc>
          <w:tcPr>
            <w:tcW w:w="1985" w:type="dxa"/>
            <w:noWrap/>
            <w:vAlign w:val="center"/>
          </w:tcPr>
          <w:p w14:paraId="206A531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A0699其他家具</w:t>
            </w:r>
          </w:p>
          <w:p w14:paraId="31D3D32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用具</w:t>
            </w:r>
          </w:p>
        </w:tc>
        <w:tc>
          <w:tcPr>
            <w:tcW w:w="2268" w:type="dxa"/>
            <w:noWrap/>
            <w:vAlign w:val="center"/>
          </w:tcPr>
          <w:p w14:paraId="2E6695FD">
            <w:pPr>
              <w:autoSpaceDN w:val="0"/>
              <w:rPr>
                <w:rFonts w:hint="eastAsia" w:ascii="宋体" w:hAnsi="宋体" w:eastAsia="宋体" w:cs="宋体"/>
                <w:color w:val="auto"/>
                <w:w w:val="90"/>
                <w:szCs w:val="21"/>
                <w:highlight w:val="none"/>
              </w:rPr>
            </w:pPr>
          </w:p>
        </w:tc>
        <w:tc>
          <w:tcPr>
            <w:tcW w:w="1855" w:type="dxa"/>
            <w:noWrap/>
            <w:vAlign w:val="center"/>
          </w:tcPr>
          <w:p w14:paraId="49127DA1">
            <w:pPr>
              <w:autoSpaceDN w:val="0"/>
              <w:rPr>
                <w:rFonts w:hint="eastAsia" w:ascii="宋体" w:hAnsi="宋体" w:eastAsia="宋体" w:cs="宋体"/>
                <w:color w:val="auto"/>
                <w:w w:val="90"/>
                <w:szCs w:val="21"/>
                <w:highlight w:val="none"/>
              </w:rPr>
            </w:pPr>
          </w:p>
        </w:tc>
        <w:tc>
          <w:tcPr>
            <w:tcW w:w="3702" w:type="dxa"/>
            <w:noWrap/>
            <w:vAlign w:val="center"/>
          </w:tcPr>
          <w:p w14:paraId="78E94E0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72787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DC671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29</w:t>
            </w:r>
          </w:p>
        </w:tc>
        <w:tc>
          <w:tcPr>
            <w:tcW w:w="1985" w:type="dxa"/>
            <w:noWrap/>
            <w:vAlign w:val="center"/>
          </w:tcPr>
          <w:p w14:paraId="09EE0EC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A070101棉、化纤纺织及印染原料</w:t>
            </w:r>
          </w:p>
        </w:tc>
        <w:tc>
          <w:tcPr>
            <w:tcW w:w="2268" w:type="dxa"/>
            <w:noWrap/>
            <w:vAlign w:val="center"/>
          </w:tcPr>
          <w:p w14:paraId="60485500">
            <w:pPr>
              <w:autoSpaceDN w:val="0"/>
              <w:rPr>
                <w:rFonts w:hint="eastAsia" w:ascii="宋体" w:hAnsi="宋体" w:eastAsia="宋体" w:cs="宋体"/>
                <w:color w:val="auto"/>
                <w:w w:val="90"/>
                <w:szCs w:val="21"/>
                <w:highlight w:val="none"/>
              </w:rPr>
            </w:pPr>
          </w:p>
        </w:tc>
        <w:tc>
          <w:tcPr>
            <w:tcW w:w="1855" w:type="dxa"/>
            <w:noWrap/>
            <w:vAlign w:val="center"/>
          </w:tcPr>
          <w:p w14:paraId="62C98DED">
            <w:pPr>
              <w:autoSpaceDN w:val="0"/>
              <w:rPr>
                <w:rFonts w:hint="eastAsia" w:ascii="宋体" w:hAnsi="宋体" w:eastAsia="宋体" w:cs="宋体"/>
                <w:color w:val="auto"/>
                <w:w w:val="90"/>
                <w:szCs w:val="21"/>
                <w:highlight w:val="none"/>
              </w:rPr>
            </w:pPr>
          </w:p>
        </w:tc>
        <w:tc>
          <w:tcPr>
            <w:tcW w:w="3702" w:type="dxa"/>
            <w:noWrap/>
            <w:vAlign w:val="center"/>
          </w:tcPr>
          <w:p w14:paraId="79B9A11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HJ2546纺织产品</w:t>
            </w:r>
          </w:p>
        </w:tc>
      </w:tr>
      <w:tr w14:paraId="01485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D9F7C5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30</w:t>
            </w:r>
          </w:p>
        </w:tc>
        <w:tc>
          <w:tcPr>
            <w:tcW w:w="1985" w:type="dxa"/>
            <w:noWrap/>
            <w:vAlign w:val="center"/>
          </w:tcPr>
          <w:p w14:paraId="6D75243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A090101复印纸（包括再生复印纸）</w:t>
            </w:r>
          </w:p>
        </w:tc>
        <w:tc>
          <w:tcPr>
            <w:tcW w:w="2268" w:type="dxa"/>
            <w:noWrap/>
            <w:vAlign w:val="center"/>
          </w:tcPr>
          <w:p w14:paraId="464586EE">
            <w:pPr>
              <w:autoSpaceDN w:val="0"/>
              <w:rPr>
                <w:rFonts w:hint="eastAsia" w:ascii="宋体" w:hAnsi="宋体" w:eastAsia="宋体" w:cs="宋体"/>
                <w:color w:val="auto"/>
                <w:w w:val="90"/>
                <w:szCs w:val="21"/>
                <w:highlight w:val="none"/>
              </w:rPr>
            </w:pPr>
          </w:p>
        </w:tc>
        <w:tc>
          <w:tcPr>
            <w:tcW w:w="1855" w:type="dxa"/>
            <w:noWrap/>
            <w:vAlign w:val="center"/>
          </w:tcPr>
          <w:p w14:paraId="04E4B1BE">
            <w:pPr>
              <w:autoSpaceDN w:val="0"/>
              <w:rPr>
                <w:rFonts w:hint="eastAsia" w:ascii="宋体" w:hAnsi="宋体" w:eastAsia="宋体" w:cs="宋体"/>
                <w:color w:val="auto"/>
                <w:w w:val="90"/>
                <w:szCs w:val="21"/>
                <w:highlight w:val="none"/>
              </w:rPr>
            </w:pPr>
          </w:p>
        </w:tc>
        <w:tc>
          <w:tcPr>
            <w:tcW w:w="3702" w:type="dxa"/>
            <w:noWrap/>
            <w:vAlign w:val="center"/>
          </w:tcPr>
          <w:p w14:paraId="199C696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HJ410文化用纸</w:t>
            </w:r>
          </w:p>
        </w:tc>
      </w:tr>
      <w:tr w14:paraId="2733C5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E73A3F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31</w:t>
            </w:r>
          </w:p>
        </w:tc>
        <w:tc>
          <w:tcPr>
            <w:tcW w:w="1985" w:type="dxa"/>
            <w:noWrap/>
            <w:vAlign w:val="center"/>
          </w:tcPr>
          <w:p w14:paraId="1B98006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A090201鼓粉盒（包括再生鼓粉盒）</w:t>
            </w:r>
          </w:p>
        </w:tc>
        <w:tc>
          <w:tcPr>
            <w:tcW w:w="2268" w:type="dxa"/>
            <w:noWrap/>
            <w:vAlign w:val="center"/>
          </w:tcPr>
          <w:p w14:paraId="412CD00F">
            <w:pPr>
              <w:autoSpaceDN w:val="0"/>
              <w:rPr>
                <w:rFonts w:hint="eastAsia" w:ascii="宋体" w:hAnsi="宋体" w:eastAsia="宋体" w:cs="宋体"/>
                <w:color w:val="auto"/>
                <w:w w:val="90"/>
                <w:szCs w:val="21"/>
                <w:highlight w:val="none"/>
              </w:rPr>
            </w:pPr>
          </w:p>
        </w:tc>
        <w:tc>
          <w:tcPr>
            <w:tcW w:w="1855" w:type="dxa"/>
            <w:noWrap/>
            <w:vAlign w:val="center"/>
          </w:tcPr>
          <w:p w14:paraId="0E5DD0B1">
            <w:pPr>
              <w:autoSpaceDN w:val="0"/>
              <w:rPr>
                <w:rFonts w:hint="eastAsia" w:ascii="宋体" w:hAnsi="宋体" w:eastAsia="宋体" w:cs="宋体"/>
                <w:color w:val="auto"/>
                <w:w w:val="90"/>
                <w:szCs w:val="21"/>
                <w:highlight w:val="none"/>
              </w:rPr>
            </w:pPr>
          </w:p>
        </w:tc>
        <w:tc>
          <w:tcPr>
            <w:tcW w:w="3702" w:type="dxa"/>
            <w:noWrap/>
            <w:vAlign w:val="center"/>
          </w:tcPr>
          <w:p w14:paraId="2CF99E0C">
            <w:pPr>
              <w:autoSpaceDN w:val="0"/>
              <w:rPr>
                <w:rFonts w:hint="eastAsia" w:ascii="宋体" w:hAnsi="宋体" w:eastAsia="宋体" w:cs="宋体"/>
                <w:color w:val="auto"/>
                <w:w w:val="90"/>
                <w:szCs w:val="21"/>
                <w:highlight w:val="none"/>
              </w:rPr>
            </w:pPr>
          </w:p>
        </w:tc>
      </w:tr>
      <w:tr w14:paraId="25E722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1985FA0">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32</w:t>
            </w:r>
          </w:p>
        </w:tc>
        <w:tc>
          <w:tcPr>
            <w:tcW w:w="1985" w:type="dxa"/>
            <w:vMerge w:val="restart"/>
            <w:noWrap/>
            <w:vAlign w:val="center"/>
          </w:tcPr>
          <w:p w14:paraId="6C57156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A100203人造板</w:t>
            </w:r>
          </w:p>
        </w:tc>
        <w:tc>
          <w:tcPr>
            <w:tcW w:w="2268" w:type="dxa"/>
            <w:noWrap/>
            <w:vAlign w:val="center"/>
          </w:tcPr>
          <w:p w14:paraId="0273286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A10020301胶合板</w:t>
            </w:r>
          </w:p>
        </w:tc>
        <w:tc>
          <w:tcPr>
            <w:tcW w:w="1855" w:type="dxa"/>
            <w:noWrap/>
            <w:vAlign w:val="center"/>
          </w:tcPr>
          <w:p w14:paraId="678CBA93">
            <w:pPr>
              <w:autoSpaceDN w:val="0"/>
              <w:rPr>
                <w:rFonts w:hint="eastAsia" w:ascii="宋体" w:hAnsi="宋体" w:eastAsia="宋体" w:cs="宋体"/>
                <w:b/>
                <w:color w:val="auto"/>
                <w:w w:val="90"/>
                <w:szCs w:val="21"/>
                <w:highlight w:val="none"/>
              </w:rPr>
            </w:pPr>
          </w:p>
        </w:tc>
        <w:tc>
          <w:tcPr>
            <w:tcW w:w="3702" w:type="dxa"/>
            <w:noWrap/>
            <w:vAlign w:val="center"/>
          </w:tcPr>
          <w:p w14:paraId="0532119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100200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EAD9191">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DFADB4A">
            <w:pPr>
              <w:autoSpaceDN w:val="0"/>
              <w:rPr>
                <w:rFonts w:hint="eastAsia" w:ascii="宋体" w:hAnsi="宋体" w:eastAsia="宋体" w:cs="宋体"/>
                <w:b/>
                <w:color w:val="auto"/>
                <w:w w:val="90"/>
                <w:szCs w:val="21"/>
                <w:highlight w:val="none"/>
              </w:rPr>
            </w:pPr>
          </w:p>
        </w:tc>
        <w:tc>
          <w:tcPr>
            <w:tcW w:w="2268" w:type="dxa"/>
            <w:noWrap/>
            <w:vAlign w:val="center"/>
          </w:tcPr>
          <w:p w14:paraId="3C7900A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A10020302纤维板</w:t>
            </w:r>
          </w:p>
        </w:tc>
        <w:tc>
          <w:tcPr>
            <w:tcW w:w="1855" w:type="dxa"/>
            <w:noWrap/>
            <w:vAlign w:val="center"/>
          </w:tcPr>
          <w:p w14:paraId="337751F0">
            <w:pPr>
              <w:autoSpaceDN w:val="0"/>
              <w:rPr>
                <w:rFonts w:hint="eastAsia" w:ascii="宋体" w:hAnsi="宋体" w:eastAsia="宋体" w:cs="宋体"/>
                <w:b/>
                <w:color w:val="auto"/>
                <w:w w:val="90"/>
                <w:szCs w:val="21"/>
                <w:highlight w:val="none"/>
              </w:rPr>
            </w:pPr>
          </w:p>
        </w:tc>
        <w:tc>
          <w:tcPr>
            <w:tcW w:w="3702" w:type="dxa"/>
            <w:noWrap/>
            <w:vAlign w:val="center"/>
          </w:tcPr>
          <w:p w14:paraId="283F8B4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69101E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E0CDDBF">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6B4A8E5D">
            <w:pPr>
              <w:autoSpaceDN w:val="0"/>
              <w:rPr>
                <w:rFonts w:hint="eastAsia" w:ascii="宋体" w:hAnsi="宋体" w:eastAsia="宋体" w:cs="宋体"/>
                <w:b/>
                <w:color w:val="auto"/>
                <w:w w:val="90"/>
                <w:szCs w:val="21"/>
                <w:highlight w:val="none"/>
              </w:rPr>
            </w:pPr>
          </w:p>
        </w:tc>
        <w:tc>
          <w:tcPr>
            <w:tcW w:w="2268" w:type="dxa"/>
            <w:noWrap/>
            <w:vAlign w:val="center"/>
          </w:tcPr>
          <w:p w14:paraId="0038B142">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A10020303刨花板</w:t>
            </w:r>
          </w:p>
        </w:tc>
        <w:tc>
          <w:tcPr>
            <w:tcW w:w="1855" w:type="dxa"/>
            <w:noWrap/>
            <w:vAlign w:val="center"/>
          </w:tcPr>
          <w:p w14:paraId="4B2B3BDC">
            <w:pPr>
              <w:autoSpaceDN w:val="0"/>
              <w:rPr>
                <w:rFonts w:hint="eastAsia" w:ascii="宋体" w:hAnsi="宋体" w:eastAsia="宋体" w:cs="宋体"/>
                <w:b/>
                <w:color w:val="auto"/>
                <w:w w:val="90"/>
                <w:szCs w:val="21"/>
                <w:highlight w:val="none"/>
              </w:rPr>
            </w:pPr>
          </w:p>
        </w:tc>
        <w:tc>
          <w:tcPr>
            <w:tcW w:w="3702" w:type="dxa"/>
            <w:noWrap/>
            <w:vAlign w:val="center"/>
          </w:tcPr>
          <w:p w14:paraId="2B7DAA62">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0A86FB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7EC419">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1B8E962">
            <w:pPr>
              <w:autoSpaceDN w:val="0"/>
              <w:rPr>
                <w:rFonts w:hint="eastAsia" w:ascii="宋体" w:hAnsi="宋体" w:eastAsia="宋体" w:cs="宋体"/>
                <w:b/>
                <w:color w:val="auto"/>
                <w:w w:val="90"/>
                <w:szCs w:val="21"/>
                <w:highlight w:val="none"/>
              </w:rPr>
            </w:pPr>
          </w:p>
        </w:tc>
        <w:tc>
          <w:tcPr>
            <w:tcW w:w="2268" w:type="dxa"/>
            <w:noWrap/>
            <w:vAlign w:val="center"/>
          </w:tcPr>
          <w:p w14:paraId="0EBC6D5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A10020304细木工板</w:t>
            </w:r>
          </w:p>
        </w:tc>
        <w:tc>
          <w:tcPr>
            <w:tcW w:w="1855" w:type="dxa"/>
            <w:noWrap/>
            <w:vAlign w:val="center"/>
          </w:tcPr>
          <w:p w14:paraId="19819AB2">
            <w:pPr>
              <w:autoSpaceDN w:val="0"/>
              <w:rPr>
                <w:rFonts w:hint="eastAsia" w:ascii="宋体" w:hAnsi="宋体" w:eastAsia="宋体" w:cs="宋体"/>
                <w:b/>
                <w:color w:val="auto"/>
                <w:w w:val="90"/>
                <w:szCs w:val="21"/>
                <w:highlight w:val="none"/>
              </w:rPr>
            </w:pPr>
          </w:p>
        </w:tc>
        <w:tc>
          <w:tcPr>
            <w:tcW w:w="3702" w:type="dxa"/>
            <w:noWrap/>
            <w:vAlign w:val="center"/>
          </w:tcPr>
          <w:p w14:paraId="50C96FB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479BAC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6822EF6">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BFE1674">
            <w:pPr>
              <w:autoSpaceDN w:val="0"/>
              <w:rPr>
                <w:rFonts w:hint="eastAsia" w:ascii="宋体" w:hAnsi="宋体" w:eastAsia="宋体" w:cs="宋体"/>
                <w:b/>
                <w:color w:val="auto"/>
                <w:w w:val="90"/>
                <w:szCs w:val="21"/>
                <w:highlight w:val="none"/>
              </w:rPr>
            </w:pPr>
          </w:p>
        </w:tc>
        <w:tc>
          <w:tcPr>
            <w:tcW w:w="2268" w:type="dxa"/>
            <w:noWrap/>
            <w:vAlign w:val="center"/>
          </w:tcPr>
          <w:p w14:paraId="13C8C7B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A10020399其他人造板</w:t>
            </w:r>
          </w:p>
        </w:tc>
        <w:tc>
          <w:tcPr>
            <w:tcW w:w="1855" w:type="dxa"/>
            <w:noWrap/>
            <w:vAlign w:val="center"/>
          </w:tcPr>
          <w:p w14:paraId="323DE177">
            <w:pPr>
              <w:autoSpaceDN w:val="0"/>
              <w:rPr>
                <w:rFonts w:hint="eastAsia" w:ascii="宋体" w:hAnsi="宋体" w:eastAsia="宋体" w:cs="宋体"/>
                <w:b/>
                <w:color w:val="auto"/>
                <w:w w:val="90"/>
                <w:szCs w:val="21"/>
                <w:highlight w:val="none"/>
              </w:rPr>
            </w:pPr>
          </w:p>
        </w:tc>
        <w:tc>
          <w:tcPr>
            <w:tcW w:w="3702" w:type="dxa"/>
            <w:noWrap/>
            <w:vAlign w:val="center"/>
          </w:tcPr>
          <w:p w14:paraId="0DE9154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20D45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A90FCE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33</w:t>
            </w:r>
          </w:p>
        </w:tc>
        <w:tc>
          <w:tcPr>
            <w:tcW w:w="1985" w:type="dxa"/>
            <w:vMerge w:val="restart"/>
            <w:noWrap/>
            <w:vAlign w:val="center"/>
          </w:tcPr>
          <w:p w14:paraId="64879B2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A100204二次加工材,相关板材</w:t>
            </w:r>
          </w:p>
        </w:tc>
        <w:tc>
          <w:tcPr>
            <w:tcW w:w="2268" w:type="dxa"/>
            <w:noWrap/>
            <w:vAlign w:val="center"/>
          </w:tcPr>
          <w:p w14:paraId="17409C6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A10020404人造板表面装饰板</w:t>
            </w:r>
          </w:p>
        </w:tc>
        <w:tc>
          <w:tcPr>
            <w:tcW w:w="1855" w:type="dxa"/>
            <w:noWrap/>
            <w:vAlign w:val="center"/>
          </w:tcPr>
          <w:p w14:paraId="30739706">
            <w:pPr>
              <w:autoSpaceDN w:val="0"/>
              <w:rPr>
                <w:rFonts w:hint="eastAsia" w:ascii="宋体" w:hAnsi="宋体" w:eastAsia="宋体" w:cs="宋体"/>
                <w:b/>
                <w:color w:val="auto"/>
                <w:w w:val="90"/>
                <w:szCs w:val="21"/>
                <w:highlight w:val="none"/>
              </w:rPr>
            </w:pPr>
          </w:p>
        </w:tc>
        <w:tc>
          <w:tcPr>
            <w:tcW w:w="3702" w:type="dxa"/>
            <w:noWrap/>
            <w:vAlign w:val="center"/>
          </w:tcPr>
          <w:p w14:paraId="683C403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HJ571人造板及其制品/HJ2540 木塑制品</w:t>
            </w:r>
          </w:p>
        </w:tc>
      </w:tr>
      <w:tr w14:paraId="493BB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8B277D">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13E3FAC">
            <w:pPr>
              <w:autoSpaceDN w:val="0"/>
              <w:rPr>
                <w:rFonts w:hint="eastAsia" w:ascii="宋体" w:hAnsi="宋体" w:eastAsia="宋体" w:cs="宋体"/>
                <w:b/>
                <w:color w:val="auto"/>
                <w:w w:val="90"/>
                <w:szCs w:val="21"/>
                <w:highlight w:val="none"/>
              </w:rPr>
            </w:pPr>
          </w:p>
        </w:tc>
        <w:tc>
          <w:tcPr>
            <w:tcW w:w="2268" w:type="dxa"/>
            <w:noWrap/>
            <w:vAlign w:val="center"/>
          </w:tcPr>
          <w:p w14:paraId="7CE6470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A10020404人造板表面装饰板（地板）</w:t>
            </w:r>
          </w:p>
        </w:tc>
        <w:tc>
          <w:tcPr>
            <w:tcW w:w="1855" w:type="dxa"/>
            <w:noWrap/>
            <w:vAlign w:val="center"/>
          </w:tcPr>
          <w:p w14:paraId="5697A2FD">
            <w:pPr>
              <w:autoSpaceDN w:val="0"/>
              <w:rPr>
                <w:rFonts w:hint="eastAsia" w:ascii="宋体" w:hAnsi="宋体" w:eastAsia="宋体" w:cs="宋体"/>
                <w:b/>
                <w:color w:val="auto"/>
                <w:w w:val="90"/>
                <w:szCs w:val="21"/>
                <w:highlight w:val="none"/>
              </w:rPr>
            </w:pPr>
          </w:p>
        </w:tc>
        <w:tc>
          <w:tcPr>
            <w:tcW w:w="3702" w:type="dxa"/>
            <w:noWrap/>
            <w:vAlign w:val="center"/>
          </w:tcPr>
          <w:p w14:paraId="73BDD93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HJ571人造板及其制品/HJ2540 木塑制品</w:t>
            </w:r>
          </w:p>
        </w:tc>
      </w:tr>
      <w:tr w14:paraId="01335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56809A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34</w:t>
            </w:r>
          </w:p>
        </w:tc>
        <w:tc>
          <w:tcPr>
            <w:tcW w:w="1985" w:type="dxa"/>
            <w:noWrap/>
            <w:vAlign w:val="center"/>
          </w:tcPr>
          <w:p w14:paraId="2FD2E31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A100301水泥熟料及水泥</w:t>
            </w:r>
          </w:p>
        </w:tc>
        <w:tc>
          <w:tcPr>
            <w:tcW w:w="2268" w:type="dxa"/>
            <w:noWrap/>
            <w:vAlign w:val="center"/>
          </w:tcPr>
          <w:p w14:paraId="41B7B2F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A10030102水泥</w:t>
            </w:r>
          </w:p>
        </w:tc>
        <w:tc>
          <w:tcPr>
            <w:tcW w:w="1855" w:type="dxa"/>
            <w:noWrap/>
            <w:vAlign w:val="center"/>
          </w:tcPr>
          <w:p w14:paraId="5C8D71DE">
            <w:pPr>
              <w:autoSpaceDN w:val="0"/>
              <w:rPr>
                <w:rFonts w:hint="eastAsia" w:ascii="宋体" w:hAnsi="宋体" w:eastAsia="宋体" w:cs="宋体"/>
                <w:b/>
                <w:color w:val="auto"/>
                <w:w w:val="90"/>
                <w:szCs w:val="21"/>
                <w:highlight w:val="none"/>
              </w:rPr>
            </w:pPr>
          </w:p>
        </w:tc>
        <w:tc>
          <w:tcPr>
            <w:tcW w:w="3702" w:type="dxa"/>
            <w:noWrap/>
            <w:vAlign w:val="center"/>
          </w:tcPr>
          <w:p w14:paraId="7B9709E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HJ2519水泥</w:t>
            </w:r>
          </w:p>
        </w:tc>
      </w:tr>
      <w:tr w14:paraId="43826C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875D1DA">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35</w:t>
            </w:r>
          </w:p>
        </w:tc>
        <w:tc>
          <w:tcPr>
            <w:tcW w:w="1985" w:type="dxa"/>
            <w:noWrap/>
            <w:vAlign w:val="center"/>
          </w:tcPr>
          <w:p w14:paraId="67D9D0D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A100303水泥混凝土制品</w:t>
            </w:r>
          </w:p>
        </w:tc>
        <w:tc>
          <w:tcPr>
            <w:tcW w:w="2268" w:type="dxa"/>
            <w:noWrap/>
            <w:vAlign w:val="center"/>
          </w:tcPr>
          <w:p w14:paraId="655D4F3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A10030301商品混凝土</w:t>
            </w:r>
          </w:p>
        </w:tc>
        <w:tc>
          <w:tcPr>
            <w:tcW w:w="1855" w:type="dxa"/>
            <w:noWrap/>
            <w:vAlign w:val="center"/>
          </w:tcPr>
          <w:p w14:paraId="5047ECDD">
            <w:pPr>
              <w:autoSpaceDN w:val="0"/>
              <w:rPr>
                <w:rFonts w:hint="eastAsia" w:ascii="宋体" w:hAnsi="宋体" w:eastAsia="宋体" w:cs="宋体"/>
                <w:b/>
                <w:color w:val="auto"/>
                <w:w w:val="90"/>
                <w:szCs w:val="21"/>
                <w:highlight w:val="none"/>
              </w:rPr>
            </w:pPr>
          </w:p>
        </w:tc>
        <w:tc>
          <w:tcPr>
            <w:tcW w:w="3702" w:type="dxa"/>
            <w:noWrap/>
            <w:vAlign w:val="center"/>
          </w:tcPr>
          <w:p w14:paraId="103EE56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HJ/T412预拌混凝土</w:t>
            </w:r>
          </w:p>
        </w:tc>
      </w:tr>
      <w:tr w14:paraId="19FA6E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93AD00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36</w:t>
            </w:r>
          </w:p>
        </w:tc>
        <w:tc>
          <w:tcPr>
            <w:tcW w:w="1985" w:type="dxa"/>
            <w:vMerge w:val="restart"/>
            <w:noWrap/>
            <w:vAlign w:val="center"/>
          </w:tcPr>
          <w:p w14:paraId="7DE2037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A100304纤维增强水泥制品</w:t>
            </w:r>
          </w:p>
        </w:tc>
        <w:tc>
          <w:tcPr>
            <w:tcW w:w="2268" w:type="dxa"/>
            <w:noWrap/>
            <w:vAlign w:val="center"/>
          </w:tcPr>
          <w:p w14:paraId="74D0C3F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A10030402纤维增强硅酸钙板</w:t>
            </w:r>
          </w:p>
        </w:tc>
        <w:tc>
          <w:tcPr>
            <w:tcW w:w="1855" w:type="dxa"/>
            <w:noWrap/>
            <w:vAlign w:val="center"/>
          </w:tcPr>
          <w:p w14:paraId="4C0D304C">
            <w:pPr>
              <w:autoSpaceDN w:val="0"/>
              <w:rPr>
                <w:rFonts w:hint="eastAsia" w:ascii="宋体" w:hAnsi="宋体" w:eastAsia="宋体" w:cs="宋体"/>
                <w:b/>
                <w:color w:val="auto"/>
                <w:w w:val="90"/>
                <w:szCs w:val="21"/>
                <w:highlight w:val="none"/>
              </w:rPr>
            </w:pPr>
          </w:p>
        </w:tc>
        <w:tc>
          <w:tcPr>
            <w:tcW w:w="3702" w:type="dxa"/>
            <w:noWrap/>
            <w:vAlign w:val="center"/>
          </w:tcPr>
          <w:p w14:paraId="464C5FC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2A3E05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2E206AC">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ACFC075">
            <w:pPr>
              <w:autoSpaceDN w:val="0"/>
              <w:rPr>
                <w:rFonts w:hint="eastAsia" w:ascii="宋体" w:hAnsi="宋体" w:eastAsia="宋体" w:cs="宋体"/>
                <w:b/>
                <w:color w:val="auto"/>
                <w:w w:val="90"/>
                <w:szCs w:val="21"/>
                <w:highlight w:val="none"/>
              </w:rPr>
            </w:pPr>
          </w:p>
        </w:tc>
        <w:tc>
          <w:tcPr>
            <w:tcW w:w="2268" w:type="dxa"/>
            <w:noWrap/>
            <w:vAlign w:val="center"/>
          </w:tcPr>
          <w:p w14:paraId="6342F91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A10030403无石棉纤维水泥制品</w:t>
            </w:r>
          </w:p>
        </w:tc>
        <w:tc>
          <w:tcPr>
            <w:tcW w:w="1855" w:type="dxa"/>
            <w:noWrap/>
            <w:vAlign w:val="center"/>
          </w:tcPr>
          <w:p w14:paraId="2C4B7958">
            <w:pPr>
              <w:autoSpaceDN w:val="0"/>
              <w:rPr>
                <w:rFonts w:hint="eastAsia" w:ascii="宋体" w:hAnsi="宋体" w:eastAsia="宋体" w:cs="宋体"/>
                <w:b/>
                <w:color w:val="auto"/>
                <w:w w:val="90"/>
                <w:szCs w:val="21"/>
                <w:highlight w:val="none"/>
              </w:rPr>
            </w:pPr>
          </w:p>
        </w:tc>
        <w:tc>
          <w:tcPr>
            <w:tcW w:w="3702" w:type="dxa"/>
            <w:noWrap/>
            <w:vAlign w:val="center"/>
          </w:tcPr>
          <w:p w14:paraId="54837CF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47584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492513E">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37</w:t>
            </w:r>
          </w:p>
        </w:tc>
        <w:tc>
          <w:tcPr>
            <w:tcW w:w="1985" w:type="dxa"/>
            <w:vMerge w:val="restart"/>
            <w:noWrap/>
            <w:vAlign w:val="center"/>
          </w:tcPr>
          <w:p w14:paraId="0CE498B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A100305轻质建筑材料及制品</w:t>
            </w:r>
          </w:p>
        </w:tc>
        <w:tc>
          <w:tcPr>
            <w:tcW w:w="2268" w:type="dxa"/>
            <w:noWrap/>
            <w:vAlign w:val="center"/>
          </w:tcPr>
          <w:p w14:paraId="18FCB49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A10030501石膏板</w:t>
            </w:r>
          </w:p>
        </w:tc>
        <w:tc>
          <w:tcPr>
            <w:tcW w:w="1855" w:type="dxa"/>
            <w:noWrap/>
            <w:vAlign w:val="center"/>
          </w:tcPr>
          <w:p w14:paraId="7AF9BA26">
            <w:pPr>
              <w:autoSpaceDN w:val="0"/>
              <w:rPr>
                <w:rFonts w:hint="eastAsia" w:ascii="宋体" w:hAnsi="宋体" w:eastAsia="宋体" w:cs="宋体"/>
                <w:b/>
                <w:color w:val="auto"/>
                <w:w w:val="90"/>
                <w:szCs w:val="21"/>
                <w:highlight w:val="none"/>
              </w:rPr>
            </w:pPr>
          </w:p>
        </w:tc>
        <w:tc>
          <w:tcPr>
            <w:tcW w:w="3702" w:type="dxa"/>
            <w:noWrap/>
            <w:vAlign w:val="center"/>
          </w:tcPr>
          <w:p w14:paraId="73326DF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7DCE48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E6669">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82103ED">
            <w:pPr>
              <w:autoSpaceDN w:val="0"/>
              <w:rPr>
                <w:rFonts w:hint="eastAsia" w:ascii="宋体" w:hAnsi="宋体" w:eastAsia="宋体" w:cs="宋体"/>
                <w:b/>
                <w:color w:val="auto"/>
                <w:w w:val="90"/>
                <w:szCs w:val="21"/>
                <w:highlight w:val="none"/>
              </w:rPr>
            </w:pPr>
          </w:p>
        </w:tc>
        <w:tc>
          <w:tcPr>
            <w:tcW w:w="2268" w:type="dxa"/>
            <w:noWrap/>
            <w:vAlign w:val="center"/>
          </w:tcPr>
          <w:p w14:paraId="09AA2C1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A10030503轻质隔墙条板</w:t>
            </w:r>
          </w:p>
        </w:tc>
        <w:tc>
          <w:tcPr>
            <w:tcW w:w="1855" w:type="dxa"/>
            <w:noWrap/>
            <w:vAlign w:val="center"/>
          </w:tcPr>
          <w:p w14:paraId="6098ACD7">
            <w:pPr>
              <w:autoSpaceDN w:val="0"/>
              <w:rPr>
                <w:rFonts w:hint="eastAsia" w:ascii="宋体" w:hAnsi="宋体" w:eastAsia="宋体" w:cs="宋体"/>
                <w:b/>
                <w:color w:val="auto"/>
                <w:w w:val="90"/>
                <w:szCs w:val="21"/>
                <w:highlight w:val="none"/>
              </w:rPr>
            </w:pPr>
          </w:p>
        </w:tc>
        <w:tc>
          <w:tcPr>
            <w:tcW w:w="3702" w:type="dxa"/>
            <w:noWrap/>
            <w:vAlign w:val="center"/>
          </w:tcPr>
          <w:p w14:paraId="64254C1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00DAE0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4A8043E8">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38</w:t>
            </w:r>
          </w:p>
        </w:tc>
        <w:tc>
          <w:tcPr>
            <w:tcW w:w="1985" w:type="dxa"/>
            <w:vMerge w:val="restart"/>
            <w:noWrap/>
            <w:vAlign w:val="center"/>
          </w:tcPr>
          <w:p w14:paraId="036470A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A100307建筑陶瓷制品</w:t>
            </w:r>
          </w:p>
        </w:tc>
        <w:tc>
          <w:tcPr>
            <w:tcW w:w="2268" w:type="dxa"/>
            <w:noWrap/>
            <w:vAlign w:val="center"/>
          </w:tcPr>
          <w:p w14:paraId="3AD3195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A10030701瓷质砖</w:t>
            </w:r>
          </w:p>
        </w:tc>
        <w:tc>
          <w:tcPr>
            <w:tcW w:w="1855" w:type="dxa"/>
            <w:noWrap/>
            <w:vAlign w:val="center"/>
          </w:tcPr>
          <w:p w14:paraId="3596CFEA">
            <w:pPr>
              <w:autoSpaceDN w:val="0"/>
              <w:rPr>
                <w:rFonts w:hint="eastAsia" w:ascii="宋体" w:hAnsi="宋体" w:eastAsia="宋体" w:cs="宋体"/>
                <w:b/>
                <w:color w:val="auto"/>
                <w:w w:val="90"/>
                <w:szCs w:val="21"/>
                <w:highlight w:val="none"/>
              </w:rPr>
            </w:pPr>
          </w:p>
        </w:tc>
        <w:tc>
          <w:tcPr>
            <w:tcW w:w="3702" w:type="dxa"/>
            <w:noWrap/>
            <w:vAlign w:val="center"/>
          </w:tcPr>
          <w:p w14:paraId="5226675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35EFE6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BFAC2E4">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3D05FD4F">
            <w:pPr>
              <w:autoSpaceDN w:val="0"/>
              <w:rPr>
                <w:rFonts w:hint="eastAsia" w:ascii="宋体" w:hAnsi="宋体" w:eastAsia="宋体" w:cs="宋体"/>
                <w:b/>
                <w:color w:val="auto"/>
                <w:w w:val="90"/>
                <w:szCs w:val="21"/>
                <w:highlight w:val="none"/>
              </w:rPr>
            </w:pPr>
          </w:p>
        </w:tc>
        <w:tc>
          <w:tcPr>
            <w:tcW w:w="2268" w:type="dxa"/>
            <w:noWrap/>
            <w:vAlign w:val="center"/>
          </w:tcPr>
          <w:p w14:paraId="104685B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A10030704炻质砖</w:t>
            </w:r>
          </w:p>
        </w:tc>
        <w:tc>
          <w:tcPr>
            <w:tcW w:w="1855" w:type="dxa"/>
            <w:noWrap/>
            <w:vAlign w:val="center"/>
          </w:tcPr>
          <w:p w14:paraId="1572BC5F">
            <w:pPr>
              <w:autoSpaceDN w:val="0"/>
              <w:rPr>
                <w:rFonts w:hint="eastAsia" w:ascii="宋体" w:hAnsi="宋体" w:eastAsia="宋体" w:cs="宋体"/>
                <w:b/>
                <w:color w:val="auto"/>
                <w:w w:val="90"/>
                <w:szCs w:val="21"/>
                <w:highlight w:val="none"/>
              </w:rPr>
            </w:pPr>
          </w:p>
        </w:tc>
        <w:tc>
          <w:tcPr>
            <w:tcW w:w="3702" w:type="dxa"/>
            <w:noWrap/>
            <w:vAlign w:val="center"/>
          </w:tcPr>
          <w:p w14:paraId="523D276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7FDB6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513EE2C">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BE40E00">
            <w:pPr>
              <w:autoSpaceDN w:val="0"/>
              <w:rPr>
                <w:rFonts w:hint="eastAsia" w:ascii="宋体" w:hAnsi="宋体" w:eastAsia="宋体" w:cs="宋体"/>
                <w:b/>
                <w:color w:val="auto"/>
                <w:w w:val="90"/>
                <w:szCs w:val="21"/>
                <w:highlight w:val="none"/>
              </w:rPr>
            </w:pPr>
          </w:p>
        </w:tc>
        <w:tc>
          <w:tcPr>
            <w:tcW w:w="2268" w:type="dxa"/>
            <w:noWrap/>
            <w:vAlign w:val="center"/>
          </w:tcPr>
          <w:p w14:paraId="22246D2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A10030705陶质砖</w:t>
            </w:r>
          </w:p>
        </w:tc>
        <w:tc>
          <w:tcPr>
            <w:tcW w:w="1855" w:type="dxa"/>
            <w:noWrap/>
            <w:vAlign w:val="center"/>
          </w:tcPr>
          <w:p w14:paraId="0763D380">
            <w:pPr>
              <w:autoSpaceDN w:val="0"/>
              <w:rPr>
                <w:rFonts w:hint="eastAsia" w:ascii="宋体" w:hAnsi="宋体" w:eastAsia="宋体" w:cs="宋体"/>
                <w:b/>
                <w:color w:val="auto"/>
                <w:w w:val="90"/>
                <w:szCs w:val="21"/>
                <w:highlight w:val="none"/>
              </w:rPr>
            </w:pPr>
          </w:p>
        </w:tc>
        <w:tc>
          <w:tcPr>
            <w:tcW w:w="3702" w:type="dxa"/>
            <w:noWrap/>
            <w:vAlign w:val="center"/>
          </w:tcPr>
          <w:p w14:paraId="137B8D9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076A3F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D2181F6">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548F840">
            <w:pPr>
              <w:autoSpaceDN w:val="0"/>
              <w:rPr>
                <w:rFonts w:hint="eastAsia" w:ascii="宋体" w:hAnsi="宋体" w:eastAsia="宋体" w:cs="宋体"/>
                <w:b/>
                <w:color w:val="auto"/>
                <w:w w:val="90"/>
                <w:szCs w:val="21"/>
                <w:highlight w:val="none"/>
              </w:rPr>
            </w:pPr>
          </w:p>
        </w:tc>
        <w:tc>
          <w:tcPr>
            <w:tcW w:w="2268" w:type="dxa"/>
            <w:noWrap/>
            <w:vAlign w:val="center"/>
          </w:tcPr>
          <w:p w14:paraId="31A40CC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A10030799其他建筑陶瓷制品</w:t>
            </w:r>
          </w:p>
        </w:tc>
        <w:tc>
          <w:tcPr>
            <w:tcW w:w="1855" w:type="dxa"/>
            <w:noWrap/>
            <w:vAlign w:val="center"/>
          </w:tcPr>
          <w:p w14:paraId="0D10BC8F">
            <w:pPr>
              <w:autoSpaceDN w:val="0"/>
              <w:rPr>
                <w:rFonts w:hint="eastAsia" w:ascii="宋体" w:hAnsi="宋体" w:eastAsia="宋体" w:cs="宋体"/>
                <w:b/>
                <w:color w:val="auto"/>
                <w:w w:val="90"/>
                <w:szCs w:val="21"/>
                <w:highlight w:val="none"/>
              </w:rPr>
            </w:pPr>
          </w:p>
        </w:tc>
        <w:tc>
          <w:tcPr>
            <w:tcW w:w="3702" w:type="dxa"/>
            <w:noWrap/>
            <w:vAlign w:val="center"/>
          </w:tcPr>
          <w:p w14:paraId="701C9B6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599A07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B373E8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39</w:t>
            </w:r>
          </w:p>
        </w:tc>
        <w:tc>
          <w:tcPr>
            <w:tcW w:w="1985" w:type="dxa"/>
            <w:vMerge w:val="restart"/>
            <w:noWrap/>
            <w:vAlign w:val="center"/>
          </w:tcPr>
          <w:p w14:paraId="0BC381F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A100309建筑防水卷材及制品</w:t>
            </w:r>
          </w:p>
        </w:tc>
        <w:tc>
          <w:tcPr>
            <w:tcW w:w="2268" w:type="dxa"/>
            <w:noWrap/>
            <w:vAlign w:val="center"/>
          </w:tcPr>
          <w:p w14:paraId="0DDF0A2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A10030901沥青和改性沥青防水卷材</w:t>
            </w:r>
          </w:p>
        </w:tc>
        <w:tc>
          <w:tcPr>
            <w:tcW w:w="1855" w:type="dxa"/>
            <w:noWrap/>
            <w:vAlign w:val="center"/>
          </w:tcPr>
          <w:p w14:paraId="459D4FBB">
            <w:pPr>
              <w:autoSpaceDN w:val="0"/>
              <w:rPr>
                <w:rFonts w:hint="eastAsia" w:ascii="宋体" w:hAnsi="宋体" w:eastAsia="宋体" w:cs="宋体"/>
                <w:b/>
                <w:color w:val="auto"/>
                <w:w w:val="90"/>
                <w:szCs w:val="21"/>
                <w:highlight w:val="none"/>
              </w:rPr>
            </w:pPr>
          </w:p>
        </w:tc>
        <w:tc>
          <w:tcPr>
            <w:tcW w:w="3702" w:type="dxa"/>
            <w:noWrap/>
            <w:vAlign w:val="center"/>
          </w:tcPr>
          <w:p w14:paraId="452A2B7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69B85C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BBCEE8D">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3952FCC">
            <w:pPr>
              <w:autoSpaceDN w:val="0"/>
              <w:rPr>
                <w:rFonts w:hint="eastAsia" w:ascii="宋体" w:hAnsi="宋体" w:eastAsia="宋体" w:cs="宋体"/>
                <w:b/>
                <w:color w:val="auto"/>
                <w:w w:val="90"/>
                <w:szCs w:val="21"/>
                <w:highlight w:val="none"/>
              </w:rPr>
            </w:pPr>
          </w:p>
        </w:tc>
        <w:tc>
          <w:tcPr>
            <w:tcW w:w="2268" w:type="dxa"/>
            <w:noWrap/>
            <w:vAlign w:val="center"/>
          </w:tcPr>
          <w:p w14:paraId="1DA9B98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A10030903自粘防水卷材</w:t>
            </w:r>
          </w:p>
        </w:tc>
        <w:tc>
          <w:tcPr>
            <w:tcW w:w="1855" w:type="dxa"/>
            <w:noWrap/>
            <w:vAlign w:val="center"/>
          </w:tcPr>
          <w:p w14:paraId="6F5FA962">
            <w:pPr>
              <w:autoSpaceDN w:val="0"/>
              <w:rPr>
                <w:rFonts w:hint="eastAsia" w:ascii="宋体" w:hAnsi="宋体" w:eastAsia="宋体" w:cs="宋体"/>
                <w:b/>
                <w:color w:val="auto"/>
                <w:w w:val="90"/>
                <w:szCs w:val="21"/>
                <w:highlight w:val="none"/>
              </w:rPr>
            </w:pPr>
          </w:p>
        </w:tc>
        <w:tc>
          <w:tcPr>
            <w:tcW w:w="3702" w:type="dxa"/>
            <w:noWrap/>
            <w:vAlign w:val="center"/>
          </w:tcPr>
          <w:p w14:paraId="51C4765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18C037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C22A645">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0E3E2D4">
            <w:pPr>
              <w:autoSpaceDN w:val="0"/>
              <w:rPr>
                <w:rFonts w:hint="eastAsia" w:ascii="宋体" w:hAnsi="宋体" w:eastAsia="宋体" w:cs="宋体"/>
                <w:b/>
                <w:color w:val="auto"/>
                <w:w w:val="90"/>
                <w:szCs w:val="21"/>
                <w:highlight w:val="none"/>
              </w:rPr>
            </w:pPr>
          </w:p>
        </w:tc>
        <w:tc>
          <w:tcPr>
            <w:tcW w:w="2268" w:type="dxa"/>
            <w:noWrap/>
            <w:vAlign w:val="center"/>
          </w:tcPr>
          <w:p w14:paraId="2F67C5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A10030906 高分子防水卷（片）材</w:t>
            </w:r>
          </w:p>
        </w:tc>
        <w:tc>
          <w:tcPr>
            <w:tcW w:w="1855" w:type="dxa"/>
            <w:noWrap/>
            <w:vAlign w:val="center"/>
          </w:tcPr>
          <w:p w14:paraId="30AB190D">
            <w:pPr>
              <w:autoSpaceDN w:val="0"/>
              <w:rPr>
                <w:rFonts w:hint="eastAsia" w:ascii="宋体" w:hAnsi="宋体" w:eastAsia="宋体" w:cs="宋体"/>
                <w:b/>
                <w:color w:val="auto"/>
                <w:w w:val="90"/>
                <w:szCs w:val="21"/>
                <w:highlight w:val="none"/>
              </w:rPr>
            </w:pPr>
          </w:p>
        </w:tc>
        <w:tc>
          <w:tcPr>
            <w:tcW w:w="3702" w:type="dxa"/>
            <w:noWrap/>
            <w:vAlign w:val="center"/>
          </w:tcPr>
          <w:p w14:paraId="31D0B7D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76AF4D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7C7AF0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40</w:t>
            </w:r>
          </w:p>
        </w:tc>
        <w:tc>
          <w:tcPr>
            <w:tcW w:w="1985" w:type="dxa"/>
            <w:vMerge w:val="restart"/>
            <w:noWrap/>
            <w:vAlign w:val="center"/>
          </w:tcPr>
          <w:p w14:paraId="3830B93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A100310隔热、隔音人造矿物材料及其制品</w:t>
            </w:r>
          </w:p>
        </w:tc>
        <w:tc>
          <w:tcPr>
            <w:tcW w:w="2268" w:type="dxa"/>
            <w:noWrap/>
            <w:vAlign w:val="center"/>
          </w:tcPr>
          <w:p w14:paraId="00D461F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A10031001矿物绝热和吸声材料</w:t>
            </w:r>
          </w:p>
        </w:tc>
        <w:tc>
          <w:tcPr>
            <w:tcW w:w="1855" w:type="dxa"/>
            <w:noWrap/>
            <w:vAlign w:val="center"/>
          </w:tcPr>
          <w:p w14:paraId="7D03494A">
            <w:pPr>
              <w:autoSpaceDN w:val="0"/>
              <w:rPr>
                <w:rFonts w:hint="eastAsia" w:ascii="宋体" w:hAnsi="宋体" w:eastAsia="宋体" w:cs="宋体"/>
                <w:b/>
                <w:color w:val="auto"/>
                <w:w w:val="90"/>
                <w:szCs w:val="21"/>
                <w:highlight w:val="none"/>
              </w:rPr>
            </w:pPr>
          </w:p>
        </w:tc>
        <w:tc>
          <w:tcPr>
            <w:tcW w:w="3702" w:type="dxa"/>
            <w:noWrap/>
            <w:vAlign w:val="center"/>
          </w:tcPr>
          <w:p w14:paraId="4884DF9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38E61E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0008B38">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119CD5B">
            <w:pPr>
              <w:autoSpaceDN w:val="0"/>
              <w:rPr>
                <w:rFonts w:hint="eastAsia" w:ascii="宋体" w:hAnsi="宋体" w:eastAsia="宋体" w:cs="宋体"/>
                <w:b/>
                <w:color w:val="auto"/>
                <w:w w:val="90"/>
                <w:szCs w:val="21"/>
                <w:highlight w:val="none"/>
              </w:rPr>
            </w:pPr>
          </w:p>
        </w:tc>
        <w:tc>
          <w:tcPr>
            <w:tcW w:w="2268" w:type="dxa"/>
            <w:noWrap/>
            <w:vAlign w:val="center"/>
          </w:tcPr>
          <w:p w14:paraId="3BC1A74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A10031002矿物材料制品</w:t>
            </w:r>
          </w:p>
        </w:tc>
        <w:tc>
          <w:tcPr>
            <w:tcW w:w="1855" w:type="dxa"/>
            <w:noWrap/>
            <w:vAlign w:val="center"/>
          </w:tcPr>
          <w:p w14:paraId="61C4059A">
            <w:pPr>
              <w:autoSpaceDN w:val="0"/>
              <w:rPr>
                <w:rFonts w:hint="eastAsia" w:ascii="宋体" w:hAnsi="宋体" w:eastAsia="宋体" w:cs="宋体"/>
                <w:b/>
                <w:color w:val="auto"/>
                <w:w w:val="90"/>
                <w:szCs w:val="21"/>
                <w:highlight w:val="none"/>
              </w:rPr>
            </w:pPr>
          </w:p>
        </w:tc>
        <w:tc>
          <w:tcPr>
            <w:tcW w:w="3702" w:type="dxa"/>
            <w:noWrap/>
            <w:vAlign w:val="center"/>
          </w:tcPr>
          <w:p w14:paraId="7E07D6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3EFACB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674642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41</w:t>
            </w:r>
          </w:p>
        </w:tc>
        <w:tc>
          <w:tcPr>
            <w:tcW w:w="1985" w:type="dxa"/>
            <w:noWrap/>
            <w:vAlign w:val="center"/>
          </w:tcPr>
          <w:p w14:paraId="6B87ECA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A100601功能性建筑涂料</w:t>
            </w:r>
          </w:p>
        </w:tc>
        <w:tc>
          <w:tcPr>
            <w:tcW w:w="2268" w:type="dxa"/>
            <w:noWrap/>
            <w:vAlign w:val="center"/>
          </w:tcPr>
          <w:p w14:paraId="1C53F2DF">
            <w:pPr>
              <w:autoSpaceDN w:val="0"/>
              <w:rPr>
                <w:rFonts w:hint="eastAsia" w:ascii="宋体" w:hAnsi="宋体" w:eastAsia="宋体" w:cs="宋体"/>
                <w:b/>
                <w:color w:val="auto"/>
                <w:w w:val="90"/>
                <w:szCs w:val="21"/>
                <w:highlight w:val="none"/>
              </w:rPr>
            </w:pPr>
          </w:p>
        </w:tc>
        <w:tc>
          <w:tcPr>
            <w:tcW w:w="1855" w:type="dxa"/>
            <w:noWrap/>
            <w:vAlign w:val="center"/>
          </w:tcPr>
          <w:p w14:paraId="62727298">
            <w:pPr>
              <w:autoSpaceDN w:val="0"/>
              <w:rPr>
                <w:rFonts w:hint="eastAsia" w:ascii="宋体" w:hAnsi="宋体" w:eastAsia="宋体" w:cs="宋体"/>
                <w:b/>
                <w:color w:val="auto"/>
                <w:w w:val="90"/>
                <w:szCs w:val="21"/>
                <w:highlight w:val="none"/>
              </w:rPr>
            </w:pPr>
          </w:p>
        </w:tc>
        <w:tc>
          <w:tcPr>
            <w:tcW w:w="3702" w:type="dxa"/>
            <w:noWrap/>
            <w:vAlign w:val="center"/>
          </w:tcPr>
          <w:p w14:paraId="7B5CE83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1BBAEC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A661B6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42</w:t>
            </w:r>
          </w:p>
        </w:tc>
        <w:tc>
          <w:tcPr>
            <w:tcW w:w="1985" w:type="dxa"/>
            <w:noWrap/>
            <w:vAlign w:val="center"/>
          </w:tcPr>
          <w:p w14:paraId="29FD3D3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A100399 其他非金属矿物制品</w:t>
            </w:r>
          </w:p>
        </w:tc>
        <w:tc>
          <w:tcPr>
            <w:tcW w:w="2268" w:type="dxa"/>
            <w:noWrap/>
            <w:vAlign w:val="center"/>
          </w:tcPr>
          <w:p w14:paraId="5E098F0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A10039901其他非金属建筑材料</w:t>
            </w:r>
          </w:p>
        </w:tc>
        <w:tc>
          <w:tcPr>
            <w:tcW w:w="1855" w:type="dxa"/>
            <w:noWrap/>
            <w:vAlign w:val="center"/>
          </w:tcPr>
          <w:p w14:paraId="68A06DCD">
            <w:pPr>
              <w:autoSpaceDN w:val="0"/>
              <w:rPr>
                <w:rFonts w:hint="eastAsia" w:ascii="宋体" w:hAnsi="宋体" w:eastAsia="宋体" w:cs="宋体"/>
                <w:b/>
                <w:color w:val="auto"/>
                <w:w w:val="90"/>
                <w:szCs w:val="21"/>
                <w:highlight w:val="none"/>
              </w:rPr>
            </w:pPr>
          </w:p>
        </w:tc>
        <w:tc>
          <w:tcPr>
            <w:tcW w:w="3702" w:type="dxa"/>
            <w:noWrap/>
            <w:vAlign w:val="center"/>
          </w:tcPr>
          <w:p w14:paraId="67ECEDB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HJ456刚性防水材料</w:t>
            </w:r>
          </w:p>
        </w:tc>
      </w:tr>
      <w:tr w14:paraId="17A2F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2CBC42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43</w:t>
            </w:r>
          </w:p>
        </w:tc>
        <w:tc>
          <w:tcPr>
            <w:tcW w:w="1985" w:type="dxa"/>
            <w:vMerge w:val="restart"/>
            <w:noWrap/>
            <w:vAlign w:val="center"/>
          </w:tcPr>
          <w:p w14:paraId="3B34ECA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A100602墙面涂料</w:t>
            </w:r>
          </w:p>
        </w:tc>
        <w:tc>
          <w:tcPr>
            <w:tcW w:w="2268" w:type="dxa"/>
            <w:noWrap/>
            <w:vAlign w:val="center"/>
          </w:tcPr>
          <w:p w14:paraId="444A67B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A10060202合成树脂乳液内墙涂料</w:t>
            </w:r>
          </w:p>
        </w:tc>
        <w:tc>
          <w:tcPr>
            <w:tcW w:w="1855" w:type="dxa"/>
            <w:noWrap/>
            <w:vAlign w:val="center"/>
          </w:tcPr>
          <w:p w14:paraId="79CF7BA9">
            <w:pPr>
              <w:autoSpaceDN w:val="0"/>
              <w:rPr>
                <w:rFonts w:hint="eastAsia" w:ascii="宋体" w:hAnsi="宋体" w:eastAsia="宋体" w:cs="宋体"/>
                <w:b/>
                <w:color w:val="auto"/>
                <w:w w:val="90"/>
                <w:szCs w:val="21"/>
                <w:highlight w:val="none"/>
              </w:rPr>
            </w:pPr>
          </w:p>
        </w:tc>
        <w:tc>
          <w:tcPr>
            <w:tcW w:w="3702" w:type="dxa"/>
            <w:noWrap/>
            <w:vAlign w:val="center"/>
          </w:tcPr>
          <w:p w14:paraId="59BE4AB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60DB98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B45CB51">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3375EC76">
            <w:pPr>
              <w:autoSpaceDN w:val="0"/>
              <w:rPr>
                <w:rFonts w:hint="eastAsia" w:ascii="宋体" w:hAnsi="宋体" w:eastAsia="宋体" w:cs="宋体"/>
                <w:b/>
                <w:color w:val="auto"/>
                <w:w w:val="90"/>
                <w:szCs w:val="21"/>
                <w:highlight w:val="none"/>
              </w:rPr>
            </w:pPr>
          </w:p>
        </w:tc>
        <w:tc>
          <w:tcPr>
            <w:tcW w:w="2268" w:type="dxa"/>
            <w:noWrap/>
            <w:vAlign w:val="center"/>
          </w:tcPr>
          <w:p w14:paraId="2A79CDE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A10060203合成树脂乳液外墙涂料</w:t>
            </w:r>
          </w:p>
        </w:tc>
        <w:tc>
          <w:tcPr>
            <w:tcW w:w="1855" w:type="dxa"/>
            <w:noWrap/>
            <w:vAlign w:val="center"/>
          </w:tcPr>
          <w:p w14:paraId="563E842E">
            <w:pPr>
              <w:autoSpaceDN w:val="0"/>
              <w:rPr>
                <w:rFonts w:hint="eastAsia" w:ascii="宋体" w:hAnsi="宋体" w:eastAsia="宋体" w:cs="宋体"/>
                <w:b/>
                <w:color w:val="auto"/>
                <w:w w:val="90"/>
                <w:szCs w:val="21"/>
                <w:highlight w:val="none"/>
              </w:rPr>
            </w:pPr>
          </w:p>
        </w:tc>
        <w:tc>
          <w:tcPr>
            <w:tcW w:w="3702" w:type="dxa"/>
            <w:noWrap/>
            <w:vAlign w:val="center"/>
          </w:tcPr>
          <w:p w14:paraId="58DD9AC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9AE1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0BAD52">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507720E">
            <w:pPr>
              <w:autoSpaceDN w:val="0"/>
              <w:rPr>
                <w:rFonts w:hint="eastAsia" w:ascii="宋体" w:hAnsi="宋体" w:eastAsia="宋体" w:cs="宋体"/>
                <w:b/>
                <w:color w:val="auto"/>
                <w:w w:val="90"/>
                <w:szCs w:val="21"/>
                <w:highlight w:val="none"/>
              </w:rPr>
            </w:pPr>
          </w:p>
        </w:tc>
        <w:tc>
          <w:tcPr>
            <w:tcW w:w="2268" w:type="dxa"/>
            <w:noWrap/>
            <w:vAlign w:val="center"/>
          </w:tcPr>
          <w:p w14:paraId="468779B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A10060299其他墙面涂料</w:t>
            </w:r>
          </w:p>
        </w:tc>
        <w:tc>
          <w:tcPr>
            <w:tcW w:w="1855" w:type="dxa"/>
            <w:noWrap/>
            <w:vAlign w:val="center"/>
          </w:tcPr>
          <w:p w14:paraId="735DC041">
            <w:pPr>
              <w:autoSpaceDN w:val="0"/>
              <w:rPr>
                <w:rFonts w:hint="eastAsia" w:ascii="宋体" w:hAnsi="宋体" w:eastAsia="宋体" w:cs="宋体"/>
                <w:b/>
                <w:color w:val="auto"/>
                <w:w w:val="90"/>
                <w:szCs w:val="21"/>
                <w:highlight w:val="none"/>
              </w:rPr>
            </w:pPr>
          </w:p>
        </w:tc>
        <w:tc>
          <w:tcPr>
            <w:tcW w:w="3702" w:type="dxa"/>
            <w:noWrap/>
            <w:vAlign w:val="center"/>
          </w:tcPr>
          <w:p w14:paraId="3536DC5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88DE0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B0717E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44</w:t>
            </w:r>
          </w:p>
        </w:tc>
        <w:tc>
          <w:tcPr>
            <w:tcW w:w="1985" w:type="dxa"/>
            <w:noWrap/>
            <w:vAlign w:val="center"/>
          </w:tcPr>
          <w:p w14:paraId="521CCDD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A100604防水涂料</w:t>
            </w:r>
          </w:p>
        </w:tc>
        <w:tc>
          <w:tcPr>
            <w:tcW w:w="2268" w:type="dxa"/>
            <w:noWrap/>
            <w:vAlign w:val="center"/>
          </w:tcPr>
          <w:p w14:paraId="724513A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A10060499其他防水涂料</w:t>
            </w:r>
          </w:p>
        </w:tc>
        <w:tc>
          <w:tcPr>
            <w:tcW w:w="1855" w:type="dxa"/>
            <w:noWrap/>
            <w:vAlign w:val="center"/>
          </w:tcPr>
          <w:p w14:paraId="29CB3F83">
            <w:pPr>
              <w:autoSpaceDN w:val="0"/>
              <w:rPr>
                <w:rFonts w:hint="eastAsia" w:ascii="宋体" w:hAnsi="宋体" w:eastAsia="宋体" w:cs="宋体"/>
                <w:b/>
                <w:color w:val="auto"/>
                <w:w w:val="90"/>
                <w:szCs w:val="21"/>
                <w:highlight w:val="none"/>
              </w:rPr>
            </w:pPr>
          </w:p>
        </w:tc>
        <w:tc>
          <w:tcPr>
            <w:tcW w:w="3702" w:type="dxa"/>
            <w:noWrap/>
            <w:vAlign w:val="center"/>
          </w:tcPr>
          <w:p w14:paraId="30D9B6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6EDFAB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1CAE70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45</w:t>
            </w:r>
          </w:p>
        </w:tc>
        <w:tc>
          <w:tcPr>
            <w:tcW w:w="1985" w:type="dxa"/>
            <w:noWrap/>
            <w:vAlign w:val="center"/>
          </w:tcPr>
          <w:p w14:paraId="751626A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A100699其他建筑涂料</w:t>
            </w:r>
          </w:p>
        </w:tc>
        <w:tc>
          <w:tcPr>
            <w:tcW w:w="2268" w:type="dxa"/>
            <w:noWrap/>
            <w:vAlign w:val="center"/>
          </w:tcPr>
          <w:p w14:paraId="1B0FBFF1">
            <w:pPr>
              <w:autoSpaceDN w:val="0"/>
              <w:rPr>
                <w:rFonts w:hint="eastAsia" w:ascii="宋体" w:hAnsi="宋体" w:eastAsia="宋体" w:cs="宋体"/>
                <w:b/>
                <w:color w:val="auto"/>
                <w:w w:val="90"/>
                <w:szCs w:val="21"/>
                <w:highlight w:val="none"/>
              </w:rPr>
            </w:pPr>
          </w:p>
        </w:tc>
        <w:tc>
          <w:tcPr>
            <w:tcW w:w="1855" w:type="dxa"/>
            <w:noWrap/>
            <w:vAlign w:val="center"/>
          </w:tcPr>
          <w:p w14:paraId="1AACD5CA">
            <w:pPr>
              <w:autoSpaceDN w:val="0"/>
              <w:rPr>
                <w:rFonts w:hint="eastAsia" w:ascii="宋体" w:hAnsi="宋体" w:eastAsia="宋体" w:cs="宋体"/>
                <w:b/>
                <w:color w:val="auto"/>
                <w:w w:val="90"/>
                <w:szCs w:val="21"/>
                <w:highlight w:val="none"/>
              </w:rPr>
            </w:pPr>
          </w:p>
        </w:tc>
        <w:tc>
          <w:tcPr>
            <w:tcW w:w="3702" w:type="dxa"/>
            <w:noWrap/>
            <w:vAlign w:val="center"/>
          </w:tcPr>
          <w:p w14:paraId="656540A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7976C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40B81D6">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46</w:t>
            </w:r>
          </w:p>
        </w:tc>
        <w:tc>
          <w:tcPr>
            <w:tcW w:w="1985" w:type="dxa"/>
            <w:noWrap/>
            <w:vAlign w:val="center"/>
          </w:tcPr>
          <w:p w14:paraId="6DEE5BE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A100701门、门槛</w:t>
            </w:r>
          </w:p>
        </w:tc>
        <w:tc>
          <w:tcPr>
            <w:tcW w:w="2268" w:type="dxa"/>
            <w:noWrap/>
            <w:vAlign w:val="center"/>
          </w:tcPr>
          <w:p w14:paraId="7B9B4149">
            <w:pPr>
              <w:autoSpaceDN w:val="0"/>
              <w:rPr>
                <w:rFonts w:hint="eastAsia" w:ascii="宋体" w:hAnsi="宋体" w:eastAsia="宋体" w:cs="宋体"/>
                <w:b/>
                <w:color w:val="auto"/>
                <w:w w:val="90"/>
                <w:szCs w:val="21"/>
                <w:highlight w:val="none"/>
              </w:rPr>
            </w:pPr>
          </w:p>
        </w:tc>
        <w:tc>
          <w:tcPr>
            <w:tcW w:w="1855" w:type="dxa"/>
            <w:noWrap/>
            <w:vAlign w:val="center"/>
          </w:tcPr>
          <w:p w14:paraId="15A07220">
            <w:pPr>
              <w:autoSpaceDN w:val="0"/>
              <w:rPr>
                <w:rFonts w:hint="eastAsia" w:ascii="宋体" w:hAnsi="宋体" w:eastAsia="宋体" w:cs="宋体"/>
                <w:b/>
                <w:color w:val="auto"/>
                <w:w w:val="90"/>
                <w:szCs w:val="21"/>
                <w:highlight w:val="none"/>
              </w:rPr>
            </w:pPr>
          </w:p>
        </w:tc>
        <w:tc>
          <w:tcPr>
            <w:tcW w:w="3702" w:type="dxa"/>
            <w:noWrap/>
            <w:vAlign w:val="center"/>
          </w:tcPr>
          <w:p w14:paraId="687CB3F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 237塑料门窗/HJ459 木质门和钢质门</w:t>
            </w:r>
          </w:p>
        </w:tc>
      </w:tr>
      <w:tr w14:paraId="2042F3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D2957E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47</w:t>
            </w:r>
          </w:p>
        </w:tc>
        <w:tc>
          <w:tcPr>
            <w:tcW w:w="1985" w:type="dxa"/>
            <w:noWrap/>
            <w:vAlign w:val="center"/>
          </w:tcPr>
          <w:p w14:paraId="0181C97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A100702窗</w:t>
            </w:r>
          </w:p>
        </w:tc>
        <w:tc>
          <w:tcPr>
            <w:tcW w:w="2268" w:type="dxa"/>
            <w:noWrap/>
            <w:vAlign w:val="center"/>
          </w:tcPr>
          <w:p w14:paraId="24DE8814">
            <w:pPr>
              <w:autoSpaceDN w:val="0"/>
              <w:rPr>
                <w:rFonts w:hint="eastAsia" w:ascii="宋体" w:hAnsi="宋体" w:eastAsia="宋体" w:cs="宋体"/>
                <w:b/>
                <w:color w:val="auto"/>
                <w:w w:val="90"/>
                <w:szCs w:val="21"/>
                <w:highlight w:val="none"/>
              </w:rPr>
            </w:pPr>
          </w:p>
        </w:tc>
        <w:tc>
          <w:tcPr>
            <w:tcW w:w="1855" w:type="dxa"/>
            <w:noWrap/>
            <w:vAlign w:val="center"/>
          </w:tcPr>
          <w:p w14:paraId="1B7D39F6">
            <w:pPr>
              <w:autoSpaceDN w:val="0"/>
              <w:rPr>
                <w:rFonts w:hint="eastAsia" w:ascii="宋体" w:hAnsi="宋体" w:eastAsia="宋体" w:cs="宋体"/>
                <w:b/>
                <w:color w:val="auto"/>
                <w:w w:val="90"/>
                <w:szCs w:val="21"/>
                <w:highlight w:val="none"/>
              </w:rPr>
            </w:pPr>
          </w:p>
        </w:tc>
        <w:tc>
          <w:tcPr>
            <w:tcW w:w="3702" w:type="dxa"/>
            <w:noWrap/>
            <w:vAlign w:val="center"/>
          </w:tcPr>
          <w:p w14:paraId="78B6768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HJ/T237塑料门窗</w:t>
            </w:r>
          </w:p>
        </w:tc>
      </w:tr>
      <w:tr w14:paraId="75C5CD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F8A062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48</w:t>
            </w:r>
          </w:p>
        </w:tc>
        <w:tc>
          <w:tcPr>
            <w:tcW w:w="1985" w:type="dxa"/>
            <w:noWrap/>
            <w:vAlign w:val="center"/>
          </w:tcPr>
          <w:p w14:paraId="77E91BC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A170108涂料（建筑涂料除外）</w:t>
            </w:r>
          </w:p>
        </w:tc>
        <w:tc>
          <w:tcPr>
            <w:tcW w:w="2268" w:type="dxa"/>
            <w:noWrap/>
            <w:vAlign w:val="center"/>
          </w:tcPr>
          <w:p w14:paraId="37ED5941">
            <w:pPr>
              <w:autoSpaceDN w:val="0"/>
              <w:rPr>
                <w:rFonts w:hint="eastAsia" w:ascii="宋体" w:hAnsi="宋体" w:eastAsia="宋体" w:cs="宋体"/>
                <w:b/>
                <w:color w:val="auto"/>
                <w:w w:val="90"/>
                <w:szCs w:val="21"/>
                <w:highlight w:val="none"/>
              </w:rPr>
            </w:pPr>
          </w:p>
        </w:tc>
        <w:tc>
          <w:tcPr>
            <w:tcW w:w="1855" w:type="dxa"/>
            <w:noWrap/>
            <w:vAlign w:val="center"/>
          </w:tcPr>
          <w:p w14:paraId="2AC11AB6">
            <w:pPr>
              <w:autoSpaceDN w:val="0"/>
              <w:rPr>
                <w:rFonts w:hint="eastAsia" w:ascii="宋体" w:hAnsi="宋体" w:eastAsia="宋体" w:cs="宋体"/>
                <w:b/>
                <w:color w:val="auto"/>
                <w:w w:val="90"/>
                <w:szCs w:val="21"/>
                <w:highlight w:val="none"/>
              </w:rPr>
            </w:pPr>
          </w:p>
        </w:tc>
        <w:tc>
          <w:tcPr>
            <w:tcW w:w="3702" w:type="dxa"/>
            <w:noWrap/>
            <w:vAlign w:val="center"/>
          </w:tcPr>
          <w:p w14:paraId="429C682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34EE35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3EBB96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49</w:t>
            </w:r>
          </w:p>
        </w:tc>
        <w:tc>
          <w:tcPr>
            <w:tcW w:w="1985" w:type="dxa"/>
            <w:noWrap/>
            <w:vAlign w:val="center"/>
          </w:tcPr>
          <w:p w14:paraId="10EB3C7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A170112密封用填料及类似品</w:t>
            </w:r>
          </w:p>
        </w:tc>
        <w:tc>
          <w:tcPr>
            <w:tcW w:w="2268" w:type="dxa"/>
            <w:noWrap/>
            <w:vAlign w:val="center"/>
          </w:tcPr>
          <w:p w14:paraId="6E11BA19">
            <w:pPr>
              <w:autoSpaceDN w:val="0"/>
              <w:rPr>
                <w:rFonts w:hint="eastAsia" w:ascii="宋体" w:hAnsi="宋体" w:eastAsia="宋体" w:cs="宋体"/>
                <w:b/>
                <w:color w:val="auto"/>
                <w:w w:val="90"/>
                <w:szCs w:val="21"/>
                <w:highlight w:val="none"/>
              </w:rPr>
            </w:pPr>
          </w:p>
        </w:tc>
        <w:tc>
          <w:tcPr>
            <w:tcW w:w="1855" w:type="dxa"/>
            <w:noWrap/>
            <w:vAlign w:val="center"/>
          </w:tcPr>
          <w:p w14:paraId="3E7ACD8F">
            <w:pPr>
              <w:autoSpaceDN w:val="0"/>
              <w:rPr>
                <w:rFonts w:hint="eastAsia" w:ascii="宋体" w:hAnsi="宋体" w:eastAsia="宋体" w:cs="宋体"/>
                <w:b/>
                <w:color w:val="auto"/>
                <w:w w:val="90"/>
                <w:szCs w:val="21"/>
                <w:highlight w:val="none"/>
              </w:rPr>
            </w:pPr>
          </w:p>
        </w:tc>
        <w:tc>
          <w:tcPr>
            <w:tcW w:w="3702" w:type="dxa"/>
            <w:noWrap/>
            <w:vAlign w:val="center"/>
          </w:tcPr>
          <w:p w14:paraId="6BFB4DC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HJ2541胶粘剂</w:t>
            </w:r>
          </w:p>
        </w:tc>
      </w:tr>
      <w:tr w14:paraId="4C6E66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DBA3DC0">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50</w:t>
            </w:r>
          </w:p>
        </w:tc>
        <w:tc>
          <w:tcPr>
            <w:tcW w:w="1985" w:type="dxa"/>
            <w:noWrap/>
            <w:vAlign w:val="center"/>
          </w:tcPr>
          <w:p w14:paraId="6A14CF6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A180201塑料制品</w:t>
            </w:r>
          </w:p>
        </w:tc>
        <w:tc>
          <w:tcPr>
            <w:tcW w:w="2268" w:type="dxa"/>
            <w:noWrap/>
            <w:vAlign w:val="center"/>
          </w:tcPr>
          <w:p w14:paraId="4D834A70">
            <w:pPr>
              <w:autoSpaceDN w:val="0"/>
              <w:rPr>
                <w:rFonts w:hint="eastAsia" w:ascii="宋体" w:hAnsi="宋体" w:eastAsia="宋体" w:cs="宋体"/>
                <w:b/>
                <w:color w:val="auto"/>
                <w:w w:val="90"/>
                <w:szCs w:val="21"/>
                <w:highlight w:val="none"/>
              </w:rPr>
            </w:pPr>
          </w:p>
        </w:tc>
        <w:tc>
          <w:tcPr>
            <w:tcW w:w="1855" w:type="dxa"/>
            <w:noWrap/>
            <w:vAlign w:val="center"/>
          </w:tcPr>
          <w:p w14:paraId="4A68D2E1">
            <w:pPr>
              <w:autoSpaceDN w:val="0"/>
              <w:rPr>
                <w:rFonts w:hint="eastAsia" w:ascii="宋体" w:hAnsi="宋体" w:eastAsia="宋体" w:cs="宋体"/>
                <w:b/>
                <w:color w:val="auto"/>
                <w:w w:val="90"/>
                <w:szCs w:val="21"/>
                <w:highlight w:val="none"/>
              </w:rPr>
            </w:pPr>
          </w:p>
        </w:tc>
        <w:tc>
          <w:tcPr>
            <w:tcW w:w="3702" w:type="dxa"/>
            <w:noWrap/>
            <w:vAlign w:val="center"/>
          </w:tcPr>
          <w:p w14:paraId="1A7DCAB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HJ/T226建筑用塑料管材/HJ/T231 再生塑料制品</w:t>
            </w:r>
          </w:p>
        </w:tc>
      </w:tr>
    </w:tbl>
    <w:p w14:paraId="55212954">
      <w:pPr>
        <w:autoSpaceDN w:val="0"/>
        <w:spacing w:line="360" w:lineRule="auto"/>
        <w:ind w:left="-850" w:leftChars="-405" w:right="-1050" w:rightChars="-500" w:firstLine="382" w:firstLineChars="201"/>
        <w:rPr>
          <w:rFonts w:hint="eastAsia" w:ascii="宋体" w:hAnsi="宋体" w:eastAsia="宋体" w:cs="宋体"/>
          <w:color w:val="auto"/>
          <w:kern w:val="0"/>
          <w:sz w:val="28"/>
          <w:highlight w:val="none"/>
        </w:rPr>
      </w:pPr>
      <w:r>
        <w:rPr>
          <w:rFonts w:hint="eastAsia" w:ascii="宋体" w:hAnsi="宋体" w:eastAsia="宋体" w:cs="宋体"/>
          <w:b/>
          <w:color w:val="auto"/>
          <w:w w:val="90"/>
          <w:highlight w:val="none"/>
        </w:rPr>
        <w:t>注：环境标志产品认证应依据相关标准的最新版本。</w:t>
      </w:r>
    </w:p>
    <w:p w14:paraId="47934B57">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br w:type="page"/>
      </w:r>
      <w:bookmarkStart w:id="282" w:name="_Toc7988475"/>
      <w:bookmarkStart w:id="283" w:name="_Toc7988421"/>
      <w:bookmarkStart w:id="284" w:name="_Toc17428254"/>
      <w:bookmarkStart w:id="285" w:name="_Toc7492528"/>
      <w:bookmarkStart w:id="286" w:name="_Toc8007005"/>
      <w:bookmarkStart w:id="287" w:name="_Toc10432458"/>
      <w:bookmarkStart w:id="288" w:name="_Toc7574705"/>
      <w:bookmarkStart w:id="289" w:name="_Toc25765010"/>
      <w:bookmarkStart w:id="290" w:name="_Toc7488759"/>
      <w:bookmarkStart w:id="291" w:name="_Toc7993641"/>
      <w:bookmarkStart w:id="292" w:name="_Toc7668950"/>
      <w:bookmarkStart w:id="293" w:name="_Toc7664197"/>
      <w:bookmarkStart w:id="294" w:name="_Toc24471818"/>
      <w:bookmarkStart w:id="295" w:name="_Toc7663597"/>
      <w:bookmarkStart w:id="296" w:name="_Toc7542916"/>
      <w:bookmarkStart w:id="297" w:name="_Toc17428349"/>
      <w:bookmarkStart w:id="298" w:name="_Toc20358292"/>
      <w:r>
        <w:rPr>
          <w:rFonts w:hint="eastAsia" w:ascii="宋体" w:hAnsi="宋体" w:eastAsia="宋体" w:cs="宋体"/>
          <w:b/>
          <w:bCs/>
          <w:color w:val="auto"/>
          <w:kern w:val="0"/>
          <w:sz w:val="30"/>
          <w:highlight w:val="none"/>
        </w:rPr>
        <w:t>五、市场监管总局关于发布参与实施政府采购节能产品、环境标志产品认证机构名录的公告（2019年第16号）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380C127">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8"/>
          <w:highlight w:val="none"/>
        </w:rPr>
      </w:pPr>
    </w:p>
    <w:p w14:paraId="0EB01D18">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36"/>
          <w:highlight w:val="none"/>
        </w:rPr>
      </w:pPr>
      <w:r>
        <w:rPr>
          <w:rFonts w:hint="eastAsia" w:ascii="宋体" w:hAnsi="宋体" w:eastAsia="宋体" w:cs="宋体"/>
          <w:b/>
          <w:color w:val="auto"/>
          <w:kern w:val="0"/>
          <w:sz w:val="36"/>
          <w:highlight w:val="none"/>
        </w:rPr>
        <w:t>市场监管总局关于发布参与实施政府采购节能产品、环境</w:t>
      </w:r>
    </w:p>
    <w:p w14:paraId="4B5E0FE2">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36"/>
          <w:highlight w:val="none"/>
        </w:rPr>
        <w:t>标志产品认证机构名录的公告</w:t>
      </w:r>
    </w:p>
    <w:p w14:paraId="7EDFA039">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7A616E4F">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1675F58">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4C242C48">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09902340">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7DA46293">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附1：参与实施政府采购节能产品认证机构名录</w:t>
      </w:r>
    </w:p>
    <w:tbl>
      <w:tblPr>
        <w:tblStyle w:val="51"/>
        <w:tblW w:w="995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998"/>
      </w:tblGrid>
      <w:tr w14:paraId="4ED381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14:paraId="69AA4B6B">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序号</w:t>
            </w:r>
          </w:p>
        </w:tc>
        <w:tc>
          <w:tcPr>
            <w:tcW w:w="2481" w:type="dxa"/>
            <w:gridSpan w:val="2"/>
            <w:shd w:val="clear" w:color="auto" w:fill="DAEEF3"/>
            <w:noWrap/>
            <w:tcMar>
              <w:top w:w="0" w:type="dxa"/>
              <w:left w:w="108" w:type="dxa"/>
              <w:bottom w:w="0" w:type="dxa"/>
              <w:right w:w="108" w:type="dxa"/>
            </w:tcMar>
            <w:vAlign w:val="center"/>
          </w:tcPr>
          <w:p w14:paraId="19F07D1F">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一级目录</w:t>
            </w:r>
          </w:p>
        </w:tc>
        <w:tc>
          <w:tcPr>
            <w:tcW w:w="2904" w:type="dxa"/>
            <w:gridSpan w:val="2"/>
            <w:shd w:val="clear" w:color="auto" w:fill="DAEEF3"/>
            <w:noWrap/>
            <w:tcMar>
              <w:top w:w="0" w:type="dxa"/>
              <w:left w:w="108" w:type="dxa"/>
              <w:bottom w:w="0" w:type="dxa"/>
              <w:right w:w="108" w:type="dxa"/>
            </w:tcMar>
            <w:vAlign w:val="center"/>
          </w:tcPr>
          <w:p w14:paraId="0A9B319E">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二级目录</w:t>
            </w:r>
          </w:p>
        </w:tc>
        <w:tc>
          <w:tcPr>
            <w:tcW w:w="3998" w:type="dxa"/>
            <w:vMerge w:val="restart"/>
            <w:shd w:val="clear" w:color="auto" w:fill="DAEEF3"/>
            <w:noWrap/>
            <w:tcMar>
              <w:top w:w="0" w:type="dxa"/>
              <w:left w:w="108" w:type="dxa"/>
              <w:bottom w:w="0" w:type="dxa"/>
              <w:right w:w="108" w:type="dxa"/>
            </w:tcMar>
            <w:vAlign w:val="center"/>
          </w:tcPr>
          <w:p w14:paraId="117D1B1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认证机构名录</w:t>
            </w:r>
          </w:p>
        </w:tc>
      </w:tr>
      <w:tr w14:paraId="799D21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14:paraId="730ACD74">
            <w:pPr>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134" w:type="dxa"/>
            <w:shd w:val="clear" w:color="auto" w:fill="DAEEF3"/>
            <w:noWrap/>
            <w:tcMar>
              <w:top w:w="0" w:type="dxa"/>
              <w:left w:w="108" w:type="dxa"/>
              <w:bottom w:w="0" w:type="dxa"/>
              <w:right w:w="108" w:type="dxa"/>
            </w:tcMar>
            <w:vAlign w:val="center"/>
          </w:tcPr>
          <w:p w14:paraId="44392E6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347" w:type="dxa"/>
            <w:shd w:val="clear" w:color="auto" w:fill="DAEEF3"/>
            <w:noWrap/>
            <w:tcMar>
              <w:top w:w="0" w:type="dxa"/>
              <w:left w:w="0" w:type="dxa"/>
              <w:bottom w:w="0" w:type="dxa"/>
              <w:right w:w="0" w:type="dxa"/>
            </w:tcMar>
            <w:vAlign w:val="center"/>
          </w:tcPr>
          <w:p w14:paraId="6F834AC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1308" w:type="dxa"/>
            <w:shd w:val="clear" w:color="auto" w:fill="DAEEF3"/>
            <w:noWrap/>
            <w:tcMar>
              <w:top w:w="0" w:type="dxa"/>
              <w:left w:w="0" w:type="dxa"/>
              <w:bottom w:w="0" w:type="dxa"/>
              <w:right w:w="0" w:type="dxa"/>
            </w:tcMar>
            <w:vAlign w:val="center"/>
          </w:tcPr>
          <w:p w14:paraId="2A72D0B7">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596" w:type="dxa"/>
            <w:shd w:val="clear" w:color="auto" w:fill="DAEEF3"/>
            <w:noWrap/>
            <w:tcMar>
              <w:top w:w="0" w:type="dxa"/>
              <w:left w:w="0" w:type="dxa"/>
              <w:bottom w:w="0" w:type="dxa"/>
              <w:right w:w="0" w:type="dxa"/>
            </w:tcMar>
            <w:vAlign w:val="center"/>
          </w:tcPr>
          <w:p w14:paraId="7707651A">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3998" w:type="dxa"/>
            <w:vMerge w:val="continue"/>
            <w:shd w:val="clear" w:color="auto" w:fill="DAEEF3"/>
            <w:noWrap/>
            <w:tcMar>
              <w:top w:w="0" w:type="dxa"/>
              <w:left w:w="0" w:type="dxa"/>
              <w:bottom w:w="0" w:type="dxa"/>
              <w:right w:w="0" w:type="dxa"/>
            </w:tcMar>
            <w:vAlign w:val="center"/>
          </w:tcPr>
          <w:p w14:paraId="4599E783">
            <w:pPr>
              <w:autoSpaceDN w:val="0"/>
              <w:spacing w:line="276" w:lineRule="auto"/>
              <w:jc w:val="left"/>
              <w:textAlignment w:val="baseline"/>
              <w:rPr>
                <w:rFonts w:hint="eastAsia" w:ascii="宋体" w:hAnsi="宋体" w:eastAsia="宋体" w:cs="宋体"/>
                <w:color w:val="auto"/>
                <w:w w:val="90"/>
                <w:kern w:val="0"/>
                <w:sz w:val="22"/>
                <w:szCs w:val="22"/>
                <w:highlight w:val="none"/>
              </w:rPr>
            </w:pPr>
          </w:p>
        </w:tc>
      </w:tr>
      <w:tr w14:paraId="4C60A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100ABB6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w:t>
            </w:r>
          </w:p>
        </w:tc>
        <w:tc>
          <w:tcPr>
            <w:tcW w:w="1134" w:type="dxa"/>
            <w:vMerge w:val="restart"/>
            <w:shd w:val="clear" w:color="auto" w:fill="FFFFFF"/>
            <w:noWrap/>
            <w:tcMar>
              <w:top w:w="0" w:type="dxa"/>
              <w:left w:w="108" w:type="dxa"/>
              <w:bottom w:w="0" w:type="dxa"/>
              <w:right w:w="108" w:type="dxa"/>
            </w:tcMar>
            <w:vAlign w:val="center"/>
          </w:tcPr>
          <w:p w14:paraId="129A251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w:t>
            </w:r>
          </w:p>
        </w:tc>
        <w:tc>
          <w:tcPr>
            <w:tcW w:w="1347" w:type="dxa"/>
            <w:vMerge w:val="restart"/>
            <w:shd w:val="clear" w:color="auto" w:fill="FFFFFF"/>
            <w:noWrap/>
            <w:tcMar>
              <w:top w:w="0" w:type="dxa"/>
              <w:left w:w="108" w:type="dxa"/>
              <w:bottom w:w="0" w:type="dxa"/>
              <w:right w:w="108" w:type="dxa"/>
            </w:tcMar>
            <w:vAlign w:val="center"/>
          </w:tcPr>
          <w:p w14:paraId="2D94243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计算机设备</w:t>
            </w:r>
          </w:p>
        </w:tc>
        <w:tc>
          <w:tcPr>
            <w:tcW w:w="1308" w:type="dxa"/>
            <w:shd w:val="clear" w:color="auto" w:fill="FFFFFF"/>
            <w:noWrap/>
            <w:tcMar>
              <w:top w:w="0" w:type="dxa"/>
              <w:left w:w="108" w:type="dxa"/>
              <w:bottom w:w="0" w:type="dxa"/>
              <w:right w:w="108" w:type="dxa"/>
            </w:tcMar>
            <w:vAlign w:val="center"/>
          </w:tcPr>
          <w:p w14:paraId="10B36B3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A02010104</w:t>
            </w:r>
          </w:p>
        </w:tc>
        <w:tc>
          <w:tcPr>
            <w:tcW w:w="1596" w:type="dxa"/>
            <w:shd w:val="clear" w:color="auto" w:fill="FFFFFF"/>
            <w:noWrap/>
            <w:tcMar>
              <w:top w:w="0" w:type="dxa"/>
              <w:left w:w="108" w:type="dxa"/>
              <w:bottom w:w="0" w:type="dxa"/>
              <w:right w:w="108" w:type="dxa"/>
            </w:tcMar>
            <w:vAlign w:val="center"/>
          </w:tcPr>
          <w:p w14:paraId="0EF2D9B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台式计算机</w:t>
            </w:r>
          </w:p>
        </w:tc>
        <w:tc>
          <w:tcPr>
            <w:tcW w:w="3998" w:type="dxa"/>
            <w:vMerge w:val="restart"/>
            <w:shd w:val="clear" w:color="auto" w:fill="FFFFFF"/>
            <w:noWrap/>
            <w:tcMar>
              <w:top w:w="0" w:type="dxa"/>
              <w:left w:w="108" w:type="dxa"/>
              <w:bottom w:w="0" w:type="dxa"/>
              <w:right w:w="108" w:type="dxa"/>
            </w:tcMar>
            <w:vAlign w:val="center"/>
          </w:tcPr>
          <w:p w14:paraId="11B3760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7FE1C8A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北京赛西认证有限责任公司</w:t>
            </w:r>
          </w:p>
          <w:p w14:paraId="17AF5C5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中国网络安全审查技术与认证中心</w:t>
            </w:r>
          </w:p>
          <w:p w14:paraId="3E13DDB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6237FE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474FD9">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801D531">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7695FEB">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613D13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A02010105</w:t>
            </w:r>
          </w:p>
        </w:tc>
        <w:tc>
          <w:tcPr>
            <w:tcW w:w="1596" w:type="dxa"/>
            <w:shd w:val="clear" w:color="auto" w:fill="FFFFFF"/>
            <w:noWrap/>
            <w:tcMar>
              <w:top w:w="0" w:type="dxa"/>
              <w:left w:w="0" w:type="dxa"/>
              <w:bottom w:w="0" w:type="dxa"/>
              <w:right w:w="0" w:type="dxa"/>
            </w:tcMar>
            <w:vAlign w:val="center"/>
          </w:tcPr>
          <w:p w14:paraId="28EA45A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便携式计算机</w:t>
            </w:r>
          </w:p>
        </w:tc>
        <w:tc>
          <w:tcPr>
            <w:tcW w:w="3998" w:type="dxa"/>
            <w:vMerge w:val="continue"/>
            <w:shd w:val="clear" w:color="auto" w:fill="FFFFFF"/>
            <w:noWrap/>
            <w:tcMar>
              <w:top w:w="0" w:type="dxa"/>
              <w:left w:w="0" w:type="dxa"/>
              <w:bottom w:w="0" w:type="dxa"/>
              <w:right w:w="0" w:type="dxa"/>
            </w:tcMar>
            <w:vAlign w:val="center"/>
          </w:tcPr>
          <w:p w14:paraId="32273A9D">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265F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6CE5032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B994C7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8BC12F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E19014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A02010107</w:t>
            </w:r>
          </w:p>
        </w:tc>
        <w:tc>
          <w:tcPr>
            <w:tcW w:w="1596" w:type="dxa"/>
            <w:shd w:val="clear" w:color="auto" w:fill="FFFFFF"/>
            <w:noWrap/>
            <w:tcMar>
              <w:top w:w="0" w:type="dxa"/>
              <w:left w:w="0" w:type="dxa"/>
              <w:bottom w:w="0" w:type="dxa"/>
              <w:right w:w="0" w:type="dxa"/>
            </w:tcMar>
            <w:vAlign w:val="center"/>
          </w:tcPr>
          <w:p w14:paraId="1A897A3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平板式微型计算机</w:t>
            </w:r>
          </w:p>
        </w:tc>
        <w:tc>
          <w:tcPr>
            <w:tcW w:w="3998" w:type="dxa"/>
            <w:vMerge w:val="continue"/>
            <w:shd w:val="clear" w:color="auto" w:fill="FFFFFF"/>
            <w:noWrap/>
            <w:tcMar>
              <w:top w:w="0" w:type="dxa"/>
              <w:left w:w="0" w:type="dxa"/>
              <w:bottom w:w="0" w:type="dxa"/>
              <w:right w:w="0" w:type="dxa"/>
            </w:tcMar>
            <w:vAlign w:val="center"/>
          </w:tcPr>
          <w:p w14:paraId="2B72697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68C14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2530A54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2</w:t>
            </w:r>
          </w:p>
        </w:tc>
        <w:tc>
          <w:tcPr>
            <w:tcW w:w="1134" w:type="dxa"/>
            <w:vMerge w:val="restart"/>
            <w:shd w:val="clear" w:color="auto" w:fill="FFFFFF"/>
            <w:noWrap/>
            <w:tcMar>
              <w:top w:w="0" w:type="dxa"/>
              <w:left w:w="108" w:type="dxa"/>
              <w:bottom w:w="0" w:type="dxa"/>
              <w:right w:w="108" w:type="dxa"/>
            </w:tcMar>
            <w:vAlign w:val="center"/>
          </w:tcPr>
          <w:p w14:paraId="54209D2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w:t>
            </w:r>
          </w:p>
        </w:tc>
        <w:tc>
          <w:tcPr>
            <w:tcW w:w="1347" w:type="dxa"/>
            <w:vMerge w:val="restart"/>
            <w:shd w:val="clear" w:color="auto" w:fill="FFFFFF"/>
            <w:noWrap/>
            <w:tcMar>
              <w:top w:w="0" w:type="dxa"/>
              <w:left w:w="108" w:type="dxa"/>
              <w:bottom w:w="0" w:type="dxa"/>
              <w:right w:w="108" w:type="dxa"/>
            </w:tcMar>
            <w:vAlign w:val="center"/>
          </w:tcPr>
          <w:p w14:paraId="04F40E2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输入输出设备</w:t>
            </w:r>
          </w:p>
        </w:tc>
        <w:tc>
          <w:tcPr>
            <w:tcW w:w="1308" w:type="dxa"/>
            <w:shd w:val="clear" w:color="auto" w:fill="FFFFFF"/>
            <w:noWrap/>
            <w:tcMar>
              <w:top w:w="0" w:type="dxa"/>
              <w:left w:w="108" w:type="dxa"/>
              <w:bottom w:w="0" w:type="dxa"/>
              <w:right w:w="108" w:type="dxa"/>
            </w:tcMar>
            <w:vAlign w:val="center"/>
          </w:tcPr>
          <w:p w14:paraId="5947537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A02010601</w:t>
            </w:r>
          </w:p>
        </w:tc>
        <w:tc>
          <w:tcPr>
            <w:tcW w:w="1596" w:type="dxa"/>
            <w:shd w:val="clear" w:color="auto" w:fill="FFFFFF"/>
            <w:noWrap/>
            <w:tcMar>
              <w:top w:w="0" w:type="dxa"/>
              <w:left w:w="108" w:type="dxa"/>
              <w:bottom w:w="0" w:type="dxa"/>
              <w:right w:w="108" w:type="dxa"/>
            </w:tcMar>
            <w:vAlign w:val="center"/>
          </w:tcPr>
          <w:p w14:paraId="2ED1E6F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打印设备</w:t>
            </w:r>
          </w:p>
        </w:tc>
        <w:tc>
          <w:tcPr>
            <w:tcW w:w="3998" w:type="dxa"/>
            <w:vMerge w:val="continue"/>
            <w:shd w:val="clear" w:color="auto" w:fill="FFFFFF"/>
            <w:noWrap/>
            <w:tcMar>
              <w:top w:w="0" w:type="dxa"/>
              <w:left w:w="0" w:type="dxa"/>
              <w:bottom w:w="0" w:type="dxa"/>
              <w:right w:w="0" w:type="dxa"/>
            </w:tcMar>
            <w:vAlign w:val="center"/>
          </w:tcPr>
          <w:p w14:paraId="44DC2C4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36134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25C149">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30EC2067">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00B105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16530FE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A02010604</w:t>
            </w:r>
          </w:p>
        </w:tc>
        <w:tc>
          <w:tcPr>
            <w:tcW w:w="1596" w:type="dxa"/>
            <w:shd w:val="clear" w:color="auto" w:fill="FFFFFF"/>
            <w:noWrap/>
            <w:tcMar>
              <w:top w:w="0" w:type="dxa"/>
              <w:left w:w="0" w:type="dxa"/>
              <w:bottom w:w="0" w:type="dxa"/>
              <w:right w:w="0" w:type="dxa"/>
            </w:tcMar>
            <w:vAlign w:val="center"/>
          </w:tcPr>
          <w:p w14:paraId="05FDE42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显示设备</w:t>
            </w:r>
          </w:p>
        </w:tc>
        <w:tc>
          <w:tcPr>
            <w:tcW w:w="3998" w:type="dxa"/>
            <w:vMerge w:val="continue"/>
            <w:shd w:val="clear" w:color="auto" w:fill="FFFFFF"/>
            <w:noWrap/>
            <w:tcMar>
              <w:top w:w="0" w:type="dxa"/>
              <w:left w:w="0" w:type="dxa"/>
              <w:bottom w:w="0" w:type="dxa"/>
              <w:right w:w="0" w:type="dxa"/>
            </w:tcMar>
            <w:vAlign w:val="center"/>
          </w:tcPr>
          <w:p w14:paraId="5A69C3A4">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8F857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B33E40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23D0ACB">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6F2483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EB79C1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A02010609</w:t>
            </w:r>
          </w:p>
        </w:tc>
        <w:tc>
          <w:tcPr>
            <w:tcW w:w="1596" w:type="dxa"/>
            <w:shd w:val="clear" w:color="auto" w:fill="FFFFFF"/>
            <w:noWrap/>
            <w:tcMar>
              <w:top w:w="0" w:type="dxa"/>
              <w:left w:w="0" w:type="dxa"/>
              <w:bottom w:w="0" w:type="dxa"/>
              <w:right w:w="0" w:type="dxa"/>
            </w:tcMar>
            <w:vAlign w:val="center"/>
          </w:tcPr>
          <w:p w14:paraId="12BCB20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图形图像输入设备</w:t>
            </w:r>
          </w:p>
        </w:tc>
        <w:tc>
          <w:tcPr>
            <w:tcW w:w="3998" w:type="dxa"/>
            <w:vMerge w:val="continue"/>
            <w:shd w:val="clear" w:color="auto" w:fill="FFFFFF"/>
            <w:noWrap/>
            <w:tcMar>
              <w:top w:w="0" w:type="dxa"/>
              <w:left w:w="0" w:type="dxa"/>
              <w:bottom w:w="0" w:type="dxa"/>
              <w:right w:w="0" w:type="dxa"/>
            </w:tcMar>
            <w:vAlign w:val="center"/>
          </w:tcPr>
          <w:p w14:paraId="359AA41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7FBA8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C2BB06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3</w:t>
            </w:r>
          </w:p>
        </w:tc>
        <w:tc>
          <w:tcPr>
            <w:tcW w:w="1134" w:type="dxa"/>
            <w:shd w:val="clear" w:color="auto" w:fill="FFFFFF"/>
            <w:noWrap/>
            <w:tcMar>
              <w:top w:w="0" w:type="dxa"/>
              <w:left w:w="108" w:type="dxa"/>
              <w:bottom w:w="0" w:type="dxa"/>
              <w:right w:w="108" w:type="dxa"/>
            </w:tcMar>
            <w:vAlign w:val="center"/>
          </w:tcPr>
          <w:p w14:paraId="0164630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A020202</w:t>
            </w:r>
          </w:p>
        </w:tc>
        <w:tc>
          <w:tcPr>
            <w:tcW w:w="1347" w:type="dxa"/>
            <w:shd w:val="clear" w:color="auto" w:fill="FFFFFF"/>
            <w:noWrap/>
            <w:tcMar>
              <w:top w:w="0" w:type="dxa"/>
              <w:left w:w="108" w:type="dxa"/>
              <w:bottom w:w="0" w:type="dxa"/>
              <w:right w:w="108" w:type="dxa"/>
            </w:tcMar>
            <w:vAlign w:val="center"/>
          </w:tcPr>
          <w:p w14:paraId="67D67FA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投影仪</w:t>
            </w:r>
          </w:p>
        </w:tc>
        <w:tc>
          <w:tcPr>
            <w:tcW w:w="1308" w:type="dxa"/>
            <w:shd w:val="clear" w:color="auto" w:fill="FFFFFF"/>
            <w:noWrap/>
            <w:tcMar>
              <w:top w:w="0" w:type="dxa"/>
              <w:left w:w="108" w:type="dxa"/>
              <w:bottom w:w="0" w:type="dxa"/>
              <w:right w:w="108" w:type="dxa"/>
            </w:tcMar>
            <w:vAlign w:val="center"/>
          </w:tcPr>
          <w:p w14:paraId="153089D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1466B5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1B1DE3BC">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90135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8DDA7A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4</w:t>
            </w:r>
          </w:p>
        </w:tc>
        <w:tc>
          <w:tcPr>
            <w:tcW w:w="1134" w:type="dxa"/>
            <w:shd w:val="clear" w:color="auto" w:fill="FFFFFF"/>
            <w:noWrap/>
            <w:tcMar>
              <w:top w:w="0" w:type="dxa"/>
              <w:left w:w="108" w:type="dxa"/>
              <w:bottom w:w="0" w:type="dxa"/>
              <w:right w:w="108" w:type="dxa"/>
            </w:tcMar>
            <w:vAlign w:val="center"/>
          </w:tcPr>
          <w:p w14:paraId="1042186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A020204</w:t>
            </w:r>
          </w:p>
        </w:tc>
        <w:tc>
          <w:tcPr>
            <w:tcW w:w="1347" w:type="dxa"/>
            <w:shd w:val="clear" w:color="auto" w:fill="FFFFFF"/>
            <w:noWrap/>
            <w:tcMar>
              <w:top w:w="0" w:type="dxa"/>
              <w:left w:w="108" w:type="dxa"/>
              <w:bottom w:w="0" w:type="dxa"/>
              <w:right w:w="108" w:type="dxa"/>
            </w:tcMar>
            <w:vAlign w:val="center"/>
          </w:tcPr>
          <w:p w14:paraId="001F62D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多功能一体机</w:t>
            </w:r>
          </w:p>
        </w:tc>
        <w:tc>
          <w:tcPr>
            <w:tcW w:w="1308" w:type="dxa"/>
            <w:shd w:val="clear" w:color="auto" w:fill="FFFFFF"/>
            <w:noWrap/>
            <w:tcMar>
              <w:top w:w="0" w:type="dxa"/>
              <w:left w:w="108" w:type="dxa"/>
              <w:bottom w:w="0" w:type="dxa"/>
              <w:right w:w="108" w:type="dxa"/>
            </w:tcMar>
            <w:vAlign w:val="center"/>
          </w:tcPr>
          <w:p w14:paraId="306FA09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CE21C7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AD1BE52">
            <w:pPr>
              <w:widowControl/>
              <w:autoSpaceDN w:val="0"/>
              <w:spacing w:line="276" w:lineRule="auto"/>
              <w:jc w:val="left"/>
              <w:rPr>
                <w:rFonts w:hint="eastAsia" w:ascii="宋体" w:hAnsi="宋体" w:eastAsia="宋体" w:cs="宋体"/>
                <w:color w:val="auto"/>
                <w:w w:val="90"/>
                <w:kern w:val="0"/>
                <w:sz w:val="22"/>
                <w:szCs w:val="22"/>
                <w:highlight w:val="none"/>
              </w:rPr>
            </w:pPr>
          </w:p>
        </w:tc>
      </w:tr>
      <w:tr w14:paraId="5C63F0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FB3C6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5</w:t>
            </w:r>
          </w:p>
        </w:tc>
        <w:tc>
          <w:tcPr>
            <w:tcW w:w="1134" w:type="dxa"/>
            <w:shd w:val="clear" w:color="auto" w:fill="FFFFFF"/>
            <w:noWrap/>
            <w:tcMar>
              <w:top w:w="0" w:type="dxa"/>
              <w:left w:w="108" w:type="dxa"/>
              <w:bottom w:w="0" w:type="dxa"/>
              <w:right w:w="108" w:type="dxa"/>
            </w:tcMar>
            <w:vAlign w:val="center"/>
          </w:tcPr>
          <w:p w14:paraId="7685BB6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w:t>
            </w:r>
          </w:p>
        </w:tc>
        <w:tc>
          <w:tcPr>
            <w:tcW w:w="1347" w:type="dxa"/>
            <w:shd w:val="clear" w:color="auto" w:fill="FFFFFF"/>
            <w:noWrap/>
            <w:tcMar>
              <w:top w:w="0" w:type="dxa"/>
              <w:left w:w="108" w:type="dxa"/>
              <w:bottom w:w="0" w:type="dxa"/>
              <w:right w:w="108" w:type="dxa"/>
            </w:tcMar>
            <w:vAlign w:val="center"/>
          </w:tcPr>
          <w:p w14:paraId="765AAB5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泵</w:t>
            </w:r>
          </w:p>
        </w:tc>
        <w:tc>
          <w:tcPr>
            <w:tcW w:w="1308" w:type="dxa"/>
            <w:shd w:val="clear" w:color="auto" w:fill="FFFFFF"/>
            <w:noWrap/>
            <w:tcMar>
              <w:top w:w="0" w:type="dxa"/>
              <w:left w:w="108" w:type="dxa"/>
              <w:bottom w:w="0" w:type="dxa"/>
              <w:right w:w="108" w:type="dxa"/>
            </w:tcMar>
            <w:vAlign w:val="center"/>
          </w:tcPr>
          <w:p w14:paraId="596B7BB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A02051901</w:t>
            </w:r>
          </w:p>
        </w:tc>
        <w:tc>
          <w:tcPr>
            <w:tcW w:w="1596" w:type="dxa"/>
            <w:shd w:val="clear" w:color="auto" w:fill="FFFFFF"/>
            <w:noWrap/>
            <w:tcMar>
              <w:top w:w="0" w:type="dxa"/>
              <w:left w:w="108" w:type="dxa"/>
              <w:bottom w:w="0" w:type="dxa"/>
              <w:right w:w="108" w:type="dxa"/>
            </w:tcMar>
            <w:vAlign w:val="center"/>
          </w:tcPr>
          <w:p w14:paraId="42027C2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离心泵</w:t>
            </w:r>
          </w:p>
        </w:tc>
        <w:tc>
          <w:tcPr>
            <w:tcW w:w="3998" w:type="dxa"/>
            <w:shd w:val="clear" w:color="auto" w:fill="FFFFFF"/>
            <w:noWrap/>
            <w:tcMar>
              <w:top w:w="0" w:type="dxa"/>
              <w:left w:w="108" w:type="dxa"/>
              <w:bottom w:w="0" w:type="dxa"/>
              <w:right w:w="108" w:type="dxa"/>
            </w:tcMar>
            <w:vAlign w:val="center"/>
          </w:tcPr>
          <w:p w14:paraId="5B22A12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878FE78">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106A290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076FDB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56CF142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6</w:t>
            </w:r>
          </w:p>
        </w:tc>
        <w:tc>
          <w:tcPr>
            <w:tcW w:w="1134" w:type="dxa"/>
            <w:vMerge w:val="restart"/>
            <w:shd w:val="clear" w:color="auto" w:fill="FFFFFF"/>
            <w:noWrap/>
            <w:tcMar>
              <w:top w:w="0" w:type="dxa"/>
              <w:left w:w="108" w:type="dxa"/>
              <w:bottom w:w="0" w:type="dxa"/>
              <w:right w:w="108" w:type="dxa"/>
            </w:tcMar>
            <w:vAlign w:val="center"/>
          </w:tcPr>
          <w:p w14:paraId="3D239A1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w:t>
            </w:r>
          </w:p>
        </w:tc>
        <w:tc>
          <w:tcPr>
            <w:tcW w:w="1347" w:type="dxa"/>
            <w:vMerge w:val="restart"/>
            <w:shd w:val="clear" w:color="auto" w:fill="FFFFFF"/>
            <w:noWrap/>
            <w:tcMar>
              <w:top w:w="0" w:type="dxa"/>
              <w:left w:w="108" w:type="dxa"/>
              <w:bottom w:w="0" w:type="dxa"/>
              <w:right w:w="108" w:type="dxa"/>
            </w:tcMar>
            <w:vAlign w:val="center"/>
          </w:tcPr>
          <w:p w14:paraId="1C6A20B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制冷空调设备</w:t>
            </w:r>
          </w:p>
        </w:tc>
        <w:tc>
          <w:tcPr>
            <w:tcW w:w="1308" w:type="dxa"/>
            <w:shd w:val="clear" w:color="auto" w:fill="FFFFFF"/>
            <w:noWrap/>
            <w:tcMar>
              <w:top w:w="0" w:type="dxa"/>
              <w:left w:w="108" w:type="dxa"/>
              <w:bottom w:w="0" w:type="dxa"/>
              <w:right w:w="108" w:type="dxa"/>
            </w:tcMar>
            <w:vAlign w:val="center"/>
          </w:tcPr>
          <w:p w14:paraId="6B9654D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A02052301</w:t>
            </w:r>
          </w:p>
        </w:tc>
        <w:tc>
          <w:tcPr>
            <w:tcW w:w="1596" w:type="dxa"/>
            <w:shd w:val="clear" w:color="auto" w:fill="FFFFFF"/>
            <w:noWrap/>
            <w:tcMar>
              <w:top w:w="0" w:type="dxa"/>
              <w:left w:w="108" w:type="dxa"/>
              <w:bottom w:w="0" w:type="dxa"/>
              <w:right w:w="108" w:type="dxa"/>
            </w:tcMar>
            <w:vAlign w:val="center"/>
          </w:tcPr>
          <w:p w14:paraId="5E5AC16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制冷压缩机</w:t>
            </w:r>
          </w:p>
        </w:tc>
        <w:tc>
          <w:tcPr>
            <w:tcW w:w="3998" w:type="dxa"/>
            <w:vMerge w:val="restart"/>
            <w:shd w:val="clear" w:color="auto" w:fill="FFFFFF"/>
            <w:noWrap/>
            <w:tcMar>
              <w:top w:w="0" w:type="dxa"/>
              <w:left w:w="108" w:type="dxa"/>
              <w:bottom w:w="0" w:type="dxa"/>
              <w:right w:w="108" w:type="dxa"/>
            </w:tcMar>
            <w:vAlign w:val="center"/>
          </w:tcPr>
          <w:p w14:paraId="4E02840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A7C8F2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773BAAF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p w14:paraId="50F8C37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北京中冷通质量认证中心有限公司</w:t>
            </w:r>
          </w:p>
        </w:tc>
      </w:tr>
      <w:tr w14:paraId="5DE75A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3859D6E7">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0DF7BD">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E35E385">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0951FF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A02052305</w:t>
            </w:r>
          </w:p>
        </w:tc>
        <w:tc>
          <w:tcPr>
            <w:tcW w:w="1596" w:type="dxa"/>
            <w:shd w:val="clear" w:color="auto" w:fill="FFFFFF"/>
            <w:noWrap/>
            <w:tcMar>
              <w:top w:w="0" w:type="dxa"/>
              <w:left w:w="0" w:type="dxa"/>
              <w:bottom w:w="0" w:type="dxa"/>
              <w:right w:w="0" w:type="dxa"/>
            </w:tcMar>
            <w:vAlign w:val="center"/>
          </w:tcPr>
          <w:p w14:paraId="2493075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空调机组</w:t>
            </w:r>
          </w:p>
        </w:tc>
        <w:tc>
          <w:tcPr>
            <w:tcW w:w="3998" w:type="dxa"/>
            <w:vMerge w:val="continue"/>
            <w:shd w:val="clear" w:color="auto" w:fill="FFFFFF"/>
            <w:noWrap/>
            <w:tcMar>
              <w:top w:w="0" w:type="dxa"/>
              <w:left w:w="0" w:type="dxa"/>
              <w:bottom w:w="0" w:type="dxa"/>
              <w:right w:w="0" w:type="dxa"/>
            </w:tcMar>
            <w:vAlign w:val="center"/>
          </w:tcPr>
          <w:p w14:paraId="4B9947F0">
            <w:pPr>
              <w:widowControl/>
              <w:autoSpaceDN w:val="0"/>
              <w:spacing w:line="276" w:lineRule="auto"/>
              <w:jc w:val="left"/>
              <w:rPr>
                <w:rFonts w:hint="eastAsia" w:ascii="宋体" w:hAnsi="宋体" w:eastAsia="宋体" w:cs="宋体"/>
                <w:color w:val="auto"/>
                <w:w w:val="90"/>
                <w:kern w:val="0"/>
                <w:sz w:val="22"/>
                <w:szCs w:val="22"/>
                <w:highlight w:val="none"/>
              </w:rPr>
            </w:pPr>
          </w:p>
        </w:tc>
      </w:tr>
      <w:tr w14:paraId="0793F6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10B72B3">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95A6AA0">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50ED0DF">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42071C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A02052309</w:t>
            </w:r>
          </w:p>
        </w:tc>
        <w:tc>
          <w:tcPr>
            <w:tcW w:w="1596" w:type="dxa"/>
            <w:shd w:val="clear" w:color="auto" w:fill="FFFFFF"/>
            <w:noWrap/>
            <w:tcMar>
              <w:top w:w="0" w:type="dxa"/>
              <w:left w:w="0" w:type="dxa"/>
              <w:bottom w:w="0" w:type="dxa"/>
              <w:right w:w="0" w:type="dxa"/>
            </w:tcMar>
            <w:vAlign w:val="center"/>
          </w:tcPr>
          <w:p w14:paraId="71DE22A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专用制冷、空调设备</w:t>
            </w:r>
          </w:p>
        </w:tc>
        <w:tc>
          <w:tcPr>
            <w:tcW w:w="3998" w:type="dxa"/>
            <w:vMerge w:val="continue"/>
            <w:shd w:val="clear" w:color="auto" w:fill="FFFFFF"/>
            <w:noWrap/>
            <w:tcMar>
              <w:top w:w="0" w:type="dxa"/>
              <w:left w:w="0" w:type="dxa"/>
              <w:bottom w:w="0" w:type="dxa"/>
              <w:right w:w="0" w:type="dxa"/>
            </w:tcMar>
            <w:vAlign w:val="center"/>
          </w:tcPr>
          <w:p w14:paraId="5CA68A14">
            <w:pPr>
              <w:widowControl/>
              <w:autoSpaceDN w:val="0"/>
              <w:spacing w:line="276" w:lineRule="auto"/>
              <w:jc w:val="left"/>
              <w:rPr>
                <w:rFonts w:hint="eastAsia" w:ascii="宋体" w:hAnsi="宋体" w:eastAsia="宋体" w:cs="宋体"/>
                <w:color w:val="auto"/>
                <w:w w:val="90"/>
                <w:kern w:val="0"/>
                <w:sz w:val="22"/>
                <w:szCs w:val="22"/>
                <w:highlight w:val="none"/>
              </w:rPr>
            </w:pPr>
          </w:p>
        </w:tc>
      </w:tr>
      <w:tr w14:paraId="4488D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8C00C8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E0059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CE7CB78">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5A422E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A02052399</w:t>
            </w:r>
          </w:p>
        </w:tc>
        <w:tc>
          <w:tcPr>
            <w:tcW w:w="1596" w:type="dxa"/>
            <w:shd w:val="clear" w:color="auto" w:fill="FFFFFF"/>
            <w:noWrap/>
            <w:tcMar>
              <w:top w:w="0" w:type="dxa"/>
              <w:left w:w="0" w:type="dxa"/>
              <w:bottom w:w="0" w:type="dxa"/>
              <w:right w:w="0" w:type="dxa"/>
            </w:tcMar>
            <w:vAlign w:val="center"/>
          </w:tcPr>
          <w:p w14:paraId="5E506A0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其他制冷空调设备</w:t>
            </w:r>
          </w:p>
        </w:tc>
        <w:tc>
          <w:tcPr>
            <w:tcW w:w="3998" w:type="dxa"/>
            <w:vMerge w:val="continue"/>
            <w:shd w:val="clear" w:color="auto" w:fill="FFFFFF"/>
            <w:noWrap/>
            <w:tcMar>
              <w:top w:w="0" w:type="dxa"/>
              <w:left w:w="0" w:type="dxa"/>
              <w:bottom w:w="0" w:type="dxa"/>
              <w:right w:w="0" w:type="dxa"/>
            </w:tcMar>
            <w:vAlign w:val="center"/>
          </w:tcPr>
          <w:p w14:paraId="30A89039">
            <w:pPr>
              <w:widowControl/>
              <w:autoSpaceDN w:val="0"/>
              <w:spacing w:line="276" w:lineRule="auto"/>
              <w:jc w:val="left"/>
              <w:rPr>
                <w:rFonts w:hint="eastAsia" w:ascii="宋体" w:hAnsi="宋体" w:eastAsia="宋体" w:cs="宋体"/>
                <w:color w:val="auto"/>
                <w:w w:val="90"/>
                <w:kern w:val="0"/>
                <w:sz w:val="22"/>
                <w:szCs w:val="22"/>
                <w:highlight w:val="none"/>
              </w:rPr>
            </w:pPr>
          </w:p>
        </w:tc>
      </w:tr>
      <w:tr w14:paraId="04CE2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4EC57E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7</w:t>
            </w:r>
          </w:p>
        </w:tc>
        <w:tc>
          <w:tcPr>
            <w:tcW w:w="1134" w:type="dxa"/>
            <w:shd w:val="clear" w:color="auto" w:fill="FFFFFF"/>
            <w:noWrap/>
            <w:tcMar>
              <w:top w:w="0" w:type="dxa"/>
              <w:left w:w="108" w:type="dxa"/>
              <w:bottom w:w="0" w:type="dxa"/>
              <w:right w:w="108" w:type="dxa"/>
            </w:tcMar>
            <w:vAlign w:val="center"/>
          </w:tcPr>
          <w:p w14:paraId="7DD40B1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A020601</w:t>
            </w:r>
          </w:p>
        </w:tc>
        <w:tc>
          <w:tcPr>
            <w:tcW w:w="1347" w:type="dxa"/>
            <w:shd w:val="clear" w:color="auto" w:fill="FFFFFF"/>
            <w:noWrap/>
            <w:tcMar>
              <w:top w:w="0" w:type="dxa"/>
              <w:left w:w="108" w:type="dxa"/>
              <w:bottom w:w="0" w:type="dxa"/>
              <w:right w:w="108" w:type="dxa"/>
            </w:tcMar>
            <w:vAlign w:val="center"/>
          </w:tcPr>
          <w:p w14:paraId="32585E4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电机</w:t>
            </w:r>
          </w:p>
        </w:tc>
        <w:tc>
          <w:tcPr>
            <w:tcW w:w="1308" w:type="dxa"/>
            <w:shd w:val="clear" w:color="auto" w:fill="FFFFFF"/>
            <w:noWrap/>
            <w:tcMar>
              <w:top w:w="0" w:type="dxa"/>
              <w:left w:w="108" w:type="dxa"/>
              <w:bottom w:w="0" w:type="dxa"/>
              <w:right w:w="108" w:type="dxa"/>
            </w:tcMar>
            <w:vAlign w:val="center"/>
          </w:tcPr>
          <w:p w14:paraId="27DDEE8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021DF66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46B481C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7841D6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0B1AF93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7B36931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中国船级社质量认证公司</w:t>
            </w:r>
          </w:p>
        </w:tc>
      </w:tr>
      <w:tr w14:paraId="77455F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AD58D4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8</w:t>
            </w:r>
          </w:p>
        </w:tc>
        <w:tc>
          <w:tcPr>
            <w:tcW w:w="1134" w:type="dxa"/>
            <w:shd w:val="clear" w:color="auto" w:fill="FFFFFF"/>
            <w:noWrap/>
            <w:tcMar>
              <w:top w:w="0" w:type="dxa"/>
              <w:left w:w="108" w:type="dxa"/>
              <w:bottom w:w="0" w:type="dxa"/>
              <w:right w:w="108" w:type="dxa"/>
            </w:tcMar>
            <w:vAlign w:val="center"/>
          </w:tcPr>
          <w:p w14:paraId="339F253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A020602</w:t>
            </w:r>
          </w:p>
        </w:tc>
        <w:tc>
          <w:tcPr>
            <w:tcW w:w="1347" w:type="dxa"/>
            <w:shd w:val="clear" w:color="auto" w:fill="FFFFFF"/>
            <w:noWrap/>
            <w:tcMar>
              <w:top w:w="0" w:type="dxa"/>
              <w:left w:w="108" w:type="dxa"/>
              <w:bottom w:w="0" w:type="dxa"/>
              <w:right w:w="108" w:type="dxa"/>
            </w:tcMar>
            <w:vAlign w:val="center"/>
          </w:tcPr>
          <w:p w14:paraId="4C01642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变压器</w:t>
            </w:r>
          </w:p>
        </w:tc>
        <w:tc>
          <w:tcPr>
            <w:tcW w:w="1308" w:type="dxa"/>
            <w:shd w:val="clear" w:color="auto" w:fill="FFFFFF"/>
            <w:noWrap/>
            <w:tcMar>
              <w:top w:w="0" w:type="dxa"/>
              <w:left w:w="108" w:type="dxa"/>
              <w:bottom w:w="0" w:type="dxa"/>
              <w:right w:w="108" w:type="dxa"/>
            </w:tcMar>
            <w:vAlign w:val="center"/>
          </w:tcPr>
          <w:p w14:paraId="6D2E19B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F8FD57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B3515C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249FC62">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27C72B0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2C6F15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87545F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9</w:t>
            </w:r>
          </w:p>
        </w:tc>
        <w:tc>
          <w:tcPr>
            <w:tcW w:w="1134" w:type="dxa"/>
            <w:shd w:val="clear" w:color="auto" w:fill="FFFFFF"/>
            <w:noWrap/>
            <w:tcMar>
              <w:top w:w="0" w:type="dxa"/>
              <w:left w:w="108" w:type="dxa"/>
              <w:bottom w:w="0" w:type="dxa"/>
              <w:right w:w="108" w:type="dxa"/>
            </w:tcMar>
            <w:vAlign w:val="center"/>
          </w:tcPr>
          <w:p w14:paraId="5BEBDCF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A020609</w:t>
            </w:r>
          </w:p>
        </w:tc>
        <w:tc>
          <w:tcPr>
            <w:tcW w:w="1347" w:type="dxa"/>
            <w:shd w:val="clear" w:color="auto" w:fill="FFFFFF"/>
            <w:noWrap/>
            <w:tcMar>
              <w:top w:w="0" w:type="dxa"/>
              <w:left w:w="108" w:type="dxa"/>
              <w:bottom w:w="0" w:type="dxa"/>
              <w:right w:w="108" w:type="dxa"/>
            </w:tcMar>
            <w:vAlign w:val="center"/>
          </w:tcPr>
          <w:p w14:paraId="4E365F7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镇流器</w:t>
            </w:r>
          </w:p>
        </w:tc>
        <w:tc>
          <w:tcPr>
            <w:tcW w:w="1308" w:type="dxa"/>
            <w:shd w:val="clear" w:color="auto" w:fill="FFFFFF"/>
            <w:noWrap/>
            <w:tcMar>
              <w:top w:w="0" w:type="dxa"/>
              <w:left w:w="108" w:type="dxa"/>
              <w:bottom w:w="0" w:type="dxa"/>
              <w:right w:w="108" w:type="dxa"/>
            </w:tcMar>
            <w:vAlign w:val="center"/>
          </w:tcPr>
          <w:p w14:paraId="457DCBD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220D0C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5C04578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4AF84DA3">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49EC881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38DE05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09939F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10</w:t>
            </w:r>
          </w:p>
        </w:tc>
        <w:tc>
          <w:tcPr>
            <w:tcW w:w="1134" w:type="dxa"/>
            <w:vMerge w:val="restart"/>
            <w:shd w:val="clear" w:color="auto" w:fill="FFFFFF"/>
            <w:noWrap/>
            <w:tcMar>
              <w:top w:w="0" w:type="dxa"/>
              <w:left w:w="108" w:type="dxa"/>
              <w:bottom w:w="0" w:type="dxa"/>
              <w:right w:w="108" w:type="dxa"/>
            </w:tcMar>
            <w:vAlign w:val="center"/>
          </w:tcPr>
          <w:p w14:paraId="63AFD9C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w:t>
            </w:r>
          </w:p>
        </w:tc>
        <w:tc>
          <w:tcPr>
            <w:tcW w:w="1347" w:type="dxa"/>
            <w:vMerge w:val="restart"/>
            <w:shd w:val="clear" w:color="auto" w:fill="FFFFFF"/>
            <w:noWrap/>
            <w:tcMar>
              <w:top w:w="0" w:type="dxa"/>
              <w:left w:w="108" w:type="dxa"/>
              <w:bottom w:w="0" w:type="dxa"/>
              <w:right w:w="108" w:type="dxa"/>
            </w:tcMar>
            <w:vAlign w:val="center"/>
          </w:tcPr>
          <w:p w14:paraId="482ABC5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生活用电器</w:t>
            </w:r>
          </w:p>
        </w:tc>
        <w:tc>
          <w:tcPr>
            <w:tcW w:w="1308" w:type="dxa"/>
            <w:shd w:val="clear" w:color="auto" w:fill="FFFFFF"/>
            <w:noWrap/>
            <w:tcMar>
              <w:top w:w="0" w:type="dxa"/>
              <w:left w:w="108" w:type="dxa"/>
              <w:bottom w:w="0" w:type="dxa"/>
              <w:right w:w="108" w:type="dxa"/>
            </w:tcMar>
            <w:vAlign w:val="center"/>
          </w:tcPr>
          <w:p w14:paraId="4653236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A0206180101</w:t>
            </w:r>
          </w:p>
        </w:tc>
        <w:tc>
          <w:tcPr>
            <w:tcW w:w="1596" w:type="dxa"/>
            <w:shd w:val="clear" w:color="auto" w:fill="FFFFFF"/>
            <w:noWrap/>
            <w:tcMar>
              <w:top w:w="0" w:type="dxa"/>
              <w:left w:w="108" w:type="dxa"/>
              <w:bottom w:w="0" w:type="dxa"/>
              <w:right w:w="108" w:type="dxa"/>
            </w:tcMar>
            <w:vAlign w:val="center"/>
          </w:tcPr>
          <w:p w14:paraId="30EC641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电冰箱</w:t>
            </w:r>
          </w:p>
        </w:tc>
        <w:tc>
          <w:tcPr>
            <w:tcW w:w="3998" w:type="dxa"/>
            <w:shd w:val="clear" w:color="auto" w:fill="FFFFFF"/>
            <w:noWrap/>
            <w:tcMar>
              <w:top w:w="0" w:type="dxa"/>
              <w:left w:w="108" w:type="dxa"/>
              <w:bottom w:w="0" w:type="dxa"/>
              <w:right w:w="108" w:type="dxa"/>
            </w:tcMar>
            <w:vAlign w:val="center"/>
          </w:tcPr>
          <w:p w14:paraId="4671F85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911573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3270077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07A582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D9BC5B0">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1B1FE81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E4CC00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F2378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A0206180203</w:t>
            </w:r>
          </w:p>
        </w:tc>
        <w:tc>
          <w:tcPr>
            <w:tcW w:w="1596" w:type="dxa"/>
            <w:shd w:val="clear" w:color="auto" w:fill="FFFFFF"/>
            <w:noWrap/>
            <w:tcMar>
              <w:top w:w="0" w:type="dxa"/>
              <w:left w:w="0" w:type="dxa"/>
              <w:bottom w:w="0" w:type="dxa"/>
              <w:right w:w="0" w:type="dxa"/>
            </w:tcMar>
            <w:vAlign w:val="center"/>
          </w:tcPr>
          <w:p w14:paraId="213CFF1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w:t>
            </w:r>
          </w:p>
        </w:tc>
        <w:tc>
          <w:tcPr>
            <w:tcW w:w="3998" w:type="dxa"/>
            <w:shd w:val="clear" w:color="auto" w:fill="FFFFFF"/>
            <w:noWrap/>
            <w:tcMar>
              <w:top w:w="0" w:type="dxa"/>
              <w:left w:w="0" w:type="dxa"/>
              <w:bottom w:w="0" w:type="dxa"/>
              <w:right w:w="0" w:type="dxa"/>
            </w:tcMar>
            <w:vAlign w:val="center"/>
          </w:tcPr>
          <w:p w14:paraId="577DC7D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10F356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7668B46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7A166E8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tc>
      </w:tr>
      <w:tr w14:paraId="62832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4008259F">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AC1FBAC">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4C126BD3">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0FC5F7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A0206180301</w:t>
            </w:r>
          </w:p>
        </w:tc>
        <w:tc>
          <w:tcPr>
            <w:tcW w:w="1596" w:type="dxa"/>
            <w:shd w:val="clear" w:color="auto" w:fill="FFFFFF"/>
            <w:noWrap/>
            <w:tcMar>
              <w:top w:w="0" w:type="dxa"/>
              <w:left w:w="0" w:type="dxa"/>
              <w:bottom w:w="0" w:type="dxa"/>
              <w:right w:w="0" w:type="dxa"/>
            </w:tcMar>
            <w:vAlign w:val="center"/>
          </w:tcPr>
          <w:p w14:paraId="1A21A3A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洗衣机</w:t>
            </w:r>
          </w:p>
        </w:tc>
        <w:tc>
          <w:tcPr>
            <w:tcW w:w="3998" w:type="dxa"/>
            <w:shd w:val="clear" w:color="auto" w:fill="FFFFFF"/>
            <w:noWrap/>
            <w:tcMar>
              <w:top w:w="0" w:type="dxa"/>
              <w:left w:w="0" w:type="dxa"/>
              <w:bottom w:w="0" w:type="dxa"/>
              <w:right w:w="0" w:type="dxa"/>
            </w:tcMar>
            <w:vAlign w:val="center"/>
          </w:tcPr>
          <w:p w14:paraId="121515D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4916EAB8">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4FDA3BD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148E4F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54C6292">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8F14CBA">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6AE8284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5C0EFC3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A02061808</w:t>
            </w:r>
          </w:p>
        </w:tc>
        <w:tc>
          <w:tcPr>
            <w:tcW w:w="1596" w:type="dxa"/>
            <w:shd w:val="clear" w:color="auto" w:fill="FFFFFF"/>
            <w:noWrap/>
            <w:tcMar>
              <w:top w:w="0" w:type="dxa"/>
              <w:left w:w="0" w:type="dxa"/>
              <w:bottom w:w="0" w:type="dxa"/>
              <w:right w:w="0" w:type="dxa"/>
            </w:tcMar>
            <w:vAlign w:val="center"/>
          </w:tcPr>
          <w:p w14:paraId="18CF348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热水器</w:t>
            </w:r>
          </w:p>
        </w:tc>
        <w:tc>
          <w:tcPr>
            <w:tcW w:w="3998" w:type="dxa"/>
            <w:shd w:val="clear" w:color="auto" w:fill="FFFFFF"/>
            <w:noWrap/>
            <w:tcMar>
              <w:top w:w="0" w:type="dxa"/>
              <w:left w:w="0" w:type="dxa"/>
              <w:bottom w:w="0" w:type="dxa"/>
              <w:right w:w="0" w:type="dxa"/>
            </w:tcMar>
            <w:vAlign w:val="center"/>
          </w:tcPr>
          <w:p w14:paraId="288A22F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D47DA1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6F868CD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7BBBB55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合肥通用机械产品认证有限公司(范围仅限于“热泵热水器”)</w:t>
            </w:r>
          </w:p>
        </w:tc>
      </w:tr>
      <w:tr w14:paraId="201691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EE9D8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11</w:t>
            </w:r>
          </w:p>
        </w:tc>
        <w:tc>
          <w:tcPr>
            <w:tcW w:w="1134" w:type="dxa"/>
            <w:shd w:val="clear" w:color="auto" w:fill="FFFFFF"/>
            <w:noWrap/>
            <w:tcMar>
              <w:top w:w="0" w:type="dxa"/>
              <w:left w:w="108" w:type="dxa"/>
              <w:bottom w:w="0" w:type="dxa"/>
              <w:right w:w="108" w:type="dxa"/>
            </w:tcMar>
            <w:vAlign w:val="center"/>
          </w:tcPr>
          <w:p w14:paraId="5507004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A020619</w:t>
            </w:r>
          </w:p>
        </w:tc>
        <w:tc>
          <w:tcPr>
            <w:tcW w:w="1347" w:type="dxa"/>
            <w:shd w:val="clear" w:color="auto" w:fill="FFFFFF"/>
            <w:noWrap/>
            <w:tcMar>
              <w:top w:w="0" w:type="dxa"/>
              <w:left w:w="108" w:type="dxa"/>
              <w:bottom w:w="0" w:type="dxa"/>
              <w:right w:w="108" w:type="dxa"/>
            </w:tcMar>
            <w:vAlign w:val="center"/>
          </w:tcPr>
          <w:p w14:paraId="4658D6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照明设备</w:t>
            </w:r>
          </w:p>
        </w:tc>
        <w:tc>
          <w:tcPr>
            <w:tcW w:w="1308" w:type="dxa"/>
            <w:shd w:val="clear" w:color="auto" w:fill="FFFFFF"/>
            <w:noWrap/>
            <w:tcMar>
              <w:top w:w="0" w:type="dxa"/>
              <w:left w:w="108" w:type="dxa"/>
              <w:bottom w:w="0" w:type="dxa"/>
              <w:right w:w="108" w:type="dxa"/>
            </w:tcMar>
            <w:vAlign w:val="center"/>
          </w:tcPr>
          <w:p w14:paraId="00960C0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27D6478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1189C50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A32AE5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58773BED">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305EF6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61AAB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12</w:t>
            </w:r>
          </w:p>
        </w:tc>
        <w:tc>
          <w:tcPr>
            <w:tcW w:w="1134" w:type="dxa"/>
            <w:shd w:val="clear" w:color="auto" w:fill="FFFFFF"/>
            <w:noWrap/>
            <w:tcMar>
              <w:top w:w="0" w:type="dxa"/>
              <w:left w:w="108" w:type="dxa"/>
              <w:bottom w:w="0" w:type="dxa"/>
              <w:right w:w="108" w:type="dxa"/>
            </w:tcMar>
            <w:vAlign w:val="center"/>
          </w:tcPr>
          <w:p w14:paraId="21D5852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w:t>
            </w:r>
          </w:p>
        </w:tc>
        <w:tc>
          <w:tcPr>
            <w:tcW w:w="1347" w:type="dxa"/>
            <w:shd w:val="clear" w:color="auto" w:fill="FFFFFF"/>
            <w:noWrap/>
            <w:tcMar>
              <w:top w:w="0" w:type="dxa"/>
              <w:left w:w="108" w:type="dxa"/>
              <w:bottom w:w="0" w:type="dxa"/>
              <w:right w:w="108" w:type="dxa"/>
            </w:tcMar>
            <w:vAlign w:val="center"/>
          </w:tcPr>
          <w:p w14:paraId="6F36617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电视设备</w:t>
            </w:r>
          </w:p>
        </w:tc>
        <w:tc>
          <w:tcPr>
            <w:tcW w:w="1308" w:type="dxa"/>
            <w:shd w:val="clear" w:color="auto" w:fill="FFFFFF"/>
            <w:noWrap/>
            <w:tcMar>
              <w:top w:w="0" w:type="dxa"/>
              <w:left w:w="108" w:type="dxa"/>
              <w:bottom w:w="0" w:type="dxa"/>
              <w:right w:w="108" w:type="dxa"/>
            </w:tcMar>
            <w:vAlign w:val="center"/>
          </w:tcPr>
          <w:p w14:paraId="27B12B2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A02091001</w:t>
            </w:r>
          </w:p>
        </w:tc>
        <w:tc>
          <w:tcPr>
            <w:tcW w:w="1596" w:type="dxa"/>
            <w:shd w:val="clear" w:color="auto" w:fill="FFFFFF"/>
            <w:noWrap/>
            <w:tcMar>
              <w:top w:w="0" w:type="dxa"/>
              <w:left w:w="108" w:type="dxa"/>
              <w:bottom w:w="0" w:type="dxa"/>
              <w:right w:w="108" w:type="dxa"/>
            </w:tcMar>
            <w:vAlign w:val="center"/>
          </w:tcPr>
          <w:p w14:paraId="647BADE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普通电视设备（电视机）</w:t>
            </w:r>
          </w:p>
        </w:tc>
        <w:tc>
          <w:tcPr>
            <w:tcW w:w="3998" w:type="dxa"/>
            <w:vMerge w:val="restart"/>
            <w:shd w:val="clear" w:color="auto" w:fill="FFFFFF"/>
            <w:noWrap/>
            <w:tcMar>
              <w:top w:w="0" w:type="dxa"/>
              <w:left w:w="108" w:type="dxa"/>
              <w:bottom w:w="0" w:type="dxa"/>
              <w:right w:w="108" w:type="dxa"/>
            </w:tcMar>
            <w:vAlign w:val="center"/>
          </w:tcPr>
          <w:p w14:paraId="3D984EA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63426F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北京泰瑞特认证有限责任公司</w:t>
            </w:r>
          </w:p>
          <w:p w14:paraId="19D50F1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497E96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E0AE8C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13</w:t>
            </w:r>
          </w:p>
        </w:tc>
        <w:tc>
          <w:tcPr>
            <w:tcW w:w="1134" w:type="dxa"/>
            <w:shd w:val="clear" w:color="auto" w:fill="FFFFFF"/>
            <w:noWrap/>
            <w:tcMar>
              <w:top w:w="0" w:type="dxa"/>
              <w:left w:w="108" w:type="dxa"/>
              <w:bottom w:w="0" w:type="dxa"/>
              <w:right w:w="108" w:type="dxa"/>
            </w:tcMar>
            <w:vAlign w:val="center"/>
          </w:tcPr>
          <w:p w14:paraId="4D0C93C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w:t>
            </w:r>
          </w:p>
        </w:tc>
        <w:tc>
          <w:tcPr>
            <w:tcW w:w="1347" w:type="dxa"/>
            <w:shd w:val="clear" w:color="auto" w:fill="FFFFFF"/>
            <w:noWrap/>
            <w:tcMar>
              <w:top w:w="0" w:type="dxa"/>
              <w:left w:w="108" w:type="dxa"/>
              <w:bottom w:w="0" w:type="dxa"/>
              <w:right w:w="108" w:type="dxa"/>
            </w:tcMar>
            <w:vAlign w:val="center"/>
          </w:tcPr>
          <w:p w14:paraId="61F4A42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视频设备</w:t>
            </w:r>
          </w:p>
        </w:tc>
        <w:tc>
          <w:tcPr>
            <w:tcW w:w="1308" w:type="dxa"/>
            <w:shd w:val="clear" w:color="auto" w:fill="FFFFFF"/>
            <w:noWrap/>
            <w:tcMar>
              <w:top w:w="0" w:type="dxa"/>
              <w:left w:w="108" w:type="dxa"/>
              <w:bottom w:w="0" w:type="dxa"/>
              <w:right w:w="108" w:type="dxa"/>
            </w:tcMar>
            <w:vAlign w:val="center"/>
          </w:tcPr>
          <w:p w14:paraId="6A94C49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A02091107</w:t>
            </w:r>
          </w:p>
        </w:tc>
        <w:tc>
          <w:tcPr>
            <w:tcW w:w="1596" w:type="dxa"/>
            <w:shd w:val="clear" w:color="auto" w:fill="FFFFFF"/>
            <w:noWrap/>
            <w:tcMar>
              <w:top w:w="0" w:type="dxa"/>
              <w:left w:w="108" w:type="dxa"/>
              <w:bottom w:w="0" w:type="dxa"/>
              <w:right w:w="108" w:type="dxa"/>
            </w:tcMar>
            <w:vAlign w:val="center"/>
          </w:tcPr>
          <w:p w14:paraId="5A1171B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视频监控设备</w:t>
            </w:r>
          </w:p>
        </w:tc>
        <w:tc>
          <w:tcPr>
            <w:tcW w:w="3998" w:type="dxa"/>
            <w:vMerge w:val="continue"/>
            <w:shd w:val="clear" w:color="auto" w:fill="FFFFFF"/>
            <w:noWrap/>
            <w:tcMar>
              <w:top w:w="0" w:type="dxa"/>
              <w:left w:w="0" w:type="dxa"/>
              <w:bottom w:w="0" w:type="dxa"/>
              <w:right w:w="0" w:type="dxa"/>
            </w:tcMar>
            <w:vAlign w:val="center"/>
          </w:tcPr>
          <w:p w14:paraId="54C9545B">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2CC76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41F8D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14</w:t>
            </w:r>
          </w:p>
        </w:tc>
        <w:tc>
          <w:tcPr>
            <w:tcW w:w="1134" w:type="dxa"/>
            <w:shd w:val="clear" w:color="auto" w:fill="FFFFFF"/>
            <w:noWrap/>
            <w:tcMar>
              <w:top w:w="0" w:type="dxa"/>
              <w:left w:w="108" w:type="dxa"/>
              <w:bottom w:w="0" w:type="dxa"/>
              <w:right w:w="108" w:type="dxa"/>
            </w:tcMar>
            <w:vAlign w:val="center"/>
          </w:tcPr>
          <w:p w14:paraId="56632C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A031210</w:t>
            </w:r>
          </w:p>
        </w:tc>
        <w:tc>
          <w:tcPr>
            <w:tcW w:w="1347" w:type="dxa"/>
            <w:shd w:val="clear" w:color="auto" w:fill="FFFFFF"/>
            <w:noWrap/>
            <w:tcMar>
              <w:top w:w="0" w:type="dxa"/>
              <w:left w:w="108" w:type="dxa"/>
              <w:bottom w:w="0" w:type="dxa"/>
              <w:right w:w="108" w:type="dxa"/>
            </w:tcMar>
            <w:vAlign w:val="center"/>
          </w:tcPr>
          <w:p w14:paraId="506DE8E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饮食炊事机械</w:t>
            </w:r>
          </w:p>
        </w:tc>
        <w:tc>
          <w:tcPr>
            <w:tcW w:w="1308" w:type="dxa"/>
            <w:shd w:val="clear" w:color="auto" w:fill="FFFFFF"/>
            <w:noWrap/>
            <w:tcMar>
              <w:top w:w="0" w:type="dxa"/>
              <w:left w:w="108" w:type="dxa"/>
              <w:bottom w:w="0" w:type="dxa"/>
              <w:right w:w="108" w:type="dxa"/>
            </w:tcMar>
            <w:vAlign w:val="center"/>
          </w:tcPr>
          <w:p w14:paraId="7FEAD48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3627BB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248B67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25CC333">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北京鉴衡认证中心</w:t>
            </w:r>
          </w:p>
          <w:p w14:paraId="3874C3DD">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中国市政工程华北设计研究总院有限公司</w:t>
            </w:r>
          </w:p>
        </w:tc>
      </w:tr>
      <w:tr w14:paraId="52F286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F910E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15</w:t>
            </w:r>
          </w:p>
        </w:tc>
        <w:tc>
          <w:tcPr>
            <w:tcW w:w="1134" w:type="dxa"/>
            <w:shd w:val="clear" w:color="auto" w:fill="FFFFFF"/>
            <w:noWrap/>
            <w:tcMar>
              <w:top w:w="0" w:type="dxa"/>
              <w:left w:w="108" w:type="dxa"/>
              <w:bottom w:w="0" w:type="dxa"/>
              <w:right w:w="108" w:type="dxa"/>
            </w:tcMar>
            <w:vAlign w:val="center"/>
          </w:tcPr>
          <w:p w14:paraId="69FE086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A060805</w:t>
            </w:r>
          </w:p>
        </w:tc>
        <w:tc>
          <w:tcPr>
            <w:tcW w:w="1347" w:type="dxa"/>
            <w:shd w:val="clear" w:color="auto" w:fill="FFFFFF"/>
            <w:noWrap/>
            <w:tcMar>
              <w:top w:w="0" w:type="dxa"/>
              <w:left w:w="108" w:type="dxa"/>
              <w:bottom w:w="0" w:type="dxa"/>
              <w:right w:w="108" w:type="dxa"/>
            </w:tcMar>
            <w:vAlign w:val="center"/>
          </w:tcPr>
          <w:p w14:paraId="717614D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w:t>
            </w:r>
          </w:p>
        </w:tc>
        <w:tc>
          <w:tcPr>
            <w:tcW w:w="1308" w:type="dxa"/>
            <w:shd w:val="clear" w:color="auto" w:fill="FFFFFF"/>
            <w:noWrap/>
            <w:tcMar>
              <w:top w:w="0" w:type="dxa"/>
              <w:left w:w="108" w:type="dxa"/>
              <w:bottom w:w="0" w:type="dxa"/>
              <w:right w:w="108" w:type="dxa"/>
            </w:tcMar>
            <w:vAlign w:val="center"/>
          </w:tcPr>
          <w:p w14:paraId="54671DD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34422C5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restart"/>
            <w:shd w:val="clear" w:color="auto" w:fill="FFFFFF"/>
            <w:noWrap/>
            <w:tcMar>
              <w:top w:w="0" w:type="dxa"/>
              <w:left w:w="108" w:type="dxa"/>
              <w:bottom w:w="0" w:type="dxa"/>
              <w:right w:w="108" w:type="dxa"/>
            </w:tcMar>
            <w:vAlign w:val="center"/>
          </w:tcPr>
          <w:p w14:paraId="21695F8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3401FF12">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北京新华节水产品认证有限公司</w:t>
            </w:r>
          </w:p>
          <w:p w14:paraId="556DF8D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3FDF3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F0A3B5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16</w:t>
            </w:r>
          </w:p>
        </w:tc>
        <w:tc>
          <w:tcPr>
            <w:tcW w:w="1134" w:type="dxa"/>
            <w:shd w:val="clear" w:color="auto" w:fill="FFFFFF"/>
            <w:noWrap/>
            <w:tcMar>
              <w:top w:w="0" w:type="dxa"/>
              <w:left w:w="108" w:type="dxa"/>
              <w:bottom w:w="0" w:type="dxa"/>
              <w:right w:w="108" w:type="dxa"/>
            </w:tcMar>
            <w:vAlign w:val="center"/>
          </w:tcPr>
          <w:p w14:paraId="6AC2385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A060806</w:t>
            </w:r>
          </w:p>
        </w:tc>
        <w:tc>
          <w:tcPr>
            <w:tcW w:w="1347" w:type="dxa"/>
            <w:shd w:val="clear" w:color="auto" w:fill="FFFFFF"/>
            <w:noWrap/>
            <w:tcMar>
              <w:top w:w="0" w:type="dxa"/>
              <w:left w:w="108" w:type="dxa"/>
              <w:bottom w:w="0" w:type="dxa"/>
              <w:right w:w="108" w:type="dxa"/>
            </w:tcMar>
            <w:vAlign w:val="center"/>
          </w:tcPr>
          <w:p w14:paraId="3F87BF9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水嘴</w:t>
            </w:r>
          </w:p>
        </w:tc>
        <w:tc>
          <w:tcPr>
            <w:tcW w:w="1308" w:type="dxa"/>
            <w:shd w:val="clear" w:color="auto" w:fill="FFFFFF"/>
            <w:noWrap/>
            <w:tcMar>
              <w:top w:w="0" w:type="dxa"/>
              <w:left w:w="108" w:type="dxa"/>
              <w:bottom w:w="0" w:type="dxa"/>
              <w:right w:w="108" w:type="dxa"/>
            </w:tcMar>
            <w:vAlign w:val="center"/>
          </w:tcPr>
          <w:p w14:paraId="414E7F3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1935FC5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5B114C8">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70A10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90FA35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17</w:t>
            </w:r>
          </w:p>
        </w:tc>
        <w:tc>
          <w:tcPr>
            <w:tcW w:w="1134" w:type="dxa"/>
            <w:shd w:val="clear" w:color="auto" w:fill="FFFFFF"/>
            <w:noWrap/>
            <w:tcMar>
              <w:top w:w="0" w:type="dxa"/>
              <w:left w:w="108" w:type="dxa"/>
              <w:bottom w:w="0" w:type="dxa"/>
              <w:right w:w="108" w:type="dxa"/>
            </w:tcMar>
            <w:vAlign w:val="center"/>
          </w:tcPr>
          <w:p w14:paraId="5D01EA5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A060807</w:t>
            </w:r>
          </w:p>
        </w:tc>
        <w:tc>
          <w:tcPr>
            <w:tcW w:w="1347" w:type="dxa"/>
            <w:shd w:val="clear" w:color="auto" w:fill="FFFFFF"/>
            <w:noWrap/>
            <w:tcMar>
              <w:top w:w="0" w:type="dxa"/>
              <w:left w:w="108" w:type="dxa"/>
              <w:bottom w:w="0" w:type="dxa"/>
              <w:right w:w="108" w:type="dxa"/>
            </w:tcMar>
            <w:vAlign w:val="center"/>
          </w:tcPr>
          <w:p w14:paraId="02E1B8D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便器冲洗阀</w:t>
            </w:r>
          </w:p>
        </w:tc>
        <w:tc>
          <w:tcPr>
            <w:tcW w:w="1308" w:type="dxa"/>
            <w:shd w:val="clear" w:color="auto" w:fill="FFFFFF"/>
            <w:noWrap/>
            <w:tcMar>
              <w:top w:w="0" w:type="dxa"/>
              <w:left w:w="108" w:type="dxa"/>
              <w:bottom w:w="0" w:type="dxa"/>
              <w:right w:w="108" w:type="dxa"/>
            </w:tcMar>
            <w:vAlign w:val="center"/>
          </w:tcPr>
          <w:p w14:paraId="1F4F715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237CB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4981733">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1D742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EBBB9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18</w:t>
            </w:r>
          </w:p>
        </w:tc>
        <w:tc>
          <w:tcPr>
            <w:tcW w:w="1134" w:type="dxa"/>
            <w:shd w:val="clear" w:color="auto" w:fill="FFFFFF"/>
            <w:noWrap/>
            <w:tcMar>
              <w:top w:w="0" w:type="dxa"/>
              <w:left w:w="108" w:type="dxa"/>
              <w:bottom w:w="0" w:type="dxa"/>
              <w:right w:w="108" w:type="dxa"/>
            </w:tcMar>
            <w:vAlign w:val="center"/>
          </w:tcPr>
          <w:p w14:paraId="478BCAC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A060810</w:t>
            </w:r>
          </w:p>
        </w:tc>
        <w:tc>
          <w:tcPr>
            <w:tcW w:w="1347" w:type="dxa"/>
            <w:shd w:val="clear" w:color="auto" w:fill="FFFFFF"/>
            <w:noWrap/>
            <w:tcMar>
              <w:top w:w="0" w:type="dxa"/>
              <w:left w:w="108" w:type="dxa"/>
              <w:bottom w:w="0" w:type="dxa"/>
              <w:right w:w="108" w:type="dxa"/>
            </w:tcMar>
            <w:vAlign w:val="center"/>
          </w:tcPr>
          <w:p w14:paraId="68A5E93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淋浴器</w:t>
            </w:r>
          </w:p>
        </w:tc>
        <w:tc>
          <w:tcPr>
            <w:tcW w:w="1308" w:type="dxa"/>
            <w:shd w:val="clear" w:color="auto" w:fill="FFFFFF"/>
            <w:noWrap/>
            <w:tcMar>
              <w:top w:w="0" w:type="dxa"/>
              <w:left w:w="108" w:type="dxa"/>
              <w:bottom w:w="0" w:type="dxa"/>
              <w:right w:w="108" w:type="dxa"/>
            </w:tcMar>
            <w:vAlign w:val="center"/>
          </w:tcPr>
          <w:p w14:paraId="14A52D6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4648039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B2D220F">
            <w:pPr>
              <w:widowControl/>
              <w:autoSpaceDN w:val="0"/>
              <w:spacing w:line="276" w:lineRule="auto"/>
              <w:jc w:val="left"/>
              <w:rPr>
                <w:rFonts w:hint="eastAsia" w:ascii="宋体" w:hAnsi="宋体" w:eastAsia="宋体" w:cs="宋体"/>
                <w:color w:val="auto"/>
                <w:w w:val="90"/>
                <w:kern w:val="0"/>
                <w:sz w:val="22"/>
                <w:szCs w:val="22"/>
                <w:highlight w:val="none"/>
              </w:rPr>
            </w:pPr>
          </w:p>
        </w:tc>
      </w:tr>
    </w:tbl>
    <w:p w14:paraId="79E48E8F">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附2：参与实施政府采购环境标志产品认证机构名录</w:t>
      </w:r>
      <w:bookmarkStart w:id="299" w:name="_GoBack"/>
      <w:bookmarkEnd w:id="299"/>
    </w:p>
    <w:tbl>
      <w:tblPr>
        <w:tblStyle w:val="51"/>
        <w:tblW w:w="998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842"/>
      </w:tblGrid>
      <w:tr w14:paraId="5C6CB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shd w:val="clear" w:color="auto" w:fill="FDE9D9"/>
            <w:noWrap/>
            <w:tcMar>
              <w:top w:w="0" w:type="dxa"/>
              <w:left w:w="108" w:type="dxa"/>
              <w:bottom w:w="0" w:type="dxa"/>
              <w:right w:w="108" w:type="dxa"/>
            </w:tcMar>
            <w:vAlign w:val="center"/>
          </w:tcPr>
          <w:p w14:paraId="4795B09A">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288" w:type="dxa"/>
            <w:shd w:val="clear" w:color="auto" w:fill="FDE9D9"/>
            <w:noWrap/>
            <w:tcMar>
              <w:top w:w="0" w:type="dxa"/>
              <w:left w:w="108" w:type="dxa"/>
              <w:bottom w:w="0" w:type="dxa"/>
              <w:right w:w="108" w:type="dxa"/>
            </w:tcMar>
            <w:vAlign w:val="center"/>
          </w:tcPr>
          <w:p w14:paraId="2619E93D">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tc>
        <w:tc>
          <w:tcPr>
            <w:tcW w:w="6842" w:type="dxa"/>
            <w:shd w:val="clear" w:color="auto" w:fill="FDE9D9"/>
            <w:noWrap/>
            <w:tcMar>
              <w:top w:w="0" w:type="dxa"/>
              <w:left w:w="108" w:type="dxa"/>
              <w:bottom w:w="0" w:type="dxa"/>
              <w:right w:w="108" w:type="dxa"/>
            </w:tcMar>
            <w:vAlign w:val="center"/>
          </w:tcPr>
          <w:p w14:paraId="440765BA">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认证机构名录</w:t>
            </w:r>
          </w:p>
        </w:tc>
      </w:tr>
      <w:tr w14:paraId="6F4A66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14:paraId="5EFBF52E">
            <w:pPr>
              <w:widowControl/>
              <w:autoSpaceDN w:val="0"/>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88" w:type="dxa"/>
            <w:shd w:val="clear" w:color="auto" w:fill="FFFFFF"/>
            <w:noWrap/>
            <w:tcMar>
              <w:top w:w="0" w:type="dxa"/>
              <w:left w:w="108" w:type="dxa"/>
              <w:bottom w:w="0" w:type="dxa"/>
              <w:right w:w="108" w:type="dxa"/>
            </w:tcMar>
            <w:vAlign w:val="center"/>
          </w:tcPr>
          <w:p w14:paraId="6B1BC5B7">
            <w:pPr>
              <w:widowControl/>
              <w:autoSpaceDN w:val="0"/>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环境标志产品</w:t>
            </w:r>
          </w:p>
        </w:tc>
        <w:tc>
          <w:tcPr>
            <w:tcW w:w="6842" w:type="dxa"/>
            <w:shd w:val="clear" w:color="auto" w:fill="FFFFFF"/>
            <w:noWrap/>
            <w:tcMar>
              <w:top w:w="0" w:type="dxa"/>
              <w:left w:w="108" w:type="dxa"/>
              <w:bottom w:w="0" w:type="dxa"/>
              <w:right w:w="108" w:type="dxa"/>
            </w:tcMar>
            <w:vAlign w:val="center"/>
          </w:tcPr>
          <w:p w14:paraId="36ADE904">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中环联合（北京）认证中心有限公司</w:t>
            </w:r>
          </w:p>
          <w:p w14:paraId="08A66113">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中标合信（北京）认证有限公司</w:t>
            </w:r>
          </w:p>
          <w:p w14:paraId="7B8FE301">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中环协（北京）认证有限公司</w:t>
            </w:r>
          </w:p>
          <w:p w14:paraId="1F1B673F">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天津华诚认证有限公司</w:t>
            </w:r>
          </w:p>
        </w:tc>
      </w:tr>
      <w:bookmarkEnd w:id="225"/>
      <w:bookmarkEnd w:id="226"/>
      <w:bookmarkEnd w:id="227"/>
      <w:bookmarkEnd w:id="228"/>
      <w:bookmarkEnd w:id="229"/>
    </w:tbl>
    <w:p w14:paraId="434C54D4">
      <w:pPr>
        <w:autoSpaceDN w:val="0"/>
        <w:jc w:val="center"/>
        <w:rPr>
          <w:rFonts w:hint="eastAsia" w:ascii="宋体" w:hAnsi="宋体" w:eastAsia="宋体" w:cs="宋体"/>
          <w:b/>
          <w:bCs/>
          <w:color w:val="auto"/>
          <w:sz w:val="28"/>
          <w:szCs w:val="28"/>
          <w:highlight w:val="none"/>
        </w:rPr>
      </w:pPr>
    </w:p>
    <w:sectPr>
      <w:headerReference r:id="rId13" w:type="first"/>
      <w:footerReference r:id="rId15" w:type="first"/>
      <w:headerReference r:id="rId12" w:type="even"/>
      <w:footerReference r:id="rId14" w:type="even"/>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宋体">
    <w:panose1 w:val="02010600030101010101"/>
    <w:charset w:val="86"/>
    <w:family w:val="auto"/>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1569">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DA91D">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BDA91D">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728E">
    <w:pPr>
      <w:pStyle w:val="31"/>
      <w:framePr w:wrap="around" w:vAnchor="text" w:hAnchor="margin" w:xAlign="center" w:y="1"/>
      <w:rPr>
        <w:rStyle w:val="55"/>
      </w:rPr>
    </w:pPr>
    <w:r>
      <w:fldChar w:fldCharType="begin"/>
    </w:r>
    <w:r>
      <w:rPr>
        <w:rStyle w:val="55"/>
      </w:rPr>
      <w:instrText xml:space="preserve">PAGE  </w:instrText>
    </w:r>
    <w:r>
      <w:fldChar w:fldCharType="end"/>
    </w:r>
  </w:p>
  <w:p w14:paraId="2C34A25C">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BA9A">
    <w:pPr>
      <w:pStyle w:val="31"/>
      <w:rPr>
        <w:rStyle w:val="5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CDF3F">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ACDF3F">
                    <w:pPr>
                      <w:pStyle w:val="31"/>
                    </w:pPr>
                    <w:r>
                      <w:fldChar w:fldCharType="begin"/>
                    </w:r>
                    <w:r>
                      <w:instrText xml:space="preserve"> PAGE  \* MERGEFORMAT </w:instrText>
                    </w:r>
                    <w:r>
                      <w:fldChar w:fldCharType="separate"/>
                    </w:r>
                    <w:r>
                      <w:t>0</w:t>
                    </w:r>
                    <w:r>
                      <w:fldChar w:fldCharType="end"/>
                    </w:r>
                  </w:p>
                </w:txbxContent>
              </v:textbox>
            </v:shape>
          </w:pict>
        </mc:Fallback>
      </mc:AlternateContent>
    </w:r>
  </w:p>
  <w:p w14:paraId="0B11DAC2">
    <w:pPr>
      <w:pStyle w:val="31"/>
      <w:framePr w:wrap="around" w:vAnchor="text" w:hAnchor="page" w:x="6439" w:y="332"/>
      <w:jc w:val="center"/>
      <w:rPr>
        <w:rStyle w:val="55"/>
      </w:rPr>
    </w:pPr>
  </w:p>
  <w:p w14:paraId="7C62E2F3">
    <w:pPr>
      <w:pStyle w:val="31"/>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141605</wp:posOffset>
              </wp:positionV>
              <wp:extent cx="6067425" cy="0"/>
              <wp:effectExtent l="0" t="0" r="9525" b="1905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588pt;margin-top:11.15pt;height:0pt;width:477.75pt;z-index:251659264;mso-width-relative:page;mso-height-relative:page;" filled="f" stroked="t"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oYsBcucBAAC4AwAADgAAAAAAAAABACAAAAAoAQAAZHJzL2Uyb0RvYy54bWxQSwUGAAAAAAYABgBZ&#10;AQAAgQ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4C63">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300"/>
                          </w:sdtPr>
                          <w:sdtEndPr>
                            <w:rPr>
                              <w:rFonts w:hint="default"/>
                              <w:lang w:val="en-US"/>
                            </w:rPr>
                          </w:sdtEndPr>
                          <w:sdtContent>
                            <w:sdt>
                              <w:sdtPr>
                                <w:id w:val="147471725"/>
                              </w:sdtPr>
                              <w:sdtEndPr>
                                <w:rPr>
                                  <w:rFonts w:hint="default"/>
                                  <w:lang w:val="en-US"/>
                                </w:rPr>
                              </w:sdtEndPr>
                              <w:sdtContent>
                                <w:p w14:paraId="1749F9DA">
                                  <w:pPr>
                                    <w:pStyle w:val="31"/>
                                    <w:jc w:val="center"/>
                                    <w:rPr>
                                      <w:rFonts w:hint="default"/>
                                      <w:lang w:val="en-US"/>
                                    </w:rPr>
                                  </w:pPr>
                                  <w:r>
                                    <w:rPr>
                                      <w:b/>
                                      <w:bCs/>
                                    </w:rPr>
                                    <w:t xml:space="preserve"> </w:t>
                                  </w:r>
                                  <w:r>
                                    <w:rPr>
                                      <w:b/>
                                      <w:bCs/>
                                    </w:rPr>
                                    <w:fldChar w:fldCharType="begin"/>
                                  </w:r>
                                  <w:r>
                                    <w:rPr>
                                      <w:b/>
                                      <w:bCs/>
                                    </w:rPr>
                                    <w:instrText xml:space="preserve">PAGE</w:instrText>
                                  </w:r>
                                  <w:r>
                                    <w:rPr>
                                      <w:b/>
                                      <w:bCs/>
                                    </w:rPr>
                                    <w:fldChar w:fldCharType="separate"/>
                                  </w:r>
                                  <w:r>
                                    <w:rPr>
                                      <w:b/>
                                      <w:bCs/>
                                    </w:rPr>
                                    <w:t>60</w:t>
                                  </w:r>
                                  <w:r>
                                    <w:rPr>
                                      <w:b/>
                                      <w:bCs/>
                                    </w:rPr>
                                    <w:fldChar w:fldCharType="end"/>
                                  </w:r>
                                  <w:r>
                                    <w:rPr>
                                      <w:b/>
                                      <w:bCs/>
                                    </w:rPr>
                                    <w:t xml:space="preserve"> / </w:t>
                                  </w:r>
                                  <w:r>
                                    <w:rPr>
                                      <w:rFonts w:hint="eastAsia"/>
                                      <w:b/>
                                      <w:bCs/>
                                      <w:lang w:val="en-US" w:eastAsia="zh-CN"/>
                                    </w:rPr>
                                    <w:t>117</w:t>
                                  </w:r>
                                </w:p>
                              </w:sdtContent>
                            </w:sdt>
                          </w:sdtContent>
                        </w:sdt>
                        <w:p w14:paraId="5C13AEB1">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0300"/>
                    </w:sdtPr>
                    <w:sdtEndPr>
                      <w:rPr>
                        <w:rFonts w:hint="default"/>
                        <w:lang w:val="en-US"/>
                      </w:rPr>
                    </w:sdtEndPr>
                    <w:sdtContent>
                      <w:sdt>
                        <w:sdtPr>
                          <w:id w:val="147471725"/>
                        </w:sdtPr>
                        <w:sdtEndPr>
                          <w:rPr>
                            <w:rFonts w:hint="default"/>
                            <w:lang w:val="en-US"/>
                          </w:rPr>
                        </w:sdtEndPr>
                        <w:sdtContent>
                          <w:p w14:paraId="1749F9DA">
                            <w:pPr>
                              <w:pStyle w:val="31"/>
                              <w:jc w:val="center"/>
                              <w:rPr>
                                <w:rFonts w:hint="default"/>
                                <w:lang w:val="en-US"/>
                              </w:rPr>
                            </w:pPr>
                            <w:r>
                              <w:rPr>
                                <w:b/>
                                <w:bCs/>
                              </w:rPr>
                              <w:t xml:space="preserve"> </w:t>
                            </w:r>
                            <w:r>
                              <w:rPr>
                                <w:b/>
                                <w:bCs/>
                              </w:rPr>
                              <w:fldChar w:fldCharType="begin"/>
                            </w:r>
                            <w:r>
                              <w:rPr>
                                <w:b/>
                                <w:bCs/>
                              </w:rPr>
                              <w:instrText xml:space="preserve">PAGE</w:instrText>
                            </w:r>
                            <w:r>
                              <w:rPr>
                                <w:b/>
                                <w:bCs/>
                              </w:rPr>
                              <w:fldChar w:fldCharType="separate"/>
                            </w:r>
                            <w:r>
                              <w:rPr>
                                <w:b/>
                                <w:bCs/>
                              </w:rPr>
                              <w:t>60</w:t>
                            </w:r>
                            <w:r>
                              <w:rPr>
                                <w:b/>
                                <w:bCs/>
                              </w:rPr>
                              <w:fldChar w:fldCharType="end"/>
                            </w:r>
                            <w:r>
                              <w:rPr>
                                <w:b/>
                                <w:bCs/>
                              </w:rPr>
                              <w:t xml:space="preserve"> / </w:t>
                            </w:r>
                            <w:r>
                              <w:rPr>
                                <w:rFonts w:hint="eastAsia"/>
                                <w:b/>
                                <w:bCs/>
                                <w:lang w:val="en-US" w:eastAsia="zh-CN"/>
                              </w:rPr>
                              <w:t>117</w:t>
                            </w:r>
                          </w:p>
                        </w:sdtContent>
                      </w:sdt>
                    </w:sdtContent>
                  </w:sdt>
                  <w:p w14:paraId="5C13AEB1">
                    <w:pPr>
                      <w:pStyle w:val="2"/>
                    </w:pPr>
                  </w:p>
                </w:txbxContent>
              </v:textbox>
            </v:shape>
          </w:pict>
        </mc:Fallback>
      </mc:AlternateContent>
    </w:r>
  </w:p>
  <w:p w14:paraId="7F678F7E">
    <w:pPr>
      <w:pStyle w:val="31"/>
    </w:pPr>
  </w:p>
  <w:p w14:paraId="6AAF9B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B49A">
    <w:pPr>
      <w:pStyle w:val="31"/>
      <w:ind w:firstLine="48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7001A">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87001A">
                    <w:pPr>
                      <w:pStyle w:val="31"/>
                    </w:pPr>
                    <w:r>
                      <w:fldChar w:fldCharType="begin"/>
                    </w:r>
                    <w:r>
                      <w:instrText xml:space="preserve"> PAGE  \* MERGEFORMAT </w:instrText>
                    </w:r>
                    <w:r>
                      <w:fldChar w:fldCharType="separate"/>
                    </w:r>
                    <w:r>
                      <w:t>0</w:t>
                    </w:r>
                    <w:r>
                      <w:fldChar w:fldCharType="end"/>
                    </w:r>
                  </w:p>
                </w:txbxContent>
              </v:textbox>
            </v:shape>
          </w:pict>
        </mc:Fallback>
      </mc:AlternateContent>
    </w:r>
    <w:sdt>
      <w:sdtPr>
        <w:id w:val="1536463268"/>
      </w:sdtPr>
      <w:sdtContent>
        <w:sdt>
          <w:sdtPr>
            <w:id w:val="1102002621"/>
            <w:showingPlcHdr/>
          </w:sdtPr>
          <w:sdtContent>
            <w:r>
              <w:t xml:space="preserve">     </w:t>
            </w:r>
          </w:sdtContent>
        </w:sdt>
      </w:sdtContent>
    </w:sdt>
  </w:p>
  <w:p w14:paraId="21858A4F">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F823">
    <w:pPr>
      <w:pStyle w:val="31"/>
      <w:ind w:firstLine="48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F2360">
                          <w:pPr>
                            <w:pStyle w:val="3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7F2360">
                    <w:pPr>
                      <w:pStyle w:val="31"/>
                    </w:pPr>
                    <w:r>
                      <w:fldChar w:fldCharType="begin"/>
                    </w:r>
                    <w:r>
                      <w:instrText xml:space="preserve"> PAGE  \* MERGEFORMAT </w:instrText>
                    </w:r>
                    <w:r>
                      <w:fldChar w:fldCharType="separate"/>
                    </w:r>
                    <w:r>
                      <w:t>79</w:t>
                    </w:r>
                    <w:r>
                      <w:fldChar w:fldCharType="end"/>
                    </w:r>
                  </w:p>
                </w:txbxContent>
              </v:textbox>
            </v:shape>
          </w:pict>
        </mc:Fallback>
      </mc:AlternateContent>
    </w:r>
    <w:sdt>
      <w:sdtPr>
        <w:id w:val="-1737227264"/>
      </w:sdtPr>
      <w:sdtContent>
        <w:sdt>
          <w:sdtPr>
            <w:id w:val="-854037306"/>
            <w:showingPlcHdr/>
          </w:sdtPr>
          <w:sdtContent>
            <w:r>
              <w:t xml:space="preserve">     </w:t>
            </w:r>
          </w:sdtContent>
        </w:sdt>
      </w:sdtContent>
    </w:sdt>
  </w:p>
  <w:p w14:paraId="237C3EF9">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30D5">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05AA">
    <w:pPr>
      <w:pStyle w:val="3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AEA67">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FAEA67">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txbxContent>
              </v:textbox>
            </v:shape>
          </w:pict>
        </mc:Fallback>
      </mc:AlternateContent>
    </w:r>
  </w:p>
  <w:p w14:paraId="3D558C34">
    <w:pPr>
      <w:pStyle w:val="31"/>
      <w:tabs>
        <w:tab w:val="left" w:pos="39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EBF">
    <w:pPr>
      <w:pStyle w:val="32"/>
      <w:ind w:firstLine="5310" w:firstLineChars="2950"/>
      <w:jc w:val="both"/>
    </w:pPr>
    <w:r>
      <w:t xml:space="preserve">  </w:t>
    </w:r>
    <w:r>
      <w:rPr>
        <w:rFonts w:hint="eastAsia"/>
      </w:rPr>
      <w:t xml:space="preserve">    </w:t>
    </w:r>
  </w:p>
  <w:p w14:paraId="326B4978">
    <w:pPr>
      <w:pStyle w:val="32"/>
      <w:jc w:val="right"/>
      <w:rPr>
        <w:rFonts w:hint="eastAsia" w:eastAsia="宋体"/>
        <w:lang w:eastAsia="zh-CN"/>
      </w:rPr>
    </w:pPr>
    <w:r>
      <w:rPr>
        <w:rFonts w:hint="eastAsia"/>
      </w:rPr>
      <w:t>项目编号：</w:t>
    </w:r>
    <w:r>
      <w:rPr>
        <w:rFonts w:hint="eastAsia"/>
        <w:lang w:eastAsia="zh-CN"/>
      </w:rPr>
      <w:t>CTZB-2025060529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2D43">
    <w:pPr>
      <w:pStyle w:val="32"/>
      <w:pBdr>
        <w:bottom w:val="single" w:color="auto" w:sz="4" w:space="0"/>
      </w:pBdr>
      <w:jc w:val="right"/>
    </w:pPr>
  </w:p>
  <w:p w14:paraId="24E9554F">
    <w:pPr>
      <w:pStyle w:val="32"/>
      <w:pBdr>
        <w:bottom w:val="single" w:color="auto" w:sz="4" w:space="0"/>
      </w:pBdr>
      <w:jc w:val="right"/>
    </w:pPr>
    <w:r>
      <w:rPr>
        <w:rFonts w:hint="eastAsia"/>
      </w:rPr>
      <w:t>项目编号：</w:t>
    </w:r>
    <w:r>
      <w:rPr>
        <w:rFonts w:hint="eastAsia"/>
        <w:lang w:eastAsia="zh-CN"/>
      </w:rPr>
      <w:t>CTZB-2025060529</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2BEB">
    <w:pPr>
      <w:pStyle w:val="32"/>
      <w:ind w:firstLine="5310" w:firstLineChars="2950"/>
      <w:jc w:val="both"/>
    </w:pPr>
    <w:r>
      <w:rPr>
        <w:rFonts w:hint="eastAsia"/>
      </w:rPr>
      <w:t xml:space="preserve">             </w:t>
    </w:r>
  </w:p>
  <w:p w14:paraId="7EA537D0">
    <w:pPr>
      <w:pStyle w:val="32"/>
      <w:ind w:firstLine="6120" w:firstLineChars="3400"/>
      <w:jc w:val="both"/>
      <w:rPr>
        <w:rFonts w:hint="eastAsia" w:eastAsia="宋体"/>
        <w:lang w:eastAsia="zh-CN"/>
      </w:rPr>
    </w:pPr>
    <w:r>
      <w:rPr>
        <w:rFonts w:hint="eastAsia"/>
      </w:rPr>
      <w:t>项目编号：</w:t>
    </w:r>
    <w:r>
      <w:rPr>
        <w:rFonts w:hint="eastAsia"/>
        <w:lang w:eastAsia="zh-CN"/>
      </w:rPr>
      <w:t>CTZB-2025060529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C404">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308B">
    <w:pPr>
      <w:pStyle w:val="32"/>
      <w:pBdr>
        <w:bottom w:val="none" w:color="auto" w:sz="0" w:space="0"/>
      </w:pBdr>
      <w:jc w:val="both"/>
    </w:pPr>
  </w:p>
  <w:p w14:paraId="58006E9D">
    <w:pPr>
      <w:pStyle w:val="32"/>
      <w:pBdr>
        <w:bottom w:val="none" w:color="auto" w:sz="0" w:space="0"/>
      </w:pBdr>
      <w:rPr>
        <w:rFonts w:hint="eastAsia" w:eastAsia="宋体"/>
        <w:lang w:eastAsia="zh-CN"/>
      </w:rPr>
    </w:pPr>
    <w:r>
      <w:rPr>
        <w:rFonts w:hint="eastAsia"/>
      </w:rPr>
      <w:t xml:space="preserve">                                                              项目编号：</w:t>
    </w:r>
    <w:r>
      <w:rPr>
        <w:rFonts w:hint="eastAsia"/>
        <w:lang w:eastAsia="zh-CN"/>
      </w:rPr>
      <w:t>CTZB-2025060529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pStyle w:val="127"/>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5B6C0D47"/>
    <w:multiLevelType w:val="singleLevel"/>
    <w:tmpl w:val="5B6C0D47"/>
    <w:lvl w:ilvl="0" w:tentative="0">
      <w:start w:val="1"/>
      <w:numFmt w:val="chineseCounting"/>
      <w:suff w:val="nothing"/>
      <w:lvlText w:val="（%1）"/>
      <w:lvlJc w:val="left"/>
    </w:lvl>
  </w:abstractNum>
  <w:abstractNum w:abstractNumId="4">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formatting="1" w:enforcement="0"/>
  <w:defaultTabStop w:val="420"/>
  <w:drawingGridHorizontalSpacing w:val="210"/>
  <w:drawingGridVerticalSpacing w:val="99999990"/>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DUyN2VhZjRmMTYwYzM3YmUyMjAyN2IwODEwZmUifQ=="/>
    <w:docVar w:name="KSO_WPS_MARK_KEY" w:val="6f0436b4-025c-4a0b-b817-77e94fbedb4b"/>
  </w:docVars>
  <w:rsids>
    <w:rsidRoot w:val="00172A27"/>
    <w:rsid w:val="00000644"/>
    <w:rsid w:val="00000D90"/>
    <w:rsid w:val="00007905"/>
    <w:rsid w:val="0001060C"/>
    <w:rsid w:val="000111B3"/>
    <w:rsid w:val="0001151E"/>
    <w:rsid w:val="000115A1"/>
    <w:rsid w:val="00012C50"/>
    <w:rsid w:val="00014127"/>
    <w:rsid w:val="00016BFC"/>
    <w:rsid w:val="00017DDF"/>
    <w:rsid w:val="0002089E"/>
    <w:rsid w:val="00021512"/>
    <w:rsid w:val="000236C8"/>
    <w:rsid w:val="0002395B"/>
    <w:rsid w:val="00025399"/>
    <w:rsid w:val="00025444"/>
    <w:rsid w:val="00026E8F"/>
    <w:rsid w:val="00030488"/>
    <w:rsid w:val="00031484"/>
    <w:rsid w:val="00034B91"/>
    <w:rsid w:val="00036A42"/>
    <w:rsid w:val="00036C09"/>
    <w:rsid w:val="000403BD"/>
    <w:rsid w:val="00040537"/>
    <w:rsid w:val="000411E6"/>
    <w:rsid w:val="00042A77"/>
    <w:rsid w:val="00042D50"/>
    <w:rsid w:val="00044097"/>
    <w:rsid w:val="000440BB"/>
    <w:rsid w:val="000440F0"/>
    <w:rsid w:val="0004736F"/>
    <w:rsid w:val="00047D9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5404"/>
    <w:rsid w:val="0007543C"/>
    <w:rsid w:val="000765E8"/>
    <w:rsid w:val="00080999"/>
    <w:rsid w:val="000815A6"/>
    <w:rsid w:val="00082AFF"/>
    <w:rsid w:val="00082F00"/>
    <w:rsid w:val="000836C3"/>
    <w:rsid w:val="00085055"/>
    <w:rsid w:val="000850C1"/>
    <w:rsid w:val="00090218"/>
    <w:rsid w:val="00091E40"/>
    <w:rsid w:val="00092481"/>
    <w:rsid w:val="000931C4"/>
    <w:rsid w:val="0009453C"/>
    <w:rsid w:val="000A0F09"/>
    <w:rsid w:val="000A1D23"/>
    <w:rsid w:val="000A4B17"/>
    <w:rsid w:val="000A4D8B"/>
    <w:rsid w:val="000A4DC5"/>
    <w:rsid w:val="000A7444"/>
    <w:rsid w:val="000A7527"/>
    <w:rsid w:val="000B11F7"/>
    <w:rsid w:val="000B3554"/>
    <w:rsid w:val="000B3814"/>
    <w:rsid w:val="000B6077"/>
    <w:rsid w:val="000B6493"/>
    <w:rsid w:val="000C14FD"/>
    <w:rsid w:val="000C1DB4"/>
    <w:rsid w:val="000C3609"/>
    <w:rsid w:val="000C36AD"/>
    <w:rsid w:val="000C624C"/>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126B3"/>
    <w:rsid w:val="001131A0"/>
    <w:rsid w:val="00113E31"/>
    <w:rsid w:val="00114E4D"/>
    <w:rsid w:val="001153F7"/>
    <w:rsid w:val="00116138"/>
    <w:rsid w:val="00116B11"/>
    <w:rsid w:val="00116CB1"/>
    <w:rsid w:val="00120621"/>
    <w:rsid w:val="001207AE"/>
    <w:rsid w:val="00121B30"/>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1FDE"/>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6D52"/>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D9C"/>
    <w:rsid w:val="00342962"/>
    <w:rsid w:val="00345BB7"/>
    <w:rsid w:val="00346154"/>
    <w:rsid w:val="00346DA5"/>
    <w:rsid w:val="00347177"/>
    <w:rsid w:val="00347C1C"/>
    <w:rsid w:val="00351006"/>
    <w:rsid w:val="0035250F"/>
    <w:rsid w:val="00352814"/>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61C3"/>
    <w:rsid w:val="003F71D0"/>
    <w:rsid w:val="003F7DF8"/>
    <w:rsid w:val="004017BC"/>
    <w:rsid w:val="004025D9"/>
    <w:rsid w:val="00402C38"/>
    <w:rsid w:val="00403D66"/>
    <w:rsid w:val="00405322"/>
    <w:rsid w:val="004056D0"/>
    <w:rsid w:val="00407298"/>
    <w:rsid w:val="0040757D"/>
    <w:rsid w:val="00407E60"/>
    <w:rsid w:val="0041027E"/>
    <w:rsid w:val="00411906"/>
    <w:rsid w:val="00412654"/>
    <w:rsid w:val="00414E2D"/>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2A8"/>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B7"/>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C64"/>
    <w:rsid w:val="00503648"/>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19"/>
    <w:rsid w:val="00532485"/>
    <w:rsid w:val="0053532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1E07"/>
    <w:rsid w:val="00624B54"/>
    <w:rsid w:val="00625370"/>
    <w:rsid w:val="00626ADC"/>
    <w:rsid w:val="00626C51"/>
    <w:rsid w:val="006271FA"/>
    <w:rsid w:val="00627358"/>
    <w:rsid w:val="00630160"/>
    <w:rsid w:val="006304CD"/>
    <w:rsid w:val="0063199B"/>
    <w:rsid w:val="00634C5B"/>
    <w:rsid w:val="006400CC"/>
    <w:rsid w:val="00641D53"/>
    <w:rsid w:val="00641EDC"/>
    <w:rsid w:val="00642915"/>
    <w:rsid w:val="00647598"/>
    <w:rsid w:val="00650B7A"/>
    <w:rsid w:val="00650F10"/>
    <w:rsid w:val="00652B66"/>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4E8E"/>
    <w:rsid w:val="00675F05"/>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6CD"/>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62AA"/>
    <w:rsid w:val="006D7622"/>
    <w:rsid w:val="006E11FD"/>
    <w:rsid w:val="006E2FEA"/>
    <w:rsid w:val="006E5217"/>
    <w:rsid w:val="006E7736"/>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0C2"/>
    <w:rsid w:val="00723F6D"/>
    <w:rsid w:val="00724E5C"/>
    <w:rsid w:val="00724EEE"/>
    <w:rsid w:val="0072504B"/>
    <w:rsid w:val="00726A8E"/>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7D7D"/>
    <w:rsid w:val="00761DB9"/>
    <w:rsid w:val="00762E2A"/>
    <w:rsid w:val="00764E86"/>
    <w:rsid w:val="00772957"/>
    <w:rsid w:val="0077525F"/>
    <w:rsid w:val="00775A27"/>
    <w:rsid w:val="00775B3B"/>
    <w:rsid w:val="0077617A"/>
    <w:rsid w:val="007772D9"/>
    <w:rsid w:val="007773B2"/>
    <w:rsid w:val="00780EAB"/>
    <w:rsid w:val="00782B95"/>
    <w:rsid w:val="00784691"/>
    <w:rsid w:val="00784E06"/>
    <w:rsid w:val="00784EDD"/>
    <w:rsid w:val="00785867"/>
    <w:rsid w:val="00785DB3"/>
    <w:rsid w:val="00787130"/>
    <w:rsid w:val="00787B93"/>
    <w:rsid w:val="00790B1A"/>
    <w:rsid w:val="00791C5A"/>
    <w:rsid w:val="007923E6"/>
    <w:rsid w:val="00793486"/>
    <w:rsid w:val="00794BCE"/>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5638"/>
    <w:rsid w:val="007C5F3D"/>
    <w:rsid w:val="007C66C8"/>
    <w:rsid w:val="007C6EE1"/>
    <w:rsid w:val="007D0429"/>
    <w:rsid w:val="007D37FF"/>
    <w:rsid w:val="007D46A9"/>
    <w:rsid w:val="007D4C33"/>
    <w:rsid w:val="007D7169"/>
    <w:rsid w:val="007E01DA"/>
    <w:rsid w:val="007E2069"/>
    <w:rsid w:val="007E46F2"/>
    <w:rsid w:val="007E560B"/>
    <w:rsid w:val="007E63D6"/>
    <w:rsid w:val="007F094C"/>
    <w:rsid w:val="007F098C"/>
    <w:rsid w:val="007F1AD9"/>
    <w:rsid w:val="007F2348"/>
    <w:rsid w:val="007F27D5"/>
    <w:rsid w:val="007F2F2D"/>
    <w:rsid w:val="007F34BE"/>
    <w:rsid w:val="007F5C52"/>
    <w:rsid w:val="007F6733"/>
    <w:rsid w:val="00804257"/>
    <w:rsid w:val="00804ECD"/>
    <w:rsid w:val="008050A8"/>
    <w:rsid w:val="00806477"/>
    <w:rsid w:val="00807FE2"/>
    <w:rsid w:val="008107D5"/>
    <w:rsid w:val="00811470"/>
    <w:rsid w:val="008158B5"/>
    <w:rsid w:val="00817481"/>
    <w:rsid w:val="00817549"/>
    <w:rsid w:val="00817ABA"/>
    <w:rsid w:val="00820947"/>
    <w:rsid w:val="0082173F"/>
    <w:rsid w:val="008255F2"/>
    <w:rsid w:val="008263F0"/>
    <w:rsid w:val="00830111"/>
    <w:rsid w:val="00830C16"/>
    <w:rsid w:val="008313C6"/>
    <w:rsid w:val="00831F79"/>
    <w:rsid w:val="00832324"/>
    <w:rsid w:val="0083606F"/>
    <w:rsid w:val="00840B0C"/>
    <w:rsid w:val="00841A7A"/>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46E7"/>
    <w:rsid w:val="00875F93"/>
    <w:rsid w:val="0087763F"/>
    <w:rsid w:val="0088087F"/>
    <w:rsid w:val="008841CC"/>
    <w:rsid w:val="008844E4"/>
    <w:rsid w:val="00885B0A"/>
    <w:rsid w:val="00886EC5"/>
    <w:rsid w:val="00891DE4"/>
    <w:rsid w:val="0089546C"/>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6169"/>
    <w:rsid w:val="0095263D"/>
    <w:rsid w:val="00952B23"/>
    <w:rsid w:val="00953F78"/>
    <w:rsid w:val="00954EA7"/>
    <w:rsid w:val="00955334"/>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19B0"/>
    <w:rsid w:val="009B2542"/>
    <w:rsid w:val="009B30B2"/>
    <w:rsid w:val="009B3E34"/>
    <w:rsid w:val="009B4681"/>
    <w:rsid w:val="009B48A9"/>
    <w:rsid w:val="009C02BE"/>
    <w:rsid w:val="009C0B8D"/>
    <w:rsid w:val="009C0CC1"/>
    <w:rsid w:val="009C168B"/>
    <w:rsid w:val="009C1A45"/>
    <w:rsid w:val="009C29AD"/>
    <w:rsid w:val="009C5D6C"/>
    <w:rsid w:val="009C6642"/>
    <w:rsid w:val="009C67EF"/>
    <w:rsid w:val="009C6E62"/>
    <w:rsid w:val="009D02C9"/>
    <w:rsid w:val="009D08B2"/>
    <w:rsid w:val="009D0D0D"/>
    <w:rsid w:val="009D2F37"/>
    <w:rsid w:val="009D302A"/>
    <w:rsid w:val="009D4532"/>
    <w:rsid w:val="009D47DA"/>
    <w:rsid w:val="009D49CB"/>
    <w:rsid w:val="009D66ED"/>
    <w:rsid w:val="009D7FB8"/>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7E72"/>
    <w:rsid w:val="00A27FFC"/>
    <w:rsid w:val="00A32D81"/>
    <w:rsid w:val="00A3394D"/>
    <w:rsid w:val="00A340AD"/>
    <w:rsid w:val="00A350C9"/>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98C"/>
    <w:rsid w:val="00A70B64"/>
    <w:rsid w:val="00A7132C"/>
    <w:rsid w:val="00A72361"/>
    <w:rsid w:val="00A725A6"/>
    <w:rsid w:val="00A72DDE"/>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416"/>
    <w:rsid w:val="00AA15E4"/>
    <w:rsid w:val="00AA19E6"/>
    <w:rsid w:val="00AA74E6"/>
    <w:rsid w:val="00AA7773"/>
    <w:rsid w:val="00AB0F5A"/>
    <w:rsid w:val="00AB4BF9"/>
    <w:rsid w:val="00AB4F3E"/>
    <w:rsid w:val="00AB51DE"/>
    <w:rsid w:val="00AB553E"/>
    <w:rsid w:val="00AC0759"/>
    <w:rsid w:val="00AC0CE3"/>
    <w:rsid w:val="00AC0E13"/>
    <w:rsid w:val="00AC1263"/>
    <w:rsid w:val="00AC2D6B"/>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1258"/>
    <w:rsid w:val="00AF24E8"/>
    <w:rsid w:val="00AF2635"/>
    <w:rsid w:val="00AF6399"/>
    <w:rsid w:val="00AF7BDE"/>
    <w:rsid w:val="00B0049C"/>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5BDD"/>
    <w:rsid w:val="00B7638C"/>
    <w:rsid w:val="00B7643B"/>
    <w:rsid w:val="00B77D45"/>
    <w:rsid w:val="00B806AC"/>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400F"/>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07E48"/>
    <w:rsid w:val="00C10637"/>
    <w:rsid w:val="00C13A55"/>
    <w:rsid w:val="00C150AB"/>
    <w:rsid w:val="00C15558"/>
    <w:rsid w:val="00C15841"/>
    <w:rsid w:val="00C175E0"/>
    <w:rsid w:val="00C26B35"/>
    <w:rsid w:val="00C2730B"/>
    <w:rsid w:val="00C3235D"/>
    <w:rsid w:val="00C32887"/>
    <w:rsid w:val="00C352E5"/>
    <w:rsid w:val="00C35D78"/>
    <w:rsid w:val="00C400C1"/>
    <w:rsid w:val="00C40476"/>
    <w:rsid w:val="00C40743"/>
    <w:rsid w:val="00C40B30"/>
    <w:rsid w:val="00C432CE"/>
    <w:rsid w:val="00C43EB1"/>
    <w:rsid w:val="00C46413"/>
    <w:rsid w:val="00C46A84"/>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E6D"/>
    <w:rsid w:val="00C937C0"/>
    <w:rsid w:val="00C94104"/>
    <w:rsid w:val="00C95E5B"/>
    <w:rsid w:val="00C95E92"/>
    <w:rsid w:val="00C96337"/>
    <w:rsid w:val="00CA0A97"/>
    <w:rsid w:val="00CA3712"/>
    <w:rsid w:val="00CA45CE"/>
    <w:rsid w:val="00CA5B44"/>
    <w:rsid w:val="00CA60C8"/>
    <w:rsid w:val="00CA613E"/>
    <w:rsid w:val="00CA6DDA"/>
    <w:rsid w:val="00CA7F29"/>
    <w:rsid w:val="00CB0CAA"/>
    <w:rsid w:val="00CB1495"/>
    <w:rsid w:val="00CB1A97"/>
    <w:rsid w:val="00CB3EC3"/>
    <w:rsid w:val="00CB57DC"/>
    <w:rsid w:val="00CB6403"/>
    <w:rsid w:val="00CC1471"/>
    <w:rsid w:val="00CC4225"/>
    <w:rsid w:val="00CC4CA0"/>
    <w:rsid w:val="00CC53B2"/>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20B6"/>
    <w:rsid w:val="00CF27E4"/>
    <w:rsid w:val="00CF4616"/>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263B"/>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22"/>
    <w:rsid w:val="00DF4284"/>
    <w:rsid w:val="00DF5DF0"/>
    <w:rsid w:val="00DF7A0E"/>
    <w:rsid w:val="00DF7A39"/>
    <w:rsid w:val="00DF7AC1"/>
    <w:rsid w:val="00E01A39"/>
    <w:rsid w:val="00E024F4"/>
    <w:rsid w:val="00E02995"/>
    <w:rsid w:val="00E02E32"/>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CEE"/>
    <w:rsid w:val="00E50DCF"/>
    <w:rsid w:val="00E53043"/>
    <w:rsid w:val="00E53E65"/>
    <w:rsid w:val="00E5495F"/>
    <w:rsid w:val="00E54CDE"/>
    <w:rsid w:val="00E55FDC"/>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9D5"/>
    <w:rsid w:val="00E9337E"/>
    <w:rsid w:val="00EA0596"/>
    <w:rsid w:val="00EA0CAF"/>
    <w:rsid w:val="00EA122A"/>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68F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F41"/>
    <w:rsid w:val="00EF37E6"/>
    <w:rsid w:val="00EF5EA2"/>
    <w:rsid w:val="00EF7DC1"/>
    <w:rsid w:val="00F00C66"/>
    <w:rsid w:val="00F0109E"/>
    <w:rsid w:val="00F024ED"/>
    <w:rsid w:val="00F10AAA"/>
    <w:rsid w:val="00F1128B"/>
    <w:rsid w:val="00F1238B"/>
    <w:rsid w:val="00F13E5E"/>
    <w:rsid w:val="00F15C13"/>
    <w:rsid w:val="00F249EB"/>
    <w:rsid w:val="00F25311"/>
    <w:rsid w:val="00F30406"/>
    <w:rsid w:val="00F30777"/>
    <w:rsid w:val="00F33BEC"/>
    <w:rsid w:val="00F40516"/>
    <w:rsid w:val="00F41755"/>
    <w:rsid w:val="00F43FF6"/>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3A1A"/>
    <w:rsid w:val="00F94750"/>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354A"/>
    <w:rsid w:val="00FE5230"/>
    <w:rsid w:val="00FE5418"/>
    <w:rsid w:val="00FF3D9E"/>
    <w:rsid w:val="011A4D50"/>
    <w:rsid w:val="01FC28A8"/>
    <w:rsid w:val="020A20CB"/>
    <w:rsid w:val="023E55D8"/>
    <w:rsid w:val="029019DF"/>
    <w:rsid w:val="029F4BF3"/>
    <w:rsid w:val="02F60143"/>
    <w:rsid w:val="037D15B0"/>
    <w:rsid w:val="04B86163"/>
    <w:rsid w:val="04C80329"/>
    <w:rsid w:val="050250E9"/>
    <w:rsid w:val="05337516"/>
    <w:rsid w:val="05635163"/>
    <w:rsid w:val="05D616F1"/>
    <w:rsid w:val="05F40538"/>
    <w:rsid w:val="06967DC1"/>
    <w:rsid w:val="06DD0069"/>
    <w:rsid w:val="06E76528"/>
    <w:rsid w:val="071E0145"/>
    <w:rsid w:val="078D6DB3"/>
    <w:rsid w:val="07AD3998"/>
    <w:rsid w:val="07CA5A19"/>
    <w:rsid w:val="08186661"/>
    <w:rsid w:val="08B5134F"/>
    <w:rsid w:val="08D174F5"/>
    <w:rsid w:val="08D22CFD"/>
    <w:rsid w:val="097021FF"/>
    <w:rsid w:val="09E96654"/>
    <w:rsid w:val="09FC48C3"/>
    <w:rsid w:val="0A28627C"/>
    <w:rsid w:val="0A7E3DA7"/>
    <w:rsid w:val="0AA359C4"/>
    <w:rsid w:val="0AE9634F"/>
    <w:rsid w:val="0B3E53E0"/>
    <w:rsid w:val="0B9B1DEB"/>
    <w:rsid w:val="0B9F4022"/>
    <w:rsid w:val="0C8532F0"/>
    <w:rsid w:val="0C916A68"/>
    <w:rsid w:val="0C976717"/>
    <w:rsid w:val="0CD07045"/>
    <w:rsid w:val="0CF046E6"/>
    <w:rsid w:val="0D492645"/>
    <w:rsid w:val="0D5D281A"/>
    <w:rsid w:val="0D637CC1"/>
    <w:rsid w:val="0D996629"/>
    <w:rsid w:val="0DB95336"/>
    <w:rsid w:val="0E341558"/>
    <w:rsid w:val="0E3D67A1"/>
    <w:rsid w:val="0E5527BE"/>
    <w:rsid w:val="0E7F1E89"/>
    <w:rsid w:val="0F5B1EAA"/>
    <w:rsid w:val="0F82485D"/>
    <w:rsid w:val="10A8676A"/>
    <w:rsid w:val="10BC18CC"/>
    <w:rsid w:val="11333F84"/>
    <w:rsid w:val="11563245"/>
    <w:rsid w:val="117A0255"/>
    <w:rsid w:val="119949D6"/>
    <w:rsid w:val="1260665B"/>
    <w:rsid w:val="12657360"/>
    <w:rsid w:val="128E1307"/>
    <w:rsid w:val="12EF3F7A"/>
    <w:rsid w:val="136A27D6"/>
    <w:rsid w:val="13C85DF9"/>
    <w:rsid w:val="13DD6143"/>
    <w:rsid w:val="140A45F3"/>
    <w:rsid w:val="141E4583"/>
    <w:rsid w:val="14276B56"/>
    <w:rsid w:val="14691040"/>
    <w:rsid w:val="14962C0F"/>
    <w:rsid w:val="14C827AF"/>
    <w:rsid w:val="155D345B"/>
    <w:rsid w:val="16066BCA"/>
    <w:rsid w:val="1658298F"/>
    <w:rsid w:val="178A56D0"/>
    <w:rsid w:val="17F64E75"/>
    <w:rsid w:val="17FB13B0"/>
    <w:rsid w:val="18BB662C"/>
    <w:rsid w:val="18BD20A7"/>
    <w:rsid w:val="19175A9A"/>
    <w:rsid w:val="19A05834"/>
    <w:rsid w:val="19F15089"/>
    <w:rsid w:val="1A8604B2"/>
    <w:rsid w:val="1A975F2F"/>
    <w:rsid w:val="1A9F4B9A"/>
    <w:rsid w:val="1AB959D2"/>
    <w:rsid w:val="1B1C0DDE"/>
    <w:rsid w:val="1BF20DF6"/>
    <w:rsid w:val="1CBD13B0"/>
    <w:rsid w:val="1CD53A47"/>
    <w:rsid w:val="1D2D491C"/>
    <w:rsid w:val="1DBE1FCA"/>
    <w:rsid w:val="1DF4614E"/>
    <w:rsid w:val="1E293303"/>
    <w:rsid w:val="1E2C7BD4"/>
    <w:rsid w:val="1E3A3801"/>
    <w:rsid w:val="1ED90DA8"/>
    <w:rsid w:val="1F2F44C6"/>
    <w:rsid w:val="1FF40422"/>
    <w:rsid w:val="202074AA"/>
    <w:rsid w:val="2041059E"/>
    <w:rsid w:val="209629AA"/>
    <w:rsid w:val="20E550E9"/>
    <w:rsid w:val="212E1977"/>
    <w:rsid w:val="21456CFD"/>
    <w:rsid w:val="21D63B5E"/>
    <w:rsid w:val="22347127"/>
    <w:rsid w:val="22662D0C"/>
    <w:rsid w:val="2278603B"/>
    <w:rsid w:val="23246109"/>
    <w:rsid w:val="234154A1"/>
    <w:rsid w:val="234A3FB0"/>
    <w:rsid w:val="23E5006C"/>
    <w:rsid w:val="2434357B"/>
    <w:rsid w:val="249A5749"/>
    <w:rsid w:val="249C1B64"/>
    <w:rsid w:val="24C23985"/>
    <w:rsid w:val="251F7F9C"/>
    <w:rsid w:val="2526720B"/>
    <w:rsid w:val="25D9546E"/>
    <w:rsid w:val="25EF535C"/>
    <w:rsid w:val="25F9267A"/>
    <w:rsid w:val="26176C81"/>
    <w:rsid w:val="261B60FF"/>
    <w:rsid w:val="26890110"/>
    <w:rsid w:val="269637DD"/>
    <w:rsid w:val="2715068F"/>
    <w:rsid w:val="2718703F"/>
    <w:rsid w:val="27327279"/>
    <w:rsid w:val="2752777D"/>
    <w:rsid w:val="2755512F"/>
    <w:rsid w:val="27BD1FDA"/>
    <w:rsid w:val="27EB5BFA"/>
    <w:rsid w:val="27F50712"/>
    <w:rsid w:val="28350B4B"/>
    <w:rsid w:val="28573D7A"/>
    <w:rsid w:val="2940500B"/>
    <w:rsid w:val="29801012"/>
    <w:rsid w:val="298D1E6F"/>
    <w:rsid w:val="29D344B0"/>
    <w:rsid w:val="2A4C0BE6"/>
    <w:rsid w:val="2A8A3D4F"/>
    <w:rsid w:val="2AA65624"/>
    <w:rsid w:val="2B2E3762"/>
    <w:rsid w:val="2BEF6BA6"/>
    <w:rsid w:val="2C2B2F0F"/>
    <w:rsid w:val="2C311EE7"/>
    <w:rsid w:val="2C61146F"/>
    <w:rsid w:val="2C703C27"/>
    <w:rsid w:val="2C932B3F"/>
    <w:rsid w:val="2CA52E7C"/>
    <w:rsid w:val="2CCF74AD"/>
    <w:rsid w:val="2CFB5354"/>
    <w:rsid w:val="2DE314E0"/>
    <w:rsid w:val="2DEE751F"/>
    <w:rsid w:val="2DF91D84"/>
    <w:rsid w:val="2E1516B8"/>
    <w:rsid w:val="2E8557DE"/>
    <w:rsid w:val="2EE8755D"/>
    <w:rsid w:val="2F241155"/>
    <w:rsid w:val="2F3B3132"/>
    <w:rsid w:val="2F5738AA"/>
    <w:rsid w:val="2FD974D9"/>
    <w:rsid w:val="2FEC07F3"/>
    <w:rsid w:val="30DF1D1D"/>
    <w:rsid w:val="311E2EA2"/>
    <w:rsid w:val="318F0EE0"/>
    <w:rsid w:val="321B4DD0"/>
    <w:rsid w:val="321C0E2D"/>
    <w:rsid w:val="32C11F7D"/>
    <w:rsid w:val="32F111FE"/>
    <w:rsid w:val="330F170B"/>
    <w:rsid w:val="33253E72"/>
    <w:rsid w:val="34131FBB"/>
    <w:rsid w:val="34197F51"/>
    <w:rsid w:val="3437486D"/>
    <w:rsid w:val="344A5D18"/>
    <w:rsid w:val="346C7148"/>
    <w:rsid w:val="3471175F"/>
    <w:rsid w:val="34B41752"/>
    <w:rsid w:val="35377A62"/>
    <w:rsid w:val="35501C0F"/>
    <w:rsid w:val="355A28E3"/>
    <w:rsid w:val="35787300"/>
    <w:rsid w:val="35C05394"/>
    <w:rsid w:val="35D408E8"/>
    <w:rsid w:val="360F1B66"/>
    <w:rsid w:val="361776DE"/>
    <w:rsid w:val="369547DF"/>
    <w:rsid w:val="36BA3288"/>
    <w:rsid w:val="373B0A80"/>
    <w:rsid w:val="380B4369"/>
    <w:rsid w:val="380D5505"/>
    <w:rsid w:val="383C1107"/>
    <w:rsid w:val="383C7C77"/>
    <w:rsid w:val="38763D7D"/>
    <w:rsid w:val="38D77B37"/>
    <w:rsid w:val="38DA3CB6"/>
    <w:rsid w:val="38F33F03"/>
    <w:rsid w:val="39CC18B7"/>
    <w:rsid w:val="39CF7616"/>
    <w:rsid w:val="39DB7C38"/>
    <w:rsid w:val="3A113349"/>
    <w:rsid w:val="3A6F5726"/>
    <w:rsid w:val="3A830CD9"/>
    <w:rsid w:val="3AA11560"/>
    <w:rsid w:val="3AFA1999"/>
    <w:rsid w:val="3B181D63"/>
    <w:rsid w:val="3B22616C"/>
    <w:rsid w:val="3B276005"/>
    <w:rsid w:val="3B5A0471"/>
    <w:rsid w:val="3BAA1394"/>
    <w:rsid w:val="3BE8014D"/>
    <w:rsid w:val="3C2A3875"/>
    <w:rsid w:val="3C6F088B"/>
    <w:rsid w:val="3D2D4172"/>
    <w:rsid w:val="3D346A94"/>
    <w:rsid w:val="3D434194"/>
    <w:rsid w:val="3D9477BC"/>
    <w:rsid w:val="3DF104A1"/>
    <w:rsid w:val="3E717725"/>
    <w:rsid w:val="3E8D6FF0"/>
    <w:rsid w:val="3EDF3C57"/>
    <w:rsid w:val="3EEF17EC"/>
    <w:rsid w:val="3EF137C2"/>
    <w:rsid w:val="40300441"/>
    <w:rsid w:val="416A5958"/>
    <w:rsid w:val="41745765"/>
    <w:rsid w:val="418B513C"/>
    <w:rsid w:val="4210491C"/>
    <w:rsid w:val="42230A23"/>
    <w:rsid w:val="42310CD2"/>
    <w:rsid w:val="4268449E"/>
    <w:rsid w:val="42814FEC"/>
    <w:rsid w:val="429173A7"/>
    <w:rsid w:val="42DA4D8C"/>
    <w:rsid w:val="4377148E"/>
    <w:rsid w:val="4382496E"/>
    <w:rsid w:val="43B25628"/>
    <w:rsid w:val="43D752D2"/>
    <w:rsid w:val="43DB0ABF"/>
    <w:rsid w:val="447F73ED"/>
    <w:rsid w:val="44A6150A"/>
    <w:rsid w:val="44D04802"/>
    <w:rsid w:val="450667B9"/>
    <w:rsid w:val="451C7304"/>
    <w:rsid w:val="452C07E2"/>
    <w:rsid w:val="45910A92"/>
    <w:rsid w:val="463C51AD"/>
    <w:rsid w:val="46472CD8"/>
    <w:rsid w:val="464F1E93"/>
    <w:rsid w:val="468B7A70"/>
    <w:rsid w:val="46B6469B"/>
    <w:rsid w:val="46C14660"/>
    <w:rsid w:val="46E24A8C"/>
    <w:rsid w:val="471F59EC"/>
    <w:rsid w:val="47204879"/>
    <w:rsid w:val="47451045"/>
    <w:rsid w:val="482B0C76"/>
    <w:rsid w:val="49103B27"/>
    <w:rsid w:val="49324A2C"/>
    <w:rsid w:val="49495BA0"/>
    <w:rsid w:val="495961F1"/>
    <w:rsid w:val="49AA0D34"/>
    <w:rsid w:val="49E20DE8"/>
    <w:rsid w:val="4A0D0411"/>
    <w:rsid w:val="4A4E35EF"/>
    <w:rsid w:val="4A897C10"/>
    <w:rsid w:val="4A8A6120"/>
    <w:rsid w:val="4B4D7B28"/>
    <w:rsid w:val="4B533C05"/>
    <w:rsid w:val="4B545957"/>
    <w:rsid w:val="4B582A18"/>
    <w:rsid w:val="4BE16996"/>
    <w:rsid w:val="4BFB3F8B"/>
    <w:rsid w:val="4C796557"/>
    <w:rsid w:val="4CAB4F2A"/>
    <w:rsid w:val="4D106026"/>
    <w:rsid w:val="4D3C7971"/>
    <w:rsid w:val="4D7132CE"/>
    <w:rsid w:val="4D996326"/>
    <w:rsid w:val="4DCB5F30"/>
    <w:rsid w:val="4E5F138D"/>
    <w:rsid w:val="4EAD6A7C"/>
    <w:rsid w:val="4EEF7418"/>
    <w:rsid w:val="4EF32854"/>
    <w:rsid w:val="4FAC49CB"/>
    <w:rsid w:val="4FB60E8E"/>
    <w:rsid w:val="500D3CA2"/>
    <w:rsid w:val="504E4592"/>
    <w:rsid w:val="506B2C69"/>
    <w:rsid w:val="51065302"/>
    <w:rsid w:val="5133319D"/>
    <w:rsid w:val="51DD7A6A"/>
    <w:rsid w:val="5270413F"/>
    <w:rsid w:val="5292398E"/>
    <w:rsid w:val="52D04A1C"/>
    <w:rsid w:val="53982DA2"/>
    <w:rsid w:val="54164A93"/>
    <w:rsid w:val="544720B9"/>
    <w:rsid w:val="54563BC5"/>
    <w:rsid w:val="547D6D31"/>
    <w:rsid w:val="54A25495"/>
    <w:rsid w:val="54B228CE"/>
    <w:rsid w:val="54B51A99"/>
    <w:rsid w:val="55124BC7"/>
    <w:rsid w:val="558E6A62"/>
    <w:rsid w:val="559E3B34"/>
    <w:rsid w:val="561E50D6"/>
    <w:rsid w:val="561F2A1C"/>
    <w:rsid w:val="563B7036"/>
    <w:rsid w:val="56E93596"/>
    <w:rsid w:val="56EE60F0"/>
    <w:rsid w:val="57C66C40"/>
    <w:rsid w:val="57F35B2F"/>
    <w:rsid w:val="5873337F"/>
    <w:rsid w:val="587C1CD1"/>
    <w:rsid w:val="588071A2"/>
    <w:rsid w:val="58B47930"/>
    <w:rsid w:val="58BB41C8"/>
    <w:rsid w:val="58BC05BB"/>
    <w:rsid w:val="594D7C5C"/>
    <w:rsid w:val="597712CC"/>
    <w:rsid w:val="59845168"/>
    <w:rsid w:val="59F342BF"/>
    <w:rsid w:val="5A0657A7"/>
    <w:rsid w:val="5A1977CE"/>
    <w:rsid w:val="5A2163E0"/>
    <w:rsid w:val="5A2361C9"/>
    <w:rsid w:val="5A8D3ACE"/>
    <w:rsid w:val="5AA72A03"/>
    <w:rsid w:val="5AC4018B"/>
    <w:rsid w:val="5ACC22A9"/>
    <w:rsid w:val="5B006F19"/>
    <w:rsid w:val="5B2A57AD"/>
    <w:rsid w:val="5B9F075D"/>
    <w:rsid w:val="5C055A36"/>
    <w:rsid w:val="5C7D5292"/>
    <w:rsid w:val="5D216D35"/>
    <w:rsid w:val="5D38283A"/>
    <w:rsid w:val="5D4B72C9"/>
    <w:rsid w:val="5E01397A"/>
    <w:rsid w:val="5E257C02"/>
    <w:rsid w:val="5E4E2167"/>
    <w:rsid w:val="5E6C2265"/>
    <w:rsid w:val="5E7A05EF"/>
    <w:rsid w:val="5EC53F64"/>
    <w:rsid w:val="5F3758C0"/>
    <w:rsid w:val="5F5236A5"/>
    <w:rsid w:val="60463CE2"/>
    <w:rsid w:val="608D0BBE"/>
    <w:rsid w:val="60A05199"/>
    <w:rsid w:val="60D06F75"/>
    <w:rsid w:val="61602FAA"/>
    <w:rsid w:val="618B3D19"/>
    <w:rsid w:val="61A0313A"/>
    <w:rsid w:val="61C061E3"/>
    <w:rsid w:val="61CC46CA"/>
    <w:rsid w:val="62190038"/>
    <w:rsid w:val="62CE2274"/>
    <w:rsid w:val="631D7723"/>
    <w:rsid w:val="63923BCB"/>
    <w:rsid w:val="63A872F9"/>
    <w:rsid w:val="64796FFA"/>
    <w:rsid w:val="651A5290"/>
    <w:rsid w:val="65531993"/>
    <w:rsid w:val="657D7852"/>
    <w:rsid w:val="658574E9"/>
    <w:rsid w:val="65DD5CA4"/>
    <w:rsid w:val="66383902"/>
    <w:rsid w:val="664D0F6C"/>
    <w:rsid w:val="665C7739"/>
    <w:rsid w:val="666D434F"/>
    <w:rsid w:val="66B65847"/>
    <w:rsid w:val="66E37BFE"/>
    <w:rsid w:val="67715716"/>
    <w:rsid w:val="67787895"/>
    <w:rsid w:val="67CE1B92"/>
    <w:rsid w:val="68200826"/>
    <w:rsid w:val="6827063E"/>
    <w:rsid w:val="6828583C"/>
    <w:rsid w:val="68DA01D3"/>
    <w:rsid w:val="69027324"/>
    <w:rsid w:val="691D5586"/>
    <w:rsid w:val="699F491D"/>
    <w:rsid w:val="6A2145F6"/>
    <w:rsid w:val="6A232D25"/>
    <w:rsid w:val="6A62505D"/>
    <w:rsid w:val="6A655A3E"/>
    <w:rsid w:val="6A95666B"/>
    <w:rsid w:val="6AB76BCF"/>
    <w:rsid w:val="6B405308"/>
    <w:rsid w:val="6BB12F94"/>
    <w:rsid w:val="6C22537B"/>
    <w:rsid w:val="6C51408C"/>
    <w:rsid w:val="6C7010EB"/>
    <w:rsid w:val="6C7167B5"/>
    <w:rsid w:val="6C9F7083"/>
    <w:rsid w:val="6CD67B14"/>
    <w:rsid w:val="6DBD113A"/>
    <w:rsid w:val="6E72713A"/>
    <w:rsid w:val="6F3071C9"/>
    <w:rsid w:val="6F36119D"/>
    <w:rsid w:val="6F481308"/>
    <w:rsid w:val="6F54436C"/>
    <w:rsid w:val="6F5D37BA"/>
    <w:rsid w:val="6F6B7A45"/>
    <w:rsid w:val="6FA3631B"/>
    <w:rsid w:val="715A2572"/>
    <w:rsid w:val="71C457D0"/>
    <w:rsid w:val="71E9437C"/>
    <w:rsid w:val="72056E07"/>
    <w:rsid w:val="721C7885"/>
    <w:rsid w:val="722B4380"/>
    <w:rsid w:val="72D75EB6"/>
    <w:rsid w:val="72E008F5"/>
    <w:rsid w:val="731E0B8D"/>
    <w:rsid w:val="746673B0"/>
    <w:rsid w:val="748D3036"/>
    <w:rsid w:val="75034D9F"/>
    <w:rsid w:val="753311A4"/>
    <w:rsid w:val="756678E2"/>
    <w:rsid w:val="76206CF4"/>
    <w:rsid w:val="76925CFD"/>
    <w:rsid w:val="772E266D"/>
    <w:rsid w:val="77DD72FA"/>
    <w:rsid w:val="77E93FCE"/>
    <w:rsid w:val="77EC734F"/>
    <w:rsid w:val="784226D0"/>
    <w:rsid w:val="78AB7EA1"/>
    <w:rsid w:val="78E80352"/>
    <w:rsid w:val="794A1E3F"/>
    <w:rsid w:val="79611E45"/>
    <w:rsid w:val="79EC4AA2"/>
    <w:rsid w:val="7A56530E"/>
    <w:rsid w:val="7A9C2623"/>
    <w:rsid w:val="7B857FA7"/>
    <w:rsid w:val="7B88632D"/>
    <w:rsid w:val="7BA06C86"/>
    <w:rsid w:val="7C286E63"/>
    <w:rsid w:val="7C4B2B74"/>
    <w:rsid w:val="7C516DA3"/>
    <w:rsid w:val="7C77423D"/>
    <w:rsid w:val="7C88017A"/>
    <w:rsid w:val="7CEC771B"/>
    <w:rsid w:val="7D1A3FC5"/>
    <w:rsid w:val="7D321A8F"/>
    <w:rsid w:val="7D5D3A62"/>
    <w:rsid w:val="7E101B13"/>
    <w:rsid w:val="7E1720F3"/>
    <w:rsid w:val="7E1E74E3"/>
    <w:rsid w:val="7E6B612A"/>
    <w:rsid w:val="7E6C6619"/>
    <w:rsid w:val="7E965965"/>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spacing w:beforeLines="100" w:line="360" w:lineRule="auto"/>
      <w:jc w:val="center"/>
      <w:outlineLvl w:val="0"/>
    </w:pPr>
    <w:rPr>
      <w:rFonts w:ascii="Calibri" w:hAnsi="Calibri"/>
      <w:b/>
      <w:color w:val="000000"/>
      <w:sz w:val="32"/>
    </w:rPr>
  </w:style>
  <w:style w:type="paragraph" w:styleId="4">
    <w:name w:val="heading 2"/>
    <w:basedOn w:val="1"/>
    <w:next w:val="1"/>
    <w:link w:val="65"/>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2">
    <w:name w:val="heading 3"/>
    <w:basedOn w:val="1"/>
    <w:next w:val="1"/>
    <w:link w:val="63"/>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5">
    <w:name w:val="heading 4"/>
    <w:basedOn w:val="1"/>
    <w:next w:val="6"/>
    <w:link w:val="66"/>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7">
    <w:name w:val="heading 5"/>
    <w:basedOn w:val="1"/>
    <w:next w:val="6"/>
    <w:link w:val="67"/>
    <w:qFormat/>
    <w:uiPriority w:val="0"/>
    <w:pPr>
      <w:keepNext/>
      <w:keepLines/>
      <w:spacing w:line="377" w:lineRule="auto"/>
      <w:ind w:firstLine="950" w:firstLineChars="200"/>
      <w:outlineLvl w:val="4"/>
    </w:pPr>
    <w:rPr>
      <w:rFonts w:eastAsia="华文中宋"/>
      <w:b/>
      <w:bCs/>
      <w:sz w:val="24"/>
      <w:szCs w:val="28"/>
    </w:rPr>
  </w:style>
  <w:style w:type="paragraph" w:styleId="8">
    <w:name w:val="heading 6"/>
    <w:basedOn w:val="1"/>
    <w:next w:val="1"/>
    <w:link w:val="289"/>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78"/>
    <w:qFormat/>
    <w:uiPriority w:val="0"/>
    <w:pPr>
      <w:keepNext/>
      <w:keepLines/>
      <w:spacing w:before="240" w:after="64" w:line="317" w:lineRule="auto"/>
      <w:outlineLvl w:val="6"/>
    </w:pPr>
    <w:rPr>
      <w:rFonts w:ascii="宋体" w:hAnsi="Calibri"/>
      <w:b/>
      <w:bCs/>
      <w:sz w:val="28"/>
      <w:szCs w:val="28"/>
    </w:rPr>
  </w:style>
  <w:style w:type="paragraph" w:styleId="10">
    <w:name w:val="heading 8"/>
    <w:basedOn w:val="1"/>
    <w:next w:val="1"/>
    <w:link w:val="253"/>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204"/>
    <w:qFormat/>
    <w:uiPriority w:val="0"/>
    <w:pPr>
      <w:keepNext/>
      <w:keepLines/>
      <w:spacing w:before="240" w:after="64" w:line="317"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67"/>
    <w:qFormat/>
    <w:uiPriority w:val="0"/>
    <w:rPr>
      <w:rFonts w:ascii="宋体" w:hAnsi="Courier New"/>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Normal Indent"/>
    <w:basedOn w:val="1"/>
    <w:link w:val="213"/>
    <w:qFormat/>
    <w:uiPriority w:val="0"/>
    <w:pPr>
      <w:ind w:firstLine="420" w:firstLineChars="200"/>
    </w:pPr>
    <w:rPr>
      <w:rFonts w:ascii="Calibri" w:hAnsi="Calibri"/>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249"/>
    <w:qFormat/>
    <w:uiPriority w:val="0"/>
    <w:pPr>
      <w:shd w:val="clear" w:color="auto" w:fill="000080"/>
    </w:pPr>
    <w:rPr>
      <w:rFonts w:ascii="Calibri" w:hAnsi="Calibri"/>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286"/>
    <w:qFormat/>
    <w:uiPriority w:val="0"/>
    <w:pPr>
      <w:jc w:val="left"/>
    </w:pPr>
    <w:rPr>
      <w:rFonts w:ascii="Calibri" w:hAnsi="Calibri"/>
      <w:szCs w:val="20"/>
    </w:rPr>
  </w:style>
  <w:style w:type="paragraph" w:styleId="19">
    <w:name w:val="Body Text 3"/>
    <w:basedOn w:val="1"/>
    <w:link w:val="219"/>
    <w:qFormat/>
    <w:uiPriority w:val="0"/>
    <w:pPr>
      <w:spacing w:line="440" w:lineRule="atLeast"/>
      <w:jc w:val="center"/>
    </w:pPr>
    <w:rPr>
      <w:rFonts w:ascii="楷体_GB2312" w:hAnsi="Calibri" w:eastAsia="楷体_GB2312"/>
      <w:b/>
      <w:color w:val="000000"/>
      <w:sz w:val="30"/>
    </w:rPr>
  </w:style>
  <w:style w:type="paragraph" w:styleId="20">
    <w:name w:val="Body Text"/>
    <w:basedOn w:val="1"/>
    <w:link w:val="255"/>
    <w:qFormat/>
    <w:uiPriority w:val="0"/>
    <w:pPr>
      <w:spacing w:after="120"/>
    </w:pPr>
    <w:rPr>
      <w:rFonts w:ascii="Calibri" w:hAnsi="Calibri"/>
    </w:rPr>
  </w:style>
  <w:style w:type="paragraph" w:styleId="21">
    <w:name w:val="Body Text Indent"/>
    <w:basedOn w:val="1"/>
    <w:link w:val="192"/>
    <w:qFormat/>
    <w:uiPriority w:val="0"/>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styleId="22">
    <w:name w:val="List 2"/>
    <w:basedOn w:val="1"/>
    <w:qFormat/>
    <w:uiPriority w:val="0"/>
    <w:pPr>
      <w:ind w:left="100" w:leftChars="200" w:hanging="200" w:hangingChars="200"/>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toc 8"/>
    <w:basedOn w:val="1"/>
    <w:next w:val="1"/>
    <w:qFormat/>
    <w:uiPriority w:val="0"/>
    <w:pPr>
      <w:ind w:left="1470"/>
      <w:jc w:val="left"/>
    </w:pPr>
    <w:rPr>
      <w:sz w:val="18"/>
      <w:szCs w:val="18"/>
    </w:rPr>
  </w:style>
  <w:style w:type="paragraph" w:styleId="27">
    <w:name w:val="index 3"/>
    <w:basedOn w:val="1"/>
    <w:next w:val="1"/>
    <w:qFormat/>
    <w:uiPriority w:val="0"/>
    <w:pPr>
      <w:ind w:left="400" w:leftChars="400"/>
    </w:pPr>
    <w:rPr>
      <w:rFonts w:ascii="宋体"/>
      <w:sz w:val="24"/>
      <w:szCs w:val="20"/>
    </w:rPr>
  </w:style>
  <w:style w:type="paragraph" w:styleId="28">
    <w:name w:val="Date"/>
    <w:basedOn w:val="1"/>
    <w:next w:val="1"/>
    <w:link w:val="215"/>
    <w:qFormat/>
    <w:uiPriority w:val="0"/>
    <w:pPr>
      <w:ind w:left="100" w:leftChars="2500"/>
    </w:pPr>
    <w:rPr>
      <w:rFonts w:ascii="Calibri" w:hAnsi="Calibri"/>
      <w:color w:val="000000"/>
      <w:sz w:val="24"/>
    </w:rPr>
  </w:style>
  <w:style w:type="paragraph" w:styleId="29">
    <w:name w:val="Body Text Indent 2"/>
    <w:basedOn w:val="1"/>
    <w:link w:val="273"/>
    <w:qFormat/>
    <w:uiPriority w:val="0"/>
    <w:pPr>
      <w:widowControl/>
      <w:spacing w:line="480" w:lineRule="atLeast"/>
      <w:ind w:firstLine="480"/>
    </w:pPr>
    <w:rPr>
      <w:rFonts w:ascii="宋体" w:hAnsi="Calibri"/>
      <w:kern w:val="0"/>
      <w:sz w:val="24"/>
      <w:szCs w:val="20"/>
    </w:rPr>
  </w:style>
  <w:style w:type="paragraph" w:styleId="30">
    <w:name w:val="Balloon Text"/>
    <w:basedOn w:val="1"/>
    <w:link w:val="194"/>
    <w:qFormat/>
    <w:uiPriority w:val="0"/>
    <w:rPr>
      <w:rFonts w:ascii="Calibri" w:hAnsi="Calibri"/>
      <w:sz w:val="18"/>
      <w:szCs w:val="18"/>
    </w:rPr>
  </w:style>
  <w:style w:type="paragraph" w:styleId="31">
    <w:name w:val="footer"/>
    <w:basedOn w:val="1"/>
    <w:link w:val="199"/>
    <w:qFormat/>
    <w:uiPriority w:val="99"/>
    <w:pPr>
      <w:tabs>
        <w:tab w:val="center" w:pos="4153"/>
        <w:tab w:val="right" w:pos="8306"/>
      </w:tabs>
      <w:snapToGrid w:val="0"/>
      <w:jc w:val="left"/>
    </w:pPr>
    <w:rPr>
      <w:rFonts w:ascii="Calibri" w:hAnsi="Calibri"/>
      <w:sz w:val="18"/>
      <w:szCs w:val="18"/>
    </w:rPr>
  </w:style>
  <w:style w:type="paragraph" w:styleId="32">
    <w:name w:val="header"/>
    <w:basedOn w:val="1"/>
    <w:link w:val="23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qFormat/>
    <w:uiPriority w:val="39"/>
    <w:pPr>
      <w:tabs>
        <w:tab w:val="right" w:leader="dot" w:pos="9403"/>
      </w:tabs>
      <w:snapToGrid w:val="0"/>
      <w:spacing w:line="360" w:lineRule="auto"/>
    </w:pPr>
    <w:rPr>
      <w:b/>
      <w:bCs/>
      <w:caps/>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29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toc 6"/>
    <w:basedOn w:val="1"/>
    <w:next w:val="1"/>
    <w:qFormat/>
    <w:uiPriority w:val="0"/>
    <w:pPr>
      <w:ind w:left="1050"/>
      <w:jc w:val="left"/>
    </w:pPr>
    <w:rPr>
      <w:sz w:val="18"/>
      <w:szCs w:val="18"/>
    </w:rPr>
  </w:style>
  <w:style w:type="paragraph" w:styleId="38">
    <w:name w:val="List 5"/>
    <w:basedOn w:val="1"/>
    <w:qFormat/>
    <w:uiPriority w:val="0"/>
    <w:pPr>
      <w:ind w:left="100" w:leftChars="800" w:hanging="200" w:hangingChars="200"/>
    </w:pPr>
    <w:rPr>
      <w:szCs w:val="20"/>
    </w:rPr>
  </w:style>
  <w:style w:type="paragraph" w:styleId="39">
    <w:name w:val="Body Text Indent 3"/>
    <w:basedOn w:val="1"/>
    <w:link w:val="272"/>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0">
    <w:name w:val="toc 2"/>
    <w:basedOn w:val="1"/>
    <w:next w:val="1"/>
    <w:qFormat/>
    <w:uiPriority w:val="39"/>
    <w:pPr>
      <w:tabs>
        <w:tab w:val="right" w:leader="dot" w:pos="9403"/>
      </w:tabs>
      <w:snapToGrid w:val="0"/>
      <w:spacing w:line="360" w:lineRule="auto"/>
      <w:ind w:firstLine="200" w:firstLineChars="200"/>
    </w:pPr>
    <w:rPr>
      <w:smallCaps/>
    </w:rPr>
  </w:style>
  <w:style w:type="paragraph" w:styleId="41">
    <w:name w:val="toc 9"/>
    <w:basedOn w:val="1"/>
    <w:next w:val="1"/>
    <w:qFormat/>
    <w:uiPriority w:val="0"/>
    <w:pPr>
      <w:ind w:left="1680"/>
      <w:jc w:val="left"/>
    </w:pPr>
    <w:rPr>
      <w:sz w:val="18"/>
      <w:szCs w:val="18"/>
    </w:rPr>
  </w:style>
  <w:style w:type="paragraph" w:styleId="42">
    <w:name w:val="Body Text 2"/>
    <w:basedOn w:val="1"/>
    <w:link w:val="189"/>
    <w:qFormat/>
    <w:uiPriority w:val="0"/>
    <w:rPr>
      <w:rFonts w:ascii="Calibri" w:hAnsi="Calibri"/>
      <w:b/>
      <w:bCs/>
      <w:color w:val="000000"/>
      <w:sz w:val="28"/>
    </w:rPr>
  </w:style>
  <w:style w:type="paragraph" w:styleId="43">
    <w:name w:val="List 4"/>
    <w:basedOn w:val="1"/>
    <w:qFormat/>
    <w:uiPriority w:val="0"/>
    <w:pPr>
      <w:ind w:left="100" w:leftChars="600" w:hanging="200" w:hangingChars="200"/>
    </w:pPr>
    <w:rPr>
      <w:szCs w:val="20"/>
    </w:rPr>
  </w:style>
  <w:style w:type="paragraph" w:styleId="44">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index 2"/>
    <w:basedOn w:val="1"/>
    <w:next w:val="1"/>
    <w:qFormat/>
    <w:uiPriority w:val="0"/>
    <w:pPr>
      <w:ind w:left="200" w:leftChars="200"/>
    </w:pPr>
    <w:rPr>
      <w:rFonts w:ascii="宋体"/>
      <w:sz w:val="24"/>
      <w:szCs w:val="20"/>
    </w:rPr>
  </w:style>
  <w:style w:type="paragraph" w:styleId="48">
    <w:name w:val="Title"/>
    <w:basedOn w:val="1"/>
    <w:next w:val="6"/>
    <w:link w:val="64"/>
    <w:qFormat/>
    <w:uiPriority w:val="0"/>
    <w:pPr>
      <w:jc w:val="center"/>
    </w:pPr>
    <w:rPr>
      <w:rFonts w:ascii="Calibri" w:hAnsi="Calibri"/>
      <w:sz w:val="30"/>
    </w:rPr>
  </w:style>
  <w:style w:type="paragraph" w:styleId="49">
    <w:name w:val="annotation subject"/>
    <w:basedOn w:val="18"/>
    <w:next w:val="18"/>
    <w:link w:val="260"/>
    <w:qFormat/>
    <w:uiPriority w:val="0"/>
    <w:rPr>
      <w:b/>
      <w:bCs/>
    </w:rPr>
  </w:style>
  <w:style w:type="paragraph" w:styleId="50">
    <w:name w:val="Body Text First Indent"/>
    <w:basedOn w:val="20"/>
    <w:link w:val="290"/>
    <w:qFormat/>
    <w:uiPriority w:val="0"/>
    <w:pPr>
      <w:ind w:firstLine="420" w:firstLineChars="1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rPr>
  </w:style>
  <w:style w:type="character" w:styleId="55">
    <w:name w:val="page number"/>
    <w:qFormat/>
    <w:uiPriority w:val="0"/>
    <w:rPr>
      <w:rFonts w:eastAsia="Arial"/>
    </w:rPr>
  </w:style>
  <w:style w:type="character" w:styleId="56">
    <w:name w:val="FollowedHyperlink"/>
    <w:qFormat/>
    <w:uiPriority w:val="0"/>
    <w:rPr>
      <w:color w:val="800080"/>
      <w:u w:val="single"/>
    </w:rPr>
  </w:style>
  <w:style w:type="character" w:styleId="57">
    <w:name w:val="Emphasis"/>
    <w:qFormat/>
    <w:uiPriority w:val="20"/>
    <w:rPr>
      <w:color w:val="CC0033"/>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3"/>
    <w:semiHidden/>
    <w:unhideWhenUsed/>
    <w:qFormat/>
    <w:uiPriority w:val="0"/>
    <w:rPr>
      <w:rFonts w:ascii="Courier New" w:hAnsi="Courier New"/>
    </w:rPr>
  </w:style>
  <w:style w:type="paragraph" w:customStyle="1" w:styleId="61">
    <w:name w:val="首行缩进"/>
    <w:basedOn w:val="1"/>
    <w:qFormat/>
    <w:uiPriority w:val="0"/>
    <w:rPr>
      <w:lang w:val="zh-CN"/>
    </w:rPr>
  </w:style>
  <w:style w:type="character" w:customStyle="1" w:styleId="62">
    <w:name w:val="标题 1 字符"/>
    <w:link w:val="3"/>
    <w:qFormat/>
    <w:uiPriority w:val="0"/>
    <w:rPr>
      <w:rFonts w:eastAsia="宋体"/>
      <w:b/>
      <w:color w:val="000000"/>
      <w:kern w:val="2"/>
      <w:sz w:val="32"/>
      <w:szCs w:val="24"/>
    </w:rPr>
  </w:style>
  <w:style w:type="character" w:customStyle="1" w:styleId="63">
    <w:name w:val="标题 3 字符"/>
    <w:link w:val="2"/>
    <w:qFormat/>
    <w:uiPriority w:val="0"/>
    <w:rPr>
      <w:rFonts w:ascii="Times New Roman" w:hAnsi="Times New Roman" w:eastAsia="华文中宋"/>
      <w:b/>
      <w:kern w:val="2"/>
      <w:sz w:val="24"/>
    </w:rPr>
  </w:style>
  <w:style w:type="character" w:customStyle="1" w:styleId="64">
    <w:name w:val="标题 字符"/>
    <w:link w:val="48"/>
    <w:qFormat/>
    <w:uiPriority w:val="0"/>
    <w:rPr>
      <w:kern w:val="2"/>
      <w:sz w:val="30"/>
      <w:szCs w:val="24"/>
    </w:rPr>
  </w:style>
  <w:style w:type="character" w:customStyle="1" w:styleId="65">
    <w:name w:val="标题 2 字符"/>
    <w:link w:val="4"/>
    <w:qFormat/>
    <w:uiPriority w:val="0"/>
    <w:rPr>
      <w:rFonts w:ascii="Arial" w:hAnsi="Arial" w:eastAsia="华文中宋"/>
      <w:b/>
      <w:bCs/>
      <w:kern w:val="2"/>
      <w:sz w:val="32"/>
      <w:szCs w:val="32"/>
    </w:rPr>
  </w:style>
  <w:style w:type="character" w:customStyle="1" w:styleId="66">
    <w:name w:val="标题 4 字符"/>
    <w:link w:val="5"/>
    <w:qFormat/>
    <w:uiPriority w:val="0"/>
    <w:rPr>
      <w:rFonts w:ascii="Cambria" w:hAnsi="Cambria" w:eastAsia="华文中宋"/>
      <w:b/>
      <w:bCs/>
      <w:kern w:val="2"/>
      <w:sz w:val="28"/>
      <w:szCs w:val="28"/>
    </w:rPr>
  </w:style>
  <w:style w:type="character" w:customStyle="1" w:styleId="67">
    <w:name w:val="标题 5 字符"/>
    <w:link w:val="7"/>
    <w:qFormat/>
    <w:uiPriority w:val="0"/>
    <w:rPr>
      <w:rFonts w:ascii="Times New Roman" w:hAnsi="Times New Roman" w:eastAsia="华文中宋"/>
      <w:b/>
      <w:bCs/>
      <w:kern w:val="2"/>
      <w:sz w:val="24"/>
      <w:szCs w:val="28"/>
    </w:rPr>
  </w:style>
  <w:style w:type="paragraph" w:customStyle="1" w:styleId="68">
    <w:name w:val="Default"/>
    <w:next w:val="1"/>
    <w:link w:val="252"/>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
    <w:name w:val="标题5"/>
    <w:basedOn w:val="2"/>
    <w:link w:val="241"/>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6">
    <w:name w:val="列出段落1"/>
    <w:basedOn w:val="1"/>
    <w:link w:val="265"/>
    <w:qFormat/>
    <w:uiPriority w:val="0"/>
    <w:pPr>
      <w:ind w:firstLine="420" w:firstLineChars="200"/>
    </w:pPr>
    <w:rPr>
      <w:rFonts w:ascii="Calibri" w:hAnsi="Calibri"/>
      <w:szCs w:val="22"/>
    </w:rPr>
  </w:style>
  <w:style w:type="paragraph" w:customStyle="1" w:styleId="77">
    <w:name w:val="引用1"/>
    <w:basedOn w:val="1"/>
    <w:next w:val="1"/>
    <w:link w:val="282"/>
    <w:qFormat/>
    <w:uiPriority w:val="0"/>
    <w:rPr>
      <w:rFonts w:ascii="Calibri" w:hAnsi="Calibri"/>
      <w:i/>
      <w:iCs/>
      <w:color w:val="000000"/>
      <w:szCs w:val="22"/>
    </w:rPr>
  </w:style>
  <w:style w:type="paragraph" w:customStyle="1" w:styleId="7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9">
    <w:name w:val="正文2"/>
    <w:basedOn w:val="1"/>
    <w:link w:val="190"/>
    <w:qFormat/>
    <w:uiPriority w:val="0"/>
    <w:pPr>
      <w:spacing w:before="156" w:line="360" w:lineRule="auto"/>
      <w:ind w:firstLine="510" w:firstLineChars="200"/>
    </w:pPr>
    <w:rPr>
      <w:rFonts w:ascii="Calibri" w:hAnsi="Calibri"/>
      <w:sz w:val="24"/>
      <w:szCs w:val="20"/>
    </w:rPr>
  </w:style>
  <w:style w:type="paragraph" w:customStyle="1" w:styleId="80">
    <w:name w:val="Char1"/>
    <w:basedOn w:val="1"/>
    <w:qFormat/>
    <w:uiPriority w:val="0"/>
    <w:pPr>
      <w:spacing w:line="360" w:lineRule="auto"/>
      <w:ind w:firstLine="480" w:firstLineChars="200"/>
    </w:pPr>
    <w:rPr>
      <w:rFonts w:ascii="宋体" w:hAnsi="宋体"/>
      <w:color w:val="000000"/>
      <w:sz w:val="24"/>
    </w:rPr>
  </w:style>
  <w:style w:type="paragraph" w:customStyle="1" w:styleId="81">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
    <w:name w:val="Char4"/>
    <w:basedOn w:val="14"/>
    <w:qFormat/>
    <w:uiPriority w:val="0"/>
    <w:pPr>
      <w:widowControl/>
      <w:spacing w:afterLines="50" w:line="360" w:lineRule="auto"/>
      <w:ind w:firstLine="480"/>
      <w:jc w:val="left"/>
    </w:p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Char1 Char Char Char"/>
    <w:basedOn w:val="1"/>
    <w:qFormat/>
    <w:uiPriority w:val="0"/>
    <w:rPr>
      <w:szCs w:val="20"/>
    </w:rPr>
  </w:style>
  <w:style w:type="paragraph" w:customStyle="1" w:styleId="85">
    <w:name w:val="Char Char Char Char Char Char Char"/>
    <w:basedOn w:val="1"/>
    <w:qFormat/>
    <w:uiPriority w:val="0"/>
    <w:pPr>
      <w:tabs>
        <w:tab w:val="left" w:pos="432"/>
      </w:tabs>
      <w:ind w:left="432" w:hanging="432"/>
    </w:pPr>
    <w:rPr>
      <w:szCs w:val="20"/>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7">
    <w:name w:val="Char"/>
    <w:basedOn w:val="32"/>
    <w:next w:val="32"/>
    <w:link w:val="202"/>
    <w:qFormat/>
    <w:uiPriority w:val="0"/>
    <w:pPr>
      <w:snapToGrid/>
      <w:jc w:val="right"/>
    </w:pPr>
    <w:rPr>
      <w:rFonts w:ascii="宋体" w:hAnsi="宋体"/>
      <w:b/>
      <w:sz w:val="21"/>
      <w:szCs w:val="21"/>
    </w:rPr>
  </w:style>
  <w:style w:type="paragraph" w:customStyle="1" w:styleId="88">
    <w:name w:val="样式 样式 标题 3 + Calibri 加粗 左侧:  0 厘米 + 黑色 首行缩进:  2 字符"/>
    <w:basedOn w:val="89"/>
    <w:qFormat/>
    <w:uiPriority w:val="0"/>
    <w:pPr>
      <w:spacing w:beforeLines="100"/>
    </w:pPr>
    <w:rPr>
      <w:color w:val="000000"/>
    </w:rPr>
  </w:style>
  <w:style w:type="paragraph" w:customStyle="1" w:styleId="89">
    <w:name w:val="样式 标题 3 + Calibri 加粗 左侧:  0 厘米"/>
    <w:basedOn w:val="2"/>
    <w:qFormat/>
    <w:uiPriority w:val="0"/>
    <w:pPr>
      <w:widowControl w:val="0"/>
      <w:autoSpaceDE/>
      <w:autoSpaceDN/>
      <w:spacing w:line="360" w:lineRule="auto"/>
      <w:ind w:firstLine="200" w:firstLineChars="200"/>
    </w:pPr>
    <w:rPr>
      <w:rFonts w:ascii="Calibri" w:hAnsi="Calibri" w:cs="宋体"/>
      <w:bCs/>
    </w:rPr>
  </w:style>
  <w:style w:type="paragraph" w:customStyle="1" w:styleId="90">
    <w:name w:val="Char Char4 Char Char Char Char"/>
    <w:basedOn w:val="1"/>
    <w:qFormat/>
    <w:uiPriority w:val="0"/>
    <w:rPr>
      <w:rFonts w:eastAsia="仿宋_GB2312"/>
      <w:sz w:val="28"/>
    </w:rPr>
  </w:style>
  <w:style w:type="paragraph" w:customStyle="1" w:styleId="91">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2">
    <w:name w:val="样式 纯文本普通文字 Char纯文本 Char Char普通文字纯文本 Char Char Char Char Char..."/>
    <w:basedOn w:val="3"/>
    <w:next w:val="3"/>
    <w:qFormat/>
    <w:uiPriority w:val="0"/>
    <w:pPr>
      <w:keepLines/>
      <w:jc w:val="both"/>
    </w:pPr>
    <w:rPr>
      <w:rFonts w:ascii="宋体"/>
      <w:bCs/>
      <w:kern w:val="44"/>
      <w:sz w:val="36"/>
      <w:szCs w:val="44"/>
    </w:rPr>
  </w:style>
  <w:style w:type="paragraph" w:customStyle="1" w:styleId="93">
    <w:name w:val="正文宋体"/>
    <w:basedOn w:val="1"/>
    <w:qFormat/>
    <w:uiPriority w:val="0"/>
    <w:pPr>
      <w:spacing w:line="360" w:lineRule="auto"/>
    </w:pPr>
    <w:rPr>
      <w:rFonts w:ascii="宋体" w:hAnsi="宋体"/>
      <w:sz w:val="24"/>
    </w:rPr>
  </w:style>
  <w:style w:type="paragraph" w:customStyle="1" w:styleId="94">
    <w:name w:val="样式 标题 3 + 小三"/>
    <w:basedOn w:val="2"/>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5">
    <w:name w:val="xl6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6">
    <w:name w:val="明显引用1"/>
    <w:basedOn w:val="1"/>
    <w:next w:val="1"/>
    <w:link w:val="245"/>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7">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8">
    <w:name w:val="Char1 Char Char Char1"/>
    <w:basedOn w:val="1"/>
    <w:qFormat/>
    <w:uiPriority w:val="0"/>
    <w:rPr>
      <w:szCs w:val="20"/>
    </w:rPr>
  </w:style>
  <w:style w:type="paragraph" w:customStyle="1" w:styleId="99">
    <w:name w:val="Char41"/>
    <w:basedOn w:val="14"/>
    <w:qFormat/>
    <w:uiPriority w:val="0"/>
    <w:pPr>
      <w:widowControl/>
      <w:spacing w:afterLines="50" w:line="360" w:lineRule="auto"/>
      <w:ind w:firstLine="480"/>
      <w:jc w:val="left"/>
    </w:pPr>
  </w:style>
  <w:style w:type="paragraph" w:customStyle="1" w:styleId="100">
    <w:name w:val="样式 标题 2 + 小四"/>
    <w:basedOn w:val="4"/>
    <w:link w:val="207"/>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101">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3">
    <w:name w:val="内文"/>
    <w:link w:val="244"/>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4">
    <w:name w:val="样式 纯文本普通文字 Char纯文本 Char Char普通文字纯文本 Char Char Char Char Char...2"/>
    <w:basedOn w:val="2"/>
    <w:next w:val="2"/>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5">
    <w:name w:val="No Spacing1"/>
    <w:qFormat/>
    <w:uiPriority w:val="0"/>
    <w:rPr>
      <w:rFonts w:ascii="Calibri" w:hAnsi="Calibri" w:eastAsia="宋体" w:cs="Times New Roman"/>
      <w:sz w:val="22"/>
      <w:szCs w:val="22"/>
      <w:lang w:val="en-US" w:eastAsia="en-US" w:bidi="ar-SA"/>
    </w:rPr>
  </w:style>
  <w:style w:type="paragraph" w:customStyle="1" w:styleId="106">
    <w:name w:val="样式 标题 3 + (中文) 黑体 小四 非加粗 段前: 7.8 磅 段后: 0 磅 行距: 固定值 20 磅"/>
    <w:basedOn w:val="2"/>
    <w:qFormat/>
    <w:uiPriority w:val="0"/>
    <w:pPr>
      <w:keepNext/>
      <w:keepLines/>
      <w:widowControl w:val="0"/>
      <w:autoSpaceDE/>
      <w:autoSpaceDN/>
      <w:spacing w:line="400" w:lineRule="exact"/>
    </w:pPr>
    <w:rPr>
      <w:rFonts w:eastAsia="黑体" w:cs="宋体"/>
    </w:rPr>
  </w:style>
  <w:style w:type="paragraph" w:customStyle="1" w:styleId="10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8">
    <w:name w:val="样式4"/>
    <w:basedOn w:val="31"/>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普通(网站)1"/>
    <w:basedOn w:val="1"/>
    <w:qFormat/>
    <w:uiPriority w:val="0"/>
    <w:pPr>
      <w:widowControl/>
      <w:jc w:val="left"/>
    </w:pPr>
    <w:rPr>
      <w:rFonts w:ascii="ˎ̥" w:hAnsi="ˎ̥" w:cs="宋体"/>
      <w:color w:val="000000"/>
      <w:kern w:val="0"/>
      <w:sz w:val="13"/>
      <w:szCs w:val="13"/>
    </w:rPr>
  </w:style>
  <w:style w:type="paragraph" w:customStyle="1" w:styleId="111">
    <w:name w:val="无间隔1"/>
    <w:link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Char2"/>
    <w:basedOn w:val="1"/>
    <w:qFormat/>
    <w:uiPriority w:val="0"/>
    <w:rPr>
      <w:rFonts w:ascii="仿宋_GB2312" w:eastAsia="仿宋_GB2312"/>
      <w:b/>
      <w:sz w:val="32"/>
      <w:szCs w:val="32"/>
    </w:rPr>
  </w:style>
  <w:style w:type="paragraph" w:customStyle="1" w:styleId="113">
    <w:name w:val="样式 正文文本"/>
    <w:basedOn w:val="1"/>
    <w:link w:val="254"/>
    <w:qFormat/>
    <w:uiPriority w:val="0"/>
    <w:pPr>
      <w:adjustRightInd w:val="0"/>
      <w:snapToGrid w:val="0"/>
      <w:spacing w:line="400" w:lineRule="exact"/>
      <w:ind w:firstLine="200" w:firstLineChars="200"/>
    </w:pPr>
    <w:rPr>
      <w:rFonts w:ascii="Arial" w:hAnsi="Arial"/>
      <w:color w:val="000000"/>
      <w:szCs w:val="20"/>
    </w:rPr>
  </w:style>
  <w:style w:type="paragraph" w:customStyle="1" w:styleId="114">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6">
    <w:name w:val="样式3"/>
    <w:basedOn w:val="1"/>
    <w:qFormat/>
    <w:uiPriority w:val="0"/>
    <w:pPr>
      <w:spacing w:line="440" w:lineRule="exact"/>
      <w:ind w:firstLine="416" w:firstLineChars="198"/>
    </w:pPr>
    <w:rPr>
      <w:rFonts w:ascii="宋体" w:hAnsi="宋体"/>
      <w:bCs/>
      <w:szCs w:val="21"/>
    </w:rPr>
  </w:style>
  <w:style w:type="paragraph" w:customStyle="1" w:styleId="117">
    <w:name w:val="Char Char Char Char Char Char Char Char Char Char Char"/>
    <w:basedOn w:val="1"/>
    <w:qFormat/>
    <w:uiPriority w:val="0"/>
    <w:rPr>
      <w:rFonts w:ascii="Tahoma" w:hAnsi="Tahoma"/>
      <w:sz w:val="24"/>
      <w:szCs w:val="20"/>
    </w:rPr>
  </w:style>
  <w:style w:type="paragraph" w:customStyle="1" w:styleId="118">
    <w:name w:val="xl65"/>
    <w:basedOn w:val="1"/>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9">
    <w:name w:val="样式 样式1 + 首行缩进:  2 字符"/>
    <w:basedOn w:val="1"/>
    <w:qFormat/>
    <w:uiPriority w:val="0"/>
    <w:pPr>
      <w:spacing w:line="360" w:lineRule="exact"/>
      <w:ind w:firstLine="420" w:firstLineChars="200"/>
    </w:pPr>
    <w:rPr>
      <w:rFonts w:ascii="Arial" w:hAnsi="Arial"/>
      <w:szCs w:val="20"/>
    </w:rPr>
  </w:style>
  <w:style w:type="paragraph" w:customStyle="1" w:styleId="120">
    <w:name w:val="Char31"/>
    <w:basedOn w:val="1"/>
    <w:qFormat/>
    <w:uiPriority w:val="0"/>
    <w:rPr>
      <w:szCs w:val="20"/>
    </w:rPr>
  </w:style>
  <w:style w:type="paragraph" w:customStyle="1" w:styleId="12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纯文本普通文字 Char纯文本 Char Char普通文字纯文本 Char Char Char Char Char...1"/>
    <w:basedOn w:val="4"/>
    <w:next w:val="4"/>
    <w:qFormat/>
    <w:uiPriority w:val="0"/>
    <w:pPr>
      <w:ind w:firstLine="0" w:firstLineChars="0"/>
    </w:pPr>
    <w:rPr>
      <w:rFonts w:eastAsia="黑体"/>
      <w:color w:val="000000"/>
      <w:sz w:val="30"/>
    </w:rPr>
  </w:style>
  <w:style w:type="paragraph" w:customStyle="1" w:styleId="123">
    <w:name w:val="彩色列表 - 强调文字颜色 11"/>
    <w:basedOn w:val="1"/>
    <w:link w:val="235"/>
    <w:qFormat/>
    <w:uiPriority w:val="0"/>
    <w:pPr>
      <w:ind w:firstLine="420" w:firstLineChars="200"/>
    </w:pPr>
    <w:rPr>
      <w:rFonts w:ascii="Calibri" w:hAnsi="Calibri"/>
    </w:rPr>
  </w:style>
  <w:style w:type="paragraph" w:customStyle="1" w:styleId="124">
    <w:name w:val="样式 正文文本 + 首行缩进:  2 字符1"/>
    <w:basedOn w:val="20"/>
    <w:qFormat/>
    <w:uiPriority w:val="0"/>
    <w:pPr>
      <w:adjustRightInd w:val="0"/>
      <w:snapToGrid w:val="0"/>
      <w:spacing w:after="0" w:line="400" w:lineRule="exact"/>
      <w:ind w:firstLine="200" w:firstLineChars="200"/>
    </w:pPr>
    <w:rPr>
      <w:rFonts w:ascii="Arial" w:hAnsi="Arial" w:cs="宋体"/>
      <w:szCs w:val="20"/>
    </w:rPr>
  </w:style>
  <w:style w:type="paragraph" w:customStyle="1" w:styleId="125">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126">
    <w:name w:val="样式 标题 3 + 段前: 7.8 磅"/>
    <w:basedOn w:val="2"/>
    <w:qFormat/>
    <w:uiPriority w:val="0"/>
    <w:pPr>
      <w:widowControl w:val="0"/>
      <w:tabs>
        <w:tab w:val="left" w:pos="1280"/>
      </w:tabs>
      <w:autoSpaceDE/>
      <w:autoSpaceDN/>
      <w:spacing w:before="156" w:line="360" w:lineRule="auto"/>
      <w:ind w:left="1280" w:hanging="720"/>
    </w:pPr>
    <w:rPr>
      <w:rFonts w:cs="宋体"/>
    </w:rPr>
  </w:style>
  <w:style w:type="paragraph" w:customStyle="1" w:styleId="127">
    <w:name w:val="默认段落字体 Para Char"/>
    <w:basedOn w:val="1"/>
    <w:qFormat/>
    <w:uiPriority w:val="0"/>
    <w:pPr>
      <w:numPr>
        <w:ilvl w:val="0"/>
        <w:numId w:val="1"/>
      </w:numPr>
      <w:tabs>
        <w:tab w:val="left" w:pos="454"/>
        <w:tab w:val="clear" w:pos="460"/>
      </w:tabs>
    </w:pPr>
  </w:style>
  <w:style w:type="paragraph" w:customStyle="1" w:styleId="128">
    <w:name w:val="CM2"/>
    <w:basedOn w:val="1"/>
    <w:next w:val="1"/>
    <w:qFormat/>
    <w:uiPriority w:val="0"/>
    <w:pPr>
      <w:autoSpaceDE w:val="0"/>
      <w:autoSpaceDN w:val="0"/>
      <w:adjustRightInd w:val="0"/>
      <w:spacing w:line="500" w:lineRule="atLeast"/>
      <w:jc w:val="left"/>
    </w:pPr>
    <w:rPr>
      <w:rFonts w:ascii="宋体"/>
      <w:kern w:val="0"/>
      <w:sz w:val="24"/>
    </w:rPr>
  </w:style>
  <w:style w:type="paragraph" w:customStyle="1" w:styleId="12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2">
    <w:name w:val="多级符号2"/>
    <w:basedOn w:val="1"/>
    <w:qFormat/>
    <w:uiPriority w:val="0"/>
    <w:pPr>
      <w:tabs>
        <w:tab w:val="left" w:pos="454"/>
      </w:tabs>
      <w:spacing w:line="360" w:lineRule="auto"/>
      <w:ind w:firstLine="420"/>
      <w:jc w:val="left"/>
    </w:pPr>
    <w:rPr>
      <w:rFonts w:eastAsia="仿宋_GB2312"/>
      <w:sz w:val="24"/>
    </w:rPr>
  </w:style>
  <w:style w:type="paragraph" w:customStyle="1" w:styleId="13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4">
    <w:name w:val="样式1"/>
    <w:basedOn w:val="1"/>
    <w:link w:val="229"/>
    <w:qFormat/>
    <w:uiPriority w:val="0"/>
    <w:pPr>
      <w:spacing w:line="360" w:lineRule="exact"/>
      <w:ind w:firstLine="200" w:firstLineChars="200"/>
    </w:pPr>
    <w:rPr>
      <w:rFonts w:ascii="Arial" w:hAnsi="Arial"/>
    </w:rPr>
  </w:style>
  <w:style w:type="paragraph" w:customStyle="1" w:styleId="135">
    <w:name w:val="样式 纯文本普通文字 Char纯文本 Char Char普通文字纯文本 Char Char Char Char Char...5"/>
    <w:basedOn w:val="2"/>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6">
    <w:name w:val="样式 纯文本普通文字 Char纯文本 Char Char普通文字纯文本 Char Char Char Char Char...4"/>
    <w:basedOn w:val="2"/>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1">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2">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Char1 Char Char Char Char Char Char"/>
    <w:basedOn w:val="1"/>
    <w:qFormat/>
    <w:uiPriority w:val="0"/>
    <w:rPr>
      <w:rFonts w:ascii="仿宋_GB2312" w:eastAsia="仿宋_GB2312"/>
      <w:b/>
      <w:sz w:val="32"/>
      <w:szCs w:val="32"/>
    </w:rPr>
  </w:style>
  <w:style w:type="paragraph" w:customStyle="1" w:styleId="145">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6">
    <w:name w:val="_Style 137"/>
    <w:basedOn w:val="3"/>
    <w:next w:val="1"/>
    <w:qFormat/>
    <w:uiPriority w:val="0"/>
    <w:pPr>
      <w:keepLines/>
      <w:spacing w:before="340" w:after="330" w:line="576" w:lineRule="auto"/>
      <w:jc w:val="both"/>
      <w:outlineLvl w:val="9"/>
    </w:pPr>
    <w:rPr>
      <w:rFonts w:ascii="宋体"/>
      <w:bCs/>
      <w:color w:val="auto"/>
      <w:kern w:val="44"/>
      <w:sz w:val="44"/>
      <w:szCs w:val="44"/>
    </w:rPr>
  </w:style>
  <w:style w:type="paragraph" w:customStyle="1" w:styleId="147">
    <w:name w:val="Char Char3 Char"/>
    <w:basedOn w:val="1"/>
    <w:qFormat/>
    <w:uiPriority w:val="0"/>
    <w:rPr>
      <w:rFonts w:ascii="仿宋_GB2312" w:eastAsia="仿宋_GB2312"/>
      <w:b/>
      <w:sz w:val="32"/>
      <w:szCs w:val="32"/>
    </w:rPr>
  </w:style>
  <w:style w:type="paragraph" w:customStyle="1" w:styleId="148">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1 Char Char Char Char Char Char"/>
    <w:basedOn w:val="1"/>
    <w:qFormat/>
    <w:uiPriority w:val="0"/>
  </w:style>
  <w:style w:type="paragraph" w:customStyle="1" w:styleId="150">
    <w:name w:val="Blockquote"/>
    <w:basedOn w:val="1"/>
    <w:link w:val="233"/>
    <w:qFormat/>
    <w:uiPriority w:val="0"/>
    <w:pPr>
      <w:autoSpaceDE w:val="0"/>
      <w:autoSpaceDN w:val="0"/>
      <w:adjustRightInd w:val="0"/>
      <w:spacing w:before="100" w:after="100"/>
      <w:ind w:left="360" w:right="360"/>
      <w:jc w:val="left"/>
    </w:pPr>
    <w:rPr>
      <w:rFonts w:ascii="Calibri" w:hAnsi="Calibri"/>
      <w:sz w:val="24"/>
    </w:rPr>
  </w:style>
  <w:style w:type="paragraph" w:customStyle="1" w:styleId="151">
    <w:name w:val="样式 标题 2 + Times New Roman 四号 非加粗 段前: 5 磅 段后: 0 磅 行距: 固定值 20..."/>
    <w:basedOn w:val="4"/>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2">
    <w:name w:val="样式 样式 纯文本普通文字 Char纯文本 Char Char普通文字纯文本 Char Char Char Char Char...."/>
    <w:basedOn w:val="122"/>
    <w:qFormat/>
    <w:uiPriority w:val="0"/>
    <w:pPr>
      <w:jc w:val="center"/>
    </w:pPr>
    <w:rPr>
      <w:rFonts w:ascii="宋体" w:hAnsi="宋体" w:eastAsia="宋体" w:cs="宋体"/>
      <w:bCs w:val="0"/>
      <w:szCs w:val="20"/>
    </w:rPr>
  </w:style>
  <w:style w:type="paragraph" w:customStyle="1" w:styleId="15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4">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p0"/>
    <w:basedOn w:val="1"/>
    <w:qFormat/>
    <w:uiPriority w:val="0"/>
    <w:pPr>
      <w:widowControl/>
    </w:pPr>
    <w:rPr>
      <w:kern w:val="0"/>
      <w:szCs w:val="21"/>
    </w:rPr>
  </w:style>
  <w:style w:type="paragraph" w:customStyle="1" w:styleId="156">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7">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8">
    <w:name w:val="表格文字"/>
    <w:basedOn w:val="1"/>
    <w:qFormat/>
    <w:uiPriority w:val="0"/>
    <w:pPr>
      <w:adjustRightInd w:val="0"/>
      <w:spacing w:line="420" w:lineRule="atLeast"/>
      <w:jc w:val="left"/>
      <w:textAlignment w:val="baseline"/>
    </w:pPr>
    <w:rPr>
      <w:kern w:val="0"/>
      <w:szCs w:val="20"/>
    </w:rPr>
  </w:style>
  <w:style w:type="paragraph" w:customStyle="1" w:styleId="159">
    <w:name w:val="彩色列表 - 强调文字颜色 12"/>
    <w:basedOn w:val="1"/>
    <w:qFormat/>
    <w:uiPriority w:val="34"/>
    <w:pPr>
      <w:ind w:firstLine="420" w:firstLineChars="200"/>
    </w:pPr>
  </w:style>
  <w:style w:type="paragraph" w:customStyle="1" w:styleId="160">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1">
    <w:name w:val="Char3"/>
    <w:basedOn w:val="1"/>
    <w:qFormat/>
    <w:uiPriority w:val="0"/>
    <w:rPr>
      <w:rFonts w:ascii="仿宋_GB2312" w:eastAsia="仿宋_GB2312"/>
      <w:b/>
      <w:sz w:val="32"/>
      <w:szCs w:val="32"/>
    </w:rPr>
  </w:style>
  <w:style w:type="paragraph" w:customStyle="1" w:styleId="162">
    <w:name w:val="正文－恩普"/>
    <w:basedOn w:val="14"/>
    <w:qFormat/>
    <w:uiPriority w:val="0"/>
    <w:pPr>
      <w:widowControl/>
      <w:spacing w:afterLines="50" w:line="360" w:lineRule="auto"/>
      <w:ind w:firstLine="480"/>
      <w:jc w:val="left"/>
    </w:pPr>
    <w:rPr>
      <w:kern w:val="0"/>
      <w:sz w:val="24"/>
      <w:szCs w:val="20"/>
    </w:rPr>
  </w:style>
  <w:style w:type="paragraph" w:customStyle="1" w:styleId="163">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color w:val="auto"/>
      <w:kern w:val="44"/>
      <w:szCs w:val="20"/>
    </w:rPr>
  </w:style>
  <w:style w:type="paragraph" w:customStyle="1" w:styleId="164">
    <w:name w:val="1"/>
    <w:basedOn w:val="1"/>
    <w:next w:val="39"/>
    <w:qFormat/>
    <w:uiPriority w:val="0"/>
    <w:pPr>
      <w:widowControl/>
      <w:snapToGrid w:val="0"/>
      <w:spacing w:line="440" w:lineRule="atLeast"/>
      <w:ind w:firstLine="480"/>
    </w:pPr>
    <w:rPr>
      <w:kern w:val="0"/>
      <w:sz w:val="24"/>
      <w:szCs w:val="20"/>
    </w:rPr>
  </w:style>
  <w:style w:type="paragraph" w:customStyle="1" w:styleId="165">
    <w:name w:val="_Style 63"/>
    <w:basedOn w:val="1"/>
    <w:qFormat/>
    <w:uiPriority w:val="0"/>
    <w:rPr>
      <w:rFonts w:ascii="Tahoma" w:hAnsi="Tahoma"/>
      <w:sz w:val="24"/>
      <w:szCs w:val="20"/>
    </w:rPr>
  </w:style>
  <w:style w:type="paragraph" w:customStyle="1" w:styleId="166">
    <w:name w:val="默认段落字体 Para Char Char Char Char Char Char Char"/>
    <w:basedOn w:val="1"/>
    <w:qFormat/>
    <w:uiPriority w:val="0"/>
    <w:rPr>
      <w:rFonts w:eastAsia="仿宋_GB2312"/>
      <w:sz w:val="28"/>
    </w:rPr>
  </w:style>
  <w:style w:type="paragraph" w:customStyle="1" w:styleId="167">
    <w:name w:val="样式 纯文本普通文字 Char纯文本 Char Char普通文字纯文本 Char Char Char Char Char...3"/>
    <w:basedOn w:val="2"/>
    <w:next w:val="2"/>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8">
    <w:name w:val="Char Char Char Char1"/>
    <w:basedOn w:val="1"/>
    <w:qFormat/>
    <w:uiPriority w:val="0"/>
  </w:style>
  <w:style w:type="paragraph" w:customStyle="1" w:styleId="169">
    <w:name w:val="p16"/>
    <w:basedOn w:val="1"/>
    <w:qFormat/>
    <w:uiPriority w:val="0"/>
    <w:pPr>
      <w:widowControl/>
      <w:spacing w:before="100" w:after="100"/>
      <w:jc w:val="left"/>
    </w:pPr>
    <w:rPr>
      <w:rFonts w:ascii="宋体" w:hAnsi="宋体" w:cs="宋体"/>
      <w:color w:val="000000"/>
      <w:kern w:val="0"/>
      <w:sz w:val="24"/>
    </w:rPr>
  </w:style>
  <w:style w:type="paragraph" w:customStyle="1" w:styleId="170">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72">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3">
    <w:name w:val="样式 标题 3 + Arial"/>
    <w:basedOn w:val="2"/>
    <w:qFormat/>
    <w:uiPriority w:val="0"/>
    <w:pPr>
      <w:keepNext/>
      <w:keepLines/>
      <w:widowControl w:val="0"/>
      <w:autoSpaceDE/>
      <w:autoSpaceDN/>
      <w:spacing w:beforeLines="100" w:line="360" w:lineRule="auto"/>
    </w:pPr>
    <w:rPr>
      <w:rFonts w:ascii="宋体" w:hAnsi="宋体"/>
    </w:rPr>
  </w:style>
  <w:style w:type="paragraph" w:customStyle="1" w:styleId="17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纯文本1"/>
    <w:basedOn w:val="1"/>
    <w:qFormat/>
    <w:uiPriority w:val="0"/>
    <w:pPr>
      <w:adjustRightInd w:val="0"/>
      <w:textAlignment w:val="baseline"/>
    </w:pPr>
    <w:rPr>
      <w:rFonts w:ascii="宋体" w:hAnsi="Courier New"/>
      <w:szCs w:val="20"/>
    </w:rPr>
  </w:style>
  <w:style w:type="paragraph" w:customStyle="1" w:styleId="176">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7">
    <w:name w:val="样式 纯文本普通文字 Char纯文本 Char Char普通文字纯文本 Char Char Char Char Char...7"/>
    <w:basedOn w:val="2"/>
    <w:next w:val="2"/>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8">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9">
    <w:name w:val="xl66"/>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0">
    <w:name w:val="样式 纯文本普通文字 Char纯文本 Char Char普通文字纯文本 Char Char Char Char Char...6"/>
    <w:basedOn w:val="2"/>
    <w:link w:val="212"/>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81">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8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 Char Char Char Char Char Char Char Char Char Char1"/>
    <w:basedOn w:val="1"/>
    <w:qFormat/>
    <w:uiPriority w:val="0"/>
    <w:rPr>
      <w:rFonts w:ascii="Tahoma" w:hAnsi="Tahoma"/>
      <w:sz w:val="24"/>
      <w:szCs w:val="20"/>
    </w:rPr>
  </w:style>
  <w:style w:type="paragraph" w:customStyle="1" w:styleId="184">
    <w:name w:val="_Style 175"/>
    <w:qFormat/>
    <w:uiPriority w:val="0"/>
    <w:rPr>
      <w:rFonts w:ascii="Times New Roman" w:hAnsi="Times New Roman" w:eastAsia="宋体" w:cs="Times New Roman"/>
      <w:kern w:val="2"/>
      <w:sz w:val="21"/>
      <w:szCs w:val="24"/>
      <w:lang w:val="en-US" w:eastAsia="zh-CN" w:bidi="ar-SA"/>
    </w:rPr>
  </w:style>
  <w:style w:type="paragraph" w:customStyle="1" w:styleId="185">
    <w:name w:val="内文正文"/>
    <w:basedOn w:val="6"/>
    <w:link w:val="188"/>
    <w:qFormat/>
    <w:uiPriority w:val="0"/>
    <w:pPr>
      <w:adjustRightInd w:val="0"/>
      <w:snapToGrid w:val="0"/>
      <w:spacing w:line="400" w:lineRule="exact"/>
      <w:ind w:firstLine="200" w:firstLineChars="200"/>
    </w:pPr>
    <w:rPr>
      <w:rFonts w:ascii="Arial" w:hAnsi="Arial"/>
      <w:color w:val="000000"/>
      <w:szCs w:val="21"/>
    </w:rPr>
  </w:style>
  <w:style w:type="character" w:customStyle="1" w:styleId="186">
    <w:name w:val="个人撰写风格"/>
    <w:qFormat/>
    <w:uiPriority w:val="0"/>
    <w:rPr>
      <w:rFonts w:ascii="Arial" w:hAnsi="Arial" w:eastAsia="宋体" w:cs="Arial"/>
      <w:color w:val="auto"/>
      <w:sz w:val="20"/>
    </w:rPr>
  </w:style>
  <w:style w:type="character" w:customStyle="1" w:styleId="187">
    <w:name w:val="Char Char3"/>
    <w:qFormat/>
    <w:uiPriority w:val="0"/>
    <w:rPr>
      <w:rFonts w:ascii="宋体" w:eastAsia="宋体"/>
      <w:kern w:val="2"/>
      <w:sz w:val="18"/>
      <w:szCs w:val="18"/>
      <w:lang w:val="en-US" w:eastAsia="zh-CN" w:bidi="ar-SA"/>
    </w:rPr>
  </w:style>
  <w:style w:type="character" w:customStyle="1" w:styleId="188">
    <w:name w:val="内文正文 Char"/>
    <w:link w:val="185"/>
    <w:qFormat/>
    <w:uiPriority w:val="0"/>
    <w:rPr>
      <w:rFonts w:ascii="Arial" w:hAnsi="Arial" w:cs="Courier New"/>
      <w:color w:val="000000"/>
      <w:kern w:val="2"/>
      <w:sz w:val="21"/>
      <w:szCs w:val="21"/>
    </w:rPr>
  </w:style>
  <w:style w:type="character" w:customStyle="1" w:styleId="189">
    <w:name w:val="正文文本 2 字符"/>
    <w:link w:val="42"/>
    <w:qFormat/>
    <w:uiPriority w:val="0"/>
    <w:rPr>
      <w:b/>
      <w:bCs/>
      <w:color w:val="000000"/>
      <w:kern w:val="2"/>
      <w:sz w:val="28"/>
      <w:szCs w:val="24"/>
    </w:rPr>
  </w:style>
  <w:style w:type="character" w:customStyle="1" w:styleId="190">
    <w:name w:val="正文2 Char Char"/>
    <w:link w:val="79"/>
    <w:qFormat/>
    <w:locked/>
    <w:uiPriority w:val="0"/>
    <w:rPr>
      <w:kern w:val="2"/>
      <w:sz w:val="24"/>
    </w:rPr>
  </w:style>
  <w:style w:type="character" w:customStyle="1" w:styleId="191">
    <w:name w:val="明显引用 Char2"/>
    <w:qFormat/>
    <w:uiPriority w:val="0"/>
    <w:rPr>
      <w:rFonts w:ascii="宋体"/>
      <w:b/>
      <w:bCs/>
      <w:i/>
      <w:iCs/>
      <w:color w:val="4F81BD"/>
      <w:kern w:val="2"/>
      <w:sz w:val="28"/>
    </w:rPr>
  </w:style>
  <w:style w:type="character" w:customStyle="1" w:styleId="192">
    <w:name w:val="正文文本缩进 字符"/>
    <w:link w:val="21"/>
    <w:qFormat/>
    <w:uiPriority w:val="0"/>
    <w:rPr>
      <w:rFonts w:ascii="宋体"/>
      <w:sz w:val="24"/>
    </w:rPr>
  </w:style>
  <w:style w:type="character" w:customStyle="1" w:styleId="193">
    <w:name w:val="Char Char5"/>
    <w:qFormat/>
    <w:uiPriority w:val="0"/>
    <w:rPr>
      <w:rFonts w:ascii="宋体" w:hAnsi="宋体"/>
      <w:sz w:val="28"/>
      <w:szCs w:val="28"/>
      <w:lang w:bidi="ar-SA"/>
    </w:rPr>
  </w:style>
  <w:style w:type="character" w:customStyle="1" w:styleId="194">
    <w:name w:val="批注框文本 字符"/>
    <w:link w:val="30"/>
    <w:qFormat/>
    <w:uiPriority w:val="0"/>
    <w:rPr>
      <w:kern w:val="2"/>
      <w:sz w:val="18"/>
      <w:szCs w:val="18"/>
    </w:rPr>
  </w:style>
  <w:style w:type="character" w:customStyle="1" w:styleId="195">
    <w:name w:val="Char Char22"/>
    <w:qFormat/>
    <w:uiPriority w:val="0"/>
    <w:rPr>
      <w:rFonts w:ascii="宋体"/>
      <w:b/>
      <w:bCs/>
      <w:kern w:val="44"/>
      <w:sz w:val="44"/>
      <w:szCs w:val="44"/>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内文正文 Char Char"/>
    <w:qFormat/>
    <w:uiPriority w:val="0"/>
    <w:rPr>
      <w:rFonts w:ascii="宋体" w:hAnsi="???|CS?o｡ﾀ?"/>
      <w:sz w:val="21"/>
      <w:szCs w:val="28"/>
      <w:lang w:val="en-US" w:eastAsia="zh-CN" w:bidi="ar-SA"/>
    </w:rPr>
  </w:style>
  <w:style w:type="character" w:customStyle="1" w:styleId="198">
    <w:name w:val="日期 Char1"/>
    <w:qFormat/>
    <w:uiPriority w:val="0"/>
    <w:rPr>
      <w:kern w:val="2"/>
      <w:sz w:val="21"/>
      <w:szCs w:val="22"/>
    </w:rPr>
  </w:style>
  <w:style w:type="character" w:customStyle="1" w:styleId="199">
    <w:name w:val="页脚 字符"/>
    <w:link w:val="31"/>
    <w:qFormat/>
    <w:uiPriority w:val="99"/>
    <w:rPr>
      <w:kern w:val="2"/>
      <w:sz w:val="18"/>
      <w:szCs w:val="18"/>
    </w:rPr>
  </w:style>
  <w:style w:type="character" w:customStyle="1" w:styleId="200">
    <w:name w:val="Char Char18"/>
    <w:qFormat/>
    <w:uiPriority w:val="0"/>
    <w:rPr>
      <w:rFonts w:ascii="Calibri" w:hAnsi="Calibri"/>
      <w:b/>
      <w:bCs/>
      <w:kern w:val="2"/>
      <w:sz w:val="28"/>
      <w:szCs w:val="28"/>
    </w:rPr>
  </w:style>
  <w:style w:type="character" w:customStyle="1" w:styleId="201">
    <w:name w:val="Char Char8"/>
    <w:qFormat/>
    <w:uiPriority w:val="0"/>
    <w:rPr>
      <w:rFonts w:ascii="宋体" w:eastAsia="宋体"/>
      <w:kern w:val="2"/>
      <w:sz w:val="18"/>
      <w:szCs w:val="18"/>
      <w:lang w:val="en-US" w:eastAsia="zh-CN" w:bidi="ar-SA"/>
    </w:rPr>
  </w:style>
  <w:style w:type="character" w:customStyle="1" w:styleId="202">
    <w:name w:val="Char Char Char"/>
    <w:link w:val="87"/>
    <w:qFormat/>
    <w:uiPriority w:val="0"/>
    <w:rPr>
      <w:rFonts w:ascii="宋体" w:hAnsi="宋体"/>
      <w:b/>
      <w:kern w:val="2"/>
      <w:sz w:val="21"/>
      <w:szCs w:val="21"/>
    </w:rPr>
  </w:style>
  <w:style w:type="character" w:customStyle="1" w:styleId="203">
    <w:name w:val="_Style 196"/>
    <w:qFormat/>
    <w:uiPriority w:val="0"/>
    <w:rPr>
      <w:b/>
      <w:bCs/>
      <w:smallCaps/>
      <w:color w:val="C0504D"/>
      <w:spacing w:val="5"/>
      <w:u w:val="single"/>
    </w:rPr>
  </w:style>
  <w:style w:type="character" w:customStyle="1" w:styleId="204">
    <w:name w:val="标题 9 字符"/>
    <w:link w:val="11"/>
    <w:qFormat/>
    <w:uiPriority w:val="0"/>
    <w:rPr>
      <w:rFonts w:ascii="Cambria" w:hAnsi="Cambria"/>
      <w:kern w:val="2"/>
      <w:sz w:val="21"/>
      <w:szCs w:val="21"/>
    </w:rPr>
  </w:style>
  <w:style w:type="character" w:customStyle="1" w:styleId="205">
    <w:name w:val="Char Char10"/>
    <w:qFormat/>
    <w:uiPriority w:val="0"/>
    <w:rPr>
      <w:rFonts w:ascii="Arial" w:hAnsi="Arial" w:eastAsia="黑体"/>
      <w:b/>
      <w:bCs/>
      <w:kern w:val="2"/>
      <w:sz w:val="28"/>
      <w:szCs w:val="28"/>
    </w:rPr>
  </w:style>
  <w:style w:type="character" w:customStyle="1" w:styleId="206">
    <w:name w:val="Char Char19"/>
    <w:qFormat/>
    <w:uiPriority w:val="0"/>
    <w:rPr>
      <w:rFonts w:ascii="Cambria" w:hAnsi="Cambria"/>
      <w:b/>
      <w:bCs/>
      <w:kern w:val="2"/>
      <w:sz w:val="28"/>
      <w:szCs w:val="28"/>
    </w:rPr>
  </w:style>
  <w:style w:type="character" w:customStyle="1" w:styleId="207">
    <w:name w:val="样式 标题 2 + 小四 Char Char"/>
    <w:link w:val="100"/>
    <w:qFormat/>
    <w:uiPriority w:val="0"/>
    <w:rPr>
      <w:rFonts w:ascii="宋体" w:hAnsi="宋体"/>
      <w:b/>
      <w:kern w:val="2"/>
      <w:sz w:val="36"/>
    </w:rPr>
  </w:style>
  <w:style w:type="character" w:customStyle="1" w:styleId="208">
    <w:name w:val="_Style 201"/>
    <w:qFormat/>
    <w:uiPriority w:val="0"/>
    <w:rPr>
      <w:b/>
      <w:bCs/>
      <w:smallCaps/>
      <w:spacing w:val="5"/>
    </w:rPr>
  </w:style>
  <w:style w:type="character" w:customStyle="1" w:styleId="209">
    <w:name w:val="unnamed51"/>
    <w:qFormat/>
    <w:uiPriority w:val="0"/>
    <w:rPr>
      <w:sz w:val="22"/>
      <w:szCs w:val="22"/>
    </w:rPr>
  </w:style>
  <w:style w:type="character" w:customStyle="1" w:styleId="210">
    <w:name w:val="Char Char101"/>
    <w:qFormat/>
    <w:uiPriority w:val="0"/>
    <w:rPr>
      <w:rFonts w:ascii="Arial" w:hAnsi="Arial" w:eastAsia="黑体"/>
      <w:b/>
      <w:bCs/>
      <w:kern w:val="2"/>
      <w:sz w:val="28"/>
      <w:szCs w:val="28"/>
    </w:rPr>
  </w:style>
  <w:style w:type="character" w:customStyle="1" w:styleId="211">
    <w:name w:val="标题 Char1"/>
    <w:qFormat/>
    <w:uiPriority w:val="0"/>
    <w:rPr>
      <w:rFonts w:ascii="Cambria" w:hAnsi="Cambria" w:cs="Times New Roman"/>
      <w:b/>
      <w:bCs/>
      <w:kern w:val="2"/>
      <w:sz w:val="32"/>
      <w:szCs w:val="32"/>
    </w:rPr>
  </w:style>
  <w:style w:type="character" w:customStyle="1" w:styleId="212">
    <w:name w:val="样式 纯文本普通文字 Char纯文本 Char Char普通文字纯文本 Char Char Char Char Char...6 Char"/>
    <w:link w:val="180"/>
    <w:qFormat/>
    <w:uiPriority w:val="0"/>
    <w:rPr>
      <w:bCs/>
      <w:color w:val="000000"/>
      <w:kern w:val="2"/>
      <w:sz w:val="24"/>
    </w:rPr>
  </w:style>
  <w:style w:type="character" w:customStyle="1" w:styleId="213">
    <w:name w:val="正文缩进 字符"/>
    <w:link w:val="14"/>
    <w:qFormat/>
    <w:uiPriority w:val="0"/>
    <w:rPr>
      <w:kern w:val="2"/>
      <w:sz w:val="21"/>
      <w:szCs w:val="24"/>
    </w:rPr>
  </w:style>
  <w:style w:type="character" w:customStyle="1" w:styleId="214">
    <w:name w:val="样式 正文文本 Char Char"/>
    <w:qFormat/>
    <w:uiPriority w:val="0"/>
    <w:rPr>
      <w:rFonts w:ascii="Arial" w:hAnsi="Arial" w:eastAsia="宋体" w:cs="宋体"/>
      <w:color w:val="000000"/>
      <w:kern w:val="2"/>
      <w:sz w:val="21"/>
      <w:lang w:val="en-US" w:eastAsia="zh-CN" w:bidi="ar-SA"/>
    </w:rPr>
  </w:style>
  <w:style w:type="character" w:customStyle="1" w:styleId="215">
    <w:name w:val="日期 字符"/>
    <w:link w:val="28"/>
    <w:qFormat/>
    <w:uiPriority w:val="0"/>
    <w:rPr>
      <w:color w:val="000000"/>
      <w:kern w:val="2"/>
      <w:sz w:val="24"/>
      <w:szCs w:val="24"/>
    </w:rPr>
  </w:style>
  <w:style w:type="character" w:customStyle="1" w:styleId="216">
    <w:name w:val="普通文字 Char Char2"/>
    <w:qFormat/>
    <w:uiPriority w:val="0"/>
    <w:rPr>
      <w:rFonts w:ascii="宋体" w:hAnsi="Courier New" w:eastAsia="宋体"/>
      <w:kern w:val="2"/>
      <w:sz w:val="21"/>
      <w:lang w:val="en-US" w:eastAsia="zh-CN" w:bidi="ar-SA"/>
    </w:rPr>
  </w:style>
  <w:style w:type="character" w:customStyle="1" w:styleId="217">
    <w:name w:val="批注主题 Char2"/>
    <w:qFormat/>
    <w:uiPriority w:val="0"/>
    <w:rPr>
      <w:rFonts w:ascii="宋体" w:hAnsi="宋体" w:eastAsia="宋体"/>
      <w:b/>
      <w:bCs/>
      <w:kern w:val="2"/>
      <w:sz w:val="28"/>
      <w:szCs w:val="24"/>
      <w:lang w:val="en-US" w:eastAsia="zh-CN" w:bidi="ar-SA"/>
    </w:rPr>
  </w:style>
  <w:style w:type="character" w:customStyle="1" w:styleId="218">
    <w:name w:val="正文文本 Char1"/>
    <w:qFormat/>
    <w:uiPriority w:val="0"/>
    <w:rPr>
      <w:kern w:val="2"/>
      <w:sz w:val="21"/>
      <w:szCs w:val="22"/>
    </w:rPr>
  </w:style>
  <w:style w:type="character" w:customStyle="1" w:styleId="219">
    <w:name w:val="正文文本 3 字符"/>
    <w:link w:val="19"/>
    <w:qFormat/>
    <w:uiPriority w:val="0"/>
    <w:rPr>
      <w:rFonts w:ascii="楷体_GB2312" w:eastAsia="楷体_GB2312"/>
      <w:b/>
      <w:color w:val="000000"/>
      <w:kern w:val="2"/>
      <w:sz w:val="30"/>
      <w:szCs w:val="24"/>
    </w:rPr>
  </w:style>
  <w:style w:type="character" w:customStyle="1" w:styleId="220">
    <w:name w:val="dz1"/>
    <w:basedOn w:val="53"/>
    <w:qFormat/>
    <w:uiPriority w:val="0"/>
  </w:style>
  <w:style w:type="character" w:customStyle="1" w:styleId="221">
    <w:name w:val="zbggmain style9"/>
    <w:basedOn w:val="53"/>
    <w:qFormat/>
    <w:uiPriority w:val="0"/>
  </w:style>
  <w:style w:type="character" w:customStyle="1" w:styleId="222">
    <w:name w:val="无间隔 字符"/>
    <w:link w:val="111"/>
    <w:qFormat/>
    <w:uiPriority w:val="0"/>
    <w:rPr>
      <w:kern w:val="2"/>
      <w:sz w:val="21"/>
      <w:szCs w:val="22"/>
      <w:lang w:val="en-US" w:eastAsia="zh-CN" w:bidi="ar-SA"/>
    </w:rPr>
  </w:style>
  <w:style w:type="character" w:customStyle="1" w:styleId="223">
    <w:name w:val="样式1 Char"/>
    <w:qFormat/>
    <w:uiPriority w:val="0"/>
    <w:rPr>
      <w:rFonts w:ascii="Arial" w:hAnsi="Arial" w:eastAsia="宋体"/>
      <w:kern w:val="2"/>
      <w:sz w:val="21"/>
      <w:szCs w:val="24"/>
      <w:lang w:val="en-US" w:eastAsia="zh-CN" w:bidi="ar-SA"/>
    </w:rPr>
  </w:style>
  <w:style w:type="character" w:customStyle="1" w:styleId="224">
    <w:name w:val="批注框文本 Char1"/>
    <w:qFormat/>
    <w:uiPriority w:val="0"/>
    <w:rPr>
      <w:kern w:val="2"/>
      <w:sz w:val="18"/>
      <w:szCs w:val="18"/>
    </w:rPr>
  </w:style>
  <w:style w:type="character" w:customStyle="1" w:styleId="225">
    <w:name w:val="font141"/>
    <w:qFormat/>
    <w:uiPriority w:val="0"/>
    <w:rPr>
      <w:rFonts w:hint="default" w:ascii="Tahoma" w:hAnsi="Tahoma" w:eastAsia="Tahoma" w:cs="Tahoma"/>
      <w:color w:val="000000"/>
      <w:sz w:val="24"/>
      <w:szCs w:val="24"/>
      <w:u w:val="none"/>
    </w:rPr>
  </w:style>
  <w:style w:type="character" w:customStyle="1" w:styleId="226">
    <w:name w:val="文档结构图 Char1"/>
    <w:qFormat/>
    <w:uiPriority w:val="0"/>
    <w:rPr>
      <w:rFonts w:ascii="宋体"/>
      <w:kern w:val="2"/>
      <w:sz w:val="18"/>
      <w:szCs w:val="18"/>
    </w:rPr>
  </w:style>
  <w:style w:type="character" w:customStyle="1" w:styleId="227">
    <w:name w:val="font112"/>
    <w:qFormat/>
    <w:uiPriority w:val="0"/>
    <w:rPr>
      <w:rFonts w:hint="default" w:ascii="Times New Roman" w:hAnsi="Times New Roman" w:cs="Times New Roman"/>
      <w:color w:val="000000"/>
      <w:sz w:val="24"/>
      <w:szCs w:val="24"/>
      <w:u w:val="none"/>
    </w:rPr>
  </w:style>
  <w:style w:type="character" w:customStyle="1" w:styleId="228">
    <w:name w:val="Char Char7"/>
    <w:qFormat/>
    <w:uiPriority w:val="0"/>
    <w:rPr>
      <w:rFonts w:eastAsia="宋体"/>
      <w:kern w:val="2"/>
      <w:sz w:val="21"/>
      <w:szCs w:val="24"/>
      <w:lang w:val="en-US" w:eastAsia="zh-CN" w:bidi="ar-SA"/>
    </w:rPr>
  </w:style>
  <w:style w:type="character" w:customStyle="1" w:styleId="229">
    <w:name w:val="样式1 Char Char"/>
    <w:link w:val="134"/>
    <w:qFormat/>
    <w:uiPriority w:val="0"/>
    <w:rPr>
      <w:rFonts w:ascii="Arial" w:hAnsi="Arial"/>
      <w:kern w:val="2"/>
      <w:sz w:val="21"/>
      <w:szCs w:val="24"/>
    </w:rPr>
  </w:style>
  <w:style w:type="character" w:customStyle="1" w:styleId="230">
    <w:name w:val="正文文本 Char3"/>
    <w:qFormat/>
    <w:uiPriority w:val="0"/>
    <w:rPr>
      <w:rFonts w:ascii="宋体"/>
      <w:kern w:val="2"/>
      <w:sz w:val="28"/>
    </w:rPr>
  </w:style>
  <w:style w:type="character" w:customStyle="1" w:styleId="231">
    <w:name w:val="页眉 字符"/>
    <w:link w:val="32"/>
    <w:qFormat/>
    <w:uiPriority w:val="0"/>
    <w:rPr>
      <w:kern w:val="2"/>
      <w:sz w:val="18"/>
      <w:szCs w:val="18"/>
    </w:rPr>
  </w:style>
  <w:style w:type="character" w:customStyle="1" w:styleId="232">
    <w:name w:val="_Style 225"/>
    <w:qFormat/>
    <w:uiPriority w:val="0"/>
    <w:rPr>
      <w:b/>
      <w:bCs/>
      <w:i/>
      <w:iCs/>
      <w:color w:val="4F81BD"/>
    </w:rPr>
  </w:style>
  <w:style w:type="character" w:customStyle="1" w:styleId="233">
    <w:name w:val="Blockquote Char"/>
    <w:link w:val="150"/>
    <w:qFormat/>
    <w:uiPriority w:val="0"/>
    <w:rPr>
      <w:kern w:val="2"/>
      <w:sz w:val="24"/>
      <w:szCs w:val="24"/>
    </w:rPr>
  </w:style>
  <w:style w:type="character" w:customStyle="1" w:styleId="234">
    <w:name w:val="apple-converted-space"/>
    <w:basedOn w:val="53"/>
    <w:qFormat/>
    <w:uiPriority w:val="0"/>
  </w:style>
  <w:style w:type="character" w:customStyle="1" w:styleId="235">
    <w:name w:val="彩色列表 - 强调文字颜色 1 Char"/>
    <w:link w:val="123"/>
    <w:qFormat/>
    <w:uiPriority w:val="0"/>
    <w:rPr>
      <w:kern w:val="2"/>
      <w:sz w:val="21"/>
      <w:szCs w:val="24"/>
    </w:rPr>
  </w:style>
  <w:style w:type="character" w:customStyle="1" w:styleId="236">
    <w:name w:val="个人答复风格"/>
    <w:qFormat/>
    <w:uiPriority w:val="0"/>
    <w:rPr>
      <w:rFonts w:ascii="Arial" w:hAnsi="Arial" w:eastAsia="宋体" w:cs="Arial"/>
      <w:color w:val="auto"/>
      <w:sz w:val="20"/>
    </w:rPr>
  </w:style>
  <w:style w:type="character" w:customStyle="1" w:styleId="237">
    <w:name w:val="font161"/>
    <w:qFormat/>
    <w:uiPriority w:val="0"/>
    <w:rPr>
      <w:b/>
      <w:bCs/>
      <w:sz w:val="32"/>
      <w:szCs w:val="32"/>
    </w:rPr>
  </w:style>
  <w:style w:type="character" w:customStyle="1" w:styleId="238">
    <w:name w:val="Char Char20"/>
    <w:qFormat/>
    <w:uiPriority w:val="0"/>
    <w:rPr>
      <w:bCs/>
      <w:kern w:val="2"/>
      <w:sz w:val="24"/>
      <w:szCs w:val="21"/>
    </w:rPr>
  </w:style>
  <w:style w:type="character" w:customStyle="1" w:styleId="239">
    <w:name w:val="Char Char81"/>
    <w:qFormat/>
    <w:uiPriority w:val="0"/>
    <w:rPr>
      <w:rFonts w:ascii="宋体" w:eastAsia="宋体"/>
      <w:kern w:val="2"/>
      <w:sz w:val="18"/>
      <w:szCs w:val="18"/>
      <w:lang w:val="en-US" w:eastAsia="zh-CN" w:bidi="ar-SA"/>
    </w:rPr>
  </w:style>
  <w:style w:type="character" w:customStyle="1" w:styleId="240">
    <w:name w:val="font131"/>
    <w:qFormat/>
    <w:uiPriority w:val="0"/>
    <w:rPr>
      <w:rFonts w:ascii="Calibri" w:hAnsi="Calibri" w:cs="Calibri"/>
      <w:color w:val="000000"/>
      <w:sz w:val="24"/>
      <w:szCs w:val="24"/>
      <w:u w:val="none"/>
    </w:rPr>
  </w:style>
  <w:style w:type="character" w:customStyle="1" w:styleId="241">
    <w:name w:val="标题5 Char Char"/>
    <w:link w:val="73"/>
    <w:qFormat/>
    <w:uiPriority w:val="0"/>
    <w:rPr>
      <w:rFonts w:ascii="Arial" w:hAnsi="Arial"/>
      <w:b/>
      <w:bCs/>
      <w:sz w:val="24"/>
      <w:szCs w:val="32"/>
    </w:rPr>
  </w:style>
  <w:style w:type="character" w:customStyle="1" w:styleId="242">
    <w:name w:val="font121"/>
    <w:qFormat/>
    <w:uiPriority w:val="0"/>
    <w:rPr>
      <w:rFonts w:hint="default" w:ascii="Times New Roman" w:hAnsi="Times New Roman" w:cs="Times New Roman"/>
      <w:color w:val="000000"/>
      <w:sz w:val="24"/>
      <w:szCs w:val="24"/>
      <w:u w:val="none"/>
    </w:rPr>
  </w:style>
  <w:style w:type="character" w:customStyle="1" w:styleId="243">
    <w:name w:val="font01"/>
    <w:qFormat/>
    <w:uiPriority w:val="0"/>
    <w:rPr>
      <w:rFonts w:ascii="宋体" w:hAnsi="宋体" w:eastAsia="宋体" w:cs="宋体"/>
      <w:color w:val="000000"/>
      <w:sz w:val="24"/>
      <w:szCs w:val="24"/>
      <w:u w:val="none"/>
    </w:rPr>
  </w:style>
  <w:style w:type="character" w:customStyle="1" w:styleId="244">
    <w:name w:val="内文 Char"/>
    <w:link w:val="103"/>
    <w:qFormat/>
    <w:uiPriority w:val="0"/>
    <w:rPr>
      <w:rFonts w:ascii="Arial" w:hAnsi="Arial" w:eastAsia="Times New Roman"/>
      <w:kern w:val="2"/>
      <w:sz w:val="21"/>
      <w:szCs w:val="24"/>
      <w:lang w:val="en-US" w:eastAsia="zh-CN" w:bidi="ar-SA"/>
    </w:rPr>
  </w:style>
  <w:style w:type="character" w:customStyle="1" w:styleId="245">
    <w:name w:val="明显引用 字符"/>
    <w:link w:val="96"/>
    <w:qFormat/>
    <w:uiPriority w:val="0"/>
    <w:rPr>
      <w:b/>
      <w:bCs/>
      <w:i/>
      <w:iCs/>
      <w:color w:val="4F81BD"/>
      <w:kern w:val="2"/>
      <w:sz w:val="21"/>
      <w:szCs w:val="22"/>
    </w:rPr>
  </w:style>
  <w:style w:type="character" w:customStyle="1" w:styleId="246">
    <w:name w:val="textcontents"/>
    <w:qFormat/>
    <w:uiPriority w:val="0"/>
    <w:rPr>
      <w:rFonts w:cs="Times New Roman"/>
    </w:rPr>
  </w:style>
  <w:style w:type="character" w:customStyle="1" w:styleId="247">
    <w:name w:val="EmailStyle161"/>
    <w:qFormat/>
    <w:uiPriority w:val="0"/>
    <w:rPr>
      <w:rFonts w:ascii="Arial" w:hAnsi="Arial" w:eastAsia="宋体" w:cs="Arial"/>
      <w:color w:val="auto"/>
      <w:sz w:val="20"/>
    </w:rPr>
  </w:style>
  <w:style w:type="character" w:customStyle="1" w:styleId="248">
    <w:name w:val="日期 Char Char"/>
    <w:qFormat/>
    <w:uiPriority w:val="0"/>
    <w:rPr>
      <w:kern w:val="2"/>
      <w:sz w:val="21"/>
      <w:szCs w:val="24"/>
      <w:lang w:bidi="ar-SA"/>
    </w:rPr>
  </w:style>
  <w:style w:type="character" w:customStyle="1" w:styleId="249">
    <w:name w:val="文档结构图 字符"/>
    <w:link w:val="16"/>
    <w:qFormat/>
    <w:uiPriority w:val="0"/>
    <w:rPr>
      <w:kern w:val="2"/>
      <w:sz w:val="21"/>
      <w:szCs w:val="24"/>
      <w:shd w:val="clear" w:color="auto" w:fill="000080"/>
    </w:rPr>
  </w:style>
  <w:style w:type="character" w:customStyle="1" w:styleId="250">
    <w:name w:val="普通文字 Char1"/>
    <w:qFormat/>
    <w:uiPriority w:val="0"/>
    <w:rPr>
      <w:rFonts w:ascii="宋体" w:hAnsi="Courier New" w:eastAsia="宋体"/>
      <w:kern w:val="2"/>
      <w:sz w:val="21"/>
      <w:lang w:val="en-US" w:eastAsia="zh-CN"/>
    </w:rPr>
  </w:style>
  <w:style w:type="character" w:customStyle="1" w:styleId="251">
    <w:name w:val="Char Char"/>
    <w:qFormat/>
    <w:uiPriority w:val="0"/>
    <w:rPr>
      <w:rFonts w:ascii="宋体"/>
      <w:kern w:val="2"/>
      <w:sz w:val="18"/>
      <w:szCs w:val="18"/>
    </w:rPr>
  </w:style>
  <w:style w:type="character" w:customStyle="1" w:styleId="252">
    <w:name w:val="Default Char"/>
    <w:link w:val="68"/>
    <w:qFormat/>
    <w:uiPriority w:val="0"/>
    <w:rPr>
      <w:rFonts w:ascii="宋体"/>
      <w:color w:val="000000"/>
      <w:sz w:val="24"/>
      <w:szCs w:val="24"/>
      <w:lang w:val="en-US" w:eastAsia="zh-CN" w:bidi="ar-SA"/>
    </w:rPr>
  </w:style>
  <w:style w:type="character" w:customStyle="1" w:styleId="253">
    <w:name w:val="标题 8 字符"/>
    <w:link w:val="10"/>
    <w:qFormat/>
    <w:uiPriority w:val="0"/>
    <w:rPr>
      <w:rFonts w:ascii="Cambria" w:hAnsi="Cambria"/>
      <w:kern w:val="2"/>
      <w:sz w:val="24"/>
      <w:szCs w:val="24"/>
    </w:rPr>
  </w:style>
  <w:style w:type="character" w:customStyle="1" w:styleId="254">
    <w:name w:val="样式 正文文本 Char"/>
    <w:link w:val="113"/>
    <w:qFormat/>
    <w:uiPriority w:val="0"/>
    <w:rPr>
      <w:rFonts w:ascii="Arial" w:hAnsi="Arial" w:cs="宋体"/>
      <w:color w:val="000000"/>
      <w:kern w:val="2"/>
      <w:sz w:val="21"/>
    </w:rPr>
  </w:style>
  <w:style w:type="character" w:customStyle="1" w:styleId="255">
    <w:name w:val="正文文本 字符"/>
    <w:link w:val="20"/>
    <w:qFormat/>
    <w:uiPriority w:val="0"/>
    <w:rPr>
      <w:kern w:val="2"/>
      <w:sz w:val="21"/>
      <w:szCs w:val="24"/>
    </w:rPr>
  </w:style>
  <w:style w:type="character" w:customStyle="1" w:styleId="256">
    <w:name w:val="Char Char31"/>
    <w:qFormat/>
    <w:uiPriority w:val="0"/>
    <w:rPr>
      <w:rFonts w:ascii="Arial" w:hAnsi="Arial" w:eastAsia="宋体"/>
      <w:b/>
      <w:bCs/>
      <w:kern w:val="2"/>
      <w:sz w:val="21"/>
      <w:szCs w:val="32"/>
      <w:lang w:val="en-US" w:eastAsia="zh-CN" w:bidi="ar-SA"/>
    </w:rPr>
  </w:style>
  <w:style w:type="character" w:customStyle="1" w:styleId="257">
    <w:name w:val="样式1 Char Char Char"/>
    <w:qFormat/>
    <w:uiPriority w:val="0"/>
    <w:rPr>
      <w:rFonts w:ascii="Arial" w:hAnsi="Arial" w:eastAsia="宋体"/>
      <w:kern w:val="2"/>
      <w:sz w:val="21"/>
      <w:szCs w:val="24"/>
      <w:lang w:val="en-US" w:eastAsia="zh-CN" w:bidi="ar-SA"/>
    </w:rPr>
  </w:style>
  <w:style w:type="character" w:customStyle="1" w:styleId="258">
    <w:name w:val="apple-style-span"/>
    <w:basedOn w:val="53"/>
    <w:qFormat/>
    <w:uiPriority w:val="0"/>
  </w:style>
  <w:style w:type="character" w:customStyle="1" w:styleId="259">
    <w:name w:val="批注主题 Char1"/>
    <w:qFormat/>
    <w:uiPriority w:val="0"/>
    <w:rPr>
      <w:b/>
      <w:bCs/>
      <w:kern w:val="2"/>
      <w:sz w:val="21"/>
      <w:szCs w:val="22"/>
    </w:rPr>
  </w:style>
  <w:style w:type="character" w:customStyle="1" w:styleId="260">
    <w:name w:val="批注主题 字符"/>
    <w:link w:val="49"/>
    <w:qFormat/>
    <w:uiPriority w:val="0"/>
    <w:rPr>
      <w:b/>
      <w:bCs/>
      <w:kern w:val="2"/>
      <w:sz w:val="21"/>
    </w:rPr>
  </w:style>
  <w:style w:type="character" w:customStyle="1" w:styleId="261">
    <w:name w:val="标题 Char2"/>
    <w:qFormat/>
    <w:uiPriority w:val="0"/>
    <w:rPr>
      <w:rFonts w:ascii="Cambria" w:hAnsi="Cambria" w:cs="Times New Roman"/>
      <w:b/>
      <w:bCs/>
      <w:kern w:val="2"/>
      <w:sz w:val="32"/>
      <w:szCs w:val="32"/>
    </w:rPr>
  </w:style>
  <w:style w:type="character" w:customStyle="1" w:styleId="262">
    <w:name w:val="正文缩进 Char1"/>
    <w:qFormat/>
    <w:uiPriority w:val="0"/>
    <w:rPr>
      <w:kern w:val="2"/>
      <w:sz w:val="21"/>
    </w:rPr>
  </w:style>
  <w:style w:type="character" w:customStyle="1" w:styleId="263">
    <w:name w:val="正文文本 Char2"/>
    <w:qFormat/>
    <w:uiPriority w:val="0"/>
    <w:rPr>
      <w:rFonts w:ascii="宋体"/>
      <w:kern w:val="2"/>
      <w:sz w:val="28"/>
    </w:rPr>
  </w:style>
  <w:style w:type="character" w:customStyle="1" w:styleId="264">
    <w:name w:val="明显引用 Char1"/>
    <w:qFormat/>
    <w:uiPriority w:val="0"/>
    <w:rPr>
      <w:b/>
      <w:bCs/>
      <w:i/>
      <w:iCs/>
      <w:color w:val="4F81BD"/>
      <w:kern w:val="2"/>
      <w:sz w:val="21"/>
      <w:szCs w:val="24"/>
    </w:rPr>
  </w:style>
  <w:style w:type="character" w:customStyle="1" w:styleId="265">
    <w:name w:val="列出段落 字符"/>
    <w:link w:val="76"/>
    <w:qFormat/>
    <w:uiPriority w:val="0"/>
    <w:rPr>
      <w:rFonts w:ascii="Calibri" w:hAnsi="Calibri"/>
      <w:kern w:val="2"/>
      <w:sz w:val="21"/>
      <w:szCs w:val="22"/>
    </w:rPr>
  </w:style>
  <w:style w:type="character" w:customStyle="1" w:styleId="266">
    <w:name w:val="EmailStyle151"/>
    <w:qFormat/>
    <w:uiPriority w:val="0"/>
    <w:rPr>
      <w:rFonts w:ascii="Arial" w:hAnsi="Arial" w:eastAsia="宋体" w:cs="Arial"/>
      <w:color w:val="auto"/>
      <w:sz w:val="20"/>
    </w:rPr>
  </w:style>
  <w:style w:type="character" w:customStyle="1" w:styleId="267">
    <w:name w:val="纯文本 字符"/>
    <w:link w:val="6"/>
    <w:qFormat/>
    <w:uiPriority w:val="0"/>
    <w:rPr>
      <w:rFonts w:ascii="宋体" w:hAnsi="Courier New"/>
      <w:kern w:val="2"/>
      <w:sz w:val="21"/>
    </w:rPr>
  </w:style>
  <w:style w:type="character" w:customStyle="1" w:styleId="268">
    <w:name w:val="Char Char11"/>
    <w:qFormat/>
    <w:uiPriority w:val="0"/>
    <w:rPr>
      <w:bCs/>
      <w:kern w:val="2"/>
      <w:sz w:val="24"/>
      <w:szCs w:val="21"/>
    </w:rPr>
  </w:style>
  <w:style w:type="character" w:customStyle="1" w:styleId="269">
    <w:name w:val="Char Char13"/>
    <w:qFormat/>
    <w:uiPriority w:val="0"/>
    <w:rPr>
      <w:rFonts w:ascii="宋体"/>
      <w:kern w:val="2"/>
      <w:sz w:val="18"/>
      <w:szCs w:val="18"/>
    </w:rPr>
  </w:style>
  <w:style w:type="character" w:customStyle="1" w:styleId="270">
    <w:name w:val="Char Char21"/>
    <w:qFormat/>
    <w:uiPriority w:val="0"/>
    <w:rPr>
      <w:rFonts w:ascii="Arial" w:hAnsi="Arial" w:eastAsia="黑体"/>
      <w:b/>
      <w:kern w:val="2"/>
      <w:sz w:val="32"/>
    </w:rPr>
  </w:style>
  <w:style w:type="character" w:customStyle="1" w:styleId="271">
    <w:name w:val="_Style 267"/>
    <w:qFormat/>
    <w:uiPriority w:val="0"/>
    <w:rPr>
      <w:i/>
      <w:iCs/>
      <w:color w:val="808080"/>
    </w:rPr>
  </w:style>
  <w:style w:type="character" w:customStyle="1" w:styleId="272">
    <w:name w:val="正文文本缩进 3 字符"/>
    <w:link w:val="39"/>
    <w:qFormat/>
    <w:uiPriority w:val="0"/>
    <w:rPr>
      <w:rFonts w:eastAsia="黑体"/>
      <w:color w:val="000000"/>
      <w:kern w:val="2"/>
      <w:sz w:val="24"/>
      <w:szCs w:val="24"/>
    </w:rPr>
  </w:style>
  <w:style w:type="character" w:customStyle="1" w:styleId="273">
    <w:name w:val="正文文本缩进 2 字符"/>
    <w:link w:val="29"/>
    <w:qFormat/>
    <w:uiPriority w:val="0"/>
    <w:rPr>
      <w:rFonts w:ascii="宋体"/>
      <w:sz w:val="24"/>
    </w:rPr>
  </w:style>
  <w:style w:type="character" w:customStyle="1" w:styleId="274">
    <w:name w:val="纯文本 Char1"/>
    <w:qFormat/>
    <w:uiPriority w:val="0"/>
    <w:rPr>
      <w:rFonts w:ascii="宋体" w:hAnsi="Courier New" w:cs="Courier New"/>
      <w:kern w:val="2"/>
      <w:sz w:val="21"/>
      <w:szCs w:val="21"/>
    </w:rPr>
  </w:style>
  <w:style w:type="character" w:customStyle="1" w:styleId="275">
    <w:name w:val="文档结构图 Char2"/>
    <w:qFormat/>
    <w:uiPriority w:val="0"/>
    <w:rPr>
      <w:rFonts w:ascii="宋体"/>
      <w:kern w:val="2"/>
      <w:sz w:val="18"/>
      <w:szCs w:val="18"/>
    </w:rPr>
  </w:style>
  <w:style w:type="character" w:customStyle="1" w:styleId="276">
    <w:name w:val="Char Char71"/>
    <w:qFormat/>
    <w:uiPriority w:val="0"/>
    <w:rPr>
      <w:rFonts w:ascii="宋体" w:hAnsi="宋体" w:eastAsia="宋体"/>
      <w:sz w:val="24"/>
      <w:szCs w:val="28"/>
      <w:lang w:val="en-US" w:eastAsia="zh-CN" w:bidi="ar-SA"/>
    </w:rPr>
  </w:style>
  <w:style w:type="character" w:customStyle="1" w:styleId="277">
    <w:name w:val="纯文本 Char"/>
    <w:qFormat/>
    <w:uiPriority w:val="0"/>
    <w:rPr>
      <w:rFonts w:ascii="宋体" w:hAnsi="Courier New" w:eastAsia="宋体"/>
      <w:kern w:val="2"/>
      <w:sz w:val="21"/>
      <w:lang w:val="en-US" w:eastAsia="zh-CN" w:bidi="ar-SA"/>
    </w:rPr>
  </w:style>
  <w:style w:type="character" w:customStyle="1" w:styleId="278">
    <w:name w:val="标题 7 字符"/>
    <w:link w:val="9"/>
    <w:qFormat/>
    <w:uiPriority w:val="0"/>
    <w:rPr>
      <w:rFonts w:ascii="宋体"/>
      <w:b/>
      <w:bCs/>
      <w:kern w:val="2"/>
      <w:sz w:val="28"/>
      <w:szCs w:val="28"/>
    </w:rPr>
  </w:style>
  <w:style w:type="character" w:customStyle="1" w:styleId="279">
    <w:name w:val="font41"/>
    <w:qFormat/>
    <w:uiPriority w:val="0"/>
    <w:rPr>
      <w:rFonts w:hint="eastAsia" w:ascii="宋体" w:hAnsi="宋体" w:eastAsia="宋体" w:cs="宋体"/>
      <w:color w:val="000000"/>
      <w:sz w:val="24"/>
      <w:szCs w:val="24"/>
      <w:u w:val="none"/>
    </w:rPr>
  </w:style>
  <w:style w:type="character" w:customStyle="1" w:styleId="280">
    <w:name w:val="Char Char16"/>
    <w:qFormat/>
    <w:uiPriority w:val="0"/>
    <w:rPr>
      <w:rFonts w:ascii="宋体" w:eastAsia="宋体"/>
      <w:b/>
      <w:bCs/>
      <w:kern w:val="2"/>
      <w:sz w:val="28"/>
      <w:szCs w:val="28"/>
      <w:lang w:val="en-US" w:eastAsia="zh-CN" w:bidi="ar-SA"/>
    </w:rPr>
  </w:style>
  <w:style w:type="character" w:customStyle="1" w:styleId="281">
    <w:name w:val="引用 Char1"/>
    <w:qFormat/>
    <w:uiPriority w:val="0"/>
    <w:rPr>
      <w:i/>
      <w:iCs/>
      <w:color w:val="000000"/>
      <w:kern w:val="2"/>
      <w:sz w:val="21"/>
      <w:szCs w:val="24"/>
    </w:rPr>
  </w:style>
  <w:style w:type="character" w:customStyle="1" w:styleId="282">
    <w:name w:val="引用 字符"/>
    <w:link w:val="77"/>
    <w:qFormat/>
    <w:uiPriority w:val="0"/>
    <w:rPr>
      <w:i/>
      <w:iCs/>
      <w:color w:val="000000"/>
      <w:kern w:val="2"/>
      <w:sz w:val="21"/>
      <w:szCs w:val="22"/>
    </w:rPr>
  </w:style>
  <w:style w:type="character" w:customStyle="1" w:styleId="283">
    <w:name w:val="日期 Char2"/>
    <w:qFormat/>
    <w:uiPriority w:val="0"/>
    <w:rPr>
      <w:rFonts w:ascii="宋体"/>
      <w:kern w:val="2"/>
      <w:sz w:val="28"/>
    </w:rPr>
  </w:style>
  <w:style w:type="character" w:customStyle="1" w:styleId="284">
    <w:name w:val="未处理的提及1"/>
    <w:unhideWhenUsed/>
    <w:qFormat/>
    <w:uiPriority w:val="99"/>
    <w:rPr>
      <w:color w:val="605E5C"/>
      <w:shd w:val="clear" w:color="auto" w:fill="E1DFDD"/>
    </w:rPr>
  </w:style>
  <w:style w:type="character" w:customStyle="1" w:styleId="285">
    <w:name w:val="_Style 282"/>
    <w:qFormat/>
    <w:uiPriority w:val="0"/>
    <w:rPr>
      <w:smallCaps/>
      <w:color w:val="C0504D"/>
      <w:u w:val="single"/>
    </w:rPr>
  </w:style>
  <w:style w:type="character" w:customStyle="1" w:styleId="286">
    <w:name w:val="批注文字 字符"/>
    <w:link w:val="18"/>
    <w:qFormat/>
    <w:uiPriority w:val="0"/>
    <w:rPr>
      <w:kern w:val="2"/>
      <w:sz w:val="21"/>
    </w:rPr>
  </w:style>
  <w:style w:type="character" w:customStyle="1" w:styleId="287">
    <w:name w:val="Char Char111"/>
    <w:qFormat/>
    <w:uiPriority w:val="0"/>
    <w:rPr>
      <w:bCs/>
      <w:kern w:val="2"/>
      <w:sz w:val="24"/>
      <w:szCs w:val="21"/>
    </w:rPr>
  </w:style>
  <w:style w:type="character" w:customStyle="1" w:styleId="288">
    <w:name w:val="font11"/>
    <w:qFormat/>
    <w:uiPriority w:val="0"/>
    <w:rPr>
      <w:rFonts w:hint="eastAsia" w:ascii="宋体" w:hAnsi="宋体" w:eastAsia="宋体" w:cs="宋体"/>
      <w:color w:val="000000"/>
      <w:sz w:val="24"/>
      <w:szCs w:val="24"/>
      <w:u w:val="none"/>
    </w:rPr>
  </w:style>
  <w:style w:type="character" w:customStyle="1" w:styleId="289">
    <w:name w:val="标题 6 字符"/>
    <w:link w:val="8"/>
    <w:qFormat/>
    <w:uiPriority w:val="0"/>
    <w:rPr>
      <w:rFonts w:ascii="Cambria" w:hAnsi="Cambria"/>
      <w:b/>
      <w:bCs/>
      <w:kern w:val="2"/>
      <w:sz w:val="24"/>
      <w:szCs w:val="24"/>
    </w:rPr>
  </w:style>
  <w:style w:type="character" w:customStyle="1" w:styleId="290">
    <w:name w:val="正文文本首行缩进 字符"/>
    <w:link w:val="50"/>
    <w:qFormat/>
    <w:uiPriority w:val="0"/>
    <w:rPr>
      <w:kern w:val="2"/>
      <w:sz w:val="21"/>
      <w:szCs w:val="24"/>
    </w:rPr>
  </w:style>
  <w:style w:type="character" w:customStyle="1" w:styleId="291">
    <w:name w:val="副标题 字符"/>
    <w:link w:val="35"/>
    <w:qFormat/>
    <w:uiPriority w:val="0"/>
    <w:rPr>
      <w:rFonts w:ascii="Cambria" w:hAnsi="Cambria"/>
      <w:b/>
      <w:bCs/>
      <w:kern w:val="28"/>
      <w:sz w:val="32"/>
      <w:szCs w:val="32"/>
    </w:rPr>
  </w:style>
  <w:style w:type="character" w:customStyle="1" w:styleId="292">
    <w:name w:val="副标题 Char1"/>
    <w:qFormat/>
    <w:uiPriority w:val="0"/>
    <w:rPr>
      <w:rFonts w:ascii="Cambria" w:hAnsi="Cambria" w:cs="Times New Roman"/>
      <w:b/>
      <w:bCs/>
      <w:kern w:val="28"/>
      <w:sz w:val="32"/>
      <w:szCs w:val="32"/>
    </w:rPr>
  </w:style>
  <w:style w:type="character" w:customStyle="1" w:styleId="293">
    <w:name w:val="htd01"/>
    <w:basedOn w:val="53"/>
    <w:qFormat/>
    <w:uiPriority w:val="0"/>
  </w:style>
  <w:style w:type="character" w:customStyle="1" w:styleId="294">
    <w:name w:val="HTML 预设格式 字符"/>
    <w:link w:val="44"/>
    <w:qFormat/>
    <w:uiPriority w:val="0"/>
    <w:rPr>
      <w:rFonts w:ascii="宋体" w:hAnsi="宋体" w:cs="宋体"/>
      <w:sz w:val="24"/>
      <w:szCs w:val="24"/>
    </w:rPr>
  </w:style>
  <w:style w:type="paragraph" w:styleId="295">
    <w:name w:val="List Paragraph"/>
    <w:basedOn w:val="1"/>
    <w:qFormat/>
    <w:uiPriority w:val="99"/>
    <w:pPr>
      <w:ind w:firstLine="420" w:firstLineChars="200"/>
    </w:pPr>
  </w:style>
  <w:style w:type="character" w:customStyle="1" w:styleId="296">
    <w:name w:val="未处理的提及2"/>
    <w:basedOn w:val="53"/>
    <w:semiHidden/>
    <w:unhideWhenUsed/>
    <w:qFormat/>
    <w:uiPriority w:val="99"/>
    <w:rPr>
      <w:color w:val="605E5C"/>
      <w:shd w:val="clear" w:color="auto" w:fill="E1DFDD"/>
    </w:rPr>
  </w:style>
  <w:style w:type="character" w:customStyle="1" w:styleId="297">
    <w:name w:val="未处理的提及3"/>
    <w:basedOn w:val="53"/>
    <w:semiHidden/>
    <w:unhideWhenUsed/>
    <w:qFormat/>
    <w:uiPriority w:val="99"/>
    <w:rPr>
      <w:color w:val="605E5C"/>
      <w:shd w:val="clear" w:color="auto" w:fill="E1DFDD"/>
    </w:rPr>
  </w:style>
  <w:style w:type="table" w:customStyle="1" w:styleId="298">
    <w:name w:val="网格型1"/>
    <w:basedOn w:val="5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9">
    <w:name w:val="font21"/>
    <w:qFormat/>
    <w:uiPriority w:val="0"/>
    <w:rPr>
      <w:rFonts w:hint="eastAsia" w:ascii="宋体" w:hAnsi="宋体" w:eastAsia="宋体" w:cs="宋体"/>
      <w:color w:val="000000"/>
      <w:sz w:val="21"/>
      <w:szCs w:val="21"/>
      <w:u w:val="none"/>
    </w:rPr>
  </w:style>
  <w:style w:type="paragraph" w:customStyle="1" w:styleId="30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Table Paragraph"/>
    <w:basedOn w:val="1"/>
    <w:unhideWhenUsed/>
    <w:qFormat/>
    <w:uiPriority w:val="1"/>
    <w:pPr>
      <w:spacing w:beforeLines="0" w:afterLines="0"/>
      <w:jc w:val="left"/>
    </w:pPr>
    <w:rPr>
      <w:rFonts w:hint="default"/>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119</Pages>
  <Words>9859</Words>
  <Characters>11083</Characters>
  <Lines>727</Lines>
  <Paragraphs>204</Paragraphs>
  <TotalTime>25</TotalTime>
  <ScaleCrop>false</ScaleCrop>
  <LinksUpToDate>false</LinksUpToDate>
  <CharactersWithSpaces>11213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2024-04-17T09:57:00Z</dcterms:created>
  <dc:creator>leovov</dc:creator>
  <cp:lastModifiedBy>NTKO</cp:lastModifiedBy>
  <cp:lastPrinted>2020-09-02T08:54:00Z</cp:lastPrinted>
  <dcterms:modified xsi:type="dcterms:W3CDTF">2025-07-07T06:32:57Z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6D02E1EACA3E4FB99BDBD8CB4A637AD4</vt:lpwstr>
  </property>
  <property fmtid="{D5CDD505-2E9C-101B-9397-08002B2CF9AE}" pid="4" name="KSOTemplateDocerSaveRecord">
    <vt:lpwstr>eyJoZGlkIjoiMTMxMGNkYTJhN2NkODc0MzYwZWZhYmI0Y2E4ZDVlOGEiLCJ1c2VySWQiOiIzNzQwNjIzOTEifQ==</vt:lpwstr>
  </property>
</Properties>
</file>