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B88E9">
      <w:pPr>
        <w:rPr>
          <w:rFonts w:ascii="宋体" w:hAnsi="宋体"/>
          <w:color w:val="auto"/>
        </w:rPr>
      </w:pPr>
    </w:p>
    <w:p w14:paraId="707B1BAE">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auto"/>
          <w:kern w:val="0"/>
          <w:sz w:val="52"/>
        </w:rPr>
      </w:pPr>
    </w:p>
    <w:p w14:paraId="26293A65">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auto"/>
          <w:kern w:val="0"/>
          <w:sz w:val="52"/>
        </w:rPr>
      </w:pPr>
    </w:p>
    <w:p w14:paraId="39327E1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auto"/>
          <w:kern w:val="0"/>
          <w:sz w:val="52"/>
        </w:rPr>
      </w:pPr>
      <w:r>
        <w:rPr>
          <w:rFonts w:ascii="宋体" w:hAnsi="宋体" w:cs="宋体"/>
          <w:color w:val="auto"/>
          <w:sz w:val="72"/>
          <w:szCs w:val="72"/>
        </w:rPr>
        <w:t xml:space="preserve">         </w:t>
      </w:r>
      <w:r>
        <w:rPr>
          <w:rFonts w:hint="eastAsia" w:ascii="宋体" w:hAnsi="宋体" w:cs="宋体"/>
          <w:color w:val="auto"/>
          <w:sz w:val="72"/>
          <w:szCs w:val="72"/>
        </w:rPr>
        <w:t>F-STONE</w:t>
      </w:r>
    </w:p>
    <w:p w14:paraId="3C26688E">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auto"/>
          <w:kern w:val="0"/>
          <w:sz w:val="52"/>
        </w:rPr>
      </w:pPr>
    </w:p>
    <w:p w14:paraId="233F111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auto"/>
          <w:kern w:val="0"/>
          <w:sz w:val="52"/>
        </w:rPr>
      </w:pPr>
      <w:r>
        <w:rPr>
          <w:rFonts w:hint="eastAsia" w:ascii="宋体" w:hAnsi="宋体" w:cs="宋体"/>
          <w:color w:val="auto"/>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165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lum contrast="11999"/>
                    </a:blip>
                    <a:stretch>
                      <a:fillRect/>
                    </a:stretch>
                  </pic:blipFill>
                  <pic:spPr>
                    <a:xfrm>
                      <a:off x="0" y="0"/>
                      <a:ext cx="2971800" cy="2091690"/>
                    </a:xfrm>
                    <a:prstGeom prst="rect">
                      <a:avLst/>
                    </a:prstGeom>
                    <a:noFill/>
                    <a:ln>
                      <a:noFill/>
                    </a:ln>
                  </pic:spPr>
                </pic:pic>
              </a:graphicData>
            </a:graphic>
          </wp:anchor>
        </w:drawing>
      </w:r>
    </w:p>
    <w:p w14:paraId="0754396A">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Calibri Light"/>
          <w:b/>
          <w:color w:val="auto"/>
          <w:kern w:val="0"/>
          <w:sz w:val="52"/>
          <w:szCs w:val="52"/>
        </w:rPr>
      </w:pPr>
      <w:r>
        <w:rPr>
          <w:rFonts w:hint="eastAsia" w:ascii="宋体" w:hAnsi="宋体"/>
          <w:b/>
          <w:color w:val="auto"/>
          <w:kern w:val="0"/>
          <w:sz w:val="52"/>
        </w:rPr>
        <w:t>政府采购</w:t>
      </w:r>
      <w:r>
        <w:rPr>
          <w:rFonts w:hint="eastAsia" w:ascii="宋体" w:hAnsi="宋体" w:cs="Calibri Light"/>
          <w:b/>
          <w:color w:val="auto"/>
          <w:kern w:val="0"/>
          <w:sz w:val="52"/>
          <w:szCs w:val="52"/>
        </w:rPr>
        <w:t>竞争性磋商文件</w:t>
      </w:r>
    </w:p>
    <w:p w14:paraId="37B7BE8A">
      <w:pPr>
        <w:shd w:val="clear" w:color="auto" w:fill="FFFFFF"/>
        <w:spacing w:line="360" w:lineRule="auto"/>
        <w:ind w:firstLine="1120" w:firstLineChars="400"/>
        <w:textAlignment w:val="bottom"/>
        <w:rPr>
          <w:rFonts w:ascii="宋体" w:hAnsi="宋体" w:cs="宋体"/>
          <w:color w:val="auto"/>
          <w:sz w:val="28"/>
          <w:szCs w:val="28"/>
        </w:rPr>
      </w:pPr>
    </w:p>
    <w:p w14:paraId="307E4F1D">
      <w:pPr>
        <w:shd w:val="clear" w:color="auto" w:fill="FFFFFF"/>
        <w:spacing w:line="360" w:lineRule="auto"/>
        <w:ind w:firstLine="1120" w:firstLineChars="400"/>
        <w:textAlignment w:val="bottom"/>
        <w:rPr>
          <w:rFonts w:ascii="宋体" w:hAnsi="宋体" w:cs="宋体"/>
          <w:color w:val="auto"/>
          <w:sz w:val="28"/>
          <w:szCs w:val="28"/>
        </w:rPr>
      </w:pPr>
    </w:p>
    <w:p w14:paraId="4D278C08">
      <w:pPr>
        <w:shd w:val="clear" w:color="auto" w:fill="FFFFFF"/>
        <w:spacing w:line="360" w:lineRule="auto"/>
        <w:ind w:firstLine="1120" w:firstLineChars="400"/>
        <w:textAlignment w:val="bottom"/>
        <w:rPr>
          <w:rFonts w:ascii="宋体" w:hAnsi="宋体" w:cs="宋体"/>
          <w:color w:val="auto"/>
          <w:sz w:val="28"/>
          <w:szCs w:val="28"/>
        </w:rPr>
      </w:pPr>
    </w:p>
    <w:p w14:paraId="74AC4368">
      <w:pPr>
        <w:shd w:val="clear" w:color="auto" w:fill="FFFFFF"/>
        <w:spacing w:line="360" w:lineRule="auto"/>
        <w:ind w:firstLine="1120" w:firstLineChars="400"/>
        <w:textAlignment w:val="bottom"/>
        <w:rPr>
          <w:rFonts w:hint="eastAsia" w:ascii="宋体" w:hAnsi="宋体" w:eastAsia="宋体" w:cs="宋体"/>
          <w:color w:val="auto"/>
          <w:sz w:val="28"/>
          <w:szCs w:val="28"/>
          <w:lang w:eastAsia="zh-CN"/>
        </w:rPr>
      </w:pPr>
      <w:r>
        <w:rPr>
          <w:rFonts w:hint="eastAsia" w:ascii="宋体" w:hAnsi="宋体" w:cs="宋体"/>
          <w:color w:val="auto"/>
          <w:sz w:val="28"/>
          <w:szCs w:val="28"/>
        </w:rPr>
        <w:t>项目编号：</w:t>
      </w:r>
      <w:r>
        <w:rPr>
          <w:rFonts w:hint="eastAsia" w:ascii="宋体" w:hAnsi="宋体" w:cs="宋体"/>
          <w:color w:val="auto"/>
          <w:sz w:val="28"/>
          <w:szCs w:val="28"/>
          <w:lang w:eastAsia="zh-CN"/>
        </w:rPr>
        <w:t>ZJWS2025-JJ206</w:t>
      </w:r>
    </w:p>
    <w:p w14:paraId="71C03B69">
      <w:pPr>
        <w:autoSpaceDE w:val="0"/>
        <w:autoSpaceDN w:val="0"/>
        <w:adjustRightInd w:val="0"/>
        <w:spacing w:line="360" w:lineRule="auto"/>
        <w:ind w:left="2517" w:leftChars="532" w:hanging="1400" w:hangingChars="500"/>
        <w:rPr>
          <w:rFonts w:hint="eastAsia" w:ascii="宋体" w:hAnsi="宋体" w:eastAsia="宋体" w:cs="宋体"/>
          <w:color w:val="auto"/>
          <w:kern w:val="0"/>
          <w:sz w:val="28"/>
          <w:lang w:eastAsia="zh-CN"/>
        </w:rPr>
      </w:pPr>
      <w:r>
        <w:rPr>
          <w:rFonts w:hint="eastAsia" w:ascii="宋体" w:hAnsi="宋体" w:cs="宋体"/>
          <w:color w:val="auto"/>
          <w:kern w:val="0"/>
          <w:sz w:val="28"/>
        </w:rPr>
        <w:t>采购项目：</w:t>
      </w:r>
      <w:r>
        <w:rPr>
          <w:rFonts w:hint="eastAsia" w:ascii="宋体" w:hAnsi="宋体" w:cs="宋体"/>
          <w:color w:val="auto"/>
          <w:kern w:val="0"/>
          <w:sz w:val="28"/>
          <w:lang w:eastAsia="zh-CN"/>
        </w:rPr>
        <w:t>台州职业技术学院教师公寓三单元4、5、6层改造项目</w:t>
      </w:r>
    </w:p>
    <w:p w14:paraId="55C7EF4E">
      <w:pPr>
        <w:autoSpaceDE w:val="0"/>
        <w:autoSpaceDN w:val="0"/>
        <w:adjustRightInd w:val="0"/>
        <w:spacing w:line="360" w:lineRule="auto"/>
        <w:ind w:firstLine="1120" w:firstLineChars="400"/>
        <w:rPr>
          <w:rFonts w:ascii="宋体" w:hAnsi="宋体" w:cs="宋体"/>
          <w:color w:val="auto"/>
          <w:kern w:val="0"/>
          <w:sz w:val="28"/>
        </w:rPr>
      </w:pPr>
      <w:r>
        <w:rPr>
          <w:rFonts w:hint="eastAsia" w:ascii="宋体" w:hAnsi="宋体" w:cs="宋体"/>
          <w:color w:val="auto"/>
          <w:kern w:val="0"/>
          <w:sz w:val="28"/>
        </w:rPr>
        <w:t>采购单位：台州职业技术学院</w:t>
      </w:r>
    </w:p>
    <w:p w14:paraId="0FF496EF">
      <w:pPr>
        <w:autoSpaceDE w:val="0"/>
        <w:autoSpaceDN w:val="0"/>
        <w:adjustRightInd w:val="0"/>
        <w:spacing w:line="360" w:lineRule="auto"/>
        <w:ind w:firstLine="1120" w:firstLineChars="400"/>
        <w:rPr>
          <w:rFonts w:ascii="宋体" w:hAnsi="宋体" w:cs="宋体"/>
          <w:color w:val="auto"/>
          <w:kern w:val="0"/>
          <w:sz w:val="28"/>
        </w:rPr>
      </w:pPr>
      <w:r>
        <w:rPr>
          <w:rFonts w:hint="eastAsia" w:ascii="宋体" w:hAnsi="宋体" w:cs="宋体"/>
          <w:color w:val="auto"/>
          <w:kern w:val="0"/>
          <w:sz w:val="28"/>
        </w:rPr>
        <w:t>采购代理机构：浙江五石中正工程咨询有限公司</w:t>
      </w:r>
    </w:p>
    <w:p w14:paraId="42436D2E">
      <w:pPr>
        <w:spacing w:line="360" w:lineRule="auto"/>
        <w:ind w:firstLine="560" w:firstLineChars="200"/>
        <w:jc w:val="center"/>
        <w:rPr>
          <w:rFonts w:ascii="宋体" w:hAnsi="宋体" w:cs="宋体"/>
          <w:color w:val="auto"/>
          <w:sz w:val="24"/>
          <w:szCs w:val="32"/>
        </w:rPr>
      </w:pPr>
      <w:r>
        <w:rPr>
          <w:rFonts w:hint="eastAsia" w:ascii="宋体" w:hAnsi="宋体" w:cs="宋体"/>
          <w:color w:val="auto"/>
          <w:kern w:val="0"/>
          <w:sz w:val="28"/>
        </w:rPr>
        <w:t>202</w:t>
      </w:r>
      <w:r>
        <w:rPr>
          <w:rFonts w:hint="eastAsia" w:ascii="宋体" w:hAnsi="宋体" w:cs="宋体"/>
          <w:color w:val="auto"/>
          <w:kern w:val="0"/>
          <w:sz w:val="28"/>
          <w:lang w:val="en-US" w:eastAsia="zh-CN"/>
        </w:rPr>
        <w:t>5</w:t>
      </w:r>
      <w:r>
        <w:rPr>
          <w:rFonts w:hint="eastAsia" w:ascii="宋体" w:hAnsi="宋体" w:cs="宋体"/>
          <w:color w:val="auto"/>
          <w:kern w:val="0"/>
          <w:sz w:val="28"/>
        </w:rPr>
        <w:t>年</w:t>
      </w:r>
      <w:r>
        <w:rPr>
          <w:rFonts w:hint="eastAsia" w:ascii="宋体" w:hAnsi="宋体" w:cs="宋体"/>
          <w:color w:val="auto"/>
          <w:kern w:val="0"/>
          <w:sz w:val="28"/>
          <w:lang w:val="en-US" w:eastAsia="zh-CN"/>
        </w:rPr>
        <w:t>6</w:t>
      </w:r>
      <w:r>
        <w:rPr>
          <w:rFonts w:hint="eastAsia" w:ascii="宋体" w:hAnsi="宋体" w:cs="宋体"/>
          <w:color w:val="auto"/>
          <w:kern w:val="0"/>
          <w:sz w:val="28"/>
        </w:rPr>
        <w:t>月</w:t>
      </w:r>
    </w:p>
    <w:p w14:paraId="3995344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Calibri Light"/>
          <w:color w:val="auto"/>
          <w:kern w:val="0"/>
          <w:sz w:val="30"/>
          <w:szCs w:val="30"/>
        </w:rPr>
      </w:pPr>
      <w:r>
        <w:rPr>
          <w:rFonts w:hint="eastAsia" w:ascii="宋体" w:hAnsi="宋体" w:cs="Calibri Light"/>
          <w:color w:val="auto"/>
          <w:kern w:val="0"/>
          <w:sz w:val="30"/>
          <w:szCs w:val="30"/>
        </w:rPr>
        <w:t xml:space="preserve">                       </w:t>
      </w:r>
    </w:p>
    <w:p w14:paraId="2D0649B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Calibri Light"/>
          <w:color w:val="auto"/>
          <w:kern w:val="0"/>
          <w:sz w:val="30"/>
          <w:szCs w:val="30"/>
        </w:rPr>
      </w:pPr>
    </w:p>
    <w:p w14:paraId="7C2C96B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Calibri Light"/>
          <w:color w:val="auto"/>
          <w:kern w:val="0"/>
          <w:sz w:val="30"/>
          <w:szCs w:val="30"/>
        </w:rPr>
      </w:pPr>
    </w:p>
    <w:p w14:paraId="3CCDDED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auto"/>
          <w:kern w:val="0"/>
          <w:sz w:val="30"/>
          <w:szCs w:val="30"/>
        </w:rPr>
      </w:pPr>
    </w:p>
    <w:p w14:paraId="4E6228C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auto"/>
          <w:kern w:val="0"/>
          <w:sz w:val="30"/>
          <w:szCs w:val="30"/>
        </w:rPr>
        <w:sectPr>
          <w:headerReference r:id="rId3" w:type="default"/>
          <w:pgSz w:w="11906" w:h="16838"/>
          <w:pgMar w:top="1440" w:right="1800" w:bottom="1440" w:left="1800" w:header="851" w:footer="992" w:gutter="0"/>
          <w:cols w:space="720" w:num="1"/>
          <w:docGrid w:type="lines" w:linePitch="312" w:charSpace="0"/>
        </w:sectPr>
      </w:pPr>
    </w:p>
    <w:p w14:paraId="6E3C2BC8">
      <w:pPr>
        <w:pStyle w:val="16"/>
        <w:ind w:firstLine="210"/>
        <w:rPr>
          <w:color w:val="auto"/>
        </w:rPr>
      </w:pPr>
    </w:p>
    <w:p w14:paraId="5C78F7B2">
      <w:pPr>
        <w:jc w:val="center"/>
        <w:rPr>
          <w:rFonts w:ascii="宋体" w:hAnsi="宋体" w:cs="仿宋"/>
          <w:b/>
          <w:bCs/>
          <w:color w:val="auto"/>
          <w:sz w:val="36"/>
          <w:szCs w:val="36"/>
        </w:rPr>
      </w:pPr>
    </w:p>
    <w:p w14:paraId="593A1E84">
      <w:pPr>
        <w:jc w:val="center"/>
        <w:rPr>
          <w:rFonts w:ascii="宋体" w:hAnsi="宋体" w:cs="仿宋"/>
          <w:b/>
          <w:bCs/>
          <w:color w:val="auto"/>
          <w:sz w:val="36"/>
          <w:szCs w:val="36"/>
        </w:rPr>
      </w:pPr>
      <w:r>
        <w:rPr>
          <w:rFonts w:hint="eastAsia" w:ascii="宋体" w:hAnsi="宋体" w:cs="仿宋"/>
          <w:b/>
          <w:bCs/>
          <w:color w:val="auto"/>
          <w:sz w:val="36"/>
          <w:szCs w:val="36"/>
        </w:rPr>
        <w:t>目    录</w:t>
      </w:r>
    </w:p>
    <w:p w14:paraId="1B2CCE43">
      <w:pPr>
        <w:spacing w:line="360" w:lineRule="auto"/>
        <w:ind w:left="960"/>
        <w:rPr>
          <w:rFonts w:ascii="宋体" w:hAnsi="宋体"/>
          <w:color w:val="auto"/>
          <w:sz w:val="10"/>
        </w:rPr>
      </w:pPr>
    </w:p>
    <w:p w14:paraId="0EE472E7">
      <w:pPr>
        <w:spacing w:line="360" w:lineRule="auto"/>
        <w:ind w:left="960"/>
        <w:rPr>
          <w:rFonts w:ascii="宋体" w:hAnsi="宋体"/>
          <w:color w:val="auto"/>
          <w:sz w:val="10"/>
        </w:rPr>
      </w:pPr>
    </w:p>
    <w:p w14:paraId="686D3B8D">
      <w:pPr>
        <w:spacing w:line="360" w:lineRule="auto"/>
        <w:ind w:left="960"/>
        <w:rPr>
          <w:rFonts w:ascii="宋体" w:hAnsi="宋体"/>
          <w:color w:val="auto"/>
          <w:sz w:val="10"/>
        </w:rPr>
      </w:pPr>
    </w:p>
    <w:p w14:paraId="249A9609">
      <w:pPr>
        <w:spacing w:line="360" w:lineRule="auto"/>
        <w:ind w:left="359" w:leftChars="171" w:firstLine="481" w:firstLineChars="171"/>
        <w:rPr>
          <w:rFonts w:ascii="宋体" w:hAnsi="宋体"/>
          <w:b/>
          <w:color w:val="auto"/>
          <w:sz w:val="28"/>
          <w:szCs w:val="28"/>
        </w:rPr>
      </w:pPr>
      <w:r>
        <w:rPr>
          <w:rFonts w:hint="eastAsia" w:ascii="宋体" w:hAnsi="宋体"/>
          <w:b/>
          <w:color w:val="auto"/>
          <w:sz w:val="28"/>
          <w:szCs w:val="28"/>
        </w:rPr>
        <w:t>一、竞争性</w:t>
      </w:r>
      <w:r>
        <w:rPr>
          <w:rFonts w:ascii="宋体" w:hAnsi="宋体"/>
          <w:b/>
          <w:color w:val="auto"/>
          <w:sz w:val="28"/>
          <w:szCs w:val="28"/>
        </w:rPr>
        <w:t>磋商</w:t>
      </w:r>
      <w:r>
        <w:rPr>
          <w:rFonts w:hint="eastAsia" w:ascii="宋体" w:hAnsi="宋体"/>
          <w:b/>
          <w:color w:val="auto"/>
          <w:sz w:val="28"/>
          <w:szCs w:val="28"/>
        </w:rPr>
        <w:t>公告</w:t>
      </w:r>
    </w:p>
    <w:p w14:paraId="6414E89A">
      <w:pPr>
        <w:spacing w:line="360" w:lineRule="auto"/>
        <w:ind w:left="359" w:leftChars="171" w:firstLine="481" w:firstLineChars="171"/>
        <w:rPr>
          <w:rFonts w:ascii="宋体" w:hAnsi="宋体"/>
          <w:b/>
          <w:color w:val="auto"/>
          <w:sz w:val="28"/>
          <w:szCs w:val="28"/>
        </w:rPr>
      </w:pPr>
      <w:r>
        <w:rPr>
          <w:rFonts w:hint="eastAsia" w:ascii="宋体" w:hAnsi="宋体"/>
          <w:b/>
          <w:color w:val="auto"/>
          <w:sz w:val="28"/>
          <w:szCs w:val="28"/>
        </w:rPr>
        <w:t>二、供应商须知</w:t>
      </w:r>
    </w:p>
    <w:p w14:paraId="26112E00">
      <w:pPr>
        <w:spacing w:line="360" w:lineRule="auto"/>
        <w:ind w:left="359" w:leftChars="171" w:firstLine="481" w:firstLineChars="171"/>
        <w:rPr>
          <w:rFonts w:ascii="宋体" w:hAnsi="宋体"/>
          <w:b/>
          <w:color w:val="auto"/>
          <w:sz w:val="28"/>
          <w:szCs w:val="28"/>
        </w:rPr>
      </w:pPr>
      <w:r>
        <w:rPr>
          <w:rFonts w:hint="eastAsia" w:ascii="宋体" w:hAnsi="宋体"/>
          <w:b/>
          <w:color w:val="auto"/>
          <w:sz w:val="28"/>
          <w:szCs w:val="28"/>
        </w:rPr>
        <w:t>三、评审办法及评审标准</w:t>
      </w:r>
      <w:r>
        <w:rPr>
          <w:rFonts w:ascii="宋体" w:hAnsi="宋体"/>
          <w:b/>
          <w:color w:val="auto"/>
          <w:sz w:val="28"/>
          <w:szCs w:val="28"/>
        </w:rPr>
        <w:t xml:space="preserve">  </w:t>
      </w:r>
    </w:p>
    <w:p w14:paraId="1697F2BC">
      <w:pPr>
        <w:spacing w:line="360" w:lineRule="auto"/>
        <w:ind w:left="359" w:leftChars="171" w:firstLine="481" w:firstLineChars="171"/>
        <w:rPr>
          <w:rFonts w:ascii="宋体" w:hAnsi="宋体"/>
          <w:b/>
          <w:color w:val="auto"/>
          <w:sz w:val="28"/>
          <w:szCs w:val="28"/>
        </w:rPr>
      </w:pPr>
      <w:r>
        <w:rPr>
          <w:rFonts w:hint="eastAsia" w:ascii="宋体" w:hAnsi="宋体"/>
          <w:b/>
          <w:color w:val="auto"/>
          <w:sz w:val="28"/>
          <w:szCs w:val="28"/>
        </w:rPr>
        <w:t>四、</w:t>
      </w:r>
      <w:r>
        <w:rPr>
          <w:rFonts w:hint="eastAsia" w:ascii="宋体" w:hAnsi="宋体"/>
          <w:b/>
          <w:color w:val="auto"/>
          <w:kern w:val="0"/>
          <w:sz w:val="28"/>
          <w:szCs w:val="28"/>
        </w:rPr>
        <w:t>项目需求</w:t>
      </w:r>
    </w:p>
    <w:p w14:paraId="48564515">
      <w:pPr>
        <w:spacing w:line="360" w:lineRule="auto"/>
        <w:ind w:firstLine="703" w:firstLineChars="250"/>
        <w:jc w:val="left"/>
        <w:rPr>
          <w:rFonts w:ascii="宋体" w:hAnsi="宋体"/>
          <w:b/>
          <w:color w:val="auto"/>
          <w:sz w:val="28"/>
          <w:szCs w:val="28"/>
        </w:rPr>
      </w:pPr>
      <w:r>
        <w:rPr>
          <w:rFonts w:ascii="宋体" w:hAnsi="宋体"/>
          <w:b/>
          <w:color w:val="auto"/>
          <w:sz w:val="28"/>
          <w:szCs w:val="28"/>
        </w:rPr>
        <w:t xml:space="preserve"> </w:t>
      </w:r>
      <w:r>
        <w:rPr>
          <w:rFonts w:hint="eastAsia" w:ascii="宋体" w:hAnsi="宋体"/>
          <w:b/>
          <w:color w:val="auto"/>
          <w:sz w:val="28"/>
          <w:szCs w:val="28"/>
        </w:rPr>
        <w:t>五、政府采购合同主要条款指引</w:t>
      </w:r>
      <w:r>
        <w:rPr>
          <w:rFonts w:ascii="宋体" w:hAnsi="宋体"/>
          <w:b/>
          <w:color w:val="auto"/>
          <w:sz w:val="28"/>
          <w:szCs w:val="28"/>
        </w:rPr>
        <w:t xml:space="preserve">       </w:t>
      </w:r>
    </w:p>
    <w:p w14:paraId="39E63905">
      <w:pPr>
        <w:spacing w:line="360" w:lineRule="auto"/>
        <w:ind w:left="359" w:leftChars="171" w:firstLine="481" w:firstLineChars="171"/>
        <w:rPr>
          <w:rFonts w:ascii="宋体" w:hAnsi="宋体"/>
          <w:b/>
          <w:color w:val="auto"/>
          <w:sz w:val="28"/>
          <w:szCs w:val="28"/>
        </w:rPr>
      </w:pPr>
      <w:r>
        <w:rPr>
          <w:rFonts w:hint="eastAsia" w:ascii="宋体" w:hAnsi="宋体"/>
          <w:b/>
          <w:color w:val="auto"/>
          <w:sz w:val="28"/>
          <w:szCs w:val="28"/>
        </w:rPr>
        <w:t>六、响应文件格式附件</w:t>
      </w:r>
    </w:p>
    <w:p w14:paraId="353EE132">
      <w:pPr>
        <w:spacing w:line="360" w:lineRule="auto"/>
        <w:rPr>
          <w:rFonts w:ascii="宋体" w:hAnsi="宋体"/>
          <w:b/>
          <w:color w:val="auto"/>
          <w:sz w:val="28"/>
          <w:szCs w:val="28"/>
        </w:rPr>
      </w:pPr>
    </w:p>
    <w:p w14:paraId="2DA327A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auto"/>
          <w:kern w:val="0"/>
          <w:sz w:val="30"/>
          <w:szCs w:val="30"/>
        </w:rPr>
      </w:pPr>
    </w:p>
    <w:p w14:paraId="4EFC587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auto"/>
          <w:kern w:val="0"/>
          <w:sz w:val="30"/>
          <w:szCs w:val="30"/>
        </w:rPr>
      </w:pPr>
    </w:p>
    <w:p w14:paraId="719C13B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auto"/>
          <w:kern w:val="0"/>
          <w:sz w:val="30"/>
          <w:szCs w:val="30"/>
        </w:rPr>
      </w:pPr>
    </w:p>
    <w:p w14:paraId="5B236639">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auto"/>
          <w:kern w:val="0"/>
          <w:sz w:val="36"/>
          <w:szCs w:val="36"/>
        </w:rPr>
      </w:pPr>
    </w:p>
    <w:p w14:paraId="6678601F">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auto"/>
          <w:kern w:val="0"/>
          <w:sz w:val="36"/>
          <w:szCs w:val="36"/>
        </w:rPr>
      </w:pPr>
    </w:p>
    <w:p w14:paraId="618346DC">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auto"/>
          <w:kern w:val="0"/>
          <w:sz w:val="36"/>
          <w:szCs w:val="36"/>
        </w:rPr>
      </w:pPr>
    </w:p>
    <w:p w14:paraId="6634D03F">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auto"/>
          <w:kern w:val="0"/>
          <w:sz w:val="36"/>
          <w:szCs w:val="36"/>
        </w:rPr>
      </w:pPr>
    </w:p>
    <w:p w14:paraId="7AF0499A">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auto"/>
          <w:kern w:val="0"/>
          <w:sz w:val="36"/>
          <w:szCs w:val="36"/>
        </w:rPr>
      </w:pPr>
    </w:p>
    <w:p w14:paraId="7A9F482B">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auto"/>
          <w:kern w:val="0"/>
          <w:sz w:val="36"/>
          <w:szCs w:val="36"/>
        </w:rPr>
      </w:pPr>
    </w:p>
    <w:p w14:paraId="0E8DAB3F">
      <w:pPr>
        <w:tabs>
          <w:tab w:val="left" w:pos="180"/>
          <w:tab w:val="left" w:pos="360"/>
          <w:tab w:val="left" w:pos="540"/>
          <w:tab w:val="left" w:pos="8280"/>
        </w:tabs>
        <w:autoSpaceDE w:val="0"/>
        <w:autoSpaceDN w:val="0"/>
        <w:adjustRightInd w:val="0"/>
        <w:spacing w:line="360" w:lineRule="auto"/>
        <w:ind w:right="23"/>
        <w:rPr>
          <w:rFonts w:ascii="宋体" w:hAnsi="宋体" w:cs="Calibri Light"/>
          <w:b/>
          <w:color w:val="auto"/>
          <w:kern w:val="0"/>
          <w:sz w:val="36"/>
          <w:szCs w:val="36"/>
        </w:rPr>
      </w:pPr>
    </w:p>
    <w:p w14:paraId="197A79C2">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auto"/>
          <w:sz w:val="36"/>
          <w:szCs w:val="36"/>
        </w:rPr>
        <w:sectPr>
          <w:footerReference r:id="rId4" w:type="default"/>
          <w:pgSz w:w="11906" w:h="16838"/>
          <w:pgMar w:top="1440" w:right="1800" w:bottom="1440" w:left="1800" w:header="851" w:footer="992" w:gutter="0"/>
          <w:pgNumType w:fmt="decimal" w:start="1"/>
          <w:cols w:space="720" w:num="1"/>
          <w:docGrid w:type="lines" w:linePitch="312" w:charSpace="0"/>
        </w:sectPr>
      </w:pPr>
    </w:p>
    <w:p w14:paraId="3B803473">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auto"/>
          <w:sz w:val="36"/>
          <w:szCs w:val="36"/>
        </w:rPr>
      </w:pPr>
      <w:r>
        <w:rPr>
          <w:rFonts w:hint="eastAsia" w:ascii="宋体" w:hAnsi="宋体"/>
          <w:b/>
          <w:color w:val="auto"/>
          <w:sz w:val="36"/>
          <w:szCs w:val="36"/>
        </w:rPr>
        <w:t xml:space="preserve">第一章  竞争性磋商公告 </w:t>
      </w:r>
    </w:p>
    <w:p w14:paraId="5BBDA73C">
      <w:pPr>
        <w:spacing w:line="360" w:lineRule="auto"/>
        <w:jc w:val="left"/>
        <w:rPr>
          <w:rFonts w:ascii="宋体" w:hAnsi="宋体" w:cs="Calibri Light"/>
          <w:color w:val="auto"/>
          <w:kern w:val="0"/>
          <w:sz w:val="24"/>
        </w:rPr>
      </w:pPr>
      <w:r>
        <w:rPr>
          <w:rFonts w:hint="eastAsia" w:ascii="宋体" w:hAnsi="宋体" w:cs="Calibri Light"/>
          <w:color w:val="auto"/>
          <w:kern w:val="0"/>
          <w:sz w:val="30"/>
          <w:szCs w:val="30"/>
        </w:rPr>
        <w:t xml:space="preserve">   </w:t>
      </w:r>
      <w:r>
        <w:rPr>
          <w:rFonts w:hint="eastAsia" w:ascii="宋体" w:hAnsi="宋体" w:cs="Calibri Light"/>
          <w:color w:val="auto"/>
          <w:kern w:val="0"/>
          <w:sz w:val="24"/>
        </w:rPr>
        <w:t xml:space="preserve"> 根据</w:t>
      </w:r>
      <w:r>
        <w:rPr>
          <w:rFonts w:hint="eastAsia" w:ascii="宋体" w:hAnsi="宋体" w:cs="Calibri Light"/>
          <w:color w:val="auto"/>
          <w:sz w:val="24"/>
        </w:rPr>
        <w:t>《政府采购竞争性磋商采购方式管理暂行办法》等</w:t>
      </w:r>
      <w:r>
        <w:rPr>
          <w:rFonts w:hint="eastAsia" w:ascii="宋体" w:hAnsi="宋体" w:cs="Calibri Light"/>
          <w:color w:val="auto"/>
          <w:kern w:val="0"/>
          <w:sz w:val="24"/>
        </w:rPr>
        <w:t>有关规定, 受采购人的委托，现就</w:t>
      </w:r>
      <w:r>
        <w:rPr>
          <w:rFonts w:hint="eastAsia" w:ascii="宋体" w:hAnsi="宋体" w:cs="Calibri Light"/>
          <w:color w:val="auto"/>
          <w:sz w:val="24"/>
        </w:rPr>
        <w:t>台州职业技术学院（单</w:t>
      </w:r>
      <w:r>
        <w:rPr>
          <w:rFonts w:hint="eastAsia" w:ascii="宋体" w:hAnsi="宋体" w:cs="Calibri Light"/>
          <w:color w:val="auto"/>
          <w:kern w:val="0"/>
          <w:sz w:val="24"/>
        </w:rPr>
        <w:t>位）的</w:t>
      </w:r>
      <w:r>
        <w:rPr>
          <w:rFonts w:hint="eastAsia" w:ascii="宋体" w:hAnsi="宋体" w:cs="Calibri Light"/>
          <w:color w:val="auto"/>
          <w:kern w:val="0"/>
          <w:sz w:val="24"/>
          <w:lang w:eastAsia="zh-CN"/>
        </w:rPr>
        <w:t>台州职业技术学院教师公寓三单元4、5、6层改造项目</w:t>
      </w:r>
      <w:r>
        <w:rPr>
          <w:rFonts w:hint="eastAsia" w:ascii="宋体" w:hAnsi="宋体" w:cs="Calibri Light"/>
          <w:color w:val="auto"/>
          <w:kern w:val="0"/>
          <w:sz w:val="24"/>
        </w:rPr>
        <w:t>进行竞争性磋商采购</w:t>
      </w:r>
      <w:r>
        <w:rPr>
          <w:rFonts w:hint="eastAsia" w:ascii="宋体" w:hAnsi="宋体"/>
          <w:color w:val="auto"/>
          <w:kern w:val="0"/>
          <w:sz w:val="24"/>
        </w:rPr>
        <w:t>，欢迎合格供应商前来磋商。</w:t>
      </w:r>
    </w:p>
    <w:p w14:paraId="0254FF85">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hint="eastAsia" w:ascii="宋体" w:hAnsi="宋体" w:eastAsia="宋体" w:cs="Calibri Light"/>
          <w:color w:val="auto"/>
          <w:kern w:val="0"/>
          <w:sz w:val="24"/>
          <w:lang w:eastAsia="zh-CN"/>
        </w:rPr>
      </w:pPr>
      <w:r>
        <w:rPr>
          <w:rFonts w:hint="eastAsia" w:ascii="宋体" w:hAnsi="宋体" w:cs="Calibri Light"/>
          <w:b/>
          <w:color w:val="auto"/>
          <w:kern w:val="0"/>
          <w:sz w:val="24"/>
        </w:rPr>
        <w:t>一、项目编号：</w:t>
      </w:r>
      <w:r>
        <w:rPr>
          <w:rFonts w:hint="eastAsia" w:ascii="宋体" w:hAnsi="宋体" w:cs="Calibri Light"/>
          <w:color w:val="auto"/>
          <w:kern w:val="0"/>
          <w:sz w:val="24"/>
          <w:lang w:eastAsia="zh-CN"/>
        </w:rPr>
        <w:t>ZJWS2025-JJ206</w:t>
      </w:r>
    </w:p>
    <w:p w14:paraId="04C8425A">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Calibri Light"/>
          <w:b/>
          <w:color w:val="auto"/>
          <w:kern w:val="0"/>
          <w:sz w:val="24"/>
        </w:rPr>
      </w:pPr>
      <w:r>
        <w:rPr>
          <w:rFonts w:hint="eastAsia" w:ascii="宋体" w:hAnsi="宋体" w:cs="Calibri Light"/>
          <w:b/>
          <w:color w:val="auto"/>
          <w:kern w:val="0"/>
          <w:sz w:val="24"/>
        </w:rPr>
        <w:t>二、磋商内容：</w:t>
      </w:r>
    </w:p>
    <w:tbl>
      <w:tblPr>
        <w:tblStyle w:val="2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268"/>
        <w:gridCol w:w="567"/>
        <w:gridCol w:w="567"/>
        <w:gridCol w:w="851"/>
        <w:gridCol w:w="992"/>
        <w:gridCol w:w="1276"/>
        <w:gridCol w:w="992"/>
      </w:tblGrid>
      <w:tr w14:paraId="09D9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14:paraId="620AB51F">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标段号</w:t>
            </w:r>
          </w:p>
        </w:tc>
        <w:tc>
          <w:tcPr>
            <w:tcW w:w="1559" w:type="dxa"/>
            <w:vAlign w:val="center"/>
          </w:tcPr>
          <w:p w14:paraId="1F5D22C6">
            <w:pPr>
              <w:tabs>
                <w:tab w:val="left" w:pos="8280"/>
              </w:tabs>
              <w:autoSpaceDE w:val="0"/>
              <w:autoSpaceDN w:val="0"/>
              <w:adjustRightInd w:val="0"/>
              <w:ind w:right="25" w:firstLine="120" w:firstLineChars="50"/>
              <w:jc w:val="center"/>
              <w:rPr>
                <w:rFonts w:ascii="宋体" w:hAnsi="宋体" w:cs="宋体"/>
                <w:b/>
                <w:color w:val="auto"/>
                <w:sz w:val="24"/>
              </w:rPr>
            </w:pPr>
            <w:r>
              <w:rPr>
                <w:rFonts w:hint="eastAsia" w:ascii="宋体" w:hAnsi="宋体" w:cs="宋体"/>
                <w:b/>
                <w:color w:val="auto"/>
                <w:sz w:val="24"/>
              </w:rPr>
              <w:t>标项内容</w:t>
            </w:r>
          </w:p>
        </w:tc>
        <w:tc>
          <w:tcPr>
            <w:tcW w:w="2268" w:type="dxa"/>
            <w:vAlign w:val="center"/>
          </w:tcPr>
          <w:p w14:paraId="36DEAC3A">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kern w:val="0"/>
                <w:sz w:val="24"/>
              </w:rPr>
              <w:t>简要技术要求</w:t>
            </w:r>
          </w:p>
        </w:tc>
        <w:tc>
          <w:tcPr>
            <w:tcW w:w="567" w:type="dxa"/>
            <w:vAlign w:val="center"/>
          </w:tcPr>
          <w:p w14:paraId="06800765">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数量</w:t>
            </w:r>
          </w:p>
        </w:tc>
        <w:tc>
          <w:tcPr>
            <w:tcW w:w="567" w:type="dxa"/>
            <w:vAlign w:val="center"/>
          </w:tcPr>
          <w:p w14:paraId="6925EA8F">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单位</w:t>
            </w:r>
          </w:p>
        </w:tc>
        <w:tc>
          <w:tcPr>
            <w:tcW w:w="851" w:type="dxa"/>
            <w:vAlign w:val="center"/>
          </w:tcPr>
          <w:p w14:paraId="1A671941">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预算（元）</w:t>
            </w:r>
          </w:p>
        </w:tc>
        <w:tc>
          <w:tcPr>
            <w:tcW w:w="992" w:type="dxa"/>
            <w:vAlign w:val="center"/>
          </w:tcPr>
          <w:p w14:paraId="2545F4CF">
            <w:pPr>
              <w:tabs>
                <w:tab w:val="left" w:pos="8280"/>
              </w:tabs>
              <w:autoSpaceDE w:val="0"/>
              <w:autoSpaceDN w:val="0"/>
              <w:adjustRightInd w:val="0"/>
              <w:spacing w:line="312" w:lineRule="auto"/>
              <w:ind w:left="-214" w:leftChars="-102" w:right="-108"/>
              <w:jc w:val="center"/>
              <w:rPr>
                <w:rFonts w:ascii="宋体" w:hAnsi="宋体" w:cs="宋体"/>
                <w:b/>
                <w:color w:val="auto"/>
                <w:sz w:val="24"/>
              </w:rPr>
            </w:pPr>
            <w:r>
              <w:rPr>
                <w:rFonts w:hint="eastAsia" w:ascii="宋体" w:hAnsi="宋体" w:cs="宋体"/>
                <w:b/>
                <w:color w:val="auto"/>
                <w:sz w:val="24"/>
              </w:rPr>
              <w:t>上限价（元）</w:t>
            </w:r>
          </w:p>
        </w:tc>
        <w:tc>
          <w:tcPr>
            <w:tcW w:w="1276" w:type="dxa"/>
            <w:vAlign w:val="center"/>
          </w:tcPr>
          <w:p w14:paraId="5F84CC89">
            <w:pPr>
              <w:tabs>
                <w:tab w:val="left" w:pos="8280"/>
              </w:tabs>
              <w:autoSpaceDE w:val="0"/>
              <w:autoSpaceDN w:val="0"/>
              <w:adjustRightInd w:val="0"/>
              <w:spacing w:line="312" w:lineRule="auto"/>
              <w:ind w:left="-107" w:leftChars="-51" w:right="25" w:firstLine="105"/>
              <w:rPr>
                <w:rFonts w:ascii="宋体" w:hAnsi="宋体" w:cs="宋体"/>
                <w:b/>
                <w:color w:val="auto"/>
                <w:sz w:val="24"/>
              </w:rPr>
            </w:pPr>
            <w:r>
              <w:rPr>
                <w:rFonts w:hint="eastAsia" w:ascii="宋体" w:hAnsi="宋体" w:cs="宋体"/>
                <w:b/>
                <w:color w:val="auto"/>
                <w:sz w:val="24"/>
              </w:rPr>
              <w:t>工期（合同签订后几天内）</w:t>
            </w:r>
          </w:p>
        </w:tc>
        <w:tc>
          <w:tcPr>
            <w:tcW w:w="992" w:type="dxa"/>
            <w:vAlign w:val="center"/>
          </w:tcPr>
          <w:p w14:paraId="3E528975">
            <w:pPr>
              <w:tabs>
                <w:tab w:val="left" w:pos="8280"/>
              </w:tabs>
              <w:autoSpaceDE w:val="0"/>
              <w:autoSpaceDN w:val="0"/>
              <w:adjustRightInd w:val="0"/>
              <w:ind w:right="25" w:hanging="12"/>
              <w:jc w:val="center"/>
              <w:rPr>
                <w:rFonts w:ascii="宋体" w:hAnsi="宋体" w:cs="宋体"/>
                <w:b/>
                <w:color w:val="auto"/>
                <w:sz w:val="24"/>
              </w:rPr>
            </w:pPr>
            <w:r>
              <w:rPr>
                <w:rFonts w:hint="eastAsia" w:ascii="宋体" w:hAnsi="宋体" w:cs="宋体"/>
                <w:b/>
                <w:color w:val="auto"/>
                <w:sz w:val="24"/>
              </w:rPr>
              <w:t>项目地点</w:t>
            </w:r>
          </w:p>
        </w:tc>
      </w:tr>
      <w:tr w14:paraId="25C7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4" w:type="dxa"/>
            <w:vAlign w:val="center"/>
          </w:tcPr>
          <w:p w14:paraId="28E19E83">
            <w:pPr>
              <w:tabs>
                <w:tab w:val="left" w:pos="8280"/>
              </w:tabs>
              <w:autoSpaceDE w:val="0"/>
              <w:autoSpaceDN w:val="0"/>
              <w:adjustRightInd w:val="0"/>
              <w:ind w:right="25"/>
              <w:jc w:val="center"/>
              <w:rPr>
                <w:rFonts w:ascii="宋体" w:hAnsi="宋体" w:cs="宋体"/>
                <w:color w:val="auto"/>
                <w:sz w:val="24"/>
              </w:rPr>
            </w:pPr>
            <w:r>
              <w:rPr>
                <w:rFonts w:hint="eastAsia" w:ascii="宋体" w:hAnsi="宋体" w:cs="宋体"/>
                <w:color w:val="auto"/>
                <w:sz w:val="24"/>
              </w:rPr>
              <w:t>1</w:t>
            </w:r>
          </w:p>
        </w:tc>
        <w:tc>
          <w:tcPr>
            <w:tcW w:w="1559" w:type="dxa"/>
            <w:vAlign w:val="center"/>
          </w:tcPr>
          <w:p w14:paraId="5859DFE9">
            <w:pPr>
              <w:tabs>
                <w:tab w:val="left" w:pos="8280"/>
              </w:tabs>
              <w:autoSpaceDE w:val="0"/>
              <w:autoSpaceDN w:val="0"/>
              <w:adjustRightInd w:val="0"/>
              <w:ind w:right="25"/>
              <w:jc w:val="center"/>
              <w:rPr>
                <w:rFonts w:hint="eastAsia" w:ascii="宋体" w:hAnsi="宋体" w:eastAsia="宋体" w:cs="宋体"/>
                <w:color w:val="auto"/>
                <w:sz w:val="24"/>
                <w:lang w:eastAsia="zh-CN"/>
              </w:rPr>
            </w:pPr>
            <w:r>
              <w:rPr>
                <w:rFonts w:hint="eastAsia" w:ascii="宋体" w:hAnsi="宋体" w:cs="宋体"/>
                <w:color w:val="auto"/>
                <w:sz w:val="24"/>
                <w:lang w:eastAsia="zh-CN"/>
              </w:rPr>
              <w:t>台州职业技术学院教师公寓三单元4、5、6层改造项目</w:t>
            </w:r>
          </w:p>
        </w:tc>
        <w:tc>
          <w:tcPr>
            <w:tcW w:w="2268" w:type="dxa"/>
            <w:vAlign w:val="center"/>
          </w:tcPr>
          <w:p w14:paraId="0C55C66F">
            <w:pPr>
              <w:tabs>
                <w:tab w:val="left" w:pos="8280"/>
              </w:tabs>
              <w:autoSpaceDE w:val="0"/>
              <w:autoSpaceDN w:val="0"/>
              <w:adjustRightInd w:val="0"/>
              <w:ind w:right="25"/>
              <w:rPr>
                <w:rFonts w:ascii="宋体" w:hAnsi="宋体" w:cs="宋体"/>
                <w:color w:val="auto"/>
                <w:sz w:val="24"/>
              </w:rPr>
            </w:pPr>
            <w:r>
              <w:rPr>
                <w:rFonts w:hint="eastAsia" w:ascii="宋体" w:hAnsi="宋体" w:cs="宋体"/>
                <w:color w:val="auto"/>
                <w:sz w:val="24"/>
                <w:lang w:eastAsia="zh-CN"/>
              </w:rPr>
              <w:t>台州职业技术学院教师公寓三单元4、5、6层改造项目</w:t>
            </w:r>
            <w:r>
              <w:rPr>
                <w:rFonts w:hint="eastAsia" w:ascii="宋体" w:hAnsi="宋体" w:cs="宋体"/>
                <w:color w:val="auto"/>
                <w:sz w:val="24"/>
                <w:lang w:eastAsia="zh-Hans"/>
              </w:rPr>
              <w:t>，具体装修要求详见图纸及预算</w:t>
            </w:r>
          </w:p>
        </w:tc>
        <w:tc>
          <w:tcPr>
            <w:tcW w:w="567" w:type="dxa"/>
            <w:vAlign w:val="center"/>
          </w:tcPr>
          <w:p w14:paraId="7541DEC4">
            <w:pPr>
              <w:tabs>
                <w:tab w:val="left" w:pos="8280"/>
              </w:tabs>
              <w:autoSpaceDE w:val="0"/>
              <w:autoSpaceDN w:val="0"/>
              <w:adjustRightInd w:val="0"/>
              <w:ind w:right="25"/>
              <w:jc w:val="center"/>
              <w:rPr>
                <w:rFonts w:ascii="宋体" w:hAnsi="宋体" w:cs="宋体"/>
                <w:color w:val="auto"/>
                <w:sz w:val="24"/>
              </w:rPr>
            </w:pPr>
            <w:r>
              <w:rPr>
                <w:rFonts w:hint="eastAsia" w:ascii="宋体" w:hAnsi="宋体" w:cs="宋体"/>
                <w:color w:val="auto"/>
                <w:sz w:val="24"/>
              </w:rPr>
              <w:t>1</w:t>
            </w:r>
          </w:p>
        </w:tc>
        <w:tc>
          <w:tcPr>
            <w:tcW w:w="567" w:type="dxa"/>
            <w:vAlign w:val="center"/>
          </w:tcPr>
          <w:p w14:paraId="768194FD">
            <w:pPr>
              <w:tabs>
                <w:tab w:val="left" w:pos="8280"/>
              </w:tabs>
              <w:autoSpaceDE w:val="0"/>
              <w:autoSpaceDN w:val="0"/>
              <w:adjustRightInd w:val="0"/>
              <w:ind w:right="25"/>
              <w:jc w:val="center"/>
              <w:rPr>
                <w:rFonts w:ascii="宋体" w:hAnsi="宋体" w:cs="宋体"/>
                <w:color w:val="auto"/>
                <w:sz w:val="24"/>
              </w:rPr>
            </w:pPr>
            <w:r>
              <w:rPr>
                <w:rFonts w:hint="eastAsia" w:ascii="宋体" w:hAnsi="宋体" w:cs="宋体"/>
                <w:color w:val="auto"/>
                <w:sz w:val="24"/>
              </w:rPr>
              <w:t>项</w:t>
            </w:r>
          </w:p>
        </w:tc>
        <w:tc>
          <w:tcPr>
            <w:tcW w:w="851" w:type="dxa"/>
            <w:vAlign w:val="center"/>
          </w:tcPr>
          <w:p w14:paraId="21443482">
            <w:pPr>
              <w:autoSpaceDE w:val="0"/>
              <w:autoSpaceDN w:val="0"/>
              <w:adjustRightInd w:val="0"/>
              <w:ind w:right="25"/>
              <w:jc w:val="center"/>
              <w:rPr>
                <w:rFonts w:hint="default" w:ascii="宋体" w:hAnsi="宋体" w:cs="宋体"/>
                <w:color w:val="auto"/>
                <w:sz w:val="24"/>
                <w:lang w:val="en-US"/>
              </w:rPr>
            </w:pPr>
            <w:r>
              <w:rPr>
                <w:rFonts w:hint="default" w:ascii="宋体" w:hAnsi="宋体" w:cs="宋体"/>
                <w:color w:val="auto"/>
                <w:sz w:val="24"/>
                <w:lang w:val="en-US"/>
              </w:rPr>
              <w:t>1400000</w:t>
            </w:r>
          </w:p>
        </w:tc>
        <w:tc>
          <w:tcPr>
            <w:tcW w:w="992" w:type="dxa"/>
            <w:vAlign w:val="center"/>
          </w:tcPr>
          <w:p w14:paraId="26B0B4E8">
            <w:pPr>
              <w:autoSpaceDE w:val="0"/>
              <w:autoSpaceDN w:val="0"/>
              <w:adjustRightInd w:val="0"/>
              <w:ind w:right="25"/>
              <w:jc w:val="center"/>
              <w:rPr>
                <w:rFonts w:hint="default" w:ascii="宋体" w:hAnsi="宋体" w:eastAsia="宋体" w:cs="宋体"/>
                <w:color w:val="auto"/>
                <w:sz w:val="24"/>
                <w:lang w:val="en-US" w:eastAsia="zh-CN"/>
              </w:rPr>
            </w:pPr>
            <w:r>
              <w:rPr>
                <w:rFonts w:hint="default" w:ascii="宋体" w:hAnsi="宋体" w:cs="宋体"/>
                <w:color w:val="auto"/>
                <w:sz w:val="24"/>
                <w:lang w:val="en-US" w:eastAsia="zh-CN"/>
              </w:rPr>
              <w:t>1104053.9</w:t>
            </w:r>
          </w:p>
        </w:tc>
        <w:tc>
          <w:tcPr>
            <w:tcW w:w="1276" w:type="dxa"/>
            <w:vAlign w:val="center"/>
          </w:tcPr>
          <w:p w14:paraId="09C4D661">
            <w:pPr>
              <w:tabs>
                <w:tab w:val="left" w:pos="8280"/>
              </w:tabs>
              <w:autoSpaceDE w:val="0"/>
              <w:autoSpaceDN w:val="0"/>
              <w:adjustRightInd w:val="0"/>
              <w:ind w:right="25"/>
              <w:jc w:val="center"/>
              <w:rPr>
                <w:rFonts w:ascii="宋体" w:hAnsi="宋体" w:cs="宋体"/>
                <w:color w:val="auto"/>
                <w:sz w:val="24"/>
                <w:lang w:eastAsia="zh-Hans"/>
              </w:rPr>
            </w:pPr>
            <w:r>
              <w:rPr>
                <w:rFonts w:hint="eastAsia" w:ascii="宋体" w:hAnsi="宋体" w:cs="宋体"/>
                <w:color w:val="auto"/>
                <w:sz w:val="24"/>
                <w:lang w:val="en-US" w:eastAsia="zh-CN"/>
              </w:rPr>
              <w:t>55</w:t>
            </w:r>
            <w:r>
              <w:rPr>
                <w:rFonts w:hint="eastAsia" w:ascii="宋体" w:hAnsi="宋体" w:cs="宋体"/>
                <w:color w:val="auto"/>
                <w:sz w:val="24"/>
                <w:lang w:eastAsia="zh-Hans"/>
              </w:rPr>
              <w:t>日历天</w:t>
            </w:r>
          </w:p>
        </w:tc>
        <w:tc>
          <w:tcPr>
            <w:tcW w:w="992" w:type="dxa"/>
            <w:vAlign w:val="center"/>
          </w:tcPr>
          <w:p w14:paraId="35BC2D9E">
            <w:pPr>
              <w:tabs>
                <w:tab w:val="left" w:pos="8280"/>
              </w:tabs>
              <w:autoSpaceDE w:val="0"/>
              <w:autoSpaceDN w:val="0"/>
              <w:adjustRightInd w:val="0"/>
              <w:ind w:right="25"/>
              <w:jc w:val="center"/>
              <w:rPr>
                <w:rFonts w:ascii="宋体" w:hAnsi="宋体" w:cs="宋体"/>
                <w:color w:val="auto"/>
                <w:sz w:val="24"/>
              </w:rPr>
            </w:pPr>
            <w:r>
              <w:rPr>
                <w:rFonts w:hint="eastAsia" w:ascii="宋体" w:hAnsi="宋体" w:cs="宋体"/>
                <w:color w:val="auto"/>
                <w:sz w:val="24"/>
              </w:rPr>
              <w:t>台州职业技术学院</w:t>
            </w:r>
          </w:p>
        </w:tc>
      </w:tr>
    </w:tbl>
    <w:p w14:paraId="151693A1">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Calibri Light"/>
          <w:b/>
          <w:color w:val="auto"/>
          <w:kern w:val="0"/>
          <w:sz w:val="24"/>
        </w:rPr>
      </w:pPr>
      <w:r>
        <w:rPr>
          <w:rFonts w:hint="eastAsia" w:ascii="宋体" w:hAnsi="宋体" w:cs="Calibri Light"/>
          <w:b/>
          <w:color w:val="auto"/>
          <w:sz w:val="24"/>
        </w:rPr>
        <w:t>三、合格磋商供应商的资格条件：</w:t>
      </w:r>
    </w:p>
    <w:p w14:paraId="25970A39">
      <w:pPr>
        <w:pStyle w:val="56"/>
        <w:adjustRightInd w:val="0"/>
        <w:snapToGrid w:val="0"/>
        <w:spacing w:before="0" w:line="360" w:lineRule="auto"/>
        <w:ind w:left="102" w:right="102" w:firstLine="480"/>
        <w:rPr>
          <w:rFonts w:ascii="宋体" w:hAnsi="宋体" w:eastAsia="宋体"/>
          <w:color w:val="auto"/>
          <w:sz w:val="24"/>
          <w:szCs w:val="24"/>
        </w:rPr>
      </w:pPr>
      <w:r>
        <w:rPr>
          <w:rFonts w:hint="eastAsia" w:ascii="宋体" w:hAnsi="宋体" w:eastAsia="宋体"/>
          <w:color w:val="auto"/>
          <w:sz w:val="24"/>
          <w:szCs w:val="24"/>
        </w:rPr>
        <w:t>（一）符合《中华人民共和国政府采购法》第二十二条规定的磋商供应商资格条件。</w:t>
      </w:r>
    </w:p>
    <w:p w14:paraId="72E6F66D">
      <w:pPr>
        <w:pStyle w:val="56"/>
        <w:adjustRightInd w:val="0"/>
        <w:snapToGrid w:val="0"/>
        <w:spacing w:before="0" w:line="360" w:lineRule="auto"/>
        <w:ind w:left="102" w:right="102" w:firstLine="480"/>
        <w:rPr>
          <w:rFonts w:ascii="宋体" w:hAnsi="宋体" w:eastAsia="宋体"/>
          <w:color w:val="auto"/>
          <w:sz w:val="24"/>
          <w:szCs w:val="24"/>
        </w:rPr>
      </w:pPr>
      <w:r>
        <w:rPr>
          <w:rFonts w:hint="eastAsia" w:ascii="宋体" w:hAnsi="宋体" w:eastAsia="宋体"/>
          <w:color w:val="auto"/>
          <w:sz w:val="24"/>
          <w:szCs w:val="24"/>
        </w:rPr>
        <w:t>（二）未被“信用中国”（www.creditchina.gov.cn）、中国政府采购网（www.ccgp.gov.cn）列入失信被执行人、重大税收违法案件当事人名单、政府采购严重违法失信行为记录名单。</w:t>
      </w:r>
    </w:p>
    <w:p w14:paraId="6F3EB506">
      <w:pPr>
        <w:pStyle w:val="56"/>
        <w:adjustRightInd w:val="0"/>
        <w:snapToGrid w:val="0"/>
        <w:spacing w:before="0" w:line="360" w:lineRule="auto"/>
        <w:ind w:left="102" w:right="102" w:firstLine="480"/>
        <w:rPr>
          <w:rFonts w:hint="eastAsia" w:ascii="宋体" w:hAnsi="宋体" w:eastAsia="宋体"/>
          <w:color w:val="auto"/>
          <w:sz w:val="24"/>
          <w:szCs w:val="24"/>
          <w:lang w:val="en-US" w:eastAsia="zh-CN"/>
        </w:rPr>
      </w:pPr>
      <w:r>
        <w:rPr>
          <w:rFonts w:hint="eastAsia" w:ascii="宋体" w:hAnsi="宋体" w:eastAsia="宋体"/>
          <w:color w:val="auto"/>
          <w:sz w:val="24"/>
          <w:szCs w:val="24"/>
        </w:rPr>
        <w:t>（三）落实政府采购政策需满足的资格要求：</w:t>
      </w:r>
      <w:r>
        <w:rPr>
          <w:rFonts w:hint="eastAsia" w:ascii="宋体" w:hAnsi="宋体" w:eastAsia="宋体"/>
          <w:color w:val="auto"/>
          <w:sz w:val="24"/>
          <w:szCs w:val="24"/>
          <w:lang w:val="en-US" w:eastAsia="zh-CN"/>
        </w:rPr>
        <w:t>本项目专门面向中小企业采购（须在资格证明文件里提供《中小企业声明函》），监狱企业、残疾人福利性单位视同小型、微型企业（须在资格证明文件里提供相关证明材料）。</w:t>
      </w:r>
    </w:p>
    <w:p w14:paraId="182E1E3B">
      <w:pPr>
        <w:pStyle w:val="56"/>
        <w:adjustRightInd w:val="0"/>
        <w:snapToGrid w:val="0"/>
        <w:spacing w:before="0" w:line="360" w:lineRule="auto"/>
        <w:ind w:left="102" w:right="102" w:firstLine="480"/>
        <w:rPr>
          <w:rFonts w:ascii="宋体" w:hAnsi="宋体" w:eastAsia="宋体"/>
          <w:color w:val="auto"/>
          <w:sz w:val="24"/>
          <w:szCs w:val="24"/>
        </w:rPr>
      </w:pPr>
      <w:r>
        <w:rPr>
          <w:rFonts w:hint="eastAsia" w:ascii="宋体" w:eastAsia="宋体"/>
          <w:color w:val="auto"/>
          <w:sz w:val="24"/>
          <w:szCs w:val="24"/>
        </w:rPr>
        <w:t>（四）</w:t>
      </w:r>
      <w:r>
        <w:rPr>
          <w:rFonts w:hint="eastAsia" w:ascii="宋体" w:hAnsi="宋体" w:eastAsia="宋体"/>
          <w:color w:val="auto"/>
          <w:sz w:val="24"/>
          <w:szCs w:val="24"/>
        </w:rPr>
        <w:t>本项目供应商特定条件：</w:t>
      </w:r>
    </w:p>
    <w:p w14:paraId="420BD0CE">
      <w:pPr>
        <w:pStyle w:val="56"/>
        <w:adjustRightInd w:val="0"/>
        <w:snapToGrid w:val="0"/>
        <w:spacing w:before="0" w:line="360" w:lineRule="auto"/>
        <w:ind w:left="102" w:right="102" w:firstLine="48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、投标人具有建筑装修装饰工程专业承包二级及以上资质；</w:t>
      </w:r>
    </w:p>
    <w:p w14:paraId="64E1C37A">
      <w:pPr>
        <w:pStyle w:val="56"/>
        <w:adjustRightInd w:val="0"/>
        <w:snapToGrid w:val="0"/>
        <w:spacing w:before="0" w:line="360" w:lineRule="auto"/>
        <w:ind w:left="102" w:right="102" w:firstLine="480"/>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、项目负责人具备建筑工程专业注册建造师二级及以上（临时建造师证书无效）；</w:t>
      </w:r>
    </w:p>
    <w:p w14:paraId="6C0D0AF5">
      <w:pPr>
        <w:pStyle w:val="56"/>
        <w:adjustRightInd w:val="0"/>
        <w:snapToGrid w:val="0"/>
        <w:spacing w:before="0" w:line="360" w:lineRule="auto"/>
        <w:ind w:left="102" w:right="102" w:firstLine="480"/>
        <w:rPr>
          <w:rFonts w:ascii="宋体" w:hAnsi="宋体" w:eastAsia="宋体"/>
          <w:color w:val="auto"/>
          <w:sz w:val="24"/>
          <w:szCs w:val="24"/>
        </w:rPr>
      </w:pPr>
      <w:r>
        <w:rPr>
          <w:rFonts w:hint="eastAsia" w:ascii="宋体" w:hAnsi="宋体" w:eastAsia="宋体"/>
          <w:color w:val="auto"/>
          <w:sz w:val="24"/>
          <w:szCs w:val="24"/>
        </w:rPr>
        <w:t>3、本项目不接受联合体投标。</w:t>
      </w:r>
    </w:p>
    <w:p w14:paraId="79B7E10C">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color w:val="auto"/>
          <w:sz w:val="24"/>
        </w:rPr>
      </w:pPr>
      <w:r>
        <w:rPr>
          <w:rFonts w:hint="eastAsia" w:ascii="宋体" w:hAnsi="宋体"/>
          <w:b/>
          <w:color w:val="auto"/>
          <w:sz w:val="24"/>
        </w:rPr>
        <w:t>四、磋商文件获取的地址、方式、时间：</w:t>
      </w:r>
    </w:p>
    <w:p w14:paraId="5A14A5EC">
      <w:pPr>
        <w:widowControl/>
        <w:spacing w:before="100" w:beforeAutospacing="1" w:after="100" w:afterAutospacing="1" w:line="360" w:lineRule="auto"/>
        <w:ind w:firstLine="420"/>
        <w:jc w:val="left"/>
        <w:rPr>
          <w:rFonts w:ascii="宋体" w:hAnsi="宋体" w:cs="宋体"/>
          <w:color w:val="auto"/>
          <w:kern w:val="0"/>
          <w:sz w:val="27"/>
          <w:szCs w:val="27"/>
        </w:rPr>
      </w:pPr>
      <w:bookmarkStart w:id="0" w:name="_Hlk37939045"/>
      <w:r>
        <w:rPr>
          <w:rFonts w:hint="eastAsia" w:ascii="宋体" w:hAnsi="宋体" w:cs="宋体"/>
          <w:color w:val="auto"/>
          <w:kern w:val="0"/>
          <w:sz w:val="24"/>
        </w:rPr>
        <w:t>本项目招标文件实行“政府采购云平台”在线获取，不提供招标文件纸质版。供应商获取招标文件前应先完成“政府采购云平台”的账号注册；</w:t>
      </w:r>
    </w:p>
    <w:p w14:paraId="7155A9C6">
      <w:pPr>
        <w:widowControl/>
        <w:spacing w:before="100" w:beforeAutospacing="1" w:after="100" w:afterAutospacing="1" w:line="360" w:lineRule="auto"/>
        <w:ind w:firstLine="480"/>
        <w:jc w:val="left"/>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、获取地址：政采云平台（</w:t>
      </w:r>
      <w:r>
        <w:rPr>
          <w:color w:val="auto"/>
        </w:rPr>
        <w:fldChar w:fldCharType="begin"/>
      </w:r>
      <w:r>
        <w:rPr>
          <w:color w:val="auto"/>
        </w:rPr>
        <w:instrText xml:space="preserve"> HYPERLINK "http://zfcg.czt.zj.gov.cn" </w:instrText>
      </w:r>
      <w:r>
        <w:rPr>
          <w:color w:val="auto"/>
        </w:rPr>
        <w:fldChar w:fldCharType="separate"/>
      </w:r>
      <w:r>
        <w:rPr>
          <w:rStyle w:val="32"/>
          <w:rFonts w:hint="eastAsia" w:ascii="宋体" w:hAnsi="宋体" w:cs="宋体"/>
          <w:color w:val="auto"/>
          <w:kern w:val="0"/>
          <w:sz w:val="24"/>
        </w:rPr>
        <w:t>http://zfcg.czt.zj.gov.cn</w:t>
      </w:r>
      <w:r>
        <w:rPr>
          <w:rStyle w:val="32"/>
          <w:rFonts w:hint="eastAsia" w:ascii="宋体" w:hAnsi="宋体" w:cs="宋体"/>
          <w:color w:val="auto"/>
          <w:kern w:val="0"/>
          <w:sz w:val="24"/>
        </w:rPr>
        <w:fldChar w:fldCharType="end"/>
      </w:r>
      <w:r>
        <w:rPr>
          <w:rFonts w:hint="eastAsia" w:ascii="宋体" w:hAnsi="宋体" w:cs="宋体"/>
          <w:color w:val="auto"/>
          <w:kern w:val="0"/>
          <w:sz w:val="24"/>
        </w:rPr>
        <w:t>）。</w:t>
      </w:r>
    </w:p>
    <w:p w14:paraId="54BB850F">
      <w:pPr>
        <w:widowControl/>
        <w:spacing w:before="100" w:beforeAutospacing="1" w:after="100" w:afterAutospacing="1" w:line="360" w:lineRule="auto"/>
        <w:ind w:firstLine="480"/>
        <w:jc w:val="left"/>
        <w:rPr>
          <w:rFonts w:ascii="宋体" w:hAnsi="宋体" w:cs="宋体"/>
          <w:color w:val="auto"/>
          <w:kern w:val="0"/>
          <w:sz w:val="27"/>
          <w:szCs w:val="27"/>
        </w:rPr>
      </w:pPr>
      <w:r>
        <w:rPr>
          <w:rFonts w:ascii="宋体" w:hAnsi="宋体" w:cs="宋体"/>
          <w:color w:val="auto"/>
          <w:kern w:val="0"/>
          <w:sz w:val="24"/>
        </w:rPr>
        <w:t>2</w:t>
      </w:r>
      <w:r>
        <w:rPr>
          <w:rFonts w:hint="eastAsia" w:ascii="宋体" w:hAnsi="宋体" w:cs="宋体"/>
          <w:color w:val="auto"/>
          <w:kern w:val="0"/>
          <w:sz w:val="24"/>
        </w:rPr>
        <w:t>、获取方式：潜在供应商登陆政采云平台，在线申请获取招标文件（进入“项目采购”应用，在获取招标文件菜单中选择项目，申请获取招标文件，本项目招标文件不收取工本费；</w:t>
      </w:r>
      <w:r>
        <w:rPr>
          <w:rFonts w:hint="eastAsia" w:ascii="宋体" w:hAnsi="宋体" w:cs="宋体"/>
          <w:color w:val="auto"/>
          <w:kern w:val="0"/>
          <w:sz w:val="24"/>
          <w:u w:val="single"/>
        </w:rPr>
        <w:t>仅需浏览招标文件的供应商可点击“游客，浏览招标文件”直接下载招标文件浏览</w:t>
      </w:r>
      <w:r>
        <w:rPr>
          <w:rFonts w:hint="eastAsia" w:ascii="宋体" w:hAnsi="宋体" w:cs="宋体"/>
          <w:color w:val="auto"/>
          <w:kern w:val="0"/>
          <w:sz w:val="24"/>
        </w:rPr>
        <w:t>）；</w:t>
      </w:r>
    </w:p>
    <w:p w14:paraId="485CD1D7">
      <w:pPr>
        <w:widowControl/>
        <w:spacing w:before="100" w:beforeAutospacing="1" w:after="100" w:afterAutospacing="1" w:line="360" w:lineRule="auto"/>
        <w:ind w:firstLine="480"/>
        <w:jc w:val="left"/>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rPr>
        <w:t>、供应商获取招标文件时须提交的文件资料：无，按政釆云系统要求进行获取。</w:t>
      </w:r>
    </w:p>
    <w:p w14:paraId="7DBE5921">
      <w:pPr>
        <w:widowControl/>
        <w:spacing w:before="100" w:beforeAutospacing="1" w:after="100" w:afterAutospacing="1" w:line="360" w:lineRule="auto"/>
        <w:ind w:firstLine="480"/>
        <w:jc w:val="left"/>
        <w:rPr>
          <w:rFonts w:ascii="宋体" w:hAnsi="宋体" w:cs="宋体"/>
          <w:color w:val="auto"/>
          <w:kern w:val="0"/>
          <w:sz w:val="27"/>
          <w:szCs w:val="27"/>
        </w:rPr>
      </w:pPr>
      <w:r>
        <w:rPr>
          <w:rFonts w:ascii="宋体" w:hAnsi="宋体" w:cs="宋体"/>
          <w:color w:val="auto"/>
          <w:kern w:val="0"/>
          <w:sz w:val="24"/>
        </w:rPr>
        <w:t>4</w:t>
      </w:r>
      <w:r>
        <w:rPr>
          <w:rFonts w:hint="eastAsia" w:ascii="宋体" w:hAnsi="宋体" w:cs="宋体"/>
          <w:color w:val="auto"/>
          <w:kern w:val="0"/>
          <w:sz w:val="24"/>
        </w:rPr>
        <w:t>、获取时间：公告发布时间至投标截止时间。</w:t>
      </w:r>
    </w:p>
    <w:p w14:paraId="2A6E0B44">
      <w:pPr>
        <w:spacing w:line="360" w:lineRule="auto"/>
        <w:ind w:firstLine="480" w:firstLineChars="200"/>
        <w:rPr>
          <w:rFonts w:ascii="宋体" w:hAnsi="宋体" w:cs="仿宋"/>
          <w:color w:val="auto"/>
          <w:sz w:val="24"/>
        </w:rPr>
      </w:pPr>
      <w:r>
        <w:rPr>
          <w:rFonts w:hint="eastAsia" w:ascii="宋体" w:hAnsi="宋体" w:cs="宋体"/>
          <w:color w:val="auto"/>
          <w:kern w:val="0"/>
          <w:sz w:val="24"/>
        </w:rPr>
        <w:t>备注：招标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仅需浏览磋商文件的供应商可点击“游客，浏览磋商文件”直接下载磋商文件浏览，如需参加项目投标，请供应商按上述要求获取磋商文件，如未在政采云系统内完成相关流程，采购组织机构将拒绝非报名供应商的磋商响应文件，引起的投标无效责任自负。</w:t>
      </w:r>
    </w:p>
    <w:p w14:paraId="6947E79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color w:val="auto"/>
          <w:kern w:val="0"/>
          <w:sz w:val="24"/>
        </w:rPr>
      </w:pPr>
      <w:r>
        <w:rPr>
          <w:rFonts w:hint="eastAsia" w:ascii="宋体" w:hAnsi="宋体" w:cs="Calibri Light"/>
          <w:b/>
          <w:color w:val="auto"/>
          <w:sz w:val="24"/>
        </w:rPr>
        <w:t>五、磋商</w:t>
      </w:r>
      <w:r>
        <w:rPr>
          <w:rFonts w:hint="eastAsia" w:ascii="宋体" w:hAnsi="宋体"/>
          <w:b/>
          <w:color w:val="auto"/>
          <w:kern w:val="0"/>
          <w:sz w:val="24"/>
        </w:rPr>
        <w:t>响应文件递交截止时间及磋商开始时间、地点：</w:t>
      </w:r>
    </w:p>
    <w:p w14:paraId="60B6905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color w:val="auto"/>
          <w:sz w:val="24"/>
        </w:rPr>
      </w:pPr>
      <w:r>
        <w:rPr>
          <w:rFonts w:hint="eastAsia" w:ascii="宋体" w:hAnsi="宋体" w:cs="仿宋"/>
          <w:color w:val="auto"/>
          <w:sz w:val="24"/>
        </w:rPr>
        <w:t>1、磋商响应文件递交截止时间及磋商开始时间：202</w:t>
      </w:r>
      <w:r>
        <w:rPr>
          <w:rFonts w:hint="eastAsia" w:ascii="宋体" w:hAnsi="宋体" w:cs="仿宋"/>
          <w:color w:val="auto"/>
          <w:sz w:val="24"/>
          <w:lang w:val="en-US" w:eastAsia="zh-CN"/>
        </w:rPr>
        <w:t>5</w:t>
      </w:r>
      <w:r>
        <w:rPr>
          <w:rFonts w:hint="eastAsia" w:ascii="宋体" w:hAnsi="宋体" w:cs="仿宋"/>
          <w:color w:val="auto"/>
          <w:sz w:val="24"/>
        </w:rPr>
        <w:t>年</w:t>
      </w:r>
      <w:r>
        <w:rPr>
          <w:rFonts w:hint="default" w:ascii="宋体" w:hAnsi="宋体" w:cs="仿宋"/>
          <w:color w:val="auto"/>
          <w:sz w:val="24"/>
          <w:lang w:val="en-US" w:eastAsia="zh-CN"/>
        </w:rPr>
        <w:t>7</w:t>
      </w:r>
      <w:r>
        <w:rPr>
          <w:rFonts w:hint="eastAsia" w:ascii="宋体" w:hAnsi="宋体" w:cs="仿宋"/>
          <w:color w:val="auto"/>
          <w:sz w:val="24"/>
        </w:rPr>
        <w:t>月</w:t>
      </w:r>
      <w:r>
        <w:rPr>
          <w:rFonts w:hint="default" w:ascii="宋体" w:hAnsi="宋体" w:cs="仿宋"/>
          <w:color w:val="auto"/>
          <w:sz w:val="24"/>
          <w:lang w:val="en-US"/>
        </w:rPr>
        <w:t>7</w:t>
      </w:r>
      <w:r>
        <w:rPr>
          <w:rFonts w:hint="eastAsia" w:ascii="宋体" w:hAnsi="宋体" w:cs="仿宋"/>
          <w:color w:val="auto"/>
          <w:sz w:val="24"/>
        </w:rPr>
        <w:t xml:space="preserve">日 </w:t>
      </w:r>
      <w:r>
        <w:rPr>
          <w:rFonts w:hint="default" w:ascii="宋体" w:hAnsi="宋体" w:cs="仿宋"/>
          <w:color w:val="auto"/>
          <w:sz w:val="24"/>
          <w:lang w:val="en-US"/>
        </w:rPr>
        <w:t>9</w:t>
      </w:r>
      <w:r>
        <w:rPr>
          <w:rFonts w:hint="eastAsia" w:ascii="宋体" w:hAnsi="宋体" w:cs="仿宋"/>
          <w:color w:val="auto"/>
          <w:sz w:val="24"/>
        </w:rPr>
        <w:t>：</w:t>
      </w:r>
      <w:r>
        <w:rPr>
          <w:rFonts w:hint="eastAsia" w:ascii="宋体" w:hAnsi="宋体" w:cs="仿宋"/>
          <w:color w:val="auto"/>
          <w:sz w:val="24"/>
          <w:lang w:val="en-US" w:eastAsia="zh-CN"/>
        </w:rPr>
        <w:t>0</w:t>
      </w:r>
      <w:r>
        <w:rPr>
          <w:rFonts w:hint="eastAsia" w:ascii="宋体" w:hAnsi="宋体" w:cs="仿宋"/>
          <w:color w:val="auto"/>
          <w:sz w:val="24"/>
        </w:rPr>
        <w:t>0。</w:t>
      </w:r>
    </w:p>
    <w:p w14:paraId="4804EBE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color w:val="auto"/>
          <w:sz w:val="24"/>
        </w:rPr>
      </w:pPr>
      <w:r>
        <w:rPr>
          <w:rFonts w:ascii="宋体" w:hAnsi="宋体" w:cs="仿宋"/>
          <w:color w:val="auto"/>
          <w:sz w:val="24"/>
        </w:rPr>
        <w:t>2</w:t>
      </w:r>
      <w:r>
        <w:rPr>
          <w:rFonts w:hint="eastAsia" w:ascii="宋体" w:hAnsi="宋体" w:cs="仿宋"/>
          <w:color w:val="auto"/>
          <w:sz w:val="24"/>
        </w:rPr>
        <w:t>、磋商响应文件提交：通过“政府采购云平台（www.zcygov.cn）”实行在线投标响应；</w:t>
      </w:r>
    </w:p>
    <w:p w14:paraId="7DD2913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2" w:firstLineChars="200"/>
        <w:jc w:val="left"/>
        <w:rPr>
          <w:rFonts w:ascii="宋体" w:hAnsi="宋体" w:cs="Calibri Light"/>
          <w:color w:val="auto"/>
          <w:kern w:val="0"/>
          <w:sz w:val="24"/>
        </w:rPr>
      </w:pPr>
      <w:r>
        <w:rPr>
          <w:rFonts w:hint="eastAsia" w:ascii="宋体" w:hAnsi="宋体" w:cs="Calibri Light"/>
          <w:b/>
          <w:bCs/>
          <w:color w:val="auto"/>
          <w:sz w:val="24"/>
        </w:rPr>
        <w:t>六、磋商保证金</w:t>
      </w:r>
      <w:r>
        <w:rPr>
          <w:rFonts w:hint="eastAsia" w:ascii="宋体" w:hAnsi="宋体" w:cs="Calibri Light"/>
          <w:b/>
          <w:color w:val="auto"/>
          <w:sz w:val="24"/>
        </w:rPr>
        <w:t>：</w:t>
      </w:r>
      <w:r>
        <w:rPr>
          <w:rFonts w:hint="eastAsia" w:ascii="宋体" w:hAnsi="宋体" w:cs="Calibri Light"/>
          <w:color w:val="auto"/>
          <w:kern w:val="0"/>
          <w:sz w:val="24"/>
        </w:rPr>
        <w:t xml:space="preserve"> </w:t>
      </w:r>
    </w:p>
    <w:p w14:paraId="1003172C">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无</w:t>
      </w:r>
    </w:p>
    <w:p w14:paraId="3618339D">
      <w:pPr>
        <w:snapToGrid w:val="0"/>
        <w:spacing w:line="360" w:lineRule="auto"/>
        <w:ind w:firstLine="482" w:firstLineChars="200"/>
        <w:rPr>
          <w:rFonts w:ascii="宋体" w:hAnsi="宋体" w:cs="仿宋"/>
          <w:b/>
          <w:bCs/>
          <w:color w:val="auto"/>
          <w:sz w:val="24"/>
        </w:rPr>
      </w:pPr>
      <w:r>
        <w:rPr>
          <w:rFonts w:hint="eastAsia" w:ascii="宋体" w:hAnsi="宋体" w:cs="仿宋"/>
          <w:b/>
          <w:bCs/>
          <w:color w:val="auto"/>
          <w:sz w:val="24"/>
        </w:rPr>
        <w:t>七、在线投标响应（电子投标）说明：</w:t>
      </w:r>
    </w:p>
    <w:p w14:paraId="6D9620E7">
      <w:pPr>
        <w:snapToGrid w:val="0"/>
        <w:spacing w:line="360" w:lineRule="auto"/>
        <w:ind w:firstLine="480" w:firstLineChars="200"/>
        <w:rPr>
          <w:rFonts w:ascii="宋体" w:hAnsi="宋体" w:cs="Calibri Light"/>
          <w:color w:val="auto"/>
          <w:kern w:val="0"/>
          <w:sz w:val="24"/>
          <w:lang w:bidi="ar"/>
        </w:rPr>
      </w:pPr>
      <w:r>
        <w:rPr>
          <w:rFonts w:hint="eastAsia" w:ascii="宋体" w:hAnsi="宋体" w:cs="Calibri Light"/>
          <w:color w:val="auto"/>
          <w:kern w:val="0"/>
          <w:sz w:val="24"/>
          <w:lang w:bidi="ar"/>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1D302C50">
      <w:pPr>
        <w:snapToGrid w:val="0"/>
        <w:spacing w:line="360" w:lineRule="auto"/>
        <w:ind w:firstLine="480" w:firstLineChars="200"/>
        <w:rPr>
          <w:rFonts w:ascii="宋体" w:hAnsi="宋体" w:cs="Calibri Light"/>
          <w:color w:val="auto"/>
          <w:kern w:val="0"/>
          <w:sz w:val="24"/>
          <w:lang w:bidi="ar"/>
        </w:rPr>
      </w:pPr>
      <w:r>
        <w:rPr>
          <w:rFonts w:hint="eastAsia" w:ascii="宋体" w:hAnsi="宋体" w:cs="Calibri Light"/>
          <w:color w:val="auto"/>
          <w:kern w:val="0"/>
          <w:sz w:val="24"/>
          <w:lang w:bidi="ar"/>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14:paraId="5C98225E">
      <w:pPr>
        <w:snapToGrid w:val="0"/>
        <w:spacing w:line="360" w:lineRule="auto"/>
        <w:ind w:firstLine="480" w:firstLineChars="200"/>
        <w:rPr>
          <w:rFonts w:ascii="宋体" w:hAnsi="宋体" w:cs="Calibri Light"/>
          <w:color w:val="auto"/>
          <w:kern w:val="0"/>
          <w:sz w:val="24"/>
          <w:lang w:bidi="ar"/>
        </w:rPr>
      </w:pPr>
      <w:r>
        <w:rPr>
          <w:rFonts w:hint="eastAsia" w:ascii="宋体" w:hAnsi="宋体" w:cs="Calibri Light"/>
          <w:color w:val="auto"/>
          <w:kern w:val="0"/>
          <w:sz w:val="24"/>
          <w:lang w:bidi="ar"/>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4F067949">
      <w:pPr>
        <w:snapToGrid w:val="0"/>
        <w:spacing w:line="360" w:lineRule="auto"/>
        <w:ind w:firstLine="480" w:firstLineChars="200"/>
        <w:rPr>
          <w:rFonts w:ascii="宋体" w:hAnsi="宋体" w:cs="Calibri Light"/>
          <w:color w:val="auto"/>
          <w:kern w:val="0"/>
          <w:sz w:val="24"/>
          <w:lang w:bidi="ar"/>
        </w:rPr>
      </w:pPr>
      <w:r>
        <w:rPr>
          <w:rFonts w:hint="eastAsia" w:ascii="宋体" w:hAnsi="宋体" w:cs="Calibri Light"/>
          <w:color w:val="auto"/>
          <w:kern w:val="0"/>
          <w:sz w:val="24"/>
          <w:lang w:bidi="ar"/>
        </w:rPr>
        <w:t>3、投标供应商应当在投标截止时间前，将生成的“电子加密投标文件”上传递交至“政府采购云平台”。投标截止时间以后上传递交的投标文件将被“政府采购云平台”拒收。</w:t>
      </w:r>
    </w:p>
    <w:p w14:paraId="0A6F1D13">
      <w:pPr>
        <w:snapToGrid w:val="0"/>
        <w:spacing w:line="360" w:lineRule="auto"/>
        <w:ind w:firstLine="480" w:firstLineChars="200"/>
        <w:rPr>
          <w:rFonts w:ascii="宋体" w:hAnsi="宋体" w:cs="Calibri Light"/>
          <w:color w:val="auto"/>
          <w:kern w:val="0"/>
          <w:sz w:val="24"/>
          <w:lang w:bidi="ar"/>
        </w:rPr>
      </w:pPr>
      <w:r>
        <w:rPr>
          <w:rFonts w:hint="eastAsia" w:ascii="宋体" w:hAnsi="宋体" w:cs="Calibri Light"/>
          <w:color w:val="auto"/>
          <w:kern w:val="0"/>
          <w:sz w:val="24"/>
          <w:lang w:bidi="ar"/>
        </w:rPr>
        <w:t>4、投标供应商在“政府采购云平台”完成“电子加密投标文件”的上传递交后，还可以（顺丰邮寄形式）在投标截止时间前递交以介质（U盘）存储的数据电文形式的“备份投标文件”，“备份投标文件”应当密封包装并在包装上标注投标项目名称、投标单位名称并加盖公章。</w:t>
      </w:r>
    </w:p>
    <w:p w14:paraId="11A0E1D2">
      <w:pPr>
        <w:snapToGrid w:val="0"/>
        <w:spacing w:line="360" w:lineRule="auto"/>
        <w:ind w:firstLine="480" w:firstLineChars="200"/>
        <w:rPr>
          <w:rFonts w:ascii="宋体" w:hAnsi="宋体" w:cs="Calibri Light"/>
          <w:color w:val="auto"/>
          <w:kern w:val="0"/>
          <w:sz w:val="24"/>
          <w:lang w:bidi="ar"/>
        </w:rPr>
      </w:pPr>
      <w:r>
        <w:rPr>
          <w:rFonts w:hint="eastAsia" w:ascii="宋体" w:hAnsi="宋体" w:cs="Calibri Light"/>
          <w:color w:val="auto"/>
          <w:kern w:val="0"/>
          <w:sz w:val="24"/>
          <w:lang w:bidi="ar"/>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AE4B375">
      <w:pPr>
        <w:snapToGrid w:val="0"/>
        <w:spacing w:line="360" w:lineRule="auto"/>
        <w:ind w:firstLine="482" w:firstLineChars="200"/>
        <w:jc w:val="left"/>
        <w:rPr>
          <w:rFonts w:ascii="宋体" w:hAnsi="宋体" w:cs="Calibri Light"/>
          <w:b/>
          <w:bCs/>
          <w:color w:val="auto"/>
          <w:sz w:val="24"/>
        </w:rPr>
      </w:pPr>
      <w:r>
        <w:rPr>
          <w:rFonts w:hint="eastAsia" w:ascii="宋体" w:hAnsi="宋体" w:cs="Calibri Light"/>
          <w:b/>
          <w:bCs/>
          <w:color w:val="auto"/>
          <w:sz w:val="24"/>
        </w:rPr>
        <w:t>八、</w:t>
      </w:r>
      <w:r>
        <w:rPr>
          <w:rFonts w:hint="eastAsia" w:ascii="宋体" w:hAnsi="宋体" w:cs="仿宋"/>
          <w:b/>
          <w:color w:val="auto"/>
          <w:sz w:val="24"/>
        </w:rPr>
        <w:t>相关注意事项</w:t>
      </w:r>
      <w:r>
        <w:rPr>
          <w:rFonts w:hint="eastAsia" w:ascii="宋体" w:hAnsi="宋体" w:cs="仿宋"/>
          <w:color w:val="auto"/>
          <w:sz w:val="24"/>
        </w:rPr>
        <w:t>：</w:t>
      </w:r>
    </w:p>
    <w:p w14:paraId="4FCBF9CD">
      <w:pPr>
        <w:snapToGrid w:val="0"/>
        <w:spacing w:line="360" w:lineRule="auto"/>
        <w:ind w:firstLine="480" w:firstLineChars="200"/>
        <w:rPr>
          <w:rFonts w:ascii="宋体" w:hAnsi="宋体" w:cs="Calibri Light"/>
          <w:color w:val="auto"/>
          <w:kern w:val="0"/>
          <w:sz w:val="24"/>
        </w:rPr>
      </w:pPr>
      <w:r>
        <w:rPr>
          <w:rFonts w:hint="eastAsia" w:ascii="宋体" w:hAnsi="宋体" w:cs="Calibri Light"/>
          <w:color w:val="auto"/>
          <w:sz w:val="24"/>
        </w:rPr>
        <w:t>1、</w:t>
      </w:r>
      <w:r>
        <w:rPr>
          <w:rFonts w:hint="eastAsia" w:ascii="宋体" w:hAnsi="宋体" w:cs="Calibri Light"/>
          <w:color w:val="auto"/>
          <w:kern w:val="0"/>
          <w:sz w:val="24"/>
        </w:rPr>
        <w:t>供应商认为采购文件使自己的权益受到损害的，可以自收到采购文件之日（获取截止日之后收到采购文件的，以获取截止</w:t>
      </w:r>
      <w:r>
        <w:rPr>
          <w:rFonts w:hint="eastAsia" w:ascii="宋体" w:hAnsi="宋体" w:cs="Calibri Light"/>
          <w:color w:val="auto"/>
          <w:sz w:val="24"/>
        </w:rPr>
        <w:t>采购代理机构</w:t>
      </w:r>
      <w:r>
        <w:rPr>
          <w:rFonts w:hint="eastAsia" w:ascii="宋体" w:hAnsi="宋体" w:cs="Calibri Light"/>
          <w:color w:val="auto"/>
          <w:kern w:val="0"/>
          <w:sz w:val="24"/>
        </w:rPr>
        <w:t>日为准）起至采购响应截止时间之前，以书面形式一次性向采购人和提出同一环节的质疑。否则，被质疑人可不予接受。质疑供应商对采购人、</w:t>
      </w:r>
      <w:r>
        <w:rPr>
          <w:rFonts w:hint="eastAsia" w:ascii="宋体" w:hAnsi="宋体" w:cs="Calibri Light"/>
          <w:color w:val="auto"/>
          <w:sz w:val="24"/>
        </w:rPr>
        <w:t>采购代理机构</w:t>
      </w:r>
      <w:r>
        <w:rPr>
          <w:rFonts w:hint="eastAsia" w:ascii="宋体" w:hAnsi="宋体" w:cs="Calibri Light"/>
          <w:color w:val="auto"/>
          <w:kern w:val="0"/>
          <w:sz w:val="24"/>
        </w:rPr>
        <w:t>的答复不满意或者采购人、</w:t>
      </w:r>
      <w:r>
        <w:rPr>
          <w:rFonts w:hint="eastAsia" w:ascii="宋体" w:hAnsi="宋体" w:cs="Calibri Light"/>
          <w:color w:val="auto"/>
          <w:sz w:val="24"/>
        </w:rPr>
        <w:t>采购代理机构</w:t>
      </w:r>
      <w:r>
        <w:rPr>
          <w:rFonts w:hint="eastAsia" w:ascii="宋体" w:hAnsi="宋体" w:cs="Calibri Light"/>
          <w:color w:val="auto"/>
          <w:kern w:val="0"/>
          <w:sz w:val="24"/>
        </w:rPr>
        <w:t>未在规定的时间内作出答复的，可以在答复期满后十五个工作日内向同级政府采购监督管理部门投诉。</w:t>
      </w:r>
    </w:p>
    <w:p w14:paraId="56A6E1C4">
      <w:pPr>
        <w:snapToGrid w:val="0"/>
        <w:spacing w:line="360" w:lineRule="auto"/>
        <w:ind w:firstLine="480" w:firstLineChars="200"/>
        <w:rPr>
          <w:rFonts w:ascii="宋体" w:hAnsi="宋体" w:cs="Calibri Light"/>
          <w:color w:val="auto"/>
          <w:kern w:val="0"/>
          <w:sz w:val="24"/>
          <w:lang w:eastAsia="zh-Hans"/>
        </w:rPr>
      </w:pPr>
      <w:r>
        <w:rPr>
          <w:rFonts w:hint="eastAsia" w:ascii="宋体" w:hAnsi="宋体" w:cs="Calibri Light"/>
          <w:color w:val="auto"/>
          <w:kern w:val="0"/>
          <w:sz w:val="24"/>
        </w:rPr>
        <w:t>招标</w:t>
      </w:r>
      <w:r>
        <w:rPr>
          <w:rFonts w:ascii="宋体" w:hAnsi="宋体" w:cs="Calibri Light"/>
          <w:color w:val="auto"/>
          <w:kern w:val="0"/>
          <w:sz w:val="24"/>
        </w:rPr>
        <w:t>代理机构</w:t>
      </w:r>
      <w:r>
        <w:rPr>
          <w:rFonts w:hint="eastAsia" w:ascii="宋体" w:hAnsi="宋体" w:cs="Calibri Light"/>
          <w:color w:val="auto"/>
          <w:kern w:val="0"/>
          <w:sz w:val="24"/>
        </w:rPr>
        <w:t>书面质疑接收人：</w:t>
      </w:r>
      <w:r>
        <w:rPr>
          <w:rFonts w:hint="eastAsia" w:ascii="宋体" w:hAnsi="宋体" w:cs="Calibri Light"/>
          <w:color w:val="auto"/>
          <w:kern w:val="0"/>
          <w:sz w:val="24"/>
          <w:lang w:eastAsia="zh-Hans"/>
        </w:rPr>
        <w:t>徐少媚</w:t>
      </w:r>
    </w:p>
    <w:p w14:paraId="74117915">
      <w:pPr>
        <w:snapToGrid w:val="0"/>
        <w:spacing w:line="360" w:lineRule="auto"/>
        <w:ind w:firstLine="480" w:firstLineChars="200"/>
        <w:rPr>
          <w:rFonts w:ascii="宋体" w:hAnsi="宋体" w:cs="Calibri Light"/>
          <w:color w:val="auto"/>
          <w:kern w:val="0"/>
          <w:sz w:val="24"/>
        </w:rPr>
      </w:pPr>
      <w:r>
        <w:rPr>
          <w:rFonts w:hint="eastAsia" w:ascii="宋体" w:hAnsi="宋体" w:cs="Calibri Light"/>
          <w:color w:val="auto"/>
          <w:kern w:val="0"/>
          <w:sz w:val="24"/>
        </w:rPr>
        <w:t>联系电话：</w:t>
      </w:r>
      <w:r>
        <w:rPr>
          <w:rFonts w:ascii="宋体" w:hAnsi="宋体" w:cs="Calibri Light"/>
          <w:color w:val="auto"/>
          <w:kern w:val="0"/>
          <w:sz w:val="24"/>
        </w:rPr>
        <w:t>0576-88785265</w:t>
      </w:r>
    </w:p>
    <w:p w14:paraId="4F08B2B4">
      <w:pPr>
        <w:snapToGrid w:val="0"/>
        <w:spacing w:line="360" w:lineRule="auto"/>
        <w:ind w:firstLine="480" w:firstLineChars="200"/>
        <w:rPr>
          <w:rFonts w:ascii="宋体" w:hAnsi="宋体" w:cs="Calibri Light"/>
          <w:color w:val="auto"/>
          <w:kern w:val="0"/>
          <w:sz w:val="24"/>
          <w:lang w:eastAsia="zh-Hans"/>
        </w:rPr>
      </w:pPr>
      <w:r>
        <w:rPr>
          <w:rFonts w:hint="eastAsia" w:ascii="宋体" w:hAnsi="宋体" w:cs="Calibri Light"/>
          <w:color w:val="auto"/>
          <w:kern w:val="0"/>
          <w:sz w:val="24"/>
        </w:rPr>
        <w:t>书面质疑接收地址：浙江省台州市椒江区</w:t>
      </w:r>
      <w:r>
        <w:rPr>
          <w:rFonts w:hint="eastAsia" w:ascii="宋体" w:hAnsi="宋体" w:cs="Calibri Light"/>
          <w:color w:val="auto"/>
          <w:kern w:val="0"/>
          <w:sz w:val="24"/>
          <w:lang w:eastAsia="zh-Hans"/>
        </w:rPr>
        <w:t>东环大道</w:t>
      </w:r>
      <w:r>
        <w:rPr>
          <w:rFonts w:ascii="宋体" w:hAnsi="宋体" w:cs="Calibri Light"/>
          <w:color w:val="auto"/>
          <w:kern w:val="0"/>
          <w:sz w:val="24"/>
          <w:lang w:eastAsia="zh-Hans"/>
        </w:rPr>
        <w:t>576</w:t>
      </w:r>
      <w:r>
        <w:rPr>
          <w:rFonts w:hint="eastAsia" w:ascii="宋体" w:hAnsi="宋体" w:cs="Calibri Light"/>
          <w:color w:val="auto"/>
          <w:kern w:val="0"/>
          <w:sz w:val="24"/>
          <w:lang w:eastAsia="zh-Hans"/>
        </w:rPr>
        <w:t>号二楼</w:t>
      </w:r>
    </w:p>
    <w:p w14:paraId="67DD4F7D">
      <w:pPr>
        <w:snapToGrid w:val="0"/>
        <w:spacing w:line="360" w:lineRule="auto"/>
        <w:ind w:firstLine="480" w:firstLineChars="200"/>
        <w:rPr>
          <w:rFonts w:ascii="宋体" w:hAnsi="宋体" w:cs="Calibri Light"/>
          <w:color w:val="auto"/>
          <w:kern w:val="0"/>
          <w:sz w:val="24"/>
        </w:rPr>
      </w:pPr>
      <w:r>
        <w:rPr>
          <w:rFonts w:hint="eastAsia" w:ascii="宋体" w:hAnsi="宋体" w:cs="Calibri Light"/>
          <w:color w:val="auto"/>
          <w:kern w:val="0"/>
          <w:sz w:val="24"/>
        </w:rPr>
        <w:t>采购人</w:t>
      </w:r>
      <w:r>
        <w:rPr>
          <w:rFonts w:ascii="宋体" w:hAnsi="宋体" w:cs="Calibri Light"/>
          <w:color w:val="auto"/>
          <w:kern w:val="0"/>
          <w:sz w:val="24"/>
        </w:rPr>
        <w:t>书面质疑接收人：</w:t>
      </w:r>
      <w:r>
        <w:rPr>
          <w:rFonts w:hint="eastAsia" w:ascii="宋体" w:hAnsi="宋体" w:cs="宋体"/>
          <w:color w:val="auto"/>
          <w:sz w:val="24"/>
        </w:rPr>
        <w:t>沈老师</w:t>
      </w:r>
    </w:p>
    <w:p w14:paraId="4F0EAAF3">
      <w:pPr>
        <w:snapToGrid w:val="0"/>
        <w:spacing w:line="360" w:lineRule="auto"/>
        <w:ind w:firstLine="480" w:firstLineChars="200"/>
        <w:rPr>
          <w:rFonts w:ascii="宋体" w:hAnsi="宋体" w:cs="Calibri Light"/>
          <w:color w:val="auto"/>
          <w:kern w:val="0"/>
          <w:sz w:val="24"/>
        </w:rPr>
      </w:pPr>
      <w:r>
        <w:rPr>
          <w:rFonts w:hint="eastAsia" w:ascii="宋体" w:hAnsi="宋体" w:cs="Calibri Light"/>
          <w:color w:val="auto"/>
          <w:kern w:val="0"/>
          <w:sz w:val="24"/>
        </w:rPr>
        <w:t>联系电话：</w:t>
      </w:r>
      <w:r>
        <w:rPr>
          <w:rFonts w:hint="eastAsia" w:ascii="宋体" w:hAnsi="宋体" w:cs="宋体"/>
          <w:color w:val="auto"/>
          <w:sz w:val="24"/>
        </w:rPr>
        <w:t>0576-88665130</w:t>
      </w:r>
    </w:p>
    <w:p w14:paraId="5D5C7C90">
      <w:pPr>
        <w:spacing w:line="360" w:lineRule="auto"/>
        <w:ind w:firstLine="480" w:firstLineChars="200"/>
        <w:rPr>
          <w:rFonts w:ascii="宋体" w:hAnsi="宋体" w:cs="宋体"/>
          <w:color w:val="auto"/>
          <w:sz w:val="24"/>
        </w:rPr>
      </w:pPr>
      <w:r>
        <w:rPr>
          <w:rFonts w:hint="eastAsia" w:ascii="宋体" w:hAnsi="宋体" w:cs="Calibri Light"/>
          <w:color w:val="auto"/>
          <w:kern w:val="0"/>
          <w:sz w:val="24"/>
        </w:rPr>
        <w:t>书面质疑接收地址：</w:t>
      </w:r>
      <w:r>
        <w:rPr>
          <w:rFonts w:hint="eastAsia" w:ascii="宋体" w:hAnsi="宋体" w:cs="宋体"/>
          <w:color w:val="auto"/>
          <w:sz w:val="24"/>
        </w:rPr>
        <w:t>浙江省台州市经济开发区学院路788号</w:t>
      </w:r>
    </w:p>
    <w:p w14:paraId="130280D4">
      <w:pPr>
        <w:spacing w:line="360" w:lineRule="auto"/>
        <w:ind w:firstLine="482" w:firstLineChars="200"/>
        <w:rPr>
          <w:rFonts w:ascii="宋体" w:hAnsi="宋体" w:cs="仿宋"/>
          <w:b/>
          <w:color w:val="auto"/>
          <w:sz w:val="24"/>
        </w:rPr>
      </w:pPr>
      <w:r>
        <w:rPr>
          <w:rFonts w:hint="eastAsia" w:ascii="宋体" w:hAnsi="宋体" w:cs="仿宋"/>
          <w:b/>
          <w:bCs/>
          <w:color w:val="auto"/>
          <w:sz w:val="24"/>
        </w:rPr>
        <w:t>九、</w:t>
      </w:r>
      <w:r>
        <w:rPr>
          <w:rFonts w:ascii="宋体" w:hAnsi="宋体" w:cs="仿宋"/>
          <w:b/>
          <w:color w:val="auto"/>
          <w:sz w:val="24"/>
        </w:rPr>
        <w:t xml:space="preserve">联系方式： </w:t>
      </w:r>
    </w:p>
    <w:bookmarkEnd w:id="0"/>
    <w:p w14:paraId="0296D013">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1、采购代理机构：</w:t>
      </w:r>
      <w:r>
        <w:rPr>
          <w:rFonts w:hint="eastAsia" w:ascii="宋体" w:hAnsi="宋体" w:cs="宋体"/>
          <w:color w:val="auto"/>
          <w:sz w:val="24"/>
          <w:szCs w:val="32"/>
        </w:rPr>
        <w:t>浙江五石中正工程咨询有限公司；</w:t>
      </w:r>
    </w:p>
    <w:p w14:paraId="4571F86A">
      <w:pPr>
        <w:spacing w:line="360" w:lineRule="auto"/>
        <w:ind w:firstLine="480" w:firstLineChars="200"/>
        <w:rPr>
          <w:rFonts w:ascii="宋体" w:hAnsi="宋体" w:cs="宋体"/>
          <w:color w:val="auto"/>
          <w:sz w:val="24"/>
        </w:rPr>
      </w:pPr>
      <w:r>
        <w:rPr>
          <w:rFonts w:hint="eastAsia" w:ascii="宋体" w:hAnsi="宋体" w:cs="宋体"/>
          <w:color w:val="auto"/>
          <w:sz w:val="24"/>
        </w:rPr>
        <w:t>项目联系人：潘先生；联系电话：</w:t>
      </w:r>
      <w:r>
        <w:rPr>
          <w:rFonts w:ascii="宋体" w:hAnsi="宋体" w:cs="宋体"/>
          <w:color w:val="auto"/>
          <w:sz w:val="24"/>
        </w:rPr>
        <w:t>13616507339</w:t>
      </w:r>
      <w:r>
        <w:rPr>
          <w:rFonts w:hint="eastAsia" w:ascii="宋体" w:hAnsi="宋体" w:cs="宋体"/>
          <w:color w:val="auto"/>
          <w:sz w:val="24"/>
        </w:rPr>
        <w:t>；</w:t>
      </w:r>
    </w:p>
    <w:p w14:paraId="7722E00C">
      <w:pPr>
        <w:spacing w:line="360" w:lineRule="auto"/>
        <w:ind w:firstLine="480" w:firstLineChars="200"/>
        <w:rPr>
          <w:rFonts w:ascii="宋体" w:hAnsi="宋体" w:cs="宋体"/>
          <w:color w:val="auto"/>
          <w:sz w:val="24"/>
        </w:rPr>
      </w:pPr>
      <w:r>
        <w:rPr>
          <w:rFonts w:hint="eastAsia" w:ascii="宋体" w:hAnsi="宋体" w:cs="宋体"/>
          <w:color w:val="auto"/>
          <w:sz w:val="24"/>
        </w:rPr>
        <w:t>报名联系人：高女士；联系电话：0571-85334203；</w:t>
      </w:r>
    </w:p>
    <w:p w14:paraId="4A2F5F0D">
      <w:pPr>
        <w:spacing w:line="360" w:lineRule="auto"/>
        <w:ind w:firstLine="480" w:firstLineChars="200"/>
        <w:rPr>
          <w:rFonts w:ascii="宋体" w:hAnsi="宋体" w:cs="宋体"/>
          <w:color w:val="auto"/>
          <w:sz w:val="24"/>
        </w:rPr>
      </w:pPr>
      <w:r>
        <w:rPr>
          <w:rFonts w:hint="eastAsia" w:ascii="宋体" w:hAnsi="宋体" w:cs="宋体"/>
          <w:color w:val="auto"/>
          <w:sz w:val="24"/>
        </w:rPr>
        <w:t>地址：杭州市拱墅区白石路318号中国（杭州）人力资源服务产业园北楼512室；</w:t>
      </w:r>
    </w:p>
    <w:p w14:paraId="4254AD5D">
      <w:pPr>
        <w:spacing w:line="360" w:lineRule="auto"/>
        <w:ind w:firstLine="480" w:firstLineChars="200"/>
        <w:rPr>
          <w:rFonts w:ascii="宋体" w:hAnsi="宋体" w:cs="宋体"/>
          <w:color w:val="auto"/>
          <w:sz w:val="24"/>
        </w:rPr>
      </w:pPr>
      <w:r>
        <w:rPr>
          <w:rFonts w:hint="eastAsia" w:ascii="宋体" w:hAnsi="宋体" w:cs="宋体"/>
          <w:color w:val="auto"/>
          <w:sz w:val="24"/>
        </w:rPr>
        <w:t>接收供应商质疑联系人：</w:t>
      </w:r>
      <w:r>
        <w:rPr>
          <w:rFonts w:hint="eastAsia" w:ascii="宋体" w:hAnsi="宋体" w:cs="宋体"/>
          <w:color w:val="auto"/>
          <w:sz w:val="24"/>
          <w:lang w:eastAsia="zh-Hans"/>
        </w:rPr>
        <w:t>徐少媚</w:t>
      </w:r>
      <w:r>
        <w:rPr>
          <w:rFonts w:hint="eastAsia" w:ascii="宋体" w:hAnsi="宋体" w:cs="宋体"/>
          <w:color w:val="auto"/>
          <w:sz w:val="24"/>
        </w:rPr>
        <w:t>；联系电话：0576-88785265。</w:t>
      </w:r>
    </w:p>
    <w:p w14:paraId="1171F0DD">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2、采购人：</w:t>
      </w:r>
    </w:p>
    <w:p w14:paraId="797CEEC3">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采购人名称：台州职业技术学院</w:t>
      </w:r>
    </w:p>
    <w:p w14:paraId="57124E79">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联系人：蒋老师；联系电话：0576-88665150；</w:t>
      </w:r>
    </w:p>
    <w:p w14:paraId="09EF5355">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质疑接收人：沈老师；联系方式：0576-88665130；</w:t>
      </w:r>
    </w:p>
    <w:p w14:paraId="6F6219E1">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地址：浙江省台州市经济开发区学院路788号。</w:t>
      </w:r>
    </w:p>
    <w:p w14:paraId="65E85FA5">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3、同级政府采购监管管理部门：</w:t>
      </w:r>
      <w:r>
        <w:rPr>
          <w:rFonts w:hint="eastAsia" w:ascii="宋体" w:hAnsi="宋体" w:cs="宋体"/>
          <w:color w:val="auto"/>
          <w:sz w:val="24"/>
          <w:szCs w:val="32"/>
        </w:rPr>
        <w:t>台州市财政局政府采购监督管理办公室；</w:t>
      </w:r>
    </w:p>
    <w:p w14:paraId="0FB3DB41">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联系人：陈工；监督投诉电话：0576-88206705；</w:t>
      </w:r>
    </w:p>
    <w:p w14:paraId="00932904">
      <w:pPr>
        <w:pStyle w:val="27"/>
        <w:ind w:left="0" w:leftChars="0" w:firstLine="480"/>
        <w:rPr>
          <w:rFonts w:ascii="宋体" w:hAnsi="宋体" w:cs="宋体"/>
          <w:color w:val="auto"/>
          <w:sz w:val="24"/>
          <w:szCs w:val="32"/>
          <w:lang w:eastAsia="zh-Hans"/>
        </w:rPr>
      </w:pPr>
      <w:r>
        <w:rPr>
          <w:rFonts w:hint="eastAsia" w:ascii="宋体" w:hAnsi="宋体" w:cs="宋体"/>
          <w:color w:val="auto"/>
          <w:sz w:val="24"/>
          <w:szCs w:val="32"/>
        </w:rPr>
        <w:t>联系人：</w:t>
      </w:r>
      <w:r>
        <w:rPr>
          <w:rFonts w:hint="eastAsia" w:ascii="宋体" w:hAnsi="宋体" w:cs="宋体"/>
          <w:color w:val="auto"/>
          <w:sz w:val="24"/>
          <w:szCs w:val="32"/>
          <w:lang w:eastAsia="zh-Hans"/>
        </w:rPr>
        <w:t>李工</w:t>
      </w:r>
      <w:r>
        <w:rPr>
          <w:rFonts w:hint="eastAsia" w:ascii="宋体" w:hAnsi="宋体" w:cs="宋体"/>
          <w:color w:val="auto"/>
          <w:sz w:val="24"/>
          <w:szCs w:val="32"/>
        </w:rPr>
        <w:t>；监督投诉电话：0576-882067</w:t>
      </w:r>
      <w:r>
        <w:rPr>
          <w:rFonts w:ascii="宋体" w:hAnsi="宋体" w:cs="宋体"/>
          <w:color w:val="auto"/>
          <w:sz w:val="24"/>
          <w:szCs w:val="32"/>
        </w:rPr>
        <w:t>31</w:t>
      </w:r>
      <w:r>
        <w:rPr>
          <w:rFonts w:hint="eastAsia" w:ascii="宋体" w:hAnsi="宋体" w:cs="宋体"/>
          <w:color w:val="auto"/>
          <w:sz w:val="24"/>
          <w:szCs w:val="32"/>
        </w:rPr>
        <w:t>；</w:t>
      </w:r>
    </w:p>
    <w:p w14:paraId="0E9B9491">
      <w:pPr>
        <w:pStyle w:val="27"/>
        <w:ind w:left="0" w:leftChars="0" w:firstLine="480"/>
        <w:rPr>
          <w:rFonts w:ascii="宋体" w:hAnsi="宋体" w:cs="宋体"/>
          <w:color w:val="auto"/>
        </w:rPr>
      </w:pPr>
      <w:r>
        <w:rPr>
          <w:rFonts w:hint="eastAsia" w:ascii="宋体" w:hAnsi="宋体" w:cs="宋体"/>
          <w:color w:val="auto"/>
          <w:sz w:val="24"/>
          <w:szCs w:val="32"/>
        </w:rPr>
        <w:t>地址：台州市椒江区纬一路66号天元大厦。</w:t>
      </w:r>
    </w:p>
    <w:p w14:paraId="1942FD05">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4、其余事项：</w:t>
      </w:r>
      <w:r>
        <w:rPr>
          <w:rFonts w:hint="eastAsia" w:ascii="宋体" w:hAnsi="宋体" w:cs="宋体"/>
          <w:color w:val="auto"/>
          <w:sz w:val="24"/>
          <w:szCs w:val="32"/>
        </w:rPr>
        <w:t>中标供应商如有融资需求，可使用以下银行的政采贷服务。</w:t>
      </w:r>
    </w:p>
    <w:tbl>
      <w:tblPr>
        <w:tblStyle w:val="28"/>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14:paraId="57E0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5E171566">
            <w:pPr>
              <w:jc w:val="center"/>
              <w:rPr>
                <w:rFonts w:ascii="宋体" w:hAnsi="宋体" w:cs="宋体"/>
                <w:color w:val="auto"/>
                <w:sz w:val="24"/>
              </w:rPr>
            </w:pPr>
            <w:r>
              <w:rPr>
                <w:rFonts w:hint="eastAsia" w:ascii="宋体" w:hAnsi="宋体" w:cs="宋体"/>
                <w:color w:val="auto"/>
                <w:sz w:val="24"/>
              </w:rPr>
              <w:t>银行</w:t>
            </w:r>
          </w:p>
        </w:tc>
        <w:tc>
          <w:tcPr>
            <w:tcW w:w="1579" w:type="dxa"/>
            <w:vAlign w:val="center"/>
          </w:tcPr>
          <w:p w14:paraId="7715F4C8">
            <w:pPr>
              <w:jc w:val="center"/>
              <w:rPr>
                <w:rFonts w:ascii="宋体" w:hAnsi="宋体" w:cs="宋体"/>
                <w:color w:val="auto"/>
                <w:sz w:val="24"/>
              </w:rPr>
            </w:pPr>
            <w:r>
              <w:rPr>
                <w:rFonts w:hint="eastAsia" w:ascii="宋体" w:hAnsi="宋体" w:cs="宋体"/>
                <w:color w:val="auto"/>
                <w:sz w:val="24"/>
              </w:rPr>
              <w:t>贷款年利率</w:t>
            </w:r>
          </w:p>
        </w:tc>
        <w:tc>
          <w:tcPr>
            <w:tcW w:w="1821" w:type="dxa"/>
            <w:vAlign w:val="center"/>
          </w:tcPr>
          <w:p w14:paraId="53BF6BD2">
            <w:pPr>
              <w:jc w:val="center"/>
              <w:rPr>
                <w:rFonts w:ascii="宋体" w:hAnsi="宋体" w:cs="宋体"/>
                <w:color w:val="auto"/>
                <w:sz w:val="24"/>
              </w:rPr>
            </w:pPr>
            <w:r>
              <w:rPr>
                <w:rFonts w:hint="eastAsia" w:ascii="宋体" w:hAnsi="宋体" w:cs="宋体"/>
                <w:color w:val="auto"/>
                <w:sz w:val="24"/>
              </w:rPr>
              <w:t>联系人</w:t>
            </w:r>
          </w:p>
        </w:tc>
        <w:tc>
          <w:tcPr>
            <w:tcW w:w="2303" w:type="dxa"/>
            <w:vAlign w:val="center"/>
          </w:tcPr>
          <w:p w14:paraId="6C3D8545">
            <w:pPr>
              <w:jc w:val="center"/>
              <w:rPr>
                <w:rFonts w:ascii="宋体" w:hAnsi="宋体" w:cs="宋体"/>
                <w:color w:val="auto"/>
                <w:sz w:val="24"/>
              </w:rPr>
            </w:pPr>
            <w:r>
              <w:rPr>
                <w:rFonts w:hint="eastAsia" w:ascii="宋体" w:hAnsi="宋体" w:cs="宋体"/>
                <w:color w:val="auto"/>
                <w:sz w:val="24"/>
              </w:rPr>
              <w:t>联系电话</w:t>
            </w:r>
          </w:p>
        </w:tc>
      </w:tr>
      <w:tr w14:paraId="11EA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14:paraId="2CE71903">
            <w:pPr>
              <w:jc w:val="center"/>
              <w:rPr>
                <w:rFonts w:ascii="宋体" w:hAnsi="宋体" w:cs="宋体"/>
                <w:color w:val="auto"/>
                <w:sz w:val="24"/>
              </w:rPr>
            </w:pPr>
            <w:r>
              <w:rPr>
                <w:rFonts w:hint="eastAsia" w:ascii="宋体" w:hAnsi="宋体" w:cs="宋体"/>
                <w:color w:val="auto"/>
                <w:sz w:val="24"/>
              </w:rPr>
              <w:t>中国工商银行</w:t>
            </w:r>
          </w:p>
        </w:tc>
        <w:tc>
          <w:tcPr>
            <w:tcW w:w="1579" w:type="dxa"/>
            <w:vAlign w:val="center"/>
          </w:tcPr>
          <w:p w14:paraId="1DCD2F0B">
            <w:pPr>
              <w:jc w:val="center"/>
              <w:rPr>
                <w:rFonts w:ascii="宋体" w:hAnsi="宋体" w:cs="宋体"/>
                <w:color w:val="auto"/>
                <w:sz w:val="24"/>
              </w:rPr>
            </w:pPr>
            <w:r>
              <w:rPr>
                <w:rFonts w:hint="eastAsia" w:ascii="宋体" w:hAnsi="宋体" w:cs="宋体"/>
                <w:color w:val="auto"/>
                <w:sz w:val="24"/>
              </w:rPr>
              <w:t>3.8%起</w:t>
            </w:r>
          </w:p>
        </w:tc>
        <w:tc>
          <w:tcPr>
            <w:tcW w:w="1821" w:type="dxa"/>
            <w:vAlign w:val="center"/>
          </w:tcPr>
          <w:p w14:paraId="62654531">
            <w:pPr>
              <w:jc w:val="center"/>
              <w:rPr>
                <w:rFonts w:ascii="宋体" w:hAnsi="宋体" w:cs="宋体"/>
                <w:color w:val="auto"/>
                <w:sz w:val="24"/>
              </w:rPr>
            </w:pPr>
            <w:r>
              <w:rPr>
                <w:rFonts w:hint="eastAsia"/>
                <w:color w:val="auto"/>
              </w:rPr>
              <w:t>卢嘉诚</w:t>
            </w:r>
          </w:p>
        </w:tc>
        <w:tc>
          <w:tcPr>
            <w:tcW w:w="2303" w:type="dxa"/>
            <w:vAlign w:val="center"/>
          </w:tcPr>
          <w:p w14:paraId="37D0FED7">
            <w:pPr>
              <w:jc w:val="center"/>
              <w:rPr>
                <w:rFonts w:ascii="宋体" w:hAnsi="宋体" w:cs="宋体"/>
                <w:color w:val="auto"/>
                <w:sz w:val="24"/>
              </w:rPr>
            </w:pPr>
            <w:r>
              <w:rPr>
                <w:rFonts w:hint="eastAsia"/>
                <w:color w:val="auto"/>
              </w:rPr>
              <w:t>13867658508</w:t>
            </w:r>
          </w:p>
        </w:tc>
      </w:tr>
      <w:tr w14:paraId="2EBE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673A6A32">
            <w:pPr>
              <w:jc w:val="center"/>
              <w:rPr>
                <w:rFonts w:ascii="宋体" w:hAnsi="宋体" w:cs="宋体"/>
                <w:color w:val="auto"/>
                <w:sz w:val="24"/>
              </w:rPr>
            </w:pPr>
            <w:r>
              <w:rPr>
                <w:rFonts w:hint="eastAsia" w:ascii="宋体" w:hAnsi="宋体" w:cs="宋体"/>
                <w:color w:val="auto"/>
                <w:sz w:val="24"/>
              </w:rPr>
              <w:t>中国农业银行</w:t>
            </w:r>
          </w:p>
        </w:tc>
        <w:tc>
          <w:tcPr>
            <w:tcW w:w="1579" w:type="dxa"/>
            <w:vAlign w:val="center"/>
          </w:tcPr>
          <w:p w14:paraId="009AD229">
            <w:pPr>
              <w:jc w:val="center"/>
              <w:rPr>
                <w:rFonts w:ascii="宋体" w:hAnsi="宋体" w:cs="宋体"/>
                <w:color w:val="auto"/>
                <w:sz w:val="24"/>
              </w:rPr>
            </w:pPr>
            <w:r>
              <w:rPr>
                <w:rFonts w:hint="eastAsia" w:ascii="宋体" w:hAnsi="宋体" w:cs="宋体"/>
                <w:color w:val="auto"/>
                <w:sz w:val="24"/>
              </w:rPr>
              <w:t>3.8%起</w:t>
            </w:r>
          </w:p>
        </w:tc>
        <w:tc>
          <w:tcPr>
            <w:tcW w:w="1821" w:type="dxa"/>
            <w:vAlign w:val="center"/>
          </w:tcPr>
          <w:p w14:paraId="3078039B">
            <w:pPr>
              <w:jc w:val="center"/>
              <w:rPr>
                <w:rFonts w:ascii="宋体" w:hAnsi="宋体" w:cs="宋体"/>
                <w:color w:val="auto"/>
                <w:sz w:val="24"/>
              </w:rPr>
            </w:pPr>
            <w:r>
              <w:rPr>
                <w:rFonts w:hint="eastAsia" w:ascii="宋体" w:hAnsi="宋体" w:cs="宋体"/>
                <w:color w:val="auto"/>
                <w:sz w:val="24"/>
              </w:rPr>
              <w:t>龚盛</w:t>
            </w:r>
          </w:p>
        </w:tc>
        <w:tc>
          <w:tcPr>
            <w:tcW w:w="2303" w:type="dxa"/>
            <w:vAlign w:val="center"/>
          </w:tcPr>
          <w:p w14:paraId="0CEF5BC7">
            <w:pPr>
              <w:jc w:val="center"/>
              <w:rPr>
                <w:rFonts w:ascii="宋体" w:hAnsi="宋体" w:cs="宋体"/>
                <w:color w:val="auto"/>
                <w:sz w:val="24"/>
              </w:rPr>
            </w:pPr>
            <w:r>
              <w:rPr>
                <w:rFonts w:hint="eastAsia" w:ascii="宋体" w:hAnsi="宋体" w:cs="宋体"/>
                <w:color w:val="auto"/>
                <w:sz w:val="24"/>
              </w:rPr>
              <w:t>15858682216</w:t>
            </w:r>
          </w:p>
        </w:tc>
      </w:tr>
      <w:tr w14:paraId="5544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14:paraId="2B1AAEE2">
            <w:pPr>
              <w:jc w:val="center"/>
              <w:rPr>
                <w:rFonts w:ascii="宋体" w:hAnsi="宋体" w:cs="宋体"/>
                <w:color w:val="auto"/>
                <w:sz w:val="24"/>
              </w:rPr>
            </w:pPr>
            <w:r>
              <w:rPr>
                <w:rFonts w:hint="eastAsia" w:ascii="宋体" w:hAnsi="宋体" w:cs="宋体"/>
                <w:color w:val="auto"/>
                <w:sz w:val="24"/>
              </w:rPr>
              <w:t>中国建设银行</w:t>
            </w:r>
          </w:p>
        </w:tc>
        <w:tc>
          <w:tcPr>
            <w:tcW w:w="1579" w:type="dxa"/>
            <w:vAlign w:val="center"/>
          </w:tcPr>
          <w:p w14:paraId="6186AF6F">
            <w:pPr>
              <w:jc w:val="center"/>
              <w:rPr>
                <w:rFonts w:ascii="宋体" w:hAnsi="宋体" w:cs="宋体"/>
                <w:color w:val="auto"/>
                <w:sz w:val="24"/>
              </w:rPr>
            </w:pPr>
            <w:r>
              <w:rPr>
                <w:rFonts w:hint="eastAsia" w:ascii="宋体" w:hAnsi="宋体" w:cs="宋体"/>
                <w:color w:val="auto"/>
                <w:sz w:val="24"/>
              </w:rPr>
              <w:t>3.8%起</w:t>
            </w:r>
          </w:p>
        </w:tc>
        <w:tc>
          <w:tcPr>
            <w:tcW w:w="1821" w:type="dxa"/>
            <w:vAlign w:val="center"/>
          </w:tcPr>
          <w:p w14:paraId="75D1B75D">
            <w:pPr>
              <w:jc w:val="center"/>
              <w:rPr>
                <w:rFonts w:ascii="宋体" w:hAnsi="宋体" w:cs="宋体"/>
                <w:color w:val="auto"/>
                <w:sz w:val="24"/>
              </w:rPr>
            </w:pPr>
            <w:r>
              <w:rPr>
                <w:rFonts w:hint="eastAsia" w:ascii="宋体" w:hAnsi="宋体" w:cs="宋体"/>
                <w:color w:val="auto"/>
                <w:sz w:val="24"/>
              </w:rPr>
              <w:t>梅晶晶</w:t>
            </w:r>
          </w:p>
        </w:tc>
        <w:tc>
          <w:tcPr>
            <w:tcW w:w="2303" w:type="dxa"/>
            <w:vAlign w:val="center"/>
          </w:tcPr>
          <w:p w14:paraId="3D58EE9E">
            <w:pPr>
              <w:jc w:val="center"/>
              <w:rPr>
                <w:rFonts w:ascii="宋体" w:hAnsi="宋体" w:cs="宋体"/>
                <w:color w:val="auto"/>
                <w:sz w:val="24"/>
              </w:rPr>
            </w:pPr>
            <w:r>
              <w:rPr>
                <w:rFonts w:hint="eastAsia" w:ascii="宋体" w:hAnsi="宋体" w:cs="宋体"/>
                <w:color w:val="auto"/>
                <w:sz w:val="24"/>
              </w:rPr>
              <w:t>88525339</w:t>
            </w:r>
          </w:p>
          <w:p w14:paraId="00996076">
            <w:pPr>
              <w:jc w:val="center"/>
              <w:rPr>
                <w:rFonts w:ascii="宋体" w:hAnsi="宋体" w:cs="宋体"/>
                <w:color w:val="auto"/>
                <w:sz w:val="24"/>
              </w:rPr>
            </w:pPr>
            <w:r>
              <w:rPr>
                <w:rFonts w:hint="eastAsia" w:ascii="宋体" w:hAnsi="宋体" w:cs="宋体"/>
                <w:color w:val="auto"/>
                <w:sz w:val="24"/>
              </w:rPr>
              <w:t>13736585303</w:t>
            </w:r>
          </w:p>
        </w:tc>
      </w:tr>
      <w:tr w14:paraId="28EF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5B3B38AA">
            <w:pPr>
              <w:jc w:val="center"/>
              <w:rPr>
                <w:rFonts w:ascii="宋体" w:hAnsi="宋体" w:cs="宋体"/>
                <w:color w:val="auto"/>
                <w:sz w:val="24"/>
              </w:rPr>
            </w:pPr>
            <w:r>
              <w:rPr>
                <w:rFonts w:hint="eastAsia" w:ascii="宋体" w:hAnsi="宋体" w:cs="宋体"/>
                <w:color w:val="auto"/>
                <w:sz w:val="24"/>
              </w:rPr>
              <w:t>中国银行</w:t>
            </w:r>
          </w:p>
        </w:tc>
        <w:tc>
          <w:tcPr>
            <w:tcW w:w="1579" w:type="dxa"/>
            <w:vAlign w:val="center"/>
          </w:tcPr>
          <w:p w14:paraId="1396ADE0">
            <w:pPr>
              <w:jc w:val="center"/>
              <w:rPr>
                <w:rFonts w:ascii="宋体" w:hAnsi="宋体" w:cs="宋体"/>
                <w:color w:val="auto"/>
                <w:sz w:val="24"/>
              </w:rPr>
            </w:pPr>
            <w:r>
              <w:rPr>
                <w:rFonts w:hint="eastAsia" w:ascii="宋体" w:hAnsi="宋体" w:cs="宋体"/>
                <w:color w:val="auto"/>
                <w:sz w:val="24"/>
              </w:rPr>
              <w:t>3.75%起</w:t>
            </w:r>
          </w:p>
        </w:tc>
        <w:tc>
          <w:tcPr>
            <w:tcW w:w="1821" w:type="dxa"/>
            <w:vAlign w:val="center"/>
          </w:tcPr>
          <w:p w14:paraId="1FC41198">
            <w:pPr>
              <w:jc w:val="center"/>
              <w:rPr>
                <w:rFonts w:ascii="宋体" w:hAnsi="宋体" w:cs="宋体"/>
                <w:color w:val="auto"/>
                <w:sz w:val="24"/>
              </w:rPr>
            </w:pPr>
            <w:r>
              <w:rPr>
                <w:rFonts w:hint="eastAsia" w:ascii="宋体" w:hAnsi="宋体" w:cs="宋体"/>
                <w:color w:val="auto"/>
                <w:sz w:val="24"/>
              </w:rPr>
              <w:t>王海</w:t>
            </w:r>
          </w:p>
        </w:tc>
        <w:tc>
          <w:tcPr>
            <w:tcW w:w="2303" w:type="dxa"/>
            <w:vAlign w:val="center"/>
          </w:tcPr>
          <w:p w14:paraId="37F8D0A2">
            <w:pPr>
              <w:jc w:val="center"/>
              <w:rPr>
                <w:rFonts w:ascii="宋体" w:hAnsi="宋体" w:cs="宋体"/>
                <w:color w:val="auto"/>
                <w:sz w:val="24"/>
              </w:rPr>
            </w:pPr>
            <w:r>
              <w:rPr>
                <w:rFonts w:hint="eastAsia" w:ascii="宋体" w:hAnsi="宋体" w:cs="宋体"/>
                <w:color w:val="auto"/>
                <w:sz w:val="24"/>
              </w:rPr>
              <w:t>13857677798</w:t>
            </w:r>
          </w:p>
        </w:tc>
      </w:tr>
      <w:tr w14:paraId="5C24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6A6084E7">
            <w:pPr>
              <w:jc w:val="center"/>
              <w:rPr>
                <w:rFonts w:ascii="宋体" w:hAnsi="宋体" w:cs="宋体"/>
                <w:color w:val="auto"/>
                <w:sz w:val="24"/>
              </w:rPr>
            </w:pPr>
            <w:r>
              <w:rPr>
                <w:rFonts w:hint="eastAsia" w:ascii="宋体" w:hAnsi="宋体" w:cs="宋体"/>
                <w:color w:val="auto"/>
                <w:sz w:val="24"/>
              </w:rPr>
              <w:t>浦发银行台州分行</w:t>
            </w:r>
          </w:p>
        </w:tc>
        <w:tc>
          <w:tcPr>
            <w:tcW w:w="1579" w:type="dxa"/>
            <w:vAlign w:val="center"/>
          </w:tcPr>
          <w:p w14:paraId="5E3DCFB2">
            <w:pPr>
              <w:jc w:val="center"/>
              <w:rPr>
                <w:rFonts w:ascii="宋体" w:hAnsi="宋体" w:cs="宋体"/>
                <w:color w:val="auto"/>
                <w:sz w:val="24"/>
              </w:rPr>
            </w:pPr>
            <w:r>
              <w:rPr>
                <w:rFonts w:hint="eastAsia" w:ascii="宋体" w:hAnsi="宋体" w:cs="宋体"/>
                <w:color w:val="auto"/>
                <w:sz w:val="24"/>
              </w:rPr>
              <w:t>4.05%起</w:t>
            </w:r>
          </w:p>
        </w:tc>
        <w:tc>
          <w:tcPr>
            <w:tcW w:w="1821" w:type="dxa"/>
            <w:vAlign w:val="center"/>
          </w:tcPr>
          <w:p w14:paraId="5336E541">
            <w:pPr>
              <w:jc w:val="center"/>
              <w:rPr>
                <w:rFonts w:ascii="宋体" w:hAnsi="宋体" w:cs="宋体"/>
                <w:color w:val="auto"/>
                <w:sz w:val="24"/>
              </w:rPr>
            </w:pPr>
            <w:r>
              <w:rPr>
                <w:rFonts w:hint="eastAsia" w:ascii="宋体" w:hAnsi="宋体" w:cs="宋体"/>
                <w:color w:val="auto"/>
                <w:sz w:val="24"/>
              </w:rPr>
              <w:t>王渊</w:t>
            </w:r>
          </w:p>
        </w:tc>
        <w:tc>
          <w:tcPr>
            <w:tcW w:w="2303" w:type="dxa"/>
            <w:vAlign w:val="center"/>
          </w:tcPr>
          <w:p w14:paraId="65831013">
            <w:pPr>
              <w:jc w:val="center"/>
              <w:rPr>
                <w:rFonts w:ascii="宋体" w:hAnsi="宋体" w:cs="宋体"/>
                <w:color w:val="auto"/>
                <w:sz w:val="24"/>
              </w:rPr>
            </w:pPr>
            <w:r>
              <w:rPr>
                <w:rFonts w:hint="eastAsia" w:ascii="宋体" w:hAnsi="宋体" w:cs="宋体"/>
                <w:color w:val="auto"/>
                <w:sz w:val="24"/>
              </w:rPr>
              <w:t>13616676319</w:t>
            </w:r>
          </w:p>
        </w:tc>
      </w:tr>
      <w:tr w14:paraId="53D1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22ACD37A">
            <w:pPr>
              <w:jc w:val="center"/>
              <w:rPr>
                <w:rFonts w:ascii="宋体" w:hAnsi="宋体" w:cs="宋体"/>
                <w:color w:val="auto"/>
                <w:sz w:val="24"/>
              </w:rPr>
            </w:pPr>
            <w:r>
              <w:rPr>
                <w:rFonts w:hint="eastAsia" w:ascii="宋体" w:hAnsi="宋体" w:cs="宋体"/>
                <w:color w:val="auto"/>
                <w:sz w:val="24"/>
              </w:rPr>
              <w:t>浦发银行椒江分行</w:t>
            </w:r>
          </w:p>
        </w:tc>
        <w:tc>
          <w:tcPr>
            <w:tcW w:w="1579" w:type="dxa"/>
            <w:vAlign w:val="center"/>
          </w:tcPr>
          <w:p w14:paraId="1D3A9C8A">
            <w:pPr>
              <w:jc w:val="center"/>
              <w:rPr>
                <w:rFonts w:ascii="宋体" w:hAnsi="宋体" w:cs="宋体"/>
                <w:color w:val="auto"/>
                <w:sz w:val="24"/>
              </w:rPr>
            </w:pPr>
            <w:r>
              <w:rPr>
                <w:rFonts w:hint="eastAsia" w:ascii="宋体" w:hAnsi="宋体" w:cs="宋体"/>
                <w:color w:val="auto"/>
                <w:sz w:val="24"/>
              </w:rPr>
              <w:t>4.05%起</w:t>
            </w:r>
          </w:p>
        </w:tc>
        <w:tc>
          <w:tcPr>
            <w:tcW w:w="1821" w:type="dxa"/>
            <w:vAlign w:val="center"/>
          </w:tcPr>
          <w:p w14:paraId="5B3E4083">
            <w:pPr>
              <w:jc w:val="center"/>
              <w:rPr>
                <w:rFonts w:ascii="宋体" w:hAnsi="宋体" w:cs="宋体"/>
                <w:color w:val="auto"/>
                <w:sz w:val="24"/>
              </w:rPr>
            </w:pPr>
            <w:r>
              <w:rPr>
                <w:rFonts w:hint="eastAsia" w:ascii="宋体" w:hAnsi="宋体" w:cs="宋体"/>
                <w:color w:val="auto"/>
                <w:sz w:val="24"/>
              </w:rPr>
              <w:t>孙瑞华</w:t>
            </w:r>
          </w:p>
        </w:tc>
        <w:tc>
          <w:tcPr>
            <w:tcW w:w="2303" w:type="dxa"/>
            <w:vAlign w:val="center"/>
          </w:tcPr>
          <w:p w14:paraId="4CE57B50">
            <w:pPr>
              <w:jc w:val="center"/>
              <w:rPr>
                <w:rFonts w:ascii="宋体" w:hAnsi="宋体" w:cs="宋体"/>
                <w:color w:val="auto"/>
                <w:sz w:val="24"/>
              </w:rPr>
            </w:pPr>
            <w:r>
              <w:rPr>
                <w:rFonts w:hint="eastAsia" w:ascii="宋体" w:hAnsi="宋体" w:cs="宋体"/>
                <w:color w:val="auto"/>
                <w:sz w:val="24"/>
              </w:rPr>
              <w:t>13857688081</w:t>
            </w:r>
          </w:p>
        </w:tc>
      </w:tr>
      <w:tr w14:paraId="6940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5969FD53">
            <w:pPr>
              <w:jc w:val="center"/>
              <w:rPr>
                <w:rFonts w:ascii="宋体" w:hAnsi="宋体" w:cs="宋体"/>
                <w:color w:val="auto"/>
                <w:sz w:val="24"/>
              </w:rPr>
            </w:pPr>
            <w:r>
              <w:rPr>
                <w:rFonts w:hint="eastAsia" w:ascii="宋体" w:hAnsi="宋体" w:cs="宋体"/>
                <w:color w:val="auto"/>
                <w:sz w:val="24"/>
              </w:rPr>
              <w:t>交通银行台州分行</w:t>
            </w:r>
          </w:p>
        </w:tc>
        <w:tc>
          <w:tcPr>
            <w:tcW w:w="1579" w:type="dxa"/>
            <w:vAlign w:val="center"/>
          </w:tcPr>
          <w:p w14:paraId="3A8BE2A8">
            <w:pPr>
              <w:jc w:val="center"/>
              <w:rPr>
                <w:rFonts w:ascii="宋体" w:hAnsi="宋体" w:cs="宋体"/>
                <w:color w:val="auto"/>
                <w:sz w:val="24"/>
              </w:rPr>
            </w:pPr>
            <w:r>
              <w:rPr>
                <w:rFonts w:hint="eastAsia" w:ascii="宋体" w:hAnsi="宋体" w:cs="宋体"/>
                <w:color w:val="auto"/>
                <w:sz w:val="24"/>
              </w:rPr>
              <w:t>3.75%起</w:t>
            </w:r>
          </w:p>
        </w:tc>
        <w:tc>
          <w:tcPr>
            <w:tcW w:w="1821" w:type="dxa"/>
            <w:vAlign w:val="center"/>
          </w:tcPr>
          <w:p w14:paraId="4E4A4E49">
            <w:pPr>
              <w:jc w:val="center"/>
              <w:rPr>
                <w:rFonts w:ascii="宋体" w:hAnsi="宋体" w:cs="宋体"/>
                <w:color w:val="auto"/>
                <w:sz w:val="24"/>
              </w:rPr>
            </w:pPr>
            <w:r>
              <w:rPr>
                <w:rFonts w:hint="eastAsia" w:ascii="宋体" w:hAnsi="宋体" w:cs="宋体"/>
                <w:color w:val="auto"/>
                <w:sz w:val="24"/>
              </w:rPr>
              <w:t>周翔宇</w:t>
            </w:r>
          </w:p>
        </w:tc>
        <w:tc>
          <w:tcPr>
            <w:tcW w:w="2303" w:type="dxa"/>
            <w:vAlign w:val="center"/>
          </w:tcPr>
          <w:p w14:paraId="04C84381">
            <w:pPr>
              <w:jc w:val="center"/>
              <w:rPr>
                <w:rFonts w:ascii="宋体" w:hAnsi="宋体" w:cs="宋体"/>
                <w:color w:val="auto"/>
                <w:sz w:val="24"/>
              </w:rPr>
            </w:pPr>
            <w:r>
              <w:rPr>
                <w:rFonts w:hint="eastAsia" w:ascii="宋体" w:hAnsi="宋体" w:cs="宋体"/>
                <w:color w:val="auto"/>
                <w:sz w:val="24"/>
              </w:rPr>
              <w:t>13867697018</w:t>
            </w:r>
          </w:p>
        </w:tc>
      </w:tr>
      <w:tr w14:paraId="4895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79FCB096">
            <w:pPr>
              <w:jc w:val="center"/>
              <w:rPr>
                <w:rFonts w:ascii="宋体" w:hAnsi="宋体" w:cs="宋体"/>
                <w:color w:val="auto"/>
                <w:sz w:val="24"/>
              </w:rPr>
            </w:pPr>
            <w:r>
              <w:rPr>
                <w:rFonts w:hint="eastAsia" w:ascii="宋体" w:hAnsi="宋体" w:cs="宋体"/>
                <w:color w:val="auto"/>
                <w:sz w:val="24"/>
              </w:rPr>
              <w:t>招商银行台州分行</w:t>
            </w:r>
          </w:p>
        </w:tc>
        <w:tc>
          <w:tcPr>
            <w:tcW w:w="1579" w:type="dxa"/>
            <w:vAlign w:val="center"/>
          </w:tcPr>
          <w:p w14:paraId="7F884471">
            <w:pPr>
              <w:jc w:val="center"/>
              <w:rPr>
                <w:rFonts w:ascii="宋体" w:hAnsi="宋体" w:cs="宋体"/>
                <w:color w:val="auto"/>
                <w:sz w:val="24"/>
              </w:rPr>
            </w:pPr>
            <w:r>
              <w:rPr>
                <w:rFonts w:hint="eastAsia" w:ascii="宋体" w:hAnsi="宋体" w:cs="宋体"/>
                <w:color w:val="auto"/>
                <w:sz w:val="24"/>
              </w:rPr>
              <w:t>4.32%起</w:t>
            </w:r>
          </w:p>
        </w:tc>
        <w:tc>
          <w:tcPr>
            <w:tcW w:w="1821" w:type="dxa"/>
            <w:vAlign w:val="center"/>
          </w:tcPr>
          <w:p w14:paraId="7AEEBBC8">
            <w:pPr>
              <w:jc w:val="center"/>
              <w:rPr>
                <w:rFonts w:ascii="宋体" w:hAnsi="宋体" w:cs="宋体"/>
                <w:color w:val="auto"/>
                <w:sz w:val="24"/>
              </w:rPr>
            </w:pPr>
            <w:r>
              <w:rPr>
                <w:rFonts w:hint="eastAsia" w:ascii="宋体" w:hAnsi="宋体" w:cs="宋体"/>
                <w:color w:val="auto"/>
                <w:sz w:val="24"/>
              </w:rPr>
              <w:t>王海玲</w:t>
            </w:r>
          </w:p>
        </w:tc>
        <w:tc>
          <w:tcPr>
            <w:tcW w:w="2303" w:type="dxa"/>
            <w:vAlign w:val="center"/>
          </w:tcPr>
          <w:p w14:paraId="4B9BD174">
            <w:pPr>
              <w:jc w:val="center"/>
              <w:rPr>
                <w:rFonts w:ascii="宋体" w:hAnsi="宋体" w:cs="宋体"/>
                <w:color w:val="auto"/>
                <w:sz w:val="24"/>
              </w:rPr>
            </w:pPr>
            <w:r>
              <w:rPr>
                <w:rFonts w:hint="eastAsia" w:ascii="宋体" w:hAnsi="宋体" w:cs="宋体"/>
                <w:color w:val="auto"/>
                <w:sz w:val="24"/>
              </w:rPr>
              <w:t>13566413827</w:t>
            </w:r>
          </w:p>
        </w:tc>
      </w:tr>
      <w:tr w14:paraId="3D7D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70389BD4">
            <w:pPr>
              <w:jc w:val="center"/>
              <w:rPr>
                <w:rFonts w:ascii="宋体" w:hAnsi="宋体" w:cs="宋体"/>
                <w:color w:val="auto"/>
                <w:sz w:val="24"/>
              </w:rPr>
            </w:pPr>
            <w:r>
              <w:rPr>
                <w:rFonts w:hint="eastAsia" w:ascii="宋体" w:hAnsi="宋体" w:cs="宋体"/>
                <w:color w:val="auto"/>
                <w:sz w:val="24"/>
              </w:rPr>
              <w:t>浙商银行台州分行</w:t>
            </w:r>
          </w:p>
        </w:tc>
        <w:tc>
          <w:tcPr>
            <w:tcW w:w="1579" w:type="dxa"/>
            <w:vAlign w:val="center"/>
          </w:tcPr>
          <w:p w14:paraId="2FAB226F">
            <w:pPr>
              <w:jc w:val="center"/>
              <w:rPr>
                <w:rFonts w:ascii="宋体" w:hAnsi="宋体" w:cs="宋体"/>
                <w:color w:val="auto"/>
                <w:sz w:val="24"/>
              </w:rPr>
            </w:pPr>
            <w:r>
              <w:rPr>
                <w:rFonts w:hint="eastAsia" w:ascii="宋体" w:hAnsi="宋体" w:cs="宋体"/>
                <w:color w:val="auto"/>
                <w:sz w:val="24"/>
              </w:rPr>
              <w:t>5.01%起</w:t>
            </w:r>
          </w:p>
        </w:tc>
        <w:tc>
          <w:tcPr>
            <w:tcW w:w="1821" w:type="dxa"/>
            <w:vAlign w:val="center"/>
          </w:tcPr>
          <w:p w14:paraId="16121A0E">
            <w:pPr>
              <w:jc w:val="center"/>
              <w:rPr>
                <w:rFonts w:ascii="宋体" w:hAnsi="宋体" w:cs="宋体"/>
                <w:color w:val="auto"/>
                <w:sz w:val="24"/>
              </w:rPr>
            </w:pPr>
            <w:r>
              <w:rPr>
                <w:rFonts w:hint="eastAsia" w:ascii="宋体" w:hAnsi="宋体" w:cs="宋体"/>
                <w:color w:val="auto"/>
                <w:sz w:val="24"/>
              </w:rPr>
              <w:t>章涉漪</w:t>
            </w:r>
          </w:p>
        </w:tc>
        <w:tc>
          <w:tcPr>
            <w:tcW w:w="2303" w:type="dxa"/>
            <w:vAlign w:val="center"/>
          </w:tcPr>
          <w:p w14:paraId="5FE82102">
            <w:pPr>
              <w:jc w:val="center"/>
              <w:rPr>
                <w:rFonts w:ascii="宋体" w:hAnsi="宋体" w:cs="宋体"/>
                <w:color w:val="auto"/>
                <w:sz w:val="24"/>
              </w:rPr>
            </w:pPr>
            <w:r>
              <w:rPr>
                <w:rFonts w:hint="eastAsia" w:ascii="宋体" w:hAnsi="宋体" w:cs="宋体"/>
                <w:color w:val="auto"/>
                <w:sz w:val="24"/>
              </w:rPr>
              <w:t>81880185</w:t>
            </w:r>
          </w:p>
          <w:p w14:paraId="22F2AD3A">
            <w:pPr>
              <w:jc w:val="center"/>
              <w:rPr>
                <w:rFonts w:ascii="宋体" w:hAnsi="宋体" w:cs="宋体"/>
                <w:color w:val="auto"/>
                <w:sz w:val="24"/>
              </w:rPr>
            </w:pPr>
            <w:r>
              <w:rPr>
                <w:rFonts w:hint="eastAsia" w:ascii="宋体" w:hAnsi="宋体" w:cs="宋体"/>
                <w:color w:val="auto"/>
                <w:sz w:val="24"/>
              </w:rPr>
              <w:t>13606681262</w:t>
            </w:r>
          </w:p>
        </w:tc>
      </w:tr>
      <w:tr w14:paraId="06BB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1F254898">
            <w:pPr>
              <w:jc w:val="center"/>
              <w:rPr>
                <w:rFonts w:ascii="宋体" w:hAnsi="宋体" w:cs="宋体"/>
                <w:color w:val="auto"/>
                <w:sz w:val="24"/>
              </w:rPr>
            </w:pPr>
            <w:r>
              <w:rPr>
                <w:rFonts w:hint="eastAsia" w:ascii="宋体" w:hAnsi="宋体" w:cs="宋体"/>
                <w:color w:val="auto"/>
                <w:sz w:val="24"/>
              </w:rPr>
              <w:t>中信银行台州分行</w:t>
            </w:r>
          </w:p>
        </w:tc>
        <w:tc>
          <w:tcPr>
            <w:tcW w:w="1579" w:type="dxa"/>
            <w:vAlign w:val="center"/>
          </w:tcPr>
          <w:p w14:paraId="543E2FBA">
            <w:pPr>
              <w:jc w:val="center"/>
              <w:rPr>
                <w:rFonts w:ascii="宋体" w:hAnsi="宋体" w:cs="宋体"/>
                <w:color w:val="auto"/>
                <w:sz w:val="24"/>
              </w:rPr>
            </w:pPr>
            <w:r>
              <w:rPr>
                <w:rFonts w:hint="eastAsia" w:ascii="宋体" w:hAnsi="宋体" w:cs="宋体"/>
                <w:color w:val="auto"/>
                <w:sz w:val="24"/>
              </w:rPr>
              <w:t>4.15%起</w:t>
            </w:r>
          </w:p>
        </w:tc>
        <w:tc>
          <w:tcPr>
            <w:tcW w:w="1821" w:type="dxa"/>
            <w:vAlign w:val="center"/>
          </w:tcPr>
          <w:p w14:paraId="44BC4BEE">
            <w:pPr>
              <w:jc w:val="center"/>
              <w:rPr>
                <w:rFonts w:ascii="宋体" w:hAnsi="宋体" w:cs="宋体"/>
                <w:color w:val="auto"/>
                <w:sz w:val="24"/>
              </w:rPr>
            </w:pPr>
            <w:r>
              <w:rPr>
                <w:rFonts w:hint="eastAsia" w:ascii="宋体" w:hAnsi="宋体" w:cs="宋体"/>
                <w:color w:val="auto"/>
                <w:sz w:val="24"/>
              </w:rPr>
              <w:t>陈金园</w:t>
            </w:r>
          </w:p>
        </w:tc>
        <w:tc>
          <w:tcPr>
            <w:tcW w:w="2303" w:type="dxa"/>
            <w:vAlign w:val="center"/>
          </w:tcPr>
          <w:p w14:paraId="66BB3FFC">
            <w:pPr>
              <w:jc w:val="center"/>
              <w:rPr>
                <w:rFonts w:ascii="宋体" w:hAnsi="宋体" w:cs="宋体"/>
                <w:color w:val="auto"/>
                <w:sz w:val="24"/>
              </w:rPr>
            </w:pPr>
            <w:r>
              <w:rPr>
                <w:rFonts w:hint="eastAsia" w:ascii="宋体" w:hAnsi="宋体" w:cs="宋体"/>
                <w:color w:val="auto"/>
                <w:sz w:val="24"/>
              </w:rPr>
              <w:t>13586052161</w:t>
            </w:r>
          </w:p>
        </w:tc>
      </w:tr>
      <w:tr w14:paraId="7AC6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14:paraId="66274BE8">
            <w:pPr>
              <w:jc w:val="center"/>
              <w:rPr>
                <w:rFonts w:ascii="宋体" w:hAnsi="宋体" w:cs="宋体"/>
                <w:color w:val="auto"/>
                <w:sz w:val="24"/>
              </w:rPr>
            </w:pPr>
            <w:r>
              <w:rPr>
                <w:rFonts w:hint="eastAsia" w:ascii="宋体" w:hAnsi="宋体" w:cs="宋体"/>
                <w:color w:val="auto"/>
                <w:sz w:val="24"/>
              </w:rPr>
              <w:t>华夏银行台州分行</w:t>
            </w:r>
          </w:p>
        </w:tc>
        <w:tc>
          <w:tcPr>
            <w:tcW w:w="1579" w:type="dxa"/>
            <w:vAlign w:val="center"/>
          </w:tcPr>
          <w:p w14:paraId="0D18C883">
            <w:pPr>
              <w:jc w:val="center"/>
              <w:rPr>
                <w:rFonts w:ascii="宋体" w:hAnsi="宋体" w:cs="宋体"/>
                <w:color w:val="auto"/>
                <w:sz w:val="24"/>
              </w:rPr>
            </w:pPr>
            <w:r>
              <w:rPr>
                <w:rFonts w:hint="eastAsia" w:ascii="宋体" w:hAnsi="宋体" w:cs="宋体"/>
                <w:color w:val="auto"/>
                <w:sz w:val="24"/>
              </w:rPr>
              <w:t>4.5%起</w:t>
            </w:r>
          </w:p>
        </w:tc>
        <w:tc>
          <w:tcPr>
            <w:tcW w:w="1821" w:type="dxa"/>
            <w:vAlign w:val="center"/>
          </w:tcPr>
          <w:p w14:paraId="7C786A96">
            <w:pPr>
              <w:jc w:val="center"/>
              <w:rPr>
                <w:rFonts w:ascii="宋体" w:hAnsi="宋体" w:cs="宋体"/>
                <w:color w:val="auto"/>
                <w:sz w:val="24"/>
              </w:rPr>
            </w:pPr>
            <w:r>
              <w:rPr>
                <w:rFonts w:hint="eastAsia" w:ascii="宋体" w:hAnsi="宋体" w:cs="宋体"/>
                <w:color w:val="auto"/>
                <w:sz w:val="24"/>
              </w:rPr>
              <w:t>邱明达</w:t>
            </w:r>
          </w:p>
        </w:tc>
        <w:tc>
          <w:tcPr>
            <w:tcW w:w="2303" w:type="dxa"/>
            <w:vAlign w:val="center"/>
          </w:tcPr>
          <w:p w14:paraId="2511040E">
            <w:pPr>
              <w:jc w:val="center"/>
              <w:rPr>
                <w:rFonts w:ascii="宋体" w:hAnsi="宋体" w:cs="宋体"/>
                <w:color w:val="auto"/>
                <w:sz w:val="24"/>
              </w:rPr>
            </w:pPr>
            <w:r>
              <w:rPr>
                <w:rFonts w:hint="eastAsia" w:ascii="宋体" w:hAnsi="宋体" w:cs="宋体"/>
                <w:color w:val="auto"/>
                <w:sz w:val="24"/>
              </w:rPr>
              <w:t>81871518</w:t>
            </w:r>
          </w:p>
          <w:p w14:paraId="6B4C573B">
            <w:pPr>
              <w:jc w:val="center"/>
              <w:rPr>
                <w:rFonts w:ascii="宋体" w:hAnsi="宋体" w:cs="宋体"/>
                <w:color w:val="auto"/>
                <w:sz w:val="24"/>
              </w:rPr>
            </w:pPr>
            <w:r>
              <w:rPr>
                <w:rFonts w:hint="eastAsia" w:ascii="宋体" w:hAnsi="宋体" w:cs="宋体"/>
                <w:color w:val="auto"/>
                <w:sz w:val="24"/>
              </w:rPr>
              <w:t>13736252233</w:t>
            </w:r>
          </w:p>
        </w:tc>
      </w:tr>
      <w:tr w14:paraId="3D28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2ED508BE">
            <w:pPr>
              <w:jc w:val="center"/>
              <w:rPr>
                <w:rFonts w:ascii="宋体" w:hAnsi="宋体" w:cs="宋体"/>
                <w:color w:val="auto"/>
                <w:sz w:val="24"/>
              </w:rPr>
            </w:pPr>
            <w:r>
              <w:rPr>
                <w:rFonts w:hint="eastAsia" w:ascii="宋体" w:hAnsi="宋体" w:cs="宋体"/>
                <w:color w:val="auto"/>
                <w:sz w:val="24"/>
              </w:rPr>
              <w:t>泰隆银行开发区支行</w:t>
            </w:r>
          </w:p>
        </w:tc>
        <w:tc>
          <w:tcPr>
            <w:tcW w:w="1579" w:type="dxa"/>
            <w:vAlign w:val="center"/>
          </w:tcPr>
          <w:p w14:paraId="4E0A0147">
            <w:pPr>
              <w:jc w:val="center"/>
              <w:rPr>
                <w:rFonts w:ascii="宋体" w:hAnsi="宋体" w:cs="宋体"/>
                <w:color w:val="auto"/>
                <w:sz w:val="24"/>
              </w:rPr>
            </w:pPr>
            <w:r>
              <w:rPr>
                <w:rFonts w:hint="eastAsia" w:ascii="宋体" w:hAnsi="宋体" w:cs="宋体"/>
                <w:color w:val="auto"/>
                <w:sz w:val="24"/>
              </w:rPr>
              <w:t>5.6%起</w:t>
            </w:r>
          </w:p>
        </w:tc>
        <w:tc>
          <w:tcPr>
            <w:tcW w:w="1821" w:type="dxa"/>
            <w:vAlign w:val="center"/>
          </w:tcPr>
          <w:p w14:paraId="35DB3836">
            <w:pPr>
              <w:jc w:val="center"/>
              <w:rPr>
                <w:rFonts w:ascii="宋体" w:hAnsi="宋体" w:cs="宋体"/>
                <w:color w:val="auto"/>
                <w:sz w:val="24"/>
              </w:rPr>
            </w:pPr>
            <w:r>
              <w:rPr>
                <w:rFonts w:hint="eastAsia" w:ascii="宋体" w:hAnsi="宋体" w:cs="宋体"/>
                <w:color w:val="auto"/>
                <w:sz w:val="24"/>
              </w:rPr>
              <w:t>梁宛莉</w:t>
            </w:r>
          </w:p>
        </w:tc>
        <w:tc>
          <w:tcPr>
            <w:tcW w:w="2303" w:type="dxa"/>
            <w:vAlign w:val="center"/>
          </w:tcPr>
          <w:p w14:paraId="044C1ACA">
            <w:pPr>
              <w:jc w:val="center"/>
              <w:rPr>
                <w:rFonts w:ascii="宋体" w:hAnsi="宋体" w:cs="宋体"/>
                <w:color w:val="auto"/>
                <w:sz w:val="24"/>
              </w:rPr>
            </w:pPr>
            <w:r>
              <w:rPr>
                <w:rFonts w:hint="eastAsia" w:ascii="宋体" w:hAnsi="宋体" w:cs="宋体"/>
                <w:color w:val="auto"/>
                <w:sz w:val="24"/>
              </w:rPr>
              <w:t>13306869100</w:t>
            </w:r>
          </w:p>
        </w:tc>
      </w:tr>
      <w:tr w14:paraId="7970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6F5C0CF8">
            <w:pPr>
              <w:jc w:val="center"/>
              <w:rPr>
                <w:rFonts w:ascii="宋体" w:hAnsi="宋体" w:cs="宋体"/>
                <w:color w:val="auto"/>
                <w:sz w:val="24"/>
              </w:rPr>
            </w:pPr>
            <w:r>
              <w:rPr>
                <w:rFonts w:hint="eastAsia" w:ascii="宋体" w:hAnsi="宋体" w:cs="宋体"/>
                <w:color w:val="auto"/>
                <w:sz w:val="24"/>
              </w:rPr>
              <w:t>民泰银行椒江支行</w:t>
            </w:r>
          </w:p>
        </w:tc>
        <w:tc>
          <w:tcPr>
            <w:tcW w:w="1579" w:type="dxa"/>
            <w:vAlign w:val="center"/>
          </w:tcPr>
          <w:p w14:paraId="47266C52">
            <w:pPr>
              <w:jc w:val="center"/>
              <w:rPr>
                <w:rFonts w:ascii="宋体" w:hAnsi="宋体" w:cs="宋体"/>
                <w:color w:val="auto"/>
                <w:sz w:val="24"/>
              </w:rPr>
            </w:pPr>
            <w:r>
              <w:rPr>
                <w:rFonts w:hint="eastAsia" w:ascii="宋体" w:hAnsi="宋体" w:cs="宋体"/>
                <w:color w:val="auto"/>
                <w:sz w:val="24"/>
              </w:rPr>
              <w:t>5.8%起</w:t>
            </w:r>
          </w:p>
        </w:tc>
        <w:tc>
          <w:tcPr>
            <w:tcW w:w="1821" w:type="dxa"/>
            <w:vAlign w:val="center"/>
          </w:tcPr>
          <w:p w14:paraId="55BC167D">
            <w:pPr>
              <w:jc w:val="center"/>
              <w:rPr>
                <w:rFonts w:ascii="宋体" w:hAnsi="宋体" w:cs="宋体"/>
                <w:color w:val="auto"/>
                <w:sz w:val="24"/>
              </w:rPr>
            </w:pPr>
            <w:r>
              <w:rPr>
                <w:rFonts w:hint="eastAsia" w:ascii="宋体" w:hAnsi="宋体" w:cs="宋体"/>
                <w:color w:val="auto"/>
                <w:sz w:val="24"/>
              </w:rPr>
              <w:t>陈慧珠</w:t>
            </w:r>
          </w:p>
        </w:tc>
        <w:tc>
          <w:tcPr>
            <w:tcW w:w="2303" w:type="dxa"/>
            <w:vAlign w:val="center"/>
          </w:tcPr>
          <w:p w14:paraId="18C455B4">
            <w:pPr>
              <w:jc w:val="center"/>
              <w:rPr>
                <w:rFonts w:ascii="宋体" w:hAnsi="宋体" w:cs="宋体"/>
                <w:color w:val="auto"/>
                <w:sz w:val="24"/>
              </w:rPr>
            </w:pPr>
            <w:r>
              <w:rPr>
                <w:rFonts w:hint="eastAsia" w:ascii="宋体" w:hAnsi="宋体" w:cs="宋体"/>
                <w:color w:val="auto"/>
                <w:sz w:val="24"/>
              </w:rPr>
              <w:t>13857699669</w:t>
            </w:r>
          </w:p>
        </w:tc>
      </w:tr>
      <w:tr w14:paraId="0FDB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1157B5E0">
            <w:pPr>
              <w:jc w:val="center"/>
              <w:rPr>
                <w:rFonts w:ascii="宋体" w:hAnsi="宋体" w:cs="宋体"/>
                <w:color w:val="auto"/>
                <w:sz w:val="24"/>
              </w:rPr>
            </w:pPr>
            <w:r>
              <w:rPr>
                <w:rFonts w:hint="eastAsia" w:ascii="宋体" w:hAnsi="宋体" w:cs="宋体"/>
                <w:color w:val="auto"/>
                <w:sz w:val="24"/>
              </w:rPr>
              <w:t>绍兴银行台州分行</w:t>
            </w:r>
          </w:p>
        </w:tc>
        <w:tc>
          <w:tcPr>
            <w:tcW w:w="1579" w:type="dxa"/>
            <w:vAlign w:val="center"/>
          </w:tcPr>
          <w:p w14:paraId="1CA8E981">
            <w:pPr>
              <w:jc w:val="center"/>
              <w:rPr>
                <w:rFonts w:ascii="宋体" w:hAnsi="宋体" w:cs="宋体"/>
                <w:color w:val="auto"/>
                <w:sz w:val="24"/>
              </w:rPr>
            </w:pPr>
            <w:r>
              <w:rPr>
                <w:rFonts w:hint="eastAsia" w:ascii="宋体" w:hAnsi="宋体" w:cs="宋体"/>
                <w:color w:val="auto"/>
                <w:sz w:val="24"/>
              </w:rPr>
              <w:t>5.1%起</w:t>
            </w:r>
          </w:p>
        </w:tc>
        <w:tc>
          <w:tcPr>
            <w:tcW w:w="1821" w:type="dxa"/>
            <w:vAlign w:val="center"/>
          </w:tcPr>
          <w:p w14:paraId="6358EA5B">
            <w:pPr>
              <w:jc w:val="center"/>
              <w:rPr>
                <w:rFonts w:ascii="宋体" w:hAnsi="宋体" w:cs="宋体"/>
                <w:color w:val="auto"/>
                <w:sz w:val="24"/>
              </w:rPr>
            </w:pPr>
            <w:r>
              <w:rPr>
                <w:rFonts w:hint="eastAsia" w:ascii="宋体" w:hAnsi="宋体" w:cs="宋体"/>
                <w:color w:val="auto"/>
                <w:sz w:val="24"/>
              </w:rPr>
              <w:t>郭庭斌</w:t>
            </w:r>
          </w:p>
        </w:tc>
        <w:tc>
          <w:tcPr>
            <w:tcW w:w="2303" w:type="dxa"/>
            <w:vAlign w:val="center"/>
          </w:tcPr>
          <w:p w14:paraId="3C69FF54">
            <w:pPr>
              <w:jc w:val="center"/>
              <w:rPr>
                <w:rFonts w:ascii="宋体" w:hAnsi="宋体" w:cs="宋体"/>
                <w:color w:val="auto"/>
                <w:sz w:val="24"/>
              </w:rPr>
            </w:pPr>
            <w:r>
              <w:rPr>
                <w:rFonts w:hint="eastAsia" w:ascii="宋体" w:hAnsi="宋体" w:cs="宋体"/>
                <w:color w:val="auto"/>
                <w:sz w:val="24"/>
              </w:rPr>
              <w:t>15958633119</w:t>
            </w:r>
          </w:p>
        </w:tc>
      </w:tr>
      <w:tr w14:paraId="4F84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488AB337">
            <w:pPr>
              <w:jc w:val="center"/>
              <w:rPr>
                <w:rFonts w:ascii="宋体" w:hAnsi="宋体" w:cs="宋体"/>
                <w:color w:val="auto"/>
                <w:sz w:val="24"/>
              </w:rPr>
            </w:pPr>
            <w:r>
              <w:rPr>
                <w:rFonts w:hint="eastAsia" w:ascii="宋体" w:hAnsi="宋体" w:cs="宋体"/>
                <w:color w:val="auto"/>
                <w:sz w:val="24"/>
              </w:rPr>
              <w:t>温州银行台州分行</w:t>
            </w:r>
          </w:p>
        </w:tc>
        <w:tc>
          <w:tcPr>
            <w:tcW w:w="1579" w:type="dxa"/>
            <w:vAlign w:val="center"/>
          </w:tcPr>
          <w:p w14:paraId="01AB01CF">
            <w:pPr>
              <w:jc w:val="center"/>
              <w:rPr>
                <w:rFonts w:ascii="宋体" w:hAnsi="宋体" w:cs="宋体"/>
                <w:color w:val="auto"/>
                <w:sz w:val="24"/>
              </w:rPr>
            </w:pPr>
            <w:r>
              <w:rPr>
                <w:rFonts w:hint="eastAsia" w:ascii="宋体" w:hAnsi="宋体" w:cs="宋体"/>
                <w:color w:val="auto"/>
                <w:sz w:val="24"/>
              </w:rPr>
              <w:t>4.55%起</w:t>
            </w:r>
          </w:p>
        </w:tc>
        <w:tc>
          <w:tcPr>
            <w:tcW w:w="1821" w:type="dxa"/>
            <w:vAlign w:val="center"/>
          </w:tcPr>
          <w:p w14:paraId="1A903BF4">
            <w:pPr>
              <w:jc w:val="center"/>
              <w:rPr>
                <w:rFonts w:ascii="宋体" w:hAnsi="宋体" w:cs="宋体"/>
                <w:color w:val="auto"/>
                <w:sz w:val="24"/>
              </w:rPr>
            </w:pPr>
            <w:r>
              <w:rPr>
                <w:rFonts w:hint="eastAsia" w:ascii="宋体" w:hAnsi="宋体" w:cs="宋体"/>
                <w:color w:val="auto"/>
                <w:sz w:val="24"/>
              </w:rPr>
              <w:t>王晓波</w:t>
            </w:r>
          </w:p>
        </w:tc>
        <w:tc>
          <w:tcPr>
            <w:tcW w:w="2303" w:type="dxa"/>
            <w:vAlign w:val="center"/>
          </w:tcPr>
          <w:p w14:paraId="6BBFB4EA">
            <w:pPr>
              <w:jc w:val="center"/>
              <w:rPr>
                <w:rFonts w:ascii="宋体" w:hAnsi="宋体" w:cs="宋体"/>
                <w:color w:val="auto"/>
                <w:sz w:val="24"/>
              </w:rPr>
            </w:pPr>
            <w:r>
              <w:rPr>
                <w:rFonts w:hint="eastAsia" w:ascii="宋体" w:hAnsi="宋体" w:cs="宋体"/>
                <w:color w:val="auto"/>
                <w:sz w:val="24"/>
              </w:rPr>
              <w:t>15824005475</w:t>
            </w:r>
          </w:p>
        </w:tc>
      </w:tr>
      <w:tr w14:paraId="0FB7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20B0F7F4">
            <w:pPr>
              <w:jc w:val="center"/>
              <w:rPr>
                <w:rFonts w:ascii="宋体" w:hAnsi="宋体" w:cs="宋体"/>
                <w:color w:val="auto"/>
                <w:sz w:val="24"/>
              </w:rPr>
            </w:pPr>
            <w:r>
              <w:rPr>
                <w:rFonts w:hint="eastAsia" w:ascii="宋体" w:hAnsi="宋体" w:cs="宋体"/>
                <w:color w:val="auto"/>
                <w:sz w:val="24"/>
              </w:rPr>
              <w:t>平安银行台州分行</w:t>
            </w:r>
          </w:p>
        </w:tc>
        <w:tc>
          <w:tcPr>
            <w:tcW w:w="1579" w:type="dxa"/>
            <w:vAlign w:val="center"/>
          </w:tcPr>
          <w:p w14:paraId="3E8B63FB">
            <w:pPr>
              <w:jc w:val="center"/>
              <w:rPr>
                <w:rFonts w:ascii="宋体" w:hAnsi="宋体" w:cs="宋体"/>
                <w:color w:val="auto"/>
                <w:sz w:val="24"/>
              </w:rPr>
            </w:pPr>
            <w:r>
              <w:rPr>
                <w:rFonts w:hint="eastAsia" w:ascii="宋体" w:hAnsi="宋体" w:cs="宋体"/>
                <w:color w:val="auto"/>
                <w:sz w:val="24"/>
              </w:rPr>
              <w:t>6.53%起</w:t>
            </w:r>
          </w:p>
        </w:tc>
        <w:tc>
          <w:tcPr>
            <w:tcW w:w="1821" w:type="dxa"/>
            <w:vAlign w:val="center"/>
          </w:tcPr>
          <w:p w14:paraId="2A60BD35">
            <w:pPr>
              <w:jc w:val="center"/>
              <w:rPr>
                <w:rFonts w:ascii="宋体" w:hAnsi="宋体" w:cs="宋体"/>
                <w:color w:val="auto"/>
                <w:sz w:val="24"/>
              </w:rPr>
            </w:pPr>
            <w:r>
              <w:rPr>
                <w:rFonts w:hint="eastAsia" w:ascii="宋体" w:hAnsi="宋体" w:cs="宋体"/>
                <w:color w:val="auto"/>
                <w:sz w:val="24"/>
              </w:rPr>
              <w:t>李俊丽</w:t>
            </w:r>
          </w:p>
        </w:tc>
        <w:tc>
          <w:tcPr>
            <w:tcW w:w="2303" w:type="dxa"/>
            <w:vAlign w:val="center"/>
          </w:tcPr>
          <w:p w14:paraId="5D550BB9">
            <w:pPr>
              <w:jc w:val="center"/>
              <w:rPr>
                <w:rFonts w:ascii="宋体" w:hAnsi="宋体" w:cs="宋体"/>
                <w:color w:val="auto"/>
                <w:sz w:val="24"/>
              </w:rPr>
            </w:pPr>
            <w:r>
              <w:rPr>
                <w:rFonts w:hint="eastAsia" w:ascii="宋体" w:hAnsi="宋体" w:cs="宋体"/>
                <w:color w:val="auto"/>
                <w:sz w:val="24"/>
              </w:rPr>
              <w:t>15906861025</w:t>
            </w:r>
          </w:p>
        </w:tc>
      </w:tr>
      <w:tr w14:paraId="5EC7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254A0B42">
            <w:pPr>
              <w:jc w:val="center"/>
              <w:rPr>
                <w:rFonts w:ascii="宋体" w:hAnsi="宋体" w:cs="宋体"/>
                <w:color w:val="auto"/>
                <w:sz w:val="24"/>
              </w:rPr>
            </w:pPr>
            <w:r>
              <w:rPr>
                <w:rFonts w:hint="eastAsia" w:ascii="宋体" w:hAnsi="宋体" w:cs="宋体"/>
                <w:color w:val="auto"/>
                <w:sz w:val="24"/>
              </w:rPr>
              <w:t>宁波银行台州分行</w:t>
            </w:r>
          </w:p>
        </w:tc>
        <w:tc>
          <w:tcPr>
            <w:tcW w:w="1579" w:type="dxa"/>
            <w:vAlign w:val="center"/>
          </w:tcPr>
          <w:p w14:paraId="29B55456">
            <w:pPr>
              <w:jc w:val="center"/>
              <w:rPr>
                <w:rFonts w:ascii="宋体" w:hAnsi="宋体" w:cs="宋体"/>
                <w:color w:val="auto"/>
                <w:sz w:val="24"/>
              </w:rPr>
            </w:pPr>
            <w:r>
              <w:rPr>
                <w:rFonts w:hint="eastAsia" w:ascii="宋体" w:hAnsi="宋体" w:cs="宋体"/>
                <w:color w:val="auto"/>
                <w:sz w:val="24"/>
              </w:rPr>
              <w:t>4.35%起</w:t>
            </w:r>
          </w:p>
        </w:tc>
        <w:tc>
          <w:tcPr>
            <w:tcW w:w="1821" w:type="dxa"/>
            <w:vAlign w:val="center"/>
          </w:tcPr>
          <w:p w14:paraId="4DB8AC39">
            <w:pPr>
              <w:jc w:val="center"/>
              <w:rPr>
                <w:rFonts w:ascii="宋体" w:hAnsi="宋体" w:cs="宋体"/>
                <w:color w:val="auto"/>
                <w:sz w:val="24"/>
              </w:rPr>
            </w:pPr>
            <w:r>
              <w:rPr>
                <w:rFonts w:hint="eastAsia" w:ascii="宋体" w:hAnsi="宋体" w:cs="宋体"/>
                <w:color w:val="auto"/>
                <w:sz w:val="24"/>
              </w:rPr>
              <w:t>戴莉丽</w:t>
            </w:r>
          </w:p>
        </w:tc>
        <w:tc>
          <w:tcPr>
            <w:tcW w:w="2303" w:type="dxa"/>
            <w:vAlign w:val="center"/>
          </w:tcPr>
          <w:p w14:paraId="6ED01EC0">
            <w:pPr>
              <w:jc w:val="center"/>
              <w:rPr>
                <w:rFonts w:ascii="宋体" w:hAnsi="宋体" w:cs="宋体"/>
                <w:color w:val="auto"/>
                <w:sz w:val="24"/>
              </w:rPr>
            </w:pPr>
            <w:r>
              <w:rPr>
                <w:rFonts w:hint="eastAsia" w:ascii="宋体" w:hAnsi="宋体" w:cs="宋体"/>
                <w:color w:val="auto"/>
                <w:sz w:val="24"/>
              </w:rPr>
              <w:t>13566627207</w:t>
            </w:r>
          </w:p>
        </w:tc>
      </w:tr>
      <w:tr w14:paraId="7A42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14:paraId="6DDC6CF6">
            <w:pPr>
              <w:jc w:val="center"/>
              <w:rPr>
                <w:rFonts w:ascii="宋体" w:hAnsi="宋体" w:cs="宋体"/>
                <w:color w:val="auto"/>
                <w:sz w:val="24"/>
              </w:rPr>
            </w:pPr>
            <w:r>
              <w:rPr>
                <w:rFonts w:hint="eastAsia" w:ascii="宋体" w:hAnsi="宋体" w:cs="宋体"/>
                <w:color w:val="auto"/>
                <w:sz w:val="24"/>
              </w:rPr>
              <w:t>金华银行台州分行</w:t>
            </w:r>
          </w:p>
        </w:tc>
        <w:tc>
          <w:tcPr>
            <w:tcW w:w="1579" w:type="dxa"/>
            <w:vAlign w:val="center"/>
          </w:tcPr>
          <w:p w14:paraId="7EE3111E">
            <w:pPr>
              <w:jc w:val="center"/>
              <w:rPr>
                <w:rFonts w:ascii="宋体" w:hAnsi="宋体" w:cs="宋体"/>
                <w:color w:val="auto"/>
                <w:sz w:val="24"/>
              </w:rPr>
            </w:pPr>
            <w:r>
              <w:rPr>
                <w:rFonts w:hint="eastAsia" w:ascii="宋体" w:hAnsi="宋体" w:cs="宋体"/>
                <w:color w:val="auto"/>
                <w:sz w:val="24"/>
              </w:rPr>
              <w:t>4.05%起</w:t>
            </w:r>
          </w:p>
        </w:tc>
        <w:tc>
          <w:tcPr>
            <w:tcW w:w="1821" w:type="dxa"/>
            <w:vAlign w:val="center"/>
          </w:tcPr>
          <w:p w14:paraId="1C50B361">
            <w:pPr>
              <w:jc w:val="center"/>
              <w:rPr>
                <w:rFonts w:ascii="宋体" w:hAnsi="宋体" w:cs="宋体"/>
                <w:color w:val="auto"/>
                <w:sz w:val="24"/>
              </w:rPr>
            </w:pPr>
            <w:r>
              <w:rPr>
                <w:rFonts w:hint="eastAsia" w:ascii="宋体" w:hAnsi="宋体" w:cs="宋体"/>
                <w:color w:val="auto"/>
                <w:sz w:val="24"/>
              </w:rPr>
              <w:t>金雪婷</w:t>
            </w:r>
          </w:p>
        </w:tc>
        <w:tc>
          <w:tcPr>
            <w:tcW w:w="2303" w:type="dxa"/>
            <w:vAlign w:val="center"/>
          </w:tcPr>
          <w:p w14:paraId="2167FBD5">
            <w:pPr>
              <w:jc w:val="center"/>
              <w:rPr>
                <w:rFonts w:ascii="宋体" w:hAnsi="宋体" w:cs="宋体"/>
                <w:color w:val="auto"/>
                <w:sz w:val="24"/>
              </w:rPr>
            </w:pPr>
            <w:r>
              <w:rPr>
                <w:rFonts w:hint="eastAsia" w:ascii="宋体" w:hAnsi="宋体" w:cs="宋体"/>
                <w:color w:val="auto"/>
                <w:sz w:val="24"/>
              </w:rPr>
              <w:t>81886670</w:t>
            </w:r>
          </w:p>
          <w:p w14:paraId="16224EC1">
            <w:pPr>
              <w:jc w:val="center"/>
              <w:rPr>
                <w:rFonts w:ascii="宋体" w:hAnsi="宋体" w:cs="宋体"/>
                <w:color w:val="auto"/>
                <w:sz w:val="24"/>
              </w:rPr>
            </w:pPr>
            <w:r>
              <w:rPr>
                <w:rFonts w:hint="eastAsia" w:ascii="宋体" w:hAnsi="宋体" w:cs="宋体"/>
                <w:color w:val="auto"/>
                <w:sz w:val="24"/>
              </w:rPr>
              <w:t>15968661569</w:t>
            </w:r>
          </w:p>
        </w:tc>
      </w:tr>
      <w:tr w14:paraId="16BC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3BE679DB">
            <w:pPr>
              <w:jc w:val="center"/>
              <w:rPr>
                <w:rFonts w:ascii="宋体" w:hAnsi="宋体" w:cs="宋体"/>
                <w:color w:val="auto"/>
                <w:sz w:val="24"/>
              </w:rPr>
            </w:pPr>
            <w:r>
              <w:rPr>
                <w:rFonts w:hint="eastAsia" w:ascii="宋体" w:hAnsi="宋体" w:cs="宋体"/>
                <w:color w:val="auto"/>
                <w:sz w:val="24"/>
              </w:rPr>
              <w:t>台州银行</w:t>
            </w:r>
          </w:p>
        </w:tc>
        <w:tc>
          <w:tcPr>
            <w:tcW w:w="1579" w:type="dxa"/>
            <w:vAlign w:val="center"/>
          </w:tcPr>
          <w:p w14:paraId="047C8EB4">
            <w:pPr>
              <w:jc w:val="center"/>
              <w:rPr>
                <w:rFonts w:ascii="宋体" w:hAnsi="宋体" w:cs="宋体"/>
                <w:color w:val="auto"/>
                <w:sz w:val="24"/>
              </w:rPr>
            </w:pPr>
            <w:r>
              <w:rPr>
                <w:rFonts w:hint="eastAsia" w:ascii="宋体" w:hAnsi="宋体" w:cs="宋体"/>
                <w:color w:val="auto"/>
                <w:sz w:val="24"/>
              </w:rPr>
              <w:t>5.6%起</w:t>
            </w:r>
          </w:p>
        </w:tc>
        <w:tc>
          <w:tcPr>
            <w:tcW w:w="1821" w:type="dxa"/>
            <w:vAlign w:val="center"/>
          </w:tcPr>
          <w:p w14:paraId="51EF69A8">
            <w:pPr>
              <w:jc w:val="center"/>
              <w:rPr>
                <w:rFonts w:ascii="宋体" w:hAnsi="宋体" w:cs="宋体"/>
                <w:color w:val="auto"/>
                <w:sz w:val="24"/>
              </w:rPr>
            </w:pPr>
            <w:r>
              <w:rPr>
                <w:rFonts w:hint="eastAsia" w:ascii="宋体" w:hAnsi="宋体" w:cs="宋体"/>
                <w:color w:val="auto"/>
                <w:sz w:val="24"/>
              </w:rPr>
              <w:t>洪婷</w:t>
            </w:r>
          </w:p>
        </w:tc>
        <w:tc>
          <w:tcPr>
            <w:tcW w:w="2303" w:type="dxa"/>
            <w:vAlign w:val="center"/>
          </w:tcPr>
          <w:p w14:paraId="1D617FE5">
            <w:pPr>
              <w:jc w:val="center"/>
              <w:rPr>
                <w:rFonts w:ascii="宋体" w:hAnsi="宋体" w:cs="宋体"/>
                <w:color w:val="auto"/>
                <w:sz w:val="24"/>
              </w:rPr>
            </w:pPr>
            <w:r>
              <w:rPr>
                <w:rFonts w:hint="eastAsia" w:ascii="宋体" w:hAnsi="宋体" w:cs="宋体"/>
                <w:color w:val="auto"/>
                <w:sz w:val="24"/>
              </w:rPr>
              <w:t>15858624999</w:t>
            </w:r>
          </w:p>
        </w:tc>
      </w:tr>
      <w:tr w14:paraId="4354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11" w:type="dxa"/>
            <w:vAlign w:val="center"/>
          </w:tcPr>
          <w:p w14:paraId="10E579B3">
            <w:pPr>
              <w:jc w:val="center"/>
              <w:rPr>
                <w:rFonts w:ascii="宋体" w:hAnsi="宋体" w:cs="宋体"/>
                <w:color w:val="auto"/>
                <w:sz w:val="24"/>
              </w:rPr>
            </w:pPr>
            <w:r>
              <w:rPr>
                <w:rFonts w:hint="eastAsia" w:ascii="宋体" w:hAnsi="宋体" w:cs="宋体"/>
                <w:color w:val="auto"/>
                <w:sz w:val="24"/>
              </w:rPr>
              <w:t>邮储银行台州分行</w:t>
            </w:r>
          </w:p>
        </w:tc>
        <w:tc>
          <w:tcPr>
            <w:tcW w:w="1579" w:type="dxa"/>
            <w:vAlign w:val="center"/>
          </w:tcPr>
          <w:p w14:paraId="3D21D98A">
            <w:pPr>
              <w:jc w:val="center"/>
              <w:rPr>
                <w:rFonts w:ascii="宋体" w:hAnsi="宋体" w:cs="宋体"/>
                <w:color w:val="auto"/>
                <w:sz w:val="24"/>
              </w:rPr>
            </w:pPr>
            <w:r>
              <w:rPr>
                <w:rFonts w:hint="eastAsia" w:ascii="宋体" w:hAnsi="宋体" w:cs="宋体"/>
                <w:color w:val="auto"/>
                <w:sz w:val="24"/>
              </w:rPr>
              <w:t>3.85%起</w:t>
            </w:r>
          </w:p>
        </w:tc>
        <w:tc>
          <w:tcPr>
            <w:tcW w:w="1821" w:type="dxa"/>
            <w:vAlign w:val="center"/>
          </w:tcPr>
          <w:p w14:paraId="677C3545">
            <w:pPr>
              <w:jc w:val="center"/>
              <w:rPr>
                <w:rFonts w:ascii="宋体" w:hAnsi="宋体" w:cs="宋体"/>
                <w:color w:val="auto"/>
                <w:sz w:val="24"/>
              </w:rPr>
            </w:pPr>
            <w:r>
              <w:rPr>
                <w:rFonts w:hint="eastAsia" w:ascii="宋体" w:hAnsi="宋体" w:cs="宋体"/>
                <w:color w:val="auto"/>
                <w:sz w:val="24"/>
              </w:rPr>
              <w:t>董庆</w:t>
            </w:r>
          </w:p>
        </w:tc>
        <w:tc>
          <w:tcPr>
            <w:tcW w:w="2303" w:type="dxa"/>
            <w:vAlign w:val="center"/>
          </w:tcPr>
          <w:p w14:paraId="3EE1E72D">
            <w:pPr>
              <w:jc w:val="center"/>
              <w:rPr>
                <w:rFonts w:ascii="宋体" w:hAnsi="宋体" w:cs="宋体"/>
                <w:color w:val="auto"/>
                <w:sz w:val="24"/>
              </w:rPr>
            </w:pPr>
            <w:r>
              <w:rPr>
                <w:rFonts w:hint="eastAsia" w:ascii="宋体" w:hAnsi="宋体" w:cs="宋体"/>
                <w:color w:val="auto"/>
                <w:sz w:val="24"/>
              </w:rPr>
              <w:t>81888982</w:t>
            </w:r>
          </w:p>
          <w:p w14:paraId="35D74F05">
            <w:pPr>
              <w:jc w:val="center"/>
              <w:rPr>
                <w:rFonts w:ascii="宋体" w:hAnsi="宋体" w:cs="宋体"/>
                <w:color w:val="auto"/>
                <w:sz w:val="24"/>
              </w:rPr>
            </w:pPr>
            <w:r>
              <w:rPr>
                <w:rFonts w:hint="eastAsia" w:ascii="宋体" w:hAnsi="宋体" w:cs="宋体"/>
                <w:color w:val="auto"/>
                <w:sz w:val="24"/>
              </w:rPr>
              <w:t>18957683735</w:t>
            </w:r>
          </w:p>
        </w:tc>
      </w:tr>
    </w:tbl>
    <w:p w14:paraId="0706349D">
      <w:pPr>
        <w:jc w:val="center"/>
        <w:outlineLvl w:val="1"/>
        <w:rPr>
          <w:color w:val="auto"/>
          <w:sz w:val="32"/>
          <w:szCs w:val="32"/>
        </w:rPr>
      </w:pPr>
      <w:bookmarkStart w:id="1" w:name="_Toc521434602"/>
      <w:r>
        <w:rPr>
          <w:rFonts w:hint="eastAsia"/>
          <w:color w:val="auto"/>
          <w:sz w:val="32"/>
          <w:szCs w:val="32"/>
        </w:rPr>
        <w:t>合同履约保函联系方式</w:t>
      </w:r>
      <w:bookmarkEnd w:id="1"/>
    </w:p>
    <w:tbl>
      <w:tblPr>
        <w:tblStyle w:val="29"/>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14:paraId="254639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14:paraId="23B4D151">
            <w:pPr>
              <w:jc w:val="center"/>
              <w:rPr>
                <w:rFonts w:ascii="宋体" w:hAnsi="宋体" w:cs="宋体"/>
                <w:color w:val="auto"/>
                <w:sz w:val="24"/>
              </w:rPr>
            </w:pPr>
            <w:r>
              <w:rPr>
                <w:rFonts w:hint="eastAsia" w:ascii="宋体" w:hAnsi="宋体" w:cs="宋体"/>
                <w:color w:val="auto"/>
                <w:sz w:val="24"/>
              </w:rPr>
              <w:t>保险公司名称</w:t>
            </w:r>
          </w:p>
        </w:tc>
        <w:tc>
          <w:tcPr>
            <w:tcW w:w="2629" w:type="dxa"/>
            <w:vAlign w:val="center"/>
          </w:tcPr>
          <w:p w14:paraId="23B86174">
            <w:pPr>
              <w:jc w:val="center"/>
              <w:rPr>
                <w:rFonts w:ascii="宋体" w:hAnsi="宋体" w:cs="宋体"/>
                <w:color w:val="auto"/>
                <w:sz w:val="24"/>
              </w:rPr>
            </w:pPr>
            <w:r>
              <w:rPr>
                <w:rFonts w:hint="eastAsia" w:ascii="宋体" w:hAnsi="宋体" w:cs="宋体"/>
                <w:color w:val="auto"/>
                <w:sz w:val="24"/>
              </w:rPr>
              <w:t>保费率</w:t>
            </w:r>
          </w:p>
        </w:tc>
        <w:tc>
          <w:tcPr>
            <w:tcW w:w="983" w:type="dxa"/>
            <w:vAlign w:val="center"/>
          </w:tcPr>
          <w:p w14:paraId="2C6739C1">
            <w:pPr>
              <w:jc w:val="center"/>
              <w:rPr>
                <w:rFonts w:ascii="宋体" w:hAnsi="宋体" w:cs="宋体"/>
                <w:color w:val="auto"/>
                <w:sz w:val="24"/>
              </w:rPr>
            </w:pPr>
            <w:r>
              <w:rPr>
                <w:rFonts w:hint="eastAsia" w:ascii="宋体" w:hAnsi="宋体" w:cs="宋体"/>
                <w:color w:val="auto"/>
                <w:sz w:val="24"/>
              </w:rPr>
              <w:t>联系人</w:t>
            </w:r>
          </w:p>
        </w:tc>
        <w:tc>
          <w:tcPr>
            <w:tcW w:w="1536" w:type="dxa"/>
            <w:vAlign w:val="center"/>
          </w:tcPr>
          <w:p w14:paraId="499AA57A">
            <w:pPr>
              <w:jc w:val="center"/>
              <w:rPr>
                <w:rFonts w:ascii="宋体" w:hAnsi="宋体" w:cs="宋体"/>
                <w:color w:val="auto"/>
                <w:sz w:val="24"/>
              </w:rPr>
            </w:pPr>
            <w:r>
              <w:rPr>
                <w:rFonts w:hint="eastAsia" w:ascii="宋体" w:hAnsi="宋体" w:cs="宋体"/>
                <w:color w:val="auto"/>
                <w:sz w:val="24"/>
              </w:rPr>
              <w:t>联系电话</w:t>
            </w:r>
          </w:p>
        </w:tc>
      </w:tr>
      <w:tr w14:paraId="09808C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1700F91">
            <w:pPr>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2629" w:type="dxa"/>
            <w:vAlign w:val="center"/>
          </w:tcPr>
          <w:p w14:paraId="424145F5">
            <w:pPr>
              <w:jc w:val="center"/>
              <w:rPr>
                <w:rFonts w:ascii="宋体" w:hAnsi="宋体" w:cs="宋体"/>
                <w:color w:val="auto"/>
                <w:sz w:val="24"/>
              </w:rPr>
            </w:pPr>
            <w:r>
              <w:rPr>
                <w:rFonts w:hint="eastAsia" w:ascii="宋体" w:hAnsi="宋体" w:cs="宋体"/>
                <w:color w:val="auto"/>
                <w:sz w:val="24"/>
              </w:rPr>
              <w:t>年费率1%，最低保费500元</w:t>
            </w:r>
          </w:p>
        </w:tc>
        <w:tc>
          <w:tcPr>
            <w:tcW w:w="983" w:type="dxa"/>
            <w:vAlign w:val="center"/>
          </w:tcPr>
          <w:p w14:paraId="6CAA0116">
            <w:pPr>
              <w:jc w:val="center"/>
              <w:rPr>
                <w:rFonts w:ascii="宋体" w:hAnsi="宋体" w:cs="宋体"/>
                <w:color w:val="auto"/>
                <w:sz w:val="24"/>
              </w:rPr>
            </w:pPr>
            <w:r>
              <w:rPr>
                <w:rFonts w:hint="eastAsia" w:ascii="宋体" w:hAnsi="宋体" w:cs="宋体"/>
                <w:color w:val="auto"/>
                <w:sz w:val="24"/>
              </w:rPr>
              <w:t>徐凌</w:t>
            </w:r>
          </w:p>
        </w:tc>
        <w:tc>
          <w:tcPr>
            <w:tcW w:w="1536" w:type="dxa"/>
            <w:vAlign w:val="center"/>
          </w:tcPr>
          <w:p w14:paraId="2C7CD5BC">
            <w:pPr>
              <w:jc w:val="center"/>
              <w:rPr>
                <w:rFonts w:ascii="宋体" w:hAnsi="宋体" w:cs="宋体"/>
                <w:color w:val="auto"/>
                <w:sz w:val="24"/>
              </w:rPr>
            </w:pPr>
            <w:r>
              <w:rPr>
                <w:rFonts w:hint="eastAsia" w:ascii="宋体" w:hAnsi="宋体" w:cs="宋体"/>
                <w:color w:val="auto"/>
                <w:sz w:val="24"/>
              </w:rPr>
              <w:t>13905168070</w:t>
            </w:r>
          </w:p>
        </w:tc>
      </w:tr>
      <w:tr w14:paraId="024FDC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A092EE2">
            <w:pPr>
              <w:jc w:val="center"/>
              <w:rPr>
                <w:rFonts w:ascii="宋体" w:hAnsi="宋体" w:cs="宋体"/>
                <w:color w:val="auto"/>
                <w:sz w:val="24"/>
              </w:rPr>
            </w:pPr>
            <w:r>
              <w:rPr>
                <w:rFonts w:hint="eastAsia" w:ascii="宋体" w:hAnsi="宋体" w:cs="宋体"/>
                <w:color w:val="auto"/>
                <w:sz w:val="24"/>
              </w:rPr>
              <w:t>永诚财产保险股份有限公司台州分公司</w:t>
            </w:r>
          </w:p>
        </w:tc>
        <w:tc>
          <w:tcPr>
            <w:tcW w:w="2629" w:type="dxa"/>
            <w:vAlign w:val="center"/>
          </w:tcPr>
          <w:p w14:paraId="6B04730D">
            <w:pPr>
              <w:jc w:val="center"/>
              <w:rPr>
                <w:rFonts w:ascii="宋体" w:hAnsi="宋体" w:cs="宋体"/>
                <w:color w:val="auto"/>
                <w:sz w:val="24"/>
              </w:rPr>
            </w:pPr>
            <w:r>
              <w:rPr>
                <w:rFonts w:hint="eastAsia" w:ascii="宋体" w:hAnsi="宋体" w:cs="宋体"/>
                <w:color w:val="auto"/>
                <w:sz w:val="24"/>
              </w:rPr>
              <w:t>年费率1%，最低保费1000元</w:t>
            </w:r>
          </w:p>
        </w:tc>
        <w:tc>
          <w:tcPr>
            <w:tcW w:w="983" w:type="dxa"/>
            <w:vAlign w:val="center"/>
          </w:tcPr>
          <w:p w14:paraId="55D7EFA1">
            <w:pPr>
              <w:jc w:val="center"/>
              <w:rPr>
                <w:rFonts w:ascii="宋体" w:hAnsi="宋体" w:cs="宋体"/>
                <w:color w:val="auto"/>
                <w:sz w:val="24"/>
              </w:rPr>
            </w:pPr>
            <w:r>
              <w:rPr>
                <w:rFonts w:hint="eastAsia" w:ascii="宋体" w:hAnsi="宋体" w:cs="宋体"/>
                <w:color w:val="auto"/>
                <w:sz w:val="24"/>
              </w:rPr>
              <w:t>尹刚强</w:t>
            </w:r>
          </w:p>
        </w:tc>
        <w:tc>
          <w:tcPr>
            <w:tcW w:w="1536" w:type="dxa"/>
            <w:vAlign w:val="center"/>
          </w:tcPr>
          <w:p w14:paraId="391C7085">
            <w:pPr>
              <w:jc w:val="center"/>
              <w:rPr>
                <w:rFonts w:ascii="宋体" w:hAnsi="宋体" w:cs="宋体"/>
                <w:color w:val="auto"/>
                <w:sz w:val="24"/>
              </w:rPr>
            </w:pPr>
            <w:r>
              <w:rPr>
                <w:rFonts w:hint="eastAsia" w:ascii="宋体" w:hAnsi="宋体" w:cs="宋体"/>
                <w:color w:val="auto"/>
                <w:sz w:val="24"/>
              </w:rPr>
              <w:t>13750668184</w:t>
            </w:r>
          </w:p>
        </w:tc>
      </w:tr>
      <w:tr w14:paraId="5D40C7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7CF7D2D">
            <w:pPr>
              <w:jc w:val="center"/>
              <w:rPr>
                <w:rFonts w:ascii="宋体" w:hAnsi="宋体" w:cs="宋体"/>
                <w:color w:val="auto"/>
                <w:sz w:val="24"/>
              </w:rPr>
            </w:pPr>
            <w:r>
              <w:rPr>
                <w:rFonts w:hint="eastAsia" w:ascii="宋体" w:hAnsi="宋体" w:cs="宋体"/>
                <w:color w:val="auto"/>
                <w:sz w:val="24"/>
              </w:rPr>
              <w:t>华泰财产保险有限公司台州中心支公司</w:t>
            </w:r>
          </w:p>
        </w:tc>
        <w:tc>
          <w:tcPr>
            <w:tcW w:w="2629" w:type="dxa"/>
            <w:vAlign w:val="center"/>
          </w:tcPr>
          <w:p w14:paraId="0DB200F5">
            <w:pPr>
              <w:jc w:val="center"/>
              <w:rPr>
                <w:rFonts w:ascii="宋体" w:hAnsi="宋体" w:cs="宋体"/>
                <w:color w:val="auto"/>
                <w:sz w:val="24"/>
              </w:rPr>
            </w:pPr>
            <w:r>
              <w:rPr>
                <w:rFonts w:hint="eastAsia" w:ascii="宋体" w:hAnsi="宋体" w:cs="宋体"/>
                <w:color w:val="auto"/>
                <w:sz w:val="24"/>
              </w:rPr>
              <w:t>年费率0.5%，最低保费1000元</w:t>
            </w:r>
          </w:p>
        </w:tc>
        <w:tc>
          <w:tcPr>
            <w:tcW w:w="983" w:type="dxa"/>
            <w:vAlign w:val="center"/>
          </w:tcPr>
          <w:p w14:paraId="712FFCB9">
            <w:pPr>
              <w:jc w:val="center"/>
              <w:rPr>
                <w:rFonts w:ascii="宋体" w:hAnsi="宋体" w:cs="宋体"/>
                <w:color w:val="auto"/>
                <w:sz w:val="24"/>
              </w:rPr>
            </w:pPr>
            <w:r>
              <w:rPr>
                <w:rFonts w:hint="eastAsia" w:ascii="宋体" w:hAnsi="宋体" w:cs="宋体"/>
                <w:color w:val="auto"/>
                <w:sz w:val="24"/>
              </w:rPr>
              <w:t>王灵芳</w:t>
            </w:r>
          </w:p>
        </w:tc>
        <w:tc>
          <w:tcPr>
            <w:tcW w:w="1536" w:type="dxa"/>
            <w:vAlign w:val="center"/>
          </w:tcPr>
          <w:p w14:paraId="413BF232">
            <w:pPr>
              <w:jc w:val="center"/>
              <w:rPr>
                <w:rFonts w:ascii="宋体" w:hAnsi="宋体" w:cs="宋体"/>
                <w:color w:val="auto"/>
                <w:sz w:val="24"/>
              </w:rPr>
            </w:pPr>
            <w:r>
              <w:rPr>
                <w:rFonts w:hint="eastAsia" w:ascii="宋体" w:hAnsi="宋体" w:cs="宋体"/>
                <w:color w:val="auto"/>
                <w:sz w:val="24"/>
              </w:rPr>
              <w:t>88869818 13586123199</w:t>
            </w:r>
          </w:p>
        </w:tc>
      </w:tr>
      <w:tr w14:paraId="5254D2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833D73F">
            <w:pPr>
              <w:jc w:val="center"/>
              <w:rPr>
                <w:rFonts w:ascii="宋体" w:hAnsi="宋体" w:cs="宋体"/>
                <w:color w:val="auto"/>
                <w:sz w:val="24"/>
              </w:rPr>
            </w:pPr>
            <w:r>
              <w:rPr>
                <w:rFonts w:hint="eastAsia" w:ascii="宋体" w:hAnsi="宋体" w:cs="宋体"/>
                <w:color w:val="auto"/>
                <w:sz w:val="24"/>
              </w:rPr>
              <w:t>中国大地财产保险股份有限公司台州中心支公司</w:t>
            </w:r>
          </w:p>
        </w:tc>
        <w:tc>
          <w:tcPr>
            <w:tcW w:w="2629" w:type="dxa"/>
            <w:vAlign w:val="center"/>
          </w:tcPr>
          <w:p w14:paraId="0897B615">
            <w:pPr>
              <w:jc w:val="center"/>
              <w:rPr>
                <w:rFonts w:ascii="宋体" w:hAnsi="宋体" w:cs="宋体"/>
                <w:color w:val="auto"/>
                <w:sz w:val="24"/>
              </w:rPr>
            </w:pPr>
            <w:r>
              <w:rPr>
                <w:rFonts w:hint="eastAsia" w:ascii="宋体" w:hAnsi="宋体" w:cs="宋体"/>
                <w:color w:val="auto"/>
                <w:sz w:val="24"/>
              </w:rPr>
              <w:t>年费率1.5%，最低保费1000元</w:t>
            </w:r>
          </w:p>
        </w:tc>
        <w:tc>
          <w:tcPr>
            <w:tcW w:w="983" w:type="dxa"/>
            <w:vAlign w:val="center"/>
          </w:tcPr>
          <w:p w14:paraId="4F50FAE0">
            <w:pPr>
              <w:jc w:val="center"/>
              <w:rPr>
                <w:rFonts w:ascii="宋体" w:hAnsi="宋体" w:cs="宋体"/>
                <w:color w:val="auto"/>
                <w:sz w:val="24"/>
              </w:rPr>
            </w:pPr>
            <w:r>
              <w:rPr>
                <w:rFonts w:hint="eastAsia" w:ascii="宋体" w:hAnsi="宋体" w:cs="宋体"/>
                <w:color w:val="auto"/>
                <w:sz w:val="24"/>
              </w:rPr>
              <w:t>徐小明</w:t>
            </w:r>
          </w:p>
        </w:tc>
        <w:tc>
          <w:tcPr>
            <w:tcW w:w="1536" w:type="dxa"/>
            <w:vAlign w:val="center"/>
          </w:tcPr>
          <w:p w14:paraId="63F5308F">
            <w:pPr>
              <w:jc w:val="center"/>
              <w:rPr>
                <w:rFonts w:ascii="宋体" w:hAnsi="宋体" w:cs="宋体"/>
                <w:color w:val="auto"/>
                <w:sz w:val="24"/>
              </w:rPr>
            </w:pPr>
            <w:r>
              <w:rPr>
                <w:rFonts w:hint="eastAsia" w:ascii="宋体" w:hAnsi="宋体" w:cs="宋体"/>
                <w:color w:val="auto"/>
                <w:sz w:val="24"/>
              </w:rPr>
              <w:t>88552788      13968603112</w:t>
            </w:r>
          </w:p>
        </w:tc>
      </w:tr>
      <w:tr w14:paraId="19F115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6851F7C1">
            <w:pPr>
              <w:jc w:val="center"/>
              <w:rPr>
                <w:rFonts w:ascii="宋体" w:hAnsi="宋体" w:cs="宋体"/>
                <w:color w:val="auto"/>
                <w:sz w:val="24"/>
              </w:rPr>
            </w:pPr>
            <w:r>
              <w:rPr>
                <w:rFonts w:hint="eastAsia" w:ascii="宋体" w:hAnsi="宋体" w:cs="宋体"/>
                <w:color w:val="auto"/>
                <w:sz w:val="24"/>
              </w:rPr>
              <w:t>阳光保险台州中心支公司</w:t>
            </w:r>
          </w:p>
        </w:tc>
        <w:tc>
          <w:tcPr>
            <w:tcW w:w="2629" w:type="dxa"/>
            <w:vAlign w:val="center"/>
          </w:tcPr>
          <w:p w14:paraId="7B5CE791">
            <w:pPr>
              <w:jc w:val="center"/>
              <w:rPr>
                <w:rFonts w:ascii="宋体" w:hAnsi="宋体" w:cs="宋体"/>
                <w:color w:val="auto"/>
                <w:sz w:val="24"/>
              </w:rPr>
            </w:pPr>
            <w:r>
              <w:rPr>
                <w:rFonts w:hint="eastAsia" w:ascii="宋体" w:hAnsi="宋体" w:cs="宋体"/>
                <w:color w:val="auto"/>
                <w:sz w:val="24"/>
              </w:rPr>
              <w:t>年费率1%，最低保费500元</w:t>
            </w:r>
          </w:p>
        </w:tc>
        <w:tc>
          <w:tcPr>
            <w:tcW w:w="983" w:type="dxa"/>
            <w:vAlign w:val="center"/>
          </w:tcPr>
          <w:p w14:paraId="20D5EE67">
            <w:pPr>
              <w:jc w:val="center"/>
              <w:rPr>
                <w:rFonts w:ascii="宋体" w:hAnsi="宋体" w:cs="宋体"/>
                <w:color w:val="auto"/>
                <w:sz w:val="24"/>
              </w:rPr>
            </w:pPr>
            <w:r>
              <w:rPr>
                <w:rFonts w:hint="eastAsia" w:ascii="宋体" w:hAnsi="宋体" w:cs="宋体"/>
                <w:color w:val="auto"/>
                <w:sz w:val="24"/>
              </w:rPr>
              <w:t>林高明</w:t>
            </w:r>
          </w:p>
        </w:tc>
        <w:tc>
          <w:tcPr>
            <w:tcW w:w="1536" w:type="dxa"/>
            <w:vAlign w:val="center"/>
          </w:tcPr>
          <w:p w14:paraId="12C6C3FF">
            <w:pPr>
              <w:jc w:val="center"/>
              <w:rPr>
                <w:rFonts w:ascii="宋体" w:hAnsi="宋体" w:cs="宋体"/>
                <w:color w:val="auto"/>
                <w:sz w:val="24"/>
              </w:rPr>
            </w:pPr>
            <w:r>
              <w:rPr>
                <w:rFonts w:hint="eastAsia" w:ascii="宋体" w:hAnsi="宋体" w:cs="宋体"/>
                <w:color w:val="auto"/>
                <w:sz w:val="24"/>
              </w:rPr>
              <w:t>15888682693</w:t>
            </w:r>
          </w:p>
        </w:tc>
      </w:tr>
      <w:tr w14:paraId="48D6A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10EAEEDF">
            <w:pPr>
              <w:jc w:val="center"/>
              <w:rPr>
                <w:rFonts w:ascii="宋体" w:hAnsi="宋体" w:cs="宋体"/>
                <w:color w:val="auto"/>
                <w:sz w:val="24"/>
              </w:rPr>
            </w:pPr>
            <w:r>
              <w:rPr>
                <w:rFonts w:hint="eastAsia" w:ascii="宋体" w:hAnsi="宋体" w:cs="宋体"/>
                <w:color w:val="auto"/>
                <w:sz w:val="24"/>
              </w:rPr>
              <w:t>中华联合财产保险股份有限公司台州中心支公司</w:t>
            </w:r>
          </w:p>
        </w:tc>
        <w:tc>
          <w:tcPr>
            <w:tcW w:w="2629" w:type="dxa"/>
            <w:vAlign w:val="center"/>
          </w:tcPr>
          <w:p w14:paraId="026A2757">
            <w:pPr>
              <w:jc w:val="center"/>
              <w:rPr>
                <w:rFonts w:ascii="宋体" w:hAnsi="宋体" w:cs="宋体"/>
                <w:color w:val="auto"/>
                <w:sz w:val="24"/>
              </w:rPr>
            </w:pPr>
            <w:r>
              <w:rPr>
                <w:rFonts w:hint="eastAsia" w:ascii="宋体" w:hAnsi="宋体" w:cs="宋体"/>
                <w:color w:val="auto"/>
                <w:sz w:val="24"/>
              </w:rPr>
              <w:t>年费率2%，最低保费500元</w:t>
            </w:r>
          </w:p>
        </w:tc>
        <w:tc>
          <w:tcPr>
            <w:tcW w:w="983" w:type="dxa"/>
            <w:vAlign w:val="center"/>
          </w:tcPr>
          <w:p w14:paraId="62E86AB5">
            <w:pPr>
              <w:jc w:val="center"/>
              <w:rPr>
                <w:rFonts w:ascii="宋体" w:hAnsi="宋体" w:cs="宋体"/>
                <w:color w:val="auto"/>
                <w:sz w:val="24"/>
              </w:rPr>
            </w:pPr>
            <w:r>
              <w:rPr>
                <w:rFonts w:hint="eastAsia" w:ascii="宋体" w:hAnsi="宋体" w:cs="宋体"/>
                <w:color w:val="auto"/>
                <w:sz w:val="24"/>
              </w:rPr>
              <w:t>王仙高</w:t>
            </w:r>
          </w:p>
        </w:tc>
        <w:tc>
          <w:tcPr>
            <w:tcW w:w="1536" w:type="dxa"/>
            <w:vAlign w:val="center"/>
          </w:tcPr>
          <w:p w14:paraId="50DEDAA2">
            <w:pPr>
              <w:jc w:val="center"/>
              <w:rPr>
                <w:rFonts w:ascii="宋体" w:hAnsi="宋体" w:cs="宋体"/>
                <w:color w:val="auto"/>
                <w:sz w:val="24"/>
              </w:rPr>
            </w:pPr>
            <w:r>
              <w:rPr>
                <w:rFonts w:hint="eastAsia" w:ascii="宋体" w:hAnsi="宋体" w:cs="宋体"/>
                <w:color w:val="auto"/>
                <w:sz w:val="24"/>
              </w:rPr>
              <w:t>13858600221</w:t>
            </w:r>
          </w:p>
        </w:tc>
      </w:tr>
      <w:tr w14:paraId="6E59ED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10EEF9F">
            <w:pPr>
              <w:jc w:val="center"/>
              <w:rPr>
                <w:rFonts w:ascii="宋体" w:hAnsi="宋体" w:cs="宋体"/>
                <w:color w:val="auto"/>
                <w:sz w:val="24"/>
              </w:rPr>
            </w:pPr>
            <w:r>
              <w:rPr>
                <w:rFonts w:hint="eastAsia" w:ascii="宋体" w:hAnsi="宋体" w:cs="宋体"/>
                <w:color w:val="auto"/>
                <w:sz w:val="24"/>
              </w:rPr>
              <w:t>中国人民财产保险股份有限公司台州中心支公司</w:t>
            </w:r>
          </w:p>
        </w:tc>
        <w:tc>
          <w:tcPr>
            <w:tcW w:w="2629" w:type="dxa"/>
            <w:vAlign w:val="center"/>
          </w:tcPr>
          <w:p w14:paraId="5D822963">
            <w:pPr>
              <w:jc w:val="center"/>
              <w:rPr>
                <w:rFonts w:ascii="宋体" w:hAnsi="宋体" w:cs="宋体"/>
                <w:color w:val="auto"/>
                <w:sz w:val="24"/>
              </w:rPr>
            </w:pPr>
            <w:r>
              <w:rPr>
                <w:rFonts w:hint="eastAsia" w:ascii="宋体" w:hAnsi="宋体" w:cs="宋体"/>
                <w:color w:val="auto"/>
                <w:sz w:val="24"/>
              </w:rPr>
              <w:t>年费率0.3%，最低保费1000元</w:t>
            </w:r>
          </w:p>
        </w:tc>
        <w:tc>
          <w:tcPr>
            <w:tcW w:w="983" w:type="dxa"/>
            <w:vAlign w:val="center"/>
          </w:tcPr>
          <w:p w14:paraId="12BFF63B">
            <w:pPr>
              <w:jc w:val="center"/>
              <w:rPr>
                <w:rFonts w:ascii="宋体" w:hAnsi="宋体" w:cs="宋体"/>
                <w:color w:val="auto"/>
                <w:sz w:val="24"/>
              </w:rPr>
            </w:pPr>
            <w:r>
              <w:rPr>
                <w:rFonts w:hint="eastAsia" w:ascii="宋体" w:hAnsi="宋体" w:cs="宋体"/>
                <w:color w:val="auto"/>
                <w:sz w:val="24"/>
              </w:rPr>
              <w:t>王仙春</w:t>
            </w:r>
          </w:p>
        </w:tc>
        <w:tc>
          <w:tcPr>
            <w:tcW w:w="1536" w:type="dxa"/>
            <w:vAlign w:val="center"/>
          </w:tcPr>
          <w:p w14:paraId="7C4EE99C">
            <w:pPr>
              <w:jc w:val="center"/>
              <w:rPr>
                <w:rFonts w:ascii="宋体" w:hAnsi="宋体" w:cs="宋体"/>
                <w:color w:val="auto"/>
                <w:sz w:val="24"/>
              </w:rPr>
            </w:pPr>
            <w:r>
              <w:rPr>
                <w:rFonts w:hint="eastAsia" w:ascii="宋体" w:hAnsi="宋体" w:cs="宋体"/>
                <w:color w:val="auto"/>
                <w:sz w:val="24"/>
              </w:rPr>
              <w:t>13515769179</w:t>
            </w:r>
          </w:p>
        </w:tc>
      </w:tr>
      <w:tr w14:paraId="5F5212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14:paraId="44BBC82B">
            <w:pPr>
              <w:jc w:val="center"/>
              <w:rPr>
                <w:rFonts w:ascii="宋体" w:hAnsi="宋体" w:cs="宋体"/>
                <w:color w:val="auto"/>
                <w:sz w:val="24"/>
              </w:rPr>
            </w:pPr>
            <w:r>
              <w:rPr>
                <w:rFonts w:hint="eastAsia" w:ascii="宋体" w:hAnsi="宋体" w:cs="宋体"/>
                <w:color w:val="auto"/>
                <w:sz w:val="24"/>
              </w:rPr>
              <w:t>永安财产保险股份有限公司台州中心支公司</w:t>
            </w:r>
          </w:p>
        </w:tc>
        <w:tc>
          <w:tcPr>
            <w:tcW w:w="2629" w:type="dxa"/>
            <w:vAlign w:val="center"/>
          </w:tcPr>
          <w:p w14:paraId="2C1FE494">
            <w:pPr>
              <w:jc w:val="center"/>
              <w:rPr>
                <w:rFonts w:ascii="宋体" w:hAnsi="宋体" w:cs="宋体"/>
                <w:color w:val="auto"/>
                <w:sz w:val="24"/>
              </w:rPr>
            </w:pPr>
            <w:r>
              <w:rPr>
                <w:rFonts w:hint="eastAsia" w:ascii="宋体" w:hAnsi="宋体" w:cs="宋体"/>
                <w:color w:val="auto"/>
                <w:sz w:val="24"/>
              </w:rPr>
              <w:t>年费率0.3%，最低保费1000</w:t>
            </w:r>
          </w:p>
        </w:tc>
        <w:tc>
          <w:tcPr>
            <w:tcW w:w="983" w:type="dxa"/>
            <w:vAlign w:val="center"/>
          </w:tcPr>
          <w:p w14:paraId="395C1681">
            <w:pPr>
              <w:jc w:val="center"/>
              <w:rPr>
                <w:rFonts w:ascii="宋体" w:hAnsi="宋体" w:cs="宋体"/>
                <w:color w:val="auto"/>
                <w:sz w:val="24"/>
              </w:rPr>
            </w:pPr>
            <w:r>
              <w:rPr>
                <w:rFonts w:hint="eastAsia" w:ascii="宋体" w:hAnsi="宋体" w:cs="宋体"/>
                <w:color w:val="auto"/>
                <w:sz w:val="24"/>
              </w:rPr>
              <w:t>王春宇</w:t>
            </w:r>
          </w:p>
        </w:tc>
        <w:tc>
          <w:tcPr>
            <w:tcW w:w="1536" w:type="dxa"/>
            <w:vAlign w:val="center"/>
          </w:tcPr>
          <w:p w14:paraId="4CEEFF59">
            <w:pPr>
              <w:jc w:val="center"/>
              <w:rPr>
                <w:rFonts w:ascii="宋体" w:hAnsi="宋体" w:cs="宋体"/>
                <w:color w:val="auto"/>
                <w:sz w:val="24"/>
              </w:rPr>
            </w:pPr>
            <w:r>
              <w:rPr>
                <w:rFonts w:hint="eastAsia" w:ascii="宋体" w:hAnsi="宋体" w:cs="宋体"/>
                <w:color w:val="auto"/>
                <w:sz w:val="24"/>
              </w:rPr>
              <w:t>13676675331</w:t>
            </w:r>
          </w:p>
        </w:tc>
      </w:tr>
    </w:tbl>
    <w:p w14:paraId="6E9F5651">
      <w:pPr>
        <w:ind w:firstLine="3220" w:firstLineChars="1150"/>
        <w:outlineLvl w:val="1"/>
        <w:rPr>
          <w:rFonts w:ascii="宋体" w:hAnsi="宋体" w:cs="宋体"/>
          <w:color w:val="auto"/>
          <w:sz w:val="28"/>
          <w:szCs w:val="28"/>
        </w:rPr>
      </w:pPr>
      <w:bookmarkStart w:id="2" w:name="_Toc2018076054"/>
      <w:r>
        <w:rPr>
          <w:rFonts w:hint="eastAsia" w:ascii="宋体" w:hAnsi="宋体" w:cs="宋体"/>
          <w:color w:val="auto"/>
          <w:sz w:val="28"/>
          <w:szCs w:val="28"/>
        </w:rPr>
        <w:t>预付款保函联系方式</w:t>
      </w:r>
      <w:bookmarkEnd w:id="2"/>
    </w:p>
    <w:tbl>
      <w:tblPr>
        <w:tblStyle w:val="29"/>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14:paraId="3B581D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14:paraId="73CE74F2">
            <w:pPr>
              <w:jc w:val="center"/>
              <w:rPr>
                <w:rFonts w:ascii="宋体" w:hAnsi="宋体" w:cs="宋体"/>
                <w:color w:val="auto"/>
                <w:sz w:val="24"/>
              </w:rPr>
            </w:pPr>
            <w:r>
              <w:rPr>
                <w:rFonts w:hint="eastAsia" w:ascii="宋体" w:hAnsi="宋体" w:cs="宋体"/>
                <w:color w:val="auto"/>
                <w:sz w:val="24"/>
              </w:rPr>
              <w:t>保险公司名称</w:t>
            </w:r>
          </w:p>
        </w:tc>
        <w:tc>
          <w:tcPr>
            <w:tcW w:w="2109" w:type="dxa"/>
            <w:vAlign w:val="center"/>
          </w:tcPr>
          <w:p w14:paraId="3D204F6C">
            <w:pPr>
              <w:jc w:val="center"/>
              <w:rPr>
                <w:rFonts w:ascii="宋体" w:hAnsi="宋体" w:cs="宋体"/>
                <w:color w:val="auto"/>
                <w:sz w:val="24"/>
              </w:rPr>
            </w:pPr>
            <w:r>
              <w:rPr>
                <w:rFonts w:hint="eastAsia" w:ascii="宋体" w:hAnsi="宋体" w:cs="宋体"/>
                <w:color w:val="auto"/>
                <w:sz w:val="24"/>
              </w:rPr>
              <w:t>保费率</w:t>
            </w:r>
          </w:p>
        </w:tc>
        <w:tc>
          <w:tcPr>
            <w:tcW w:w="1264" w:type="dxa"/>
            <w:vAlign w:val="center"/>
          </w:tcPr>
          <w:p w14:paraId="1BEEC727">
            <w:pPr>
              <w:jc w:val="center"/>
              <w:rPr>
                <w:rFonts w:ascii="宋体" w:hAnsi="宋体" w:cs="宋体"/>
                <w:color w:val="auto"/>
                <w:sz w:val="24"/>
              </w:rPr>
            </w:pPr>
            <w:r>
              <w:rPr>
                <w:rFonts w:hint="eastAsia" w:ascii="宋体" w:hAnsi="宋体" w:cs="宋体"/>
                <w:color w:val="auto"/>
                <w:sz w:val="24"/>
              </w:rPr>
              <w:t>联系人</w:t>
            </w:r>
          </w:p>
        </w:tc>
        <w:tc>
          <w:tcPr>
            <w:tcW w:w="1536" w:type="dxa"/>
            <w:vAlign w:val="center"/>
          </w:tcPr>
          <w:p w14:paraId="5EBDEDA8">
            <w:pPr>
              <w:jc w:val="center"/>
              <w:rPr>
                <w:rFonts w:ascii="宋体" w:hAnsi="宋体" w:cs="宋体"/>
                <w:color w:val="auto"/>
                <w:sz w:val="24"/>
              </w:rPr>
            </w:pPr>
            <w:r>
              <w:rPr>
                <w:rFonts w:hint="eastAsia" w:ascii="宋体" w:hAnsi="宋体" w:cs="宋体"/>
                <w:color w:val="auto"/>
                <w:sz w:val="24"/>
              </w:rPr>
              <w:t>联系电话</w:t>
            </w:r>
          </w:p>
        </w:tc>
      </w:tr>
      <w:tr w14:paraId="06380E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14:paraId="5AA3C203">
            <w:pPr>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2109" w:type="dxa"/>
            <w:vAlign w:val="center"/>
          </w:tcPr>
          <w:p w14:paraId="5D42ABAE">
            <w:pPr>
              <w:jc w:val="center"/>
              <w:rPr>
                <w:rFonts w:ascii="宋体" w:hAnsi="宋体" w:cs="宋体"/>
                <w:color w:val="auto"/>
                <w:sz w:val="24"/>
              </w:rPr>
            </w:pPr>
            <w:r>
              <w:rPr>
                <w:rFonts w:hint="eastAsia" w:ascii="宋体" w:hAnsi="宋体" w:cs="宋体"/>
                <w:color w:val="auto"/>
                <w:sz w:val="24"/>
              </w:rPr>
              <w:t>年费率3%，最低保费500元</w:t>
            </w:r>
          </w:p>
        </w:tc>
        <w:tc>
          <w:tcPr>
            <w:tcW w:w="1264" w:type="dxa"/>
            <w:vAlign w:val="center"/>
          </w:tcPr>
          <w:p w14:paraId="1B7CF7B1">
            <w:pPr>
              <w:jc w:val="center"/>
              <w:rPr>
                <w:rFonts w:ascii="宋体" w:hAnsi="宋体" w:cs="宋体"/>
                <w:color w:val="auto"/>
                <w:sz w:val="24"/>
              </w:rPr>
            </w:pPr>
            <w:r>
              <w:rPr>
                <w:rFonts w:hint="eastAsia" w:ascii="宋体" w:hAnsi="宋体" w:cs="宋体"/>
                <w:color w:val="auto"/>
                <w:sz w:val="24"/>
              </w:rPr>
              <w:t>徐凌</w:t>
            </w:r>
          </w:p>
        </w:tc>
        <w:tc>
          <w:tcPr>
            <w:tcW w:w="1536" w:type="dxa"/>
            <w:vAlign w:val="center"/>
          </w:tcPr>
          <w:p w14:paraId="63881CF0">
            <w:pPr>
              <w:jc w:val="center"/>
              <w:rPr>
                <w:rFonts w:ascii="宋体" w:hAnsi="宋体" w:cs="宋体"/>
                <w:color w:val="auto"/>
                <w:sz w:val="24"/>
              </w:rPr>
            </w:pPr>
            <w:r>
              <w:rPr>
                <w:rFonts w:hint="eastAsia" w:ascii="宋体" w:hAnsi="宋体" w:cs="宋体"/>
                <w:color w:val="auto"/>
                <w:sz w:val="24"/>
              </w:rPr>
              <w:t>13905168070</w:t>
            </w:r>
          </w:p>
        </w:tc>
      </w:tr>
      <w:tr w14:paraId="7B73E5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14:paraId="0F93ABCA">
            <w:pPr>
              <w:jc w:val="center"/>
              <w:rPr>
                <w:rFonts w:ascii="宋体" w:hAnsi="宋体" w:cs="宋体"/>
                <w:color w:val="auto"/>
                <w:sz w:val="24"/>
              </w:rPr>
            </w:pPr>
            <w:r>
              <w:rPr>
                <w:rFonts w:hint="eastAsia" w:ascii="宋体" w:hAnsi="宋体" w:cs="宋体"/>
                <w:color w:val="auto"/>
                <w:sz w:val="24"/>
              </w:rPr>
              <w:t>阳光保险台州中心支公司</w:t>
            </w:r>
          </w:p>
        </w:tc>
        <w:tc>
          <w:tcPr>
            <w:tcW w:w="2109" w:type="dxa"/>
            <w:vAlign w:val="center"/>
          </w:tcPr>
          <w:p w14:paraId="0DAE323F">
            <w:pPr>
              <w:jc w:val="center"/>
              <w:rPr>
                <w:rFonts w:ascii="宋体" w:hAnsi="宋体" w:cs="宋体"/>
                <w:color w:val="auto"/>
                <w:sz w:val="24"/>
              </w:rPr>
            </w:pPr>
            <w:r>
              <w:rPr>
                <w:rFonts w:hint="eastAsia" w:ascii="宋体" w:hAnsi="宋体" w:cs="宋体"/>
                <w:color w:val="auto"/>
                <w:sz w:val="24"/>
              </w:rPr>
              <w:t>年费率1%，最低保费500元</w:t>
            </w:r>
          </w:p>
        </w:tc>
        <w:tc>
          <w:tcPr>
            <w:tcW w:w="1264" w:type="dxa"/>
            <w:vAlign w:val="center"/>
          </w:tcPr>
          <w:p w14:paraId="7BE6BF47">
            <w:pPr>
              <w:jc w:val="center"/>
              <w:rPr>
                <w:rFonts w:ascii="宋体" w:hAnsi="宋体" w:cs="宋体"/>
                <w:color w:val="auto"/>
                <w:sz w:val="24"/>
              </w:rPr>
            </w:pPr>
            <w:r>
              <w:rPr>
                <w:rFonts w:hint="eastAsia" w:ascii="宋体" w:hAnsi="宋体" w:cs="宋体"/>
                <w:color w:val="auto"/>
                <w:sz w:val="24"/>
              </w:rPr>
              <w:t>林高明</w:t>
            </w:r>
          </w:p>
        </w:tc>
        <w:tc>
          <w:tcPr>
            <w:tcW w:w="1536" w:type="dxa"/>
            <w:vAlign w:val="center"/>
          </w:tcPr>
          <w:p w14:paraId="2AD61CE1">
            <w:pPr>
              <w:jc w:val="center"/>
              <w:rPr>
                <w:rFonts w:ascii="宋体" w:hAnsi="宋体" w:cs="宋体"/>
                <w:color w:val="auto"/>
                <w:sz w:val="24"/>
              </w:rPr>
            </w:pPr>
            <w:r>
              <w:rPr>
                <w:rFonts w:hint="eastAsia" w:ascii="宋体" w:hAnsi="宋体" w:cs="宋体"/>
                <w:color w:val="auto"/>
                <w:sz w:val="24"/>
              </w:rPr>
              <w:t>15888682693</w:t>
            </w:r>
          </w:p>
        </w:tc>
      </w:tr>
      <w:tr w14:paraId="2225DC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14:paraId="6A102204">
            <w:pPr>
              <w:jc w:val="center"/>
              <w:rPr>
                <w:rFonts w:ascii="宋体" w:hAnsi="宋体" w:cs="宋体"/>
                <w:color w:val="auto"/>
                <w:sz w:val="24"/>
              </w:rPr>
            </w:pPr>
            <w:r>
              <w:rPr>
                <w:rFonts w:hint="eastAsia" w:ascii="宋体" w:hAnsi="宋体" w:cs="宋体"/>
                <w:color w:val="auto"/>
                <w:sz w:val="24"/>
              </w:rPr>
              <w:t>天安财产保险股份有限公司台州中心支公司</w:t>
            </w:r>
          </w:p>
        </w:tc>
        <w:tc>
          <w:tcPr>
            <w:tcW w:w="2109" w:type="dxa"/>
            <w:vAlign w:val="center"/>
          </w:tcPr>
          <w:p w14:paraId="385E3F82">
            <w:pPr>
              <w:jc w:val="center"/>
              <w:rPr>
                <w:rFonts w:ascii="宋体" w:hAnsi="宋体" w:cs="宋体"/>
                <w:color w:val="auto"/>
                <w:sz w:val="24"/>
              </w:rPr>
            </w:pPr>
            <w:r>
              <w:rPr>
                <w:rFonts w:hint="eastAsia" w:ascii="宋体" w:hAnsi="宋体" w:cs="宋体"/>
                <w:color w:val="auto"/>
                <w:sz w:val="24"/>
              </w:rPr>
              <w:t>年费率1%-2%，最低保费500元</w:t>
            </w:r>
          </w:p>
        </w:tc>
        <w:tc>
          <w:tcPr>
            <w:tcW w:w="1264" w:type="dxa"/>
            <w:vAlign w:val="center"/>
          </w:tcPr>
          <w:p w14:paraId="4FCC6731">
            <w:pPr>
              <w:jc w:val="center"/>
              <w:rPr>
                <w:rFonts w:ascii="宋体" w:hAnsi="宋体" w:cs="宋体"/>
                <w:color w:val="auto"/>
                <w:sz w:val="24"/>
              </w:rPr>
            </w:pPr>
            <w:r>
              <w:rPr>
                <w:rFonts w:hint="eastAsia" w:ascii="宋体" w:hAnsi="宋体" w:cs="宋体"/>
                <w:color w:val="auto"/>
                <w:sz w:val="24"/>
              </w:rPr>
              <w:t>罗赛</w:t>
            </w:r>
          </w:p>
        </w:tc>
        <w:tc>
          <w:tcPr>
            <w:tcW w:w="1536" w:type="dxa"/>
            <w:vAlign w:val="center"/>
          </w:tcPr>
          <w:p w14:paraId="69469483">
            <w:pPr>
              <w:jc w:val="center"/>
              <w:rPr>
                <w:rFonts w:ascii="宋体" w:hAnsi="宋体" w:cs="宋体"/>
                <w:color w:val="auto"/>
                <w:sz w:val="24"/>
              </w:rPr>
            </w:pPr>
            <w:r>
              <w:rPr>
                <w:rFonts w:hint="eastAsia" w:ascii="宋体" w:hAnsi="宋体" w:cs="宋体"/>
                <w:color w:val="auto"/>
                <w:sz w:val="24"/>
              </w:rPr>
              <w:t>13736605643</w:t>
            </w:r>
          </w:p>
        </w:tc>
      </w:tr>
    </w:tbl>
    <w:p w14:paraId="7F482EC5">
      <w:pPr>
        <w:spacing w:line="360" w:lineRule="auto"/>
        <w:jc w:val="right"/>
        <w:rPr>
          <w:rFonts w:ascii="宋体" w:hAnsi="宋体" w:cs="宋体"/>
          <w:color w:val="auto"/>
          <w:sz w:val="24"/>
          <w:szCs w:val="32"/>
        </w:rPr>
      </w:pPr>
    </w:p>
    <w:p w14:paraId="53A3D124">
      <w:pPr>
        <w:spacing w:line="360" w:lineRule="auto"/>
        <w:jc w:val="right"/>
        <w:rPr>
          <w:rFonts w:ascii="宋体" w:hAnsi="宋体" w:cs="宋体"/>
          <w:color w:val="auto"/>
          <w:sz w:val="24"/>
          <w:szCs w:val="32"/>
        </w:rPr>
      </w:pPr>
      <w:r>
        <w:rPr>
          <w:rFonts w:hint="eastAsia" w:ascii="宋体" w:hAnsi="宋体" w:cs="宋体"/>
          <w:color w:val="auto"/>
          <w:sz w:val="24"/>
          <w:szCs w:val="32"/>
        </w:rPr>
        <w:t>浙江五石中正工程咨询有限公司</w:t>
      </w:r>
    </w:p>
    <w:p w14:paraId="14C775A4">
      <w:pPr>
        <w:spacing w:line="360" w:lineRule="auto"/>
        <w:ind w:firstLine="6240" w:firstLineChars="2600"/>
        <w:rPr>
          <w:rFonts w:ascii="宋体" w:hAnsi="宋体" w:cs="宋体"/>
          <w:color w:val="auto"/>
          <w:sz w:val="24"/>
          <w:szCs w:val="32"/>
        </w:rPr>
      </w:pPr>
      <w:r>
        <w:rPr>
          <w:rFonts w:hint="eastAsia" w:ascii="宋体" w:hAnsi="宋体" w:cs="宋体"/>
          <w:color w:val="auto"/>
          <w:sz w:val="24"/>
          <w:szCs w:val="32"/>
        </w:rPr>
        <w:t>202</w:t>
      </w:r>
      <w:r>
        <w:rPr>
          <w:rFonts w:hint="eastAsia" w:ascii="宋体" w:hAnsi="宋体" w:cs="宋体"/>
          <w:color w:val="auto"/>
          <w:sz w:val="24"/>
          <w:szCs w:val="32"/>
          <w:lang w:val="en-US" w:eastAsia="zh-CN"/>
        </w:rPr>
        <w:t>5</w:t>
      </w:r>
      <w:r>
        <w:rPr>
          <w:rFonts w:hint="eastAsia" w:ascii="宋体" w:hAnsi="宋体" w:cs="宋体"/>
          <w:color w:val="auto"/>
          <w:sz w:val="24"/>
          <w:szCs w:val="32"/>
        </w:rPr>
        <w:t>年</w:t>
      </w:r>
      <w:r>
        <w:rPr>
          <w:rFonts w:hint="eastAsia" w:ascii="宋体" w:hAnsi="宋体" w:cs="宋体"/>
          <w:color w:val="auto"/>
          <w:sz w:val="24"/>
          <w:szCs w:val="32"/>
          <w:lang w:val="en-US" w:eastAsia="zh-CN"/>
        </w:rPr>
        <w:t>6</w:t>
      </w:r>
      <w:r>
        <w:rPr>
          <w:rFonts w:hint="eastAsia" w:ascii="宋体" w:hAnsi="宋体" w:cs="宋体"/>
          <w:color w:val="auto"/>
          <w:sz w:val="24"/>
          <w:szCs w:val="32"/>
        </w:rPr>
        <w:t>月</w:t>
      </w:r>
    </w:p>
    <w:p w14:paraId="631B0456">
      <w:pPr>
        <w:widowControl/>
        <w:spacing w:before="60" w:after="60" w:line="360" w:lineRule="auto"/>
        <w:ind w:left="60" w:right="60" w:firstLine="540"/>
        <w:jc w:val="left"/>
        <w:rPr>
          <w:rFonts w:ascii="宋体" w:hAnsi="宋体" w:cs="仿宋"/>
          <w:color w:val="auto"/>
          <w:sz w:val="24"/>
        </w:rPr>
      </w:pPr>
      <w:r>
        <w:rPr>
          <w:rFonts w:hint="eastAsia" w:ascii="宋体" w:hAnsi="宋体" w:cs="仿宋"/>
          <w:color w:val="auto"/>
          <w:sz w:val="24"/>
        </w:rPr>
        <w:t xml:space="preserve">   </w:t>
      </w:r>
    </w:p>
    <w:p w14:paraId="1651ED0E">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auto"/>
        <w:ind w:left="1440" w:right="-94"/>
        <w:jc w:val="right"/>
        <w:rPr>
          <w:rFonts w:ascii="宋体" w:hAnsi="宋体"/>
          <w:color w:val="auto"/>
          <w:kern w:val="0"/>
          <w:sz w:val="24"/>
        </w:rPr>
      </w:pPr>
      <w:r>
        <w:rPr>
          <w:rFonts w:hint="eastAsia" w:ascii="宋体" w:hAnsi="宋体" w:cs="仿宋"/>
          <w:color w:val="auto"/>
          <w:sz w:val="24"/>
        </w:rPr>
        <w:t xml:space="preserve">                 </w:t>
      </w:r>
      <w:r>
        <w:rPr>
          <w:rFonts w:hint="eastAsia" w:ascii="宋体" w:hAnsi="宋体"/>
          <w:color w:val="auto"/>
          <w:sz w:val="24"/>
        </w:rPr>
        <w:t xml:space="preserve">   </w:t>
      </w:r>
    </w:p>
    <w:p w14:paraId="51F44A4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olor w:val="auto"/>
          <w:kern w:val="0"/>
          <w:sz w:val="24"/>
        </w:rPr>
      </w:pPr>
    </w:p>
    <w:p w14:paraId="3F3AD268">
      <w:pPr>
        <w:spacing w:line="360" w:lineRule="auto"/>
        <w:jc w:val="center"/>
        <w:rPr>
          <w:rFonts w:ascii="宋体" w:hAnsi="宋体"/>
          <w:b/>
          <w:color w:val="auto"/>
          <w:sz w:val="36"/>
          <w:szCs w:val="36"/>
        </w:rPr>
        <w:sectPr>
          <w:pgSz w:w="11906" w:h="16838"/>
          <w:pgMar w:top="1440" w:right="1800" w:bottom="1440" w:left="1800" w:header="851" w:footer="992" w:gutter="0"/>
          <w:pgNumType w:fmt="decimal"/>
          <w:cols w:space="720" w:num="1"/>
          <w:docGrid w:type="lines" w:linePitch="312" w:charSpace="0"/>
        </w:sectPr>
      </w:pPr>
    </w:p>
    <w:p w14:paraId="3EE539F7">
      <w:pPr>
        <w:spacing w:line="360" w:lineRule="auto"/>
        <w:jc w:val="center"/>
        <w:rPr>
          <w:rFonts w:ascii="宋体" w:hAnsi="宋体"/>
          <w:b/>
          <w:color w:val="auto"/>
          <w:sz w:val="36"/>
          <w:szCs w:val="36"/>
        </w:rPr>
      </w:pPr>
      <w:r>
        <w:rPr>
          <w:rFonts w:hint="eastAsia" w:ascii="宋体" w:hAnsi="宋体"/>
          <w:b/>
          <w:color w:val="auto"/>
          <w:sz w:val="36"/>
          <w:szCs w:val="36"/>
        </w:rPr>
        <w:t>第二章  供应商须知</w:t>
      </w:r>
    </w:p>
    <w:p w14:paraId="6C982335">
      <w:pPr>
        <w:spacing w:line="360" w:lineRule="auto"/>
        <w:jc w:val="center"/>
        <w:rPr>
          <w:rFonts w:ascii="宋体" w:hAnsi="宋体"/>
          <w:b/>
          <w:color w:val="auto"/>
          <w:sz w:val="24"/>
        </w:rPr>
      </w:pPr>
      <w:r>
        <w:rPr>
          <w:rFonts w:hint="eastAsia" w:ascii="宋体" w:hAnsi="宋体"/>
          <w:b/>
          <w:color w:val="auto"/>
          <w:sz w:val="24"/>
        </w:rPr>
        <w:t>前附表</w:t>
      </w:r>
    </w:p>
    <w:tbl>
      <w:tblPr>
        <w:tblStyle w:val="28"/>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01"/>
        <w:gridCol w:w="6273"/>
      </w:tblGrid>
      <w:tr w14:paraId="1A6B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201D4B3">
            <w:pPr>
              <w:jc w:val="center"/>
              <w:rPr>
                <w:rFonts w:ascii="宋体" w:hAnsi="宋体" w:cs="Calibri Light"/>
                <w:color w:val="auto"/>
                <w:sz w:val="24"/>
              </w:rPr>
            </w:pPr>
            <w:r>
              <w:rPr>
                <w:rFonts w:hint="eastAsia" w:ascii="宋体" w:hAnsi="宋体" w:cs="Calibri Light"/>
                <w:color w:val="auto"/>
                <w:sz w:val="24"/>
              </w:rPr>
              <w:t>序号</w:t>
            </w:r>
          </w:p>
        </w:tc>
        <w:tc>
          <w:tcPr>
            <w:tcW w:w="1901" w:type="dxa"/>
            <w:tcBorders>
              <w:top w:val="single" w:color="auto" w:sz="4" w:space="0"/>
              <w:left w:val="single" w:color="auto" w:sz="4" w:space="0"/>
              <w:bottom w:val="single" w:color="auto" w:sz="4" w:space="0"/>
              <w:right w:val="single" w:color="auto" w:sz="4" w:space="0"/>
            </w:tcBorders>
            <w:vAlign w:val="center"/>
          </w:tcPr>
          <w:p w14:paraId="4A5E4273">
            <w:pPr>
              <w:jc w:val="center"/>
              <w:rPr>
                <w:rFonts w:ascii="宋体" w:hAnsi="宋体" w:cs="Calibri Light"/>
                <w:color w:val="auto"/>
                <w:sz w:val="24"/>
              </w:rPr>
            </w:pPr>
            <w:r>
              <w:rPr>
                <w:rFonts w:hint="eastAsia" w:ascii="宋体" w:hAnsi="宋体" w:cs="Calibri Light"/>
                <w:color w:val="auto"/>
                <w:sz w:val="24"/>
              </w:rPr>
              <w:t>项    目</w:t>
            </w:r>
          </w:p>
        </w:tc>
        <w:tc>
          <w:tcPr>
            <w:tcW w:w="6273" w:type="dxa"/>
            <w:tcBorders>
              <w:top w:val="single" w:color="auto" w:sz="4" w:space="0"/>
              <w:left w:val="single" w:color="auto" w:sz="4" w:space="0"/>
              <w:bottom w:val="single" w:color="auto" w:sz="4" w:space="0"/>
              <w:right w:val="single" w:color="auto" w:sz="4" w:space="0"/>
            </w:tcBorders>
            <w:vAlign w:val="center"/>
          </w:tcPr>
          <w:p w14:paraId="798F758B">
            <w:pPr>
              <w:jc w:val="center"/>
              <w:rPr>
                <w:rFonts w:ascii="宋体" w:hAnsi="宋体" w:cs="Calibri Light"/>
                <w:color w:val="auto"/>
                <w:sz w:val="24"/>
              </w:rPr>
            </w:pPr>
            <w:r>
              <w:rPr>
                <w:rFonts w:hint="eastAsia" w:ascii="宋体" w:hAnsi="宋体" w:cs="Calibri Light"/>
                <w:color w:val="auto"/>
                <w:sz w:val="24"/>
              </w:rPr>
              <w:t>内                 容</w:t>
            </w:r>
          </w:p>
        </w:tc>
      </w:tr>
      <w:tr w14:paraId="05C0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5BB1AE9">
            <w:pPr>
              <w:jc w:val="center"/>
              <w:rPr>
                <w:rFonts w:ascii="宋体" w:hAnsi="宋体" w:cs="Calibri Light"/>
                <w:color w:val="auto"/>
                <w:sz w:val="24"/>
              </w:rPr>
            </w:pPr>
            <w:r>
              <w:rPr>
                <w:rFonts w:hint="eastAsia" w:ascii="宋体" w:hAnsi="宋体" w:cs="Calibri Light"/>
                <w:color w:val="auto"/>
                <w:sz w:val="24"/>
              </w:rPr>
              <w:t>1</w:t>
            </w:r>
          </w:p>
        </w:tc>
        <w:tc>
          <w:tcPr>
            <w:tcW w:w="1901" w:type="dxa"/>
            <w:tcBorders>
              <w:top w:val="single" w:color="auto" w:sz="4" w:space="0"/>
              <w:left w:val="single" w:color="auto" w:sz="4" w:space="0"/>
              <w:bottom w:val="single" w:color="auto" w:sz="4" w:space="0"/>
              <w:right w:val="single" w:color="auto" w:sz="4" w:space="0"/>
            </w:tcBorders>
            <w:vAlign w:val="center"/>
          </w:tcPr>
          <w:p w14:paraId="72432EEC">
            <w:pPr>
              <w:jc w:val="center"/>
              <w:rPr>
                <w:rFonts w:ascii="宋体" w:hAnsi="宋体" w:cs="Calibri Light"/>
                <w:color w:val="auto"/>
                <w:sz w:val="24"/>
              </w:rPr>
            </w:pPr>
            <w:r>
              <w:rPr>
                <w:rFonts w:hint="eastAsia" w:ascii="宋体" w:hAnsi="宋体" w:cs="Calibri Light"/>
                <w:color w:val="auto"/>
                <w:sz w:val="24"/>
              </w:rPr>
              <w:t>供应商特定资格要求</w:t>
            </w:r>
          </w:p>
        </w:tc>
        <w:tc>
          <w:tcPr>
            <w:tcW w:w="6273" w:type="dxa"/>
            <w:tcBorders>
              <w:top w:val="single" w:color="auto" w:sz="4" w:space="0"/>
              <w:left w:val="single" w:color="auto" w:sz="4" w:space="0"/>
              <w:bottom w:val="single" w:color="auto" w:sz="4" w:space="0"/>
              <w:right w:val="single" w:color="auto" w:sz="4" w:space="0"/>
            </w:tcBorders>
            <w:vAlign w:val="center"/>
          </w:tcPr>
          <w:p w14:paraId="44177F5D">
            <w:pPr>
              <w:rPr>
                <w:rFonts w:ascii="宋体" w:hAnsi="宋体" w:cs="Calibri Light"/>
                <w:color w:val="auto"/>
                <w:sz w:val="24"/>
              </w:rPr>
            </w:pPr>
            <w:r>
              <w:rPr>
                <w:rFonts w:hint="eastAsia" w:ascii="宋体" w:hAnsi="宋体" w:cs="Calibri Light"/>
                <w:color w:val="auto"/>
                <w:sz w:val="24"/>
              </w:rPr>
              <w:t>符合竞争性磋商公告资格要求的供应商</w:t>
            </w:r>
          </w:p>
        </w:tc>
      </w:tr>
      <w:tr w14:paraId="5879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3FF9E9B">
            <w:pPr>
              <w:jc w:val="center"/>
              <w:rPr>
                <w:rFonts w:ascii="宋体" w:hAnsi="宋体" w:cs="Calibri Light"/>
                <w:color w:val="auto"/>
                <w:sz w:val="24"/>
              </w:rPr>
            </w:pPr>
            <w:r>
              <w:rPr>
                <w:rFonts w:hint="eastAsia" w:ascii="宋体" w:hAnsi="宋体" w:cs="Calibri Light"/>
                <w:color w:val="auto"/>
                <w:sz w:val="24"/>
              </w:rPr>
              <w:t>2</w:t>
            </w:r>
          </w:p>
        </w:tc>
        <w:tc>
          <w:tcPr>
            <w:tcW w:w="1901" w:type="dxa"/>
            <w:tcBorders>
              <w:top w:val="single" w:color="auto" w:sz="4" w:space="0"/>
              <w:left w:val="single" w:color="auto" w:sz="4" w:space="0"/>
              <w:bottom w:val="single" w:color="auto" w:sz="4" w:space="0"/>
              <w:right w:val="single" w:color="auto" w:sz="4" w:space="0"/>
            </w:tcBorders>
            <w:vAlign w:val="center"/>
          </w:tcPr>
          <w:p w14:paraId="437E2A54">
            <w:pPr>
              <w:jc w:val="center"/>
              <w:rPr>
                <w:rFonts w:ascii="宋体" w:hAnsi="宋体" w:cs="Calibri Light"/>
                <w:color w:val="auto"/>
                <w:sz w:val="24"/>
              </w:rPr>
            </w:pPr>
            <w:r>
              <w:rPr>
                <w:rFonts w:hint="eastAsia" w:ascii="宋体" w:hAnsi="宋体" w:cs="Calibri Light"/>
                <w:color w:val="auto"/>
                <w:kern w:val="0"/>
                <w:sz w:val="24"/>
              </w:rPr>
              <w:t>答疑会或</w:t>
            </w:r>
            <w:r>
              <w:rPr>
                <w:rFonts w:hint="eastAsia" w:ascii="宋体" w:hAnsi="宋体" w:cs="Calibri Light"/>
                <w:color w:val="auto"/>
                <w:sz w:val="24"/>
              </w:rPr>
              <w:t>现场踏勘</w:t>
            </w:r>
          </w:p>
        </w:tc>
        <w:tc>
          <w:tcPr>
            <w:tcW w:w="6273" w:type="dxa"/>
            <w:tcBorders>
              <w:top w:val="single" w:color="auto" w:sz="4" w:space="0"/>
              <w:left w:val="single" w:color="auto" w:sz="4" w:space="0"/>
              <w:bottom w:val="single" w:color="auto" w:sz="4" w:space="0"/>
              <w:right w:val="single" w:color="auto" w:sz="4" w:space="0"/>
            </w:tcBorders>
            <w:vAlign w:val="center"/>
          </w:tcPr>
          <w:p w14:paraId="361EBAAD">
            <w:pPr>
              <w:rPr>
                <w:rFonts w:ascii="宋体" w:hAnsi="宋体" w:cs="Calibri Light"/>
                <w:color w:val="auto"/>
                <w:sz w:val="24"/>
              </w:rPr>
            </w:pPr>
            <w:r>
              <w:rPr>
                <w:rFonts w:hint="eastAsia" w:ascii="宋体" w:hAnsi="宋体" w:cs="仿宋"/>
                <w:color w:val="auto"/>
                <w:sz w:val="24"/>
              </w:rPr>
              <w:t>本次采购招标不组织现场勘察。</w:t>
            </w:r>
          </w:p>
        </w:tc>
      </w:tr>
      <w:tr w14:paraId="4F1D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222E38F">
            <w:pPr>
              <w:jc w:val="center"/>
              <w:rPr>
                <w:rFonts w:ascii="宋体" w:hAnsi="宋体" w:cs="Calibri Light"/>
                <w:color w:val="auto"/>
                <w:sz w:val="24"/>
              </w:rPr>
            </w:pPr>
            <w:r>
              <w:rPr>
                <w:rFonts w:hint="eastAsia" w:ascii="宋体" w:hAnsi="宋体" w:cs="Calibri Light"/>
                <w:color w:val="auto"/>
                <w:sz w:val="24"/>
              </w:rPr>
              <w:t>3</w:t>
            </w:r>
          </w:p>
        </w:tc>
        <w:tc>
          <w:tcPr>
            <w:tcW w:w="1901" w:type="dxa"/>
            <w:tcBorders>
              <w:top w:val="single" w:color="auto" w:sz="4" w:space="0"/>
              <w:left w:val="single" w:color="auto" w:sz="4" w:space="0"/>
              <w:bottom w:val="single" w:color="auto" w:sz="4" w:space="0"/>
              <w:right w:val="single" w:color="auto" w:sz="4" w:space="0"/>
            </w:tcBorders>
            <w:vAlign w:val="center"/>
          </w:tcPr>
          <w:p w14:paraId="15471EDE">
            <w:pPr>
              <w:jc w:val="center"/>
              <w:rPr>
                <w:rFonts w:ascii="宋体" w:hAnsi="宋体" w:cs="Calibri Light"/>
                <w:color w:val="auto"/>
                <w:sz w:val="24"/>
              </w:rPr>
            </w:pPr>
            <w:r>
              <w:rPr>
                <w:rFonts w:hint="eastAsia" w:ascii="宋体" w:hAnsi="宋体" w:cs="Calibri Light"/>
                <w:color w:val="auto"/>
                <w:sz w:val="24"/>
              </w:rPr>
              <w:t>磋商响应文件（即投标文件）的编制</w:t>
            </w:r>
          </w:p>
        </w:tc>
        <w:tc>
          <w:tcPr>
            <w:tcW w:w="6273" w:type="dxa"/>
            <w:tcBorders>
              <w:top w:val="single" w:color="auto" w:sz="4" w:space="0"/>
              <w:left w:val="single" w:color="auto" w:sz="4" w:space="0"/>
              <w:bottom w:val="single" w:color="auto" w:sz="4" w:space="0"/>
              <w:right w:val="single" w:color="auto" w:sz="4" w:space="0"/>
            </w:tcBorders>
            <w:vAlign w:val="center"/>
          </w:tcPr>
          <w:p w14:paraId="2F0ADF39">
            <w:pPr>
              <w:rPr>
                <w:rFonts w:ascii="宋体" w:hAnsi="宋体" w:cs="Calibri Light"/>
                <w:color w:val="auto"/>
                <w:sz w:val="24"/>
              </w:rPr>
            </w:pPr>
            <w:r>
              <w:rPr>
                <w:rFonts w:hint="eastAsia" w:ascii="宋体" w:hAnsi="宋体" w:cs="Calibri Light"/>
                <w:color w:val="auto"/>
                <w:sz w:val="24"/>
              </w:rPr>
              <w:t>供应商应先安装“政采云电子交易客户端”，并按照本招标文件和“政府采购云平台”的要求，通过“政采云电子交易客户端”编制并加密投标文件。</w:t>
            </w:r>
          </w:p>
        </w:tc>
      </w:tr>
      <w:tr w14:paraId="74A7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8644423">
            <w:pPr>
              <w:jc w:val="center"/>
              <w:rPr>
                <w:rFonts w:ascii="宋体" w:hAnsi="宋体" w:cs="Calibri Light"/>
                <w:color w:val="auto"/>
                <w:sz w:val="24"/>
              </w:rPr>
            </w:pPr>
            <w:r>
              <w:rPr>
                <w:rFonts w:hint="eastAsia" w:ascii="宋体" w:hAnsi="宋体" w:cs="Calibri Light"/>
                <w:color w:val="auto"/>
                <w:sz w:val="24"/>
              </w:rPr>
              <w:t>4</w:t>
            </w:r>
          </w:p>
        </w:tc>
        <w:tc>
          <w:tcPr>
            <w:tcW w:w="1901" w:type="dxa"/>
            <w:tcBorders>
              <w:top w:val="single" w:color="auto" w:sz="4" w:space="0"/>
              <w:left w:val="single" w:color="auto" w:sz="4" w:space="0"/>
              <w:bottom w:val="single" w:color="auto" w:sz="4" w:space="0"/>
              <w:right w:val="single" w:color="auto" w:sz="4" w:space="0"/>
            </w:tcBorders>
            <w:vAlign w:val="center"/>
          </w:tcPr>
          <w:p w14:paraId="057B1D45">
            <w:pPr>
              <w:jc w:val="center"/>
              <w:rPr>
                <w:rFonts w:ascii="宋体" w:hAnsi="宋体" w:cs="Calibri Light"/>
                <w:color w:val="auto"/>
                <w:sz w:val="24"/>
              </w:rPr>
            </w:pPr>
            <w:r>
              <w:rPr>
                <w:rFonts w:hint="eastAsia" w:ascii="宋体" w:hAnsi="宋体" w:cs="宋体"/>
                <w:color w:val="auto"/>
                <w:sz w:val="24"/>
              </w:rPr>
              <w:t>投标文件的签章</w:t>
            </w:r>
          </w:p>
        </w:tc>
        <w:tc>
          <w:tcPr>
            <w:tcW w:w="6273" w:type="dxa"/>
            <w:tcBorders>
              <w:top w:val="single" w:color="auto" w:sz="4" w:space="0"/>
              <w:left w:val="single" w:color="auto" w:sz="4" w:space="0"/>
              <w:bottom w:val="single" w:color="auto" w:sz="4" w:space="0"/>
              <w:right w:val="single" w:color="auto" w:sz="4" w:space="0"/>
            </w:tcBorders>
            <w:vAlign w:val="center"/>
          </w:tcPr>
          <w:p w14:paraId="0FCB6C58">
            <w:pPr>
              <w:rPr>
                <w:rFonts w:ascii="宋体" w:hAnsi="宋体" w:cs="Calibri Light"/>
                <w:color w:val="auto"/>
                <w:sz w:val="24"/>
              </w:rPr>
            </w:pPr>
            <w:r>
              <w:rPr>
                <w:rFonts w:hint="eastAsia" w:ascii="宋体" w:hAnsi="宋体" w:cs="宋体"/>
                <w:color w:val="auto"/>
                <w:sz w:val="24"/>
              </w:rPr>
              <w:t>电子签章。</w:t>
            </w:r>
          </w:p>
        </w:tc>
      </w:tr>
      <w:tr w14:paraId="1DDD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C0C642D">
            <w:pPr>
              <w:jc w:val="center"/>
              <w:rPr>
                <w:rFonts w:ascii="宋体" w:hAnsi="宋体" w:cs="Calibri Light"/>
                <w:color w:val="auto"/>
                <w:sz w:val="24"/>
              </w:rPr>
            </w:pPr>
            <w:r>
              <w:rPr>
                <w:rFonts w:hint="eastAsia" w:ascii="宋体" w:hAnsi="宋体" w:cs="Calibri Light"/>
                <w:color w:val="auto"/>
                <w:sz w:val="24"/>
              </w:rPr>
              <w:t>5</w:t>
            </w:r>
          </w:p>
        </w:tc>
        <w:tc>
          <w:tcPr>
            <w:tcW w:w="1901" w:type="dxa"/>
            <w:tcBorders>
              <w:top w:val="single" w:color="auto" w:sz="4" w:space="0"/>
              <w:left w:val="single" w:color="auto" w:sz="4" w:space="0"/>
              <w:bottom w:val="single" w:color="auto" w:sz="4" w:space="0"/>
              <w:right w:val="single" w:color="auto" w:sz="4" w:space="0"/>
            </w:tcBorders>
            <w:vAlign w:val="center"/>
          </w:tcPr>
          <w:p w14:paraId="32C1CAC5">
            <w:pPr>
              <w:jc w:val="center"/>
              <w:rPr>
                <w:rFonts w:ascii="宋体" w:hAnsi="宋体" w:cs="Calibri Light"/>
                <w:color w:val="auto"/>
                <w:sz w:val="24"/>
              </w:rPr>
            </w:pPr>
            <w:r>
              <w:rPr>
                <w:rFonts w:hint="eastAsia" w:ascii="宋体" w:hAnsi="宋体" w:cs="宋体"/>
                <w:color w:val="auto"/>
                <w:sz w:val="24"/>
              </w:rPr>
              <w:t>投标文件的形式</w:t>
            </w:r>
          </w:p>
        </w:tc>
        <w:tc>
          <w:tcPr>
            <w:tcW w:w="6273" w:type="dxa"/>
            <w:tcBorders>
              <w:top w:val="single" w:color="auto" w:sz="4" w:space="0"/>
              <w:left w:val="single" w:color="auto" w:sz="4" w:space="0"/>
              <w:bottom w:val="single" w:color="auto" w:sz="4" w:space="0"/>
              <w:right w:val="single" w:color="auto" w:sz="4" w:space="0"/>
            </w:tcBorders>
            <w:vAlign w:val="center"/>
          </w:tcPr>
          <w:p w14:paraId="522EE188">
            <w:pPr>
              <w:rPr>
                <w:rFonts w:ascii="宋体" w:hAnsi="宋体" w:cs="宋体"/>
                <w:color w:val="auto"/>
                <w:sz w:val="24"/>
              </w:rPr>
            </w:pPr>
            <w:r>
              <w:rPr>
                <w:rFonts w:ascii="Segoe UI Emoji" w:hAnsi="Segoe UI Emoji" w:cs="Segoe UI Emoji"/>
                <w:color w:val="auto"/>
                <w:sz w:val="24"/>
              </w:rPr>
              <w:t>☑</w:t>
            </w:r>
            <w:r>
              <w:rPr>
                <w:rFonts w:hint="eastAsia" w:ascii="宋体" w:hAnsi="宋体" w:cs="宋体"/>
                <w:color w:val="auto"/>
                <w:sz w:val="24"/>
              </w:rPr>
              <w:t>电子投标文件（包括“电子加密投标文件”和“备份投标文件”，在投标文件编制完成后同时生成）；</w:t>
            </w:r>
          </w:p>
          <w:p w14:paraId="34F9D00C">
            <w:pPr>
              <w:rPr>
                <w:rFonts w:ascii="宋体" w:hAnsi="宋体" w:cs="宋体"/>
                <w:color w:val="auto"/>
                <w:sz w:val="24"/>
              </w:rPr>
            </w:pPr>
            <w:r>
              <w:rPr>
                <w:rFonts w:hint="eastAsia" w:ascii="宋体" w:hAnsi="宋体" w:cs="宋体"/>
                <w:color w:val="auto"/>
                <w:sz w:val="24"/>
              </w:rPr>
              <w:t>（1）“电子加密投标文件”是指通过“政采云电子交易客户端”完成投标文件编制后生成并加密的数据电文形式的投标文件。</w:t>
            </w:r>
          </w:p>
          <w:p w14:paraId="2611BF23">
            <w:pPr>
              <w:rPr>
                <w:rFonts w:ascii="宋体" w:hAnsi="宋体" w:cs="宋体"/>
                <w:color w:val="auto"/>
                <w:sz w:val="24"/>
              </w:rPr>
            </w:pPr>
            <w:r>
              <w:rPr>
                <w:rFonts w:hint="eastAsia" w:ascii="宋体" w:hAnsi="宋体" w:cs="宋体"/>
                <w:color w:val="auto"/>
                <w:sz w:val="24"/>
              </w:rPr>
              <w:t>（2）“备份投标文件”是指与“电子加密投标文件”同时生成的数据电文形式的电子文件（备份标书），其他方式编制的备份投标文件视为无效备份投标文件。</w:t>
            </w:r>
          </w:p>
          <w:p w14:paraId="10F5FB5C">
            <w:pPr>
              <w:rPr>
                <w:rFonts w:ascii="宋体" w:hAnsi="宋体" w:cs="宋体"/>
                <w:color w:val="auto"/>
                <w:sz w:val="24"/>
              </w:rPr>
            </w:pPr>
            <w:r>
              <w:rPr>
                <w:rFonts w:hint="eastAsia" w:ascii="宋体" w:hAnsi="宋体" w:cs="宋体"/>
                <w:b/>
                <w:bCs/>
                <w:color w:val="auto"/>
                <w:kern w:val="0"/>
                <w:sz w:val="24"/>
                <w:szCs w:val="22"/>
              </w:rPr>
              <w:t>（3）中标供应商中标后需提供纸质投标文件给招标代理机构作为备案存档，纸质投标文件系电子投标文件纸质版，两者内容应一致；数量为：</w:t>
            </w:r>
            <w:r>
              <w:rPr>
                <w:rFonts w:ascii="宋体" w:hAnsi="宋体" w:cs="宋体"/>
                <w:b/>
                <w:bCs/>
                <w:color w:val="auto"/>
                <w:kern w:val="0"/>
                <w:sz w:val="24"/>
                <w:szCs w:val="22"/>
              </w:rPr>
              <w:t>2</w:t>
            </w:r>
            <w:r>
              <w:rPr>
                <w:rFonts w:hint="eastAsia" w:ascii="宋体" w:hAnsi="宋体" w:cs="宋体"/>
                <w:b/>
                <w:bCs/>
                <w:color w:val="auto"/>
                <w:kern w:val="0"/>
                <w:sz w:val="24"/>
                <w:szCs w:val="22"/>
              </w:rPr>
              <w:t>份。</w:t>
            </w:r>
          </w:p>
        </w:tc>
      </w:tr>
      <w:tr w14:paraId="519A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D2C1BF2">
            <w:pPr>
              <w:jc w:val="center"/>
              <w:rPr>
                <w:rFonts w:ascii="宋体" w:hAnsi="宋体" w:cs="Calibri Light"/>
                <w:color w:val="auto"/>
                <w:sz w:val="24"/>
              </w:rPr>
            </w:pPr>
            <w:r>
              <w:rPr>
                <w:rFonts w:hint="eastAsia" w:asciiTheme="majorEastAsia" w:hAnsiTheme="majorEastAsia" w:eastAsiaTheme="majorEastAsia" w:cstheme="majorEastAsia"/>
                <w:color w:val="auto"/>
                <w:sz w:val="24"/>
              </w:rPr>
              <w:t>6</w:t>
            </w:r>
          </w:p>
        </w:tc>
        <w:tc>
          <w:tcPr>
            <w:tcW w:w="1901" w:type="dxa"/>
            <w:tcBorders>
              <w:top w:val="single" w:color="auto" w:sz="4" w:space="0"/>
              <w:left w:val="single" w:color="auto" w:sz="4" w:space="0"/>
              <w:bottom w:val="single" w:color="auto" w:sz="4" w:space="0"/>
              <w:right w:val="single" w:color="auto" w:sz="4" w:space="0"/>
            </w:tcBorders>
            <w:vAlign w:val="center"/>
          </w:tcPr>
          <w:p w14:paraId="29CF2DD6">
            <w:pPr>
              <w:jc w:val="center"/>
              <w:rPr>
                <w:rFonts w:ascii="宋体" w:hAnsi="宋体" w:cs="Calibri Light"/>
                <w:color w:val="auto"/>
                <w:sz w:val="24"/>
              </w:rPr>
            </w:pPr>
            <w:r>
              <w:rPr>
                <w:rFonts w:hint="eastAsia" w:ascii="宋体" w:hAnsi="宋体" w:cs="宋体"/>
                <w:color w:val="auto"/>
                <w:sz w:val="24"/>
              </w:rPr>
              <w:t>投标文件份数</w:t>
            </w:r>
          </w:p>
        </w:tc>
        <w:tc>
          <w:tcPr>
            <w:tcW w:w="6273" w:type="dxa"/>
            <w:tcBorders>
              <w:top w:val="single" w:color="auto" w:sz="4" w:space="0"/>
              <w:left w:val="single" w:color="auto" w:sz="4" w:space="0"/>
              <w:bottom w:val="single" w:color="auto" w:sz="4" w:space="0"/>
              <w:right w:val="single" w:color="auto" w:sz="4" w:space="0"/>
            </w:tcBorders>
            <w:vAlign w:val="center"/>
          </w:tcPr>
          <w:p w14:paraId="4F71B189">
            <w:pPr>
              <w:rPr>
                <w:rFonts w:ascii="宋体" w:hAnsi="宋体" w:cs="宋体"/>
                <w:color w:val="auto"/>
                <w:sz w:val="24"/>
              </w:rPr>
            </w:pPr>
            <w:r>
              <w:rPr>
                <w:rFonts w:hint="eastAsia" w:ascii="宋体" w:hAnsi="宋体" w:cs="宋体"/>
                <w:color w:val="auto"/>
                <w:sz w:val="24"/>
              </w:rPr>
              <w:t>（1）“电子加密投标文件”：在线上传递交、一份。</w:t>
            </w:r>
          </w:p>
          <w:p w14:paraId="123D0146">
            <w:pPr>
              <w:rPr>
                <w:rFonts w:ascii="宋体" w:hAnsi="宋体" w:cs="宋体"/>
                <w:color w:val="auto"/>
                <w:sz w:val="24"/>
              </w:rPr>
            </w:pPr>
            <w:r>
              <w:rPr>
                <w:rFonts w:hint="eastAsia" w:ascii="宋体" w:hAnsi="宋体" w:cs="宋体"/>
                <w:color w:val="auto"/>
                <w:sz w:val="24"/>
              </w:rPr>
              <w:t>（2）“备份投标文件”：密封包装后于投标截止时间前邮寄至招标代理处、一份。</w:t>
            </w:r>
          </w:p>
        </w:tc>
      </w:tr>
      <w:tr w14:paraId="530F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DB5C6F6">
            <w:pPr>
              <w:jc w:val="center"/>
              <w:rPr>
                <w:rFonts w:ascii="宋体" w:hAnsi="宋体" w:cs="Calibri Light"/>
                <w:color w:val="auto"/>
                <w:sz w:val="24"/>
              </w:rPr>
            </w:pPr>
            <w:r>
              <w:rPr>
                <w:rFonts w:hint="eastAsia" w:ascii="宋体" w:hAnsi="宋体" w:cs="Calibri Light"/>
                <w:color w:val="auto"/>
                <w:sz w:val="24"/>
              </w:rPr>
              <w:t>7</w:t>
            </w:r>
          </w:p>
        </w:tc>
        <w:tc>
          <w:tcPr>
            <w:tcW w:w="1901" w:type="dxa"/>
            <w:tcBorders>
              <w:top w:val="single" w:color="auto" w:sz="4" w:space="0"/>
              <w:left w:val="single" w:color="auto" w:sz="4" w:space="0"/>
              <w:bottom w:val="single" w:color="auto" w:sz="4" w:space="0"/>
              <w:right w:val="single" w:color="auto" w:sz="4" w:space="0"/>
            </w:tcBorders>
            <w:vAlign w:val="center"/>
          </w:tcPr>
          <w:p w14:paraId="5F191873">
            <w:pPr>
              <w:jc w:val="center"/>
              <w:rPr>
                <w:rFonts w:ascii="宋体" w:hAnsi="宋体" w:cs="Calibri Light"/>
                <w:color w:val="auto"/>
                <w:sz w:val="24"/>
              </w:rPr>
            </w:pPr>
            <w:r>
              <w:rPr>
                <w:rFonts w:hint="eastAsia" w:ascii="宋体" w:hAnsi="宋体" w:cs="宋体"/>
                <w:color w:val="auto"/>
                <w:sz w:val="24"/>
              </w:rPr>
              <w:t>投标文件的上传和递交</w:t>
            </w:r>
          </w:p>
        </w:tc>
        <w:tc>
          <w:tcPr>
            <w:tcW w:w="6273" w:type="dxa"/>
            <w:tcBorders>
              <w:top w:val="single" w:color="auto" w:sz="4" w:space="0"/>
              <w:left w:val="single" w:color="auto" w:sz="4" w:space="0"/>
              <w:bottom w:val="single" w:color="auto" w:sz="4" w:space="0"/>
              <w:right w:val="single" w:color="auto" w:sz="4" w:space="0"/>
            </w:tcBorders>
            <w:vAlign w:val="center"/>
          </w:tcPr>
          <w:p w14:paraId="69606D03">
            <w:pPr>
              <w:rPr>
                <w:rFonts w:ascii="宋体" w:hAnsi="宋体" w:cs="宋体"/>
                <w:color w:val="auto"/>
                <w:sz w:val="24"/>
              </w:rPr>
            </w:pPr>
            <w:r>
              <w:rPr>
                <w:rFonts w:hint="eastAsia" w:ascii="宋体" w:hAnsi="宋体" w:cs="宋体"/>
                <w:color w:val="auto"/>
                <w:sz w:val="24"/>
              </w:rPr>
              <w:t>（1）“电子加密投标文件”的上传、递交：</w:t>
            </w:r>
          </w:p>
          <w:p w14:paraId="4F0395E0">
            <w:pPr>
              <w:rPr>
                <w:rFonts w:ascii="宋体" w:hAnsi="宋体" w:cs="宋体"/>
                <w:color w:val="auto"/>
                <w:sz w:val="24"/>
              </w:rPr>
            </w:pPr>
            <w:r>
              <w:rPr>
                <w:rFonts w:hint="eastAsia" w:ascii="宋体" w:hAnsi="宋体" w:cs="宋体"/>
                <w:color w:val="auto"/>
                <w:sz w:val="24"/>
              </w:rPr>
              <w:t>a.投标供应商应在投标截止时间前将“电子加密投标文件”成功上传递交至“政府采购云平台”，否则投标无效。</w:t>
            </w:r>
          </w:p>
          <w:p w14:paraId="7D2CB33B">
            <w:pPr>
              <w:rPr>
                <w:rFonts w:ascii="宋体" w:hAnsi="宋体" w:cs="宋体"/>
                <w:color w:val="auto"/>
                <w:sz w:val="24"/>
              </w:rPr>
            </w:pPr>
            <w:r>
              <w:rPr>
                <w:rFonts w:hint="eastAsia" w:ascii="宋体" w:hAnsi="宋体" w:cs="宋体"/>
                <w:color w:val="auto"/>
                <w:sz w:val="24"/>
              </w:rPr>
              <w:t>b.“电子加密投标文件”成功上传递交后，供应商可自行打印投标文件接收回执。</w:t>
            </w:r>
          </w:p>
          <w:p w14:paraId="48C84535">
            <w:pPr>
              <w:rPr>
                <w:rFonts w:ascii="宋体" w:hAnsi="宋体" w:cs="宋体"/>
                <w:color w:val="auto"/>
                <w:sz w:val="24"/>
              </w:rPr>
            </w:pPr>
            <w:r>
              <w:rPr>
                <w:rFonts w:hint="eastAsia" w:ascii="宋体" w:hAnsi="宋体" w:cs="宋体"/>
                <w:color w:val="auto"/>
                <w:sz w:val="24"/>
              </w:rPr>
              <w:t>（2） “备份投标文件”的密封包装、递交：</w:t>
            </w:r>
          </w:p>
          <w:p w14:paraId="1970E53E">
            <w:pPr>
              <w:rPr>
                <w:rFonts w:ascii="宋体" w:hAnsi="宋体" w:cs="宋体"/>
                <w:color w:val="auto"/>
                <w:sz w:val="24"/>
              </w:rPr>
            </w:pPr>
            <w:r>
              <w:rPr>
                <w:rFonts w:hint="eastAsia" w:ascii="宋体" w:hAnsi="宋体" w:cs="宋体"/>
                <w:color w:val="auto"/>
                <w:sz w:val="24"/>
              </w:rPr>
              <w:t>a. “备份投标文件”以U盘的形式存储，并密封包装，在包装上标注投标项目名称、投标单位名称并加盖公章。没有密封包装或者（以收到邮件时间为准）逾期邮寄送达至投标地点的将不予接收；</w:t>
            </w:r>
          </w:p>
          <w:p w14:paraId="40488378">
            <w:pPr>
              <w:rPr>
                <w:rFonts w:ascii="宋体" w:hAnsi="宋体" w:cs="宋体"/>
                <w:color w:val="auto"/>
                <w:sz w:val="24"/>
              </w:rPr>
            </w:pPr>
            <w:r>
              <w:rPr>
                <w:rFonts w:ascii="宋体" w:hAnsi="宋体" w:cs="宋体"/>
                <w:color w:val="auto"/>
                <w:sz w:val="24"/>
              </w:rPr>
              <w:t>b</w:t>
            </w:r>
            <w:r>
              <w:rPr>
                <w:rFonts w:hint="eastAsia" w:ascii="宋体" w:hAnsi="宋体" w:cs="宋体"/>
                <w:color w:val="auto"/>
                <w:sz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155910A">
            <w:pPr>
              <w:rPr>
                <w:rFonts w:ascii="宋体" w:hAnsi="宋体" w:cs="Calibri Light"/>
                <w:b/>
                <w:bCs/>
                <w:color w:val="auto"/>
                <w:sz w:val="24"/>
              </w:rPr>
            </w:pPr>
            <w:r>
              <w:rPr>
                <w:rFonts w:hint="eastAsia" w:ascii="宋体" w:hAnsi="宋体" w:cs="Calibri Light"/>
                <w:b/>
                <w:bCs/>
                <w:color w:val="auto"/>
                <w:sz w:val="24"/>
              </w:rPr>
              <w:t>邮寄地址：</w:t>
            </w:r>
            <w:r>
              <w:rPr>
                <w:rFonts w:hint="eastAsia" w:ascii="宋体" w:hAnsi="宋体" w:cs="Calibri Light"/>
                <w:b/>
                <w:bCs/>
                <w:color w:val="auto"/>
                <w:sz w:val="24"/>
                <w:lang w:eastAsia="zh-Hans"/>
              </w:rPr>
              <w:t>台州市椒江区东环大道</w:t>
            </w:r>
            <w:r>
              <w:rPr>
                <w:rFonts w:ascii="宋体" w:hAnsi="宋体" w:cs="Calibri Light"/>
                <w:b/>
                <w:bCs/>
                <w:color w:val="auto"/>
                <w:sz w:val="24"/>
                <w:lang w:eastAsia="zh-Hans"/>
              </w:rPr>
              <w:t>576</w:t>
            </w:r>
            <w:r>
              <w:rPr>
                <w:rFonts w:hint="eastAsia" w:ascii="宋体" w:hAnsi="宋体" w:cs="Calibri Light"/>
                <w:b/>
                <w:bCs/>
                <w:color w:val="auto"/>
                <w:sz w:val="24"/>
                <w:lang w:eastAsia="zh-Hans"/>
              </w:rPr>
              <w:t>号二楼</w:t>
            </w:r>
            <w:r>
              <w:rPr>
                <w:rFonts w:hint="eastAsia" w:ascii="宋体" w:hAnsi="宋体" w:cs="Calibri Light"/>
                <w:b/>
                <w:bCs/>
                <w:color w:val="auto"/>
                <w:sz w:val="24"/>
              </w:rPr>
              <w:t>（建议</w:t>
            </w:r>
            <w:r>
              <w:rPr>
                <w:rFonts w:ascii="宋体" w:hAnsi="宋体" w:cs="Calibri Light"/>
                <w:b/>
                <w:bCs/>
                <w:color w:val="auto"/>
                <w:sz w:val="24"/>
              </w:rPr>
              <w:t>提前一天寄到或送达</w:t>
            </w:r>
            <w:r>
              <w:rPr>
                <w:rFonts w:hint="eastAsia" w:ascii="宋体" w:hAnsi="宋体" w:cs="Calibri Light"/>
                <w:b/>
                <w:bCs/>
                <w:color w:val="auto"/>
                <w:sz w:val="24"/>
              </w:rPr>
              <w:t>）</w:t>
            </w:r>
          </w:p>
          <w:p w14:paraId="56EAFFCD">
            <w:pPr>
              <w:rPr>
                <w:rFonts w:ascii="宋体" w:hAnsi="宋体" w:cs="Calibri Light"/>
                <w:b/>
                <w:bCs/>
                <w:color w:val="auto"/>
                <w:sz w:val="24"/>
                <w:lang w:eastAsia="zh-Hans"/>
              </w:rPr>
            </w:pPr>
            <w:r>
              <w:rPr>
                <w:rFonts w:hint="eastAsia" w:ascii="宋体" w:hAnsi="宋体" w:cs="Calibri Light"/>
                <w:b/>
                <w:bCs/>
                <w:color w:val="auto"/>
                <w:sz w:val="24"/>
              </w:rPr>
              <w:t>收件人：金</w:t>
            </w:r>
            <w:r>
              <w:rPr>
                <w:rFonts w:hint="eastAsia" w:ascii="宋体" w:hAnsi="宋体" w:cs="Calibri Light"/>
                <w:b/>
                <w:bCs/>
                <w:color w:val="auto"/>
                <w:sz w:val="24"/>
                <w:lang w:eastAsia="zh-Hans"/>
              </w:rPr>
              <w:t>晶</w:t>
            </w:r>
          </w:p>
          <w:p w14:paraId="4A9D0276">
            <w:pPr>
              <w:rPr>
                <w:rFonts w:ascii="宋体" w:hAnsi="宋体" w:cs="Calibri Light"/>
                <w:color w:val="auto"/>
                <w:sz w:val="24"/>
              </w:rPr>
            </w:pPr>
            <w:r>
              <w:rPr>
                <w:rFonts w:hint="eastAsia" w:ascii="宋体" w:hAnsi="宋体" w:cs="Calibri Light"/>
                <w:b/>
                <w:bCs/>
                <w:color w:val="auto"/>
                <w:sz w:val="24"/>
              </w:rPr>
              <w:t>联系电话：0576-</w:t>
            </w:r>
            <w:r>
              <w:rPr>
                <w:rFonts w:ascii="宋体" w:hAnsi="宋体" w:cs="Calibri Light"/>
                <w:b/>
                <w:bCs/>
                <w:color w:val="auto"/>
                <w:sz w:val="24"/>
              </w:rPr>
              <w:t>88781913</w:t>
            </w:r>
          </w:p>
        </w:tc>
      </w:tr>
      <w:tr w14:paraId="0B50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40D9148">
            <w:pPr>
              <w:jc w:val="center"/>
              <w:rPr>
                <w:rFonts w:ascii="宋体" w:hAnsi="宋体" w:cs="Calibri Light"/>
                <w:color w:val="auto"/>
                <w:sz w:val="24"/>
              </w:rPr>
            </w:pPr>
            <w:r>
              <w:rPr>
                <w:rFonts w:hint="eastAsia" w:ascii="宋体" w:hAnsi="宋体" w:cs="Calibri Light"/>
                <w:color w:val="auto"/>
                <w:sz w:val="24"/>
              </w:rPr>
              <w:t>8</w:t>
            </w:r>
          </w:p>
        </w:tc>
        <w:tc>
          <w:tcPr>
            <w:tcW w:w="1901" w:type="dxa"/>
            <w:tcBorders>
              <w:top w:val="single" w:color="auto" w:sz="4" w:space="0"/>
              <w:left w:val="single" w:color="auto" w:sz="4" w:space="0"/>
              <w:bottom w:val="single" w:color="auto" w:sz="4" w:space="0"/>
              <w:right w:val="single" w:color="auto" w:sz="4" w:space="0"/>
            </w:tcBorders>
            <w:vAlign w:val="center"/>
          </w:tcPr>
          <w:p w14:paraId="39BF9A43">
            <w:pPr>
              <w:rPr>
                <w:rFonts w:ascii="宋体" w:hAnsi="宋体" w:cs="宋体"/>
                <w:color w:val="auto"/>
                <w:sz w:val="24"/>
              </w:rPr>
            </w:pPr>
            <w:r>
              <w:rPr>
                <w:rFonts w:hint="eastAsia" w:ascii="宋体" w:hAnsi="宋体" w:cs="宋体"/>
                <w:color w:val="auto"/>
                <w:sz w:val="24"/>
              </w:rPr>
              <w:t>电子加密投标文件的解密和异常情况处理</w:t>
            </w:r>
          </w:p>
          <w:p w14:paraId="32FF02BE">
            <w:pPr>
              <w:jc w:val="center"/>
              <w:rPr>
                <w:rFonts w:ascii="宋体" w:hAnsi="宋体" w:cs="Calibri Light"/>
                <w:color w:val="auto"/>
                <w:sz w:val="24"/>
              </w:rPr>
            </w:pPr>
          </w:p>
        </w:tc>
        <w:tc>
          <w:tcPr>
            <w:tcW w:w="6273" w:type="dxa"/>
            <w:tcBorders>
              <w:top w:val="single" w:color="auto" w:sz="4" w:space="0"/>
              <w:left w:val="single" w:color="auto" w:sz="4" w:space="0"/>
              <w:bottom w:val="single" w:color="auto" w:sz="4" w:space="0"/>
              <w:right w:val="single" w:color="auto" w:sz="4" w:space="0"/>
            </w:tcBorders>
            <w:vAlign w:val="center"/>
          </w:tcPr>
          <w:p w14:paraId="12641506">
            <w:pPr>
              <w:rPr>
                <w:rFonts w:ascii="宋体" w:hAnsi="宋体" w:cs="宋体"/>
                <w:color w:val="auto"/>
                <w:sz w:val="24"/>
              </w:rPr>
            </w:pPr>
            <w:r>
              <w:rPr>
                <w:rFonts w:hint="eastAsia" w:ascii="宋体" w:hAnsi="宋体" w:cs="宋体"/>
                <w:color w:val="auto"/>
                <w:sz w:val="24"/>
              </w:rPr>
              <w:t>（1）开标后，采购组织机构将向各投标供应商发出“电子加密投标文件”的解密通知，各投标供应商代表应当在接到解密通知后30分钟内自行完成“电子加密投标文件”的在线解密。</w:t>
            </w:r>
          </w:p>
          <w:p w14:paraId="4ADAD8BB">
            <w:pPr>
              <w:rPr>
                <w:rFonts w:ascii="宋体" w:hAnsi="宋体" w:cs="宋体"/>
                <w:color w:val="auto"/>
                <w:sz w:val="24"/>
              </w:rPr>
            </w:pPr>
            <w:r>
              <w:rPr>
                <w:rFonts w:hint="eastAsia" w:ascii="宋体" w:hAnsi="宋体" w:cs="宋体"/>
                <w:color w:val="auto"/>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0DE0402">
            <w:pPr>
              <w:rPr>
                <w:rFonts w:ascii="宋体" w:hAnsi="宋体" w:cs="宋体"/>
                <w:color w:val="auto"/>
                <w:sz w:val="24"/>
              </w:rPr>
            </w:pPr>
            <w:r>
              <w:rPr>
                <w:rFonts w:hint="eastAsia" w:ascii="宋体" w:hAnsi="宋体" w:cs="宋体"/>
                <w:color w:val="auto"/>
                <w:sz w:val="24"/>
              </w:rPr>
              <w:t>（3）投标截止时间前，投标供应商仅递交了“备份投标文件”而未将电子加密投标文件上传至“政府采购云平台”的，投标无效。</w:t>
            </w:r>
          </w:p>
          <w:p w14:paraId="569E534D">
            <w:pPr>
              <w:rPr>
                <w:rFonts w:ascii="宋体" w:hAnsi="宋体" w:cs="Calibri Light"/>
                <w:color w:val="auto"/>
                <w:sz w:val="24"/>
              </w:rPr>
            </w:pPr>
            <w:r>
              <w:rPr>
                <w:rFonts w:hint="eastAsia" w:ascii="宋体" w:hAnsi="宋体" w:cs="Calibri Light"/>
                <w:b/>
                <w:bCs/>
                <w:color w:val="auto"/>
                <w:sz w:val="24"/>
              </w:rPr>
              <w:t>注：供应商在使用系统进行投标的过程中遇到涉及平台使用的任何问题，可致电政采云平台技术支持热线咨询，联系方式：95763。</w:t>
            </w:r>
          </w:p>
        </w:tc>
      </w:tr>
      <w:tr w14:paraId="6F9C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F46D407">
            <w:pPr>
              <w:jc w:val="center"/>
              <w:rPr>
                <w:rFonts w:ascii="宋体" w:hAnsi="宋体" w:cs="Calibri Light"/>
                <w:color w:val="auto"/>
                <w:sz w:val="24"/>
              </w:rPr>
            </w:pPr>
            <w:r>
              <w:rPr>
                <w:rFonts w:ascii="宋体" w:hAnsi="宋体" w:cs="Calibri Light"/>
                <w:color w:val="auto"/>
                <w:sz w:val="24"/>
              </w:rPr>
              <w:t>9</w:t>
            </w:r>
          </w:p>
        </w:tc>
        <w:tc>
          <w:tcPr>
            <w:tcW w:w="1901" w:type="dxa"/>
            <w:tcBorders>
              <w:top w:val="single" w:color="auto" w:sz="4" w:space="0"/>
              <w:left w:val="single" w:color="auto" w:sz="4" w:space="0"/>
              <w:bottom w:val="single" w:color="auto" w:sz="4" w:space="0"/>
              <w:right w:val="single" w:color="auto" w:sz="4" w:space="0"/>
            </w:tcBorders>
            <w:vAlign w:val="center"/>
          </w:tcPr>
          <w:p w14:paraId="016AD90F">
            <w:pPr>
              <w:jc w:val="center"/>
              <w:rPr>
                <w:rFonts w:ascii="宋体" w:hAnsi="宋体" w:cs="Calibri Light"/>
                <w:color w:val="auto"/>
                <w:sz w:val="24"/>
              </w:rPr>
            </w:pPr>
            <w:r>
              <w:rPr>
                <w:rFonts w:hint="eastAsia" w:ascii="宋体" w:hAnsi="宋体" w:cs="Calibri Light"/>
                <w:color w:val="auto"/>
                <w:sz w:val="24"/>
              </w:rPr>
              <w:t>磋商响应文件有效期</w:t>
            </w:r>
          </w:p>
        </w:tc>
        <w:tc>
          <w:tcPr>
            <w:tcW w:w="6273" w:type="dxa"/>
            <w:tcBorders>
              <w:top w:val="single" w:color="auto" w:sz="4" w:space="0"/>
              <w:left w:val="single" w:color="auto" w:sz="4" w:space="0"/>
              <w:bottom w:val="single" w:color="auto" w:sz="4" w:space="0"/>
              <w:right w:val="single" w:color="auto" w:sz="4" w:space="0"/>
            </w:tcBorders>
            <w:vAlign w:val="center"/>
          </w:tcPr>
          <w:p w14:paraId="30603866">
            <w:pPr>
              <w:rPr>
                <w:rFonts w:ascii="宋体" w:hAnsi="宋体" w:cs="Calibri Light"/>
                <w:color w:val="auto"/>
                <w:sz w:val="24"/>
              </w:rPr>
            </w:pPr>
            <w:r>
              <w:rPr>
                <w:rFonts w:hint="eastAsia" w:ascii="宋体" w:hAnsi="宋体" w:cs="Calibri Light"/>
                <w:color w:val="auto"/>
                <w:sz w:val="24"/>
              </w:rPr>
              <w:t>磋商响应有效期为磋商后90天，磋商响应</w:t>
            </w:r>
            <w:r>
              <w:rPr>
                <w:rFonts w:hint="eastAsia" w:ascii="宋体" w:hAnsi="宋体" w:cs="Calibri Light"/>
                <w:color w:val="auto"/>
                <w:kern w:val="0"/>
                <w:sz w:val="24"/>
              </w:rPr>
              <w:t>有效期从提交</w:t>
            </w:r>
            <w:r>
              <w:rPr>
                <w:rFonts w:hint="eastAsia" w:ascii="宋体" w:hAnsi="宋体" w:cs="Calibri Light"/>
                <w:color w:val="auto"/>
                <w:sz w:val="24"/>
              </w:rPr>
              <w:t>磋商响应</w:t>
            </w:r>
            <w:r>
              <w:rPr>
                <w:rFonts w:hint="eastAsia" w:ascii="宋体" w:hAnsi="宋体" w:cs="Calibri Light"/>
                <w:color w:val="auto"/>
                <w:kern w:val="0"/>
                <w:sz w:val="24"/>
              </w:rPr>
              <w:t>文件的截止之日起算。</w:t>
            </w:r>
          </w:p>
        </w:tc>
      </w:tr>
      <w:tr w14:paraId="664F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18FF657">
            <w:pPr>
              <w:jc w:val="center"/>
              <w:rPr>
                <w:rFonts w:ascii="宋体" w:hAnsi="宋体" w:cs="Calibri Light"/>
                <w:color w:val="auto"/>
                <w:sz w:val="24"/>
              </w:rPr>
            </w:pPr>
            <w:r>
              <w:rPr>
                <w:rFonts w:ascii="宋体" w:hAnsi="宋体" w:cs="Calibri Light"/>
                <w:color w:val="auto"/>
                <w:sz w:val="24"/>
              </w:rPr>
              <w:t>10</w:t>
            </w:r>
          </w:p>
        </w:tc>
        <w:tc>
          <w:tcPr>
            <w:tcW w:w="1901" w:type="dxa"/>
            <w:tcBorders>
              <w:top w:val="single" w:color="auto" w:sz="4" w:space="0"/>
              <w:left w:val="single" w:color="auto" w:sz="4" w:space="0"/>
              <w:bottom w:val="single" w:color="auto" w:sz="4" w:space="0"/>
              <w:right w:val="single" w:color="auto" w:sz="4" w:space="0"/>
            </w:tcBorders>
            <w:vAlign w:val="center"/>
          </w:tcPr>
          <w:p w14:paraId="7AA64A95">
            <w:pPr>
              <w:jc w:val="center"/>
              <w:rPr>
                <w:rFonts w:ascii="宋体" w:hAnsi="宋体" w:cs="Calibri Light"/>
                <w:color w:val="auto"/>
                <w:sz w:val="24"/>
              </w:rPr>
            </w:pPr>
            <w:r>
              <w:rPr>
                <w:rFonts w:hint="eastAsia" w:ascii="宋体" w:hAnsi="宋体" w:cs="Calibri Light"/>
                <w:color w:val="auto"/>
                <w:sz w:val="24"/>
              </w:rPr>
              <w:t>磋商响应文件递交截止时间及地点</w:t>
            </w:r>
          </w:p>
        </w:tc>
        <w:tc>
          <w:tcPr>
            <w:tcW w:w="6273" w:type="dxa"/>
            <w:tcBorders>
              <w:top w:val="single" w:color="auto" w:sz="4" w:space="0"/>
              <w:left w:val="single" w:color="auto" w:sz="4" w:space="0"/>
              <w:bottom w:val="single" w:color="auto" w:sz="4" w:space="0"/>
              <w:right w:val="single" w:color="auto" w:sz="4" w:space="0"/>
            </w:tcBorders>
            <w:vAlign w:val="center"/>
          </w:tcPr>
          <w:p w14:paraId="0033DA65">
            <w:pPr>
              <w:rPr>
                <w:rFonts w:ascii="宋体" w:hAnsi="宋体" w:cs="Calibri Light"/>
                <w:color w:val="auto"/>
                <w:sz w:val="24"/>
              </w:rPr>
            </w:pPr>
            <w:r>
              <w:rPr>
                <w:rFonts w:hint="eastAsia" w:ascii="宋体" w:hAnsi="宋体" w:cs="宋体"/>
                <w:color w:val="auto"/>
                <w:sz w:val="24"/>
              </w:rPr>
              <w:t>详见公告</w:t>
            </w:r>
          </w:p>
        </w:tc>
      </w:tr>
      <w:tr w14:paraId="24B7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E59C7D9">
            <w:pPr>
              <w:jc w:val="center"/>
              <w:rPr>
                <w:rFonts w:ascii="宋体" w:hAnsi="宋体" w:cs="Calibri Light"/>
                <w:color w:val="auto"/>
                <w:sz w:val="24"/>
              </w:rPr>
            </w:pPr>
            <w:r>
              <w:rPr>
                <w:rFonts w:ascii="宋体" w:hAnsi="宋体" w:cs="Calibri Light"/>
                <w:color w:val="auto"/>
                <w:sz w:val="24"/>
              </w:rPr>
              <w:t>11</w:t>
            </w:r>
          </w:p>
        </w:tc>
        <w:tc>
          <w:tcPr>
            <w:tcW w:w="1901" w:type="dxa"/>
            <w:tcBorders>
              <w:top w:val="single" w:color="auto" w:sz="4" w:space="0"/>
              <w:left w:val="single" w:color="auto" w:sz="4" w:space="0"/>
              <w:bottom w:val="single" w:color="auto" w:sz="4" w:space="0"/>
              <w:right w:val="single" w:color="auto" w:sz="4" w:space="0"/>
            </w:tcBorders>
            <w:vAlign w:val="center"/>
          </w:tcPr>
          <w:p w14:paraId="409F2C25">
            <w:pPr>
              <w:jc w:val="center"/>
              <w:rPr>
                <w:rFonts w:ascii="宋体" w:hAnsi="宋体" w:cs="Calibri Light"/>
                <w:color w:val="auto"/>
                <w:sz w:val="24"/>
              </w:rPr>
            </w:pPr>
            <w:r>
              <w:rPr>
                <w:rFonts w:hint="eastAsia" w:ascii="宋体" w:hAnsi="宋体" w:cs="Calibri Light"/>
                <w:color w:val="auto"/>
                <w:sz w:val="24"/>
              </w:rPr>
              <w:t>磋商时间及地点</w:t>
            </w:r>
          </w:p>
        </w:tc>
        <w:tc>
          <w:tcPr>
            <w:tcW w:w="6273" w:type="dxa"/>
            <w:tcBorders>
              <w:top w:val="single" w:color="auto" w:sz="4" w:space="0"/>
              <w:left w:val="single" w:color="auto" w:sz="4" w:space="0"/>
              <w:bottom w:val="single" w:color="auto" w:sz="4" w:space="0"/>
              <w:right w:val="single" w:color="auto" w:sz="4" w:space="0"/>
            </w:tcBorders>
            <w:vAlign w:val="center"/>
          </w:tcPr>
          <w:p w14:paraId="4D4F793B">
            <w:pPr>
              <w:rPr>
                <w:rFonts w:ascii="宋体" w:hAnsi="宋体" w:cs="Calibri Light"/>
                <w:color w:val="auto"/>
                <w:sz w:val="24"/>
              </w:rPr>
            </w:pPr>
            <w:r>
              <w:rPr>
                <w:rFonts w:hint="eastAsia" w:ascii="宋体" w:hAnsi="宋体" w:cs="宋体"/>
                <w:color w:val="auto"/>
                <w:sz w:val="24"/>
              </w:rPr>
              <w:t>详见公告</w:t>
            </w:r>
          </w:p>
        </w:tc>
      </w:tr>
      <w:tr w14:paraId="45D0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90CE396">
            <w:pPr>
              <w:jc w:val="center"/>
              <w:rPr>
                <w:rFonts w:ascii="宋体" w:hAnsi="宋体" w:cs="Calibri Light"/>
                <w:color w:val="auto"/>
                <w:sz w:val="24"/>
              </w:rPr>
            </w:pPr>
            <w:r>
              <w:rPr>
                <w:rFonts w:ascii="宋体" w:hAnsi="宋体" w:cs="Calibri Light"/>
                <w:color w:val="auto"/>
                <w:sz w:val="24"/>
              </w:rPr>
              <w:t>12</w:t>
            </w:r>
          </w:p>
        </w:tc>
        <w:tc>
          <w:tcPr>
            <w:tcW w:w="1901" w:type="dxa"/>
            <w:tcBorders>
              <w:top w:val="single" w:color="auto" w:sz="4" w:space="0"/>
              <w:left w:val="single" w:color="auto" w:sz="4" w:space="0"/>
              <w:bottom w:val="single" w:color="auto" w:sz="4" w:space="0"/>
              <w:right w:val="single" w:color="auto" w:sz="4" w:space="0"/>
            </w:tcBorders>
            <w:vAlign w:val="center"/>
          </w:tcPr>
          <w:p w14:paraId="7DC3996A">
            <w:pPr>
              <w:jc w:val="center"/>
              <w:rPr>
                <w:rFonts w:ascii="宋体" w:hAnsi="宋体" w:cs="Calibri Light"/>
                <w:color w:val="auto"/>
                <w:sz w:val="24"/>
              </w:rPr>
            </w:pPr>
            <w:r>
              <w:rPr>
                <w:rFonts w:hint="eastAsia" w:ascii="宋体" w:hAnsi="宋体" w:cs="Calibri Light"/>
                <w:color w:val="auto"/>
                <w:sz w:val="24"/>
              </w:rPr>
              <w:t>磋商保证金</w:t>
            </w:r>
          </w:p>
        </w:tc>
        <w:tc>
          <w:tcPr>
            <w:tcW w:w="6273" w:type="dxa"/>
            <w:tcBorders>
              <w:top w:val="single" w:color="auto" w:sz="4" w:space="0"/>
              <w:left w:val="single" w:color="auto" w:sz="4" w:space="0"/>
              <w:bottom w:val="single" w:color="auto" w:sz="4" w:space="0"/>
              <w:right w:val="single" w:color="auto" w:sz="4" w:space="0"/>
            </w:tcBorders>
            <w:vAlign w:val="center"/>
          </w:tcPr>
          <w:p w14:paraId="723DEE20">
            <w:pPr>
              <w:jc w:val="left"/>
              <w:rPr>
                <w:rFonts w:ascii="宋体" w:hAnsi="宋体" w:cs="Calibri Light"/>
                <w:color w:val="auto"/>
                <w:sz w:val="24"/>
              </w:rPr>
            </w:pPr>
            <w:r>
              <w:rPr>
                <w:rFonts w:hint="eastAsia" w:ascii="宋体" w:hAnsi="宋体" w:cs="仿宋"/>
                <w:color w:val="auto"/>
                <w:sz w:val="24"/>
              </w:rPr>
              <w:t>无</w:t>
            </w:r>
          </w:p>
        </w:tc>
      </w:tr>
      <w:tr w14:paraId="68C1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1D7754D">
            <w:pPr>
              <w:jc w:val="center"/>
              <w:rPr>
                <w:rFonts w:ascii="宋体" w:hAnsi="宋体" w:cs="Calibri Light"/>
                <w:color w:val="auto"/>
                <w:sz w:val="24"/>
              </w:rPr>
            </w:pPr>
            <w:r>
              <w:rPr>
                <w:rFonts w:ascii="宋体" w:hAnsi="宋体" w:cs="Calibri Light"/>
                <w:color w:val="auto"/>
                <w:sz w:val="24"/>
              </w:rPr>
              <w:t>13</w:t>
            </w:r>
          </w:p>
        </w:tc>
        <w:tc>
          <w:tcPr>
            <w:tcW w:w="1901" w:type="dxa"/>
            <w:tcBorders>
              <w:top w:val="single" w:color="auto" w:sz="4" w:space="0"/>
              <w:left w:val="single" w:color="auto" w:sz="4" w:space="0"/>
              <w:bottom w:val="single" w:color="auto" w:sz="4" w:space="0"/>
              <w:right w:val="single" w:color="auto" w:sz="4" w:space="0"/>
            </w:tcBorders>
            <w:vAlign w:val="center"/>
          </w:tcPr>
          <w:p w14:paraId="63A17CF5">
            <w:pPr>
              <w:jc w:val="center"/>
              <w:rPr>
                <w:rFonts w:ascii="宋体" w:hAnsi="宋体" w:cs="Calibri Light"/>
                <w:color w:val="auto"/>
                <w:sz w:val="24"/>
              </w:rPr>
            </w:pPr>
            <w:r>
              <w:rPr>
                <w:rFonts w:hint="eastAsia" w:ascii="宋体" w:hAnsi="宋体" w:cs="Calibri Light"/>
                <w:color w:val="auto"/>
                <w:sz w:val="24"/>
              </w:rPr>
              <w:t>履约保证金</w:t>
            </w:r>
          </w:p>
        </w:tc>
        <w:tc>
          <w:tcPr>
            <w:tcW w:w="6273" w:type="dxa"/>
            <w:tcBorders>
              <w:top w:val="single" w:color="auto" w:sz="4" w:space="0"/>
              <w:left w:val="single" w:color="auto" w:sz="4" w:space="0"/>
              <w:bottom w:val="single" w:color="auto" w:sz="4" w:space="0"/>
              <w:right w:val="single" w:color="auto" w:sz="4" w:space="0"/>
            </w:tcBorders>
            <w:vAlign w:val="center"/>
          </w:tcPr>
          <w:p w14:paraId="602B9E99">
            <w:pPr>
              <w:pStyle w:val="7"/>
              <w:spacing w:line="360" w:lineRule="auto"/>
              <w:ind w:left="0" w:leftChars="0"/>
              <w:rPr>
                <w:rFonts w:ascii="宋体" w:hAnsi="宋体" w:eastAsia="宋体" w:cs="宋体"/>
                <w:color w:val="auto"/>
                <w:sz w:val="24"/>
                <w:szCs w:val="24"/>
              </w:rPr>
            </w:pPr>
            <w:r>
              <w:rPr>
                <w:rFonts w:hint="eastAsia" w:ascii="宋体" w:hAnsi="宋体" w:eastAsia="宋体" w:cs="宋体"/>
                <w:color w:val="auto"/>
                <w:sz w:val="24"/>
                <w:szCs w:val="24"/>
              </w:rPr>
              <w:t>供应商在签订合同前须交纳本项目履约保证金为合同金额的</w:t>
            </w:r>
            <w:r>
              <w:rPr>
                <w:rFonts w:ascii="宋体" w:hAnsi="宋体" w:eastAsia="宋体" w:cs="宋体"/>
                <w:color w:val="auto"/>
                <w:sz w:val="24"/>
                <w:szCs w:val="24"/>
                <w:u w:val="single"/>
              </w:rPr>
              <w:t>1</w:t>
            </w:r>
            <w:r>
              <w:rPr>
                <w:rFonts w:hint="eastAsia" w:ascii="宋体" w:hAnsi="宋体" w:eastAsia="宋体" w:cs="宋体"/>
                <w:color w:val="auto"/>
                <w:sz w:val="24"/>
                <w:szCs w:val="24"/>
              </w:rPr>
              <w:t>%。</w:t>
            </w:r>
          </w:p>
          <w:p w14:paraId="222980DA">
            <w:pPr>
              <w:rPr>
                <w:color w:val="auto"/>
              </w:rPr>
            </w:pPr>
            <w:r>
              <w:rPr>
                <w:rFonts w:hint="eastAsia" w:ascii="宋体" w:hAnsi="宋体" w:cs="宋体"/>
                <w:color w:val="auto"/>
                <w:sz w:val="24"/>
              </w:rPr>
              <w:t>供应商以电汇、</w:t>
            </w:r>
            <w:r>
              <w:rPr>
                <w:rFonts w:ascii="宋体" w:hAnsi="宋体" w:cs="宋体"/>
                <w:color w:val="auto"/>
                <w:sz w:val="24"/>
              </w:rPr>
              <w:t>转账</w:t>
            </w:r>
            <w:r>
              <w:rPr>
                <w:rFonts w:hint="eastAsia" w:ascii="宋体" w:hAnsi="宋体" w:cs="宋体"/>
                <w:color w:val="auto"/>
                <w:sz w:val="24"/>
              </w:rPr>
              <w:t>、保函等形式提交履约保证金，注明用途为“履约保证金”。</w:t>
            </w:r>
          </w:p>
        </w:tc>
      </w:tr>
      <w:tr w14:paraId="2C6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9C96CF1">
            <w:pPr>
              <w:jc w:val="center"/>
              <w:rPr>
                <w:rFonts w:ascii="宋体" w:hAnsi="宋体" w:cs="Calibri Light"/>
                <w:color w:val="auto"/>
                <w:sz w:val="24"/>
              </w:rPr>
            </w:pPr>
            <w:r>
              <w:rPr>
                <w:rFonts w:ascii="宋体" w:hAnsi="宋体" w:cs="Calibri Light"/>
                <w:color w:val="auto"/>
                <w:sz w:val="24"/>
              </w:rPr>
              <w:t>14</w:t>
            </w:r>
          </w:p>
        </w:tc>
        <w:tc>
          <w:tcPr>
            <w:tcW w:w="1901" w:type="dxa"/>
            <w:tcBorders>
              <w:top w:val="single" w:color="auto" w:sz="4" w:space="0"/>
              <w:left w:val="single" w:color="auto" w:sz="4" w:space="0"/>
              <w:bottom w:val="single" w:color="auto" w:sz="4" w:space="0"/>
              <w:right w:val="single" w:color="auto" w:sz="4" w:space="0"/>
            </w:tcBorders>
            <w:vAlign w:val="center"/>
          </w:tcPr>
          <w:p w14:paraId="00B0138A">
            <w:pPr>
              <w:autoSpaceDE w:val="0"/>
              <w:autoSpaceDN w:val="0"/>
              <w:adjustRightInd w:val="0"/>
              <w:jc w:val="center"/>
              <w:rPr>
                <w:rFonts w:ascii="宋体" w:hAnsi="宋体" w:cs="Calibri Light"/>
                <w:color w:val="auto"/>
                <w:sz w:val="24"/>
                <w:lang w:val="zh-CN"/>
              </w:rPr>
            </w:pPr>
            <w:r>
              <w:rPr>
                <w:rFonts w:hint="eastAsia" w:ascii="宋体" w:hAnsi="宋体" w:cs="Calibri Light"/>
                <w:color w:val="auto"/>
                <w:sz w:val="24"/>
                <w:lang w:val="zh-CN"/>
              </w:rPr>
              <w:t>实质性条款</w:t>
            </w:r>
          </w:p>
        </w:tc>
        <w:tc>
          <w:tcPr>
            <w:tcW w:w="6273" w:type="dxa"/>
            <w:tcBorders>
              <w:top w:val="single" w:color="auto" w:sz="4" w:space="0"/>
              <w:left w:val="single" w:color="auto" w:sz="4" w:space="0"/>
              <w:bottom w:val="single" w:color="auto" w:sz="4" w:space="0"/>
              <w:right w:val="single" w:color="auto" w:sz="4" w:space="0"/>
            </w:tcBorders>
            <w:vAlign w:val="center"/>
          </w:tcPr>
          <w:p w14:paraId="45E68B19">
            <w:pPr>
              <w:autoSpaceDE w:val="0"/>
              <w:autoSpaceDN w:val="0"/>
              <w:adjustRightInd w:val="0"/>
              <w:ind w:hanging="39"/>
              <w:jc w:val="left"/>
              <w:rPr>
                <w:rFonts w:ascii="宋体" w:hAnsi="宋体" w:cs="Calibri Light"/>
                <w:color w:val="auto"/>
                <w:kern w:val="0"/>
                <w:sz w:val="24"/>
                <w:lang w:val="zh-CN"/>
              </w:rPr>
            </w:pPr>
            <w:r>
              <w:rPr>
                <w:rFonts w:hint="eastAsia" w:ascii="宋体" w:hAnsi="宋体" w:cs="Calibri Light"/>
                <w:color w:val="auto"/>
                <w:kern w:val="0"/>
                <w:sz w:val="24"/>
                <w:lang w:val="zh-CN"/>
              </w:rPr>
              <w:t>带“</w:t>
            </w:r>
            <w:r>
              <w:rPr>
                <w:rFonts w:hint="eastAsia" w:ascii="宋体" w:hAnsi="宋体" w:cs="Calibri Light"/>
                <w:bCs/>
                <w:color w:val="auto"/>
                <w:sz w:val="24"/>
              </w:rPr>
              <w:t>▲”的条款是实质性条款，磋商</w:t>
            </w:r>
            <w:r>
              <w:rPr>
                <w:rFonts w:hint="eastAsia" w:ascii="宋体" w:hAnsi="宋体" w:cs="Calibri Light"/>
                <w:color w:val="auto"/>
                <w:sz w:val="24"/>
              </w:rPr>
              <w:t>响应</w:t>
            </w:r>
            <w:r>
              <w:rPr>
                <w:rFonts w:hint="eastAsia" w:ascii="宋体" w:hAnsi="宋体" w:cs="Calibri Light"/>
                <w:bCs/>
                <w:color w:val="auto"/>
                <w:sz w:val="24"/>
              </w:rPr>
              <w:t>文件须作出实质性响应，否则终止磋商。</w:t>
            </w:r>
          </w:p>
        </w:tc>
      </w:tr>
      <w:tr w14:paraId="12DC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F07C3D3">
            <w:pPr>
              <w:jc w:val="center"/>
              <w:rPr>
                <w:rFonts w:ascii="宋体" w:hAnsi="宋体" w:cs="Calibri Light"/>
                <w:color w:val="auto"/>
                <w:sz w:val="24"/>
              </w:rPr>
            </w:pPr>
            <w:r>
              <w:rPr>
                <w:rFonts w:ascii="宋体" w:hAnsi="宋体" w:cs="Calibri Light"/>
                <w:color w:val="auto"/>
                <w:sz w:val="24"/>
              </w:rPr>
              <w:t>15</w:t>
            </w:r>
          </w:p>
        </w:tc>
        <w:tc>
          <w:tcPr>
            <w:tcW w:w="1901" w:type="dxa"/>
            <w:tcBorders>
              <w:top w:val="single" w:color="auto" w:sz="4" w:space="0"/>
              <w:left w:val="single" w:color="auto" w:sz="4" w:space="0"/>
              <w:bottom w:val="single" w:color="auto" w:sz="4" w:space="0"/>
              <w:right w:val="single" w:color="auto" w:sz="4" w:space="0"/>
            </w:tcBorders>
            <w:vAlign w:val="center"/>
          </w:tcPr>
          <w:p w14:paraId="6FD273DC">
            <w:pPr>
              <w:autoSpaceDE w:val="0"/>
              <w:autoSpaceDN w:val="0"/>
              <w:adjustRightInd w:val="0"/>
              <w:jc w:val="center"/>
              <w:rPr>
                <w:rFonts w:ascii="宋体" w:hAnsi="宋体" w:cs="Calibri Light"/>
                <w:color w:val="auto"/>
                <w:sz w:val="24"/>
              </w:rPr>
            </w:pPr>
            <w:r>
              <w:rPr>
                <w:rFonts w:hint="eastAsia" w:ascii="宋体" w:hAnsi="宋体" w:cs="Calibri Light"/>
                <w:color w:val="auto"/>
                <w:sz w:val="24"/>
              </w:rPr>
              <w:t>解释权</w:t>
            </w:r>
          </w:p>
        </w:tc>
        <w:tc>
          <w:tcPr>
            <w:tcW w:w="6273" w:type="dxa"/>
            <w:tcBorders>
              <w:top w:val="single" w:color="auto" w:sz="4" w:space="0"/>
              <w:left w:val="single" w:color="auto" w:sz="4" w:space="0"/>
              <w:bottom w:val="single" w:color="auto" w:sz="4" w:space="0"/>
              <w:right w:val="single" w:color="auto" w:sz="4" w:space="0"/>
            </w:tcBorders>
            <w:vAlign w:val="center"/>
          </w:tcPr>
          <w:p w14:paraId="4DE15595">
            <w:pPr>
              <w:autoSpaceDE w:val="0"/>
              <w:autoSpaceDN w:val="0"/>
              <w:adjustRightInd w:val="0"/>
              <w:rPr>
                <w:rFonts w:ascii="宋体" w:hAnsi="宋体" w:cs="Calibri Light"/>
                <w:color w:val="auto"/>
                <w:sz w:val="24"/>
              </w:rPr>
            </w:pPr>
            <w:r>
              <w:rPr>
                <w:rFonts w:hint="eastAsia" w:ascii="宋体" w:hAnsi="宋体" w:cs="Calibri Light"/>
                <w:color w:val="auto"/>
                <w:sz w:val="24"/>
              </w:rPr>
              <w:t>本磋商文件解释权属于采购人和</w:t>
            </w:r>
            <w:r>
              <w:rPr>
                <w:rFonts w:hint="eastAsia" w:ascii="宋体" w:hAnsi="宋体" w:cs="仿宋"/>
                <w:color w:val="auto"/>
                <w:sz w:val="24"/>
              </w:rPr>
              <w:t>采购代理机构。</w:t>
            </w:r>
          </w:p>
        </w:tc>
      </w:tr>
      <w:tr w14:paraId="3004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BDB0530">
            <w:pPr>
              <w:jc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6</w:t>
            </w:r>
          </w:p>
        </w:tc>
        <w:tc>
          <w:tcPr>
            <w:tcW w:w="1901" w:type="dxa"/>
            <w:tcBorders>
              <w:top w:val="single" w:color="auto" w:sz="4" w:space="0"/>
              <w:left w:val="single" w:color="auto" w:sz="4" w:space="0"/>
              <w:bottom w:val="single" w:color="auto" w:sz="4" w:space="0"/>
              <w:right w:val="single" w:color="auto" w:sz="4" w:space="0"/>
            </w:tcBorders>
            <w:vAlign w:val="center"/>
          </w:tcPr>
          <w:p w14:paraId="5421C028">
            <w:pPr>
              <w:autoSpaceDE w:val="0"/>
              <w:autoSpaceDN w:val="0"/>
              <w:adjustRightInd w:val="0"/>
              <w:jc w:val="center"/>
              <w:rPr>
                <w:rFonts w:ascii="宋体" w:hAnsi="宋体" w:cs="宋体"/>
                <w:color w:val="auto"/>
                <w:sz w:val="24"/>
              </w:rPr>
            </w:pPr>
            <w:r>
              <w:rPr>
                <w:rFonts w:hint="eastAsia" w:ascii="宋体" w:hAnsi="宋体" w:cs="宋体"/>
                <w:color w:val="auto"/>
                <w:sz w:val="24"/>
              </w:rPr>
              <w:t>招标代理费</w:t>
            </w:r>
          </w:p>
        </w:tc>
        <w:tc>
          <w:tcPr>
            <w:tcW w:w="6273" w:type="dxa"/>
            <w:tcBorders>
              <w:top w:val="single" w:color="auto" w:sz="4" w:space="0"/>
              <w:left w:val="single" w:color="auto" w:sz="4" w:space="0"/>
              <w:bottom w:val="single" w:color="auto" w:sz="4" w:space="0"/>
              <w:right w:val="single" w:color="auto" w:sz="4" w:space="0"/>
            </w:tcBorders>
            <w:vAlign w:val="center"/>
          </w:tcPr>
          <w:p w14:paraId="23FEC48D">
            <w:pPr>
              <w:spacing w:line="360" w:lineRule="auto"/>
              <w:textAlignment w:val="center"/>
              <w:rPr>
                <w:rFonts w:ascii="宋体" w:hAnsi="宋体" w:cs="宋体"/>
                <w:color w:val="auto"/>
                <w:sz w:val="24"/>
              </w:rPr>
            </w:pPr>
            <w:r>
              <w:rPr>
                <w:rFonts w:hint="eastAsia" w:ascii="宋体" w:hAnsi="宋体" w:cs="宋体"/>
                <w:color w:val="auto"/>
                <w:sz w:val="24"/>
              </w:rPr>
              <w:t>招标代理服务收费采用差额定率累进计费方式，收费标准根据中标金额按照下列表格</w:t>
            </w:r>
            <w:r>
              <w:rPr>
                <w:rFonts w:hint="eastAsia" w:ascii="宋体" w:hAnsi="宋体" w:cs="宋体"/>
                <w:color w:val="auto"/>
                <w:sz w:val="24"/>
              </w:rPr>
              <w:t>中</w:t>
            </w:r>
            <w:r>
              <w:rPr>
                <w:rFonts w:hint="eastAsia" w:ascii="宋体" w:hAnsi="宋体" w:cs="宋体"/>
                <w:b/>
                <w:bCs/>
                <w:color w:val="auto"/>
                <w:sz w:val="24"/>
                <w:u w:val="single"/>
              </w:rPr>
              <w:t>工程招标</w:t>
            </w:r>
            <w:r>
              <w:rPr>
                <w:rFonts w:hint="eastAsia" w:ascii="宋体" w:hAnsi="宋体" w:cs="宋体"/>
                <w:color w:val="auto"/>
                <w:sz w:val="24"/>
              </w:rPr>
              <w:t>类别</w:t>
            </w:r>
            <w:r>
              <w:rPr>
                <w:rFonts w:hint="eastAsia" w:ascii="宋体" w:hAnsi="宋体" w:cs="宋体"/>
                <w:color w:val="auto"/>
                <w:sz w:val="24"/>
              </w:rPr>
              <w:t>费率的50%计算，向中标单位收取招标代理费，该费用中标人须在中标公告发出5日内一次性付清。（户名：浙江五石中正工程咨询有限公司；账号：1202003209900014176；开户银行：中国工商银行杭州潮王路支行），财务联系电话：0571-88271625。</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110"/>
              <w:gridCol w:w="1110"/>
              <w:gridCol w:w="1110"/>
            </w:tblGrid>
            <w:tr w14:paraId="476C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67AA5DA0">
                  <w:pPr>
                    <w:spacing w:line="360" w:lineRule="auto"/>
                    <w:jc w:val="center"/>
                    <w:rPr>
                      <w:rFonts w:ascii="宋体" w:hAnsi="宋体" w:cs="宋体"/>
                      <w:color w:val="auto"/>
                      <w:sz w:val="24"/>
                    </w:rPr>
                  </w:pPr>
                  <w:r>
                    <w:rPr>
                      <w:rFonts w:hint="eastAsia" w:ascii="宋体" w:hAnsi="宋体" w:cs="宋体"/>
                      <w:color w:val="auto"/>
                      <w:sz w:val="24"/>
                    </w:rPr>
                    <w:t>服务类型、费率、中标金额（万元）</w:t>
                  </w:r>
                </w:p>
              </w:tc>
              <w:tc>
                <w:tcPr>
                  <w:tcW w:w="1110" w:type="dxa"/>
                  <w:vAlign w:val="center"/>
                </w:tcPr>
                <w:p w14:paraId="65B6046F">
                  <w:pPr>
                    <w:spacing w:line="360" w:lineRule="auto"/>
                    <w:jc w:val="center"/>
                    <w:rPr>
                      <w:rFonts w:ascii="宋体" w:hAnsi="宋体" w:cs="宋体"/>
                      <w:color w:val="auto"/>
                      <w:sz w:val="24"/>
                    </w:rPr>
                  </w:pPr>
                  <w:r>
                    <w:rPr>
                      <w:rFonts w:hint="eastAsia" w:ascii="宋体" w:hAnsi="宋体" w:cs="宋体"/>
                      <w:color w:val="auto"/>
                      <w:sz w:val="24"/>
                    </w:rPr>
                    <w:t>货物招标</w:t>
                  </w:r>
                </w:p>
              </w:tc>
              <w:tc>
                <w:tcPr>
                  <w:tcW w:w="1110" w:type="dxa"/>
                  <w:vAlign w:val="center"/>
                </w:tcPr>
                <w:p w14:paraId="0B2A8EDF">
                  <w:pPr>
                    <w:spacing w:line="360" w:lineRule="auto"/>
                    <w:jc w:val="center"/>
                    <w:rPr>
                      <w:rFonts w:ascii="宋体" w:hAnsi="宋体" w:cs="宋体"/>
                      <w:color w:val="auto"/>
                      <w:sz w:val="24"/>
                    </w:rPr>
                  </w:pPr>
                  <w:r>
                    <w:rPr>
                      <w:rFonts w:hint="eastAsia" w:ascii="宋体" w:hAnsi="宋体" w:cs="宋体"/>
                      <w:color w:val="auto"/>
                      <w:sz w:val="24"/>
                    </w:rPr>
                    <w:t>服务招标</w:t>
                  </w:r>
                </w:p>
              </w:tc>
              <w:tc>
                <w:tcPr>
                  <w:tcW w:w="1110" w:type="dxa"/>
                  <w:vAlign w:val="center"/>
                </w:tcPr>
                <w:p w14:paraId="667EE4BC">
                  <w:pPr>
                    <w:spacing w:line="360" w:lineRule="auto"/>
                    <w:jc w:val="center"/>
                    <w:rPr>
                      <w:rFonts w:ascii="宋体" w:hAnsi="宋体" w:cs="宋体"/>
                      <w:color w:val="auto"/>
                      <w:sz w:val="24"/>
                    </w:rPr>
                  </w:pPr>
                  <w:r>
                    <w:rPr>
                      <w:rFonts w:hint="eastAsia" w:ascii="宋体" w:hAnsi="宋体" w:cs="宋体"/>
                      <w:color w:val="auto"/>
                      <w:sz w:val="24"/>
                    </w:rPr>
                    <w:t>工程招标</w:t>
                  </w:r>
                </w:p>
              </w:tc>
            </w:tr>
            <w:tr w14:paraId="50AC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0CC273A0">
                  <w:pPr>
                    <w:spacing w:line="360" w:lineRule="auto"/>
                    <w:jc w:val="center"/>
                    <w:rPr>
                      <w:rFonts w:ascii="宋体" w:hAnsi="宋体" w:cs="宋体"/>
                      <w:color w:val="auto"/>
                      <w:sz w:val="24"/>
                    </w:rPr>
                  </w:pPr>
                  <w:r>
                    <w:rPr>
                      <w:rFonts w:hint="eastAsia" w:ascii="宋体" w:hAnsi="宋体" w:cs="宋体"/>
                      <w:color w:val="auto"/>
                      <w:sz w:val="24"/>
                    </w:rPr>
                    <w:t>100以下</w:t>
                  </w:r>
                </w:p>
              </w:tc>
              <w:tc>
                <w:tcPr>
                  <w:tcW w:w="1110" w:type="dxa"/>
                  <w:vAlign w:val="center"/>
                </w:tcPr>
                <w:p w14:paraId="3D8BA170">
                  <w:pPr>
                    <w:spacing w:line="360" w:lineRule="auto"/>
                    <w:jc w:val="center"/>
                    <w:rPr>
                      <w:rFonts w:ascii="宋体" w:hAnsi="宋体" w:cs="宋体"/>
                      <w:color w:val="auto"/>
                      <w:sz w:val="24"/>
                    </w:rPr>
                  </w:pPr>
                  <w:r>
                    <w:rPr>
                      <w:rFonts w:hint="eastAsia" w:ascii="宋体" w:hAnsi="宋体" w:cs="宋体"/>
                      <w:color w:val="auto"/>
                      <w:sz w:val="24"/>
                    </w:rPr>
                    <w:t>1.50%</w:t>
                  </w:r>
                </w:p>
              </w:tc>
              <w:tc>
                <w:tcPr>
                  <w:tcW w:w="1110" w:type="dxa"/>
                  <w:vAlign w:val="center"/>
                </w:tcPr>
                <w:p w14:paraId="0CE10F1D">
                  <w:pPr>
                    <w:spacing w:line="360" w:lineRule="auto"/>
                    <w:jc w:val="center"/>
                    <w:rPr>
                      <w:rFonts w:ascii="宋体" w:hAnsi="宋体" w:cs="宋体"/>
                      <w:color w:val="auto"/>
                      <w:sz w:val="24"/>
                    </w:rPr>
                  </w:pPr>
                  <w:r>
                    <w:rPr>
                      <w:rFonts w:hint="eastAsia" w:ascii="宋体" w:hAnsi="宋体" w:cs="宋体"/>
                      <w:color w:val="auto"/>
                      <w:sz w:val="24"/>
                    </w:rPr>
                    <w:t>1.50%</w:t>
                  </w:r>
                </w:p>
              </w:tc>
              <w:tc>
                <w:tcPr>
                  <w:tcW w:w="1110" w:type="dxa"/>
                  <w:vAlign w:val="center"/>
                </w:tcPr>
                <w:p w14:paraId="6ACD0014">
                  <w:pPr>
                    <w:spacing w:line="360" w:lineRule="auto"/>
                    <w:jc w:val="center"/>
                    <w:rPr>
                      <w:rFonts w:ascii="宋体" w:hAnsi="宋体" w:cs="宋体"/>
                      <w:color w:val="auto"/>
                      <w:sz w:val="24"/>
                    </w:rPr>
                  </w:pPr>
                  <w:r>
                    <w:rPr>
                      <w:rFonts w:hint="eastAsia" w:ascii="宋体" w:hAnsi="宋体" w:cs="宋体"/>
                      <w:color w:val="auto"/>
                      <w:sz w:val="24"/>
                    </w:rPr>
                    <w:t>1.00%</w:t>
                  </w:r>
                </w:p>
              </w:tc>
            </w:tr>
            <w:tr w14:paraId="6A7C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4A432543">
                  <w:pPr>
                    <w:spacing w:line="360" w:lineRule="auto"/>
                    <w:jc w:val="center"/>
                    <w:rPr>
                      <w:rFonts w:ascii="宋体" w:hAnsi="宋体" w:cs="宋体"/>
                      <w:color w:val="auto"/>
                      <w:sz w:val="24"/>
                    </w:rPr>
                  </w:pPr>
                  <w:r>
                    <w:rPr>
                      <w:rFonts w:hint="eastAsia" w:ascii="宋体" w:hAnsi="宋体" w:cs="宋体"/>
                      <w:color w:val="auto"/>
                      <w:sz w:val="24"/>
                    </w:rPr>
                    <w:t>100-500</w:t>
                  </w:r>
                </w:p>
              </w:tc>
              <w:tc>
                <w:tcPr>
                  <w:tcW w:w="1110" w:type="dxa"/>
                  <w:vAlign w:val="center"/>
                </w:tcPr>
                <w:p w14:paraId="1CBA334F">
                  <w:pPr>
                    <w:spacing w:line="360" w:lineRule="auto"/>
                    <w:jc w:val="center"/>
                    <w:rPr>
                      <w:rFonts w:ascii="宋体" w:hAnsi="宋体" w:cs="宋体"/>
                      <w:color w:val="auto"/>
                      <w:sz w:val="24"/>
                    </w:rPr>
                  </w:pPr>
                  <w:r>
                    <w:rPr>
                      <w:rFonts w:hint="eastAsia" w:ascii="宋体" w:hAnsi="宋体" w:cs="宋体"/>
                      <w:color w:val="auto"/>
                      <w:sz w:val="24"/>
                    </w:rPr>
                    <w:t>1.10%</w:t>
                  </w:r>
                </w:p>
              </w:tc>
              <w:tc>
                <w:tcPr>
                  <w:tcW w:w="1110" w:type="dxa"/>
                  <w:vAlign w:val="center"/>
                </w:tcPr>
                <w:p w14:paraId="0C1B9B3E">
                  <w:pPr>
                    <w:spacing w:line="360" w:lineRule="auto"/>
                    <w:jc w:val="center"/>
                    <w:rPr>
                      <w:rFonts w:ascii="宋体" w:hAnsi="宋体" w:cs="宋体"/>
                      <w:color w:val="auto"/>
                      <w:sz w:val="24"/>
                    </w:rPr>
                  </w:pPr>
                  <w:r>
                    <w:rPr>
                      <w:rFonts w:hint="eastAsia" w:ascii="宋体" w:hAnsi="宋体" w:cs="宋体"/>
                      <w:color w:val="auto"/>
                      <w:sz w:val="24"/>
                    </w:rPr>
                    <w:t>0.80%</w:t>
                  </w:r>
                </w:p>
              </w:tc>
              <w:tc>
                <w:tcPr>
                  <w:tcW w:w="1110" w:type="dxa"/>
                  <w:vAlign w:val="center"/>
                </w:tcPr>
                <w:p w14:paraId="2F38DDD4">
                  <w:pPr>
                    <w:spacing w:line="360" w:lineRule="auto"/>
                    <w:jc w:val="center"/>
                    <w:rPr>
                      <w:rFonts w:ascii="宋体" w:hAnsi="宋体" w:cs="宋体"/>
                      <w:color w:val="auto"/>
                      <w:sz w:val="24"/>
                    </w:rPr>
                  </w:pPr>
                  <w:r>
                    <w:rPr>
                      <w:rFonts w:hint="eastAsia" w:ascii="宋体" w:hAnsi="宋体" w:cs="宋体"/>
                      <w:color w:val="auto"/>
                      <w:sz w:val="24"/>
                    </w:rPr>
                    <w:t>0.70%</w:t>
                  </w:r>
                </w:p>
              </w:tc>
            </w:tr>
            <w:tr w14:paraId="2FB7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6FD62B30">
                  <w:pPr>
                    <w:spacing w:line="360" w:lineRule="auto"/>
                    <w:jc w:val="center"/>
                    <w:rPr>
                      <w:rFonts w:ascii="宋体" w:hAnsi="宋体" w:cs="宋体"/>
                      <w:color w:val="auto"/>
                      <w:sz w:val="24"/>
                    </w:rPr>
                  </w:pPr>
                  <w:r>
                    <w:rPr>
                      <w:rFonts w:hint="eastAsia" w:ascii="宋体" w:hAnsi="宋体" w:cs="宋体"/>
                      <w:color w:val="auto"/>
                      <w:sz w:val="24"/>
                    </w:rPr>
                    <w:t>500-1000</w:t>
                  </w:r>
                </w:p>
              </w:tc>
              <w:tc>
                <w:tcPr>
                  <w:tcW w:w="1110" w:type="dxa"/>
                  <w:vAlign w:val="center"/>
                </w:tcPr>
                <w:p w14:paraId="7EBC4AF6">
                  <w:pPr>
                    <w:spacing w:line="360" w:lineRule="auto"/>
                    <w:jc w:val="center"/>
                    <w:rPr>
                      <w:rFonts w:ascii="宋体" w:hAnsi="宋体" w:cs="宋体"/>
                      <w:color w:val="auto"/>
                      <w:sz w:val="24"/>
                    </w:rPr>
                  </w:pPr>
                  <w:r>
                    <w:rPr>
                      <w:rFonts w:hint="eastAsia" w:ascii="宋体" w:hAnsi="宋体" w:cs="宋体"/>
                      <w:color w:val="auto"/>
                      <w:sz w:val="24"/>
                    </w:rPr>
                    <w:t>0.80%</w:t>
                  </w:r>
                </w:p>
              </w:tc>
              <w:tc>
                <w:tcPr>
                  <w:tcW w:w="1110" w:type="dxa"/>
                  <w:vAlign w:val="center"/>
                </w:tcPr>
                <w:p w14:paraId="6DB77A39">
                  <w:pPr>
                    <w:spacing w:line="360" w:lineRule="auto"/>
                    <w:jc w:val="center"/>
                    <w:rPr>
                      <w:rFonts w:ascii="宋体" w:hAnsi="宋体" w:cs="宋体"/>
                      <w:color w:val="auto"/>
                      <w:sz w:val="24"/>
                    </w:rPr>
                  </w:pPr>
                  <w:r>
                    <w:rPr>
                      <w:rFonts w:hint="eastAsia" w:ascii="宋体" w:hAnsi="宋体" w:cs="宋体"/>
                      <w:color w:val="auto"/>
                      <w:sz w:val="24"/>
                    </w:rPr>
                    <w:t>0.45%</w:t>
                  </w:r>
                </w:p>
              </w:tc>
              <w:tc>
                <w:tcPr>
                  <w:tcW w:w="1110" w:type="dxa"/>
                  <w:vAlign w:val="center"/>
                </w:tcPr>
                <w:p w14:paraId="71C092DA">
                  <w:pPr>
                    <w:spacing w:line="360" w:lineRule="auto"/>
                    <w:jc w:val="center"/>
                    <w:rPr>
                      <w:rFonts w:ascii="宋体" w:hAnsi="宋体" w:cs="宋体"/>
                      <w:color w:val="auto"/>
                      <w:sz w:val="24"/>
                    </w:rPr>
                  </w:pPr>
                  <w:r>
                    <w:rPr>
                      <w:rFonts w:hint="eastAsia" w:ascii="宋体" w:hAnsi="宋体" w:cs="宋体"/>
                      <w:color w:val="auto"/>
                      <w:sz w:val="24"/>
                    </w:rPr>
                    <w:t>0.55%</w:t>
                  </w:r>
                </w:p>
              </w:tc>
            </w:tr>
            <w:tr w14:paraId="749D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54659D1B">
                  <w:pPr>
                    <w:spacing w:line="360" w:lineRule="auto"/>
                    <w:jc w:val="center"/>
                    <w:rPr>
                      <w:rFonts w:ascii="宋体" w:hAnsi="宋体" w:cs="宋体"/>
                      <w:color w:val="auto"/>
                      <w:sz w:val="24"/>
                    </w:rPr>
                  </w:pPr>
                  <w:r>
                    <w:rPr>
                      <w:rFonts w:hint="eastAsia" w:ascii="宋体" w:hAnsi="宋体" w:cs="宋体"/>
                      <w:color w:val="auto"/>
                      <w:sz w:val="24"/>
                    </w:rPr>
                    <w:t>1000-5000</w:t>
                  </w:r>
                </w:p>
              </w:tc>
              <w:tc>
                <w:tcPr>
                  <w:tcW w:w="1110" w:type="dxa"/>
                  <w:vAlign w:val="center"/>
                </w:tcPr>
                <w:p w14:paraId="4F262D60">
                  <w:pPr>
                    <w:spacing w:line="360" w:lineRule="auto"/>
                    <w:jc w:val="center"/>
                    <w:rPr>
                      <w:rFonts w:ascii="宋体" w:hAnsi="宋体" w:cs="宋体"/>
                      <w:color w:val="auto"/>
                      <w:sz w:val="24"/>
                    </w:rPr>
                  </w:pPr>
                  <w:r>
                    <w:rPr>
                      <w:rFonts w:hint="eastAsia" w:ascii="宋体" w:hAnsi="宋体" w:cs="宋体"/>
                      <w:color w:val="auto"/>
                      <w:sz w:val="24"/>
                    </w:rPr>
                    <w:t>0.50%</w:t>
                  </w:r>
                </w:p>
              </w:tc>
              <w:tc>
                <w:tcPr>
                  <w:tcW w:w="1110" w:type="dxa"/>
                  <w:vAlign w:val="center"/>
                </w:tcPr>
                <w:p w14:paraId="1D1DBBBB">
                  <w:pPr>
                    <w:spacing w:line="360" w:lineRule="auto"/>
                    <w:jc w:val="center"/>
                    <w:rPr>
                      <w:rFonts w:ascii="宋体" w:hAnsi="宋体" w:cs="宋体"/>
                      <w:color w:val="auto"/>
                      <w:sz w:val="24"/>
                    </w:rPr>
                  </w:pPr>
                  <w:r>
                    <w:rPr>
                      <w:rFonts w:hint="eastAsia" w:ascii="宋体" w:hAnsi="宋体" w:cs="宋体"/>
                      <w:color w:val="auto"/>
                      <w:sz w:val="24"/>
                    </w:rPr>
                    <w:t>0.25%</w:t>
                  </w:r>
                </w:p>
              </w:tc>
              <w:tc>
                <w:tcPr>
                  <w:tcW w:w="1110" w:type="dxa"/>
                  <w:vAlign w:val="center"/>
                </w:tcPr>
                <w:p w14:paraId="03FB8B32">
                  <w:pPr>
                    <w:spacing w:line="360" w:lineRule="auto"/>
                    <w:jc w:val="center"/>
                    <w:rPr>
                      <w:rFonts w:ascii="宋体" w:hAnsi="宋体" w:cs="宋体"/>
                      <w:color w:val="auto"/>
                      <w:sz w:val="24"/>
                    </w:rPr>
                  </w:pPr>
                  <w:r>
                    <w:rPr>
                      <w:rFonts w:hint="eastAsia" w:ascii="宋体" w:hAnsi="宋体" w:cs="宋体"/>
                      <w:color w:val="auto"/>
                      <w:sz w:val="24"/>
                    </w:rPr>
                    <w:t>0.35%</w:t>
                  </w:r>
                </w:p>
              </w:tc>
            </w:tr>
            <w:tr w14:paraId="1306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517D45D1">
                  <w:pPr>
                    <w:spacing w:line="360" w:lineRule="auto"/>
                    <w:jc w:val="center"/>
                    <w:rPr>
                      <w:rFonts w:ascii="宋体" w:hAnsi="宋体" w:cs="宋体"/>
                      <w:color w:val="auto"/>
                      <w:sz w:val="24"/>
                    </w:rPr>
                  </w:pPr>
                  <w:r>
                    <w:rPr>
                      <w:rFonts w:hint="eastAsia" w:ascii="宋体" w:hAnsi="宋体" w:cs="宋体"/>
                      <w:color w:val="auto"/>
                      <w:sz w:val="24"/>
                    </w:rPr>
                    <w:t>5000-10000</w:t>
                  </w:r>
                </w:p>
              </w:tc>
              <w:tc>
                <w:tcPr>
                  <w:tcW w:w="1110" w:type="dxa"/>
                  <w:vAlign w:val="center"/>
                </w:tcPr>
                <w:p w14:paraId="367DE6BD">
                  <w:pPr>
                    <w:spacing w:line="360" w:lineRule="auto"/>
                    <w:jc w:val="center"/>
                    <w:rPr>
                      <w:rFonts w:ascii="宋体" w:hAnsi="宋体" w:cs="宋体"/>
                      <w:color w:val="auto"/>
                      <w:sz w:val="24"/>
                    </w:rPr>
                  </w:pPr>
                  <w:r>
                    <w:rPr>
                      <w:rFonts w:hint="eastAsia" w:ascii="宋体" w:hAnsi="宋体" w:cs="宋体"/>
                      <w:color w:val="auto"/>
                      <w:sz w:val="24"/>
                    </w:rPr>
                    <w:t>0.25%</w:t>
                  </w:r>
                </w:p>
              </w:tc>
              <w:tc>
                <w:tcPr>
                  <w:tcW w:w="1110" w:type="dxa"/>
                  <w:vAlign w:val="center"/>
                </w:tcPr>
                <w:p w14:paraId="46A46F06">
                  <w:pPr>
                    <w:spacing w:line="360" w:lineRule="auto"/>
                    <w:jc w:val="center"/>
                    <w:rPr>
                      <w:rFonts w:ascii="宋体" w:hAnsi="宋体" w:cs="宋体"/>
                      <w:color w:val="auto"/>
                      <w:sz w:val="24"/>
                    </w:rPr>
                  </w:pPr>
                  <w:r>
                    <w:rPr>
                      <w:rFonts w:hint="eastAsia" w:ascii="宋体" w:hAnsi="宋体" w:cs="宋体"/>
                      <w:color w:val="auto"/>
                      <w:sz w:val="24"/>
                    </w:rPr>
                    <w:t>0.10%</w:t>
                  </w:r>
                </w:p>
              </w:tc>
              <w:tc>
                <w:tcPr>
                  <w:tcW w:w="1110" w:type="dxa"/>
                  <w:vAlign w:val="center"/>
                </w:tcPr>
                <w:p w14:paraId="2A8B0286">
                  <w:pPr>
                    <w:spacing w:line="360" w:lineRule="auto"/>
                    <w:jc w:val="center"/>
                    <w:rPr>
                      <w:rFonts w:ascii="宋体" w:hAnsi="宋体" w:cs="宋体"/>
                      <w:color w:val="auto"/>
                      <w:sz w:val="24"/>
                    </w:rPr>
                  </w:pPr>
                  <w:r>
                    <w:rPr>
                      <w:rFonts w:hint="eastAsia" w:ascii="宋体" w:hAnsi="宋体" w:cs="宋体"/>
                      <w:color w:val="auto"/>
                      <w:sz w:val="24"/>
                    </w:rPr>
                    <w:t>0.20%</w:t>
                  </w:r>
                </w:p>
              </w:tc>
            </w:tr>
            <w:tr w14:paraId="78DB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vAlign w:val="center"/>
                </w:tcPr>
                <w:p w14:paraId="5D088BEE">
                  <w:pPr>
                    <w:spacing w:line="360" w:lineRule="auto"/>
                    <w:jc w:val="center"/>
                    <w:rPr>
                      <w:rFonts w:ascii="宋体" w:hAnsi="宋体" w:cs="宋体"/>
                      <w:color w:val="auto"/>
                      <w:sz w:val="24"/>
                    </w:rPr>
                  </w:pPr>
                  <w:r>
                    <w:rPr>
                      <w:rFonts w:hint="eastAsia" w:ascii="宋体" w:hAnsi="宋体" w:cs="宋体"/>
                      <w:color w:val="auto"/>
                      <w:sz w:val="24"/>
                    </w:rPr>
                    <w:t>10000-100000</w:t>
                  </w:r>
                </w:p>
              </w:tc>
              <w:tc>
                <w:tcPr>
                  <w:tcW w:w="1110" w:type="dxa"/>
                  <w:vAlign w:val="center"/>
                </w:tcPr>
                <w:p w14:paraId="00E168E8">
                  <w:pPr>
                    <w:spacing w:line="360" w:lineRule="auto"/>
                    <w:jc w:val="center"/>
                    <w:rPr>
                      <w:rFonts w:ascii="宋体" w:hAnsi="宋体" w:cs="宋体"/>
                      <w:color w:val="auto"/>
                      <w:sz w:val="24"/>
                    </w:rPr>
                  </w:pPr>
                  <w:r>
                    <w:rPr>
                      <w:rFonts w:hint="eastAsia" w:ascii="宋体" w:hAnsi="宋体" w:cs="宋体"/>
                      <w:color w:val="auto"/>
                      <w:sz w:val="24"/>
                    </w:rPr>
                    <w:t>0.05%</w:t>
                  </w:r>
                </w:p>
              </w:tc>
              <w:tc>
                <w:tcPr>
                  <w:tcW w:w="1110" w:type="dxa"/>
                  <w:vAlign w:val="center"/>
                </w:tcPr>
                <w:p w14:paraId="4236B234">
                  <w:pPr>
                    <w:spacing w:line="360" w:lineRule="auto"/>
                    <w:jc w:val="center"/>
                    <w:rPr>
                      <w:rFonts w:ascii="宋体" w:hAnsi="宋体" w:cs="宋体"/>
                      <w:color w:val="auto"/>
                      <w:sz w:val="24"/>
                    </w:rPr>
                  </w:pPr>
                  <w:r>
                    <w:rPr>
                      <w:rFonts w:hint="eastAsia" w:ascii="宋体" w:hAnsi="宋体" w:cs="宋体"/>
                      <w:color w:val="auto"/>
                      <w:sz w:val="24"/>
                    </w:rPr>
                    <w:t>0.05%</w:t>
                  </w:r>
                </w:p>
              </w:tc>
              <w:tc>
                <w:tcPr>
                  <w:tcW w:w="1110" w:type="dxa"/>
                  <w:vAlign w:val="center"/>
                </w:tcPr>
                <w:p w14:paraId="55C8730B">
                  <w:pPr>
                    <w:spacing w:line="360" w:lineRule="auto"/>
                    <w:jc w:val="center"/>
                    <w:rPr>
                      <w:rFonts w:ascii="宋体" w:hAnsi="宋体" w:cs="宋体"/>
                      <w:color w:val="auto"/>
                      <w:sz w:val="24"/>
                    </w:rPr>
                  </w:pPr>
                  <w:r>
                    <w:rPr>
                      <w:rFonts w:hint="eastAsia" w:ascii="宋体" w:hAnsi="宋体" w:cs="宋体"/>
                      <w:color w:val="auto"/>
                      <w:sz w:val="24"/>
                    </w:rPr>
                    <w:t>0.05%</w:t>
                  </w:r>
                </w:p>
              </w:tc>
            </w:tr>
            <w:tr w14:paraId="5A4A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944" w:type="dxa"/>
                  <w:vAlign w:val="center"/>
                </w:tcPr>
                <w:p w14:paraId="1FB1614A">
                  <w:pPr>
                    <w:spacing w:line="360" w:lineRule="auto"/>
                    <w:jc w:val="center"/>
                    <w:rPr>
                      <w:rFonts w:ascii="宋体" w:hAnsi="宋体" w:cs="宋体"/>
                      <w:color w:val="auto"/>
                      <w:sz w:val="24"/>
                    </w:rPr>
                  </w:pPr>
                  <w:r>
                    <w:rPr>
                      <w:rFonts w:hint="eastAsia" w:ascii="宋体" w:hAnsi="宋体" w:cs="宋体"/>
                      <w:color w:val="auto"/>
                      <w:sz w:val="24"/>
                    </w:rPr>
                    <w:t>100000以上</w:t>
                  </w:r>
                </w:p>
              </w:tc>
              <w:tc>
                <w:tcPr>
                  <w:tcW w:w="1110" w:type="dxa"/>
                  <w:vAlign w:val="center"/>
                </w:tcPr>
                <w:p w14:paraId="311AE360">
                  <w:pPr>
                    <w:spacing w:line="360" w:lineRule="auto"/>
                    <w:jc w:val="center"/>
                    <w:rPr>
                      <w:rFonts w:ascii="宋体" w:hAnsi="宋体" w:cs="宋体"/>
                      <w:color w:val="auto"/>
                      <w:sz w:val="24"/>
                    </w:rPr>
                  </w:pPr>
                  <w:r>
                    <w:rPr>
                      <w:rFonts w:hint="eastAsia" w:ascii="宋体" w:hAnsi="宋体" w:cs="宋体"/>
                      <w:color w:val="auto"/>
                      <w:sz w:val="24"/>
                    </w:rPr>
                    <w:t>0.01%</w:t>
                  </w:r>
                </w:p>
              </w:tc>
              <w:tc>
                <w:tcPr>
                  <w:tcW w:w="1110" w:type="dxa"/>
                  <w:vAlign w:val="center"/>
                </w:tcPr>
                <w:p w14:paraId="62B328E9">
                  <w:pPr>
                    <w:spacing w:line="360" w:lineRule="auto"/>
                    <w:jc w:val="center"/>
                    <w:rPr>
                      <w:rFonts w:ascii="宋体" w:hAnsi="宋体" w:cs="宋体"/>
                      <w:color w:val="auto"/>
                      <w:sz w:val="24"/>
                    </w:rPr>
                  </w:pPr>
                  <w:r>
                    <w:rPr>
                      <w:rFonts w:hint="eastAsia" w:ascii="宋体" w:hAnsi="宋体" w:cs="宋体"/>
                      <w:color w:val="auto"/>
                      <w:sz w:val="24"/>
                    </w:rPr>
                    <w:t>0.01%</w:t>
                  </w:r>
                </w:p>
              </w:tc>
              <w:tc>
                <w:tcPr>
                  <w:tcW w:w="1110" w:type="dxa"/>
                  <w:vAlign w:val="center"/>
                </w:tcPr>
                <w:p w14:paraId="478A4C43">
                  <w:pPr>
                    <w:spacing w:line="360" w:lineRule="auto"/>
                    <w:jc w:val="center"/>
                    <w:rPr>
                      <w:rFonts w:ascii="宋体" w:hAnsi="宋体" w:cs="宋体"/>
                      <w:color w:val="auto"/>
                      <w:sz w:val="24"/>
                    </w:rPr>
                  </w:pPr>
                  <w:r>
                    <w:rPr>
                      <w:rFonts w:hint="eastAsia" w:ascii="宋体" w:hAnsi="宋体" w:cs="宋体"/>
                      <w:color w:val="auto"/>
                      <w:sz w:val="24"/>
                    </w:rPr>
                    <w:t>0.01%</w:t>
                  </w:r>
                </w:p>
              </w:tc>
            </w:tr>
          </w:tbl>
          <w:p w14:paraId="69676EC0">
            <w:pPr>
              <w:autoSpaceDE w:val="0"/>
              <w:autoSpaceDN w:val="0"/>
              <w:adjustRightInd w:val="0"/>
              <w:rPr>
                <w:rFonts w:ascii="宋体" w:hAnsi="宋体" w:cs="宋体"/>
                <w:color w:val="auto"/>
                <w:sz w:val="24"/>
              </w:rPr>
            </w:pPr>
          </w:p>
        </w:tc>
      </w:tr>
      <w:tr w14:paraId="32A2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9EC9D98">
            <w:pPr>
              <w:jc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7</w:t>
            </w:r>
          </w:p>
        </w:tc>
        <w:tc>
          <w:tcPr>
            <w:tcW w:w="1901" w:type="dxa"/>
            <w:tcBorders>
              <w:top w:val="single" w:color="auto" w:sz="4" w:space="0"/>
              <w:left w:val="single" w:color="auto" w:sz="4" w:space="0"/>
              <w:bottom w:val="single" w:color="auto" w:sz="4" w:space="0"/>
              <w:right w:val="single" w:color="auto" w:sz="4" w:space="0"/>
            </w:tcBorders>
            <w:vAlign w:val="center"/>
          </w:tcPr>
          <w:p w14:paraId="4FFC8DC0">
            <w:pPr>
              <w:autoSpaceDE w:val="0"/>
              <w:autoSpaceDN w:val="0"/>
              <w:adjustRightInd w:val="0"/>
              <w:jc w:val="center"/>
              <w:rPr>
                <w:rFonts w:ascii="宋体" w:hAnsi="宋体" w:cs="宋体"/>
                <w:color w:val="auto"/>
                <w:sz w:val="24"/>
              </w:rPr>
            </w:pPr>
            <w:r>
              <w:rPr>
                <w:rFonts w:hint="eastAsia" w:ascii="宋体" w:hAnsi="宋体" w:cs="宋体"/>
                <w:color w:val="auto"/>
                <w:sz w:val="24"/>
              </w:rPr>
              <w:t>其他</w:t>
            </w:r>
            <w:r>
              <w:rPr>
                <w:rFonts w:ascii="宋体" w:hAnsi="宋体" w:cs="宋体"/>
                <w:color w:val="auto"/>
                <w:sz w:val="24"/>
              </w:rPr>
              <w:t>事项</w:t>
            </w:r>
          </w:p>
        </w:tc>
        <w:tc>
          <w:tcPr>
            <w:tcW w:w="6273" w:type="dxa"/>
            <w:tcBorders>
              <w:top w:val="single" w:color="auto" w:sz="4" w:space="0"/>
              <w:left w:val="single" w:color="auto" w:sz="4" w:space="0"/>
              <w:bottom w:val="single" w:color="auto" w:sz="4" w:space="0"/>
              <w:right w:val="single" w:color="auto" w:sz="4" w:space="0"/>
            </w:tcBorders>
            <w:vAlign w:val="center"/>
          </w:tcPr>
          <w:p w14:paraId="65B73062">
            <w:pPr>
              <w:autoSpaceDE w:val="0"/>
              <w:autoSpaceDN w:val="0"/>
              <w:adjustRightInd w:val="0"/>
              <w:rPr>
                <w:rFonts w:ascii="宋体" w:hAnsi="宋体" w:cs="宋体"/>
                <w:color w:val="auto"/>
                <w:sz w:val="24"/>
              </w:rPr>
            </w:pPr>
            <w:r>
              <w:rPr>
                <w:rFonts w:hint="eastAsia" w:ascii="宋体" w:hAnsi="宋体" w:cs="宋体"/>
                <w:color w:val="auto"/>
                <w:sz w:val="24"/>
              </w:rPr>
              <w:t>商务技术文件开启后30分钟内，供应商通过邮件形式将经授权代表签署的《政府采购活动确认声明书》扫描件发至代理机构邮箱（邮箱地址：zjwstz@163.com）；不填写或未按规定发出邮件的，视同默认不存在确认声明书中的相关违规情形。</w:t>
            </w:r>
          </w:p>
        </w:tc>
      </w:tr>
      <w:tr w14:paraId="7A21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6CFDB1F">
            <w:pPr>
              <w:jc w:val="center"/>
              <w:rPr>
                <w:rFonts w:ascii="宋体" w:hAnsi="宋体" w:cs="宋体"/>
                <w:color w:val="auto"/>
                <w:sz w:val="24"/>
              </w:rPr>
            </w:pPr>
            <w:r>
              <w:rPr>
                <w:rFonts w:ascii="宋体" w:hAnsi="宋体" w:cs="宋体"/>
                <w:color w:val="auto"/>
                <w:sz w:val="24"/>
              </w:rPr>
              <w:t>18</w:t>
            </w:r>
          </w:p>
        </w:tc>
        <w:tc>
          <w:tcPr>
            <w:tcW w:w="1901" w:type="dxa"/>
            <w:tcBorders>
              <w:top w:val="single" w:color="auto" w:sz="4" w:space="0"/>
              <w:left w:val="single" w:color="auto" w:sz="4" w:space="0"/>
              <w:bottom w:val="single" w:color="auto" w:sz="4" w:space="0"/>
              <w:right w:val="single" w:color="auto" w:sz="4" w:space="0"/>
            </w:tcBorders>
            <w:vAlign w:val="center"/>
          </w:tcPr>
          <w:p w14:paraId="55EAC4B4">
            <w:pPr>
              <w:autoSpaceDE w:val="0"/>
              <w:autoSpaceDN w:val="0"/>
              <w:adjustRightInd w:val="0"/>
              <w:jc w:val="center"/>
              <w:rPr>
                <w:rFonts w:ascii="宋体" w:hAnsi="宋体" w:cs="宋体"/>
                <w:color w:val="auto"/>
                <w:sz w:val="24"/>
                <w:lang w:eastAsia="zh-Hans"/>
              </w:rPr>
            </w:pPr>
            <w:r>
              <w:rPr>
                <w:rFonts w:hint="eastAsia" w:ascii="宋体" w:hAnsi="宋体" w:cs="宋体"/>
                <w:color w:val="auto"/>
                <w:sz w:val="24"/>
                <w:lang w:eastAsia="zh-Hans"/>
              </w:rPr>
              <w:t>所属行业</w:t>
            </w:r>
          </w:p>
        </w:tc>
        <w:tc>
          <w:tcPr>
            <w:tcW w:w="6273" w:type="dxa"/>
            <w:tcBorders>
              <w:top w:val="single" w:color="auto" w:sz="4" w:space="0"/>
              <w:left w:val="single" w:color="auto" w:sz="4" w:space="0"/>
              <w:bottom w:val="single" w:color="auto" w:sz="4" w:space="0"/>
              <w:right w:val="single" w:color="auto" w:sz="4" w:space="0"/>
            </w:tcBorders>
            <w:vAlign w:val="center"/>
          </w:tcPr>
          <w:p w14:paraId="0E046DEE">
            <w:pPr>
              <w:autoSpaceDE w:val="0"/>
              <w:autoSpaceDN w:val="0"/>
              <w:adjustRightInd w:val="0"/>
              <w:rPr>
                <w:rFonts w:ascii="宋体" w:hAnsi="宋体" w:cs="宋体"/>
                <w:color w:val="auto"/>
                <w:sz w:val="24"/>
                <w:lang w:eastAsia="zh-Hans"/>
              </w:rPr>
            </w:pPr>
            <w:r>
              <w:rPr>
                <w:rFonts w:hint="eastAsia" w:ascii="宋体" w:hAnsi="宋体" w:cs="宋体"/>
                <w:color w:val="auto"/>
                <w:sz w:val="24"/>
                <w:lang w:eastAsia="zh-Hans"/>
              </w:rPr>
              <w:t>建筑业</w:t>
            </w:r>
          </w:p>
        </w:tc>
      </w:tr>
    </w:tbl>
    <w:p w14:paraId="6B02D7DE">
      <w:pPr>
        <w:pStyle w:val="6"/>
        <w:snapToGrid w:val="0"/>
        <w:spacing w:before="120" w:after="120" w:line="360" w:lineRule="auto"/>
        <w:jc w:val="left"/>
        <w:rPr>
          <w:rFonts w:ascii="宋体" w:hAnsi="宋体" w:eastAsia="宋体"/>
          <w:b/>
          <w:color w:val="auto"/>
          <w:sz w:val="24"/>
        </w:rPr>
        <w:sectPr>
          <w:pgSz w:w="11906" w:h="16838"/>
          <w:pgMar w:top="1440" w:right="1800" w:bottom="1440" w:left="1800" w:header="851" w:footer="992" w:gutter="0"/>
          <w:pgNumType w:fmt="decimal"/>
          <w:cols w:space="720" w:num="1"/>
          <w:docGrid w:type="lines" w:linePitch="312" w:charSpace="0"/>
        </w:sectPr>
      </w:pPr>
    </w:p>
    <w:p w14:paraId="6494C52B">
      <w:pPr>
        <w:pStyle w:val="6"/>
        <w:snapToGrid w:val="0"/>
        <w:spacing w:before="120" w:after="120" w:line="360" w:lineRule="auto"/>
        <w:jc w:val="left"/>
        <w:rPr>
          <w:rFonts w:ascii="宋体" w:hAnsi="宋体" w:eastAsia="宋体"/>
          <w:b/>
          <w:color w:val="auto"/>
          <w:sz w:val="24"/>
        </w:rPr>
      </w:pPr>
      <w:r>
        <w:rPr>
          <w:rFonts w:hint="eastAsia" w:ascii="宋体" w:hAnsi="宋体" w:eastAsia="宋体"/>
          <w:b/>
          <w:color w:val="auto"/>
          <w:sz w:val="24"/>
        </w:rPr>
        <w:t>一 、总  则</w:t>
      </w:r>
    </w:p>
    <w:p w14:paraId="5F8D87A1">
      <w:pPr>
        <w:pStyle w:val="6"/>
        <w:snapToGrid w:val="0"/>
        <w:spacing w:before="120" w:after="120" w:line="360" w:lineRule="auto"/>
        <w:ind w:firstLine="361" w:firstLineChars="150"/>
        <w:jc w:val="left"/>
        <w:rPr>
          <w:rFonts w:ascii="宋体" w:hAnsi="宋体" w:eastAsia="宋体"/>
          <w:b/>
          <w:color w:val="auto"/>
          <w:sz w:val="24"/>
        </w:rPr>
      </w:pPr>
      <w:r>
        <w:rPr>
          <w:rFonts w:hint="eastAsia" w:ascii="宋体" w:hAnsi="宋体" w:eastAsia="宋体"/>
          <w:b/>
          <w:color w:val="auto"/>
          <w:sz w:val="24"/>
        </w:rPr>
        <w:t>（一）</w:t>
      </w:r>
      <w:r>
        <w:rPr>
          <w:rFonts w:ascii="宋体" w:hAnsi="宋体" w:eastAsia="宋体"/>
          <w:b/>
          <w:color w:val="auto"/>
          <w:sz w:val="24"/>
        </w:rPr>
        <w:t xml:space="preserve"> 适用范围</w:t>
      </w:r>
    </w:p>
    <w:p w14:paraId="7F3D258F">
      <w:pPr>
        <w:snapToGrid w:val="0"/>
        <w:spacing w:line="360" w:lineRule="auto"/>
        <w:ind w:firstLine="480" w:firstLineChars="200"/>
        <w:jc w:val="left"/>
        <w:rPr>
          <w:rFonts w:ascii="宋体" w:hAnsi="宋体"/>
          <w:color w:val="auto"/>
          <w:sz w:val="24"/>
        </w:rPr>
      </w:pPr>
      <w:r>
        <w:rPr>
          <w:rFonts w:hint="eastAsia" w:ascii="宋体" w:hAnsi="宋体"/>
          <w:color w:val="auto"/>
          <w:sz w:val="24"/>
        </w:rPr>
        <w:t>本</w:t>
      </w:r>
      <w:r>
        <w:rPr>
          <w:rFonts w:hint="eastAsia" w:ascii="宋体" w:hAnsi="宋体"/>
          <w:bCs/>
          <w:color w:val="auto"/>
          <w:sz w:val="24"/>
        </w:rPr>
        <w:t>磋商文件</w:t>
      </w:r>
      <w:r>
        <w:rPr>
          <w:rFonts w:hint="eastAsia" w:ascii="宋体" w:hAnsi="宋体"/>
          <w:color w:val="auto"/>
          <w:sz w:val="24"/>
        </w:rPr>
        <w:t>适用于</w:t>
      </w:r>
      <w:r>
        <w:rPr>
          <w:rFonts w:hint="eastAsia" w:ascii="宋体" w:hAnsi="宋体"/>
          <w:bCs/>
          <w:color w:val="auto"/>
          <w:sz w:val="24"/>
        </w:rPr>
        <w:t>本次</w:t>
      </w:r>
      <w:r>
        <w:rPr>
          <w:rFonts w:hint="eastAsia" w:ascii="宋体" w:hAnsi="宋体"/>
          <w:color w:val="auto"/>
          <w:sz w:val="24"/>
        </w:rPr>
        <w:t>项目的磋商、</w:t>
      </w:r>
      <w:r>
        <w:rPr>
          <w:rFonts w:hint="eastAsia" w:ascii="宋体" w:hAnsi="宋体"/>
          <w:bCs/>
          <w:color w:val="auto"/>
          <w:sz w:val="24"/>
        </w:rPr>
        <w:t>评审、确定成交供应商</w:t>
      </w:r>
      <w:r>
        <w:rPr>
          <w:rFonts w:hint="eastAsia" w:ascii="宋体" w:hAnsi="宋体"/>
          <w:color w:val="auto"/>
          <w:sz w:val="24"/>
        </w:rPr>
        <w:t>、验收、合同履约、付款等行为（法律、法规另有规定的，从其规定）。</w:t>
      </w:r>
    </w:p>
    <w:p w14:paraId="093FFEAC">
      <w:pPr>
        <w:snapToGrid w:val="0"/>
        <w:spacing w:line="360" w:lineRule="auto"/>
        <w:ind w:firstLine="482" w:firstLineChars="200"/>
        <w:jc w:val="left"/>
        <w:rPr>
          <w:rFonts w:ascii="宋体" w:hAnsi="宋体"/>
          <w:color w:val="auto"/>
          <w:sz w:val="24"/>
        </w:rPr>
      </w:pPr>
      <w:r>
        <w:rPr>
          <w:rFonts w:hint="eastAsia" w:ascii="宋体" w:hAnsi="宋体"/>
          <w:b/>
          <w:color w:val="auto"/>
          <w:sz w:val="24"/>
        </w:rPr>
        <w:t>（二）定义</w:t>
      </w:r>
    </w:p>
    <w:p w14:paraId="245947E2">
      <w:pPr>
        <w:pStyle w:val="8"/>
        <w:keepNext w:val="0"/>
        <w:keepLines w:val="0"/>
        <w:tabs>
          <w:tab w:val="left" w:pos="0"/>
          <w:tab w:val="left" w:pos="851"/>
        </w:tabs>
        <w:autoSpaceDE w:val="0"/>
        <w:autoSpaceDN w:val="0"/>
        <w:adjustRightInd w:val="0"/>
        <w:snapToGrid w:val="0"/>
        <w:spacing w:before="0" w:after="0"/>
        <w:ind w:firstLine="566" w:firstLineChars="236"/>
        <w:jc w:val="left"/>
        <w:rPr>
          <w:rFonts w:ascii="宋体" w:hAnsi="宋体" w:eastAsia="宋体"/>
          <w:b w:val="0"/>
          <w:bCs w:val="0"/>
          <w:color w:val="auto"/>
          <w:sz w:val="24"/>
          <w:szCs w:val="24"/>
        </w:rPr>
      </w:pPr>
      <w:r>
        <w:rPr>
          <w:rFonts w:hint="eastAsia" w:ascii="宋体" w:hAnsi="宋体" w:eastAsia="宋体"/>
          <w:b w:val="0"/>
          <w:bCs w:val="0"/>
          <w:color w:val="auto"/>
          <w:sz w:val="24"/>
          <w:szCs w:val="24"/>
        </w:rPr>
        <w:t>1、</w:t>
      </w:r>
      <w:r>
        <w:rPr>
          <w:rFonts w:hint="eastAsia" w:ascii="宋体" w:hAnsi="宋体" w:eastAsia="宋体"/>
          <w:b w:val="0"/>
          <w:bCs w:val="0"/>
          <w:color w:val="auto"/>
          <w:sz w:val="24"/>
          <w:szCs w:val="24"/>
          <w:lang w:val="zh-CN"/>
        </w:rPr>
        <w:t>“采购组织机构”指采购人委托组织磋商的集中采购机构或采购代理机构。</w:t>
      </w:r>
    </w:p>
    <w:p w14:paraId="07C5F123">
      <w:pPr>
        <w:snapToGrid w:val="0"/>
        <w:spacing w:line="360" w:lineRule="auto"/>
        <w:ind w:firstLine="566" w:firstLineChars="236"/>
        <w:rPr>
          <w:rFonts w:ascii="宋体" w:hAnsi="宋体"/>
          <w:color w:val="auto"/>
          <w:sz w:val="24"/>
        </w:rPr>
      </w:pPr>
      <w:r>
        <w:rPr>
          <w:rFonts w:hint="eastAsia" w:ascii="宋体" w:hAnsi="宋体"/>
          <w:color w:val="auto"/>
          <w:sz w:val="24"/>
        </w:rPr>
        <w:t>2、采购人：是指委托</w:t>
      </w:r>
      <w:r>
        <w:rPr>
          <w:rFonts w:hint="eastAsia" w:ascii="宋体" w:hAnsi="宋体"/>
          <w:color w:val="auto"/>
          <w:sz w:val="24"/>
          <w:lang w:val="zh-CN"/>
        </w:rPr>
        <w:t>集中采购机构或</w:t>
      </w:r>
      <w:r>
        <w:rPr>
          <w:rFonts w:hint="eastAsia" w:ascii="宋体" w:hAnsi="宋体"/>
          <w:color w:val="auto"/>
          <w:sz w:val="24"/>
        </w:rPr>
        <w:t>采购代理机构采购本次项目的国家机关、事业单位和团体组织。</w:t>
      </w:r>
    </w:p>
    <w:p w14:paraId="1FC716EA">
      <w:pPr>
        <w:snapToGrid w:val="0"/>
        <w:spacing w:line="360" w:lineRule="auto"/>
        <w:ind w:left="424" w:leftChars="202" w:firstLine="141" w:firstLineChars="59"/>
        <w:jc w:val="left"/>
        <w:rPr>
          <w:rFonts w:ascii="宋体" w:hAnsi="宋体"/>
          <w:color w:val="auto"/>
          <w:sz w:val="24"/>
        </w:rPr>
      </w:pPr>
      <w:r>
        <w:rPr>
          <w:rFonts w:hint="eastAsia" w:ascii="宋体" w:hAnsi="宋体"/>
          <w:color w:val="auto"/>
          <w:sz w:val="24"/>
        </w:rPr>
        <w:t>3、磋商供应商：是指向</w:t>
      </w:r>
      <w:r>
        <w:rPr>
          <w:rFonts w:hint="eastAsia" w:ascii="宋体" w:hAnsi="宋体"/>
          <w:color w:val="auto"/>
          <w:sz w:val="24"/>
          <w:lang w:val="zh-CN"/>
        </w:rPr>
        <w:t>采购组织机构</w:t>
      </w:r>
      <w:r>
        <w:rPr>
          <w:rFonts w:hint="eastAsia" w:ascii="宋体" w:hAnsi="宋体"/>
          <w:color w:val="auto"/>
          <w:sz w:val="24"/>
        </w:rPr>
        <w:t>提交磋商响应文件的单位或个人。</w:t>
      </w:r>
    </w:p>
    <w:p w14:paraId="20E5A3E5">
      <w:pPr>
        <w:snapToGrid w:val="0"/>
        <w:spacing w:line="360" w:lineRule="auto"/>
        <w:ind w:left="424" w:leftChars="202" w:firstLine="143"/>
        <w:jc w:val="left"/>
        <w:rPr>
          <w:rFonts w:ascii="宋体" w:hAnsi="宋体"/>
          <w:color w:val="auto"/>
          <w:sz w:val="24"/>
        </w:rPr>
      </w:pPr>
      <w:r>
        <w:rPr>
          <w:rFonts w:hint="eastAsia" w:ascii="宋体" w:hAnsi="宋体"/>
          <w:color w:val="auto"/>
          <w:sz w:val="24"/>
        </w:rPr>
        <w:t>4、货物：是指各种形态和种类的物品，包括原材料、燃料、设备、产品等。</w:t>
      </w:r>
    </w:p>
    <w:p w14:paraId="05157411">
      <w:pPr>
        <w:snapToGrid w:val="0"/>
        <w:spacing w:line="360" w:lineRule="auto"/>
        <w:ind w:firstLine="566" w:firstLineChars="236"/>
        <w:jc w:val="left"/>
        <w:rPr>
          <w:rFonts w:ascii="宋体" w:hAnsi="宋体"/>
          <w:b/>
          <w:color w:val="auto"/>
          <w:sz w:val="24"/>
        </w:rPr>
      </w:pPr>
      <w:r>
        <w:rPr>
          <w:rFonts w:hint="eastAsia" w:ascii="宋体" w:hAnsi="宋体"/>
          <w:color w:val="auto"/>
          <w:sz w:val="24"/>
        </w:rPr>
        <w:t>5、服务：是指除货物和工程以外的政府采购</w:t>
      </w:r>
      <w:r>
        <w:rPr>
          <w:rFonts w:ascii="宋体" w:hAnsi="宋体"/>
          <w:color w:val="auto"/>
          <w:sz w:val="24"/>
        </w:rPr>
        <w:t>对象，包括各类专业服务、信息网络开发服务、金融保险服务、运输服务，以及维修与维护服务等。</w:t>
      </w:r>
    </w:p>
    <w:p w14:paraId="4FD5CD86">
      <w:pPr>
        <w:snapToGrid w:val="0"/>
        <w:spacing w:line="360" w:lineRule="auto"/>
        <w:ind w:firstLine="566" w:firstLineChars="236"/>
        <w:jc w:val="left"/>
        <w:rPr>
          <w:rFonts w:ascii="宋体" w:hAnsi="宋体"/>
          <w:color w:val="auto"/>
          <w:sz w:val="24"/>
        </w:rPr>
      </w:pPr>
      <w:r>
        <w:rPr>
          <w:rFonts w:hint="eastAsia" w:ascii="宋体" w:hAnsi="宋体"/>
          <w:color w:val="auto"/>
          <w:sz w:val="24"/>
        </w:rPr>
        <w:t>6、</w:t>
      </w:r>
      <w:r>
        <w:rPr>
          <w:rFonts w:ascii="宋体" w:hAnsi="宋体"/>
          <w:color w:val="auto"/>
          <w:sz w:val="24"/>
        </w:rPr>
        <w:t>“书面形式”包括信函、传真等。</w:t>
      </w:r>
    </w:p>
    <w:p w14:paraId="0306997F">
      <w:pPr>
        <w:snapToGrid w:val="0"/>
        <w:spacing w:line="360" w:lineRule="auto"/>
        <w:ind w:firstLine="566" w:firstLineChars="236"/>
        <w:jc w:val="left"/>
        <w:rPr>
          <w:rFonts w:ascii="宋体" w:hAnsi="宋体"/>
          <w:color w:val="auto"/>
          <w:sz w:val="24"/>
        </w:rPr>
      </w:pPr>
      <w:r>
        <w:rPr>
          <w:rFonts w:hint="eastAsia" w:ascii="宋体" w:hAnsi="宋体"/>
          <w:color w:val="auto"/>
          <w:sz w:val="24"/>
        </w:rPr>
        <w:t>7、</w:t>
      </w:r>
      <w:r>
        <w:rPr>
          <w:rFonts w:ascii="宋体" w:hAnsi="宋体"/>
          <w:color w:val="auto"/>
          <w:sz w:val="24"/>
        </w:rPr>
        <w:t>“▲”系指实质性要求条款。</w:t>
      </w:r>
    </w:p>
    <w:p w14:paraId="4CF5B939">
      <w:pPr>
        <w:snapToGrid w:val="0"/>
        <w:spacing w:before="156" w:beforeLines="50" w:line="360" w:lineRule="auto"/>
        <w:ind w:firstLine="472" w:firstLineChars="196"/>
        <w:jc w:val="left"/>
        <w:outlineLvl w:val="1"/>
        <w:rPr>
          <w:rFonts w:ascii="宋体" w:hAnsi="宋体"/>
          <w:b/>
          <w:color w:val="auto"/>
          <w:sz w:val="24"/>
        </w:rPr>
      </w:pPr>
      <w:r>
        <w:rPr>
          <w:rFonts w:hint="eastAsia" w:ascii="宋体" w:hAnsi="宋体"/>
          <w:b/>
          <w:color w:val="auto"/>
          <w:sz w:val="24"/>
        </w:rPr>
        <w:t>（三）磋商费用</w:t>
      </w:r>
    </w:p>
    <w:p w14:paraId="762446FC">
      <w:pPr>
        <w:snapToGrid w:val="0"/>
        <w:spacing w:line="360" w:lineRule="auto"/>
        <w:ind w:firstLine="480" w:firstLineChars="200"/>
        <w:jc w:val="left"/>
        <w:rPr>
          <w:rFonts w:ascii="宋体" w:hAnsi="宋体"/>
          <w:color w:val="auto"/>
          <w:sz w:val="24"/>
        </w:rPr>
      </w:pPr>
      <w:r>
        <w:rPr>
          <w:rFonts w:hint="eastAsia" w:ascii="宋体" w:hAnsi="宋体"/>
          <w:color w:val="auto"/>
          <w:sz w:val="24"/>
        </w:rPr>
        <w:t>不论磋商结果如何，供应商均应自行承担所有与磋商有关的全部费用（</w:t>
      </w:r>
      <w:r>
        <w:rPr>
          <w:rFonts w:hint="eastAsia" w:ascii="宋体" w:hAnsi="宋体"/>
          <w:bCs/>
          <w:color w:val="auto"/>
          <w:sz w:val="24"/>
        </w:rPr>
        <w:t>磋商文件</w:t>
      </w:r>
      <w:r>
        <w:rPr>
          <w:rFonts w:hint="eastAsia" w:ascii="宋体" w:hAnsi="宋体"/>
          <w:color w:val="auto"/>
          <w:sz w:val="24"/>
        </w:rPr>
        <w:t>有相关规定除外）。</w:t>
      </w:r>
    </w:p>
    <w:p w14:paraId="5AA2D794">
      <w:pPr>
        <w:pStyle w:val="6"/>
        <w:snapToGrid w:val="0"/>
        <w:spacing w:line="360" w:lineRule="auto"/>
        <w:ind w:left="2" w:leftChars="1" w:firstLine="482" w:firstLineChars="200"/>
        <w:rPr>
          <w:rFonts w:ascii="宋体" w:hAnsi="宋体" w:eastAsia="宋体"/>
          <w:b/>
          <w:color w:val="auto"/>
          <w:sz w:val="24"/>
        </w:rPr>
      </w:pPr>
      <w:r>
        <w:rPr>
          <w:rFonts w:hint="eastAsia" w:ascii="宋体" w:hAnsi="宋体" w:eastAsia="宋体"/>
          <w:b/>
          <w:color w:val="auto"/>
          <w:sz w:val="24"/>
        </w:rPr>
        <w:t>（四）特别说明</w:t>
      </w:r>
    </w:p>
    <w:p w14:paraId="28F03A28">
      <w:pPr>
        <w:pStyle w:val="6"/>
        <w:snapToGrid w:val="0"/>
        <w:spacing w:line="360" w:lineRule="auto"/>
        <w:ind w:left="2" w:leftChars="1" w:firstLine="480" w:firstLineChars="200"/>
        <w:rPr>
          <w:rFonts w:ascii="宋体" w:hAnsi="宋体" w:eastAsia="宋体"/>
          <w:color w:val="auto"/>
          <w:sz w:val="24"/>
        </w:rPr>
      </w:pPr>
      <w:r>
        <w:rPr>
          <w:rFonts w:hint="eastAsia" w:ascii="宋体" w:hAnsi="宋体" w:eastAsia="宋体"/>
          <w:color w:val="auto"/>
          <w:sz w:val="24"/>
        </w:rPr>
        <w:t>1、供应商</w:t>
      </w:r>
      <w:r>
        <w:rPr>
          <w:rFonts w:ascii="宋体" w:hAnsi="宋体" w:eastAsia="宋体"/>
          <w:color w:val="auto"/>
          <w:sz w:val="24"/>
        </w:rPr>
        <w:t>磋商所使用的资格、信誉、荣誉、业绩与企业认证必须为本法人所拥有。</w:t>
      </w:r>
      <w:r>
        <w:rPr>
          <w:rFonts w:hint="eastAsia" w:ascii="宋体" w:hAnsi="宋体" w:eastAsia="宋体"/>
          <w:color w:val="auto"/>
          <w:sz w:val="24"/>
        </w:rPr>
        <w:t>供应商</w:t>
      </w:r>
      <w:r>
        <w:rPr>
          <w:rFonts w:ascii="宋体" w:hAnsi="宋体" w:eastAsia="宋体"/>
          <w:color w:val="auto"/>
          <w:sz w:val="24"/>
        </w:rPr>
        <w:t>磋商所使用的采购项目实施人员必须为本法人员工（</w:t>
      </w:r>
      <w:r>
        <w:rPr>
          <w:rFonts w:hint="eastAsia" w:ascii="宋体" w:hAnsi="宋体" w:eastAsia="宋体"/>
          <w:color w:val="auto"/>
          <w:sz w:val="24"/>
        </w:rPr>
        <w:t>指</w:t>
      </w:r>
      <w:r>
        <w:rPr>
          <w:rFonts w:ascii="宋体" w:hAnsi="宋体" w:eastAsia="宋体"/>
          <w:color w:val="auto"/>
          <w:sz w:val="24"/>
        </w:rPr>
        <w:t>必须为本法人或控股公司正式员工）。</w:t>
      </w:r>
    </w:p>
    <w:p w14:paraId="05445843">
      <w:pPr>
        <w:spacing w:line="360" w:lineRule="auto"/>
        <w:ind w:firstLine="480" w:firstLineChars="200"/>
        <w:rPr>
          <w:rFonts w:ascii="宋体" w:hAnsi="宋体"/>
          <w:color w:val="auto"/>
          <w:sz w:val="24"/>
        </w:rPr>
      </w:pPr>
      <w:r>
        <w:rPr>
          <w:rFonts w:hint="eastAsia" w:ascii="宋体" w:hAnsi="宋体"/>
          <w:color w:val="auto"/>
          <w:sz w:val="24"/>
        </w:rPr>
        <w:t>2、供应商所标产品除</w:t>
      </w:r>
      <w:r>
        <w:rPr>
          <w:rFonts w:hint="eastAsia" w:ascii="宋体" w:hAnsi="宋体"/>
          <w:bCs/>
          <w:color w:val="auto"/>
          <w:sz w:val="24"/>
        </w:rPr>
        <w:t>磋商文件</w:t>
      </w:r>
      <w:r>
        <w:rPr>
          <w:rFonts w:hint="eastAsia" w:ascii="宋体" w:hAnsi="宋体"/>
          <w:color w:val="auto"/>
          <w:sz w:val="24"/>
        </w:rPr>
        <w:t>中明确规定要求“提供官网截图或相应检测报告的证明材料”以外，所有技术参数描述均以磋商响应文件为准。</w:t>
      </w:r>
      <w:r>
        <w:rPr>
          <w:rFonts w:hint="eastAsia" w:ascii="宋体" w:hAnsi="宋体"/>
          <w:b/>
          <w:color w:val="auto"/>
          <w:sz w:val="24"/>
        </w:rPr>
        <w:t>磋商供应商对所标产品技术参数的真实性承担法律责任。</w:t>
      </w:r>
      <w:r>
        <w:rPr>
          <w:rFonts w:hint="eastAsia" w:ascii="宋体" w:hAnsi="宋体"/>
          <w:color w:val="auto"/>
          <w:sz w:val="24"/>
        </w:rPr>
        <w:t>项目</w:t>
      </w:r>
      <w:r>
        <w:rPr>
          <w:rFonts w:hint="eastAsia" w:ascii="宋体" w:hAnsi="宋体"/>
          <w:bCs/>
          <w:color w:val="auto"/>
          <w:sz w:val="24"/>
        </w:rPr>
        <w:t>磋商</w:t>
      </w:r>
      <w:r>
        <w:rPr>
          <w:rFonts w:hint="eastAsia" w:ascii="宋体" w:hAnsi="宋体"/>
          <w:color w:val="auto"/>
          <w:sz w:val="24"/>
        </w:rPr>
        <w:t>结束后、质疑期限内，如有质疑供应商认为成交供应商所标产品、磋商响应文件技术参数与采购需求存在重大偏离、错误、甚至造假的情况，应提供具体有效的证明材料。</w:t>
      </w:r>
      <w:r>
        <w:rPr>
          <w:rFonts w:hint="eastAsia" w:ascii="宋体" w:hAnsi="宋体"/>
          <w:color w:val="auto"/>
          <w:sz w:val="24"/>
        </w:rPr>
        <w:tab/>
      </w:r>
    </w:p>
    <w:p w14:paraId="3139873D">
      <w:pPr>
        <w:pStyle w:val="45"/>
        <w:snapToGrid w:val="0"/>
        <w:spacing w:line="360" w:lineRule="auto"/>
        <w:ind w:firstLineChars="0"/>
        <w:rPr>
          <w:rFonts w:ascii="宋体" w:hAnsi="宋体" w:eastAsia="宋体"/>
          <w:color w:val="auto"/>
          <w:sz w:val="24"/>
          <w:szCs w:val="24"/>
        </w:rPr>
      </w:pPr>
      <w:r>
        <w:rPr>
          <w:rFonts w:hint="eastAsia" w:ascii="宋体" w:hAnsi="宋体" w:eastAsia="宋体"/>
          <w:color w:val="auto"/>
          <w:sz w:val="24"/>
          <w:szCs w:val="24"/>
        </w:rPr>
        <w:t>3、供应商</w:t>
      </w:r>
      <w:r>
        <w:rPr>
          <w:rFonts w:ascii="宋体" w:hAnsi="宋体" w:eastAsia="宋体"/>
          <w:color w:val="auto"/>
          <w:sz w:val="24"/>
          <w:szCs w:val="24"/>
        </w:rPr>
        <w:t>在</w:t>
      </w:r>
      <w:r>
        <w:rPr>
          <w:rFonts w:hint="eastAsia" w:ascii="宋体" w:hAnsi="宋体" w:eastAsia="宋体"/>
          <w:bCs/>
          <w:color w:val="auto"/>
          <w:sz w:val="24"/>
          <w:szCs w:val="24"/>
        </w:rPr>
        <w:t>磋商</w:t>
      </w:r>
      <w:r>
        <w:rPr>
          <w:rFonts w:ascii="宋体" w:hAnsi="宋体" w:eastAsia="宋体"/>
          <w:color w:val="auto"/>
          <w:sz w:val="24"/>
          <w:szCs w:val="24"/>
        </w:rPr>
        <w:t>活动中提供任何虚假材料</w:t>
      </w:r>
      <w:r>
        <w:rPr>
          <w:rFonts w:hint="eastAsia" w:ascii="宋体" w:hAnsi="宋体" w:eastAsia="宋体"/>
          <w:color w:val="auto"/>
          <w:sz w:val="24"/>
          <w:szCs w:val="24"/>
        </w:rPr>
        <w:t>,</w:t>
      </w:r>
      <w:r>
        <w:rPr>
          <w:rFonts w:ascii="宋体" w:hAnsi="宋体" w:eastAsia="宋体"/>
          <w:color w:val="auto"/>
          <w:sz w:val="24"/>
          <w:szCs w:val="24"/>
        </w:rPr>
        <w:t>其</w:t>
      </w:r>
      <w:r>
        <w:rPr>
          <w:rFonts w:hint="eastAsia" w:ascii="宋体" w:hAnsi="宋体" w:eastAsia="宋体"/>
          <w:color w:val="auto"/>
          <w:sz w:val="24"/>
          <w:szCs w:val="24"/>
        </w:rPr>
        <w:t>响应</w:t>
      </w:r>
      <w:r>
        <w:rPr>
          <w:rFonts w:ascii="宋体" w:hAnsi="宋体" w:eastAsia="宋体"/>
          <w:color w:val="auto"/>
          <w:sz w:val="24"/>
          <w:szCs w:val="24"/>
        </w:rPr>
        <w:t>无效，并报监管部门查处；</w:t>
      </w:r>
      <w:r>
        <w:rPr>
          <w:rFonts w:hint="eastAsia" w:ascii="宋体" w:hAnsi="宋体" w:eastAsia="宋体"/>
          <w:color w:val="auto"/>
          <w:sz w:val="24"/>
          <w:szCs w:val="24"/>
        </w:rPr>
        <w:t>成交</w:t>
      </w:r>
      <w:r>
        <w:rPr>
          <w:rFonts w:ascii="宋体" w:hAnsi="宋体" w:eastAsia="宋体"/>
          <w:color w:val="auto"/>
          <w:sz w:val="24"/>
          <w:szCs w:val="24"/>
        </w:rPr>
        <w:t>后发现的,成交人须依照根据《中华人民共和国政府采购法》第七十七条第一款第一项之规定</w:t>
      </w:r>
      <w:r>
        <w:rPr>
          <w:rFonts w:hint="eastAsia" w:ascii="宋体" w:hAnsi="宋体" w:eastAsia="宋体"/>
          <w:color w:val="auto"/>
          <w:sz w:val="24"/>
          <w:szCs w:val="24"/>
        </w:rPr>
        <w:t>，</w:t>
      </w:r>
      <w:r>
        <w:rPr>
          <w:rFonts w:ascii="宋体" w:hAnsi="宋体" w:eastAsia="宋体"/>
          <w:color w:val="auto"/>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olor w:val="auto"/>
          <w:sz w:val="24"/>
          <w:szCs w:val="24"/>
        </w:rPr>
        <w:t>。</w:t>
      </w:r>
    </w:p>
    <w:p w14:paraId="539197CC">
      <w:pPr>
        <w:pStyle w:val="45"/>
        <w:snapToGrid w:val="0"/>
        <w:spacing w:line="360" w:lineRule="auto"/>
        <w:ind w:firstLineChars="0"/>
        <w:rPr>
          <w:rFonts w:ascii="宋体" w:hAnsi="宋体" w:eastAsia="宋体"/>
          <w:color w:val="auto"/>
          <w:sz w:val="24"/>
          <w:szCs w:val="24"/>
        </w:rPr>
      </w:pPr>
      <w:r>
        <w:rPr>
          <w:rFonts w:hint="eastAsia" w:ascii="宋体" w:hAnsi="宋体" w:eastAsia="宋体"/>
          <w:color w:val="auto"/>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14:paraId="2DA2D1A3">
      <w:pPr>
        <w:pStyle w:val="45"/>
        <w:snapToGrid w:val="0"/>
        <w:spacing w:line="360" w:lineRule="auto"/>
        <w:ind w:firstLineChars="0"/>
        <w:rPr>
          <w:rFonts w:ascii="宋体" w:hAnsi="宋体" w:eastAsia="宋体"/>
          <w:color w:val="auto"/>
          <w:sz w:val="24"/>
          <w:szCs w:val="24"/>
        </w:rPr>
      </w:pPr>
      <w:r>
        <w:rPr>
          <w:rFonts w:hint="eastAsia" w:ascii="宋体" w:hAnsi="宋体" w:eastAsia="宋体"/>
          <w:color w:val="auto"/>
          <w:sz w:val="24"/>
          <w:szCs w:val="24"/>
        </w:rPr>
        <w:t>5、为采购项目提供整体设计、规范编制或者项目管理、监理、检测等服务的供应商，不得再参加该采购项目的其他采购活动。</w:t>
      </w:r>
    </w:p>
    <w:p w14:paraId="3FE5780E">
      <w:pPr>
        <w:pStyle w:val="45"/>
        <w:snapToGrid w:val="0"/>
        <w:spacing w:line="360" w:lineRule="auto"/>
        <w:ind w:firstLineChars="0"/>
        <w:rPr>
          <w:rFonts w:ascii="宋体" w:hAnsi="宋体" w:eastAsia="宋体"/>
          <w:color w:val="auto"/>
          <w:sz w:val="24"/>
          <w:szCs w:val="24"/>
        </w:rPr>
      </w:pPr>
      <w:r>
        <w:rPr>
          <w:rFonts w:hint="eastAsia" w:ascii="宋体" w:hAnsi="宋体" w:eastAsia="宋体"/>
          <w:color w:val="auto"/>
          <w:sz w:val="24"/>
          <w:szCs w:val="24"/>
        </w:rPr>
        <w:t>6、磋商响应文件格式中的表格式样可以根据项目差别做适当调整,但应当保持表格样式基本形态不变。</w:t>
      </w:r>
    </w:p>
    <w:p w14:paraId="0E16704C">
      <w:pPr>
        <w:pStyle w:val="8"/>
        <w:keepNext w:val="0"/>
        <w:keepLines w:val="0"/>
        <w:tabs>
          <w:tab w:val="left" w:pos="851"/>
        </w:tabs>
        <w:autoSpaceDE w:val="0"/>
        <w:autoSpaceDN w:val="0"/>
        <w:adjustRightInd w:val="0"/>
        <w:snapToGrid w:val="0"/>
        <w:spacing w:before="0" w:after="0"/>
        <w:ind w:firstLine="480"/>
        <w:rPr>
          <w:rFonts w:ascii="宋体" w:hAnsi="宋体" w:eastAsia="宋体"/>
          <w:b w:val="0"/>
          <w:bCs w:val="0"/>
          <w:color w:val="auto"/>
          <w:sz w:val="24"/>
          <w:szCs w:val="24"/>
        </w:rPr>
      </w:pPr>
      <w:r>
        <w:rPr>
          <w:rFonts w:hint="eastAsia" w:ascii="宋体" w:hAnsi="宋体" w:eastAsia="宋体"/>
          <w:b w:val="0"/>
          <w:bCs w:val="0"/>
          <w:color w:val="auto"/>
          <w:sz w:val="24"/>
          <w:szCs w:val="24"/>
        </w:rPr>
        <w:t>7、单位负责人为同一人或者存在直接控股、管理关系的不同供应商，不得参加同一合同项下的政府采购活动。</w:t>
      </w:r>
    </w:p>
    <w:p w14:paraId="47330003">
      <w:pPr>
        <w:pStyle w:val="8"/>
        <w:keepNext w:val="0"/>
        <w:keepLines w:val="0"/>
        <w:tabs>
          <w:tab w:val="left" w:pos="851"/>
        </w:tabs>
        <w:autoSpaceDE w:val="0"/>
        <w:autoSpaceDN w:val="0"/>
        <w:adjustRightInd w:val="0"/>
        <w:snapToGrid w:val="0"/>
        <w:spacing w:before="0" w:after="0"/>
        <w:ind w:firstLine="480"/>
        <w:rPr>
          <w:rFonts w:ascii="宋体" w:hAnsi="宋体" w:eastAsia="宋体" w:cs="Calibri"/>
          <w:color w:val="auto"/>
          <w:sz w:val="24"/>
          <w:szCs w:val="24"/>
          <w:shd w:val="clear" w:color="FFFFFF" w:fill="D9D9D9"/>
        </w:rPr>
      </w:pPr>
      <w:r>
        <w:rPr>
          <w:rFonts w:hint="eastAsia" w:ascii="宋体" w:hAnsi="宋体" w:eastAsia="宋体"/>
          <w:b w:val="0"/>
          <w:bCs w:val="0"/>
          <w:color w:val="auto"/>
          <w:sz w:val="24"/>
          <w:szCs w:val="24"/>
        </w:rPr>
        <w:t>8、本项目不允许分包。</w:t>
      </w:r>
    </w:p>
    <w:p w14:paraId="792DDC9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auto"/>
          <w:kern w:val="0"/>
          <w:sz w:val="24"/>
        </w:rPr>
      </w:pPr>
      <w:r>
        <w:rPr>
          <w:rFonts w:hint="eastAsia" w:ascii="宋体" w:hAnsi="宋体"/>
          <w:b/>
          <w:color w:val="auto"/>
          <w:kern w:val="0"/>
          <w:sz w:val="24"/>
        </w:rPr>
        <w:t>二、磋商</w:t>
      </w:r>
      <w:r>
        <w:rPr>
          <w:rFonts w:ascii="宋体" w:hAnsi="宋体"/>
          <w:b/>
          <w:color w:val="auto"/>
          <w:kern w:val="0"/>
          <w:sz w:val="24"/>
        </w:rPr>
        <w:t>响应</w:t>
      </w:r>
      <w:r>
        <w:rPr>
          <w:rFonts w:hint="eastAsia" w:ascii="宋体" w:hAnsi="宋体"/>
          <w:b/>
          <w:color w:val="auto"/>
          <w:kern w:val="0"/>
          <w:sz w:val="24"/>
        </w:rPr>
        <w:t>文件</w:t>
      </w:r>
    </w:p>
    <w:p w14:paraId="72D58EA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auto"/>
          <w:kern w:val="0"/>
          <w:sz w:val="24"/>
        </w:rPr>
      </w:pPr>
      <w:r>
        <w:rPr>
          <w:rFonts w:hint="eastAsia" w:ascii="宋体" w:hAnsi="宋体"/>
          <w:b/>
          <w:color w:val="auto"/>
          <w:kern w:val="0"/>
          <w:sz w:val="24"/>
        </w:rPr>
        <w:t>（一）磋商</w:t>
      </w:r>
      <w:r>
        <w:rPr>
          <w:rFonts w:ascii="宋体" w:hAnsi="宋体"/>
          <w:b/>
          <w:color w:val="auto"/>
          <w:kern w:val="0"/>
          <w:sz w:val="24"/>
        </w:rPr>
        <w:t>响应文件的</w:t>
      </w:r>
      <w:r>
        <w:rPr>
          <w:rFonts w:hint="eastAsia" w:ascii="宋体" w:hAnsi="宋体"/>
          <w:b/>
          <w:color w:val="auto"/>
          <w:kern w:val="0"/>
          <w:sz w:val="24"/>
        </w:rPr>
        <w:t>组成</w:t>
      </w:r>
    </w:p>
    <w:p w14:paraId="13A5E7ED">
      <w:pPr>
        <w:snapToGrid w:val="0"/>
        <w:spacing w:line="360" w:lineRule="auto"/>
        <w:ind w:firstLine="480" w:firstLineChars="200"/>
        <w:rPr>
          <w:rFonts w:ascii="宋体" w:hAnsi="宋体"/>
          <w:color w:val="auto"/>
          <w:kern w:val="0"/>
          <w:sz w:val="24"/>
          <w:lang w:val="zh-CN"/>
        </w:rPr>
      </w:pPr>
      <w:r>
        <w:rPr>
          <w:rFonts w:hint="eastAsia" w:ascii="宋体" w:hAnsi="宋体"/>
          <w:color w:val="auto"/>
          <w:kern w:val="0"/>
          <w:sz w:val="24"/>
        </w:rPr>
        <w:t>供应商应仔细阅读磋商采购文件的所有内容，按磋商采购文件的要求，详细编制磋商响应文件</w:t>
      </w:r>
      <w:r>
        <w:rPr>
          <w:rFonts w:ascii="宋体" w:hAnsi="宋体"/>
          <w:color w:val="auto"/>
          <w:sz w:val="24"/>
        </w:rPr>
        <w:t>。</w:t>
      </w:r>
    </w:p>
    <w:p w14:paraId="460AC341">
      <w:pPr>
        <w:snapToGrid w:val="0"/>
        <w:spacing w:line="360" w:lineRule="auto"/>
        <w:ind w:firstLine="482" w:firstLineChars="200"/>
        <w:rPr>
          <w:rFonts w:ascii="宋体" w:hAnsi="宋体"/>
          <w:color w:val="auto"/>
          <w:kern w:val="0"/>
          <w:sz w:val="24"/>
        </w:rPr>
      </w:pPr>
      <w:r>
        <w:rPr>
          <w:rFonts w:hint="eastAsia" w:ascii="宋体" w:hAnsi="宋体" w:cs="Calibri Light"/>
          <w:b/>
          <w:color w:val="auto"/>
          <w:sz w:val="24"/>
        </w:rPr>
        <w:t>▲</w:t>
      </w:r>
      <w:r>
        <w:rPr>
          <w:rFonts w:hint="eastAsia" w:ascii="宋体" w:hAnsi="宋体"/>
          <w:b/>
          <w:color w:val="auto"/>
          <w:sz w:val="24"/>
        </w:rPr>
        <w:t>1、资格证明内容的组成：</w:t>
      </w:r>
    </w:p>
    <w:p w14:paraId="30D91A96">
      <w:pPr>
        <w:pStyle w:val="41"/>
        <w:ind w:left="0" w:leftChars="0" w:firstLine="470"/>
        <w:rPr>
          <w:rStyle w:val="32"/>
          <w:rFonts w:ascii="宋体" w:hAnsi="宋体"/>
          <w:b w:val="0"/>
          <w:color w:val="auto"/>
          <w:u w:val="none"/>
        </w:rPr>
      </w:pPr>
      <w:r>
        <w:rPr>
          <w:rStyle w:val="32"/>
          <w:rFonts w:hint="eastAsia" w:ascii="宋体" w:hAnsi="宋体"/>
          <w:b w:val="0"/>
          <w:color w:val="auto"/>
          <w:u w:val="none"/>
        </w:rPr>
        <w:t>（1）磋商声明书；</w:t>
      </w:r>
    </w:p>
    <w:p w14:paraId="781C10AD">
      <w:pPr>
        <w:widowControl/>
        <w:spacing w:line="360" w:lineRule="auto"/>
        <w:ind w:right="60" w:firstLine="480" w:firstLineChars="200"/>
        <w:jc w:val="left"/>
        <w:outlineLvl w:val="0"/>
        <w:rPr>
          <w:rFonts w:ascii="宋体" w:hAnsi="宋体" w:cs="Calibri Light"/>
          <w:color w:val="auto"/>
          <w:sz w:val="24"/>
        </w:rPr>
      </w:pPr>
      <w:r>
        <w:rPr>
          <w:rFonts w:hint="eastAsia" w:ascii="宋体" w:hAnsi="宋体" w:cs="Calibri Light"/>
          <w:color w:val="auto"/>
          <w:sz w:val="24"/>
        </w:rPr>
        <w:t>（2）授权委托书（法定代表人亲自办理磋商响应事宜的，则无需提交)；</w:t>
      </w:r>
    </w:p>
    <w:p w14:paraId="5EC0AADF">
      <w:pPr>
        <w:widowControl/>
        <w:spacing w:line="360" w:lineRule="auto"/>
        <w:ind w:right="60" w:firstLine="480" w:firstLineChars="200"/>
        <w:jc w:val="left"/>
        <w:outlineLvl w:val="0"/>
        <w:rPr>
          <w:rFonts w:ascii="宋体" w:hAnsi="宋体" w:cs="Calibri Light"/>
          <w:color w:val="auto"/>
          <w:sz w:val="24"/>
        </w:rPr>
      </w:pPr>
      <w:r>
        <w:rPr>
          <w:rFonts w:hint="eastAsia" w:ascii="宋体" w:hAnsi="宋体" w:cs="Calibri Light"/>
          <w:color w:val="auto"/>
          <w:sz w:val="24"/>
        </w:rPr>
        <w:t>（3）法人或者其他组织的营业执照等证明文件；</w:t>
      </w:r>
    </w:p>
    <w:p w14:paraId="7F6F59D0">
      <w:pPr>
        <w:widowControl/>
        <w:spacing w:line="360" w:lineRule="auto"/>
        <w:ind w:right="60" w:firstLine="480" w:firstLineChars="200"/>
        <w:jc w:val="left"/>
        <w:outlineLvl w:val="0"/>
        <w:rPr>
          <w:rFonts w:hint="eastAsia" w:ascii="宋体" w:hAnsi="宋体" w:cs="Calibri Light"/>
          <w:color w:val="auto"/>
          <w:sz w:val="24"/>
        </w:rPr>
      </w:pPr>
      <w:r>
        <w:rPr>
          <w:rFonts w:hint="eastAsia" w:ascii="宋体" w:hAnsi="宋体" w:cs="Calibri Light"/>
          <w:color w:val="auto"/>
          <w:sz w:val="24"/>
        </w:rPr>
        <w:t>（4）提供采购公告中符合供应商特定条件的有效资质证书复印件（投标供应商特定条件中有要求的必须提供）；</w:t>
      </w:r>
    </w:p>
    <w:p w14:paraId="53A787C3">
      <w:pPr>
        <w:widowControl/>
        <w:spacing w:line="360" w:lineRule="auto"/>
        <w:ind w:right="60" w:firstLine="480" w:firstLineChars="200"/>
        <w:jc w:val="left"/>
        <w:outlineLvl w:val="0"/>
        <w:rPr>
          <w:rFonts w:hint="eastAsia" w:ascii="宋体" w:hAnsi="宋体" w:eastAsia="宋体"/>
          <w:b/>
          <w:color w:val="auto"/>
          <w:sz w:val="24"/>
          <w:lang w:eastAsia="zh-CN"/>
        </w:rPr>
      </w:pPr>
      <w:r>
        <w:rPr>
          <w:rFonts w:hint="eastAsia" w:ascii="宋体" w:hAnsi="宋体"/>
          <w:b w:val="0"/>
          <w:bCs/>
          <w:color w:val="auto"/>
          <w:sz w:val="24"/>
          <w:lang w:eastAsia="zh-CN"/>
        </w:rPr>
        <w:t>（</w:t>
      </w:r>
      <w:r>
        <w:rPr>
          <w:rFonts w:hint="eastAsia" w:ascii="宋体" w:hAnsi="宋体"/>
          <w:b w:val="0"/>
          <w:bCs/>
          <w:color w:val="auto"/>
          <w:sz w:val="24"/>
          <w:lang w:val="en-US" w:eastAsia="zh-CN"/>
        </w:rPr>
        <w:t>5</w:t>
      </w:r>
      <w:r>
        <w:rPr>
          <w:rFonts w:hint="eastAsia" w:ascii="宋体" w:hAnsi="宋体"/>
          <w:b w:val="0"/>
          <w:bCs/>
          <w:color w:val="auto"/>
          <w:sz w:val="24"/>
          <w:lang w:eastAsia="zh-CN"/>
        </w:rPr>
        <w:t>）《中小企业声明函》），监狱企业、残疾人福利性单位视同小型、微型企业（须在资格证明文件里提供相关证明材料）。</w:t>
      </w:r>
    </w:p>
    <w:p w14:paraId="45CB0A0A">
      <w:pPr>
        <w:snapToGrid w:val="0"/>
        <w:spacing w:line="360" w:lineRule="auto"/>
        <w:ind w:firstLine="482" w:firstLineChars="200"/>
        <w:rPr>
          <w:rFonts w:ascii="宋体" w:hAnsi="宋体"/>
          <w:b/>
          <w:color w:val="auto"/>
          <w:sz w:val="24"/>
        </w:rPr>
      </w:pPr>
      <w:r>
        <w:rPr>
          <w:rFonts w:hint="eastAsia" w:ascii="宋体" w:hAnsi="宋体"/>
          <w:b/>
          <w:color w:val="auto"/>
          <w:sz w:val="24"/>
        </w:rPr>
        <w:t>2、商务与技术内容的组成：</w:t>
      </w:r>
    </w:p>
    <w:p w14:paraId="01682172">
      <w:pPr>
        <w:snapToGrid w:val="0"/>
        <w:spacing w:line="360" w:lineRule="auto"/>
        <w:ind w:firstLine="480" w:firstLineChars="200"/>
        <w:rPr>
          <w:rFonts w:ascii="宋体" w:hAnsi="宋体" w:cs="Calibri Light"/>
          <w:color w:val="auto"/>
          <w:sz w:val="24"/>
        </w:rPr>
      </w:pPr>
      <w:r>
        <w:rPr>
          <w:rFonts w:hint="eastAsia" w:ascii="宋体" w:hAnsi="宋体"/>
          <w:color w:val="auto"/>
          <w:sz w:val="24"/>
        </w:rPr>
        <w:t>（1）</w:t>
      </w:r>
      <w:r>
        <w:rPr>
          <w:rFonts w:hint="eastAsia" w:ascii="宋体" w:hAnsi="宋体" w:cs="Calibri Light"/>
          <w:color w:val="auto"/>
          <w:sz w:val="24"/>
        </w:rPr>
        <w:t>供应商基本情况表；</w:t>
      </w:r>
    </w:p>
    <w:p w14:paraId="110E139B">
      <w:pPr>
        <w:snapToGrid w:val="0"/>
        <w:spacing w:line="360" w:lineRule="auto"/>
        <w:ind w:firstLine="480" w:firstLineChars="200"/>
        <w:rPr>
          <w:rFonts w:ascii="宋体" w:hAnsi="宋体"/>
          <w:color w:val="auto"/>
          <w:sz w:val="24"/>
        </w:rPr>
      </w:pPr>
      <w:r>
        <w:rPr>
          <w:rFonts w:hint="eastAsia" w:ascii="宋体" w:hAnsi="宋体"/>
          <w:color w:val="auto"/>
          <w:sz w:val="24"/>
        </w:rPr>
        <w:t>（2）项目实施人员一览表；</w:t>
      </w:r>
      <w:r>
        <w:rPr>
          <w:rFonts w:ascii="宋体" w:hAnsi="宋体"/>
          <w:color w:val="auto"/>
          <w:sz w:val="24"/>
        </w:rPr>
        <w:t xml:space="preserve"> </w:t>
      </w:r>
    </w:p>
    <w:p w14:paraId="2F08ECB9">
      <w:pPr>
        <w:snapToGrid w:val="0"/>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）项目负责人简历表；</w:t>
      </w:r>
    </w:p>
    <w:p w14:paraId="147D9D9A">
      <w:pPr>
        <w:snapToGrid w:val="0"/>
        <w:spacing w:line="360" w:lineRule="auto"/>
        <w:ind w:firstLine="480" w:firstLineChars="200"/>
        <w:rPr>
          <w:rFonts w:ascii="宋体" w:hAnsi="宋体"/>
          <w:color w:val="auto"/>
          <w:sz w:val="24"/>
        </w:rPr>
      </w:pPr>
      <w:r>
        <w:rPr>
          <w:rFonts w:hint="eastAsia" w:ascii="宋体" w:hAnsi="宋体"/>
          <w:color w:val="auto"/>
          <w:sz w:val="24"/>
        </w:rPr>
        <w:t>（4）作业机械、设备一览表；</w:t>
      </w:r>
    </w:p>
    <w:p w14:paraId="6A96B033">
      <w:pPr>
        <w:snapToGrid w:val="0"/>
        <w:spacing w:line="360" w:lineRule="auto"/>
        <w:ind w:firstLine="480" w:firstLineChars="200"/>
        <w:rPr>
          <w:rFonts w:ascii="宋体" w:hAnsi="宋体"/>
          <w:color w:val="auto"/>
          <w:kern w:val="0"/>
          <w:sz w:val="24"/>
        </w:rPr>
      </w:pPr>
      <w:r>
        <w:rPr>
          <w:rFonts w:hint="eastAsia" w:ascii="宋体" w:hAnsi="宋体"/>
          <w:color w:val="auto"/>
          <w:sz w:val="24"/>
        </w:rPr>
        <w:t>（5）其余内容根据评标办法自拟</w:t>
      </w:r>
      <w:r>
        <w:rPr>
          <w:rFonts w:hint="eastAsia" w:ascii="宋体" w:hAnsi="宋体"/>
          <w:color w:val="auto"/>
          <w:kern w:val="0"/>
          <w:sz w:val="24"/>
        </w:rPr>
        <w:t>；</w:t>
      </w:r>
    </w:p>
    <w:p w14:paraId="2AF1D021">
      <w:pPr>
        <w:pStyle w:val="5"/>
        <w:widowControl/>
        <w:adjustRightInd w:val="0"/>
        <w:snapToGrid w:val="0"/>
        <w:spacing w:line="360" w:lineRule="auto"/>
        <w:ind w:left="0" w:leftChars="0" w:firstLine="482" w:firstLineChars="200"/>
        <w:rPr>
          <w:rFonts w:ascii="宋体" w:hAnsi="宋体" w:cs="Calibri Light"/>
          <w:color w:val="auto"/>
          <w:sz w:val="24"/>
          <w:szCs w:val="24"/>
        </w:rPr>
      </w:pPr>
      <w:r>
        <w:rPr>
          <w:rFonts w:hint="eastAsia" w:ascii="宋体" w:hAnsi="宋体"/>
          <w:b/>
          <w:color w:val="auto"/>
          <w:kern w:val="0"/>
          <w:sz w:val="24"/>
        </w:rPr>
        <w:t>招标需求中要求提供的相关证明材料及根据评标办法提供的证明材料均需在投标文件中提供原件的扫描件。</w:t>
      </w:r>
    </w:p>
    <w:p w14:paraId="1358ECB4">
      <w:pPr>
        <w:autoSpaceDE w:val="0"/>
        <w:autoSpaceDN w:val="0"/>
        <w:adjustRightInd w:val="0"/>
        <w:spacing w:line="360" w:lineRule="auto"/>
        <w:ind w:firstLine="482" w:firstLineChars="200"/>
        <w:rPr>
          <w:rFonts w:hint="eastAsia" w:ascii="宋体" w:hAnsi="宋体"/>
          <w:b/>
          <w:bCs w:val="0"/>
          <w:color w:val="auto"/>
          <w:kern w:val="0"/>
          <w:sz w:val="24"/>
        </w:rPr>
      </w:pPr>
      <w:r>
        <w:rPr>
          <w:rFonts w:hint="eastAsia" w:ascii="宋体" w:hAnsi="宋体"/>
          <w:b/>
          <w:bCs w:val="0"/>
          <w:color w:val="auto"/>
          <w:kern w:val="0"/>
          <w:sz w:val="24"/>
        </w:rPr>
        <w:t>商务与技术评分</w:t>
      </w:r>
      <w:r>
        <w:rPr>
          <w:rFonts w:hint="eastAsia" w:ascii="宋体" w:hAnsi="宋体"/>
          <w:b/>
          <w:bCs w:val="0"/>
          <w:color w:val="auto"/>
          <w:kern w:val="0"/>
          <w:sz w:val="24"/>
          <w:lang w:val="en-US" w:eastAsia="zh-CN"/>
        </w:rPr>
        <w:t>中要求的除</w:t>
      </w:r>
      <w:r>
        <w:rPr>
          <w:rFonts w:hint="eastAsia" w:ascii="宋体" w:hAnsi="宋体"/>
          <w:b/>
          <w:bCs w:val="0"/>
          <w:color w:val="auto"/>
          <w:kern w:val="0"/>
          <w:sz w:val="24"/>
        </w:rPr>
        <w:t>“企业业绩、企业认证、不转包、不分包承诺”</w:t>
      </w:r>
      <w:r>
        <w:rPr>
          <w:rFonts w:hint="eastAsia" w:ascii="宋体" w:hAnsi="宋体"/>
          <w:b/>
          <w:bCs w:val="0"/>
          <w:color w:val="auto"/>
          <w:kern w:val="0"/>
          <w:sz w:val="24"/>
          <w:lang w:val="en-US" w:eastAsia="zh-CN"/>
        </w:rPr>
        <w:t>外，</w:t>
      </w:r>
      <w:r>
        <w:rPr>
          <w:rFonts w:hint="eastAsia" w:ascii="宋体" w:hAnsi="宋体"/>
          <w:b/>
          <w:bCs w:val="0"/>
          <w:color w:val="auto"/>
          <w:kern w:val="0"/>
          <w:sz w:val="24"/>
        </w:rPr>
        <w:t>不得超过30页，纸张必须采用A4型纸，建议文本正文字体为四号宋体，行距1.5倍。</w:t>
      </w:r>
    </w:p>
    <w:p w14:paraId="13B19591">
      <w:pPr>
        <w:autoSpaceDE w:val="0"/>
        <w:autoSpaceDN w:val="0"/>
        <w:adjustRightInd w:val="0"/>
        <w:spacing w:line="360" w:lineRule="auto"/>
        <w:ind w:left="426" w:firstLine="65" w:firstLineChars="27"/>
        <w:rPr>
          <w:rFonts w:ascii="宋体" w:hAnsi="宋体"/>
          <w:b/>
          <w:color w:val="auto"/>
          <w:kern w:val="0"/>
          <w:sz w:val="24"/>
        </w:rPr>
      </w:pPr>
      <w:r>
        <w:rPr>
          <w:rFonts w:hint="eastAsia" w:ascii="宋体" w:hAnsi="宋体"/>
          <w:b/>
          <w:color w:val="auto"/>
          <w:kern w:val="0"/>
          <w:sz w:val="24"/>
        </w:rPr>
        <w:t>3、报价内容的组成</w:t>
      </w:r>
    </w:p>
    <w:p w14:paraId="11B558F4">
      <w:pPr>
        <w:pStyle w:val="41"/>
        <w:ind w:left="0" w:leftChars="0"/>
        <w:rPr>
          <w:rFonts w:ascii="宋体" w:hAnsi="宋体"/>
          <w:color w:val="auto"/>
          <w:kern w:val="0"/>
        </w:rPr>
      </w:pPr>
      <w:r>
        <w:rPr>
          <w:rFonts w:hint="eastAsia" w:ascii="宋体" w:hAnsi="宋体"/>
          <w:color w:val="auto"/>
          <w:kern w:val="0"/>
        </w:rPr>
        <w:t>（1）首次开标一览表。</w:t>
      </w:r>
    </w:p>
    <w:p w14:paraId="5A9B4A36">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此报价为供应商针对本项目报出的唯一的首次报价，包含其它一切所要涉及到的费用，有选择的报价将被拒绝。</w:t>
      </w:r>
    </w:p>
    <w:p w14:paraId="4D074CA5">
      <w:pPr>
        <w:snapToGrid w:val="0"/>
        <w:spacing w:line="360" w:lineRule="auto"/>
        <w:ind w:firstLine="482" w:firstLineChars="200"/>
        <w:rPr>
          <w:rFonts w:ascii="宋体" w:hAnsi="宋体"/>
          <w:color w:val="auto"/>
          <w:kern w:val="0"/>
          <w:sz w:val="24"/>
          <w:lang w:val="zh-CN"/>
        </w:rPr>
      </w:pPr>
      <w:r>
        <w:rPr>
          <w:rFonts w:hint="eastAsia" w:ascii="宋体" w:hAnsi="宋体"/>
          <w:b/>
          <w:color w:val="auto"/>
          <w:kern w:val="0"/>
          <w:sz w:val="24"/>
          <w:lang w:val="zh-CN"/>
        </w:rPr>
        <w:t>投标总报价应是竞争性磋商文件所确定的招标范围内全部工作内容的价格表现。其应包括完成工程量清单所列项目的全部费用，包括分部分项工程费、措施项目费、其他项目费、规费和税金。各投标人应根据采购人提供的全套施工图纸、技术资料、工程量清单，以及本工程实际情况和自身的综合实力，竞报投标报价。</w:t>
      </w:r>
    </w:p>
    <w:p w14:paraId="3D6E7270">
      <w:pPr>
        <w:snapToGrid w:val="0"/>
        <w:spacing w:line="360" w:lineRule="auto"/>
        <w:ind w:firstLine="480" w:firstLineChars="200"/>
        <w:rPr>
          <w:rFonts w:ascii="宋体" w:hAnsi="宋体"/>
          <w:color w:val="auto"/>
          <w:kern w:val="0"/>
          <w:sz w:val="24"/>
        </w:rPr>
      </w:pPr>
      <w:r>
        <w:rPr>
          <w:rFonts w:hint="eastAsia" w:ascii="宋体" w:hAnsi="宋体"/>
          <w:color w:val="auto"/>
          <w:kern w:val="0"/>
          <w:sz w:val="24"/>
        </w:rPr>
        <w:t>磋商响应报价表不得涂改和增删，如有错漏必须修改，修改处须由同一签署人签字或盖章。由于字迹模糊或表达不清引起的后果由供应商负责。</w:t>
      </w:r>
    </w:p>
    <w:p w14:paraId="682F4CDA">
      <w:pPr>
        <w:snapToGrid w:val="0"/>
        <w:spacing w:line="360" w:lineRule="auto"/>
        <w:ind w:left="480"/>
        <w:rPr>
          <w:rFonts w:ascii="宋体" w:hAnsi="宋体"/>
          <w:color w:val="auto"/>
          <w:sz w:val="24"/>
        </w:rPr>
      </w:pPr>
      <w:r>
        <w:rPr>
          <w:rFonts w:ascii="宋体" w:hAnsi="宋体"/>
          <w:color w:val="auto"/>
          <w:sz w:val="24"/>
        </w:rPr>
        <w:t>报价</w:t>
      </w:r>
      <w:r>
        <w:rPr>
          <w:rFonts w:hint="eastAsia" w:ascii="宋体" w:hAnsi="宋体"/>
          <w:color w:val="auto"/>
          <w:sz w:val="24"/>
        </w:rPr>
        <w:t>有关表格</w:t>
      </w:r>
      <w:r>
        <w:rPr>
          <w:rFonts w:ascii="宋体" w:hAnsi="宋体"/>
          <w:color w:val="auto"/>
          <w:sz w:val="24"/>
        </w:rPr>
        <w:t>应按</w:t>
      </w:r>
      <w:r>
        <w:rPr>
          <w:rFonts w:hint="eastAsia" w:ascii="宋体" w:hAnsi="宋体"/>
          <w:color w:val="auto"/>
          <w:sz w:val="24"/>
        </w:rPr>
        <w:t>磋商采购</w:t>
      </w:r>
      <w:r>
        <w:rPr>
          <w:rFonts w:ascii="宋体" w:hAnsi="宋体"/>
          <w:color w:val="auto"/>
          <w:sz w:val="24"/>
        </w:rPr>
        <w:t>文件中相关附表格式填写。</w:t>
      </w:r>
    </w:p>
    <w:p w14:paraId="129CB603">
      <w:pPr>
        <w:snapToGrid w:val="0"/>
        <w:spacing w:line="360" w:lineRule="auto"/>
        <w:ind w:firstLine="482" w:firstLineChars="200"/>
        <w:rPr>
          <w:rFonts w:ascii="宋体" w:hAnsi="宋体" w:cs="Calibri Light"/>
          <w:b/>
          <w:bCs/>
          <w:color w:val="auto"/>
          <w:sz w:val="24"/>
          <w:lang w:val="zh-CN"/>
        </w:rPr>
      </w:pPr>
      <w:r>
        <w:rPr>
          <w:rFonts w:hint="eastAsia" w:ascii="宋体" w:hAnsi="宋体"/>
          <w:b/>
          <w:bCs/>
          <w:color w:val="auto"/>
          <w:sz w:val="24"/>
        </w:rPr>
        <w:t>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14:paraId="763874BC">
      <w:pPr>
        <w:numPr>
          <w:ilvl w:val="0"/>
          <w:numId w:val="2"/>
        </w:numPr>
        <w:snapToGrid w:val="0"/>
        <w:spacing w:line="360" w:lineRule="auto"/>
        <w:rPr>
          <w:rFonts w:ascii="宋体" w:hAnsi="宋体" w:cs="楷体_GB2312"/>
          <w:color w:val="auto"/>
          <w:sz w:val="24"/>
          <w:lang w:val="zh-CN"/>
        </w:rPr>
      </w:pPr>
      <w:r>
        <w:rPr>
          <w:rFonts w:hint="eastAsia" w:ascii="宋体" w:hAnsi="宋体"/>
          <w:b/>
          <w:bCs/>
          <w:color w:val="auto"/>
          <w:kern w:val="0"/>
          <w:sz w:val="24"/>
        </w:rPr>
        <w:t>磋商响应文件的制作及递交要求</w:t>
      </w:r>
    </w:p>
    <w:p w14:paraId="0426ACB8">
      <w:pPr>
        <w:autoSpaceDE w:val="0"/>
        <w:autoSpaceDN w:val="0"/>
        <w:adjustRightInd w:val="0"/>
        <w:spacing w:line="360" w:lineRule="auto"/>
        <w:ind w:firstLine="480"/>
        <w:rPr>
          <w:rFonts w:ascii="宋体" w:hAnsi="宋体"/>
          <w:b/>
          <w:color w:val="auto"/>
          <w:sz w:val="24"/>
        </w:rPr>
      </w:pPr>
      <w:r>
        <w:rPr>
          <w:rFonts w:hint="eastAsia" w:ascii="宋体" w:hAnsi="宋体"/>
          <w:b/>
          <w:color w:val="auto"/>
          <w:sz w:val="24"/>
        </w:rPr>
        <w:t>1、磋商响应文件的制作要求</w:t>
      </w:r>
    </w:p>
    <w:p w14:paraId="786C1E28">
      <w:pPr>
        <w:spacing w:line="360" w:lineRule="auto"/>
        <w:ind w:firstLine="480" w:firstLineChars="200"/>
        <w:rPr>
          <w:rFonts w:ascii="宋体" w:hAnsi="宋体" w:cs="Arial"/>
          <w:color w:val="auto"/>
          <w:sz w:val="24"/>
        </w:rPr>
      </w:pPr>
      <w:r>
        <w:rPr>
          <w:rFonts w:hint="eastAsia" w:asciiTheme="minorEastAsia" w:hAnsiTheme="minorEastAsia"/>
          <w:color w:val="auto"/>
          <w:sz w:val="24"/>
        </w:rPr>
        <w:t>（</w:t>
      </w:r>
      <w:r>
        <w:rPr>
          <w:rFonts w:asciiTheme="minorEastAsia" w:hAnsiTheme="minorEastAsia"/>
          <w:color w:val="auto"/>
          <w:sz w:val="24"/>
        </w:rPr>
        <w:t>1）</w:t>
      </w:r>
      <w:r>
        <w:rPr>
          <w:rFonts w:hint="eastAsia" w:ascii="宋体" w:hAnsi="宋体" w:cs="Arial"/>
          <w:color w:val="auto"/>
          <w:sz w:val="24"/>
        </w:rPr>
        <w:t>本项目通过“政府采购云平台（</w:t>
      </w:r>
      <w:r>
        <w:rPr>
          <w:rFonts w:ascii="宋体" w:hAnsi="宋体" w:cs="Arial"/>
          <w:color w:val="auto"/>
          <w:sz w:val="24"/>
        </w:rPr>
        <w:t>www.</w:t>
      </w:r>
      <w:r>
        <w:rPr>
          <w:rFonts w:hint="eastAsia" w:ascii="宋体" w:hAnsi="宋体" w:cs="Arial"/>
          <w:color w:val="auto"/>
          <w:sz w:val="24"/>
        </w:rPr>
        <w:t>zcy</w:t>
      </w:r>
      <w:r>
        <w:rPr>
          <w:rFonts w:ascii="宋体" w:hAnsi="宋体" w:cs="Arial"/>
          <w:color w:val="auto"/>
          <w:sz w:val="24"/>
        </w:rPr>
        <w:t>gov.cn</w:t>
      </w:r>
      <w:r>
        <w:rPr>
          <w:rFonts w:hint="eastAsia" w:ascii="宋体" w:hAnsi="宋体" w:cs="Arial"/>
          <w:color w:val="auto"/>
          <w:sz w:val="24"/>
        </w:rPr>
        <w:t>）”实行在线投标响应（电子投标）。供应商应通过“政采云电子交易客户端”，并按照本招标文件和“政府采购云平台”的要求编制并加密投标文件。</w:t>
      </w:r>
    </w:p>
    <w:p w14:paraId="1106ECD9">
      <w:pPr>
        <w:spacing w:line="360" w:lineRule="auto"/>
        <w:ind w:firstLine="420" w:firstLineChars="175"/>
        <w:rPr>
          <w:rFonts w:ascii="宋体" w:hAnsi="宋体" w:cs="Arial"/>
          <w:color w:val="auto"/>
          <w:kern w:val="0"/>
          <w:sz w:val="24"/>
        </w:rPr>
      </w:pPr>
      <w:r>
        <w:rPr>
          <w:rFonts w:hint="eastAsia" w:ascii="宋体" w:hAnsi="宋体" w:cs="Arial"/>
          <w:color w:val="auto"/>
          <w:kern w:val="0"/>
          <w:sz w:val="24"/>
        </w:rPr>
        <w:t>（2）投标供应商应当按照</w:t>
      </w:r>
      <w:r>
        <w:rPr>
          <w:rFonts w:ascii="宋体" w:hAnsi="宋体" w:cs="Arial"/>
          <w:color w:val="auto"/>
          <w:kern w:val="0"/>
          <w:sz w:val="24"/>
        </w:rPr>
        <w:t>本</w:t>
      </w:r>
      <w:r>
        <w:rPr>
          <w:rFonts w:hint="eastAsia" w:ascii="宋体" w:hAnsi="宋体" w:cs="Arial"/>
          <w:color w:val="auto"/>
          <w:kern w:val="0"/>
          <w:sz w:val="24"/>
        </w:rPr>
        <w:t>章节 “投标文件组成”规定的内容及顺序在“政采云电子交易客户端”编制投标文件。</w:t>
      </w:r>
    </w:p>
    <w:p w14:paraId="2C9D43EE">
      <w:pPr>
        <w:autoSpaceDE w:val="0"/>
        <w:autoSpaceDN w:val="0"/>
        <w:adjustRightInd w:val="0"/>
        <w:spacing w:line="360" w:lineRule="auto"/>
        <w:ind w:firstLine="480"/>
        <w:rPr>
          <w:rFonts w:ascii="宋体" w:hAnsi="宋体"/>
          <w:color w:val="auto"/>
          <w:sz w:val="24"/>
        </w:rPr>
      </w:pPr>
      <w:r>
        <w:rPr>
          <w:rFonts w:hint="eastAsia" w:ascii="宋体" w:hAnsi="宋体"/>
          <w:bCs/>
          <w:color w:val="auto"/>
          <w:sz w:val="24"/>
        </w:rPr>
        <w:t>（3）本文件《第五部分  应提交的有关格式范例》中有</w:t>
      </w:r>
      <w:r>
        <w:rPr>
          <w:rFonts w:ascii="宋体" w:hAnsi="宋体"/>
          <w:bCs/>
          <w:color w:val="auto"/>
          <w:sz w:val="24"/>
        </w:rPr>
        <w:t>提供格式的，投标</w:t>
      </w:r>
      <w:r>
        <w:rPr>
          <w:rFonts w:hint="eastAsia" w:ascii="宋体" w:hAnsi="宋体"/>
          <w:bCs/>
          <w:color w:val="auto"/>
          <w:sz w:val="24"/>
        </w:rPr>
        <w:t>供应商须参</w:t>
      </w:r>
      <w:r>
        <w:rPr>
          <w:rFonts w:ascii="宋体" w:hAnsi="宋体"/>
          <w:bCs/>
          <w:color w:val="auto"/>
          <w:sz w:val="24"/>
        </w:rPr>
        <w:t>照格式</w:t>
      </w:r>
      <w:r>
        <w:rPr>
          <w:rFonts w:hint="eastAsia" w:ascii="宋体" w:hAnsi="宋体"/>
          <w:bCs/>
          <w:color w:val="auto"/>
          <w:sz w:val="24"/>
        </w:rPr>
        <w:t>进行编制（格式中要求提供相关证明材料的还需后附相关证明材料），并按格式要求在指定位置根据要求进行电子签章，否则视为未提供；本文件《第五部分  应提交的有关格式范例》</w:t>
      </w:r>
      <w:r>
        <w:rPr>
          <w:rFonts w:ascii="宋体" w:hAnsi="宋体"/>
          <w:bCs/>
          <w:color w:val="auto"/>
          <w:sz w:val="24"/>
        </w:rPr>
        <w:t>未提供格式的，请各投标单位自行拟定格式</w:t>
      </w:r>
      <w:r>
        <w:rPr>
          <w:rFonts w:hint="eastAsia" w:ascii="宋体" w:hAnsi="宋体"/>
          <w:color w:val="auto"/>
          <w:sz w:val="24"/>
        </w:rPr>
        <w:t>。</w:t>
      </w:r>
    </w:p>
    <w:p w14:paraId="62F0CA75">
      <w:pPr>
        <w:autoSpaceDE w:val="0"/>
        <w:autoSpaceDN w:val="0"/>
        <w:adjustRightInd w:val="0"/>
        <w:spacing w:line="360" w:lineRule="auto"/>
        <w:ind w:firstLine="480" w:firstLineChars="200"/>
        <w:rPr>
          <w:rFonts w:ascii="宋体" w:hAnsi="宋体"/>
          <w:color w:val="auto"/>
          <w:kern w:val="0"/>
          <w:sz w:val="24"/>
          <w:lang w:val="zh-CN"/>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）供应商应对所提供的全部资料的真实性承担法律责任。</w:t>
      </w:r>
    </w:p>
    <w:p w14:paraId="4FDFDB6F">
      <w:pPr>
        <w:snapToGrid w:val="0"/>
        <w:spacing w:line="360" w:lineRule="auto"/>
        <w:ind w:firstLine="480" w:firstLineChars="200"/>
        <w:jc w:val="left"/>
        <w:rPr>
          <w:rFonts w:ascii="宋体" w:hAnsi="宋体"/>
          <w:color w:val="auto"/>
          <w:sz w:val="24"/>
        </w:rPr>
      </w:pPr>
      <w:r>
        <w:rPr>
          <w:rFonts w:hint="eastAsia" w:ascii="宋体" w:hAnsi="宋体"/>
          <w:color w:val="auto"/>
          <w:kern w:val="0"/>
          <w:sz w:val="24"/>
          <w:lang w:val="zh-CN"/>
        </w:rPr>
        <w:t>（</w:t>
      </w:r>
      <w:r>
        <w:rPr>
          <w:rFonts w:ascii="宋体" w:hAnsi="宋体"/>
          <w:color w:val="auto"/>
          <w:kern w:val="0"/>
          <w:sz w:val="24"/>
        </w:rPr>
        <w:t>5</w:t>
      </w:r>
      <w:r>
        <w:rPr>
          <w:rFonts w:hint="eastAsia" w:ascii="宋体" w:hAnsi="宋体"/>
          <w:color w:val="auto"/>
          <w:kern w:val="0"/>
          <w:sz w:val="24"/>
          <w:lang w:val="zh-CN"/>
        </w:rPr>
        <w:t>）</w:t>
      </w:r>
      <w:r>
        <w:rPr>
          <w:rFonts w:hint="eastAsia" w:ascii="宋体" w:hAnsi="宋体"/>
          <w:color w:val="auto"/>
          <w:sz w:val="24"/>
        </w:rPr>
        <w:t>磋商响应文件</w:t>
      </w:r>
      <w:r>
        <w:rPr>
          <w:rFonts w:ascii="宋体" w:hAnsi="宋体"/>
          <w:color w:val="auto"/>
          <w:sz w:val="24"/>
        </w:rPr>
        <w:t>以及</w:t>
      </w:r>
      <w:r>
        <w:rPr>
          <w:rFonts w:hint="eastAsia" w:ascii="宋体" w:hAnsi="宋体"/>
          <w:color w:val="auto"/>
          <w:sz w:val="24"/>
        </w:rPr>
        <w:t>磋商供应商</w:t>
      </w:r>
      <w:r>
        <w:rPr>
          <w:rFonts w:ascii="宋体" w:hAnsi="宋体"/>
          <w:color w:val="auto"/>
          <w:sz w:val="24"/>
        </w:rPr>
        <w:t>与</w:t>
      </w:r>
      <w:r>
        <w:rPr>
          <w:rFonts w:hint="eastAsia" w:ascii="宋体" w:hAnsi="宋体"/>
          <w:color w:val="auto"/>
          <w:sz w:val="24"/>
        </w:rPr>
        <w:t>采购组织机构</w:t>
      </w:r>
      <w:r>
        <w:rPr>
          <w:rFonts w:ascii="宋体" w:hAnsi="宋体"/>
          <w:color w:val="auto"/>
          <w:sz w:val="24"/>
        </w:rPr>
        <w:t>就有关磋商事宜的所有来往函电，均应以中文汉语书写。除</w:t>
      </w:r>
      <w:r>
        <w:rPr>
          <w:rFonts w:hint="eastAsia" w:ascii="宋体" w:hAnsi="宋体"/>
          <w:color w:val="auto"/>
          <w:sz w:val="24"/>
        </w:rPr>
        <w:t>签字</w:t>
      </w:r>
      <w:r>
        <w:rPr>
          <w:rFonts w:ascii="宋体" w:hAnsi="宋体"/>
          <w:color w:val="auto"/>
          <w:sz w:val="24"/>
        </w:rPr>
        <w:t>、盖章、专用名称等特殊情形外，以中文汉语以外的文字表述的</w:t>
      </w:r>
      <w:r>
        <w:rPr>
          <w:rFonts w:hint="eastAsia" w:ascii="宋体" w:hAnsi="宋体"/>
          <w:color w:val="auto"/>
          <w:sz w:val="24"/>
        </w:rPr>
        <w:t>磋商响应文件</w:t>
      </w:r>
      <w:r>
        <w:rPr>
          <w:rFonts w:ascii="宋体" w:hAnsi="宋体"/>
          <w:color w:val="auto"/>
          <w:sz w:val="24"/>
        </w:rPr>
        <w:t>视同未提供。</w:t>
      </w:r>
    </w:p>
    <w:p w14:paraId="4113C4C8">
      <w:pPr>
        <w:snapToGrid w:val="0"/>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w:t>
      </w:r>
      <w:r>
        <w:rPr>
          <w:rFonts w:ascii="宋体" w:hAnsi="宋体"/>
          <w:color w:val="auto"/>
          <w:sz w:val="24"/>
        </w:rPr>
        <w:t>磋商计量单位，</w:t>
      </w:r>
      <w:r>
        <w:rPr>
          <w:rFonts w:hint="eastAsia" w:ascii="宋体" w:hAnsi="宋体"/>
          <w:bCs/>
          <w:color w:val="auto"/>
          <w:sz w:val="24"/>
        </w:rPr>
        <w:t>磋商采购文件</w:t>
      </w:r>
      <w:r>
        <w:rPr>
          <w:rFonts w:ascii="宋体" w:hAnsi="宋体"/>
          <w:color w:val="auto"/>
          <w:sz w:val="24"/>
        </w:rPr>
        <w:t>已有明确规定的，使用</w:t>
      </w:r>
      <w:r>
        <w:rPr>
          <w:rFonts w:hint="eastAsia" w:ascii="宋体" w:hAnsi="宋体"/>
          <w:bCs/>
          <w:color w:val="auto"/>
          <w:sz w:val="24"/>
        </w:rPr>
        <w:t>磋商采购文件</w:t>
      </w:r>
      <w:r>
        <w:rPr>
          <w:rFonts w:ascii="宋体" w:hAnsi="宋体"/>
          <w:color w:val="auto"/>
          <w:sz w:val="24"/>
        </w:rPr>
        <w:t>规定的计量单位；</w:t>
      </w:r>
      <w:r>
        <w:rPr>
          <w:rFonts w:hint="eastAsia" w:ascii="宋体" w:hAnsi="宋体"/>
          <w:bCs/>
          <w:color w:val="auto"/>
          <w:sz w:val="24"/>
        </w:rPr>
        <w:t>磋商采购文件</w:t>
      </w:r>
      <w:r>
        <w:rPr>
          <w:rFonts w:ascii="宋体" w:hAnsi="宋体"/>
          <w:color w:val="auto"/>
          <w:sz w:val="24"/>
        </w:rPr>
        <w:t>没有规定的，应采用中华人民共和国法定计量单位（货币单位：人民币元），否则视同未响应。</w:t>
      </w:r>
    </w:p>
    <w:p w14:paraId="5E5CA4AD">
      <w:pPr>
        <w:autoSpaceDE w:val="0"/>
        <w:autoSpaceDN w:val="0"/>
        <w:adjustRightInd w:val="0"/>
        <w:spacing w:line="360" w:lineRule="auto"/>
        <w:ind w:firstLine="480"/>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w:t>
      </w:r>
      <w:r>
        <w:rPr>
          <w:rFonts w:ascii="宋体" w:hAnsi="宋体"/>
          <w:color w:val="auto"/>
          <w:sz w:val="24"/>
        </w:rPr>
        <w:t>若</w:t>
      </w:r>
      <w:r>
        <w:rPr>
          <w:rFonts w:hint="eastAsia" w:ascii="宋体" w:hAnsi="宋体"/>
          <w:color w:val="auto"/>
          <w:sz w:val="24"/>
        </w:rPr>
        <w:t>磋商供应商</w:t>
      </w:r>
      <w:r>
        <w:rPr>
          <w:rFonts w:ascii="宋体" w:hAnsi="宋体"/>
          <w:color w:val="auto"/>
          <w:sz w:val="24"/>
        </w:rPr>
        <w:t>不按采购文件的要求提供资格审查材料，其风险由</w:t>
      </w:r>
      <w:r>
        <w:rPr>
          <w:rFonts w:hint="eastAsia" w:ascii="宋体" w:hAnsi="宋体"/>
          <w:color w:val="auto"/>
          <w:sz w:val="24"/>
        </w:rPr>
        <w:t>磋商供应商</w:t>
      </w:r>
      <w:r>
        <w:rPr>
          <w:rFonts w:ascii="宋体" w:hAnsi="宋体"/>
          <w:color w:val="auto"/>
          <w:sz w:val="24"/>
        </w:rPr>
        <w:t>自行承担。</w:t>
      </w:r>
    </w:p>
    <w:p w14:paraId="55ED759A">
      <w:pPr>
        <w:autoSpaceDE w:val="0"/>
        <w:autoSpaceDN w:val="0"/>
        <w:adjustRightInd w:val="0"/>
        <w:spacing w:line="360" w:lineRule="auto"/>
        <w:ind w:firstLine="480"/>
        <w:rPr>
          <w:rFonts w:ascii="宋体" w:hAnsi="宋体"/>
          <w:color w:val="auto"/>
          <w:sz w:val="24"/>
        </w:rPr>
      </w:pPr>
      <w:r>
        <w:rPr>
          <w:rFonts w:hint="eastAsia" w:ascii="宋体" w:hAnsi="宋体"/>
          <w:color w:val="auto"/>
          <w:kern w:val="0"/>
          <w:sz w:val="24"/>
        </w:rPr>
        <w:t>（</w:t>
      </w:r>
      <w:r>
        <w:rPr>
          <w:rFonts w:ascii="宋体" w:hAnsi="宋体"/>
          <w:color w:val="auto"/>
          <w:kern w:val="0"/>
          <w:sz w:val="24"/>
        </w:rPr>
        <w:t>8</w:t>
      </w:r>
      <w:r>
        <w:rPr>
          <w:rFonts w:hint="eastAsia" w:ascii="宋体" w:hAnsi="宋体"/>
          <w:color w:val="auto"/>
          <w:kern w:val="0"/>
          <w:sz w:val="24"/>
        </w:rPr>
        <w:t>）</w:t>
      </w:r>
      <w:r>
        <w:rPr>
          <w:rFonts w:hint="eastAsia" w:ascii="宋体" w:hAnsi="宋体"/>
          <w:color w:val="auto"/>
          <w:sz w:val="24"/>
        </w:rPr>
        <w:t>与本次磋商无关的内容请不要制作在内，确保磋商响应文件有针对性、简洁明了。</w:t>
      </w:r>
    </w:p>
    <w:p w14:paraId="7552C526">
      <w:pPr>
        <w:autoSpaceDE w:val="0"/>
        <w:autoSpaceDN w:val="0"/>
        <w:adjustRightInd w:val="0"/>
        <w:spacing w:line="360" w:lineRule="auto"/>
        <w:ind w:firstLine="480"/>
        <w:rPr>
          <w:rFonts w:ascii="宋体" w:hAnsi="宋体"/>
          <w:color w:val="auto"/>
          <w:sz w:val="24"/>
        </w:rPr>
      </w:pPr>
      <w:r>
        <w:rPr>
          <w:rFonts w:hint="eastAsia" w:ascii="宋体" w:hAnsi="宋体"/>
          <w:b/>
          <w:bCs/>
          <w:color w:val="auto"/>
          <w:sz w:val="24"/>
        </w:rPr>
        <w:t>2、投标文件的签章</w:t>
      </w:r>
    </w:p>
    <w:p w14:paraId="769DC710">
      <w:pPr>
        <w:spacing w:line="360" w:lineRule="auto"/>
        <w:ind w:firstLine="460" w:firstLineChars="192"/>
        <w:rPr>
          <w:rFonts w:ascii="宋体" w:hAnsi="宋体" w:cs="Arial"/>
          <w:bCs/>
          <w:color w:val="auto"/>
          <w:kern w:val="0"/>
          <w:sz w:val="24"/>
        </w:rPr>
      </w:pPr>
      <w:r>
        <w:rPr>
          <w:rFonts w:hint="eastAsia" w:ascii="宋体" w:hAnsi="宋体" w:cs="Arial"/>
          <w:bCs/>
          <w:color w:val="auto"/>
          <w:kern w:val="0"/>
          <w:sz w:val="24"/>
        </w:rPr>
        <w:t>（1）《</w:t>
      </w:r>
      <w:r>
        <w:rPr>
          <w:rFonts w:ascii="宋体" w:hAnsi="宋体" w:cs="Arial"/>
          <w:bCs/>
          <w:color w:val="auto"/>
          <w:kern w:val="0"/>
          <w:sz w:val="24"/>
        </w:rPr>
        <w:t>投标文件</w:t>
      </w:r>
      <w:r>
        <w:rPr>
          <w:rFonts w:hint="eastAsia" w:ascii="宋体" w:hAnsi="宋体" w:cs="Arial"/>
          <w:bCs/>
          <w:color w:val="auto"/>
          <w:kern w:val="0"/>
          <w:sz w:val="24"/>
        </w:rPr>
        <w:t>》的签章：</w:t>
      </w:r>
      <w:r>
        <w:rPr>
          <w:rFonts w:hint="eastAsia" w:ascii="宋体" w:hAnsi="宋体"/>
          <w:bCs/>
          <w:color w:val="auto"/>
          <w:sz w:val="24"/>
        </w:rPr>
        <w:t>见《前附表》；</w:t>
      </w:r>
    </w:p>
    <w:p w14:paraId="6A717A71">
      <w:pPr>
        <w:spacing w:line="360" w:lineRule="auto"/>
        <w:ind w:firstLine="460" w:firstLineChars="192"/>
        <w:rPr>
          <w:rFonts w:ascii="宋体" w:hAnsi="宋体" w:cs="Arial"/>
          <w:bCs/>
          <w:color w:val="auto"/>
          <w:kern w:val="0"/>
          <w:sz w:val="24"/>
        </w:rPr>
      </w:pPr>
      <w:r>
        <w:rPr>
          <w:rFonts w:hint="eastAsia" w:ascii="宋体" w:hAnsi="宋体" w:cs="Arial"/>
          <w:bCs/>
          <w:color w:val="auto"/>
          <w:kern w:val="0"/>
          <w:sz w:val="24"/>
        </w:rPr>
        <w:t>（2）《</w:t>
      </w:r>
      <w:r>
        <w:rPr>
          <w:rFonts w:ascii="宋体" w:hAnsi="宋体" w:cs="Arial"/>
          <w:bCs/>
          <w:color w:val="auto"/>
          <w:kern w:val="0"/>
          <w:sz w:val="24"/>
        </w:rPr>
        <w:t>投标文件</w:t>
      </w:r>
      <w:r>
        <w:rPr>
          <w:rFonts w:hint="eastAsia" w:ascii="宋体" w:hAnsi="宋体" w:cs="Arial"/>
          <w:bCs/>
          <w:color w:val="auto"/>
          <w:kern w:val="0"/>
          <w:sz w:val="24"/>
        </w:rPr>
        <w:t>》应由投标供应商法定代表人或其授权代表签字（或签章），并时加盖投标供应商公章。</w:t>
      </w:r>
    </w:p>
    <w:p w14:paraId="72C46806">
      <w:pPr>
        <w:autoSpaceDE w:val="0"/>
        <w:autoSpaceDN w:val="0"/>
        <w:adjustRightInd w:val="0"/>
        <w:spacing w:line="360" w:lineRule="auto"/>
        <w:ind w:firstLine="480"/>
        <w:rPr>
          <w:rFonts w:ascii="宋体" w:hAnsi="宋体"/>
          <w:color w:val="auto"/>
          <w:kern w:val="0"/>
          <w:sz w:val="24"/>
          <w:lang w:val="zh-CN"/>
        </w:rPr>
      </w:pPr>
      <w:r>
        <w:rPr>
          <w:rFonts w:hint="eastAsia" w:ascii="宋体" w:hAnsi="宋体" w:cs="Arial"/>
          <w:bCs/>
          <w:color w:val="auto"/>
          <w:kern w:val="0"/>
          <w:sz w:val="24"/>
        </w:rPr>
        <w:t>（</w:t>
      </w:r>
      <w:r>
        <w:rPr>
          <w:rFonts w:ascii="宋体" w:hAnsi="宋体" w:cs="Arial"/>
          <w:bCs/>
          <w:color w:val="auto"/>
          <w:kern w:val="0"/>
          <w:sz w:val="24"/>
        </w:rPr>
        <w:t>3</w:t>
      </w:r>
      <w:r>
        <w:rPr>
          <w:rFonts w:hint="eastAsia" w:ascii="宋体" w:hAnsi="宋体" w:cs="Arial"/>
          <w:bCs/>
          <w:color w:val="auto"/>
          <w:kern w:val="0"/>
          <w:sz w:val="24"/>
        </w:rPr>
        <w:t>）电子签章操作指南详见</w:t>
      </w:r>
      <w:r>
        <w:rPr>
          <w:rFonts w:hint="eastAsia" w:ascii="宋体" w:hAnsi="宋体" w:cs="Arial"/>
          <w:bCs/>
          <w:color w:val="auto"/>
          <w:sz w:val="24"/>
        </w:rPr>
        <w:t>《供应商项目采购-电子招投标操作指南》。</w:t>
      </w:r>
    </w:p>
    <w:p w14:paraId="302DAFBA">
      <w:pPr>
        <w:autoSpaceDE w:val="0"/>
        <w:autoSpaceDN w:val="0"/>
        <w:adjustRightInd w:val="0"/>
        <w:spacing w:line="360" w:lineRule="auto"/>
        <w:ind w:firstLine="480"/>
        <w:rPr>
          <w:rFonts w:ascii="宋体" w:hAnsi="宋体"/>
          <w:b/>
          <w:color w:val="auto"/>
          <w:kern w:val="0"/>
          <w:sz w:val="24"/>
        </w:rPr>
      </w:pPr>
      <w:r>
        <w:rPr>
          <w:rFonts w:hint="eastAsia" w:ascii="宋体" w:hAnsi="宋体"/>
          <w:b/>
          <w:color w:val="auto"/>
          <w:kern w:val="0"/>
          <w:sz w:val="24"/>
        </w:rPr>
        <w:t>3、投标文件的形式</w:t>
      </w:r>
    </w:p>
    <w:p w14:paraId="3957B391">
      <w:pPr>
        <w:spacing w:line="360" w:lineRule="auto"/>
        <w:ind w:firstLine="422" w:firstLineChars="176"/>
        <w:rPr>
          <w:rFonts w:ascii="宋体" w:hAnsi="宋体" w:cs="Arial"/>
          <w:bCs/>
          <w:color w:val="auto"/>
          <w:sz w:val="24"/>
        </w:rPr>
      </w:pPr>
      <w:r>
        <w:rPr>
          <w:rFonts w:hint="eastAsia" w:ascii="宋体" w:hAnsi="宋体" w:cs="Arial"/>
          <w:bCs/>
          <w:color w:val="auto"/>
          <w:sz w:val="24"/>
        </w:rPr>
        <w:t>（1）投标文件的形式：</w:t>
      </w:r>
      <w:r>
        <w:rPr>
          <w:rFonts w:hint="eastAsia" w:ascii="宋体" w:hAnsi="宋体"/>
          <w:bCs/>
          <w:color w:val="auto"/>
          <w:sz w:val="24"/>
        </w:rPr>
        <w:t>见《前附表》；</w:t>
      </w:r>
    </w:p>
    <w:p w14:paraId="7CF8B2A9">
      <w:pPr>
        <w:spacing w:line="360" w:lineRule="auto"/>
        <w:ind w:firstLine="422" w:firstLineChars="176"/>
        <w:rPr>
          <w:rFonts w:ascii="宋体" w:hAnsi="宋体" w:cs="Arial"/>
          <w:bCs/>
          <w:color w:val="auto"/>
          <w:sz w:val="24"/>
        </w:rPr>
      </w:pPr>
      <w:r>
        <w:rPr>
          <w:rFonts w:hint="eastAsia" w:ascii="宋体" w:hAnsi="宋体" w:cs="Arial"/>
          <w:bCs/>
          <w:color w:val="auto"/>
          <w:sz w:val="24"/>
        </w:rPr>
        <w:t>（2）“电子加密投标文件”：“电子加密投标文件”是指通过“政采云电子交易客户端”完成投标文件编制后生成并加密的数据电文形式的投标文件。</w:t>
      </w:r>
    </w:p>
    <w:p w14:paraId="6551F149">
      <w:pPr>
        <w:autoSpaceDE w:val="0"/>
        <w:autoSpaceDN w:val="0"/>
        <w:adjustRightInd w:val="0"/>
        <w:spacing w:line="360" w:lineRule="auto"/>
        <w:ind w:firstLine="480"/>
        <w:rPr>
          <w:rFonts w:ascii="宋体" w:hAnsi="宋体" w:cs="Arial"/>
          <w:bCs/>
          <w:color w:val="auto"/>
          <w:sz w:val="24"/>
        </w:rPr>
      </w:pPr>
      <w:r>
        <w:rPr>
          <w:rFonts w:hint="eastAsia" w:ascii="宋体" w:hAnsi="宋体" w:cs="Arial"/>
          <w:bCs/>
          <w:color w:val="auto"/>
          <w:sz w:val="24"/>
        </w:rPr>
        <w:t>（3）“备份投标文件”：“备份投标文件”是指与“电子加密投标文件”同时生成的数据电文形式的电子文件（备份标书），其他方式编制的“备份投标文件”视为无效的“备份投标文件”。</w:t>
      </w:r>
    </w:p>
    <w:p w14:paraId="1569AFD3">
      <w:pPr>
        <w:autoSpaceDE w:val="0"/>
        <w:autoSpaceDN w:val="0"/>
        <w:adjustRightInd w:val="0"/>
        <w:spacing w:line="360" w:lineRule="auto"/>
        <w:ind w:firstLine="480"/>
        <w:rPr>
          <w:rFonts w:ascii="宋体" w:hAnsi="宋体"/>
          <w:b/>
          <w:color w:val="auto"/>
          <w:kern w:val="0"/>
          <w:sz w:val="24"/>
        </w:rPr>
      </w:pPr>
      <w:r>
        <w:rPr>
          <w:rFonts w:hint="eastAsia" w:ascii="宋体" w:hAnsi="宋体"/>
          <w:b/>
          <w:color w:val="auto"/>
          <w:kern w:val="0"/>
          <w:sz w:val="24"/>
        </w:rPr>
        <w:t>4、投标文件的份数</w:t>
      </w:r>
    </w:p>
    <w:p w14:paraId="524E2D9D">
      <w:pPr>
        <w:autoSpaceDE w:val="0"/>
        <w:autoSpaceDN w:val="0"/>
        <w:adjustRightInd w:val="0"/>
        <w:spacing w:line="360" w:lineRule="auto"/>
        <w:ind w:firstLine="480"/>
        <w:rPr>
          <w:rFonts w:ascii="宋体" w:hAnsi="宋体"/>
          <w:bCs/>
          <w:color w:val="auto"/>
          <w:kern w:val="0"/>
          <w:sz w:val="24"/>
        </w:rPr>
      </w:pPr>
      <w:r>
        <w:rPr>
          <w:rFonts w:hint="eastAsia" w:ascii="宋体" w:hAnsi="宋体"/>
          <w:bCs/>
          <w:color w:val="auto"/>
          <w:kern w:val="0"/>
          <w:sz w:val="24"/>
        </w:rPr>
        <w:t>（1）投标文件的份数：见《前附表》。</w:t>
      </w:r>
    </w:p>
    <w:p w14:paraId="7ACFC3DD">
      <w:pPr>
        <w:tabs>
          <w:tab w:val="left" w:pos="1898"/>
        </w:tabs>
        <w:autoSpaceDE w:val="0"/>
        <w:autoSpaceDN w:val="0"/>
        <w:adjustRightInd w:val="0"/>
        <w:spacing w:line="360" w:lineRule="auto"/>
        <w:ind w:firstLine="482" w:firstLineChars="200"/>
        <w:rPr>
          <w:rFonts w:ascii="宋体" w:hAnsi="宋体"/>
          <w:b/>
          <w:color w:val="auto"/>
          <w:kern w:val="0"/>
          <w:sz w:val="24"/>
        </w:rPr>
      </w:pPr>
      <w:r>
        <w:rPr>
          <w:rFonts w:ascii="宋体" w:hAnsi="宋体"/>
          <w:b/>
          <w:color w:val="auto"/>
          <w:kern w:val="0"/>
          <w:sz w:val="24"/>
        </w:rPr>
        <w:t>5</w:t>
      </w:r>
      <w:r>
        <w:rPr>
          <w:rFonts w:hint="eastAsia" w:ascii="宋体" w:hAnsi="宋体"/>
          <w:b/>
          <w:color w:val="auto"/>
          <w:kern w:val="0"/>
          <w:sz w:val="24"/>
        </w:rPr>
        <w:t>、磋商响应文件的补充、修改和撤回。</w:t>
      </w:r>
    </w:p>
    <w:p w14:paraId="2386BA3A">
      <w:pPr>
        <w:tabs>
          <w:tab w:val="left" w:pos="960"/>
          <w:tab w:val="left" w:pos="1418"/>
        </w:tabs>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63EA0EF">
      <w:pPr>
        <w:numPr>
          <w:ilvl w:val="0"/>
          <w:numId w:val="3"/>
        </w:numPr>
        <w:tabs>
          <w:tab w:val="left" w:pos="1418"/>
        </w:tabs>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投标截止时间后，投标供应商不得撤回、修改《投标文件》。</w:t>
      </w:r>
    </w:p>
    <w:p w14:paraId="4DEBD357">
      <w:pPr>
        <w:tabs>
          <w:tab w:val="left" w:pos="1418"/>
        </w:tabs>
        <w:autoSpaceDE w:val="0"/>
        <w:autoSpaceDN w:val="0"/>
        <w:adjustRightInd w:val="0"/>
        <w:spacing w:line="360" w:lineRule="auto"/>
        <w:ind w:left="480"/>
        <w:rPr>
          <w:rFonts w:ascii="宋体" w:hAnsi="宋体"/>
          <w:color w:val="auto"/>
          <w:kern w:val="0"/>
          <w:sz w:val="24"/>
        </w:rPr>
      </w:pPr>
      <w:r>
        <w:rPr>
          <w:rFonts w:hint="eastAsia" w:ascii="宋体" w:hAnsi="宋体"/>
          <w:b/>
          <w:color w:val="auto"/>
          <w:kern w:val="0"/>
          <w:sz w:val="24"/>
        </w:rPr>
        <w:t>（三）磋商响应文件的有效期</w:t>
      </w:r>
    </w:p>
    <w:p w14:paraId="75545610">
      <w:pPr>
        <w:pStyle w:val="11"/>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auto"/>
          <w:szCs w:val="24"/>
          <w:lang w:val="en-GB"/>
        </w:rPr>
      </w:pPr>
      <w:r>
        <w:rPr>
          <w:rFonts w:hint="eastAsia" w:ascii="宋体" w:hAnsi="宋体"/>
          <w:color w:val="auto"/>
          <w:szCs w:val="24"/>
        </w:rPr>
        <w:t>1、</w:t>
      </w:r>
      <w:r>
        <w:rPr>
          <w:rFonts w:hint="eastAsia" w:ascii="宋体" w:hAnsi="宋体"/>
          <w:color w:val="auto"/>
          <w:szCs w:val="24"/>
          <w:lang w:val="en-GB"/>
        </w:rPr>
        <w:t>自磋商响应截止日起90天磋商响应文件应保持有效。有效期不足的磋商响应文件将被拒绝。</w:t>
      </w:r>
    </w:p>
    <w:p w14:paraId="391E6CB3">
      <w:pPr>
        <w:pStyle w:val="11"/>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auto"/>
          <w:szCs w:val="24"/>
        </w:rPr>
      </w:pPr>
      <w:r>
        <w:rPr>
          <w:rFonts w:hint="eastAsia" w:ascii="宋体" w:hAnsi="宋体"/>
          <w:color w:val="auto"/>
          <w:szCs w:val="24"/>
        </w:rPr>
        <w:t>2、在特殊情况下，采购人可与磋商供应商协商延长磋商响应文件的有效期，这种要求和答复均以书面形式进行。</w:t>
      </w:r>
    </w:p>
    <w:p w14:paraId="516CE9B1">
      <w:pPr>
        <w:pStyle w:val="11"/>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color w:val="auto"/>
          <w:szCs w:val="24"/>
        </w:rPr>
      </w:pPr>
      <w:r>
        <w:rPr>
          <w:rFonts w:hint="eastAsia" w:ascii="宋体" w:hAnsi="宋体"/>
          <w:color w:val="auto"/>
          <w:szCs w:val="24"/>
        </w:rPr>
        <w:t>3、磋商供应商可拒绝接受延期要求。同意延长有效期的磋商供应商不能修改磋商响应文件。</w:t>
      </w:r>
      <w:r>
        <w:rPr>
          <w:rFonts w:ascii="宋体" w:hAnsi="宋体"/>
          <w:color w:val="auto"/>
          <w:szCs w:val="24"/>
        </w:rPr>
        <w:t xml:space="preserve"> </w:t>
      </w:r>
    </w:p>
    <w:p w14:paraId="111E6EEF">
      <w:pPr>
        <w:snapToGrid w:val="0"/>
        <w:spacing w:line="360" w:lineRule="auto"/>
        <w:ind w:firstLine="480" w:firstLineChars="200"/>
        <w:jc w:val="left"/>
        <w:outlineLvl w:val="0"/>
        <w:rPr>
          <w:rFonts w:ascii="宋体" w:hAnsi="宋体"/>
          <w:color w:val="auto"/>
          <w:kern w:val="0"/>
          <w:sz w:val="24"/>
        </w:rPr>
      </w:pPr>
      <w:r>
        <w:rPr>
          <w:rFonts w:ascii="宋体" w:hAnsi="宋体"/>
          <w:color w:val="auto"/>
          <w:kern w:val="0"/>
          <w:sz w:val="24"/>
        </w:rPr>
        <w:t>4</w:t>
      </w:r>
      <w:r>
        <w:rPr>
          <w:rFonts w:hint="eastAsia" w:ascii="宋体" w:hAnsi="宋体"/>
          <w:color w:val="auto"/>
          <w:kern w:val="0"/>
          <w:sz w:val="24"/>
        </w:rPr>
        <w:t>.成交供应商</w:t>
      </w:r>
      <w:r>
        <w:rPr>
          <w:rFonts w:ascii="宋体" w:hAnsi="宋体"/>
          <w:color w:val="auto"/>
          <w:kern w:val="0"/>
          <w:sz w:val="24"/>
        </w:rPr>
        <w:t>的</w:t>
      </w:r>
      <w:r>
        <w:rPr>
          <w:rFonts w:hint="eastAsia" w:ascii="宋体" w:hAnsi="宋体"/>
          <w:color w:val="auto"/>
          <w:sz w:val="24"/>
        </w:rPr>
        <w:t>磋商响应文件</w:t>
      </w:r>
      <w:r>
        <w:rPr>
          <w:rFonts w:ascii="宋体" w:hAnsi="宋体"/>
          <w:color w:val="auto"/>
          <w:kern w:val="0"/>
          <w:sz w:val="24"/>
        </w:rPr>
        <w:t>自磋商之日起至合同履行完毕均应保持有效。</w:t>
      </w:r>
    </w:p>
    <w:p w14:paraId="5F63DFDE">
      <w:pPr>
        <w:snapToGrid w:val="0"/>
        <w:spacing w:line="360" w:lineRule="auto"/>
        <w:ind w:firstLine="482" w:firstLineChars="200"/>
        <w:jc w:val="left"/>
        <w:outlineLvl w:val="0"/>
        <w:rPr>
          <w:rFonts w:ascii="宋体" w:hAnsi="宋体"/>
          <w:b/>
          <w:color w:val="auto"/>
          <w:kern w:val="0"/>
          <w:sz w:val="24"/>
        </w:rPr>
      </w:pPr>
      <w:r>
        <w:rPr>
          <w:rFonts w:hint="eastAsia" w:ascii="宋体" w:hAnsi="宋体"/>
          <w:b/>
          <w:color w:val="auto"/>
          <w:kern w:val="0"/>
          <w:sz w:val="24"/>
        </w:rPr>
        <w:t>（四）投标文件的备选方案</w:t>
      </w:r>
    </w:p>
    <w:p w14:paraId="3C29646C">
      <w:pPr>
        <w:snapToGrid w:val="0"/>
        <w:spacing w:line="360" w:lineRule="auto"/>
        <w:ind w:firstLine="480" w:firstLineChars="200"/>
        <w:jc w:val="left"/>
        <w:outlineLvl w:val="0"/>
        <w:rPr>
          <w:rFonts w:ascii="宋体" w:hAnsi="宋体"/>
          <w:color w:val="auto"/>
          <w:kern w:val="0"/>
          <w:sz w:val="24"/>
        </w:rPr>
      </w:pPr>
      <w:r>
        <w:rPr>
          <w:rFonts w:hint="eastAsia" w:ascii="宋体" w:hAnsi="宋体"/>
          <w:color w:val="auto"/>
          <w:kern w:val="0"/>
          <w:sz w:val="24"/>
        </w:rPr>
        <w:t>1、投标供应商不得递交任何的投标备选（替代）方案，否则其投标文件将作无效标处理。</w:t>
      </w:r>
      <w:r>
        <w:rPr>
          <w:rFonts w:hint="eastAsia" w:ascii="宋体" w:hAnsi="宋体"/>
          <w:b/>
          <w:bCs/>
          <w:color w:val="auto"/>
          <w:kern w:val="0"/>
          <w:sz w:val="24"/>
        </w:rPr>
        <w:t>与“电子加密投标文件”同时生成的“备份投标文件”不是投标备选（替代）方案。</w:t>
      </w:r>
    </w:p>
    <w:p w14:paraId="1AFCAA13">
      <w:pPr>
        <w:tabs>
          <w:tab w:val="left" w:pos="1418"/>
        </w:tabs>
        <w:autoSpaceDE w:val="0"/>
        <w:autoSpaceDN w:val="0"/>
        <w:adjustRightInd w:val="0"/>
        <w:spacing w:line="360" w:lineRule="auto"/>
        <w:ind w:firstLine="482" w:firstLineChars="200"/>
        <w:rPr>
          <w:rFonts w:ascii="宋体" w:hAnsi="宋体"/>
          <w:b/>
          <w:color w:val="auto"/>
          <w:kern w:val="0"/>
          <w:sz w:val="24"/>
        </w:rPr>
      </w:pPr>
      <w:r>
        <w:rPr>
          <w:rFonts w:hint="eastAsia" w:ascii="宋体" w:hAnsi="宋体"/>
          <w:b/>
          <w:color w:val="auto"/>
          <w:kern w:val="0"/>
          <w:sz w:val="24"/>
        </w:rPr>
        <w:t>三、磋商保证金</w:t>
      </w:r>
    </w:p>
    <w:p w14:paraId="4CDF5339">
      <w:pPr>
        <w:snapToGrid w:val="0"/>
        <w:spacing w:line="360" w:lineRule="auto"/>
        <w:ind w:firstLine="470" w:firstLineChars="196"/>
        <w:rPr>
          <w:rFonts w:ascii="宋体" w:hAnsi="宋体"/>
          <w:bCs/>
          <w:color w:val="auto"/>
          <w:sz w:val="24"/>
        </w:rPr>
      </w:pPr>
      <w:r>
        <w:rPr>
          <w:rFonts w:hint="eastAsia" w:ascii="宋体" w:hAnsi="宋体"/>
          <w:color w:val="auto"/>
          <w:kern w:val="0"/>
          <w:sz w:val="24"/>
        </w:rPr>
        <w:t>无</w:t>
      </w:r>
    </w:p>
    <w:p w14:paraId="247FFFA1">
      <w:pPr>
        <w:tabs>
          <w:tab w:val="left" w:pos="1418"/>
        </w:tabs>
        <w:autoSpaceDE w:val="0"/>
        <w:autoSpaceDN w:val="0"/>
        <w:adjustRightInd w:val="0"/>
        <w:spacing w:line="360" w:lineRule="auto"/>
        <w:ind w:firstLine="364" w:firstLineChars="151"/>
        <w:rPr>
          <w:rFonts w:ascii="宋体" w:hAnsi="宋体" w:cs="楷体_GB2312"/>
          <w:b/>
          <w:color w:val="auto"/>
          <w:kern w:val="0"/>
          <w:sz w:val="24"/>
        </w:rPr>
      </w:pPr>
      <w:r>
        <w:rPr>
          <w:rFonts w:hint="eastAsia" w:ascii="宋体" w:hAnsi="宋体" w:cs="楷体_GB2312"/>
          <w:b/>
          <w:color w:val="auto"/>
          <w:kern w:val="0"/>
          <w:sz w:val="24"/>
        </w:rPr>
        <w:t>四、磋商</w:t>
      </w:r>
    </w:p>
    <w:p w14:paraId="09973941">
      <w:pPr>
        <w:autoSpaceDE w:val="0"/>
        <w:autoSpaceDN w:val="0"/>
        <w:adjustRightInd w:val="0"/>
        <w:spacing w:line="360" w:lineRule="auto"/>
        <w:rPr>
          <w:rFonts w:ascii="宋体" w:hAnsi="宋体"/>
          <w:color w:val="auto"/>
          <w:kern w:val="0"/>
          <w:sz w:val="24"/>
        </w:rPr>
      </w:pPr>
      <w:r>
        <w:rPr>
          <w:rFonts w:hint="eastAsia" w:ascii="宋体" w:hAnsi="宋体"/>
          <w:color w:val="auto"/>
          <w:kern w:val="0"/>
          <w:sz w:val="24"/>
        </w:rPr>
        <w:t xml:space="preserve">   </w:t>
      </w:r>
      <w:r>
        <w:rPr>
          <w:rFonts w:hint="eastAsia" w:ascii="宋体" w:hAnsi="宋体"/>
          <w:b/>
          <w:color w:val="auto"/>
          <w:sz w:val="24"/>
        </w:rPr>
        <w:t>（一）磋商说明</w:t>
      </w:r>
    </w:p>
    <w:p w14:paraId="3467CED7">
      <w:pPr>
        <w:autoSpaceDE w:val="0"/>
        <w:autoSpaceDN w:val="0"/>
        <w:adjustRightInd w:val="0"/>
        <w:spacing w:line="360" w:lineRule="auto"/>
        <w:ind w:firstLine="475" w:firstLineChars="198"/>
        <w:rPr>
          <w:rFonts w:ascii="宋体" w:hAnsi="宋体"/>
          <w:color w:val="auto"/>
          <w:sz w:val="24"/>
        </w:rPr>
      </w:pPr>
      <w:r>
        <w:rPr>
          <w:rFonts w:hint="eastAsia" w:ascii="宋体" w:hAnsi="宋体"/>
          <w:color w:val="auto"/>
          <w:sz w:val="24"/>
        </w:rPr>
        <w:t>采购组织机构将按照招标文件规定的时间通过“政府采购云平台”组织开标、开启投标文件，所有供应商均应当准时在线参加。并且磋商代表应在截止时间前到达指定的磋商地点。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1B8BECD">
      <w:pPr>
        <w:autoSpaceDE w:val="0"/>
        <w:autoSpaceDN w:val="0"/>
        <w:adjustRightInd w:val="0"/>
        <w:spacing w:line="360" w:lineRule="auto"/>
        <w:ind w:firstLine="477" w:firstLineChars="198"/>
        <w:rPr>
          <w:rFonts w:ascii="宋体" w:hAnsi="宋体"/>
          <w:b/>
          <w:bCs/>
          <w:color w:val="auto"/>
          <w:sz w:val="24"/>
        </w:rPr>
      </w:pPr>
      <w:r>
        <w:rPr>
          <w:rFonts w:hint="eastAsia" w:ascii="宋体" w:hAnsi="宋体"/>
          <w:b/>
          <w:bCs/>
          <w:color w:val="auto"/>
          <w:sz w:val="24"/>
        </w:rPr>
        <w:t>（二）磋商流程</w:t>
      </w:r>
    </w:p>
    <w:p w14:paraId="0F4B36C7">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1</w:t>
      </w:r>
      <w:r>
        <w:rPr>
          <w:rFonts w:hint="eastAsia" w:ascii="宋体" w:hAnsi="宋体" w:cs="Arial"/>
          <w:color w:val="auto"/>
          <w:kern w:val="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7E62DC0">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2</w:t>
      </w:r>
      <w:r>
        <w:rPr>
          <w:rFonts w:hint="eastAsia" w:ascii="宋体" w:hAnsi="宋体" w:cs="Arial"/>
          <w:color w:val="auto"/>
          <w:kern w:val="0"/>
          <w:sz w:val="24"/>
        </w:rPr>
        <w:t>）投标文件解密结束，通过邮件形式发送各投标人组织签署《政府采购活动现场确认声明书》；</w:t>
      </w:r>
    </w:p>
    <w:p w14:paraId="45562C72">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3</w:t>
      </w:r>
      <w:r>
        <w:rPr>
          <w:rFonts w:hint="eastAsia" w:ascii="宋体" w:hAnsi="宋体" w:cs="Arial"/>
          <w:color w:val="auto"/>
          <w:kern w:val="0"/>
          <w:sz w:val="24"/>
        </w:rPr>
        <w:t>）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76EB2BC6">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4</w:t>
      </w:r>
      <w:r>
        <w:rPr>
          <w:rFonts w:hint="eastAsia" w:ascii="宋体" w:hAnsi="宋体" w:cs="Arial"/>
          <w:color w:val="auto"/>
          <w:kern w:val="0"/>
          <w:sz w:val="24"/>
        </w:rPr>
        <w:t>）资格审查通过的投标供应商的进入商务与技术的符合性审查、评审；</w:t>
      </w:r>
    </w:p>
    <w:p w14:paraId="7CB673EA">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（5）公布资格审查、符合性审查、商务技术文件评审无效供应商名称及理由；公布有效磋商供应商的名单。</w:t>
      </w:r>
    </w:p>
    <w:p w14:paraId="4C9E4CDC">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6</w:t>
      </w:r>
      <w:r>
        <w:rPr>
          <w:rFonts w:hint="eastAsia" w:ascii="宋体" w:hAnsi="宋体" w:cs="Arial"/>
          <w:color w:val="auto"/>
          <w:kern w:val="0"/>
          <w:sz w:val="24"/>
        </w:rPr>
        <w:t>）磋商小组所有成员集中与单一供应商分别进行磋商，并给予所有参加磋商的供应商平等的磋商机会。</w:t>
      </w:r>
    </w:p>
    <w:p w14:paraId="6585B066">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7</w:t>
      </w:r>
      <w:r>
        <w:rPr>
          <w:rFonts w:hint="eastAsia" w:ascii="宋体" w:hAnsi="宋体" w:cs="Arial"/>
          <w:color w:val="auto"/>
          <w:kern w:val="0"/>
          <w:sz w:val="24"/>
        </w:rPr>
        <w:t xml:space="preserve">）磋商文件能够详细列明采购标的的技术、服务要求的，磋商结束后，磋商小组将要求所有实质性响应的供应商在规定时间内在“政采云平台”上提交最后报价，最后报价是供应商响应文件的有效组成部分。 </w:t>
      </w:r>
    </w:p>
    <w:p w14:paraId="4F64B1A7">
      <w:pPr>
        <w:spacing w:line="360" w:lineRule="auto"/>
        <w:ind w:firstLine="426" w:firstLineChars="177"/>
        <w:jc w:val="left"/>
        <w:rPr>
          <w:rFonts w:ascii="宋体" w:hAnsi="宋体" w:cs="Arial"/>
          <w:b/>
          <w:bCs/>
          <w:color w:val="auto"/>
          <w:kern w:val="0"/>
          <w:sz w:val="24"/>
        </w:rPr>
      </w:pPr>
      <w:r>
        <w:rPr>
          <w:rFonts w:hint="eastAsia" w:ascii="宋体" w:hAnsi="宋体" w:cs="Arial"/>
          <w:b/>
          <w:bCs/>
          <w:color w:val="auto"/>
          <w:kern w:val="0"/>
          <w:sz w:val="24"/>
        </w:rPr>
        <w:t>若在规定报价时间内，供应商因CA锁等原因无法完成最终报价的，供应商可将最终报价扫描件通过邮件形式发送至代理机构处，由代理机构按照异常处理录入最终报价（该操作不是代理机构义务），若无法按照异常处理录入的，则该供应商最终报价无效，由此引起的后果由供应商自行承担。</w:t>
      </w:r>
    </w:p>
    <w:p w14:paraId="22E5C0F2">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8</w:t>
      </w:r>
      <w:r>
        <w:rPr>
          <w:rFonts w:hint="eastAsia" w:ascii="宋体" w:hAnsi="宋体" w:cs="Arial"/>
          <w:color w:val="auto"/>
          <w:kern w:val="0"/>
          <w:sz w:val="24"/>
        </w:rPr>
        <w:t>）经磋商确定最终采购需求和提交最后报价的供应商后，由磋商小组采用综合评分法对提交最后报价的供应商的响应文件和最后报价进行综合评分。</w:t>
      </w:r>
    </w:p>
    <w:p w14:paraId="359C775C">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9</w:t>
      </w:r>
      <w:r>
        <w:rPr>
          <w:rFonts w:hint="eastAsia" w:ascii="宋体" w:hAnsi="宋体" w:cs="Arial"/>
          <w:color w:val="auto"/>
          <w:kern w:val="0"/>
          <w:sz w:val="24"/>
        </w:rPr>
        <w:t>）磋商小组根据综合评分情况，按照评审得分由高到低顺序确定预成交供应商，编写评审报告。</w:t>
      </w:r>
    </w:p>
    <w:p w14:paraId="76EE60CD">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（1</w:t>
      </w:r>
      <w:r>
        <w:rPr>
          <w:rFonts w:ascii="宋体" w:hAnsi="宋体" w:cs="Arial"/>
          <w:color w:val="auto"/>
          <w:kern w:val="0"/>
          <w:sz w:val="24"/>
        </w:rPr>
        <w:t>0</w:t>
      </w:r>
      <w:r>
        <w:rPr>
          <w:rFonts w:hint="eastAsia" w:ascii="宋体" w:hAnsi="宋体" w:cs="Arial"/>
          <w:color w:val="auto"/>
          <w:kern w:val="0"/>
          <w:sz w:val="24"/>
        </w:rPr>
        <w:t>）评审结束后，公布中标（成交）候选供应商名单，或在政釆云平台上进行公布结果。</w:t>
      </w:r>
    </w:p>
    <w:p w14:paraId="6187D8B3">
      <w:pPr>
        <w:spacing w:line="360" w:lineRule="auto"/>
        <w:ind w:firstLine="426" w:firstLineChars="177"/>
        <w:jc w:val="left"/>
        <w:rPr>
          <w:rFonts w:ascii="宋体" w:hAnsi="宋体" w:cs="Arial"/>
          <w:b/>
          <w:color w:val="auto"/>
          <w:kern w:val="0"/>
          <w:sz w:val="24"/>
        </w:rPr>
      </w:pPr>
      <w:r>
        <w:rPr>
          <w:rFonts w:hint="eastAsia" w:ascii="宋体" w:hAnsi="宋体" w:cs="Arial"/>
          <w:b/>
          <w:color w:val="auto"/>
          <w:kern w:val="0"/>
          <w:sz w:val="24"/>
        </w:rPr>
        <w:t>特别说明：1、如遇“政府采购云平台”电子化开标或评审程序调整的，按调整后程序执行。</w:t>
      </w:r>
    </w:p>
    <w:p w14:paraId="073D979E">
      <w:pPr>
        <w:spacing w:line="360" w:lineRule="auto"/>
        <w:ind w:firstLine="480" w:firstLineChars="200"/>
        <w:rPr>
          <w:rFonts w:ascii="宋体" w:hAnsi="宋体" w:cs="楷体_GB2312"/>
          <w:color w:val="auto"/>
          <w:sz w:val="24"/>
        </w:rPr>
      </w:pPr>
      <w:r>
        <w:rPr>
          <w:rFonts w:ascii="宋体" w:hAnsi="宋体" w:cs="楷体_GB2312"/>
          <w:color w:val="auto"/>
          <w:sz w:val="24"/>
        </w:rPr>
        <w:t>2</w:t>
      </w:r>
      <w:r>
        <w:rPr>
          <w:rFonts w:hint="eastAsia" w:ascii="宋体" w:hAnsi="宋体" w:cs="楷体_GB2312"/>
          <w:color w:val="auto"/>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00E198CF">
      <w:pPr>
        <w:pStyle w:val="6"/>
        <w:snapToGrid w:val="0"/>
        <w:spacing w:line="360" w:lineRule="auto"/>
        <w:ind w:left="720" w:leftChars="228" w:hanging="241" w:hangingChars="100"/>
        <w:rPr>
          <w:rFonts w:ascii="宋体" w:hAnsi="宋体" w:eastAsia="宋体"/>
          <w:color w:val="auto"/>
          <w:sz w:val="24"/>
        </w:rPr>
      </w:pPr>
      <w:r>
        <w:rPr>
          <w:rFonts w:hint="eastAsia" w:ascii="宋体" w:hAnsi="宋体" w:eastAsia="宋体"/>
          <w:b/>
          <w:color w:val="auto"/>
          <w:sz w:val="24"/>
        </w:rPr>
        <w:t>（三）澄清问题的形式</w:t>
      </w:r>
    </w:p>
    <w:p w14:paraId="6B27327A">
      <w:pPr>
        <w:snapToGrid w:val="0"/>
        <w:spacing w:line="360" w:lineRule="auto"/>
        <w:ind w:firstLine="480" w:firstLineChars="200"/>
        <w:rPr>
          <w:rFonts w:ascii="宋体" w:hAnsi="宋体"/>
          <w:color w:val="auto"/>
          <w:sz w:val="24"/>
        </w:rPr>
      </w:pPr>
      <w:r>
        <w:rPr>
          <w:rFonts w:hint="eastAsia" w:ascii="宋体" w:hAnsi="宋体"/>
          <w:color w:val="auto"/>
          <w:sz w:val="24"/>
        </w:rPr>
        <w:t>磋商供应商的澄清、说明或者补正应当采用书面形式，并加盖公章，或者由法定代理人或其授权的代表签字，并不得超出磋商响应文件的范围或者改变磋商响应文件的实质性内容。</w:t>
      </w:r>
    </w:p>
    <w:p w14:paraId="36A3D929">
      <w:pPr>
        <w:snapToGrid w:val="0"/>
        <w:spacing w:line="360" w:lineRule="auto"/>
        <w:ind w:firstLine="482" w:firstLineChars="200"/>
        <w:rPr>
          <w:rFonts w:ascii="宋体" w:hAnsi="宋体"/>
          <w:color w:val="auto"/>
          <w:sz w:val="24"/>
        </w:rPr>
      </w:pPr>
      <w:r>
        <w:rPr>
          <w:rFonts w:hint="eastAsia" w:ascii="宋体" w:hAnsi="宋体"/>
          <w:b/>
          <w:color w:val="auto"/>
          <w:sz w:val="24"/>
        </w:rPr>
        <w:t>（四）错误修正</w:t>
      </w:r>
    </w:p>
    <w:p w14:paraId="03933285">
      <w:pPr>
        <w:pStyle w:val="24"/>
        <w:spacing w:before="0" w:beforeAutospacing="0" w:after="0" w:afterAutospacing="0" w:line="360" w:lineRule="auto"/>
        <w:ind w:firstLine="480" w:firstLineChars="200"/>
        <w:jc w:val="both"/>
        <w:rPr>
          <w:rFonts w:hint="default" w:ascii="宋体" w:hAnsi="宋体"/>
          <w:color w:val="auto"/>
        </w:rPr>
      </w:pPr>
      <w:r>
        <w:rPr>
          <w:rFonts w:ascii="宋体" w:hAnsi="宋体"/>
          <w:color w:val="auto"/>
        </w:rPr>
        <w:t>磋商响应文件报价出现前后不一致的，除</w:t>
      </w:r>
      <w:r>
        <w:rPr>
          <w:rFonts w:ascii="宋体" w:hAnsi="宋体"/>
          <w:bCs/>
          <w:color w:val="auto"/>
        </w:rPr>
        <w:t>磋商采购文件</w:t>
      </w:r>
      <w:r>
        <w:rPr>
          <w:rFonts w:ascii="宋体" w:hAnsi="宋体"/>
          <w:color w:val="auto"/>
        </w:rPr>
        <w:t>另有规定外，按照下列规定修正：</w:t>
      </w:r>
    </w:p>
    <w:p w14:paraId="1538917C">
      <w:pPr>
        <w:pStyle w:val="24"/>
        <w:spacing w:before="0" w:beforeAutospacing="0" w:after="0" w:afterAutospacing="0" w:line="360" w:lineRule="auto"/>
        <w:jc w:val="both"/>
        <w:rPr>
          <w:rFonts w:hint="default" w:ascii="宋体" w:hAnsi="宋体"/>
          <w:color w:val="auto"/>
        </w:rPr>
      </w:pPr>
      <w:r>
        <w:rPr>
          <w:rFonts w:ascii="宋体" w:hAnsi="宋体"/>
          <w:color w:val="auto"/>
        </w:rPr>
        <w:t>　　1、磋商响应文件中首次报价一览表内容与磋商响应文件中相应内容不一致的，以首次报价一览表为准；</w:t>
      </w:r>
    </w:p>
    <w:p w14:paraId="10F50A19">
      <w:pPr>
        <w:pStyle w:val="24"/>
        <w:spacing w:before="0" w:beforeAutospacing="0" w:after="0" w:afterAutospacing="0" w:line="360" w:lineRule="auto"/>
        <w:jc w:val="both"/>
        <w:rPr>
          <w:rFonts w:hint="default" w:ascii="宋体" w:hAnsi="宋体"/>
          <w:color w:val="auto"/>
        </w:rPr>
      </w:pPr>
      <w:r>
        <w:rPr>
          <w:rFonts w:ascii="宋体" w:hAnsi="宋体"/>
          <w:color w:val="auto"/>
        </w:rPr>
        <w:t>　　2、大写金额和小写金额不一致的，以大写金额为准；</w:t>
      </w:r>
    </w:p>
    <w:p w14:paraId="0373E3AF">
      <w:pPr>
        <w:pStyle w:val="24"/>
        <w:spacing w:before="0" w:beforeAutospacing="0" w:after="0" w:afterAutospacing="0" w:line="360" w:lineRule="auto"/>
        <w:jc w:val="both"/>
        <w:rPr>
          <w:rFonts w:hint="default" w:ascii="宋体" w:hAnsi="宋体"/>
          <w:color w:val="auto"/>
        </w:rPr>
      </w:pPr>
      <w:r>
        <w:rPr>
          <w:rFonts w:ascii="宋体" w:hAnsi="宋体"/>
          <w:color w:val="auto"/>
        </w:rPr>
        <w:t>　　3、单价金额小数点或者百分比有明显错位的，以首次报价一览表的总价为准，并修改单价；</w:t>
      </w:r>
    </w:p>
    <w:p w14:paraId="3A74DBE2">
      <w:pPr>
        <w:pStyle w:val="24"/>
        <w:spacing w:before="0" w:beforeAutospacing="0" w:after="0" w:afterAutospacing="0" w:line="360" w:lineRule="auto"/>
        <w:ind w:firstLine="480"/>
        <w:jc w:val="both"/>
        <w:rPr>
          <w:rFonts w:hint="default" w:ascii="宋体" w:hAnsi="宋体"/>
          <w:color w:val="auto"/>
        </w:rPr>
      </w:pPr>
      <w:r>
        <w:rPr>
          <w:rFonts w:ascii="宋体" w:hAnsi="宋体"/>
          <w:color w:val="auto"/>
        </w:rPr>
        <w:t>4、总价金额与按单价汇总金额不一致的，以单价金额计算结果为准。</w:t>
      </w:r>
    </w:p>
    <w:p w14:paraId="7432A7B1">
      <w:pPr>
        <w:pStyle w:val="24"/>
        <w:spacing w:before="0" w:beforeAutospacing="0" w:after="0" w:afterAutospacing="0" w:line="360" w:lineRule="auto"/>
        <w:ind w:firstLine="480"/>
        <w:jc w:val="both"/>
        <w:rPr>
          <w:rFonts w:hint="default" w:ascii="宋体" w:hAnsi="宋体"/>
          <w:color w:val="auto"/>
        </w:rPr>
      </w:pPr>
      <w:r>
        <w:rPr>
          <w:rFonts w:ascii="宋体" w:hAnsi="宋体"/>
          <w:color w:val="auto"/>
        </w:rPr>
        <w:t>5、电子投标客户端的开标一览表中填报的报价与报价要求响应文件中的投标函报价不一致的，以投标函为准，修正网上报价。若网上报价无法修正的，以电子投标客户端的开标一览表中的为准，调整投标函报价与报价明细清单，以扫描件形式发送邮件至邮箱：zjwstz@163.com；</w:t>
      </w:r>
    </w:p>
    <w:p w14:paraId="7F2975A1">
      <w:pPr>
        <w:pStyle w:val="24"/>
        <w:spacing w:before="0" w:beforeAutospacing="0" w:after="0" w:afterAutospacing="0" w:line="360" w:lineRule="auto"/>
        <w:ind w:firstLine="480"/>
        <w:jc w:val="both"/>
        <w:rPr>
          <w:rFonts w:hint="default" w:ascii="宋体" w:hAnsi="宋体"/>
          <w:color w:val="auto"/>
        </w:rPr>
      </w:pPr>
      <w:r>
        <w:rPr>
          <w:rFonts w:ascii="宋体" w:hAnsi="宋体"/>
          <w:color w:val="auto"/>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的，将终止磋商。</w:t>
      </w:r>
    </w:p>
    <w:p w14:paraId="2588A5D4">
      <w:pPr>
        <w:pStyle w:val="24"/>
        <w:spacing w:before="0" w:beforeAutospacing="0" w:after="0" w:afterAutospacing="0" w:line="360" w:lineRule="auto"/>
        <w:ind w:firstLine="480"/>
        <w:rPr>
          <w:rFonts w:hint="default" w:ascii="宋体" w:hAnsi="宋体"/>
          <w:color w:val="auto"/>
        </w:rPr>
      </w:pPr>
      <w:r>
        <w:rPr>
          <w:rFonts w:ascii="宋体" w:hAnsi="宋体"/>
          <w:b/>
          <w:bCs/>
          <w:color w:val="auto"/>
        </w:rPr>
        <w:t>（五）</w:t>
      </w:r>
      <w:r>
        <w:rPr>
          <w:rFonts w:ascii="宋体" w:hAnsi="宋体"/>
          <w:b/>
          <w:color w:val="auto"/>
        </w:rPr>
        <w:t>磋商供应商存在下列情况之一的，响应无效，终止磋商</w:t>
      </w:r>
    </w:p>
    <w:p w14:paraId="710DB3F2">
      <w:pPr>
        <w:adjustRightInd w:val="0"/>
        <w:snapToGrid w:val="0"/>
        <w:spacing w:line="360" w:lineRule="auto"/>
        <w:ind w:firstLine="480" w:firstLineChars="200"/>
        <w:jc w:val="left"/>
        <w:rPr>
          <w:rFonts w:ascii="宋体" w:hAnsi="宋体"/>
          <w:color w:val="auto"/>
        </w:rPr>
      </w:pPr>
      <w:r>
        <w:rPr>
          <w:rFonts w:hint="eastAsia" w:ascii="宋体" w:hAnsi="宋体"/>
          <w:color w:val="auto"/>
          <w:kern w:val="0"/>
          <w:sz w:val="24"/>
        </w:rPr>
        <w:t>1、</w:t>
      </w:r>
      <w:r>
        <w:rPr>
          <w:rFonts w:ascii="宋体" w:hAnsi="宋体"/>
          <w:color w:val="auto"/>
        </w:rPr>
        <w:t>不具备磋商采购文件中规定的资格要求的。</w:t>
      </w:r>
    </w:p>
    <w:p w14:paraId="14ADF7F0">
      <w:pPr>
        <w:pStyle w:val="24"/>
        <w:adjustRightInd w:val="0"/>
        <w:snapToGrid w:val="0"/>
        <w:spacing w:before="0" w:beforeAutospacing="0" w:after="0" w:afterAutospacing="0" w:line="360" w:lineRule="auto"/>
        <w:ind w:firstLine="480" w:firstLineChars="200"/>
        <w:rPr>
          <w:rFonts w:hint="default" w:ascii="宋体" w:hAnsi="宋体"/>
          <w:color w:val="auto"/>
        </w:rPr>
      </w:pPr>
      <w:r>
        <w:rPr>
          <w:rFonts w:hint="default" w:ascii="宋体" w:hAnsi="宋体"/>
          <w:color w:val="auto"/>
        </w:rPr>
        <w:t>2</w:t>
      </w:r>
      <w:r>
        <w:rPr>
          <w:rFonts w:ascii="宋体" w:hAnsi="宋体"/>
          <w:color w:val="auto"/>
        </w:rPr>
        <w:t>、磋商响应文件含有采购人不能接受的附加条件的。</w:t>
      </w:r>
    </w:p>
    <w:p w14:paraId="6DAB3CA6">
      <w:pPr>
        <w:adjustRightInd w:val="0"/>
        <w:snapToGrid w:val="0"/>
        <w:spacing w:line="360" w:lineRule="auto"/>
        <w:ind w:firstLine="480" w:firstLineChars="200"/>
        <w:jc w:val="left"/>
        <w:rPr>
          <w:rFonts w:ascii="宋体" w:hAnsi="宋体"/>
          <w:bCs/>
          <w:color w:val="auto"/>
          <w:kern w:val="0"/>
          <w:sz w:val="24"/>
        </w:rPr>
      </w:pPr>
      <w:r>
        <w:rPr>
          <w:rFonts w:ascii="宋体" w:hAnsi="宋体"/>
          <w:color w:val="auto"/>
          <w:kern w:val="0"/>
          <w:sz w:val="24"/>
        </w:rPr>
        <w:t>3</w:t>
      </w:r>
      <w:r>
        <w:rPr>
          <w:rFonts w:hint="eastAsia" w:ascii="宋体" w:hAnsi="宋体"/>
          <w:color w:val="auto"/>
          <w:sz w:val="24"/>
        </w:rPr>
        <w:t>、供应商代表人未能出具身份证明或与法定代表人授权委托人身份不符的；</w:t>
      </w:r>
    </w:p>
    <w:p w14:paraId="4FA781BB">
      <w:pPr>
        <w:pStyle w:val="24"/>
        <w:adjustRightInd w:val="0"/>
        <w:snapToGrid w:val="0"/>
        <w:spacing w:before="0" w:beforeAutospacing="0" w:after="0" w:afterAutospacing="0" w:line="360" w:lineRule="auto"/>
        <w:ind w:firstLine="480" w:firstLineChars="200"/>
        <w:rPr>
          <w:rFonts w:hint="default" w:ascii="宋体" w:hAnsi="宋体"/>
          <w:color w:val="auto"/>
        </w:rPr>
      </w:pPr>
      <w:r>
        <w:rPr>
          <w:rFonts w:hint="default" w:ascii="宋体" w:hAnsi="宋体"/>
          <w:color w:val="auto"/>
        </w:rPr>
        <w:t>4</w:t>
      </w:r>
      <w:r>
        <w:rPr>
          <w:rFonts w:ascii="宋体" w:hAnsi="宋体"/>
          <w:color w:val="auto"/>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F967D4B">
      <w:pPr>
        <w:pStyle w:val="24"/>
        <w:adjustRightInd w:val="0"/>
        <w:snapToGrid w:val="0"/>
        <w:spacing w:before="0" w:beforeAutospacing="0" w:after="0" w:afterAutospacing="0" w:line="360" w:lineRule="auto"/>
        <w:ind w:firstLine="480" w:firstLineChars="200"/>
        <w:rPr>
          <w:rFonts w:hint="default" w:ascii="宋体" w:hAnsi="宋体"/>
          <w:color w:val="auto"/>
        </w:rPr>
      </w:pPr>
      <w:r>
        <w:rPr>
          <w:rFonts w:hint="default" w:ascii="宋体" w:hAnsi="宋体"/>
          <w:color w:val="auto"/>
        </w:rPr>
        <w:t>5</w:t>
      </w:r>
      <w:r>
        <w:rPr>
          <w:rFonts w:ascii="宋体" w:hAnsi="宋体"/>
          <w:color w:val="auto"/>
        </w:rPr>
        <w:t>、报价超过磋商采购文件中规定的预算金额/最高限价。</w:t>
      </w:r>
    </w:p>
    <w:p w14:paraId="0FB5D2BD">
      <w:pPr>
        <w:pStyle w:val="24"/>
        <w:adjustRightInd w:val="0"/>
        <w:snapToGrid w:val="0"/>
        <w:spacing w:before="0" w:beforeAutospacing="0" w:after="0" w:afterAutospacing="0" w:line="360" w:lineRule="auto"/>
        <w:ind w:firstLine="480" w:firstLineChars="200"/>
        <w:rPr>
          <w:rFonts w:hint="default" w:ascii="宋体" w:hAnsi="宋体"/>
          <w:color w:val="auto"/>
        </w:rPr>
      </w:pPr>
      <w:r>
        <w:rPr>
          <w:rFonts w:hint="default" w:ascii="宋体" w:hAnsi="宋体"/>
          <w:color w:val="auto"/>
        </w:rPr>
        <w:t>6</w:t>
      </w:r>
      <w:r>
        <w:rPr>
          <w:rFonts w:ascii="宋体" w:hAnsi="宋体"/>
          <w:color w:val="auto"/>
        </w:rPr>
        <w:t>、带“</w:t>
      </w:r>
      <w:r>
        <w:rPr>
          <w:rFonts w:ascii="宋体" w:hAnsi="宋体"/>
          <w:color w:val="auto"/>
          <w:szCs w:val="21"/>
        </w:rPr>
        <w:t>★</w:t>
      </w:r>
      <w:r>
        <w:rPr>
          <w:rFonts w:ascii="宋体" w:hAnsi="宋体"/>
          <w:color w:val="auto"/>
        </w:rPr>
        <w:t>”号主要性能参数指标负偏离</w:t>
      </w:r>
      <w:r>
        <w:rPr>
          <w:rFonts w:hint="default" w:ascii="宋体" w:hAnsi="宋体"/>
          <w:bCs/>
          <w:color w:val="auto"/>
          <w:u w:val="single"/>
          <w:lang w:val="zh-CN"/>
        </w:rPr>
        <w:t>/</w:t>
      </w:r>
      <w:r>
        <w:rPr>
          <w:rFonts w:ascii="宋体" w:hAnsi="宋体"/>
          <w:color w:val="auto"/>
        </w:rPr>
        <w:t>项（含）以上的。</w:t>
      </w:r>
    </w:p>
    <w:p w14:paraId="28E31452">
      <w:pPr>
        <w:tabs>
          <w:tab w:val="left" w:pos="1898"/>
        </w:tabs>
        <w:autoSpaceDE w:val="0"/>
        <w:autoSpaceDN w:val="0"/>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7</w:t>
      </w:r>
      <w:r>
        <w:rPr>
          <w:rFonts w:hint="eastAsia" w:ascii="宋体" w:hAnsi="宋体"/>
          <w:color w:val="auto"/>
          <w:kern w:val="0"/>
          <w:sz w:val="24"/>
        </w:rPr>
        <w:t>、磋商参数未如实填写的。</w:t>
      </w:r>
    </w:p>
    <w:p w14:paraId="63DD18AD">
      <w:pPr>
        <w:tabs>
          <w:tab w:val="left" w:pos="1898"/>
        </w:tabs>
        <w:autoSpaceDE w:val="0"/>
        <w:autoSpaceDN w:val="0"/>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8</w:t>
      </w:r>
      <w:r>
        <w:rPr>
          <w:rFonts w:hint="eastAsia" w:ascii="宋体" w:hAnsi="宋体"/>
          <w:color w:val="auto"/>
          <w:kern w:val="0"/>
          <w:sz w:val="24"/>
        </w:rPr>
        <w:t>、磋商响应文件提供虚假材料的。</w:t>
      </w:r>
    </w:p>
    <w:p w14:paraId="2E244113">
      <w:pPr>
        <w:tabs>
          <w:tab w:val="left" w:pos="1898"/>
        </w:tabs>
        <w:autoSpaceDE w:val="0"/>
        <w:autoSpaceDN w:val="0"/>
        <w:adjustRightInd w:val="0"/>
        <w:snapToGrid w:val="0"/>
        <w:spacing w:line="360" w:lineRule="auto"/>
        <w:ind w:firstLine="480" w:firstLineChars="200"/>
        <w:jc w:val="left"/>
        <w:rPr>
          <w:rFonts w:ascii="宋体" w:hAnsi="宋体"/>
          <w:color w:val="auto"/>
          <w:sz w:val="24"/>
        </w:rPr>
      </w:pPr>
      <w:r>
        <w:rPr>
          <w:rFonts w:ascii="宋体" w:hAnsi="宋体"/>
          <w:color w:val="auto"/>
          <w:kern w:val="0"/>
          <w:sz w:val="24"/>
        </w:rPr>
        <w:t>9、</w:t>
      </w:r>
      <w:r>
        <w:rPr>
          <w:rFonts w:ascii="宋体" w:hAnsi="宋体"/>
          <w:color w:val="auto"/>
          <w:sz w:val="24"/>
        </w:rPr>
        <w:t>不同</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磋商响应</w:t>
      </w:r>
      <w:r>
        <w:rPr>
          <w:rFonts w:ascii="宋体" w:hAnsi="宋体"/>
          <w:color w:val="auto"/>
          <w:sz w:val="24"/>
        </w:rPr>
        <w:t>文件由同一单位或者个人编制；</w:t>
      </w:r>
    </w:p>
    <w:p w14:paraId="50636469">
      <w:pPr>
        <w:pStyle w:val="24"/>
        <w:spacing w:before="0" w:beforeAutospacing="0" w:after="0" w:afterAutospacing="0" w:line="360" w:lineRule="auto"/>
        <w:ind w:firstLine="480" w:firstLineChars="200"/>
        <w:rPr>
          <w:rFonts w:hint="default" w:ascii="宋体" w:hAnsi="宋体"/>
          <w:color w:val="auto"/>
        </w:rPr>
      </w:pPr>
      <w:r>
        <w:rPr>
          <w:rFonts w:hint="default" w:ascii="宋体" w:hAnsi="宋体"/>
          <w:color w:val="auto"/>
        </w:rPr>
        <w:t>10</w:t>
      </w:r>
      <w:r>
        <w:rPr>
          <w:rFonts w:ascii="宋体" w:hAnsi="宋体"/>
          <w:color w:val="auto"/>
        </w:rPr>
        <w:t>、不同供应商委托同一单位或者个人办理磋商事宜；</w:t>
      </w:r>
    </w:p>
    <w:p w14:paraId="29B49DA3">
      <w:pPr>
        <w:pStyle w:val="24"/>
        <w:spacing w:before="0" w:beforeAutospacing="0" w:after="0" w:afterAutospacing="0" w:line="360" w:lineRule="auto"/>
        <w:ind w:firstLine="480" w:firstLineChars="200"/>
        <w:rPr>
          <w:rFonts w:hint="default" w:ascii="宋体" w:hAnsi="宋体"/>
          <w:color w:val="auto"/>
        </w:rPr>
      </w:pPr>
      <w:r>
        <w:rPr>
          <w:rFonts w:hint="default" w:ascii="宋体" w:hAnsi="宋体"/>
          <w:color w:val="auto"/>
        </w:rPr>
        <w:t>11</w:t>
      </w:r>
      <w:r>
        <w:rPr>
          <w:rFonts w:ascii="宋体" w:hAnsi="宋体"/>
          <w:color w:val="auto"/>
        </w:rPr>
        <w:t>、不同供应商的磋商响应文件载明的项目管理成员或者联系人员为同一人；</w:t>
      </w:r>
    </w:p>
    <w:p w14:paraId="609FFFA0">
      <w:pPr>
        <w:pStyle w:val="24"/>
        <w:spacing w:before="0" w:beforeAutospacing="0" w:after="0" w:afterAutospacing="0" w:line="360" w:lineRule="auto"/>
        <w:ind w:firstLine="480" w:firstLineChars="200"/>
        <w:rPr>
          <w:rFonts w:hint="default" w:ascii="宋体" w:hAnsi="宋体"/>
          <w:color w:val="auto"/>
        </w:rPr>
      </w:pPr>
      <w:r>
        <w:rPr>
          <w:rFonts w:hint="default" w:ascii="宋体" w:hAnsi="宋体"/>
          <w:color w:val="auto"/>
        </w:rPr>
        <w:t>12</w:t>
      </w:r>
      <w:r>
        <w:rPr>
          <w:rFonts w:ascii="宋体" w:hAnsi="宋体"/>
          <w:color w:val="auto"/>
        </w:rPr>
        <w:t>、不同供应商的磋商响应文件异常一致或者报价呈规律性差异；</w:t>
      </w:r>
    </w:p>
    <w:p w14:paraId="697C7B1B">
      <w:pPr>
        <w:pStyle w:val="24"/>
        <w:spacing w:before="0" w:beforeAutospacing="0" w:after="0" w:afterAutospacing="0" w:line="360" w:lineRule="auto"/>
        <w:ind w:firstLine="480" w:firstLineChars="200"/>
        <w:rPr>
          <w:rFonts w:hint="default" w:ascii="宋体" w:hAnsi="宋体"/>
          <w:color w:val="auto"/>
        </w:rPr>
      </w:pPr>
      <w:r>
        <w:rPr>
          <w:rFonts w:hint="default" w:ascii="宋体" w:hAnsi="宋体"/>
          <w:color w:val="auto"/>
        </w:rPr>
        <w:t>13</w:t>
      </w:r>
      <w:r>
        <w:rPr>
          <w:rFonts w:ascii="宋体" w:hAnsi="宋体"/>
          <w:color w:val="auto"/>
        </w:rPr>
        <w:t>、不同供应商的磋商响应文件相互混装；</w:t>
      </w:r>
    </w:p>
    <w:p w14:paraId="67AC3667">
      <w:pPr>
        <w:pStyle w:val="24"/>
        <w:spacing w:before="0" w:beforeAutospacing="0" w:after="0" w:afterAutospacing="0" w:line="360" w:lineRule="auto"/>
        <w:ind w:firstLine="480" w:firstLineChars="200"/>
        <w:rPr>
          <w:rFonts w:hint="default" w:ascii="宋体" w:hAnsi="宋体"/>
          <w:color w:val="auto"/>
        </w:rPr>
      </w:pPr>
      <w:r>
        <w:rPr>
          <w:rFonts w:hint="default" w:ascii="宋体" w:hAnsi="宋体"/>
          <w:color w:val="auto"/>
        </w:rPr>
        <w:t>14</w:t>
      </w:r>
      <w:r>
        <w:rPr>
          <w:rFonts w:ascii="宋体" w:hAnsi="宋体"/>
          <w:color w:val="auto"/>
        </w:rPr>
        <w:t>、不符合法律、法规和磋商采购文件中规定的其他实质性要求的（磋商采购文件中打“▲”内容及被拒绝的条款）。</w:t>
      </w:r>
    </w:p>
    <w:p w14:paraId="57967DD7">
      <w:pPr>
        <w:pStyle w:val="24"/>
        <w:spacing w:before="0" w:beforeAutospacing="0" w:after="0" w:afterAutospacing="0" w:line="360" w:lineRule="auto"/>
        <w:ind w:firstLine="480" w:firstLineChars="200"/>
        <w:rPr>
          <w:rFonts w:hint="default" w:ascii="宋体" w:hAnsi="宋体"/>
          <w:color w:val="auto"/>
        </w:rPr>
      </w:pPr>
      <w:r>
        <w:rPr>
          <w:rFonts w:hint="default" w:ascii="宋体" w:hAnsi="宋体"/>
          <w:color w:val="auto"/>
        </w:rPr>
        <w:t>15</w:t>
      </w:r>
      <w:r>
        <w:rPr>
          <w:rFonts w:ascii="宋体" w:hAnsi="宋体"/>
          <w:color w:val="auto"/>
        </w:rPr>
        <w:t>、</w:t>
      </w:r>
      <w:r>
        <w:rPr>
          <w:rFonts w:ascii="宋体" w:hAnsi="宋体"/>
          <w:b/>
          <w:bCs/>
          <w:color w:val="auto"/>
        </w:rPr>
        <w:t>仅提交“备份投标文件”或电子磋商响应文件未按时完成解密，又未提供备份电子磋商响应文件的；</w:t>
      </w:r>
    </w:p>
    <w:p w14:paraId="6944FAEC">
      <w:pPr>
        <w:autoSpaceDE w:val="0"/>
        <w:autoSpaceDN w:val="0"/>
        <w:adjustRightInd w:val="0"/>
        <w:spacing w:line="360" w:lineRule="auto"/>
        <w:ind w:firstLine="482" w:firstLineChars="200"/>
        <w:jc w:val="left"/>
        <w:rPr>
          <w:rFonts w:ascii="宋体" w:hAnsi="宋体"/>
          <w:color w:val="auto"/>
          <w:kern w:val="0"/>
          <w:sz w:val="24"/>
        </w:rPr>
      </w:pPr>
      <w:r>
        <w:rPr>
          <w:rFonts w:hint="eastAsia" w:ascii="宋体" w:hAnsi="宋体"/>
          <w:b/>
          <w:color w:val="auto"/>
          <w:kern w:val="0"/>
          <w:sz w:val="24"/>
        </w:rPr>
        <w:t>（六）有下列情况之一的，本次磋商终止。</w:t>
      </w:r>
    </w:p>
    <w:p w14:paraId="223EBABE">
      <w:pPr>
        <w:pStyle w:val="24"/>
        <w:spacing w:before="0" w:beforeAutospacing="0" w:after="0" w:afterAutospacing="0" w:line="360" w:lineRule="auto"/>
        <w:ind w:firstLine="600" w:firstLineChars="250"/>
        <w:jc w:val="both"/>
        <w:rPr>
          <w:rFonts w:hint="default" w:ascii="宋体" w:hAnsi="宋体"/>
          <w:color w:val="auto"/>
        </w:rPr>
      </w:pPr>
      <w:r>
        <w:rPr>
          <w:rFonts w:ascii="宋体" w:hAnsi="宋体"/>
          <w:color w:val="auto"/>
        </w:rPr>
        <w:t>1、出现影响采购公正的违法、违规行为的；</w:t>
      </w:r>
    </w:p>
    <w:p w14:paraId="68EB0F27">
      <w:pPr>
        <w:pStyle w:val="24"/>
        <w:spacing w:before="0" w:beforeAutospacing="0" w:after="0" w:afterAutospacing="0" w:line="360" w:lineRule="auto"/>
        <w:ind w:firstLine="600" w:firstLineChars="250"/>
        <w:jc w:val="both"/>
        <w:rPr>
          <w:rFonts w:hint="default" w:ascii="宋体" w:hAnsi="宋体"/>
          <w:color w:val="auto"/>
        </w:rPr>
      </w:pPr>
      <w:r>
        <w:rPr>
          <w:rFonts w:ascii="宋体" w:hAnsi="宋体"/>
          <w:color w:val="auto"/>
        </w:rPr>
        <w:t xml:space="preserve">2、磋商小组发现磋商文件存在歧义、重大缺陷导致评审工作无法进行，或者磋商文件内容违反国家有关强制性规定的； </w:t>
      </w:r>
    </w:p>
    <w:p w14:paraId="511A8851">
      <w:pPr>
        <w:pStyle w:val="24"/>
        <w:spacing w:before="0" w:beforeAutospacing="0" w:after="0" w:afterAutospacing="0" w:line="360" w:lineRule="auto"/>
        <w:ind w:firstLine="600" w:firstLineChars="250"/>
        <w:jc w:val="both"/>
        <w:rPr>
          <w:rFonts w:hint="default" w:ascii="宋体" w:hAnsi="宋体"/>
          <w:color w:val="auto"/>
        </w:rPr>
      </w:pPr>
      <w:r>
        <w:rPr>
          <w:rFonts w:ascii="宋体" w:hAnsi="宋体"/>
          <w:color w:val="auto"/>
        </w:rPr>
        <w:t>3、因重大变故，采购任务取消的；</w:t>
      </w:r>
    </w:p>
    <w:p w14:paraId="68D38306">
      <w:pPr>
        <w:pStyle w:val="24"/>
        <w:spacing w:before="0" w:beforeAutospacing="0" w:after="0" w:afterAutospacing="0" w:line="360" w:lineRule="auto"/>
        <w:ind w:firstLine="600" w:firstLineChars="250"/>
        <w:jc w:val="both"/>
        <w:rPr>
          <w:rFonts w:hint="default" w:ascii="宋体" w:hAnsi="宋体"/>
          <w:color w:val="auto"/>
        </w:rPr>
      </w:pPr>
      <w:r>
        <w:rPr>
          <w:rFonts w:ascii="宋体" w:hAnsi="宋体"/>
          <w:color w:val="auto"/>
        </w:rPr>
        <w:t>4、法律、法规和磋商文件规定的其他导致评审结果无效的。</w:t>
      </w:r>
    </w:p>
    <w:p w14:paraId="34B65D37">
      <w:pPr>
        <w:pStyle w:val="24"/>
        <w:spacing w:before="0" w:beforeAutospacing="0" w:after="0" w:afterAutospacing="0" w:line="360" w:lineRule="auto"/>
        <w:ind w:firstLine="600" w:firstLineChars="250"/>
        <w:jc w:val="both"/>
        <w:rPr>
          <w:rFonts w:hint="default" w:ascii="宋体" w:hAnsi="宋体"/>
          <w:color w:val="auto"/>
        </w:rPr>
      </w:pPr>
      <w:r>
        <w:rPr>
          <w:rFonts w:ascii="宋体" w:hAnsi="宋体"/>
          <w:color w:val="auto"/>
        </w:rPr>
        <w:t>5、因电子交易平台故障无法登录、无法正常操作等导致平台无法正常运行，或者无法保证电子交易的公平、公正和安全时，采购组织机构可中止电子交易活动。</w:t>
      </w:r>
    </w:p>
    <w:p w14:paraId="0253D41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hAnsi="宋体"/>
          <w:b/>
          <w:color w:val="auto"/>
          <w:kern w:val="0"/>
          <w:sz w:val="24"/>
        </w:rPr>
      </w:pPr>
      <w:r>
        <w:rPr>
          <w:rFonts w:hint="eastAsia" w:ascii="宋体" w:hAnsi="宋体"/>
          <w:b/>
          <w:color w:val="auto"/>
          <w:kern w:val="0"/>
          <w:sz w:val="24"/>
        </w:rPr>
        <w:t>（七）磋商原则和方法</w:t>
      </w:r>
    </w:p>
    <w:p w14:paraId="7C960B26">
      <w:pPr>
        <w:pStyle w:val="6"/>
        <w:snapToGrid w:val="0"/>
        <w:spacing w:line="360" w:lineRule="auto"/>
        <w:ind w:firstLine="600" w:firstLineChars="250"/>
        <w:rPr>
          <w:rFonts w:ascii="宋体" w:hAnsi="宋体" w:eastAsia="宋体"/>
          <w:color w:val="auto"/>
          <w:sz w:val="24"/>
        </w:rPr>
      </w:pPr>
      <w:r>
        <w:rPr>
          <w:rFonts w:ascii="宋体" w:hAnsi="宋体" w:eastAsia="宋体"/>
          <w:color w:val="auto"/>
          <w:sz w:val="24"/>
        </w:rPr>
        <w:t>1</w:t>
      </w:r>
      <w:r>
        <w:rPr>
          <w:rFonts w:hint="eastAsia" w:ascii="宋体" w:hAnsi="宋体" w:eastAsia="宋体"/>
          <w:color w:val="auto"/>
          <w:sz w:val="24"/>
        </w:rPr>
        <w:t>、磋商</w:t>
      </w:r>
      <w:r>
        <w:rPr>
          <w:rFonts w:ascii="宋体" w:hAnsi="宋体" w:eastAsia="宋体"/>
          <w:color w:val="auto"/>
          <w:sz w:val="24"/>
        </w:rPr>
        <w:t>原则。磋商小组必须公平、公正、客观，不带任何倾向性和启发性；不得向外界透露任何与评审有关的内容；任何单位和个人不得干扰、影响评审的正常进行；磋商小组及有关工作人员不得私下与</w:t>
      </w:r>
      <w:r>
        <w:rPr>
          <w:rFonts w:hint="eastAsia" w:ascii="宋体" w:hAnsi="宋体" w:eastAsia="宋体"/>
          <w:color w:val="auto"/>
          <w:sz w:val="24"/>
        </w:rPr>
        <w:t>磋商供应商</w:t>
      </w:r>
      <w:r>
        <w:rPr>
          <w:rFonts w:ascii="宋体" w:hAnsi="宋体" w:eastAsia="宋体"/>
          <w:color w:val="auto"/>
          <w:sz w:val="24"/>
        </w:rPr>
        <w:t>接触。</w:t>
      </w:r>
    </w:p>
    <w:p w14:paraId="01AB83CC">
      <w:pPr>
        <w:pStyle w:val="6"/>
        <w:snapToGrid w:val="0"/>
        <w:spacing w:line="360" w:lineRule="auto"/>
        <w:ind w:firstLine="600" w:firstLineChars="250"/>
        <w:rPr>
          <w:rFonts w:ascii="宋体" w:hAnsi="宋体" w:eastAsia="宋体"/>
          <w:color w:val="auto"/>
          <w:sz w:val="24"/>
        </w:rPr>
      </w:pPr>
      <w:r>
        <w:rPr>
          <w:rFonts w:ascii="宋体" w:hAnsi="宋体" w:eastAsia="宋体"/>
          <w:color w:val="auto"/>
          <w:sz w:val="24"/>
        </w:rPr>
        <w:t>2</w:t>
      </w:r>
      <w:r>
        <w:rPr>
          <w:rFonts w:hint="eastAsia" w:ascii="宋体" w:hAnsi="宋体" w:eastAsia="宋体"/>
          <w:color w:val="auto"/>
          <w:sz w:val="24"/>
        </w:rPr>
        <w:t>、磋商</w:t>
      </w:r>
      <w:r>
        <w:rPr>
          <w:rFonts w:ascii="宋体" w:hAnsi="宋体" w:eastAsia="宋体"/>
          <w:color w:val="auto"/>
          <w:sz w:val="24"/>
        </w:rPr>
        <w:t>办法。具体</w:t>
      </w:r>
      <w:r>
        <w:rPr>
          <w:rFonts w:hint="eastAsia" w:ascii="宋体" w:hAnsi="宋体" w:eastAsia="宋体"/>
          <w:color w:val="auto"/>
          <w:sz w:val="24"/>
        </w:rPr>
        <w:t>磋商</w:t>
      </w:r>
      <w:r>
        <w:rPr>
          <w:rFonts w:ascii="宋体" w:hAnsi="宋体" w:eastAsia="宋体"/>
          <w:color w:val="auto"/>
          <w:sz w:val="24"/>
        </w:rPr>
        <w:t>内容及评分标准等详见《第</w:t>
      </w:r>
      <w:r>
        <w:rPr>
          <w:rFonts w:hint="eastAsia" w:ascii="宋体" w:hAnsi="宋体" w:eastAsia="宋体"/>
          <w:color w:val="auto"/>
          <w:sz w:val="24"/>
        </w:rPr>
        <w:t>三章</w:t>
      </w:r>
      <w:r>
        <w:rPr>
          <w:rFonts w:ascii="宋体" w:hAnsi="宋体" w:eastAsia="宋体"/>
          <w:color w:val="auto"/>
          <w:sz w:val="24"/>
        </w:rPr>
        <w:t>：评审</w:t>
      </w:r>
      <w:r>
        <w:rPr>
          <w:rFonts w:hint="eastAsia" w:ascii="宋体" w:hAnsi="宋体" w:eastAsia="宋体"/>
          <w:color w:val="auto"/>
          <w:sz w:val="24"/>
        </w:rPr>
        <w:t>方</w:t>
      </w:r>
      <w:r>
        <w:rPr>
          <w:rFonts w:ascii="宋体" w:hAnsi="宋体" w:eastAsia="宋体"/>
          <w:color w:val="auto"/>
          <w:sz w:val="24"/>
        </w:rPr>
        <w:t>法及评分标准》。</w:t>
      </w:r>
    </w:p>
    <w:p w14:paraId="1E6D281F">
      <w:pPr>
        <w:pStyle w:val="6"/>
        <w:snapToGrid w:val="0"/>
        <w:spacing w:line="360" w:lineRule="auto"/>
        <w:ind w:firstLine="602" w:firstLineChars="250"/>
        <w:rPr>
          <w:rFonts w:ascii="宋体" w:hAnsi="宋体" w:eastAsia="宋体"/>
          <w:color w:val="auto"/>
          <w:sz w:val="24"/>
        </w:rPr>
      </w:pPr>
      <w:r>
        <w:rPr>
          <w:rFonts w:ascii="宋体" w:hAnsi="宋体" w:eastAsia="宋体"/>
          <w:b/>
          <w:color w:val="auto"/>
          <w:sz w:val="24"/>
        </w:rPr>
        <w:t>（</w:t>
      </w:r>
      <w:r>
        <w:rPr>
          <w:rFonts w:hint="eastAsia" w:ascii="宋体" w:hAnsi="宋体" w:eastAsia="宋体"/>
          <w:b/>
          <w:color w:val="auto"/>
          <w:sz w:val="24"/>
        </w:rPr>
        <w:t>八</w:t>
      </w:r>
      <w:r>
        <w:rPr>
          <w:rFonts w:ascii="宋体" w:hAnsi="宋体" w:eastAsia="宋体"/>
          <w:b/>
          <w:color w:val="auto"/>
          <w:sz w:val="24"/>
        </w:rPr>
        <w:t>）评审过程的监控</w:t>
      </w:r>
    </w:p>
    <w:p w14:paraId="4AB17207">
      <w:pPr>
        <w:pStyle w:val="24"/>
        <w:spacing w:before="0" w:beforeAutospacing="0" w:after="0" w:afterAutospacing="0" w:line="360" w:lineRule="auto"/>
        <w:ind w:firstLine="480" w:firstLineChars="200"/>
        <w:jc w:val="both"/>
        <w:rPr>
          <w:rFonts w:hint="default" w:ascii="宋体" w:hAnsi="宋体"/>
          <w:color w:val="auto"/>
        </w:rPr>
      </w:pPr>
      <w:r>
        <w:rPr>
          <w:rFonts w:ascii="宋体" w:hAnsi="宋体"/>
          <w:color w:val="auto"/>
        </w:rPr>
        <w:t>本项目评审过程实行全程录音、录像监控，政府采购监管部门视情进行现场监督，供应商在评审过程中所进行的试图影响评审结果的不公正活动，可能导致其被拒绝磋商。</w:t>
      </w:r>
    </w:p>
    <w:p w14:paraId="5A7DCACD">
      <w:pPr>
        <w:pStyle w:val="24"/>
        <w:spacing w:before="0" w:beforeAutospacing="0" w:after="0" w:afterAutospacing="0" w:line="360" w:lineRule="auto"/>
        <w:ind w:firstLine="482" w:firstLineChars="200"/>
        <w:jc w:val="both"/>
        <w:rPr>
          <w:rFonts w:hint="default" w:ascii="宋体" w:hAnsi="宋体"/>
          <w:color w:val="auto"/>
        </w:rPr>
      </w:pPr>
      <w:r>
        <w:rPr>
          <w:rFonts w:ascii="宋体" w:hAnsi="宋体"/>
          <w:b/>
          <w:color w:val="auto"/>
        </w:rPr>
        <w:t>五、磋商结果确定</w:t>
      </w:r>
    </w:p>
    <w:p w14:paraId="2363E713">
      <w:pPr>
        <w:pStyle w:val="24"/>
        <w:spacing w:before="0" w:beforeAutospacing="0" w:after="0" w:afterAutospacing="0" w:line="360" w:lineRule="auto"/>
        <w:ind w:firstLine="600" w:firstLineChars="250"/>
        <w:jc w:val="both"/>
        <w:rPr>
          <w:rFonts w:hint="default" w:ascii="宋体" w:hAnsi="宋体"/>
          <w:color w:val="auto"/>
        </w:rPr>
      </w:pPr>
      <w:r>
        <w:rPr>
          <w:rFonts w:ascii="宋体" w:hAnsi="宋体"/>
          <w:color w:val="auto"/>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A1699E1">
      <w:pPr>
        <w:spacing w:line="360" w:lineRule="auto"/>
        <w:ind w:firstLine="480" w:firstLineChars="200"/>
        <w:rPr>
          <w:rFonts w:ascii="宋体" w:hAnsi="宋体"/>
          <w:color w:val="auto"/>
          <w:kern w:val="0"/>
          <w:sz w:val="24"/>
        </w:rPr>
      </w:pPr>
      <w:r>
        <w:rPr>
          <w:rFonts w:hint="eastAsia" w:ascii="宋体" w:hAnsi="宋体"/>
          <w:color w:val="auto"/>
          <w:kern w:val="0"/>
          <w:sz w:val="24"/>
        </w:rPr>
        <w:t>2、发布成交结果公告。采购组织机构应当在</w:t>
      </w:r>
      <w:r>
        <w:rPr>
          <w:rFonts w:ascii="宋体" w:hAnsi="宋体"/>
          <w:color w:val="auto"/>
          <w:kern w:val="0"/>
          <w:sz w:val="24"/>
        </w:rPr>
        <w:t>成交供应商确定</w:t>
      </w:r>
      <w:r>
        <w:rPr>
          <w:rFonts w:hint="eastAsia" w:ascii="宋体" w:hAnsi="宋体"/>
          <w:color w:val="auto"/>
          <w:kern w:val="0"/>
          <w:sz w:val="24"/>
        </w:rPr>
        <w:t>后</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kern w:val="0"/>
          <w:sz w:val="24"/>
        </w:rPr>
        <w:t>成交结果，并将磋商文件随同公告。</w:t>
      </w:r>
    </w:p>
    <w:p w14:paraId="65A41F8C">
      <w:pPr>
        <w:spacing w:line="360" w:lineRule="auto"/>
        <w:ind w:firstLine="480" w:firstLineChars="200"/>
        <w:rPr>
          <w:rFonts w:ascii="宋体" w:hAnsi="宋体"/>
          <w:color w:val="auto"/>
          <w:kern w:val="0"/>
          <w:sz w:val="24"/>
        </w:rPr>
      </w:pPr>
      <w:r>
        <w:rPr>
          <w:rFonts w:hint="eastAsia" w:ascii="宋体" w:hAnsi="宋体"/>
          <w:color w:val="auto"/>
          <w:kern w:val="0"/>
          <w:sz w:val="24"/>
        </w:rPr>
        <w:t>3、发出成交通知书。采购组织机构在发布成交结果同时，向成交供应商发出成交通知书。</w:t>
      </w:r>
    </w:p>
    <w:p w14:paraId="6FE8FAC1">
      <w:pPr>
        <w:spacing w:line="360" w:lineRule="auto"/>
        <w:ind w:firstLine="482" w:firstLineChars="200"/>
        <w:rPr>
          <w:rFonts w:ascii="宋体" w:hAnsi="宋体"/>
          <w:b/>
          <w:color w:val="auto"/>
          <w:kern w:val="0"/>
          <w:sz w:val="24"/>
        </w:rPr>
      </w:pPr>
      <w:r>
        <w:rPr>
          <w:rFonts w:hint="eastAsia" w:ascii="宋体" w:hAnsi="宋体"/>
          <w:b/>
          <w:color w:val="auto"/>
          <w:kern w:val="0"/>
          <w:sz w:val="24"/>
        </w:rPr>
        <w:t>六、合同签订及公告</w:t>
      </w:r>
    </w:p>
    <w:p w14:paraId="06CD8A2A">
      <w:pPr>
        <w:pStyle w:val="18"/>
        <w:ind w:firstLine="482" w:firstLineChars="200"/>
        <w:rPr>
          <w:rFonts w:ascii="宋体" w:hAnsi="宋体"/>
          <w:b/>
          <w:color w:val="auto"/>
          <w:szCs w:val="24"/>
        </w:rPr>
      </w:pPr>
      <w:r>
        <w:rPr>
          <w:rFonts w:hint="eastAsia" w:ascii="宋体" w:hAnsi="宋体"/>
          <w:b/>
          <w:color w:val="auto"/>
          <w:szCs w:val="24"/>
        </w:rPr>
        <w:t>（一）签订合同</w:t>
      </w:r>
    </w:p>
    <w:p w14:paraId="7EA07933">
      <w:pPr>
        <w:pStyle w:val="18"/>
        <w:ind w:firstLine="480" w:firstLineChars="200"/>
        <w:rPr>
          <w:rFonts w:ascii="宋体" w:hAnsi="宋体"/>
          <w:color w:val="auto"/>
          <w:szCs w:val="24"/>
        </w:rPr>
      </w:pPr>
      <w:r>
        <w:rPr>
          <w:rFonts w:hint="eastAsia" w:ascii="宋体" w:hAnsi="宋体"/>
          <w:color w:val="auto"/>
          <w:szCs w:val="24"/>
        </w:rPr>
        <w:t>1、采购人应当自成交通知书发出之日起30日内，</w:t>
      </w:r>
      <w:r>
        <w:rPr>
          <w:rFonts w:ascii="宋体" w:hAnsi="宋体"/>
          <w:color w:val="auto"/>
          <w:szCs w:val="24"/>
        </w:rPr>
        <w:t>按照磋商采购文件</w:t>
      </w:r>
      <w:r>
        <w:rPr>
          <w:rFonts w:hint="eastAsia" w:ascii="宋体" w:hAnsi="宋体"/>
          <w:color w:val="auto"/>
          <w:szCs w:val="24"/>
        </w:rPr>
        <w:t>确定的合同文本以及采购标的、规格型号、采购金额、采购数量和服务要求等事项签订政府采购合同。</w:t>
      </w:r>
    </w:p>
    <w:p w14:paraId="7AF4AA54">
      <w:pPr>
        <w:pStyle w:val="24"/>
        <w:spacing w:before="0" w:beforeAutospacing="0" w:after="0" w:afterAutospacing="0" w:line="360" w:lineRule="auto"/>
        <w:ind w:firstLine="600" w:firstLineChars="250"/>
        <w:jc w:val="both"/>
        <w:rPr>
          <w:rFonts w:hint="default" w:ascii="宋体" w:hAnsi="宋体"/>
          <w:color w:val="auto"/>
        </w:rPr>
      </w:pPr>
      <w:r>
        <w:rPr>
          <w:rFonts w:ascii="宋体" w:hAnsi="宋体"/>
          <w:color w:val="auto"/>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0E4F482C">
      <w:pPr>
        <w:pStyle w:val="24"/>
        <w:spacing w:before="0" w:beforeAutospacing="0" w:after="0" w:afterAutospacing="0" w:line="360" w:lineRule="auto"/>
        <w:ind w:firstLine="600" w:firstLineChars="250"/>
        <w:jc w:val="both"/>
        <w:rPr>
          <w:rFonts w:hint="default" w:ascii="宋体" w:hAnsi="宋体"/>
          <w:color w:val="auto"/>
        </w:rPr>
      </w:pPr>
      <w:r>
        <w:rPr>
          <w:rFonts w:ascii="宋体" w:hAnsi="宋体"/>
          <w:color w:val="auto"/>
        </w:rPr>
        <w:t>3、</w:t>
      </w:r>
      <w:r>
        <w:rPr>
          <w:color w:val="auto"/>
        </w:rPr>
        <w:t>成交供应商无故拖延、拒签合同的,取消成交资格。</w:t>
      </w:r>
    </w:p>
    <w:p w14:paraId="4B319406">
      <w:pPr>
        <w:pStyle w:val="24"/>
        <w:spacing w:before="0" w:beforeAutospacing="0" w:after="0" w:afterAutospacing="0" w:line="360" w:lineRule="auto"/>
        <w:ind w:firstLine="600" w:firstLineChars="250"/>
        <w:jc w:val="both"/>
        <w:rPr>
          <w:rFonts w:hint="default" w:ascii="宋体" w:hAnsi="宋体"/>
          <w:color w:val="auto"/>
        </w:rPr>
      </w:pPr>
      <w:r>
        <w:rPr>
          <w:rFonts w:ascii="宋体" w:hAnsi="宋体"/>
          <w:color w:val="auto"/>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7912BAE">
      <w:pPr>
        <w:pStyle w:val="24"/>
        <w:spacing w:line="360" w:lineRule="auto"/>
        <w:ind w:firstLine="600" w:firstLineChars="250"/>
        <w:rPr>
          <w:rFonts w:hint="default" w:ascii="宋体" w:hAnsi="宋体"/>
          <w:color w:val="auto"/>
        </w:rPr>
      </w:pPr>
      <w:r>
        <w:rPr>
          <w:rFonts w:ascii="宋体" w:hAnsi="宋体"/>
          <w:color w:val="auto"/>
        </w:rPr>
        <w:t>5、询问或者质疑事项可能影响成交结果的，采购人应当暂停签订合同，已经签订合同的，应当中止履行合同（成交结果的质疑期为成交结果公告期限届满之日起七个工作日）。</w:t>
      </w:r>
    </w:p>
    <w:p w14:paraId="3742CC11">
      <w:pPr>
        <w:pStyle w:val="24"/>
        <w:spacing w:line="360" w:lineRule="auto"/>
        <w:ind w:firstLine="602" w:firstLineChars="250"/>
        <w:rPr>
          <w:rFonts w:hint="default" w:ascii="宋体" w:hAnsi="宋体" w:cs="方正书宋简体"/>
          <w:b/>
          <w:color w:val="auto"/>
        </w:rPr>
      </w:pPr>
      <w:r>
        <w:rPr>
          <w:rFonts w:ascii="宋体" w:hAnsi="宋体"/>
          <w:b/>
          <w:color w:val="auto"/>
        </w:rPr>
        <w:t>（二）合同公告及备案</w:t>
      </w:r>
    </w:p>
    <w:p w14:paraId="34DABF5D">
      <w:pPr>
        <w:pStyle w:val="18"/>
        <w:ind w:firstLine="480" w:firstLineChars="200"/>
        <w:rPr>
          <w:rFonts w:ascii="宋体" w:hAnsi="宋体"/>
          <w:color w:val="auto"/>
          <w:szCs w:val="24"/>
        </w:rPr>
      </w:pPr>
      <w:r>
        <w:rPr>
          <w:rFonts w:hint="eastAsia" w:ascii="宋体" w:hAnsi="宋体"/>
          <w:color w:val="auto"/>
          <w:szCs w:val="24"/>
        </w:rPr>
        <w:t>1、采购人应当自政府采购合同签订之日起2个工作日内，</w:t>
      </w:r>
      <w:r>
        <w:rPr>
          <w:rFonts w:ascii="宋体" w:hAnsi="宋体"/>
          <w:color w:val="auto"/>
          <w:szCs w:val="24"/>
        </w:rPr>
        <w:t>在省级以上财政部门指定的</w:t>
      </w:r>
      <w:r>
        <w:rPr>
          <w:rFonts w:hint="eastAsia" w:ascii="宋体" w:hAnsi="宋体"/>
          <w:color w:val="auto"/>
          <w:szCs w:val="24"/>
        </w:rPr>
        <w:t>政府采购信息发布</w:t>
      </w:r>
      <w:r>
        <w:rPr>
          <w:rFonts w:ascii="宋体" w:hAnsi="宋体"/>
          <w:color w:val="auto"/>
          <w:szCs w:val="24"/>
        </w:rPr>
        <w:t>媒体及相关网站</w:t>
      </w:r>
      <w:r>
        <w:rPr>
          <w:rFonts w:hint="eastAsia" w:ascii="宋体" w:hAnsi="宋体"/>
          <w:color w:val="auto"/>
          <w:szCs w:val="24"/>
        </w:rPr>
        <w:t>上</w:t>
      </w:r>
      <w:r>
        <w:rPr>
          <w:rFonts w:ascii="宋体" w:hAnsi="宋体"/>
          <w:color w:val="auto"/>
          <w:szCs w:val="24"/>
        </w:rPr>
        <w:t>公告</w:t>
      </w:r>
      <w:r>
        <w:rPr>
          <w:rFonts w:hint="eastAsia" w:ascii="宋体" w:hAnsi="宋体"/>
          <w:color w:val="auto"/>
          <w:szCs w:val="24"/>
        </w:rPr>
        <w:t>。</w:t>
      </w:r>
    </w:p>
    <w:p w14:paraId="7BAA6896">
      <w:pPr>
        <w:pStyle w:val="18"/>
        <w:ind w:firstLine="480" w:firstLineChars="200"/>
        <w:rPr>
          <w:rFonts w:ascii="宋体" w:hAnsi="宋体"/>
          <w:color w:val="auto"/>
          <w:szCs w:val="24"/>
        </w:rPr>
      </w:pPr>
      <w:r>
        <w:rPr>
          <w:rFonts w:hint="eastAsia" w:ascii="宋体" w:hAnsi="宋体"/>
          <w:color w:val="auto"/>
          <w:szCs w:val="24"/>
        </w:rPr>
        <w:t>2、采购人应当自政府采购合同签订之日起7个工作日内，将政府采购合同副本报同级人民政府财政部门备案以及采购组织机构存档。</w:t>
      </w:r>
    </w:p>
    <w:p w14:paraId="188956B9">
      <w:pPr>
        <w:pStyle w:val="18"/>
        <w:ind w:firstLine="480" w:firstLineChars="200"/>
        <w:rPr>
          <w:rFonts w:ascii="宋体" w:hAnsi="宋体"/>
          <w:color w:val="auto"/>
        </w:rPr>
      </w:pPr>
    </w:p>
    <w:p w14:paraId="76D7149E">
      <w:pPr>
        <w:pStyle w:val="18"/>
        <w:ind w:firstLine="480" w:firstLineChars="200"/>
        <w:rPr>
          <w:rFonts w:ascii="宋体" w:hAnsi="宋体"/>
          <w:color w:val="auto"/>
        </w:rPr>
      </w:pPr>
    </w:p>
    <w:p w14:paraId="382C0184">
      <w:pPr>
        <w:pStyle w:val="18"/>
        <w:ind w:firstLine="480" w:firstLineChars="200"/>
        <w:rPr>
          <w:rFonts w:ascii="宋体" w:hAnsi="宋体"/>
          <w:color w:val="auto"/>
        </w:rPr>
      </w:pPr>
    </w:p>
    <w:p w14:paraId="005882B3">
      <w:pPr>
        <w:pStyle w:val="18"/>
        <w:ind w:firstLine="480" w:firstLineChars="200"/>
        <w:rPr>
          <w:rFonts w:ascii="宋体" w:hAnsi="宋体"/>
          <w:color w:val="auto"/>
        </w:rPr>
      </w:pPr>
    </w:p>
    <w:p w14:paraId="19F37A96">
      <w:pPr>
        <w:spacing w:line="360" w:lineRule="auto"/>
        <w:jc w:val="center"/>
        <w:rPr>
          <w:rFonts w:ascii="宋体" w:hAnsi="宋体"/>
          <w:b/>
          <w:color w:val="auto"/>
          <w:sz w:val="36"/>
          <w:szCs w:val="36"/>
        </w:rPr>
        <w:sectPr>
          <w:pgSz w:w="11906" w:h="16838"/>
          <w:pgMar w:top="1440" w:right="1800" w:bottom="1440" w:left="1800" w:header="851" w:footer="992" w:gutter="0"/>
          <w:pgNumType w:fmt="decimal"/>
          <w:cols w:space="720" w:num="1"/>
          <w:docGrid w:type="lines" w:linePitch="312" w:charSpace="0"/>
        </w:sectPr>
      </w:pPr>
    </w:p>
    <w:p w14:paraId="57F34A91">
      <w:pPr>
        <w:spacing w:line="360" w:lineRule="auto"/>
        <w:jc w:val="center"/>
        <w:rPr>
          <w:rFonts w:ascii="宋体" w:hAnsi="宋体"/>
          <w:color w:val="auto"/>
          <w:kern w:val="0"/>
          <w:sz w:val="36"/>
          <w:szCs w:val="36"/>
        </w:rPr>
      </w:pPr>
      <w:r>
        <w:rPr>
          <w:rFonts w:hint="eastAsia" w:ascii="宋体" w:hAnsi="宋体"/>
          <w:b/>
          <w:color w:val="auto"/>
          <w:sz w:val="36"/>
          <w:szCs w:val="36"/>
        </w:rPr>
        <w:t>第三章　评审办法及评审标准</w:t>
      </w:r>
    </w:p>
    <w:p w14:paraId="72297C01">
      <w:pPr>
        <w:autoSpaceDE w:val="0"/>
        <w:autoSpaceDN w:val="0"/>
        <w:spacing w:line="360" w:lineRule="auto"/>
        <w:ind w:firstLine="480" w:firstLineChars="200"/>
        <w:rPr>
          <w:rFonts w:ascii="宋体" w:hAnsi="宋体"/>
          <w:b/>
          <w:i/>
          <w:color w:val="auto"/>
          <w:kern w:val="0"/>
          <w:sz w:val="24"/>
        </w:rPr>
      </w:pPr>
      <w:r>
        <w:rPr>
          <w:rFonts w:hint="eastAsia" w:ascii="宋体" w:hAnsi="宋体"/>
          <w:color w:val="auto"/>
          <w:kern w:val="0"/>
          <w:sz w:val="24"/>
        </w:rPr>
        <w:t>一、采购组织机构将组织</w:t>
      </w:r>
      <w:r>
        <w:rPr>
          <w:rFonts w:hint="eastAsia" w:ascii="宋体" w:hAnsi="宋体"/>
          <w:color w:val="auto"/>
          <w:sz w:val="24"/>
        </w:rPr>
        <w:t>磋商小组</w:t>
      </w:r>
      <w:r>
        <w:rPr>
          <w:rFonts w:hint="eastAsia" w:ascii="宋体" w:hAnsi="宋体"/>
          <w:color w:val="auto"/>
          <w:kern w:val="0"/>
          <w:sz w:val="24"/>
        </w:rPr>
        <w:t>，对</w:t>
      </w:r>
      <w:r>
        <w:rPr>
          <w:rFonts w:hint="eastAsia" w:ascii="宋体" w:hAnsi="宋体"/>
          <w:color w:val="auto"/>
          <w:sz w:val="24"/>
        </w:rPr>
        <w:t>供应商</w:t>
      </w:r>
      <w:r>
        <w:rPr>
          <w:rFonts w:hint="eastAsia" w:ascii="宋体" w:hAnsi="宋体"/>
          <w:color w:val="auto"/>
          <w:kern w:val="0"/>
          <w:sz w:val="24"/>
        </w:rPr>
        <w:t>提供的</w:t>
      </w:r>
      <w:r>
        <w:rPr>
          <w:rFonts w:hint="eastAsia" w:ascii="宋体" w:hAnsi="宋体"/>
          <w:color w:val="auto"/>
          <w:sz w:val="24"/>
        </w:rPr>
        <w:t>磋商响应文件</w:t>
      </w:r>
      <w:r>
        <w:rPr>
          <w:rFonts w:hint="eastAsia" w:ascii="宋体" w:hAnsi="宋体"/>
          <w:color w:val="auto"/>
          <w:kern w:val="0"/>
          <w:sz w:val="24"/>
        </w:rPr>
        <w:t>进行综合评审。</w:t>
      </w:r>
      <w:r>
        <w:rPr>
          <w:rFonts w:ascii="宋体" w:hAnsi="宋体"/>
          <w:color w:val="auto"/>
          <w:kern w:val="0"/>
          <w:sz w:val="24"/>
        </w:rPr>
        <w:t xml:space="preserve">   </w:t>
      </w:r>
    </w:p>
    <w:p w14:paraId="493851B5">
      <w:pPr>
        <w:autoSpaceDE w:val="0"/>
        <w:autoSpaceDN w:val="0"/>
        <w:adjustRightInd w:val="0"/>
        <w:spacing w:line="360" w:lineRule="auto"/>
        <w:ind w:left="359" w:leftChars="171" w:firstLine="120" w:firstLineChars="50"/>
        <w:jc w:val="left"/>
        <w:rPr>
          <w:rFonts w:ascii="宋体" w:hAnsi="宋体"/>
          <w:color w:val="auto"/>
          <w:kern w:val="0"/>
          <w:sz w:val="24"/>
        </w:rPr>
      </w:pPr>
      <w:r>
        <w:rPr>
          <w:rFonts w:hint="eastAsia" w:ascii="宋体" w:hAnsi="宋体"/>
          <w:color w:val="auto"/>
          <w:kern w:val="0"/>
          <w:sz w:val="24"/>
        </w:rPr>
        <w:t>二、本次磋商项目的评审方法为</w:t>
      </w:r>
      <w:r>
        <w:rPr>
          <w:rFonts w:hint="eastAsia" w:ascii="宋体" w:hAnsi="宋体"/>
          <w:b/>
          <w:color w:val="auto"/>
          <w:kern w:val="0"/>
          <w:sz w:val="24"/>
        </w:rPr>
        <w:t>综合评分法</w:t>
      </w:r>
      <w:r>
        <w:rPr>
          <w:rFonts w:hint="eastAsia" w:ascii="宋体" w:hAnsi="宋体"/>
          <w:color w:val="auto"/>
          <w:kern w:val="0"/>
          <w:sz w:val="24"/>
        </w:rPr>
        <w:t>，总计100分。评审标准按以下</w:t>
      </w:r>
      <w:r>
        <w:rPr>
          <w:rFonts w:ascii="宋体" w:hAnsi="宋体"/>
          <w:color w:val="auto"/>
          <w:kern w:val="0"/>
          <w:sz w:val="24"/>
        </w:rPr>
        <w:t>2</w:t>
      </w:r>
      <w:r>
        <w:rPr>
          <w:rFonts w:hint="eastAsia" w:ascii="宋体" w:hAnsi="宋体"/>
          <w:color w:val="auto"/>
          <w:kern w:val="0"/>
          <w:sz w:val="24"/>
        </w:rPr>
        <w:t>项内容及分值进行评审。</w:t>
      </w:r>
    </w:p>
    <w:tbl>
      <w:tblPr>
        <w:tblStyle w:val="2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305"/>
      </w:tblGrid>
      <w:tr w14:paraId="522C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002" w:type="dxa"/>
            <w:tcBorders>
              <w:tl2br w:val="single" w:color="auto" w:sz="4" w:space="0"/>
            </w:tcBorders>
          </w:tcPr>
          <w:p w14:paraId="574C94D8">
            <w:pPr>
              <w:autoSpaceDE w:val="0"/>
              <w:autoSpaceDN w:val="0"/>
              <w:adjustRightInd w:val="0"/>
              <w:jc w:val="left"/>
              <w:rPr>
                <w:rFonts w:ascii="宋体" w:hAnsi="宋体" w:cs="Tahoma"/>
                <w:color w:val="auto"/>
                <w:sz w:val="24"/>
              </w:rPr>
            </w:pPr>
            <w:r>
              <w:rPr>
                <w:rFonts w:hint="eastAsia" w:ascii="宋体" w:hAnsi="宋体" w:cs="Tahoma"/>
                <w:color w:val="auto"/>
                <w:sz w:val="24"/>
              </w:rPr>
              <w:t xml:space="preserve">           标段</w:t>
            </w:r>
          </w:p>
          <w:p w14:paraId="48694098">
            <w:pPr>
              <w:autoSpaceDE w:val="0"/>
              <w:autoSpaceDN w:val="0"/>
              <w:adjustRightInd w:val="0"/>
              <w:jc w:val="left"/>
              <w:rPr>
                <w:rFonts w:ascii="宋体" w:hAnsi="宋体" w:cs="Tahoma"/>
                <w:color w:val="auto"/>
                <w:sz w:val="24"/>
              </w:rPr>
            </w:pPr>
            <w:r>
              <w:rPr>
                <w:rFonts w:hint="eastAsia" w:ascii="宋体" w:hAnsi="宋体" w:cs="Tahoma"/>
                <w:color w:val="auto"/>
                <w:sz w:val="24"/>
              </w:rPr>
              <w:t>类别</w:t>
            </w:r>
          </w:p>
        </w:tc>
        <w:tc>
          <w:tcPr>
            <w:tcW w:w="4305" w:type="dxa"/>
            <w:vAlign w:val="center"/>
          </w:tcPr>
          <w:p w14:paraId="138F1ED4">
            <w:pPr>
              <w:autoSpaceDE w:val="0"/>
              <w:autoSpaceDN w:val="0"/>
              <w:adjustRightInd w:val="0"/>
              <w:spacing w:line="480" w:lineRule="auto"/>
              <w:jc w:val="center"/>
              <w:rPr>
                <w:rFonts w:ascii="宋体" w:hAnsi="宋体" w:cs="Tahoma"/>
                <w:color w:val="auto"/>
                <w:sz w:val="24"/>
              </w:rPr>
            </w:pPr>
            <w:r>
              <w:rPr>
                <w:rFonts w:ascii="宋体" w:hAnsi="宋体" w:cs="Tahoma"/>
                <w:color w:val="auto"/>
                <w:sz w:val="24"/>
              </w:rPr>
              <w:fldChar w:fldCharType="begin"/>
            </w:r>
            <w:r>
              <w:rPr>
                <w:rFonts w:hint="eastAsia" w:ascii="宋体" w:hAnsi="宋体" w:cs="Tahoma"/>
                <w:color w:val="auto"/>
                <w:sz w:val="24"/>
              </w:rPr>
              <w:instrText xml:space="preserve">= 1 \* CHINESENUM3</w:instrText>
            </w:r>
            <w:r>
              <w:rPr>
                <w:rFonts w:ascii="宋体" w:hAnsi="宋体" w:cs="Tahoma"/>
                <w:color w:val="auto"/>
                <w:sz w:val="24"/>
              </w:rPr>
              <w:fldChar w:fldCharType="separate"/>
            </w:r>
            <w:r>
              <w:rPr>
                <w:rFonts w:hint="eastAsia" w:ascii="宋体" w:hAnsi="宋体" w:cs="Tahoma"/>
                <w:color w:val="auto"/>
                <w:sz w:val="24"/>
              </w:rPr>
              <w:t>一</w:t>
            </w:r>
            <w:r>
              <w:rPr>
                <w:rFonts w:ascii="宋体" w:hAnsi="宋体" w:cs="Tahoma"/>
                <w:color w:val="auto"/>
                <w:sz w:val="24"/>
              </w:rPr>
              <w:fldChar w:fldCharType="end"/>
            </w:r>
          </w:p>
        </w:tc>
      </w:tr>
      <w:tr w14:paraId="56AB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02" w:type="dxa"/>
            <w:vAlign w:val="center"/>
          </w:tcPr>
          <w:p w14:paraId="676BAA87">
            <w:pPr>
              <w:autoSpaceDE w:val="0"/>
              <w:autoSpaceDN w:val="0"/>
              <w:adjustRightInd w:val="0"/>
              <w:jc w:val="center"/>
              <w:rPr>
                <w:rFonts w:ascii="宋体" w:hAnsi="宋体" w:cs="Tahoma"/>
                <w:color w:val="auto"/>
                <w:sz w:val="24"/>
              </w:rPr>
            </w:pPr>
            <w:r>
              <w:rPr>
                <w:rFonts w:hint="eastAsia" w:ascii="宋体" w:hAnsi="宋体"/>
                <w:color w:val="auto"/>
                <w:kern w:val="0"/>
                <w:sz w:val="24"/>
              </w:rPr>
              <w:t>商务</w:t>
            </w:r>
            <w:r>
              <w:rPr>
                <w:rFonts w:ascii="宋体" w:hAnsi="宋体"/>
                <w:color w:val="auto"/>
                <w:kern w:val="0"/>
                <w:sz w:val="24"/>
              </w:rPr>
              <w:t>与技术</w:t>
            </w:r>
          </w:p>
        </w:tc>
        <w:tc>
          <w:tcPr>
            <w:tcW w:w="4305" w:type="dxa"/>
            <w:vAlign w:val="center"/>
          </w:tcPr>
          <w:p w14:paraId="2BBF4734">
            <w:pPr>
              <w:autoSpaceDE w:val="0"/>
              <w:autoSpaceDN w:val="0"/>
              <w:adjustRightInd w:val="0"/>
              <w:jc w:val="center"/>
              <w:rPr>
                <w:rFonts w:ascii="宋体" w:hAnsi="宋体" w:cs="Tahoma"/>
                <w:color w:val="auto"/>
                <w:sz w:val="24"/>
              </w:rPr>
            </w:pPr>
            <w:r>
              <w:rPr>
                <w:rFonts w:ascii="宋体" w:hAnsi="宋体" w:cs="Tahoma"/>
                <w:color w:val="auto"/>
                <w:sz w:val="24"/>
              </w:rPr>
              <w:t>70</w:t>
            </w:r>
          </w:p>
        </w:tc>
      </w:tr>
      <w:tr w14:paraId="03ED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002" w:type="dxa"/>
            <w:vAlign w:val="center"/>
          </w:tcPr>
          <w:p w14:paraId="231A8491">
            <w:pPr>
              <w:autoSpaceDE w:val="0"/>
              <w:autoSpaceDN w:val="0"/>
              <w:adjustRightInd w:val="0"/>
              <w:jc w:val="center"/>
              <w:rPr>
                <w:rFonts w:ascii="宋体" w:hAnsi="宋体" w:cs="Tahoma"/>
                <w:color w:val="auto"/>
                <w:sz w:val="24"/>
              </w:rPr>
            </w:pPr>
            <w:r>
              <w:rPr>
                <w:rFonts w:hint="eastAsia" w:ascii="宋体" w:hAnsi="宋体"/>
                <w:color w:val="auto"/>
                <w:kern w:val="0"/>
                <w:sz w:val="24"/>
              </w:rPr>
              <w:t>价格</w:t>
            </w:r>
          </w:p>
        </w:tc>
        <w:tc>
          <w:tcPr>
            <w:tcW w:w="4305" w:type="dxa"/>
            <w:vAlign w:val="center"/>
          </w:tcPr>
          <w:p w14:paraId="2D71175C">
            <w:pPr>
              <w:autoSpaceDE w:val="0"/>
              <w:autoSpaceDN w:val="0"/>
              <w:adjustRightInd w:val="0"/>
              <w:jc w:val="center"/>
              <w:rPr>
                <w:rFonts w:ascii="宋体" w:hAnsi="宋体" w:cs="Tahoma"/>
                <w:color w:val="auto"/>
                <w:sz w:val="24"/>
              </w:rPr>
            </w:pPr>
            <w:r>
              <w:rPr>
                <w:rFonts w:ascii="宋体" w:hAnsi="宋体" w:cs="Tahoma"/>
                <w:color w:val="auto"/>
                <w:sz w:val="24"/>
              </w:rPr>
              <w:t>30</w:t>
            </w:r>
          </w:p>
        </w:tc>
      </w:tr>
    </w:tbl>
    <w:p w14:paraId="31D89D48">
      <w:pPr>
        <w:autoSpaceDE w:val="0"/>
        <w:autoSpaceDN w:val="0"/>
        <w:adjustRightInd w:val="0"/>
        <w:spacing w:line="360" w:lineRule="auto"/>
        <w:ind w:right="84" w:firstLine="472"/>
        <w:rPr>
          <w:rFonts w:ascii="宋体" w:hAnsi="宋体"/>
          <w:bCs/>
          <w:color w:val="auto"/>
          <w:sz w:val="24"/>
          <w:lang w:val="zh-CN"/>
        </w:rPr>
      </w:pPr>
      <w:r>
        <w:rPr>
          <w:rFonts w:hint="eastAsia" w:ascii="宋体" w:hAnsi="宋体"/>
          <w:bCs/>
          <w:color w:val="auto"/>
          <w:sz w:val="24"/>
          <w:lang w:val="zh-CN"/>
        </w:rPr>
        <w:t>（一）商务与技术文件由</w:t>
      </w:r>
      <w:r>
        <w:rPr>
          <w:rFonts w:hint="eastAsia" w:ascii="宋体" w:hAnsi="宋体"/>
          <w:color w:val="auto"/>
          <w:sz w:val="24"/>
        </w:rPr>
        <w:t>磋商小组</w:t>
      </w:r>
      <w:r>
        <w:rPr>
          <w:rFonts w:hint="eastAsia" w:ascii="宋体" w:hAnsi="宋体"/>
          <w:bCs/>
          <w:color w:val="auto"/>
          <w:sz w:val="24"/>
          <w:lang w:val="zh-CN"/>
        </w:rPr>
        <w:t>成员在规定的分值内单独评定打分。</w:t>
      </w:r>
    </w:p>
    <w:p w14:paraId="50842A3B">
      <w:pPr>
        <w:autoSpaceDE w:val="0"/>
        <w:autoSpaceDN w:val="0"/>
        <w:adjustRightInd w:val="0"/>
        <w:spacing w:line="360" w:lineRule="auto"/>
        <w:ind w:right="84" w:firstLine="472"/>
        <w:rPr>
          <w:rFonts w:ascii="宋体" w:hAnsi="宋体"/>
          <w:bCs/>
          <w:color w:val="auto"/>
          <w:sz w:val="24"/>
          <w:shd w:val="clear" w:color="FFFFFF" w:fill="D9D9D9"/>
          <w:lang w:val="zh-CN"/>
        </w:rPr>
      </w:pPr>
      <w:r>
        <w:rPr>
          <w:rFonts w:hint="eastAsia" w:ascii="宋体" w:hAnsi="宋体"/>
          <w:bCs/>
          <w:color w:val="auto"/>
          <w:sz w:val="24"/>
          <w:lang w:val="zh-CN"/>
        </w:rPr>
        <w:t>（二）各磋商供应商商务与技术文件</w:t>
      </w:r>
      <w:r>
        <w:rPr>
          <w:rFonts w:hint="eastAsia" w:ascii="宋体" w:hAnsi="宋体"/>
          <w:color w:val="auto"/>
          <w:kern w:val="0"/>
          <w:sz w:val="24"/>
          <w:lang w:val="zh-CN"/>
        </w:rPr>
        <w:t>得分按照</w:t>
      </w:r>
      <w:r>
        <w:rPr>
          <w:rFonts w:hint="eastAsia" w:ascii="宋体" w:hAnsi="宋体"/>
          <w:color w:val="auto"/>
          <w:sz w:val="24"/>
        </w:rPr>
        <w:t>磋商小组</w:t>
      </w:r>
      <w:r>
        <w:rPr>
          <w:rFonts w:hint="eastAsia" w:ascii="宋体" w:hAnsi="宋体"/>
          <w:color w:val="auto"/>
          <w:kern w:val="0"/>
          <w:sz w:val="24"/>
          <w:lang w:val="zh-CN"/>
        </w:rPr>
        <w:t>成</w:t>
      </w:r>
      <w:r>
        <w:rPr>
          <w:rFonts w:hint="eastAsia" w:ascii="宋体" w:hAnsi="宋体"/>
          <w:bCs/>
          <w:color w:val="auto"/>
          <w:sz w:val="24"/>
          <w:lang w:val="zh-CN"/>
        </w:rPr>
        <w:t>员的独立评分结果汇总后的算术平均分计算，计算公式为：</w:t>
      </w:r>
    </w:p>
    <w:p w14:paraId="5C04E774">
      <w:pPr>
        <w:autoSpaceDE w:val="0"/>
        <w:autoSpaceDN w:val="0"/>
        <w:adjustRightInd w:val="0"/>
        <w:spacing w:line="360" w:lineRule="auto"/>
        <w:ind w:right="84" w:firstLine="472"/>
        <w:rPr>
          <w:rFonts w:ascii="宋体" w:hAnsi="宋体"/>
          <w:bCs/>
          <w:color w:val="auto"/>
          <w:sz w:val="24"/>
          <w:shd w:val="clear" w:color="FFFFFF" w:fill="D9D9D9"/>
          <w:lang w:val="zh-CN"/>
        </w:rPr>
      </w:pPr>
      <w:r>
        <w:rPr>
          <w:rFonts w:hint="eastAsia" w:ascii="宋体" w:hAnsi="宋体"/>
          <w:color w:val="auto"/>
          <w:sz w:val="24"/>
        </w:rPr>
        <w:t>商务与技术文件得分</w:t>
      </w:r>
      <w:r>
        <w:rPr>
          <w:rFonts w:hint="eastAsia" w:ascii="宋体" w:hAnsi="宋体"/>
          <w:bCs/>
          <w:color w:val="auto"/>
          <w:sz w:val="24"/>
          <w:lang w:val="zh-CN"/>
        </w:rPr>
        <w:t>=</w:t>
      </w:r>
      <w:r>
        <w:rPr>
          <w:rFonts w:hint="eastAsia" w:ascii="宋体" w:hAnsi="宋体"/>
          <w:color w:val="auto"/>
          <w:sz w:val="24"/>
        </w:rPr>
        <w:t>磋商小组</w:t>
      </w:r>
      <w:r>
        <w:rPr>
          <w:rFonts w:hint="eastAsia" w:ascii="宋体" w:hAnsi="宋体"/>
          <w:bCs/>
          <w:color w:val="auto"/>
          <w:sz w:val="24"/>
          <w:lang w:val="zh-CN"/>
        </w:rPr>
        <w:t>所有成员评分合计数/</w:t>
      </w:r>
      <w:r>
        <w:rPr>
          <w:rFonts w:hint="eastAsia" w:ascii="宋体" w:hAnsi="宋体"/>
          <w:color w:val="auto"/>
          <w:sz w:val="24"/>
        </w:rPr>
        <w:t>磋商小组</w:t>
      </w:r>
      <w:r>
        <w:rPr>
          <w:rFonts w:hint="eastAsia" w:ascii="宋体" w:hAnsi="宋体"/>
          <w:bCs/>
          <w:color w:val="auto"/>
          <w:sz w:val="24"/>
          <w:lang w:val="zh-CN"/>
        </w:rPr>
        <w:t>组成人员数。</w:t>
      </w:r>
    </w:p>
    <w:p w14:paraId="455EF81F">
      <w:pPr>
        <w:autoSpaceDE w:val="0"/>
        <w:autoSpaceDN w:val="0"/>
        <w:adjustRightInd w:val="0"/>
        <w:spacing w:line="360" w:lineRule="auto"/>
        <w:ind w:right="85" w:firstLine="480" w:firstLineChars="200"/>
        <w:rPr>
          <w:rFonts w:ascii="宋体" w:hAnsi="宋体"/>
          <w:color w:val="auto"/>
          <w:sz w:val="24"/>
          <w:lang w:val="zh-CN"/>
        </w:rPr>
      </w:pPr>
      <w:r>
        <w:rPr>
          <w:rFonts w:hint="eastAsia" w:ascii="宋体" w:hAnsi="宋体"/>
          <w:bCs/>
          <w:color w:val="auto"/>
          <w:sz w:val="24"/>
          <w:lang w:val="zh-CN"/>
        </w:rPr>
        <w:t>（三）</w:t>
      </w:r>
      <w:r>
        <w:rPr>
          <w:rFonts w:hint="eastAsia" w:ascii="宋体" w:hAnsi="宋体"/>
          <w:color w:val="auto"/>
          <w:sz w:val="24"/>
          <w:u w:val="single"/>
        </w:rPr>
        <w:t>综合评分法中的价格分统一</w:t>
      </w:r>
      <w:r>
        <w:rPr>
          <w:rFonts w:hint="eastAsia" w:ascii="宋体" w:hAnsi="宋体"/>
          <w:color w:val="auto"/>
          <w:sz w:val="24"/>
          <w:lang w:val="zh-CN"/>
        </w:rPr>
        <w:t>采用低价优先法计算，即满足磋商文件要求且最后报价最低的供应商的价格作为磋商基准价，其报价得满分。其他供应商的价格分统一按照下列公式计算：</w:t>
      </w:r>
    </w:p>
    <w:p w14:paraId="506A94CB">
      <w:pPr>
        <w:autoSpaceDE w:val="0"/>
        <w:autoSpaceDN w:val="0"/>
        <w:adjustRightInd w:val="0"/>
        <w:spacing w:line="360" w:lineRule="auto"/>
        <w:ind w:right="85" w:firstLine="480" w:firstLineChars="200"/>
        <w:rPr>
          <w:rFonts w:ascii="宋体" w:hAnsi="宋体"/>
          <w:color w:val="auto"/>
          <w:sz w:val="24"/>
          <w:u w:val="single"/>
        </w:rPr>
      </w:pPr>
      <w:r>
        <w:rPr>
          <w:rFonts w:hint="eastAsia" w:ascii="宋体" w:hAnsi="宋体"/>
          <w:color w:val="auto"/>
          <w:sz w:val="24"/>
          <w:u w:val="single"/>
        </w:rPr>
        <w:t>磋商报价得</w:t>
      </w:r>
      <w:r>
        <w:rPr>
          <w:rFonts w:ascii="宋体" w:hAnsi="宋体"/>
          <w:color w:val="auto"/>
          <w:sz w:val="24"/>
          <w:u w:val="single"/>
        </w:rPr>
        <w:t>分=(</w:t>
      </w:r>
      <w:r>
        <w:rPr>
          <w:rFonts w:hint="eastAsia" w:ascii="宋体" w:hAnsi="宋体"/>
          <w:color w:val="auto"/>
          <w:sz w:val="24"/>
          <w:u w:val="single"/>
          <w:lang w:val="zh-CN"/>
        </w:rPr>
        <w:t>磋商基准价</w:t>
      </w:r>
      <w:r>
        <w:rPr>
          <w:rFonts w:ascii="宋体" w:hAnsi="宋体"/>
          <w:color w:val="auto"/>
          <w:sz w:val="24"/>
          <w:u w:val="single"/>
        </w:rPr>
        <w:t>／</w:t>
      </w:r>
      <w:r>
        <w:rPr>
          <w:rFonts w:hint="eastAsia" w:ascii="宋体" w:hAnsi="宋体"/>
          <w:color w:val="auto"/>
          <w:sz w:val="24"/>
          <w:u w:val="single"/>
        </w:rPr>
        <w:t>最后磋商</w:t>
      </w:r>
      <w:r>
        <w:rPr>
          <w:rFonts w:ascii="宋体" w:hAnsi="宋体"/>
          <w:color w:val="auto"/>
          <w:sz w:val="24"/>
          <w:u w:val="single"/>
        </w:rPr>
        <w:t>报价)×30%×100</w:t>
      </w:r>
      <w:r>
        <w:rPr>
          <w:rFonts w:hint="eastAsia" w:ascii="宋体" w:hAnsi="宋体"/>
          <w:color w:val="auto"/>
          <w:sz w:val="24"/>
          <w:u w:val="single"/>
        </w:rPr>
        <w:t xml:space="preserve"> 。</w:t>
      </w:r>
    </w:p>
    <w:p w14:paraId="11E76E8D">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（四）本项目专门面向中小企业采购，不再执行价格评审优惠的扶持政策。</w:t>
      </w:r>
    </w:p>
    <w:p w14:paraId="679510A4">
      <w:pPr>
        <w:autoSpaceDE w:val="0"/>
        <w:autoSpaceDN w:val="0"/>
        <w:adjustRightInd w:val="0"/>
        <w:spacing w:line="360" w:lineRule="auto"/>
        <w:ind w:right="85" w:firstLine="480" w:firstLineChars="200"/>
        <w:rPr>
          <w:rFonts w:ascii="宋体" w:hAnsi="宋体"/>
          <w:color w:val="auto"/>
          <w:sz w:val="24"/>
          <w:lang w:val="zh-CN"/>
        </w:rPr>
      </w:pPr>
      <w:r>
        <w:rPr>
          <w:rFonts w:hint="eastAsia" w:ascii="宋体" w:hAnsi="宋体"/>
          <w:color w:val="auto"/>
          <w:sz w:val="24"/>
          <w:lang w:val="zh-CN"/>
        </w:rPr>
        <w:t>注：得分以系统计算为准，保留2位小数。</w:t>
      </w:r>
    </w:p>
    <w:p w14:paraId="0077E60D">
      <w:pPr>
        <w:autoSpaceDE w:val="0"/>
        <w:autoSpaceDN w:val="0"/>
        <w:adjustRightInd w:val="0"/>
        <w:spacing w:line="360" w:lineRule="auto"/>
        <w:ind w:right="85" w:firstLine="480" w:firstLineChars="200"/>
        <w:rPr>
          <w:rFonts w:ascii="宋体" w:hAnsi="宋体"/>
          <w:color w:val="auto"/>
          <w:sz w:val="24"/>
          <w:lang w:val="zh-CN"/>
        </w:rPr>
      </w:pPr>
      <w:r>
        <w:rPr>
          <w:rFonts w:hint="eastAsia" w:ascii="宋体" w:hAnsi="宋体"/>
          <w:color w:val="auto"/>
          <w:sz w:val="24"/>
          <w:lang w:val="zh-CN"/>
        </w:rPr>
        <w:t>三、在最大限度地满足磋商文件实质性要求前提下，</w:t>
      </w:r>
      <w:r>
        <w:rPr>
          <w:rFonts w:hint="eastAsia" w:ascii="宋体" w:hAnsi="宋体"/>
          <w:color w:val="auto"/>
          <w:sz w:val="24"/>
        </w:rPr>
        <w:t>磋商小组</w:t>
      </w:r>
      <w:r>
        <w:rPr>
          <w:rFonts w:hint="eastAsia" w:ascii="宋体" w:hAnsi="宋体"/>
          <w:color w:val="auto"/>
          <w:sz w:val="24"/>
          <w:lang w:val="zh-CN"/>
        </w:rPr>
        <w:t>按照磋商文件中规定的各项因素进行综合评审后，以评审总得分最高的供应商为第一成交候选供应商，总得分次高的为第二成交候选供应商，总得分第三高的为第三成交候选供应商。</w:t>
      </w:r>
    </w:p>
    <w:p w14:paraId="799F195C">
      <w:pPr>
        <w:autoSpaceDE w:val="0"/>
        <w:autoSpaceDN w:val="0"/>
        <w:adjustRightInd w:val="0"/>
        <w:spacing w:line="360" w:lineRule="auto"/>
        <w:ind w:right="85" w:firstLine="480" w:firstLineChars="200"/>
        <w:rPr>
          <w:rFonts w:ascii="宋体" w:hAnsi="宋体"/>
          <w:color w:val="auto"/>
          <w:sz w:val="24"/>
          <w:lang w:val="zh-CN"/>
        </w:rPr>
      </w:pPr>
      <w:r>
        <w:rPr>
          <w:rFonts w:hint="eastAsia" w:ascii="宋体" w:hAnsi="宋体"/>
          <w:color w:val="auto"/>
          <w:sz w:val="24"/>
          <w:lang w:val="zh-CN"/>
        </w:rPr>
        <w:t>四、如综合得分相同，最后报价低者为先；如综合得分且最后报价相同的，以实力信誉及业绩得分较高者为先。</w:t>
      </w:r>
    </w:p>
    <w:p w14:paraId="1EA120A5">
      <w:pPr>
        <w:autoSpaceDE w:val="0"/>
        <w:autoSpaceDN w:val="0"/>
        <w:adjustRightInd w:val="0"/>
        <w:spacing w:line="360" w:lineRule="auto"/>
        <w:ind w:right="85" w:firstLine="480" w:firstLineChars="200"/>
        <w:rPr>
          <w:rFonts w:ascii="宋体" w:hAnsi="宋体"/>
          <w:color w:val="auto"/>
          <w:kern w:val="0"/>
          <w:sz w:val="24"/>
        </w:rPr>
      </w:pPr>
      <w:r>
        <w:rPr>
          <w:rFonts w:hint="eastAsia" w:ascii="宋体" w:hAnsi="宋体"/>
          <w:color w:val="auto"/>
          <w:sz w:val="24"/>
          <w:lang w:val="zh-CN"/>
        </w:rPr>
        <w:t>五、</w:t>
      </w:r>
      <w:r>
        <w:rPr>
          <w:rFonts w:hint="eastAsia" w:ascii="宋体" w:hAnsi="宋体"/>
          <w:color w:val="auto"/>
          <w:kern w:val="0"/>
          <w:sz w:val="24"/>
        </w:rPr>
        <w:t>本次商务与技术评分具体分值细化条款如下表：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938"/>
        <w:gridCol w:w="5907"/>
        <w:gridCol w:w="706"/>
        <w:gridCol w:w="486"/>
      </w:tblGrid>
      <w:tr w14:paraId="1A84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84" w:type="pct"/>
            <w:noWrap/>
            <w:vAlign w:val="center"/>
          </w:tcPr>
          <w:p w14:paraId="5CEE7C23">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序号</w:t>
            </w:r>
          </w:p>
        </w:tc>
        <w:tc>
          <w:tcPr>
            <w:tcW w:w="550" w:type="pct"/>
            <w:noWrap/>
            <w:vAlign w:val="center"/>
          </w:tcPr>
          <w:p w14:paraId="2ECEDFA9">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评审内容</w:t>
            </w:r>
          </w:p>
        </w:tc>
        <w:tc>
          <w:tcPr>
            <w:tcW w:w="3465" w:type="pct"/>
            <w:noWrap/>
            <w:vAlign w:val="center"/>
          </w:tcPr>
          <w:p w14:paraId="6D5F4348">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评分细则</w:t>
            </w:r>
          </w:p>
        </w:tc>
        <w:tc>
          <w:tcPr>
            <w:tcW w:w="414" w:type="pct"/>
            <w:noWrap/>
            <w:vAlign w:val="center"/>
          </w:tcPr>
          <w:p w14:paraId="5E99D7C1">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分值</w:t>
            </w:r>
          </w:p>
        </w:tc>
        <w:tc>
          <w:tcPr>
            <w:tcW w:w="285" w:type="pct"/>
            <w:noWrap/>
            <w:vAlign w:val="center"/>
          </w:tcPr>
          <w:p w14:paraId="46BE3F36">
            <w:pPr>
              <w:widowControl/>
              <w:spacing w:line="400" w:lineRule="exact"/>
              <w:jc w:val="center"/>
              <w:rPr>
                <w:rFonts w:ascii="宋体" w:hAnsi="宋体" w:cs="宋体"/>
                <w:bCs/>
                <w:color w:val="auto"/>
                <w:kern w:val="0"/>
                <w:sz w:val="24"/>
                <w:lang w:eastAsia="zh-Hans"/>
              </w:rPr>
            </w:pPr>
            <w:r>
              <w:rPr>
                <w:rFonts w:hint="eastAsia" w:ascii="宋体" w:hAnsi="宋体" w:cs="宋体"/>
                <w:bCs/>
                <w:color w:val="auto"/>
                <w:kern w:val="0"/>
                <w:sz w:val="24"/>
                <w:lang w:eastAsia="zh-Hans"/>
              </w:rPr>
              <w:t>备注</w:t>
            </w:r>
          </w:p>
        </w:tc>
      </w:tr>
      <w:tr w14:paraId="15FE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84" w:type="pct"/>
            <w:vMerge w:val="restart"/>
            <w:noWrap/>
            <w:vAlign w:val="center"/>
          </w:tcPr>
          <w:p w14:paraId="76764F86">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1</w:t>
            </w:r>
          </w:p>
        </w:tc>
        <w:tc>
          <w:tcPr>
            <w:tcW w:w="550" w:type="pct"/>
            <w:vMerge w:val="restart"/>
            <w:noWrap/>
            <w:vAlign w:val="center"/>
          </w:tcPr>
          <w:p w14:paraId="5965880C">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企业业绩</w:t>
            </w:r>
          </w:p>
        </w:tc>
        <w:tc>
          <w:tcPr>
            <w:tcW w:w="3465" w:type="pct"/>
            <w:noWrap/>
            <w:vAlign w:val="center"/>
          </w:tcPr>
          <w:p w14:paraId="046FE34F">
            <w:pPr>
              <w:snapToGrid w:val="0"/>
              <w:spacing w:line="400" w:lineRule="exact"/>
              <w:rPr>
                <w:rFonts w:ascii="宋体" w:hAnsi="宋体"/>
                <w:bCs/>
                <w:color w:val="auto"/>
                <w:sz w:val="24"/>
              </w:rPr>
            </w:pPr>
            <w:r>
              <w:rPr>
                <w:rFonts w:hint="eastAsia" w:ascii="宋体" w:hAnsi="宋体"/>
                <w:bCs/>
                <w:color w:val="auto"/>
                <w:sz w:val="24"/>
              </w:rPr>
              <w:t>1.1 20</w:t>
            </w:r>
            <w:r>
              <w:rPr>
                <w:rFonts w:ascii="宋体" w:hAnsi="宋体"/>
                <w:bCs/>
                <w:color w:val="auto"/>
                <w:sz w:val="24"/>
              </w:rPr>
              <w:t>2</w:t>
            </w:r>
            <w:r>
              <w:rPr>
                <w:rFonts w:hint="eastAsia" w:ascii="宋体" w:hAnsi="宋体"/>
                <w:bCs/>
                <w:color w:val="auto"/>
                <w:sz w:val="24"/>
                <w:lang w:val="en-US" w:eastAsia="zh-CN"/>
              </w:rPr>
              <w:t>3</w:t>
            </w:r>
            <w:r>
              <w:rPr>
                <w:rFonts w:hint="eastAsia" w:ascii="宋体" w:hAnsi="宋体"/>
                <w:bCs/>
                <w:color w:val="auto"/>
                <w:sz w:val="24"/>
              </w:rPr>
              <w:t>年1月1日至今，投标人具有</w:t>
            </w:r>
            <w:r>
              <w:rPr>
                <w:rFonts w:hint="eastAsia" w:ascii="宋体" w:hAnsi="宋体"/>
                <w:color w:val="auto"/>
                <w:sz w:val="24"/>
              </w:rPr>
              <w:t>装修</w:t>
            </w:r>
            <w:r>
              <w:rPr>
                <w:rFonts w:hint="eastAsia" w:ascii="宋体" w:hAnsi="宋体"/>
                <w:color w:val="auto"/>
                <w:sz w:val="24"/>
                <w:lang w:eastAsia="zh-Hans"/>
              </w:rPr>
              <w:t>工程</w:t>
            </w:r>
            <w:r>
              <w:rPr>
                <w:rFonts w:hint="eastAsia" w:ascii="宋体" w:hAnsi="宋体"/>
                <w:bCs/>
                <w:color w:val="auto"/>
                <w:sz w:val="24"/>
              </w:rPr>
              <w:t>施工业绩的每个得</w:t>
            </w:r>
            <w:r>
              <w:rPr>
                <w:rFonts w:ascii="宋体" w:hAnsi="宋体"/>
                <w:bCs/>
                <w:color w:val="auto"/>
                <w:sz w:val="24"/>
              </w:rPr>
              <w:t>0.5</w:t>
            </w:r>
            <w:r>
              <w:rPr>
                <w:rFonts w:hint="eastAsia" w:ascii="宋体" w:hAnsi="宋体"/>
                <w:bCs/>
                <w:color w:val="auto"/>
                <w:sz w:val="24"/>
              </w:rPr>
              <w:t>分，最高</w:t>
            </w:r>
            <w:r>
              <w:rPr>
                <w:rFonts w:ascii="宋体" w:hAnsi="宋体"/>
                <w:bCs/>
                <w:color w:val="auto"/>
                <w:sz w:val="24"/>
              </w:rPr>
              <w:t>1</w:t>
            </w:r>
            <w:r>
              <w:rPr>
                <w:rFonts w:hint="eastAsia" w:ascii="宋体" w:hAnsi="宋体"/>
                <w:bCs/>
                <w:color w:val="auto"/>
                <w:sz w:val="24"/>
              </w:rPr>
              <w:t>分。</w:t>
            </w:r>
          </w:p>
          <w:p w14:paraId="0A0D466E">
            <w:pPr>
              <w:snapToGrid w:val="0"/>
              <w:spacing w:line="400" w:lineRule="exact"/>
              <w:rPr>
                <w:rFonts w:ascii="宋体" w:hAnsi="宋体" w:cs="宋体"/>
                <w:bCs/>
                <w:color w:val="auto"/>
                <w:kern w:val="0"/>
                <w:sz w:val="24"/>
              </w:rPr>
            </w:pPr>
            <w:r>
              <w:rPr>
                <w:rFonts w:hint="eastAsia" w:ascii="宋体" w:hAnsi="宋体" w:cs="宋体"/>
                <w:bCs/>
                <w:color w:val="auto"/>
                <w:kern w:val="0"/>
                <w:sz w:val="24"/>
              </w:rPr>
              <w:t>（提供施工合同或竣工验收证明扫描件）</w:t>
            </w:r>
          </w:p>
        </w:tc>
        <w:tc>
          <w:tcPr>
            <w:tcW w:w="414" w:type="pct"/>
            <w:noWrap/>
            <w:vAlign w:val="center"/>
          </w:tcPr>
          <w:p w14:paraId="67186178">
            <w:pPr>
              <w:widowControl/>
              <w:spacing w:line="400" w:lineRule="exact"/>
              <w:jc w:val="center"/>
              <w:rPr>
                <w:rFonts w:ascii="宋体" w:hAnsi="宋体" w:cs="宋体"/>
                <w:bCs/>
                <w:color w:val="auto"/>
                <w:kern w:val="0"/>
                <w:sz w:val="24"/>
              </w:rPr>
            </w:pPr>
            <w:r>
              <w:rPr>
                <w:rFonts w:ascii="宋体" w:hAnsi="宋体" w:cs="宋体"/>
                <w:bCs/>
                <w:color w:val="auto"/>
                <w:kern w:val="0"/>
                <w:sz w:val="24"/>
              </w:rPr>
              <w:t>1</w:t>
            </w:r>
          </w:p>
        </w:tc>
        <w:tc>
          <w:tcPr>
            <w:tcW w:w="285" w:type="pct"/>
            <w:noWrap/>
            <w:vAlign w:val="center"/>
          </w:tcPr>
          <w:p w14:paraId="4F9A2563">
            <w:pPr>
              <w:widowControl/>
              <w:spacing w:line="400" w:lineRule="exact"/>
              <w:jc w:val="center"/>
              <w:rPr>
                <w:rFonts w:ascii="宋体" w:hAnsi="宋体" w:cs="宋体"/>
                <w:bCs/>
                <w:color w:val="auto"/>
                <w:kern w:val="0"/>
                <w:sz w:val="24"/>
                <w:lang w:eastAsia="zh-Hans"/>
              </w:rPr>
            </w:pPr>
            <w:r>
              <w:rPr>
                <w:rFonts w:hint="eastAsia" w:ascii="宋体" w:hAnsi="宋体" w:cs="宋体"/>
                <w:bCs/>
                <w:color w:val="auto"/>
                <w:kern w:val="0"/>
                <w:sz w:val="24"/>
                <w:lang w:eastAsia="zh-Hans"/>
              </w:rPr>
              <w:t>客观分</w:t>
            </w:r>
          </w:p>
        </w:tc>
      </w:tr>
      <w:tr w14:paraId="79CA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84" w:type="pct"/>
            <w:vMerge w:val="continue"/>
            <w:noWrap/>
            <w:vAlign w:val="center"/>
          </w:tcPr>
          <w:p w14:paraId="778FFBCD">
            <w:pPr>
              <w:widowControl/>
              <w:spacing w:line="400" w:lineRule="exact"/>
              <w:jc w:val="center"/>
              <w:rPr>
                <w:rFonts w:ascii="宋体" w:hAnsi="宋体" w:cs="宋体"/>
                <w:bCs/>
                <w:color w:val="auto"/>
                <w:kern w:val="0"/>
                <w:sz w:val="24"/>
              </w:rPr>
            </w:pPr>
          </w:p>
        </w:tc>
        <w:tc>
          <w:tcPr>
            <w:tcW w:w="550" w:type="pct"/>
            <w:vMerge w:val="continue"/>
            <w:noWrap/>
            <w:vAlign w:val="center"/>
          </w:tcPr>
          <w:p w14:paraId="4034D16C">
            <w:pPr>
              <w:widowControl/>
              <w:spacing w:line="400" w:lineRule="exact"/>
              <w:jc w:val="center"/>
              <w:rPr>
                <w:rFonts w:ascii="宋体" w:hAnsi="宋体" w:cs="宋体"/>
                <w:bCs/>
                <w:color w:val="auto"/>
                <w:kern w:val="0"/>
                <w:sz w:val="24"/>
              </w:rPr>
            </w:pPr>
          </w:p>
        </w:tc>
        <w:tc>
          <w:tcPr>
            <w:tcW w:w="3465" w:type="pct"/>
            <w:noWrap/>
            <w:vAlign w:val="center"/>
          </w:tcPr>
          <w:p w14:paraId="5668E6CF">
            <w:pPr>
              <w:snapToGrid w:val="0"/>
              <w:spacing w:line="400" w:lineRule="exact"/>
              <w:rPr>
                <w:rFonts w:ascii="宋体" w:hAnsi="宋体" w:cs="宋体"/>
                <w:bCs/>
                <w:color w:val="auto"/>
                <w:kern w:val="0"/>
                <w:sz w:val="24"/>
              </w:rPr>
            </w:pPr>
            <w:r>
              <w:rPr>
                <w:rFonts w:hint="eastAsia" w:ascii="宋体" w:hAnsi="宋体" w:cs="宋体"/>
                <w:bCs/>
                <w:color w:val="auto"/>
                <w:kern w:val="0"/>
                <w:sz w:val="24"/>
              </w:rPr>
              <w:t>1.2 拟派项目经理自20</w:t>
            </w:r>
            <w:r>
              <w:rPr>
                <w:rFonts w:ascii="宋体" w:hAnsi="宋体" w:cs="宋体"/>
                <w:bCs/>
                <w:color w:val="auto"/>
                <w:kern w:val="0"/>
                <w:sz w:val="24"/>
              </w:rPr>
              <w:t>2</w:t>
            </w:r>
            <w:r>
              <w:rPr>
                <w:rFonts w:hint="eastAsia" w:ascii="宋体" w:hAnsi="宋体" w:cs="宋体"/>
                <w:bCs/>
                <w:color w:val="auto"/>
                <w:kern w:val="0"/>
                <w:sz w:val="24"/>
                <w:lang w:val="en-US" w:eastAsia="zh-CN"/>
              </w:rPr>
              <w:t>3</w:t>
            </w:r>
            <w:r>
              <w:rPr>
                <w:rFonts w:hint="eastAsia" w:ascii="宋体" w:hAnsi="宋体" w:cs="宋体"/>
                <w:bCs/>
                <w:color w:val="auto"/>
                <w:kern w:val="0"/>
                <w:sz w:val="24"/>
              </w:rPr>
              <w:t>年1月1日以来（以合同签订时间为准）以项目经理身份参与的同类合同业绩，每提供1份业绩证明得0.5分（最高得0.5分）。</w:t>
            </w:r>
          </w:p>
          <w:p w14:paraId="5602D895">
            <w:pPr>
              <w:snapToGrid w:val="0"/>
              <w:spacing w:line="400" w:lineRule="exact"/>
              <w:rPr>
                <w:rFonts w:ascii="宋体" w:hAnsi="宋体" w:cs="宋体"/>
                <w:bCs/>
                <w:color w:val="auto"/>
                <w:kern w:val="0"/>
                <w:sz w:val="24"/>
              </w:rPr>
            </w:pPr>
            <w:r>
              <w:rPr>
                <w:rFonts w:hint="eastAsia" w:ascii="宋体" w:hAnsi="宋体" w:cs="宋体"/>
                <w:bCs/>
                <w:color w:val="auto"/>
                <w:kern w:val="0"/>
                <w:sz w:val="24"/>
              </w:rPr>
              <w:t>备注：项目经理同类合同业绩须同时出具合同扫描件，竣工验收报告(或分部分项竣工验收报告)，合同中无法体现项目经理名字的可提供业主证明材料作为补充。</w:t>
            </w:r>
          </w:p>
        </w:tc>
        <w:tc>
          <w:tcPr>
            <w:tcW w:w="414" w:type="pct"/>
            <w:noWrap/>
            <w:vAlign w:val="center"/>
          </w:tcPr>
          <w:p w14:paraId="5EDFDE0D">
            <w:pPr>
              <w:widowControl/>
              <w:spacing w:line="400" w:lineRule="exact"/>
              <w:jc w:val="center"/>
              <w:rPr>
                <w:rFonts w:ascii="宋体" w:hAnsi="宋体" w:cs="宋体"/>
                <w:bCs/>
                <w:color w:val="auto"/>
                <w:kern w:val="0"/>
                <w:sz w:val="24"/>
              </w:rPr>
            </w:pPr>
            <w:r>
              <w:rPr>
                <w:rFonts w:ascii="宋体" w:hAnsi="宋体" w:cs="宋体"/>
                <w:bCs/>
                <w:color w:val="auto"/>
                <w:kern w:val="0"/>
                <w:sz w:val="24"/>
              </w:rPr>
              <w:t>0.5</w:t>
            </w:r>
          </w:p>
        </w:tc>
        <w:tc>
          <w:tcPr>
            <w:tcW w:w="285" w:type="pct"/>
            <w:noWrap/>
            <w:vAlign w:val="center"/>
          </w:tcPr>
          <w:p w14:paraId="174DE5A0">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lang w:eastAsia="zh-Hans"/>
              </w:rPr>
              <w:t>客观分</w:t>
            </w:r>
          </w:p>
        </w:tc>
      </w:tr>
      <w:tr w14:paraId="571A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84" w:type="pct"/>
            <w:noWrap/>
            <w:vAlign w:val="center"/>
          </w:tcPr>
          <w:p w14:paraId="2DB237E7">
            <w:pPr>
              <w:spacing w:line="400" w:lineRule="exact"/>
              <w:jc w:val="center"/>
              <w:rPr>
                <w:rFonts w:ascii="宋体" w:hAnsi="宋体" w:cs="宋体"/>
                <w:bCs/>
                <w:color w:val="auto"/>
                <w:kern w:val="0"/>
                <w:sz w:val="24"/>
              </w:rPr>
            </w:pPr>
            <w:r>
              <w:rPr>
                <w:rFonts w:ascii="宋体" w:hAnsi="宋体" w:cs="宋体"/>
                <w:bCs/>
                <w:color w:val="auto"/>
                <w:kern w:val="0"/>
                <w:sz w:val="24"/>
              </w:rPr>
              <w:t>2</w:t>
            </w:r>
          </w:p>
        </w:tc>
        <w:tc>
          <w:tcPr>
            <w:tcW w:w="550" w:type="pct"/>
            <w:noWrap/>
            <w:vAlign w:val="center"/>
          </w:tcPr>
          <w:p w14:paraId="04495F16">
            <w:pPr>
              <w:spacing w:line="400" w:lineRule="exact"/>
              <w:jc w:val="center"/>
              <w:rPr>
                <w:rFonts w:ascii="宋体" w:hAnsi="宋体" w:cs="宋体"/>
                <w:bCs/>
                <w:color w:val="auto"/>
                <w:kern w:val="0"/>
                <w:sz w:val="24"/>
              </w:rPr>
            </w:pPr>
            <w:r>
              <w:rPr>
                <w:rFonts w:hint="eastAsia" w:ascii="宋体" w:hAnsi="宋体" w:cs="宋体"/>
                <w:bCs/>
                <w:color w:val="auto"/>
                <w:kern w:val="0"/>
                <w:sz w:val="24"/>
              </w:rPr>
              <w:t>企业认证</w:t>
            </w:r>
          </w:p>
        </w:tc>
        <w:tc>
          <w:tcPr>
            <w:tcW w:w="3465" w:type="pct"/>
            <w:noWrap/>
            <w:vAlign w:val="center"/>
          </w:tcPr>
          <w:p w14:paraId="0AD025D0">
            <w:pPr>
              <w:snapToGrid w:val="0"/>
              <w:spacing w:line="400" w:lineRule="exact"/>
              <w:rPr>
                <w:rFonts w:ascii="宋体" w:hAnsi="宋体"/>
                <w:bCs/>
                <w:color w:val="auto"/>
                <w:sz w:val="24"/>
              </w:rPr>
            </w:pPr>
            <w:r>
              <w:rPr>
                <w:rFonts w:hint="eastAsia" w:ascii="宋体" w:hAnsi="宋体"/>
                <w:bCs/>
                <w:color w:val="auto"/>
                <w:sz w:val="24"/>
              </w:rPr>
              <w:t>投标人具备三项体系认证，且在有效期内的：质量管理体系认证、环境管理体系认证、职业安全健康管理体系认证证书，每有一项得0.5分，最高得1.5分。</w:t>
            </w:r>
          </w:p>
          <w:p w14:paraId="0D069E46">
            <w:pPr>
              <w:snapToGrid w:val="0"/>
              <w:spacing w:line="400" w:lineRule="exact"/>
              <w:rPr>
                <w:rFonts w:ascii="宋体" w:hAnsi="宋体"/>
                <w:bCs/>
                <w:color w:val="auto"/>
                <w:sz w:val="24"/>
              </w:rPr>
            </w:pPr>
            <w:r>
              <w:rPr>
                <w:rFonts w:hint="eastAsia" w:ascii="宋体" w:hAnsi="宋体"/>
                <w:bCs/>
                <w:color w:val="auto"/>
                <w:sz w:val="24"/>
              </w:rPr>
              <w:t>提供有效的证书扫描件</w:t>
            </w:r>
          </w:p>
        </w:tc>
        <w:tc>
          <w:tcPr>
            <w:tcW w:w="414" w:type="pct"/>
            <w:noWrap/>
            <w:vAlign w:val="center"/>
          </w:tcPr>
          <w:p w14:paraId="7D1CF493">
            <w:pPr>
              <w:spacing w:line="400" w:lineRule="exact"/>
              <w:jc w:val="center"/>
              <w:rPr>
                <w:rFonts w:ascii="宋体" w:hAnsi="宋体" w:cs="宋体"/>
                <w:bCs/>
                <w:color w:val="auto"/>
                <w:kern w:val="0"/>
                <w:sz w:val="24"/>
              </w:rPr>
            </w:pPr>
            <w:r>
              <w:rPr>
                <w:rFonts w:hint="eastAsia" w:ascii="宋体" w:hAnsi="宋体" w:cs="宋体"/>
                <w:bCs/>
                <w:color w:val="auto"/>
                <w:kern w:val="0"/>
                <w:sz w:val="24"/>
              </w:rPr>
              <w:t>1.5</w:t>
            </w:r>
          </w:p>
        </w:tc>
        <w:tc>
          <w:tcPr>
            <w:tcW w:w="285" w:type="pct"/>
            <w:noWrap/>
            <w:vAlign w:val="center"/>
          </w:tcPr>
          <w:p w14:paraId="1EC83C49">
            <w:pPr>
              <w:spacing w:line="400" w:lineRule="exact"/>
              <w:jc w:val="center"/>
              <w:rPr>
                <w:rFonts w:ascii="宋体" w:hAnsi="宋体" w:cs="宋体"/>
                <w:bCs/>
                <w:color w:val="auto"/>
                <w:kern w:val="0"/>
                <w:sz w:val="24"/>
              </w:rPr>
            </w:pPr>
            <w:r>
              <w:rPr>
                <w:rFonts w:hint="eastAsia" w:ascii="宋体" w:hAnsi="宋体" w:cs="宋体"/>
                <w:bCs/>
                <w:color w:val="auto"/>
                <w:kern w:val="0"/>
                <w:sz w:val="24"/>
                <w:lang w:eastAsia="zh-Hans"/>
              </w:rPr>
              <w:t>客观分</w:t>
            </w:r>
          </w:p>
        </w:tc>
      </w:tr>
      <w:tr w14:paraId="0314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84" w:type="pct"/>
            <w:noWrap/>
            <w:vAlign w:val="center"/>
          </w:tcPr>
          <w:p w14:paraId="5D805F82">
            <w:pPr>
              <w:spacing w:line="400" w:lineRule="exact"/>
              <w:jc w:val="center"/>
              <w:rPr>
                <w:rFonts w:hint="eastAsia"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3</w:t>
            </w:r>
          </w:p>
        </w:tc>
        <w:tc>
          <w:tcPr>
            <w:tcW w:w="550" w:type="pct"/>
            <w:noWrap/>
            <w:vAlign w:val="center"/>
          </w:tcPr>
          <w:p w14:paraId="4334AC68">
            <w:pPr>
              <w:widowControl/>
              <w:spacing w:line="400" w:lineRule="exact"/>
              <w:jc w:val="center"/>
              <w:rPr>
                <w:rFonts w:hint="eastAsia" w:ascii="宋体" w:hAnsi="宋体" w:cs="宋体"/>
                <w:bCs/>
                <w:color w:val="auto"/>
                <w:kern w:val="0"/>
                <w:sz w:val="24"/>
              </w:rPr>
            </w:pPr>
            <w:r>
              <w:rPr>
                <w:rFonts w:hint="eastAsia" w:ascii="宋体" w:hAnsi="宋体" w:cs="宋体"/>
                <w:bCs/>
                <w:color w:val="auto"/>
                <w:kern w:val="0"/>
                <w:sz w:val="24"/>
              </w:rPr>
              <w:t>不转包、不分包承诺</w:t>
            </w:r>
          </w:p>
        </w:tc>
        <w:tc>
          <w:tcPr>
            <w:tcW w:w="3465" w:type="pct"/>
            <w:noWrap/>
            <w:vAlign w:val="center"/>
          </w:tcPr>
          <w:p w14:paraId="47BA0319">
            <w:pPr>
              <w:snapToGrid w:val="0"/>
              <w:spacing w:line="400" w:lineRule="exact"/>
              <w:rPr>
                <w:rFonts w:hint="eastAsia" w:ascii="宋体" w:hAnsi="宋体"/>
                <w:bCs/>
                <w:color w:val="auto"/>
                <w:sz w:val="24"/>
              </w:rPr>
            </w:pPr>
            <w:r>
              <w:rPr>
                <w:rFonts w:hint="eastAsia" w:ascii="宋体" w:hAnsi="宋体"/>
                <w:bCs/>
                <w:color w:val="auto"/>
                <w:sz w:val="24"/>
              </w:rPr>
              <w:t>承诺本工程发包范围内的工程项目未经建设单位同意一律不得转包和分包的，得3分。没有承诺的，不得分。</w:t>
            </w:r>
          </w:p>
        </w:tc>
        <w:tc>
          <w:tcPr>
            <w:tcW w:w="414" w:type="pct"/>
            <w:noWrap/>
            <w:vAlign w:val="center"/>
          </w:tcPr>
          <w:p w14:paraId="002A7AD7">
            <w:pPr>
              <w:widowControl/>
              <w:spacing w:line="400" w:lineRule="exact"/>
              <w:jc w:val="center"/>
              <w:rPr>
                <w:rFonts w:hint="eastAsia" w:ascii="宋体" w:hAnsi="宋体" w:cs="宋体"/>
                <w:bCs/>
                <w:color w:val="auto"/>
                <w:kern w:val="0"/>
                <w:sz w:val="24"/>
              </w:rPr>
            </w:pPr>
            <w:r>
              <w:rPr>
                <w:rFonts w:hint="eastAsia" w:ascii="宋体" w:hAnsi="宋体" w:cs="宋体"/>
                <w:bCs/>
                <w:color w:val="auto"/>
                <w:kern w:val="0"/>
                <w:sz w:val="24"/>
              </w:rPr>
              <w:t>3</w:t>
            </w:r>
          </w:p>
        </w:tc>
        <w:tc>
          <w:tcPr>
            <w:tcW w:w="285" w:type="pct"/>
            <w:noWrap/>
            <w:vAlign w:val="center"/>
          </w:tcPr>
          <w:p w14:paraId="6DCC301A">
            <w:pPr>
              <w:widowControl/>
              <w:spacing w:line="400" w:lineRule="exact"/>
              <w:jc w:val="center"/>
              <w:rPr>
                <w:rFonts w:hint="eastAsia" w:ascii="宋体" w:hAnsi="宋体" w:cs="宋体"/>
                <w:bCs/>
                <w:color w:val="auto"/>
                <w:kern w:val="0"/>
                <w:sz w:val="24"/>
                <w:lang w:eastAsia="zh-Hans"/>
              </w:rPr>
            </w:pPr>
            <w:r>
              <w:rPr>
                <w:rFonts w:hint="eastAsia" w:ascii="宋体" w:hAnsi="宋体" w:cs="宋体"/>
                <w:bCs/>
                <w:color w:val="auto"/>
                <w:kern w:val="0"/>
                <w:sz w:val="24"/>
                <w:lang w:eastAsia="zh-Hans"/>
              </w:rPr>
              <w:t>客观分</w:t>
            </w:r>
          </w:p>
        </w:tc>
      </w:tr>
      <w:tr w14:paraId="24F5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84" w:type="pct"/>
            <w:noWrap/>
            <w:vAlign w:val="center"/>
          </w:tcPr>
          <w:p w14:paraId="77EAD4C8">
            <w:pPr>
              <w:widowControl/>
              <w:spacing w:line="400" w:lineRule="exact"/>
              <w:jc w:val="center"/>
              <w:rPr>
                <w:rFonts w:hint="eastAsia" w:ascii="宋体" w:hAnsi="宋体" w:eastAsia="宋体" w:cs="宋体"/>
                <w:bCs/>
                <w:color w:val="auto"/>
                <w:kern w:val="0"/>
                <w:sz w:val="24"/>
                <w:lang w:eastAsia="zh-CN"/>
              </w:rPr>
            </w:pPr>
            <w:r>
              <w:rPr>
                <w:rFonts w:hint="eastAsia" w:ascii="宋体" w:hAnsi="宋体" w:cs="宋体"/>
                <w:bCs/>
                <w:color w:val="auto"/>
                <w:kern w:val="0"/>
                <w:sz w:val="24"/>
                <w:lang w:val="en-US" w:eastAsia="zh-CN"/>
              </w:rPr>
              <w:t>4</w:t>
            </w:r>
          </w:p>
        </w:tc>
        <w:tc>
          <w:tcPr>
            <w:tcW w:w="550" w:type="pct"/>
            <w:noWrap/>
            <w:vAlign w:val="center"/>
          </w:tcPr>
          <w:p w14:paraId="399A360F">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投标人综合实力</w:t>
            </w:r>
          </w:p>
        </w:tc>
        <w:tc>
          <w:tcPr>
            <w:tcW w:w="3465" w:type="pct"/>
            <w:noWrap/>
            <w:vAlign w:val="center"/>
          </w:tcPr>
          <w:p w14:paraId="2E8F0AE5">
            <w:pPr>
              <w:snapToGrid w:val="0"/>
              <w:spacing w:line="400" w:lineRule="exact"/>
              <w:rPr>
                <w:rFonts w:ascii="宋体" w:hAnsi="宋体"/>
                <w:bCs/>
                <w:color w:val="auto"/>
                <w:sz w:val="24"/>
              </w:rPr>
            </w:pPr>
            <w:r>
              <w:rPr>
                <w:rFonts w:hint="eastAsia" w:ascii="宋体" w:hAnsi="宋体"/>
                <w:bCs/>
                <w:color w:val="auto"/>
                <w:sz w:val="24"/>
              </w:rPr>
              <w:t>综合比较投标人在有效期内的信誉、获奖情况、企业状况等经营状况等情况综合评审：投标人在有效期内的信誉、获奖情况、企业状况等经营状况等好的得2.1-3分；在有效期内的信誉、获奖情况、企业状况等经营状况等良好的得1.1-2分；在有效期内的信誉、获奖情况、企业状况等经营状况等一般的得1-</w:t>
            </w:r>
            <w:r>
              <w:rPr>
                <w:rFonts w:ascii="宋体" w:hAnsi="宋体"/>
                <w:bCs/>
                <w:color w:val="auto"/>
                <w:sz w:val="24"/>
              </w:rPr>
              <w:t>0</w:t>
            </w:r>
            <w:r>
              <w:rPr>
                <w:rFonts w:hint="eastAsia" w:ascii="宋体" w:hAnsi="宋体"/>
                <w:bCs/>
                <w:color w:val="auto"/>
                <w:sz w:val="24"/>
              </w:rPr>
              <w:t>分。</w:t>
            </w:r>
          </w:p>
        </w:tc>
        <w:tc>
          <w:tcPr>
            <w:tcW w:w="414" w:type="pct"/>
            <w:noWrap/>
            <w:vAlign w:val="center"/>
          </w:tcPr>
          <w:p w14:paraId="198E1EF2">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3</w:t>
            </w:r>
          </w:p>
        </w:tc>
        <w:tc>
          <w:tcPr>
            <w:tcW w:w="285" w:type="pct"/>
            <w:noWrap/>
            <w:vAlign w:val="center"/>
          </w:tcPr>
          <w:p w14:paraId="7ACC4988">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主观分</w:t>
            </w:r>
          </w:p>
        </w:tc>
      </w:tr>
      <w:tr w14:paraId="3085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284" w:type="pct"/>
            <w:vMerge w:val="restart"/>
            <w:noWrap/>
            <w:vAlign w:val="center"/>
          </w:tcPr>
          <w:p w14:paraId="32898E89">
            <w:pPr>
              <w:widowControl/>
              <w:spacing w:line="400" w:lineRule="exact"/>
              <w:jc w:val="center"/>
              <w:rPr>
                <w:rFonts w:hint="eastAsia" w:ascii="宋体" w:hAnsi="宋体" w:eastAsia="宋体" w:cs="宋体"/>
                <w:bCs/>
                <w:color w:val="auto"/>
                <w:kern w:val="0"/>
                <w:sz w:val="24"/>
                <w:lang w:eastAsia="zh-CN"/>
              </w:rPr>
            </w:pPr>
            <w:r>
              <w:rPr>
                <w:rFonts w:hint="eastAsia" w:ascii="宋体" w:hAnsi="宋体" w:cs="宋体"/>
                <w:bCs/>
                <w:color w:val="auto"/>
                <w:kern w:val="0"/>
                <w:sz w:val="24"/>
                <w:lang w:val="en-US" w:eastAsia="zh-CN"/>
              </w:rPr>
              <w:t>5</w:t>
            </w:r>
          </w:p>
          <w:p w14:paraId="06D8E504">
            <w:pPr>
              <w:widowControl/>
              <w:spacing w:line="400" w:lineRule="exact"/>
              <w:jc w:val="center"/>
              <w:rPr>
                <w:rFonts w:ascii="宋体" w:hAnsi="宋体" w:cs="宋体"/>
                <w:bCs/>
                <w:color w:val="auto"/>
                <w:kern w:val="0"/>
                <w:sz w:val="24"/>
              </w:rPr>
            </w:pPr>
          </w:p>
          <w:p w14:paraId="67EC9AAA">
            <w:pPr>
              <w:widowControl/>
              <w:spacing w:line="400" w:lineRule="exact"/>
              <w:jc w:val="center"/>
              <w:rPr>
                <w:rFonts w:ascii="宋体" w:hAnsi="宋体" w:cs="宋体"/>
                <w:bCs/>
                <w:color w:val="auto"/>
                <w:kern w:val="0"/>
                <w:sz w:val="24"/>
              </w:rPr>
            </w:pPr>
          </w:p>
        </w:tc>
        <w:tc>
          <w:tcPr>
            <w:tcW w:w="550" w:type="pct"/>
            <w:vMerge w:val="restart"/>
            <w:noWrap/>
            <w:vAlign w:val="center"/>
          </w:tcPr>
          <w:p w14:paraId="557CD954">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项目班组</w:t>
            </w:r>
          </w:p>
        </w:tc>
        <w:tc>
          <w:tcPr>
            <w:tcW w:w="3465" w:type="pct"/>
            <w:noWrap/>
            <w:vAlign w:val="center"/>
          </w:tcPr>
          <w:p w14:paraId="06028C13">
            <w:pPr>
              <w:snapToGrid w:val="0"/>
              <w:spacing w:line="400" w:lineRule="exact"/>
              <w:rPr>
                <w:rFonts w:ascii="宋体" w:hAnsi="宋体"/>
                <w:bCs/>
                <w:color w:val="auto"/>
                <w:sz w:val="24"/>
              </w:rPr>
            </w:pPr>
            <w:r>
              <w:rPr>
                <w:rFonts w:hint="eastAsia" w:ascii="宋体" w:hAnsi="宋体"/>
                <w:bCs/>
                <w:color w:val="auto"/>
                <w:sz w:val="24"/>
              </w:rPr>
              <w:t>5.1 根据项目负责人资质、经验等方面进行综合评审：项目负责人资质高、经验丰富的得2-4分，项目负责人资质较高、经验较丰富的得1-1.9分，项目负责人资质较低、经验欠缺的得0-</w:t>
            </w:r>
            <w:r>
              <w:rPr>
                <w:rFonts w:ascii="宋体" w:hAnsi="宋体"/>
                <w:bCs/>
                <w:color w:val="auto"/>
                <w:sz w:val="24"/>
              </w:rPr>
              <w:t>0.9</w:t>
            </w:r>
            <w:r>
              <w:rPr>
                <w:rFonts w:hint="eastAsia" w:ascii="宋体" w:hAnsi="宋体"/>
                <w:bCs/>
                <w:color w:val="auto"/>
                <w:sz w:val="24"/>
              </w:rPr>
              <w:t>分。需提供项目经理相关证书扫描件及投标截止时间前连续6个月投标方为其缴纳的社保证明。</w:t>
            </w:r>
          </w:p>
        </w:tc>
        <w:tc>
          <w:tcPr>
            <w:tcW w:w="414" w:type="pct"/>
            <w:noWrap/>
            <w:vAlign w:val="center"/>
          </w:tcPr>
          <w:p w14:paraId="18028BCB">
            <w:pPr>
              <w:spacing w:line="400" w:lineRule="exact"/>
              <w:jc w:val="center"/>
              <w:rPr>
                <w:rFonts w:ascii="宋体" w:hAnsi="宋体" w:cs="宋体"/>
                <w:bCs/>
                <w:color w:val="auto"/>
                <w:kern w:val="0"/>
                <w:sz w:val="24"/>
              </w:rPr>
            </w:pPr>
            <w:r>
              <w:rPr>
                <w:rFonts w:hint="eastAsia" w:ascii="宋体" w:hAnsi="宋体" w:cs="宋体"/>
                <w:bCs/>
                <w:color w:val="auto"/>
                <w:kern w:val="0"/>
                <w:sz w:val="24"/>
              </w:rPr>
              <w:t>4</w:t>
            </w:r>
          </w:p>
        </w:tc>
        <w:tc>
          <w:tcPr>
            <w:tcW w:w="285" w:type="pct"/>
            <w:noWrap/>
            <w:vAlign w:val="center"/>
          </w:tcPr>
          <w:p w14:paraId="7AE8E0FC">
            <w:pPr>
              <w:spacing w:line="400" w:lineRule="exact"/>
              <w:jc w:val="center"/>
              <w:rPr>
                <w:rFonts w:ascii="宋体" w:hAnsi="宋体" w:cs="宋体"/>
                <w:bCs/>
                <w:color w:val="auto"/>
                <w:kern w:val="0"/>
                <w:sz w:val="24"/>
              </w:rPr>
            </w:pPr>
            <w:r>
              <w:rPr>
                <w:rFonts w:hint="eastAsia" w:ascii="宋体" w:hAnsi="宋体" w:cs="宋体"/>
                <w:bCs/>
                <w:color w:val="auto"/>
                <w:kern w:val="0"/>
                <w:sz w:val="24"/>
              </w:rPr>
              <w:t>主观分</w:t>
            </w:r>
          </w:p>
        </w:tc>
      </w:tr>
      <w:tr w14:paraId="08C2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84" w:type="pct"/>
            <w:vMerge w:val="continue"/>
            <w:noWrap/>
            <w:vAlign w:val="center"/>
          </w:tcPr>
          <w:p w14:paraId="3F8C4D74">
            <w:pPr>
              <w:widowControl/>
              <w:spacing w:line="400" w:lineRule="exact"/>
              <w:jc w:val="center"/>
              <w:rPr>
                <w:rFonts w:ascii="宋体" w:hAnsi="宋体" w:cs="宋体"/>
                <w:bCs/>
                <w:color w:val="auto"/>
                <w:kern w:val="0"/>
                <w:sz w:val="24"/>
              </w:rPr>
            </w:pPr>
          </w:p>
        </w:tc>
        <w:tc>
          <w:tcPr>
            <w:tcW w:w="550" w:type="pct"/>
            <w:vMerge w:val="continue"/>
            <w:noWrap/>
            <w:vAlign w:val="center"/>
          </w:tcPr>
          <w:p w14:paraId="58A34528">
            <w:pPr>
              <w:widowControl/>
              <w:spacing w:line="400" w:lineRule="exact"/>
              <w:jc w:val="center"/>
              <w:rPr>
                <w:rFonts w:ascii="宋体" w:hAnsi="宋体" w:cs="宋体"/>
                <w:bCs/>
                <w:color w:val="auto"/>
                <w:kern w:val="0"/>
                <w:sz w:val="24"/>
              </w:rPr>
            </w:pPr>
          </w:p>
        </w:tc>
        <w:tc>
          <w:tcPr>
            <w:tcW w:w="3465" w:type="pct"/>
            <w:noWrap/>
            <w:vAlign w:val="center"/>
          </w:tcPr>
          <w:p w14:paraId="5FCD3D15">
            <w:pPr>
              <w:snapToGrid w:val="0"/>
              <w:spacing w:line="400" w:lineRule="exact"/>
              <w:rPr>
                <w:rFonts w:ascii="宋体" w:hAnsi="宋体"/>
                <w:bCs/>
                <w:color w:val="auto"/>
                <w:sz w:val="24"/>
              </w:rPr>
            </w:pPr>
            <w:r>
              <w:rPr>
                <w:rFonts w:hint="eastAsia" w:ascii="宋体" w:hAnsi="宋体"/>
                <w:bCs/>
                <w:color w:val="auto"/>
                <w:sz w:val="24"/>
              </w:rPr>
              <w:t>5.2根据项目组人员配备、专业、职称（或执业资格）及经验等方面进行综合评审</w:t>
            </w:r>
            <w:r>
              <w:rPr>
                <w:rFonts w:ascii="宋体" w:hAnsi="宋体"/>
                <w:bCs/>
                <w:color w:val="auto"/>
                <w:sz w:val="24"/>
              </w:rPr>
              <w:t>。</w:t>
            </w:r>
            <w:r>
              <w:rPr>
                <w:rFonts w:hint="eastAsia" w:ascii="宋体" w:hAnsi="宋体"/>
                <w:bCs/>
                <w:color w:val="auto"/>
                <w:sz w:val="24"/>
              </w:rPr>
              <w:t>人员配备充足，综合能力优秀的得2-4分，人员配备较为充足，综合能力较为优秀的得1-1.9分，人员配备不足，综合能力交较差的得的得0-0.9</w:t>
            </w:r>
            <w:r>
              <w:rPr>
                <w:rFonts w:ascii="宋体" w:hAnsi="宋体"/>
                <w:bCs/>
                <w:color w:val="auto"/>
                <w:sz w:val="24"/>
              </w:rPr>
              <w:t>分</w:t>
            </w:r>
            <w:r>
              <w:rPr>
                <w:rFonts w:hint="eastAsia" w:ascii="宋体" w:hAnsi="宋体"/>
                <w:bCs/>
                <w:color w:val="auto"/>
                <w:sz w:val="24"/>
              </w:rPr>
              <w:t>。需提供项目组人员相关证书扫描件及投标截止时间前连续6个月投标方为其缴纳的社保证明。</w:t>
            </w:r>
          </w:p>
        </w:tc>
        <w:tc>
          <w:tcPr>
            <w:tcW w:w="414" w:type="pct"/>
            <w:noWrap/>
            <w:vAlign w:val="center"/>
          </w:tcPr>
          <w:p w14:paraId="66F965D6">
            <w:pPr>
              <w:spacing w:line="400" w:lineRule="exact"/>
              <w:jc w:val="center"/>
              <w:rPr>
                <w:rFonts w:ascii="宋体" w:hAnsi="宋体" w:cs="宋体"/>
                <w:bCs/>
                <w:color w:val="auto"/>
                <w:kern w:val="0"/>
                <w:sz w:val="24"/>
              </w:rPr>
            </w:pPr>
            <w:r>
              <w:rPr>
                <w:rFonts w:hint="eastAsia" w:ascii="宋体" w:hAnsi="宋体" w:cs="宋体"/>
                <w:bCs/>
                <w:color w:val="auto"/>
                <w:kern w:val="0"/>
                <w:sz w:val="24"/>
              </w:rPr>
              <w:t>4</w:t>
            </w:r>
          </w:p>
        </w:tc>
        <w:tc>
          <w:tcPr>
            <w:tcW w:w="285" w:type="pct"/>
            <w:noWrap/>
            <w:vAlign w:val="center"/>
          </w:tcPr>
          <w:p w14:paraId="0894D317">
            <w:pPr>
              <w:spacing w:line="400" w:lineRule="exact"/>
              <w:jc w:val="center"/>
              <w:rPr>
                <w:rFonts w:ascii="宋体" w:hAnsi="宋体" w:cs="宋体"/>
                <w:bCs/>
                <w:color w:val="auto"/>
                <w:kern w:val="0"/>
                <w:sz w:val="24"/>
              </w:rPr>
            </w:pPr>
            <w:r>
              <w:rPr>
                <w:rFonts w:hint="eastAsia" w:ascii="宋体" w:hAnsi="宋体" w:cs="宋体"/>
                <w:bCs/>
                <w:color w:val="auto"/>
                <w:kern w:val="0"/>
                <w:sz w:val="24"/>
              </w:rPr>
              <w:t>主观分</w:t>
            </w:r>
          </w:p>
        </w:tc>
      </w:tr>
      <w:tr w14:paraId="3134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84" w:type="pct"/>
            <w:vMerge w:val="continue"/>
            <w:noWrap/>
            <w:vAlign w:val="center"/>
          </w:tcPr>
          <w:p w14:paraId="45E66C9A">
            <w:pPr>
              <w:widowControl/>
              <w:spacing w:line="400" w:lineRule="exact"/>
              <w:jc w:val="center"/>
              <w:rPr>
                <w:rFonts w:ascii="宋体" w:hAnsi="宋体" w:cs="宋体"/>
                <w:bCs/>
                <w:color w:val="auto"/>
                <w:kern w:val="0"/>
                <w:sz w:val="24"/>
              </w:rPr>
            </w:pPr>
          </w:p>
        </w:tc>
        <w:tc>
          <w:tcPr>
            <w:tcW w:w="550" w:type="pct"/>
            <w:vMerge w:val="continue"/>
            <w:noWrap/>
            <w:vAlign w:val="center"/>
          </w:tcPr>
          <w:p w14:paraId="734D5A89">
            <w:pPr>
              <w:widowControl/>
              <w:spacing w:line="400" w:lineRule="exact"/>
              <w:jc w:val="center"/>
              <w:rPr>
                <w:rFonts w:ascii="宋体" w:hAnsi="宋体" w:cs="宋体"/>
                <w:bCs/>
                <w:color w:val="auto"/>
                <w:kern w:val="0"/>
                <w:sz w:val="24"/>
              </w:rPr>
            </w:pPr>
          </w:p>
        </w:tc>
        <w:tc>
          <w:tcPr>
            <w:tcW w:w="3465" w:type="pct"/>
            <w:noWrap/>
            <w:vAlign w:val="center"/>
          </w:tcPr>
          <w:p w14:paraId="13E68B6A">
            <w:pPr>
              <w:snapToGrid w:val="0"/>
              <w:spacing w:line="400" w:lineRule="exact"/>
              <w:rPr>
                <w:rFonts w:ascii="宋体" w:hAnsi="宋体"/>
                <w:bCs/>
                <w:color w:val="auto"/>
                <w:sz w:val="24"/>
              </w:rPr>
            </w:pPr>
            <w:r>
              <w:rPr>
                <w:rFonts w:hint="eastAsia" w:ascii="宋体" w:hAnsi="宋体"/>
                <w:bCs/>
                <w:color w:val="auto"/>
                <w:sz w:val="24"/>
              </w:rPr>
              <w:t>5.3 承诺项目负责人及项目组人员到位率。承诺到位率高的得3-4分，承诺到位率较高的得2-2.9分，承诺到位率较低的得0-1.9分。</w:t>
            </w:r>
          </w:p>
        </w:tc>
        <w:tc>
          <w:tcPr>
            <w:tcW w:w="414" w:type="pct"/>
            <w:noWrap/>
            <w:vAlign w:val="center"/>
          </w:tcPr>
          <w:p w14:paraId="0B44BC1A">
            <w:pPr>
              <w:spacing w:line="400" w:lineRule="exact"/>
              <w:jc w:val="center"/>
              <w:rPr>
                <w:rFonts w:ascii="宋体" w:hAnsi="宋体" w:cs="宋体"/>
                <w:bCs/>
                <w:color w:val="auto"/>
                <w:kern w:val="0"/>
                <w:sz w:val="24"/>
              </w:rPr>
            </w:pPr>
            <w:r>
              <w:rPr>
                <w:rFonts w:hint="eastAsia" w:ascii="宋体" w:hAnsi="宋体" w:cs="宋体"/>
                <w:bCs/>
                <w:color w:val="auto"/>
                <w:kern w:val="0"/>
                <w:sz w:val="24"/>
              </w:rPr>
              <w:t>4</w:t>
            </w:r>
          </w:p>
        </w:tc>
        <w:tc>
          <w:tcPr>
            <w:tcW w:w="285" w:type="pct"/>
            <w:noWrap/>
            <w:vAlign w:val="center"/>
          </w:tcPr>
          <w:p w14:paraId="78A4EF18">
            <w:pPr>
              <w:spacing w:line="400" w:lineRule="exact"/>
              <w:jc w:val="center"/>
              <w:rPr>
                <w:rFonts w:ascii="宋体" w:hAnsi="宋体" w:cs="宋体"/>
                <w:bCs/>
                <w:color w:val="auto"/>
                <w:kern w:val="0"/>
                <w:sz w:val="24"/>
              </w:rPr>
            </w:pPr>
            <w:r>
              <w:rPr>
                <w:rFonts w:hint="eastAsia" w:ascii="宋体" w:hAnsi="宋体" w:cs="宋体"/>
                <w:bCs/>
                <w:color w:val="auto"/>
                <w:kern w:val="0"/>
                <w:sz w:val="24"/>
              </w:rPr>
              <w:t>主观分</w:t>
            </w:r>
          </w:p>
        </w:tc>
      </w:tr>
      <w:tr w14:paraId="719E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4" w:type="pct"/>
            <w:vMerge w:val="continue"/>
            <w:noWrap/>
            <w:vAlign w:val="center"/>
          </w:tcPr>
          <w:p w14:paraId="1C996F03">
            <w:pPr>
              <w:widowControl/>
              <w:spacing w:line="400" w:lineRule="exact"/>
              <w:jc w:val="center"/>
              <w:rPr>
                <w:rFonts w:ascii="宋体" w:hAnsi="宋体" w:cs="宋体"/>
                <w:bCs/>
                <w:color w:val="auto"/>
                <w:kern w:val="0"/>
                <w:sz w:val="24"/>
              </w:rPr>
            </w:pPr>
          </w:p>
        </w:tc>
        <w:tc>
          <w:tcPr>
            <w:tcW w:w="550" w:type="pct"/>
            <w:vMerge w:val="continue"/>
            <w:noWrap/>
            <w:vAlign w:val="center"/>
          </w:tcPr>
          <w:p w14:paraId="7BF120E6">
            <w:pPr>
              <w:widowControl/>
              <w:spacing w:line="400" w:lineRule="exact"/>
              <w:jc w:val="center"/>
              <w:rPr>
                <w:rFonts w:ascii="宋体" w:hAnsi="宋体" w:cs="宋体"/>
                <w:bCs/>
                <w:color w:val="auto"/>
                <w:kern w:val="0"/>
                <w:sz w:val="24"/>
              </w:rPr>
            </w:pPr>
          </w:p>
        </w:tc>
        <w:tc>
          <w:tcPr>
            <w:tcW w:w="3465" w:type="pct"/>
            <w:noWrap/>
            <w:vAlign w:val="center"/>
          </w:tcPr>
          <w:p w14:paraId="5EA5F4AC">
            <w:pPr>
              <w:snapToGrid w:val="0"/>
              <w:spacing w:line="400" w:lineRule="exact"/>
              <w:rPr>
                <w:rFonts w:ascii="宋体" w:hAnsi="宋体"/>
                <w:bCs/>
                <w:color w:val="auto"/>
                <w:sz w:val="24"/>
              </w:rPr>
            </w:pPr>
            <w:r>
              <w:rPr>
                <w:rFonts w:hint="eastAsia" w:ascii="宋体" w:hAnsi="宋体"/>
                <w:bCs/>
                <w:color w:val="auto"/>
                <w:sz w:val="24"/>
              </w:rPr>
              <w:t>5.4 承诺“未经建设单位同意，不随意更换项目经理及项目组人员，并服从建设单位每天早中晚签到考勤制度”的，得3分。没有承诺的，不得分。</w:t>
            </w:r>
          </w:p>
        </w:tc>
        <w:tc>
          <w:tcPr>
            <w:tcW w:w="414" w:type="pct"/>
            <w:noWrap/>
            <w:vAlign w:val="center"/>
          </w:tcPr>
          <w:p w14:paraId="6747DCAC">
            <w:pPr>
              <w:spacing w:line="400" w:lineRule="exact"/>
              <w:jc w:val="center"/>
              <w:rPr>
                <w:rFonts w:ascii="宋体" w:hAnsi="宋体" w:cs="宋体"/>
                <w:bCs/>
                <w:color w:val="auto"/>
                <w:kern w:val="0"/>
                <w:sz w:val="24"/>
              </w:rPr>
            </w:pPr>
            <w:r>
              <w:rPr>
                <w:rFonts w:hint="eastAsia" w:ascii="宋体" w:hAnsi="宋体" w:cs="宋体"/>
                <w:bCs/>
                <w:color w:val="auto"/>
                <w:kern w:val="0"/>
                <w:sz w:val="24"/>
              </w:rPr>
              <w:t>3</w:t>
            </w:r>
          </w:p>
        </w:tc>
        <w:tc>
          <w:tcPr>
            <w:tcW w:w="285" w:type="pct"/>
            <w:noWrap/>
            <w:vAlign w:val="center"/>
          </w:tcPr>
          <w:p w14:paraId="37EDCDC5">
            <w:pPr>
              <w:spacing w:line="400" w:lineRule="exact"/>
              <w:jc w:val="center"/>
              <w:rPr>
                <w:rFonts w:ascii="宋体" w:hAnsi="宋体" w:cs="宋体"/>
                <w:bCs/>
                <w:color w:val="auto"/>
                <w:kern w:val="0"/>
                <w:sz w:val="24"/>
              </w:rPr>
            </w:pPr>
            <w:r>
              <w:rPr>
                <w:rFonts w:hint="eastAsia" w:ascii="宋体" w:hAnsi="宋体" w:cs="宋体"/>
                <w:bCs/>
                <w:color w:val="auto"/>
                <w:kern w:val="0"/>
                <w:sz w:val="24"/>
                <w:lang w:eastAsia="zh-Hans"/>
              </w:rPr>
              <w:t>客观分</w:t>
            </w:r>
          </w:p>
        </w:tc>
      </w:tr>
      <w:tr w14:paraId="19BB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vAlign w:val="center"/>
          </w:tcPr>
          <w:p w14:paraId="4A6932BA">
            <w:pPr>
              <w:widowControl/>
              <w:spacing w:line="400" w:lineRule="exact"/>
              <w:jc w:val="center"/>
              <w:rPr>
                <w:rFonts w:ascii="宋体" w:hAnsi="宋体" w:cs="宋体"/>
                <w:color w:val="auto"/>
                <w:kern w:val="0"/>
                <w:sz w:val="24"/>
              </w:rPr>
            </w:pPr>
            <w:r>
              <w:rPr>
                <w:rFonts w:hint="eastAsia" w:ascii="宋体" w:hAnsi="宋体" w:cs="宋体"/>
                <w:color w:val="auto"/>
                <w:kern w:val="0"/>
                <w:sz w:val="24"/>
              </w:rPr>
              <w:t>6</w:t>
            </w:r>
          </w:p>
        </w:tc>
        <w:tc>
          <w:tcPr>
            <w:tcW w:w="550" w:type="pct"/>
            <w:vAlign w:val="center"/>
          </w:tcPr>
          <w:p w14:paraId="26E7F7DE">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重难点分析</w:t>
            </w:r>
          </w:p>
        </w:tc>
        <w:tc>
          <w:tcPr>
            <w:tcW w:w="3465" w:type="pct"/>
            <w:vAlign w:val="center"/>
          </w:tcPr>
          <w:p w14:paraId="3140CE11">
            <w:pPr>
              <w:widowControl/>
              <w:spacing w:line="400" w:lineRule="exact"/>
              <w:jc w:val="left"/>
              <w:rPr>
                <w:rFonts w:ascii="宋体" w:hAnsi="宋体" w:cs="宋体"/>
                <w:bCs/>
                <w:color w:val="auto"/>
                <w:kern w:val="0"/>
                <w:sz w:val="24"/>
              </w:rPr>
            </w:pPr>
            <w:r>
              <w:rPr>
                <w:rFonts w:hint="eastAsia" w:ascii="宋体" w:hAnsi="宋体" w:cs="宋体"/>
                <w:bCs/>
                <w:color w:val="auto"/>
                <w:kern w:val="0"/>
                <w:sz w:val="24"/>
              </w:rPr>
              <w:t>根据投标人针对本工程的特点、难点分析和解决措施进行综合评审：分析到位安排合理的得4-6.5分；分析到位任需进一步细化2-3.9分；分析待完善，保证措施不够详尽的得0-1.9分。</w:t>
            </w:r>
          </w:p>
        </w:tc>
        <w:tc>
          <w:tcPr>
            <w:tcW w:w="414" w:type="pct"/>
            <w:vAlign w:val="center"/>
          </w:tcPr>
          <w:p w14:paraId="1BC1D4E6">
            <w:pPr>
              <w:spacing w:line="400" w:lineRule="exact"/>
              <w:jc w:val="center"/>
              <w:rPr>
                <w:rFonts w:ascii="宋体" w:hAnsi="宋体" w:cs="宋体"/>
                <w:color w:val="auto"/>
                <w:kern w:val="1"/>
                <w:sz w:val="24"/>
              </w:rPr>
            </w:pPr>
            <w:r>
              <w:rPr>
                <w:rFonts w:hint="eastAsia" w:ascii="宋体" w:hAnsi="宋体" w:cs="宋体"/>
                <w:color w:val="auto"/>
                <w:kern w:val="1"/>
                <w:sz w:val="24"/>
              </w:rPr>
              <w:t>6.5</w:t>
            </w:r>
          </w:p>
        </w:tc>
        <w:tc>
          <w:tcPr>
            <w:tcW w:w="285" w:type="pct"/>
            <w:vAlign w:val="center"/>
          </w:tcPr>
          <w:p w14:paraId="53934C06">
            <w:pPr>
              <w:spacing w:line="400" w:lineRule="exact"/>
              <w:jc w:val="center"/>
              <w:rPr>
                <w:rFonts w:ascii="宋体" w:hAnsi="宋体" w:cs="宋体"/>
                <w:color w:val="auto"/>
                <w:kern w:val="1"/>
                <w:sz w:val="24"/>
              </w:rPr>
            </w:pPr>
            <w:r>
              <w:rPr>
                <w:rFonts w:hint="eastAsia" w:ascii="宋体" w:hAnsi="宋体" w:cs="宋体"/>
                <w:bCs/>
                <w:color w:val="auto"/>
                <w:kern w:val="0"/>
                <w:sz w:val="24"/>
              </w:rPr>
              <w:t>主观分</w:t>
            </w:r>
          </w:p>
        </w:tc>
      </w:tr>
      <w:tr w14:paraId="6CB8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vAlign w:val="center"/>
          </w:tcPr>
          <w:p w14:paraId="016A012C">
            <w:pPr>
              <w:widowControl/>
              <w:spacing w:line="400" w:lineRule="exact"/>
              <w:jc w:val="center"/>
              <w:rPr>
                <w:rFonts w:ascii="宋体" w:hAnsi="宋体" w:cs="宋体"/>
                <w:color w:val="auto"/>
                <w:kern w:val="0"/>
                <w:sz w:val="24"/>
              </w:rPr>
            </w:pPr>
            <w:r>
              <w:rPr>
                <w:rFonts w:hint="eastAsia" w:ascii="宋体" w:hAnsi="宋体" w:cs="宋体"/>
                <w:color w:val="auto"/>
                <w:kern w:val="0"/>
                <w:sz w:val="24"/>
              </w:rPr>
              <w:t>7</w:t>
            </w:r>
          </w:p>
        </w:tc>
        <w:tc>
          <w:tcPr>
            <w:tcW w:w="550" w:type="pct"/>
            <w:vAlign w:val="center"/>
          </w:tcPr>
          <w:p w14:paraId="7BC22901">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施工组织设计</w:t>
            </w:r>
          </w:p>
        </w:tc>
        <w:tc>
          <w:tcPr>
            <w:tcW w:w="3465" w:type="pct"/>
            <w:vAlign w:val="center"/>
          </w:tcPr>
          <w:p w14:paraId="57FC6E0A">
            <w:pPr>
              <w:widowControl/>
              <w:spacing w:line="400" w:lineRule="exact"/>
              <w:jc w:val="left"/>
              <w:rPr>
                <w:rFonts w:ascii="宋体" w:hAnsi="宋体" w:cs="宋体"/>
                <w:bCs/>
                <w:color w:val="auto"/>
                <w:kern w:val="0"/>
                <w:sz w:val="24"/>
              </w:rPr>
            </w:pPr>
            <w:r>
              <w:rPr>
                <w:rFonts w:hint="eastAsia" w:ascii="宋体" w:hAnsi="宋体" w:cs="宋体"/>
                <w:bCs/>
                <w:color w:val="auto"/>
                <w:kern w:val="0"/>
                <w:sz w:val="24"/>
              </w:rPr>
              <w:t>根据施工部署、现场平面布置及管理、劳动力安排计划、材料供应计划、施工机械进出场和施工机械使用计划进行综合打分：</w:t>
            </w:r>
            <w:r>
              <w:rPr>
                <w:rFonts w:ascii="宋体" w:hAnsi="宋体" w:cs="宋体"/>
                <w:bCs/>
                <w:color w:val="auto"/>
                <w:kern w:val="0"/>
                <w:sz w:val="24"/>
              </w:rPr>
              <w:t>施工组织方案</w:t>
            </w:r>
            <w:r>
              <w:rPr>
                <w:rFonts w:hint="eastAsia" w:ascii="宋体" w:hAnsi="宋体" w:cs="宋体"/>
                <w:bCs/>
                <w:color w:val="auto"/>
                <w:kern w:val="0"/>
                <w:sz w:val="24"/>
              </w:rPr>
              <w:t>完善具体、</w:t>
            </w:r>
            <w:r>
              <w:rPr>
                <w:rFonts w:ascii="宋体" w:hAnsi="宋体" w:cs="宋体"/>
                <w:bCs/>
                <w:color w:val="auto"/>
                <w:kern w:val="0"/>
                <w:sz w:val="24"/>
              </w:rPr>
              <w:t>有合理</w:t>
            </w:r>
            <w:r>
              <w:rPr>
                <w:rFonts w:hint="eastAsia" w:ascii="宋体" w:hAnsi="宋体" w:cs="宋体"/>
                <w:bCs/>
                <w:color w:val="auto"/>
                <w:kern w:val="0"/>
                <w:sz w:val="24"/>
              </w:rPr>
              <w:t>性、针对性较强</w:t>
            </w:r>
            <w:r>
              <w:rPr>
                <w:rFonts w:ascii="宋体" w:hAnsi="宋体" w:cs="宋体"/>
                <w:bCs/>
                <w:color w:val="auto"/>
                <w:kern w:val="0"/>
                <w:sz w:val="24"/>
              </w:rPr>
              <w:t>的得</w:t>
            </w:r>
            <w:r>
              <w:rPr>
                <w:rFonts w:hint="eastAsia" w:ascii="宋体" w:hAnsi="宋体" w:cs="宋体"/>
                <w:bCs/>
                <w:color w:val="auto"/>
                <w:kern w:val="0"/>
                <w:sz w:val="24"/>
              </w:rPr>
              <w:t>6-9分；完善合理</w:t>
            </w:r>
            <w:r>
              <w:rPr>
                <w:rFonts w:ascii="宋体" w:hAnsi="宋体" w:cs="宋体"/>
                <w:bCs/>
                <w:color w:val="auto"/>
                <w:kern w:val="0"/>
                <w:sz w:val="24"/>
              </w:rPr>
              <w:t>但</w:t>
            </w:r>
            <w:r>
              <w:rPr>
                <w:rFonts w:hint="eastAsia" w:ascii="宋体" w:hAnsi="宋体" w:cs="宋体"/>
                <w:bCs/>
                <w:color w:val="auto"/>
                <w:kern w:val="0"/>
                <w:sz w:val="24"/>
              </w:rPr>
              <w:t>需进一步细化的</w:t>
            </w:r>
            <w:r>
              <w:rPr>
                <w:rFonts w:ascii="宋体" w:hAnsi="宋体" w:cs="宋体"/>
                <w:bCs/>
                <w:color w:val="auto"/>
                <w:kern w:val="0"/>
                <w:sz w:val="24"/>
              </w:rPr>
              <w:t>得</w:t>
            </w:r>
            <w:r>
              <w:rPr>
                <w:rFonts w:hint="eastAsia" w:ascii="宋体" w:hAnsi="宋体" w:cs="宋体"/>
                <w:bCs/>
                <w:color w:val="auto"/>
                <w:kern w:val="0"/>
                <w:sz w:val="24"/>
              </w:rPr>
              <w:t>3-5.9分；不够详尽、无</w:t>
            </w:r>
            <w:r>
              <w:rPr>
                <w:rFonts w:ascii="宋体" w:hAnsi="宋体" w:cs="宋体"/>
                <w:bCs/>
                <w:color w:val="auto"/>
                <w:kern w:val="0"/>
                <w:sz w:val="24"/>
              </w:rPr>
              <w:t>针对性</w:t>
            </w:r>
            <w:r>
              <w:rPr>
                <w:rFonts w:hint="eastAsia" w:ascii="宋体" w:hAnsi="宋体" w:cs="宋体"/>
                <w:bCs/>
                <w:color w:val="auto"/>
                <w:kern w:val="0"/>
                <w:sz w:val="24"/>
              </w:rPr>
              <w:t>的得0-2.9分。</w:t>
            </w:r>
          </w:p>
        </w:tc>
        <w:tc>
          <w:tcPr>
            <w:tcW w:w="414" w:type="pct"/>
            <w:vAlign w:val="center"/>
          </w:tcPr>
          <w:p w14:paraId="4CCFA50B">
            <w:pPr>
              <w:spacing w:line="400" w:lineRule="exact"/>
              <w:jc w:val="center"/>
              <w:rPr>
                <w:rFonts w:ascii="宋体" w:hAnsi="宋体" w:cs="宋体"/>
                <w:color w:val="auto"/>
                <w:kern w:val="1"/>
                <w:sz w:val="24"/>
              </w:rPr>
            </w:pPr>
            <w:r>
              <w:rPr>
                <w:rFonts w:hint="eastAsia" w:ascii="宋体" w:hAnsi="宋体" w:cs="宋体"/>
                <w:color w:val="auto"/>
                <w:kern w:val="1"/>
                <w:sz w:val="24"/>
              </w:rPr>
              <w:t>9</w:t>
            </w:r>
          </w:p>
        </w:tc>
        <w:tc>
          <w:tcPr>
            <w:tcW w:w="285" w:type="pct"/>
            <w:vAlign w:val="center"/>
          </w:tcPr>
          <w:p w14:paraId="6F9A945B">
            <w:pPr>
              <w:spacing w:line="400" w:lineRule="exact"/>
              <w:jc w:val="center"/>
              <w:rPr>
                <w:rFonts w:ascii="宋体" w:hAnsi="宋体" w:cs="宋体"/>
                <w:color w:val="auto"/>
                <w:kern w:val="1"/>
                <w:sz w:val="24"/>
              </w:rPr>
            </w:pPr>
            <w:r>
              <w:rPr>
                <w:rFonts w:hint="eastAsia" w:ascii="宋体" w:hAnsi="宋体" w:cs="宋体"/>
                <w:bCs/>
                <w:color w:val="auto"/>
                <w:kern w:val="0"/>
                <w:sz w:val="24"/>
              </w:rPr>
              <w:t>主观分</w:t>
            </w:r>
          </w:p>
        </w:tc>
      </w:tr>
      <w:tr w14:paraId="3357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vAlign w:val="center"/>
          </w:tcPr>
          <w:p w14:paraId="15F17390">
            <w:pPr>
              <w:widowControl/>
              <w:spacing w:line="400" w:lineRule="exact"/>
              <w:jc w:val="center"/>
              <w:rPr>
                <w:rFonts w:ascii="宋体" w:hAnsi="宋体" w:cs="宋体"/>
                <w:color w:val="auto"/>
                <w:kern w:val="0"/>
                <w:sz w:val="24"/>
              </w:rPr>
            </w:pPr>
            <w:r>
              <w:rPr>
                <w:rFonts w:hint="eastAsia" w:ascii="宋体" w:hAnsi="宋体" w:cs="宋体"/>
                <w:color w:val="auto"/>
                <w:kern w:val="0"/>
                <w:sz w:val="24"/>
              </w:rPr>
              <w:t>8</w:t>
            </w:r>
          </w:p>
        </w:tc>
        <w:tc>
          <w:tcPr>
            <w:tcW w:w="550" w:type="pct"/>
            <w:vAlign w:val="center"/>
          </w:tcPr>
          <w:p w14:paraId="7968C350">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安全文明措施</w:t>
            </w:r>
          </w:p>
        </w:tc>
        <w:tc>
          <w:tcPr>
            <w:tcW w:w="3465" w:type="pct"/>
            <w:vAlign w:val="center"/>
          </w:tcPr>
          <w:p w14:paraId="3CBE6695">
            <w:pPr>
              <w:widowControl/>
              <w:spacing w:line="400" w:lineRule="exact"/>
              <w:jc w:val="left"/>
              <w:rPr>
                <w:rFonts w:ascii="宋体" w:hAnsi="宋体" w:cs="宋体"/>
                <w:bCs/>
                <w:color w:val="auto"/>
                <w:kern w:val="0"/>
                <w:sz w:val="24"/>
              </w:rPr>
            </w:pPr>
            <w:r>
              <w:rPr>
                <w:rFonts w:hint="eastAsia" w:ascii="宋体" w:hAnsi="宋体" w:cs="宋体"/>
                <w:bCs/>
                <w:color w:val="auto"/>
                <w:kern w:val="0"/>
                <w:sz w:val="24"/>
              </w:rPr>
              <w:t>根据安全生产、文明施工、环境保护保证措施、交通组织措施、雨季、台风的施工保证措施进行综合评审</w:t>
            </w:r>
            <w:r>
              <w:rPr>
                <w:rFonts w:ascii="宋体" w:hAnsi="宋体" w:cs="宋体"/>
                <w:bCs/>
                <w:color w:val="auto"/>
                <w:kern w:val="0"/>
                <w:sz w:val="24"/>
              </w:rPr>
              <w:t>：</w:t>
            </w:r>
            <w:r>
              <w:rPr>
                <w:rFonts w:hint="eastAsia" w:ascii="宋体" w:hAnsi="宋体" w:cs="宋体"/>
                <w:bCs/>
                <w:color w:val="auto"/>
                <w:kern w:val="0"/>
                <w:sz w:val="24"/>
              </w:rPr>
              <w:t>针对台州职业技术学院施工现场项目安全文明措施全面具体、</w:t>
            </w:r>
            <w:r>
              <w:rPr>
                <w:rFonts w:ascii="宋体" w:hAnsi="宋体" w:cs="宋体"/>
                <w:bCs/>
                <w:color w:val="auto"/>
                <w:kern w:val="0"/>
                <w:sz w:val="24"/>
              </w:rPr>
              <w:t>有合理</w:t>
            </w:r>
            <w:r>
              <w:rPr>
                <w:rFonts w:hint="eastAsia" w:ascii="宋体" w:hAnsi="宋体" w:cs="宋体"/>
                <w:bCs/>
                <w:color w:val="auto"/>
                <w:kern w:val="0"/>
                <w:sz w:val="24"/>
              </w:rPr>
              <w:t>性、针对性较强</w:t>
            </w:r>
            <w:r>
              <w:rPr>
                <w:rFonts w:ascii="宋体" w:hAnsi="宋体" w:cs="宋体"/>
                <w:bCs/>
                <w:color w:val="auto"/>
                <w:kern w:val="0"/>
                <w:sz w:val="24"/>
              </w:rPr>
              <w:t>的得</w:t>
            </w:r>
            <w:r>
              <w:rPr>
                <w:rFonts w:hint="eastAsia" w:ascii="宋体" w:hAnsi="宋体" w:cs="宋体"/>
                <w:bCs/>
                <w:color w:val="auto"/>
                <w:kern w:val="0"/>
                <w:sz w:val="24"/>
              </w:rPr>
              <w:t>6-9.5分；全面合理但针对性不强的</w:t>
            </w:r>
            <w:r>
              <w:rPr>
                <w:rFonts w:ascii="宋体" w:hAnsi="宋体" w:cs="宋体"/>
                <w:bCs/>
                <w:color w:val="auto"/>
                <w:kern w:val="0"/>
                <w:sz w:val="24"/>
              </w:rPr>
              <w:t>得</w:t>
            </w:r>
            <w:r>
              <w:rPr>
                <w:rFonts w:hint="eastAsia" w:ascii="宋体" w:hAnsi="宋体" w:cs="宋体"/>
                <w:bCs/>
                <w:color w:val="auto"/>
                <w:kern w:val="0"/>
                <w:sz w:val="24"/>
              </w:rPr>
              <w:t>3-5.9分；不够详尽、无</w:t>
            </w:r>
            <w:r>
              <w:rPr>
                <w:rFonts w:ascii="宋体" w:hAnsi="宋体" w:cs="宋体"/>
                <w:bCs/>
                <w:color w:val="auto"/>
                <w:kern w:val="0"/>
                <w:sz w:val="24"/>
              </w:rPr>
              <w:t>针对性</w:t>
            </w:r>
            <w:r>
              <w:rPr>
                <w:rFonts w:hint="eastAsia" w:ascii="宋体" w:hAnsi="宋体" w:cs="宋体"/>
                <w:bCs/>
                <w:color w:val="auto"/>
                <w:kern w:val="0"/>
                <w:sz w:val="24"/>
              </w:rPr>
              <w:t>的得0-2.9分。</w:t>
            </w:r>
          </w:p>
        </w:tc>
        <w:tc>
          <w:tcPr>
            <w:tcW w:w="414" w:type="pct"/>
            <w:vAlign w:val="center"/>
          </w:tcPr>
          <w:p w14:paraId="37EF5ABC">
            <w:pPr>
              <w:spacing w:line="400" w:lineRule="exact"/>
              <w:jc w:val="center"/>
              <w:rPr>
                <w:rFonts w:ascii="宋体" w:hAnsi="宋体" w:cs="宋体"/>
                <w:color w:val="auto"/>
                <w:kern w:val="1"/>
                <w:sz w:val="24"/>
              </w:rPr>
            </w:pPr>
            <w:r>
              <w:rPr>
                <w:rFonts w:hint="eastAsia" w:ascii="宋体" w:hAnsi="宋体" w:cs="宋体"/>
                <w:color w:val="auto"/>
                <w:kern w:val="1"/>
                <w:sz w:val="24"/>
              </w:rPr>
              <w:t>9.5</w:t>
            </w:r>
          </w:p>
        </w:tc>
        <w:tc>
          <w:tcPr>
            <w:tcW w:w="285" w:type="pct"/>
            <w:vAlign w:val="center"/>
          </w:tcPr>
          <w:p w14:paraId="5086047E">
            <w:pPr>
              <w:spacing w:line="400" w:lineRule="exact"/>
              <w:jc w:val="center"/>
              <w:rPr>
                <w:rFonts w:ascii="宋体" w:hAnsi="宋体" w:cs="宋体"/>
                <w:color w:val="auto"/>
                <w:kern w:val="1"/>
                <w:sz w:val="24"/>
              </w:rPr>
            </w:pPr>
            <w:r>
              <w:rPr>
                <w:rFonts w:hint="eastAsia" w:ascii="宋体" w:hAnsi="宋体" w:cs="宋体"/>
                <w:bCs/>
                <w:color w:val="auto"/>
                <w:kern w:val="0"/>
                <w:sz w:val="24"/>
              </w:rPr>
              <w:t>主观分</w:t>
            </w:r>
          </w:p>
        </w:tc>
      </w:tr>
      <w:tr w14:paraId="1E2E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84" w:type="pct"/>
            <w:vAlign w:val="center"/>
          </w:tcPr>
          <w:p w14:paraId="7633B4FC">
            <w:pPr>
              <w:widowControl/>
              <w:spacing w:line="400" w:lineRule="exact"/>
              <w:jc w:val="center"/>
              <w:rPr>
                <w:rFonts w:ascii="宋体" w:hAnsi="宋体" w:cs="宋体"/>
                <w:color w:val="auto"/>
                <w:kern w:val="0"/>
                <w:sz w:val="24"/>
              </w:rPr>
            </w:pPr>
            <w:r>
              <w:rPr>
                <w:rFonts w:hint="eastAsia" w:ascii="宋体" w:hAnsi="宋体" w:cs="宋体"/>
                <w:color w:val="auto"/>
                <w:kern w:val="0"/>
                <w:sz w:val="24"/>
              </w:rPr>
              <w:t>9</w:t>
            </w:r>
          </w:p>
        </w:tc>
        <w:tc>
          <w:tcPr>
            <w:tcW w:w="550" w:type="pct"/>
            <w:vAlign w:val="center"/>
          </w:tcPr>
          <w:p w14:paraId="7E1D0310">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进度计划保证措施</w:t>
            </w:r>
          </w:p>
        </w:tc>
        <w:tc>
          <w:tcPr>
            <w:tcW w:w="3465" w:type="pct"/>
            <w:vAlign w:val="center"/>
          </w:tcPr>
          <w:p w14:paraId="7DB6DBB6">
            <w:pPr>
              <w:widowControl/>
              <w:spacing w:line="400" w:lineRule="exact"/>
              <w:jc w:val="left"/>
              <w:rPr>
                <w:rFonts w:ascii="宋体" w:hAnsi="宋体" w:cs="宋体"/>
                <w:bCs/>
                <w:color w:val="auto"/>
                <w:kern w:val="0"/>
                <w:sz w:val="24"/>
              </w:rPr>
            </w:pPr>
            <w:r>
              <w:rPr>
                <w:rFonts w:hint="eastAsia" w:ascii="宋体" w:hAnsi="宋体" w:cs="宋体"/>
                <w:bCs/>
                <w:color w:val="auto"/>
                <w:kern w:val="0"/>
                <w:sz w:val="24"/>
              </w:rPr>
              <w:t>根据学生生活区等实际情况对项目整体工作阶段及任务划分、进度控制是否合理、关键时间节点把握是否科学准确进行</w:t>
            </w:r>
            <w:r>
              <w:rPr>
                <w:rFonts w:ascii="宋体" w:hAnsi="宋体" w:cs="宋体"/>
                <w:bCs/>
                <w:color w:val="auto"/>
                <w:kern w:val="0"/>
                <w:sz w:val="24"/>
              </w:rPr>
              <w:t>评审：</w:t>
            </w:r>
            <w:r>
              <w:rPr>
                <w:rFonts w:hint="eastAsia" w:ascii="宋体" w:hAnsi="宋体" w:cs="宋体"/>
                <w:bCs/>
                <w:color w:val="auto"/>
                <w:kern w:val="0"/>
                <w:sz w:val="24"/>
              </w:rPr>
              <w:t>进度控制合理节点把握科学准确的且具有针对性的，得4-6分；进度控制节点把握不够详细准确的，得2-3.9分；进度控制节点把握一般的得0-1.9分。</w:t>
            </w:r>
          </w:p>
        </w:tc>
        <w:tc>
          <w:tcPr>
            <w:tcW w:w="414" w:type="pct"/>
            <w:vAlign w:val="center"/>
          </w:tcPr>
          <w:p w14:paraId="37A3E9A6">
            <w:pPr>
              <w:spacing w:line="400" w:lineRule="exact"/>
              <w:jc w:val="center"/>
              <w:rPr>
                <w:rFonts w:ascii="宋体" w:hAnsi="宋体" w:cs="宋体"/>
                <w:color w:val="auto"/>
                <w:kern w:val="1"/>
                <w:sz w:val="24"/>
              </w:rPr>
            </w:pPr>
            <w:r>
              <w:rPr>
                <w:rFonts w:ascii="宋体" w:hAnsi="宋体" w:cs="宋体"/>
                <w:color w:val="auto"/>
                <w:kern w:val="1"/>
                <w:sz w:val="24"/>
              </w:rPr>
              <w:t>6</w:t>
            </w:r>
          </w:p>
        </w:tc>
        <w:tc>
          <w:tcPr>
            <w:tcW w:w="285" w:type="pct"/>
            <w:vAlign w:val="center"/>
          </w:tcPr>
          <w:p w14:paraId="36B91547">
            <w:pPr>
              <w:spacing w:line="400" w:lineRule="exact"/>
              <w:jc w:val="center"/>
              <w:rPr>
                <w:rFonts w:ascii="宋体" w:hAnsi="宋体" w:cs="宋体"/>
                <w:color w:val="auto"/>
                <w:kern w:val="1"/>
                <w:sz w:val="24"/>
              </w:rPr>
            </w:pPr>
            <w:r>
              <w:rPr>
                <w:rFonts w:hint="eastAsia" w:ascii="宋体" w:hAnsi="宋体" w:cs="宋体"/>
                <w:bCs/>
                <w:color w:val="auto"/>
                <w:kern w:val="0"/>
                <w:sz w:val="24"/>
              </w:rPr>
              <w:t>主观分</w:t>
            </w:r>
          </w:p>
        </w:tc>
      </w:tr>
      <w:tr w14:paraId="5AE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vAlign w:val="center"/>
          </w:tcPr>
          <w:p w14:paraId="1A00BC84">
            <w:pPr>
              <w:spacing w:line="400" w:lineRule="exact"/>
              <w:jc w:val="center"/>
              <w:rPr>
                <w:rFonts w:ascii="宋体" w:hAnsi="宋体"/>
                <w:color w:val="auto"/>
                <w:sz w:val="24"/>
              </w:rPr>
            </w:pPr>
            <w:r>
              <w:rPr>
                <w:rFonts w:ascii="宋体" w:hAnsi="宋体"/>
                <w:color w:val="auto"/>
                <w:sz w:val="24"/>
              </w:rPr>
              <w:t>1</w:t>
            </w:r>
            <w:r>
              <w:rPr>
                <w:rFonts w:hint="eastAsia" w:ascii="宋体" w:hAnsi="宋体"/>
                <w:color w:val="auto"/>
                <w:sz w:val="24"/>
              </w:rPr>
              <w:t>0</w:t>
            </w:r>
          </w:p>
        </w:tc>
        <w:tc>
          <w:tcPr>
            <w:tcW w:w="550" w:type="pct"/>
            <w:vAlign w:val="center"/>
          </w:tcPr>
          <w:p w14:paraId="602E68A0">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质量保证措施</w:t>
            </w:r>
          </w:p>
        </w:tc>
        <w:tc>
          <w:tcPr>
            <w:tcW w:w="3465" w:type="pct"/>
            <w:vAlign w:val="center"/>
          </w:tcPr>
          <w:p w14:paraId="79258364">
            <w:pPr>
              <w:widowControl/>
              <w:spacing w:line="400" w:lineRule="exact"/>
              <w:jc w:val="left"/>
              <w:rPr>
                <w:rFonts w:ascii="宋体" w:hAnsi="宋体" w:cs="宋体"/>
                <w:color w:val="auto"/>
                <w:sz w:val="24"/>
              </w:rPr>
            </w:pPr>
            <w:r>
              <w:rPr>
                <w:rFonts w:hint="eastAsia" w:ascii="宋体" w:hAnsi="宋体" w:cs="宋体"/>
                <w:color w:val="auto"/>
                <w:sz w:val="24"/>
              </w:rPr>
              <w:t>项目质量保障措施，施工过程质量应对措施。</w:t>
            </w:r>
          </w:p>
          <w:p w14:paraId="7158BFB8">
            <w:pPr>
              <w:widowControl/>
              <w:spacing w:line="400" w:lineRule="exact"/>
              <w:jc w:val="left"/>
              <w:rPr>
                <w:rFonts w:ascii="宋体" w:hAnsi="宋体" w:cs="宋体"/>
                <w:bCs/>
                <w:color w:val="auto"/>
                <w:kern w:val="0"/>
                <w:sz w:val="24"/>
              </w:rPr>
            </w:pPr>
            <w:r>
              <w:rPr>
                <w:rFonts w:hint="eastAsia" w:ascii="宋体" w:hAnsi="宋体" w:cs="宋体"/>
                <w:color w:val="auto"/>
                <w:sz w:val="24"/>
              </w:rPr>
              <w:t>质量保证保障措施完备周全，应对措施科学合理的得3-5分；质量保证措施完整，应对措施较为完善的得2-2.9分；质量保证措施一般，应对措施不够完整的得0-1.9分。</w:t>
            </w:r>
          </w:p>
        </w:tc>
        <w:tc>
          <w:tcPr>
            <w:tcW w:w="414" w:type="pct"/>
            <w:vAlign w:val="center"/>
          </w:tcPr>
          <w:p w14:paraId="45A2AD33">
            <w:pPr>
              <w:spacing w:line="400" w:lineRule="exact"/>
              <w:jc w:val="center"/>
              <w:rPr>
                <w:rFonts w:ascii="宋体" w:hAnsi="宋体" w:cs="宋体"/>
                <w:color w:val="auto"/>
                <w:kern w:val="1"/>
                <w:sz w:val="24"/>
              </w:rPr>
            </w:pPr>
            <w:r>
              <w:rPr>
                <w:rFonts w:hint="eastAsia" w:ascii="宋体" w:hAnsi="宋体" w:cs="宋体"/>
                <w:color w:val="auto"/>
                <w:kern w:val="1"/>
                <w:sz w:val="24"/>
              </w:rPr>
              <w:t>5</w:t>
            </w:r>
          </w:p>
        </w:tc>
        <w:tc>
          <w:tcPr>
            <w:tcW w:w="285" w:type="pct"/>
            <w:vAlign w:val="center"/>
          </w:tcPr>
          <w:p w14:paraId="7C07CA2F">
            <w:pPr>
              <w:spacing w:line="400" w:lineRule="exact"/>
              <w:jc w:val="center"/>
              <w:rPr>
                <w:rFonts w:ascii="宋体" w:hAnsi="宋体" w:cs="宋体"/>
                <w:color w:val="auto"/>
                <w:kern w:val="1"/>
                <w:sz w:val="24"/>
              </w:rPr>
            </w:pPr>
            <w:r>
              <w:rPr>
                <w:rFonts w:hint="eastAsia" w:ascii="宋体" w:hAnsi="宋体" w:cs="宋体"/>
                <w:bCs/>
                <w:color w:val="auto"/>
                <w:kern w:val="0"/>
                <w:sz w:val="24"/>
              </w:rPr>
              <w:t>主观分</w:t>
            </w:r>
          </w:p>
        </w:tc>
      </w:tr>
      <w:tr w14:paraId="61E1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vAlign w:val="center"/>
          </w:tcPr>
          <w:p w14:paraId="4BD922C9">
            <w:pPr>
              <w:spacing w:line="400" w:lineRule="exact"/>
              <w:jc w:val="center"/>
              <w:rPr>
                <w:rFonts w:ascii="宋体" w:hAnsi="宋体"/>
                <w:color w:val="auto"/>
                <w:sz w:val="24"/>
              </w:rPr>
            </w:pPr>
            <w:r>
              <w:rPr>
                <w:rFonts w:hint="eastAsia" w:ascii="宋体" w:hAnsi="宋体"/>
                <w:color w:val="auto"/>
                <w:sz w:val="24"/>
              </w:rPr>
              <w:t>11</w:t>
            </w:r>
          </w:p>
        </w:tc>
        <w:tc>
          <w:tcPr>
            <w:tcW w:w="550" w:type="pct"/>
            <w:vAlign w:val="center"/>
          </w:tcPr>
          <w:p w14:paraId="4217CE32">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质保期承诺</w:t>
            </w:r>
          </w:p>
        </w:tc>
        <w:tc>
          <w:tcPr>
            <w:tcW w:w="3465" w:type="pct"/>
            <w:vAlign w:val="center"/>
          </w:tcPr>
          <w:p w14:paraId="070436ED">
            <w:pPr>
              <w:widowControl/>
              <w:spacing w:line="400" w:lineRule="exact"/>
              <w:jc w:val="left"/>
              <w:rPr>
                <w:rFonts w:ascii="宋体" w:hAnsi="宋体" w:cs="宋体"/>
                <w:color w:val="auto"/>
                <w:sz w:val="24"/>
              </w:rPr>
            </w:pPr>
            <w:r>
              <w:rPr>
                <w:rFonts w:hint="eastAsia" w:ascii="宋体" w:hAnsi="宋体" w:cs="宋体"/>
                <w:color w:val="auto"/>
                <w:sz w:val="24"/>
              </w:rPr>
              <w:t>投标人根据工程交付使用</w:t>
            </w:r>
            <w:r>
              <w:rPr>
                <w:rFonts w:ascii="宋体" w:hAnsi="宋体" w:cs="宋体"/>
                <w:color w:val="auto"/>
                <w:sz w:val="24"/>
              </w:rPr>
              <w:t>后</w:t>
            </w:r>
            <w:r>
              <w:rPr>
                <w:rFonts w:hint="eastAsia" w:ascii="宋体" w:hAnsi="宋体" w:cs="宋体"/>
                <w:color w:val="auto"/>
                <w:sz w:val="24"/>
              </w:rPr>
              <w:t>的维护需求拟定保修服务方案，提供后期免费维修承诺，根据维修方案是否及时</w:t>
            </w:r>
            <w:r>
              <w:rPr>
                <w:rFonts w:ascii="宋体" w:hAnsi="宋体" w:cs="宋体"/>
                <w:color w:val="auto"/>
                <w:sz w:val="24"/>
              </w:rPr>
              <w:t>、</w:t>
            </w:r>
            <w:r>
              <w:rPr>
                <w:rFonts w:hint="eastAsia" w:ascii="宋体" w:hAnsi="宋体" w:cs="宋体"/>
                <w:color w:val="auto"/>
                <w:sz w:val="24"/>
              </w:rPr>
              <w:t>完整合理、长效可行进行综合评审：维修</w:t>
            </w:r>
            <w:r>
              <w:rPr>
                <w:rFonts w:ascii="宋体" w:hAnsi="宋体" w:cs="宋体"/>
                <w:color w:val="auto"/>
                <w:sz w:val="24"/>
              </w:rPr>
              <w:t>响应及时</w:t>
            </w:r>
            <w:r>
              <w:rPr>
                <w:rFonts w:hint="eastAsia" w:ascii="宋体" w:hAnsi="宋体" w:cs="宋体"/>
                <w:color w:val="auto"/>
                <w:sz w:val="24"/>
              </w:rPr>
              <w:t>、</w:t>
            </w:r>
            <w:r>
              <w:rPr>
                <w:rFonts w:ascii="宋体" w:hAnsi="宋体" w:cs="宋体"/>
                <w:color w:val="auto"/>
                <w:sz w:val="24"/>
              </w:rPr>
              <w:t>长效可行的得</w:t>
            </w:r>
            <w:r>
              <w:rPr>
                <w:rFonts w:hint="eastAsia" w:ascii="宋体" w:hAnsi="宋体" w:cs="宋体"/>
                <w:color w:val="auto"/>
                <w:sz w:val="24"/>
              </w:rPr>
              <w:t>3-5分</w:t>
            </w:r>
            <w:r>
              <w:rPr>
                <w:rFonts w:ascii="宋体" w:hAnsi="宋体" w:cs="宋体"/>
                <w:color w:val="auto"/>
                <w:sz w:val="24"/>
              </w:rPr>
              <w:t>，维修响应及时、</w:t>
            </w:r>
            <w:r>
              <w:rPr>
                <w:rFonts w:hint="eastAsia" w:ascii="宋体" w:hAnsi="宋体" w:cs="宋体"/>
                <w:color w:val="auto"/>
                <w:sz w:val="24"/>
              </w:rPr>
              <w:t>长效可行</w:t>
            </w:r>
            <w:r>
              <w:rPr>
                <w:rFonts w:ascii="宋体" w:hAnsi="宋体" w:cs="宋体"/>
                <w:color w:val="auto"/>
                <w:sz w:val="24"/>
              </w:rPr>
              <w:t>但</w:t>
            </w:r>
            <w:r>
              <w:rPr>
                <w:rFonts w:hint="eastAsia" w:ascii="宋体" w:hAnsi="宋体" w:cs="宋体"/>
                <w:color w:val="auto"/>
                <w:sz w:val="24"/>
              </w:rPr>
              <w:t>承诺不够</w:t>
            </w:r>
            <w:r>
              <w:rPr>
                <w:rFonts w:ascii="宋体" w:hAnsi="宋体" w:cs="宋体"/>
                <w:color w:val="auto"/>
                <w:sz w:val="24"/>
              </w:rPr>
              <w:t>具体的得</w:t>
            </w:r>
            <w:r>
              <w:rPr>
                <w:rFonts w:hint="eastAsia" w:ascii="宋体" w:hAnsi="宋体" w:cs="宋体"/>
                <w:color w:val="auto"/>
                <w:sz w:val="24"/>
              </w:rPr>
              <w:t>2-2.9分</w:t>
            </w:r>
            <w:r>
              <w:rPr>
                <w:rFonts w:ascii="宋体" w:hAnsi="宋体" w:cs="宋体"/>
                <w:color w:val="auto"/>
                <w:sz w:val="24"/>
              </w:rPr>
              <w:t>，维修响应</w:t>
            </w:r>
            <w:r>
              <w:rPr>
                <w:rFonts w:hint="eastAsia" w:ascii="宋体" w:hAnsi="宋体" w:cs="宋体"/>
                <w:color w:val="auto"/>
                <w:sz w:val="24"/>
              </w:rPr>
              <w:t>时间较长、合理</w:t>
            </w:r>
            <w:r>
              <w:rPr>
                <w:rFonts w:ascii="宋体" w:hAnsi="宋体" w:cs="宋体"/>
                <w:color w:val="auto"/>
                <w:sz w:val="24"/>
              </w:rPr>
              <w:t>有可操作性</w:t>
            </w:r>
            <w:r>
              <w:rPr>
                <w:rFonts w:hint="eastAsia" w:ascii="宋体" w:hAnsi="宋体" w:cs="宋体"/>
                <w:color w:val="auto"/>
                <w:sz w:val="24"/>
              </w:rPr>
              <w:t>的</w:t>
            </w:r>
            <w:r>
              <w:rPr>
                <w:rFonts w:ascii="宋体" w:hAnsi="宋体" w:cs="宋体"/>
                <w:color w:val="auto"/>
                <w:sz w:val="24"/>
              </w:rPr>
              <w:t>得</w:t>
            </w:r>
            <w:r>
              <w:rPr>
                <w:rFonts w:hint="eastAsia" w:ascii="宋体" w:hAnsi="宋体" w:cs="宋体"/>
                <w:color w:val="auto"/>
                <w:sz w:val="24"/>
              </w:rPr>
              <w:t>0-1.9分。</w:t>
            </w:r>
          </w:p>
        </w:tc>
        <w:tc>
          <w:tcPr>
            <w:tcW w:w="414" w:type="pct"/>
            <w:vAlign w:val="center"/>
          </w:tcPr>
          <w:p w14:paraId="37F8F514">
            <w:pPr>
              <w:spacing w:line="400" w:lineRule="exact"/>
              <w:jc w:val="center"/>
              <w:rPr>
                <w:rFonts w:ascii="宋体" w:hAnsi="宋体" w:cs="宋体"/>
                <w:color w:val="auto"/>
                <w:kern w:val="1"/>
                <w:sz w:val="24"/>
              </w:rPr>
            </w:pPr>
            <w:r>
              <w:rPr>
                <w:rFonts w:hint="eastAsia" w:ascii="宋体" w:hAnsi="宋体" w:cs="宋体"/>
                <w:color w:val="auto"/>
                <w:kern w:val="1"/>
                <w:sz w:val="24"/>
              </w:rPr>
              <w:t>5</w:t>
            </w:r>
          </w:p>
        </w:tc>
        <w:tc>
          <w:tcPr>
            <w:tcW w:w="285" w:type="pct"/>
            <w:vAlign w:val="center"/>
          </w:tcPr>
          <w:p w14:paraId="516AFF88">
            <w:pPr>
              <w:spacing w:line="400" w:lineRule="exact"/>
              <w:jc w:val="center"/>
              <w:rPr>
                <w:rFonts w:ascii="宋体" w:hAnsi="宋体" w:cs="宋体"/>
                <w:color w:val="auto"/>
                <w:kern w:val="1"/>
                <w:sz w:val="24"/>
              </w:rPr>
            </w:pPr>
            <w:r>
              <w:rPr>
                <w:rFonts w:hint="eastAsia" w:ascii="宋体" w:hAnsi="宋体" w:cs="宋体"/>
                <w:bCs/>
                <w:color w:val="auto"/>
                <w:kern w:val="0"/>
                <w:sz w:val="24"/>
              </w:rPr>
              <w:t>主观分</w:t>
            </w:r>
          </w:p>
        </w:tc>
      </w:tr>
      <w:tr w14:paraId="5AA1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vAlign w:val="center"/>
          </w:tcPr>
          <w:p w14:paraId="0BC34C44">
            <w:pPr>
              <w:spacing w:line="400" w:lineRule="exact"/>
              <w:jc w:val="center"/>
              <w:rPr>
                <w:rFonts w:ascii="宋体" w:hAnsi="宋体"/>
                <w:color w:val="auto"/>
                <w:sz w:val="24"/>
              </w:rPr>
            </w:pPr>
            <w:r>
              <w:rPr>
                <w:rFonts w:hint="eastAsia" w:ascii="宋体" w:hAnsi="宋体"/>
                <w:color w:val="auto"/>
                <w:sz w:val="24"/>
              </w:rPr>
              <w:t>12</w:t>
            </w:r>
          </w:p>
        </w:tc>
        <w:tc>
          <w:tcPr>
            <w:tcW w:w="550" w:type="pct"/>
            <w:vAlign w:val="center"/>
          </w:tcPr>
          <w:p w14:paraId="2E106820">
            <w:pPr>
              <w:widowControl/>
              <w:spacing w:line="400" w:lineRule="exact"/>
              <w:jc w:val="center"/>
              <w:rPr>
                <w:rFonts w:ascii="宋体" w:hAnsi="宋体" w:cs="宋体"/>
                <w:bCs/>
                <w:color w:val="auto"/>
                <w:kern w:val="0"/>
                <w:sz w:val="24"/>
              </w:rPr>
            </w:pPr>
            <w:r>
              <w:rPr>
                <w:rFonts w:hint="eastAsia" w:ascii="宋体" w:hAnsi="宋体" w:cs="宋体"/>
                <w:bCs/>
                <w:color w:val="auto"/>
                <w:kern w:val="0"/>
                <w:sz w:val="24"/>
              </w:rPr>
              <w:t>合理化建议</w:t>
            </w:r>
          </w:p>
        </w:tc>
        <w:tc>
          <w:tcPr>
            <w:tcW w:w="3465" w:type="pct"/>
            <w:vAlign w:val="center"/>
          </w:tcPr>
          <w:p w14:paraId="25B89C44">
            <w:pPr>
              <w:widowControl/>
              <w:spacing w:line="400" w:lineRule="exact"/>
              <w:jc w:val="left"/>
              <w:rPr>
                <w:rFonts w:ascii="宋体" w:hAnsi="宋体" w:cs="宋体"/>
                <w:color w:val="auto"/>
                <w:sz w:val="24"/>
              </w:rPr>
            </w:pPr>
            <w:r>
              <w:rPr>
                <w:rFonts w:hint="eastAsia" w:ascii="宋体" w:hAnsi="宋体" w:cs="宋体"/>
                <w:color w:val="auto"/>
                <w:sz w:val="24"/>
              </w:rPr>
              <w:t>根据投标人针对本项目提出的合理化建议是否具有切实可行性进行综合评定，建议</w:t>
            </w:r>
            <w:r>
              <w:rPr>
                <w:rFonts w:ascii="宋体" w:hAnsi="宋体" w:cs="宋体"/>
                <w:bCs/>
                <w:color w:val="auto"/>
                <w:kern w:val="0"/>
                <w:sz w:val="24"/>
              </w:rPr>
              <w:t>有合理</w:t>
            </w:r>
            <w:r>
              <w:rPr>
                <w:rFonts w:hint="eastAsia" w:ascii="宋体" w:hAnsi="宋体" w:cs="宋体"/>
                <w:bCs/>
                <w:color w:val="auto"/>
                <w:kern w:val="0"/>
                <w:sz w:val="24"/>
              </w:rPr>
              <w:t>性、针对性较强</w:t>
            </w:r>
            <w:r>
              <w:rPr>
                <w:rFonts w:ascii="宋体" w:hAnsi="宋体" w:cs="宋体"/>
                <w:bCs/>
                <w:color w:val="auto"/>
                <w:kern w:val="0"/>
                <w:sz w:val="24"/>
              </w:rPr>
              <w:t>的得</w:t>
            </w:r>
            <w:r>
              <w:rPr>
                <w:rFonts w:hint="eastAsia" w:ascii="宋体" w:hAnsi="宋体" w:cs="宋体"/>
                <w:bCs/>
                <w:color w:val="auto"/>
                <w:kern w:val="0"/>
                <w:sz w:val="24"/>
              </w:rPr>
              <w:t>3-5分；</w:t>
            </w:r>
            <w:r>
              <w:rPr>
                <w:rFonts w:hint="eastAsia" w:ascii="宋体" w:hAnsi="宋体" w:cs="宋体"/>
                <w:color w:val="auto"/>
                <w:sz w:val="24"/>
              </w:rPr>
              <w:t>建议把握不够详细准确的得2-2.9分；建议把握一般的得0-1.9分。</w:t>
            </w:r>
          </w:p>
        </w:tc>
        <w:tc>
          <w:tcPr>
            <w:tcW w:w="414" w:type="pct"/>
            <w:vAlign w:val="center"/>
          </w:tcPr>
          <w:p w14:paraId="09988755">
            <w:pPr>
              <w:spacing w:line="400" w:lineRule="exact"/>
              <w:jc w:val="center"/>
              <w:rPr>
                <w:rFonts w:ascii="宋体" w:hAnsi="宋体" w:cs="宋体"/>
                <w:color w:val="auto"/>
                <w:kern w:val="1"/>
                <w:sz w:val="24"/>
              </w:rPr>
            </w:pPr>
            <w:r>
              <w:rPr>
                <w:rFonts w:hint="eastAsia" w:ascii="宋体" w:hAnsi="宋体" w:cs="宋体"/>
                <w:color w:val="auto"/>
                <w:kern w:val="1"/>
                <w:sz w:val="24"/>
              </w:rPr>
              <w:t>5</w:t>
            </w:r>
          </w:p>
        </w:tc>
        <w:tc>
          <w:tcPr>
            <w:tcW w:w="285" w:type="pct"/>
            <w:vAlign w:val="center"/>
          </w:tcPr>
          <w:p w14:paraId="6939A16E">
            <w:pPr>
              <w:spacing w:line="400" w:lineRule="exact"/>
              <w:jc w:val="center"/>
              <w:rPr>
                <w:rFonts w:ascii="宋体" w:hAnsi="宋体" w:cs="宋体"/>
                <w:color w:val="auto"/>
                <w:kern w:val="1"/>
                <w:sz w:val="24"/>
              </w:rPr>
            </w:pPr>
            <w:r>
              <w:rPr>
                <w:rFonts w:hint="eastAsia" w:ascii="宋体" w:hAnsi="宋体" w:cs="宋体"/>
                <w:bCs/>
                <w:color w:val="auto"/>
                <w:kern w:val="0"/>
                <w:sz w:val="24"/>
              </w:rPr>
              <w:t>主观分</w:t>
            </w:r>
          </w:p>
        </w:tc>
      </w:tr>
    </w:tbl>
    <w:p w14:paraId="3F7B2D24">
      <w:pPr>
        <w:autoSpaceDE w:val="0"/>
        <w:autoSpaceDN w:val="0"/>
        <w:adjustRightInd w:val="0"/>
        <w:spacing w:line="360" w:lineRule="auto"/>
        <w:ind w:firstLine="360" w:firstLineChars="150"/>
        <w:jc w:val="left"/>
        <w:rPr>
          <w:rFonts w:ascii="宋体" w:hAnsi="宋体"/>
          <w:color w:val="auto"/>
          <w:kern w:val="0"/>
          <w:sz w:val="24"/>
        </w:rPr>
      </w:pPr>
      <w:r>
        <w:rPr>
          <w:rFonts w:hint="eastAsia" w:ascii="宋体" w:hAnsi="宋体" w:cs="宋体"/>
          <w:color w:val="auto"/>
          <w:sz w:val="24"/>
        </w:rPr>
        <w:t>商务技术响应文件内容缺项的，该项得0分（附件另行备注除外），以上各项</w:t>
      </w:r>
      <w:bookmarkStart w:id="325" w:name="_GoBack"/>
      <w:bookmarkEnd w:id="325"/>
      <w:r>
        <w:rPr>
          <w:rFonts w:hint="eastAsia" w:ascii="宋体" w:hAnsi="宋体" w:cs="宋体"/>
          <w:color w:val="auto"/>
          <w:sz w:val="24"/>
        </w:rPr>
        <w:t>的总和为投标人的商务技术响应文件部分得分。投标文件中所提供的复印件均需清晰可见（建议采用原件的扫描件），否则不利于投标人的评分，由投标人自行负责。</w:t>
      </w:r>
    </w:p>
    <w:p w14:paraId="7FDFD610">
      <w:pPr>
        <w:autoSpaceDE w:val="0"/>
        <w:autoSpaceDN w:val="0"/>
        <w:adjustRightInd w:val="0"/>
        <w:spacing w:line="360" w:lineRule="auto"/>
        <w:ind w:firstLine="360" w:firstLineChars="150"/>
        <w:jc w:val="left"/>
        <w:rPr>
          <w:rFonts w:ascii="宋体" w:hAnsi="宋体"/>
          <w:color w:val="auto"/>
          <w:kern w:val="0"/>
          <w:sz w:val="24"/>
        </w:rPr>
      </w:pPr>
    </w:p>
    <w:p w14:paraId="590AA637">
      <w:pPr>
        <w:autoSpaceDE w:val="0"/>
        <w:autoSpaceDN w:val="0"/>
        <w:adjustRightInd w:val="0"/>
        <w:spacing w:line="360" w:lineRule="auto"/>
        <w:ind w:firstLine="360" w:firstLineChars="150"/>
        <w:jc w:val="left"/>
        <w:rPr>
          <w:rFonts w:ascii="宋体" w:hAnsi="宋体"/>
          <w:color w:val="auto"/>
          <w:kern w:val="0"/>
          <w:sz w:val="24"/>
        </w:rPr>
      </w:pPr>
    </w:p>
    <w:p w14:paraId="217D783E">
      <w:pPr>
        <w:spacing w:line="360" w:lineRule="auto"/>
        <w:jc w:val="center"/>
        <w:rPr>
          <w:rFonts w:ascii="宋体" w:hAnsi="宋体"/>
          <w:b/>
          <w:color w:val="auto"/>
          <w:sz w:val="36"/>
          <w:szCs w:val="36"/>
        </w:rPr>
        <w:sectPr>
          <w:pgSz w:w="11906" w:h="16838"/>
          <w:pgMar w:top="1440" w:right="1800" w:bottom="1440" w:left="1800" w:header="851" w:footer="992" w:gutter="0"/>
          <w:pgNumType w:fmt="decimal"/>
          <w:cols w:space="720" w:num="1"/>
          <w:docGrid w:type="lines" w:linePitch="312" w:charSpace="0"/>
        </w:sectPr>
      </w:pPr>
    </w:p>
    <w:p w14:paraId="14E5E316">
      <w:pPr>
        <w:spacing w:line="360" w:lineRule="auto"/>
        <w:jc w:val="center"/>
        <w:rPr>
          <w:rFonts w:ascii="宋体" w:hAnsi="宋体"/>
          <w:b/>
          <w:color w:val="auto"/>
          <w:sz w:val="36"/>
          <w:szCs w:val="36"/>
        </w:rPr>
      </w:pPr>
      <w:r>
        <w:rPr>
          <w:rFonts w:hint="eastAsia" w:ascii="宋体" w:hAnsi="宋体"/>
          <w:b/>
          <w:color w:val="auto"/>
          <w:sz w:val="36"/>
          <w:szCs w:val="36"/>
        </w:rPr>
        <w:t>第四章 项目需求</w:t>
      </w:r>
    </w:p>
    <w:p w14:paraId="14AF2BA5">
      <w:pPr>
        <w:tabs>
          <w:tab w:val="left" w:pos="8280"/>
        </w:tabs>
        <w:autoSpaceDE w:val="0"/>
        <w:autoSpaceDN w:val="0"/>
        <w:adjustRightInd w:val="0"/>
        <w:spacing w:line="360" w:lineRule="auto"/>
        <w:ind w:right="25" w:firstLine="241" w:firstLineChars="100"/>
        <w:jc w:val="left"/>
        <w:rPr>
          <w:rFonts w:ascii="宋体" w:hAnsi="宋体" w:cs="楷体_GB2312"/>
          <w:color w:val="auto"/>
          <w:sz w:val="24"/>
        </w:rPr>
      </w:pPr>
      <w:r>
        <w:rPr>
          <w:rFonts w:hint="eastAsia" w:ascii="宋体" w:hAnsi="宋体" w:cs="楷体_GB2312"/>
          <w:b/>
          <w:color w:val="auto"/>
          <w:sz w:val="24"/>
        </w:rPr>
        <w:t>一、磋商项目一览表</w:t>
      </w:r>
    </w:p>
    <w:p w14:paraId="55486EE8">
      <w:pPr>
        <w:tabs>
          <w:tab w:val="left" w:pos="8280"/>
        </w:tabs>
        <w:autoSpaceDE w:val="0"/>
        <w:autoSpaceDN w:val="0"/>
        <w:adjustRightInd w:val="0"/>
        <w:spacing w:line="360" w:lineRule="auto"/>
        <w:ind w:right="25"/>
        <w:rPr>
          <w:rFonts w:ascii="宋体" w:hAnsi="宋体"/>
          <w:color w:val="auto"/>
          <w:sz w:val="24"/>
        </w:rPr>
      </w:pPr>
      <w:r>
        <w:rPr>
          <w:rFonts w:ascii="宋体" w:hAnsi="宋体"/>
          <w:color w:val="auto"/>
          <w:sz w:val="24"/>
        </w:rPr>
        <w:t xml:space="preserve"> </w:t>
      </w:r>
      <w:r>
        <w:rPr>
          <w:rFonts w:hint="eastAsia" w:ascii="宋体" w:hAnsi="宋体"/>
          <w:color w:val="auto"/>
          <w:sz w:val="24"/>
        </w:rPr>
        <w:t>本次磋商共</w:t>
      </w:r>
      <w:r>
        <w:rPr>
          <w:rFonts w:ascii="宋体" w:hAnsi="宋体"/>
          <w:color w:val="auto"/>
          <w:sz w:val="24"/>
          <w:u w:val="single"/>
        </w:rPr>
        <w:t>1</w:t>
      </w:r>
      <w:r>
        <w:rPr>
          <w:rFonts w:hint="eastAsia" w:ascii="宋体" w:hAnsi="宋体"/>
          <w:color w:val="auto"/>
          <w:sz w:val="24"/>
        </w:rPr>
        <w:t>个标段，具体内容如下表：</w:t>
      </w:r>
    </w:p>
    <w:tbl>
      <w:tblPr>
        <w:tblStyle w:val="2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268"/>
        <w:gridCol w:w="567"/>
        <w:gridCol w:w="567"/>
        <w:gridCol w:w="851"/>
        <w:gridCol w:w="992"/>
        <w:gridCol w:w="1276"/>
        <w:gridCol w:w="992"/>
      </w:tblGrid>
      <w:tr w14:paraId="7CC9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14:paraId="6F85771F">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标段号</w:t>
            </w:r>
          </w:p>
        </w:tc>
        <w:tc>
          <w:tcPr>
            <w:tcW w:w="1559" w:type="dxa"/>
            <w:vAlign w:val="center"/>
          </w:tcPr>
          <w:p w14:paraId="58AA524F">
            <w:pPr>
              <w:tabs>
                <w:tab w:val="left" w:pos="8280"/>
              </w:tabs>
              <w:autoSpaceDE w:val="0"/>
              <w:autoSpaceDN w:val="0"/>
              <w:adjustRightInd w:val="0"/>
              <w:ind w:right="25" w:firstLine="120" w:firstLineChars="50"/>
              <w:jc w:val="center"/>
              <w:rPr>
                <w:rFonts w:ascii="宋体" w:hAnsi="宋体" w:cs="宋体"/>
                <w:b/>
                <w:color w:val="auto"/>
                <w:sz w:val="24"/>
              </w:rPr>
            </w:pPr>
            <w:r>
              <w:rPr>
                <w:rFonts w:hint="eastAsia" w:ascii="宋体" w:hAnsi="宋体" w:cs="宋体"/>
                <w:b/>
                <w:color w:val="auto"/>
                <w:sz w:val="24"/>
              </w:rPr>
              <w:t>标项内容</w:t>
            </w:r>
          </w:p>
        </w:tc>
        <w:tc>
          <w:tcPr>
            <w:tcW w:w="2268" w:type="dxa"/>
            <w:vAlign w:val="center"/>
          </w:tcPr>
          <w:p w14:paraId="6A7BC0B1">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kern w:val="0"/>
                <w:sz w:val="24"/>
              </w:rPr>
              <w:t>简要技术要求</w:t>
            </w:r>
          </w:p>
        </w:tc>
        <w:tc>
          <w:tcPr>
            <w:tcW w:w="567" w:type="dxa"/>
            <w:vAlign w:val="center"/>
          </w:tcPr>
          <w:p w14:paraId="2C56CE13">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数量</w:t>
            </w:r>
          </w:p>
        </w:tc>
        <w:tc>
          <w:tcPr>
            <w:tcW w:w="567" w:type="dxa"/>
            <w:vAlign w:val="center"/>
          </w:tcPr>
          <w:p w14:paraId="7B8C906C">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单位</w:t>
            </w:r>
          </w:p>
        </w:tc>
        <w:tc>
          <w:tcPr>
            <w:tcW w:w="851" w:type="dxa"/>
            <w:vAlign w:val="center"/>
          </w:tcPr>
          <w:p w14:paraId="20A2EC6F">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预算（元）</w:t>
            </w:r>
          </w:p>
        </w:tc>
        <w:tc>
          <w:tcPr>
            <w:tcW w:w="992" w:type="dxa"/>
            <w:vAlign w:val="center"/>
          </w:tcPr>
          <w:p w14:paraId="509A0A89">
            <w:pPr>
              <w:tabs>
                <w:tab w:val="left" w:pos="8280"/>
              </w:tabs>
              <w:autoSpaceDE w:val="0"/>
              <w:autoSpaceDN w:val="0"/>
              <w:adjustRightInd w:val="0"/>
              <w:spacing w:line="312" w:lineRule="auto"/>
              <w:ind w:left="-214" w:leftChars="-102" w:right="-108"/>
              <w:jc w:val="center"/>
              <w:rPr>
                <w:rFonts w:ascii="宋体" w:hAnsi="宋体" w:cs="宋体"/>
                <w:b/>
                <w:color w:val="auto"/>
                <w:sz w:val="24"/>
              </w:rPr>
            </w:pPr>
            <w:r>
              <w:rPr>
                <w:rFonts w:hint="eastAsia" w:ascii="宋体" w:hAnsi="宋体" w:cs="宋体"/>
                <w:b/>
                <w:color w:val="auto"/>
                <w:sz w:val="24"/>
              </w:rPr>
              <w:t>上限价（元）</w:t>
            </w:r>
          </w:p>
        </w:tc>
        <w:tc>
          <w:tcPr>
            <w:tcW w:w="1276" w:type="dxa"/>
            <w:vAlign w:val="center"/>
          </w:tcPr>
          <w:p w14:paraId="2AD77CFA">
            <w:pPr>
              <w:tabs>
                <w:tab w:val="left" w:pos="8280"/>
              </w:tabs>
              <w:autoSpaceDE w:val="0"/>
              <w:autoSpaceDN w:val="0"/>
              <w:adjustRightInd w:val="0"/>
              <w:spacing w:line="312" w:lineRule="auto"/>
              <w:ind w:left="-107" w:leftChars="-51" w:right="25" w:firstLine="105"/>
              <w:rPr>
                <w:rFonts w:ascii="宋体" w:hAnsi="宋体" w:cs="宋体"/>
                <w:b/>
                <w:color w:val="auto"/>
                <w:sz w:val="24"/>
              </w:rPr>
            </w:pPr>
            <w:r>
              <w:rPr>
                <w:rFonts w:hint="eastAsia" w:ascii="宋体" w:hAnsi="宋体" w:cs="宋体"/>
                <w:b/>
                <w:color w:val="auto"/>
                <w:sz w:val="24"/>
              </w:rPr>
              <w:t>工期（合同签订后几天内）</w:t>
            </w:r>
          </w:p>
        </w:tc>
        <w:tc>
          <w:tcPr>
            <w:tcW w:w="992" w:type="dxa"/>
            <w:vAlign w:val="center"/>
          </w:tcPr>
          <w:p w14:paraId="69A5728D">
            <w:pPr>
              <w:tabs>
                <w:tab w:val="left" w:pos="8280"/>
              </w:tabs>
              <w:autoSpaceDE w:val="0"/>
              <w:autoSpaceDN w:val="0"/>
              <w:adjustRightInd w:val="0"/>
              <w:ind w:right="25" w:hanging="12"/>
              <w:jc w:val="center"/>
              <w:rPr>
                <w:rFonts w:ascii="宋体" w:hAnsi="宋体" w:cs="宋体"/>
                <w:b/>
                <w:color w:val="auto"/>
                <w:sz w:val="24"/>
              </w:rPr>
            </w:pPr>
            <w:r>
              <w:rPr>
                <w:rFonts w:hint="eastAsia" w:ascii="宋体" w:hAnsi="宋体" w:cs="宋体"/>
                <w:b/>
                <w:color w:val="auto"/>
                <w:sz w:val="24"/>
              </w:rPr>
              <w:t>项目地点</w:t>
            </w:r>
          </w:p>
        </w:tc>
      </w:tr>
      <w:tr w14:paraId="44A9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4" w:type="dxa"/>
            <w:vAlign w:val="center"/>
          </w:tcPr>
          <w:p w14:paraId="5FA791FF">
            <w:pPr>
              <w:tabs>
                <w:tab w:val="left" w:pos="8280"/>
              </w:tabs>
              <w:autoSpaceDE w:val="0"/>
              <w:autoSpaceDN w:val="0"/>
              <w:adjustRightInd w:val="0"/>
              <w:ind w:right="25"/>
              <w:jc w:val="center"/>
              <w:rPr>
                <w:rFonts w:ascii="宋体" w:hAnsi="宋体" w:cs="宋体"/>
                <w:color w:val="auto"/>
                <w:sz w:val="24"/>
              </w:rPr>
            </w:pPr>
            <w:r>
              <w:rPr>
                <w:rFonts w:hint="eastAsia" w:ascii="宋体" w:hAnsi="宋体" w:cs="宋体"/>
                <w:color w:val="auto"/>
                <w:sz w:val="24"/>
              </w:rPr>
              <w:t>1</w:t>
            </w:r>
          </w:p>
        </w:tc>
        <w:tc>
          <w:tcPr>
            <w:tcW w:w="1559" w:type="dxa"/>
            <w:vAlign w:val="center"/>
          </w:tcPr>
          <w:p w14:paraId="067B9C3E">
            <w:pPr>
              <w:tabs>
                <w:tab w:val="left" w:pos="8280"/>
              </w:tabs>
              <w:autoSpaceDE w:val="0"/>
              <w:autoSpaceDN w:val="0"/>
              <w:adjustRightInd w:val="0"/>
              <w:ind w:right="25"/>
              <w:jc w:val="center"/>
              <w:rPr>
                <w:rFonts w:hint="eastAsia" w:ascii="宋体" w:hAnsi="宋体" w:eastAsia="宋体" w:cs="宋体"/>
                <w:color w:val="auto"/>
                <w:sz w:val="24"/>
                <w:lang w:eastAsia="zh-CN"/>
              </w:rPr>
            </w:pPr>
            <w:r>
              <w:rPr>
                <w:rFonts w:hint="eastAsia" w:ascii="宋体" w:hAnsi="宋体" w:cs="宋体"/>
                <w:color w:val="auto"/>
                <w:sz w:val="24"/>
                <w:lang w:eastAsia="zh-CN"/>
              </w:rPr>
              <w:t>台州职业技术学院教师公寓三单元4、5、6层改造项目</w:t>
            </w:r>
          </w:p>
        </w:tc>
        <w:tc>
          <w:tcPr>
            <w:tcW w:w="2268" w:type="dxa"/>
            <w:vAlign w:val="center"/>
          </w:tcPr>
          <w:p w14:paraId="25740B25">
            <w:pPr>
              <w:tabs>
                <w:tab w:val="left" w:pos="8280"/>
              </w:tabs>
              <w:autoSpaceDE w:val="0"/>
              <w:autoSpaceDN w:val="0"/>
              <w:adjustRightInd w:val="0"/>
              <w:ind w:right="25"/>
              <w:rPr>
                <w:rFonts w:ascii="宋体" w:hAnsi="宋体" w:cs="宋体"/>
                <w:color w:val="auto"/>
                <w:sz w:val="24"/>
              </w:rPr>
            </w:pPr>
            <w:r>
              <w:rPr>
                <w:rFonts w:hint="eastAsia" w:ascii="宋体" w:hAnsi="宋体" w:cs="宋体"/>
                <w:color w:val="auto"/>
                <w:sz w:val="24"/>
                <w:lang w:eastAsia="zh-CN"/>
              </w:rPr>
              <w:t>台州职业技术学院教师公寓三单元4、5、6层改造项目</w:t>
            </w:r>
            <w:r>
              <w:rPr>
                <w:rFonts w:hint="eastAsia" w:ascii="宋体" w:hAnsi="宋体" w:cs="宋体"/>
                <w:color w:val="auto"/>
                <w:sz w:val="24"/>
                <w:lang w:eastAsia="zh-Hans"/>
              </w:rPr>
              <w:t>，具体装修要求详见图纸及预算</w:t>
            </w:r>
          </w:p>
        </w:tc>
        <w:tc>
          <w:tcPr>
            <w:tcW w:w="567" w:type="dxa"/>
            <w:vAlign w:val="center"/>
          </w:tcPr>
          <w:p w14:paraId="106422FE">
            <w:pPr>
              <w:tabs>
                <w:tab w:val="left" w:pos="8280"/>
              </w:tabs>
              <w:autoSpaceDE w:val="0"/>
              <w:autoSpaceDN w:val="0"/>
              <w:adjustRightInd w:val="0"/>
              <w:ind w:right="25"/>
              <w:jc w:val="center"/>
              <w:rPr>
                <w:rFonts w:ascii="宋体" w:hAnsi="宋体" w:cs="宋体"/>
                <w:color w:val="auto"/>
                <w:sz w:val="24"/>
              </w:rPr>
            </w:pPr>
            <w:r>
              <w:rPr>
                <w:rFonts w:hint="eastAsia" w:ascii="宋体" w:hAnsi="宋体" w:cs="宋体"/>
                <w:color w:val="auto"/>
                <w:sz w:val="24"/>
              </w:rPr>
              <w:t>1</w:t>
            </w:r>
          </w:p>
        </w:tc>
        <w:tc>
          <w:tcPr>
            <w:tcW w:w="567" w:type="dxa"/>
            <w:vAlign w:val="center"/>
          </w:tcPr>
          <w:p w14:paraId="6742634B">
            <w:pPr>
              <w:tabs>
                <w:tab w:val="left" w:pos="8280"/>
              </w:tabs>
              <w:autoSpaceDE w:val="0"/>
              <w:autoSpaceDN w:val="0"/>
              <w:adjustRightInd w:val="0"/>
              <w:ind w:right="25"/>
              <w:jc w:val="center"/>
              <w:rPr>
                <w:rFonts w:ascii="宋体" w:hAnsi="宋体" w:cs="宋体"/>
                <w:color w:val="auto"/>
                <w:sz w:val="24"/>
              </w:rPr>
            </w:pPr>
            <w:r>
              <w:rPr>
                <w:rFonts w:hint="eastAsia" w:ascii="宋体" w:hAnsi="宋体" w:cs="宋体"/>
                <w:color w:val="auto"/>
                <w:sz w:val="24"/>
              </w:rPr>
              <w:t>项</w:t>
            </w:r>
          </w:p>
        </w:tc>
        <w:tc>
          <w:tcPr>
            <w:tcW w:w="851" w:type="dxa"/>
            <w:vAlign w:val="center"/>
          </w:tcPr>
          <w:p w14:paraId="77AA7C5F">
            <w:pPr>
              <w:autoSpaceDE w:val="0"/>
              <w:autoSpaceDN w:val="0"/>
              <w:adjustRightInd w:val="0"/>
              <w:ind w:right="25"/>
              <w:jc w:val="center"/>
              <w:rPr>
                <w:rFonts w:hint="default" w:ascii="宋体" w:hAnsi="宋体" w:cs="宋体"/>
                <w:color w:val="auto"/>
                <w:sz w:val="24"/>
                <w:lang w:val="en-US"/>
              </w:rPr>
            </w:pPr>
            <w:r>
              <w:rPr>
                <w:rFonts w:hint="default" w:ascii="宋体" w:hAnsi="宋体" w:cs="宋体"/>
                <w:color w:val="auto"/>
                <w:sz w:val="24"/>
                <w:lang w:val="en-US"/>
              </w:rPr>
              <w:t>1400000</w:t>
            </w:r>
          </w:p>
        </w:tc>
        <w:tc>
          <w:tcPr>
            <w:tcW w:w="992" w:type="dxa"/>
            <w:vAlign w:val="center"/>
          </w:tcPr>
          <w:p w14:paraId="63E44D98">
            <w:pPr>
              <w:autoSpaceDE w:val="0"/>
              <w:autoSpaceDN w:val="0"/>
              <w:adjustRightInd w:val="0"/>
              <w:ind w:right="25"/>
              <w:jc w:val="center"/>
              <w:rPr>
                <w:rFonts w:hint="default" w:ascii="宋体" w:hAnsi="宋体" w:cs="宋体"/>
                <w:color w:val="auto"/>
                <w:sz w:val="24"/>
                <w:lang w:val="en-US"/>
              </w:rPr>
            </w:pPr>
            <w:r>
              <w:rPr>
                <w:rFonts w:hint="default" w:ascii="宋体" w:hAnsi="宋体" w:cs="宋体"/>
                <w:color w:val="auto"/>
                <w:sz w:val="24"/>
                <w:lang w:val="en-US"/>
              </w:rPr>
              <w:t>1104053.9</w:t>
            </w:r>
          </w:p>
        </w:tc>
        <w:tc>
          <w:tcPr>
            <w:tcW w:w="1276" w:type="dxa"/>
            <w:vAlign w:val="center"/>
          </w:tcPr>
          <w:p w14:paraId="48CE2AE9">
            <w:pPr>
              <w:tabs>
                <w:tab w:val="left" w:pos="8280"/>
              </w:tabs>
              <w:autoSpaceDE w:val="0"/>
              <w:autoSpaceDN w:val="0"/>
              <w:adjustRightInd w:val="0"/>
              <w:ind w:right="25"/>
              <w:jc w:val="center"/>
              <w:rPr>
                <w:rFonts w:ascii="宋体" w:hAnsi="宋体" w:cs="宋体"/>
                <w:color w:val="auto"/>
                <w:sz w:val="24"/>
                <w:lang w:eastAsia="zh-Hans"/>
              </w:rPr>
            </w:pPr>
            <w:r>
              <w:rPr>
                <w:rFonts w:hint="eastAsia" w:ascii="宋体" w:hAnsi="宋体" w:cs="宋体"/>
                <w:color w:val="auto"/>
                <w:sz w:val="24"/>
                <w:lang w:val="en-US" w:eastAsia="zh-CN"/>
              </w:rPr>
              <w:t>55</w:t>
            </w:r>
            <w:r>
              <w:rPr>
                <w:rFonts w:hint="eastAsia" w:ascii="宋体" w:hAnsi="宋体" w:cs="宋体"/>
                <w:color w:val="auto"/>
                <w:sz w:val="24"/>
                <w:lang w:eastAsia="zh-Hans"/>
              </w:rPr>
              <w:t>日历天</w:t>
            </w:r>
          </w:p>
        </w:tc>
        <w:tc>
          <w:tcPr>
            <w:tcW w:w="992" w:type="dxa"/>
            <w:vAlign w:val="center"/>
          </w:tcPr>
          <w:p w14:paraId="25D9C37F">
            <w:pPr>
              <w:tabs>
                <w:tab w:val="left" w:pos="8280"/>
              </w:tabs>
              <w:autoSpaceDE w:val="0"/>
              <w:autoSpaceDN w:val="0"/>
              <w:adjustRightInd w:val="0"/>
              <w:ind w:right="25"/>
              <w:jc w:val="center"/>
              <w:rPr>
                <w:rFonts w:ascii="宋体" w:hAnsi="宋体" w:cs="宋体"/>
                <w:color w:val="auto"/>
                <w:sz w:val="24"/>
              </w:rPr>
            </w:pPr>
            <w:r>
              <w:rPr>
                <w:rFonts w:hint="eastAsia" w:ascii="宋体" w:hAnsi="宋体" w:cs="宋体"/>
                <w:color w:val="auto"/>
                <w:sz w:val="24"/>
              </w:rPr>
              <w:t>台州职业技术学院</w:t>
            </w:r>
          </w:p>
        </w:tc>
      </w:tr>
    </w:tbl>
    <w:p w14:paraId="40324034">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rPr>
        <w:t>二、建设内容</w:t>
      </w:r>
    </w:p>
    <w:p w14:paraId="57BB8351">
      <w:pPr>
        <w:tabs>
          <w:tab w:val="left" w:pos="8280"/>
        </w:tabs>
        <w:autoSpaceDE w:val="0"/>
        <w:autoSpaceDN w:val="0"/>
        <w:adjustRightInd w:val="0"/>
        <w:spacing w:line="360" w:lineRule="auto"/>
        <w:ind w:right="25" w:firstLine="482" w:firstLineChars="200"/>
        <w:rPr>
          <w:rFonts w:ascii="宋体" w:hAnsi="宋体"/>
          <w:b/>
          <w:color w:val="auto"/>
          <w:sz w:val="24"/>
          <w:lang w:eastAsia="zh-Hans"/>
        </w:rPr>
      </w:pPr>
      <w:r>
        <w:rPr>
          <w:rFonts w:hint="eastAsia" w:ascii="宋体" w:hAnsi="宋体"/>
          <w:b/>
          <w:color w:val="auto"/>
          <w:sz w:val="24"/>
          <w:lang w:eastAsia="zh-CN"/>
        </w:rPr>
        <w:t>台州职业技术学院教师公寓三单元4、5、6层改造项目</w:t>
      </w:r>
      <w:r>
        <w:rPr>
          <w:rFonts w:ascii="宋体" w:hAnsi="宋体"/>
          <w:b/>
          <w:color w:val="auto"/>
          <w:sz w:val="24"/>
          <w:lang w:eastAsia="zh-Hans"/>
        </w:rPr>
        <w:t>，</w:t>
      </w:r>
      <w:r>
        <w:rPr>
          <w:rFonts w:hint="eastAsia" w:ascii="宋体" w:hAnsi="宋体"/>
          <w:b/>
          <w:color w:val="auto"/>
          <w:sz w:val="24"/>
          <w:lang w:eastAsia="zh-Hans"/>
        </w:rPr>
        <w:t>具体要求详见图纸及预算</w:t>
      </w:r>
      <w:r>
        <w:rPr>
          <w:rFonts w:ascii="宋体" w:hAnsi="宋体"/>
          <w:b/>
          <w:color w:val="auto"/>
          <w:sz w:val="24"/>
          <w:lang w:eastAsia="zh-Hans"/>
        </w:rPr>
        <w:t>。</w:t>
      </w:r>
    </w:p>
    <w:p w14:paraId="6099B8E4">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rPr>
        <w:t>三、技术规范及标准</w:t>
      </w:r>
    </w:p>
    <w:p w14:paraId="6B5638BC">
      <w:pPr>
        <w:tabs>
          <w:tab w:val="left" w:pos="8280"/>
        </w:tabs>
        <w:autoSpaceDE w:val="0"/>
        <w:autoSpaceDN w:val="0"/>
        <w:adjustRightInd w:val="0"/>
        <w:spacing w:line="360" w:lineRule="auto"/>
        <w:ind w:right="25" w:firstLine="480" w:firstLineChars="200"/>
        <w:rPr>
          <w:rFonts w:ascii="宋体" w:hAnsi="宋体"/>
          <w:color w:val="auto"/>
          <w:sz w:val="24"/>
        </w:rPr>
      </w:pPr>
      <w:r>
        <w:rPr>
          <w:rFonts w:hint="eastAsia" w:ascii="宋体" w:hAnsi="宋体"/>
          <w:color w:val="auto"/>
          <w:sz w:val="24"/>
        </w:rPr>
        <w:t>依据设计施工图纸和技术文件要求，本项目的材料、设备、施工必须达到以下现行中华人民共和国及省、市、行业的一切有关法规、规范的要求，如下述标准及规范要求有出入则以较严格者为准。</w:t>
      </w:r>
    </w:p>
    <w:p w14:paraId="39A4326B">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《工程测量规范》GB50026-2016</w:t>
      </w:r>
    </w:p>
    <w:p w14:paraId="3A11A923">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《城镇道路工程施工与质量验收规范》CJJ1-2008</w:t>
      </w:r>
    </w:p>
    <w:p w14:paraId="31288975">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《给水排水管道工程施工及验收规范》GB50268-2008</w:t>
      </w:r>
    </w:p>
    <w:p w14:paraId="09E81DDD">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《地基与基础工程施工及验收规范》GB50209-2002</w:t>
      </w:r>
    </w:p>
    <w:p w14:paraId="63D41557">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《建筑基坑支护技术规范》JGJ120-2012</w:t>
      </w:r>
    </w:p>
    <w:p w14:paraId="18955D3B">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《建筑地基处理技术规范》JGJ79-2012、J220-2012</w:t>
      </w:r>
    </w:p>
    <w:p w14:paraId="4C964BDA">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《混凝土结构工程施工及验收规范》GB50204-2015</w:t>
      </w:r>
    </w:p>
    <w:p w14:paraId="4394F564">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《混凝土质量控制标准》GB50164-2011</w:t>
      </w:r>
    </w:p>
    <w:p w14:paraId="3E761476">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《普通混凝土用砂、石质量标准及检验方法》JGJ52-2006</w:t>
      </w:r>
    </w:p>
    <w:p w14:paraId="7FDD2893">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《普通混凝土用碎石和卵石质量标准及检验方法》JGJ53-92</w:t>
      </w:r>
    </w:p>
    <w:p w14:paraId="4BB5A3BF">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《混凝土外加剂应用技术规范》 GB50119-2013</w:t>
      </w:r>
    </w:p>
    <w:p w14:paraId="360802CD">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《钢筋机械连接通用技术规程》JBJ107-2010</w:t>
      </w:r>
    </w:p>
    <w:p w14:paraId="025D0C46">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《砌体结构工程施工质量验收规范》GB50203-2011</w:t>
      </w:r>
    </w:p>
    <w:p w14:paraId="7EC1EF10">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《屋面工程技术规范》GB50345-2012</w:t>
      </w:r>
    </w:p>
    <w:p w14:paraId="35A38C95">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 xml:space="preserve">《钢结构焊接及验收规程》JGJ81-2003     </w:t>
      </w:r>
    </w:p>
    <w:p w14:paraId="05159955">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《冷弯薄壁型钢结构技术规范》GB50018-2016</w:t>
      </w:r>
    </w:p>
    <w:p w14:paraId="74361DC5">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 xml:space="preserve">《混凝土结构设计规范》GB50010-2010    </w:t>
      </w:r>
    </w:p>
    <w:p w14:paraId="6CB5C762">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《钢结构施工及验收规范》GB50205-2002</w:t>
      </w:r>
    </w:p>
    <w:p w14:paraId="548C88F1">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 xml:space="preserve">《钢结构防火涂料应用技术规范》CECS 24  </w:t>
      </w:r>
    </w:p>
    <w:p w14:paraId="5045275D">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 xml:space="preserve">《门式刚架轻型房屋钢结构技术规程》GB51022-2015  </w:t>
      </w:r>
    </w:p>
    <w:p w14:paraId="3BF8A376">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 xml:space="preserve">《钢结构高强度螺栓连接的设施工及验收规程》JGJ82-91  </w:t>
      </w:r>
    </w:p>
    <w:p w14:paraId="57548C30">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 xml:space="preserve">《涂装前钢材表面锈蚀等级和除锈等级》GB8923  </w:t>
      </w:r>
    </w:p>
    <w:p w14:paraId="41B480C7">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《施工现场临时用电安全技术规范》JGJ46-2005</w:t>
      </w:r>
    </w:p>
    <w:p w14:paraId="70476F0C">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《建筑施工高处作业安全技术规范》JGJ80-2016</w:t>
      </w:r>
    </w:p>
    <w:p w14:paraId="1D85D535">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《建筑机械使用安全技术规范》JGJ33-2012</w:t>
      </w:r>
    </w:p>
    <w:p w14:paraId="251BF3C8">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《建筑内部装修设计防火规范》GB50222-2017</w:t>
      </w:r>
    </w:p>
    <w:p w14:paraId="2B9E4BCE">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《建筑装修工程质量验收规范》GB 50210-2001</w:t>
      </w:r>
    </w:p>
    <w:p w14:paraId="2C32CCFF">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《民用建筑工程室内环境污染控制规范》GB 50325－2010</w:t>
      </w:r>
    </w:p>
    <w:p w14:paraId="0C71F958">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《采暖通风与空气调节设计规范》GBJ19－2003</w:t>
      </w:r>
    </w:p>
    <w:p w14:paraId="0A54C7C9">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《建筑电气工程施工质量验收规范》GB50303-2015</w:t>
      </w:r>
    </w:p>
    <w:p w14:paraId="3A299999">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《建筑给水排水及采暖施工质量验收规范》GB50242-2002</w:t>
      </w:r>
    </w:p>
    <w:p w14:paraId="26C4D371">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《通风与空调工程施工质量验收规范》GB50243-2016</w:t>
      </w:r>
    </w:p>
    <w:p w14:paraId="17B31561">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《火灾自动报警系统设计规范》GB50116-2013</w:t>
      </w:r>
    </w:p>
    <w:p w14:paraId="3CEA43BE">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《火灾自动报警系统施工及验收规范》GB 50166-2007</w:t>
      </w:r>
    </w:p>
    <w:p w14:paraId="5659938A">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《自动喷水灭火系统施工及验收规范》GB 50261-2017</w:t>
      </w:r>
    </w:p>
    <w:p w14:paraId="4F1D7BB9">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auto"/>
          <w:sz w:val="24"/>
        </w:rPr>
      </w:pPr>
      <w:r>
        <w:rPr>
          <w:rFonts w:hint="eastAsia" w:ascii="宋体" w:hAnsi="宋体"/>
          <w:color w:val="auto"/>
          <w:sz w:val="24"/>
        </w:rPr>
        <w:t>……</w:t>
      </w:r>
    </w:p>
    <w:p w14:paraId="4A3085F2">
      <w:pPr>
        <w:tabs>
          <w:tab w:val="left" w:pos="8280"/>
        </w:tabs>
        <w:autoSpaceDE w:val="0"/>
        <w:autoSpaceDN w:val="0"/>
        <w:adjustRightInd w:val="0"/>
        <w:spacing w:line="360" w:lineRule="auto"/>
        <w:ind w:right="25" w:firstLine="480" w:firstLineChars="200"/>
        <w:rPr>
          <w:rFonts w:ascii="宋体" w:hAnsi="宋体"/>
          <w:color w:val="auto"/>
          <w:sz w:val="24"/>
        </w:rPr>
      </w:pPr>
      <w:r>
        <w:rPr>
          <w:rFonts w:hint="eastAsia" w:ascii="宋体" w:hAnsi="宋体"/>
          <w:color w:val="auto"/>
          <w:sz w:val="24"/>
        </w:rPr>
        <w:t>以上技术规范由承包</w:t>
      </w:r>
      <w:r>
        <w:rPr>
          <w:rFonts w:ascii="宋体" w:hAnsi="宋体"/>
          <w:color w:val="auto"/>
          <w:sz w:val="24"/>
        </w:rPr>
        <w:t>供应商</w:t>
      </w:r>
      <w:r>
        <w:rPr>
          <w:rFonts w:hint="eastAsia" w:ascii="宋体" w:hAnsi="宋体"/>
          <w:color w:val="auto"/>
          <w:sz w:val="24"/>
        </w:rPr>
        <w:t>自备，如有不足之处或未能达到国家最新标准时，承包供应商应使施工及选用的设备和材料符合最新版本的国家标准、规范。</w:t>
      </w:r>
    </w:p>
    <w:p w14:paraId="67FD3B21">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rPr>
        <w:t>四、材料质量要求</w:t>
      </w:r>
    </w:p>
    <w:p w14:paraId="27E1641D">
      <w:pPr>
        <w:tabs>
          <w:tab w:val="left" w:pos="8280"/>
        </w:tabs>
        <w:autoSpaceDE w:val="0"/>
        <w:autoSpaceDN w:val="0"/>
        <w:adjustRightInd w:val="0"/>
        <w:spacing w:line="360" w:lineRule="auto"/>
        <w:ind w:right="25"/>
        <w:rPr>
          <w:rFonts w:ascii="宋体" w:hAnsi="宋体"/>
          <w:color w:val="auto"/>
          <w:sz w:val="24"/>
        </w:rPr>
      </w:pPr>
      <w:r>
        <w:rPr>
          <w:rFonts w:hint="eastAsia" w:ascii="宋体" w:hAnsi="宋体"/>
          <w:color w:val="auto"/>
          <w:sz w:val="24"/>
        </w:rPr>
        <w:t>1、材料选择</w:t>
      </w:r>
    </w:p>
    <w:p w14:paraId="5B67563F">
      <w:pPr>
        <w:tabs>
          <w:tab w:val="left" w:pos="8280"/>
        </w:tabs>
        <w:autoSpaceDE w:val="0"/>
        <w:autoSpaceDN w:val="0"/>
        <w:adjustRightInd w:val="0"/>
        <w:spacing w:line="360" w:lineRule="auto"/>
        <w:ind w:right="25" w:firstLine="480" w:firstLineChars="200"/>
        <w:rPr>
          <w:rFonts w:ascii="宋体" w:hAnsi="宋体"/>
          <w:color w:val="auto"/>
          <w:sz w:val="24"/>
        </w:rPr>
      </w:pPr>
      <w:r>
        <w:rPr>
          <w:rFonts w:hint="eastAsia" w:ascii="宋体" w:hAnsi="宋体"/>
          <w:color w:val="auto"/>
          <w:sz w:val="24"/>
        </w:rPr>
        <w:t>（1）本采购文件涉及的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230ECA89">
      <w:pPr>
        <w:tabs>
          <w:tab w:val="left" w:pos="8280"/>
        </w:tabs>
        <w:autoSpaceDE w:val="0"/>
        <w:autoSpaceDN w:val="0"/>
        <w:adjustRightInd w:val="0"/>
        <w:spacing w:line="360" w:lineRule="auto"/>
        <w:ind w:right="25"/>
        <w:rPr>
          <w:rFonts w:ascii="宋体" w:hAnsi="宋体"/>
          <w:color w:val="auto"/>
          <w:sz w:val="24"/>
        </w:rPr>
      </w:pPr>
      <w:r>
        <w:rPr>
          <w:rFonts w:hint="eastAsia" w:ascii="宋体" w:hAnsi="宋体"/>
          <w:color w:val="auto"/>
          <w:sz w:val="24"/>
        </w:rPr>
        <w:t>2、材料的质量保证</w:t>
      </w:r>
    </w:p>
    <w:p w14:paraId="5B1BA7EC">
      <w:pPr>
        <w:tabs>
          <w:tab w:val="left" w:pos="8280"/>
        </w:tabs>
        <w:autoSpaceDE w:val="0"/>
        <w:autoSpaceDN w:val="0"/>
        <w:adjustRightInd w:val="0"/>
        <w:spacing w:line="360" w:lineRule="auto"/>
        <w:ind w:right="25" w:firstLine="480" w:firstLineChars="200"/>
        <w:rPr>
          <w:rFonts w:ascii="宋体" w:hAnsi="宋体"/>
          <w:color w:val="auto"/>
          <w:sz w:val="24"/>
        </w:rPr>
      </w:pPr>
      <w:r>
        <w:rPr>
          <w:rFonts w:hint="eastAsia" w:ascii="宋体" w:hAnsi="宋体"/>
          <w:color w:val="auto"/>
          <w:sz w:val="24"/>
        </w:rPr>
        <w:t>（1）在免费保修期内，承包供应商对有缺陷的部位必须无偿地给予修理与更换，并承担一切由此引起的对采购人或第三者的直接损失，除非该缺陷是由于人为破坏或合同规定的不可抗因素造成的损坏。</w:t>
      </w:r>
    </w:p>
    <w:p w14:paraId="636F5AF7">
      <w:pPr>
        <w:tabs>
          <w:tab w:val="left" w:pos="8280"/>
        </w:tabs>
        <w:autoSpaceDE w:val="0"/>
        <w:autoSpaceDN w:val="0"/>
        <w:adjustRightInd w:val="0"/>
        <w:spacing w:line="360" w:lineRule="auto"/>
        <w:ind w:right="25" w:firstLine="480" w:firstLineChars="200"/>
        <w:rPr>
          <w:rFonts w:ascii="宋体" w:hAnsi="宋体"/>
          <w:color w:val="auto"/>
          <w:sz w:val="24"/>
        </w:rPr>
      </w:pPr>
      <w:r>
        <w:rPr>
          <w:rFonts w:hint="eastAsia" w:ascii="宋体" w:hAnsi="宋体"/>
          <w:color w:val="auto"/>
          <w:sz w:val="24"/>
        </w:rPr>
        <w:t>（2）承包供应商必须对所承包的工程的质量负全部责任，其责任不因其他材料生产商提供的保证书而减轻或更改。</w:t>
      </w:r>
    </w:p>
    <w:p w14:paraId="1CBFA3ED">
      <w:pPr>
        <w:tabs>
          <w:tab w:val="left" w:pos="8280"/>
        </w:tabs>
        <w:autoSpaceDE w:val="0"/>
        <w:autoSpaceDN w:val="0"/>
        <w:adjustRightInd w:val="0"/>
        <w:spacing w:line="360" w:lineRule="auto"/>
        <w:ind w:right="25" w:firstLine="480" w:firstLineChars="200"/>
        <w:rPr>
          <w:rFonts w:ascii="宋体" w:hAnsi="宋体"/>
          <w:color w:val="auto"/>
          <w:sz w:val="24"/>
        </w:rPr>
      </w:pPr>
      <w:r>
        <w:rPr>
          <w:rFonts w:hint="eastAsia" w:ascii="宋体" w:hAnsi="宋体"/>
          <w:color w:val="auto"/>
          <w:sz w:val="24"/>
        </w:rPr>
        <w:t>（3）材料检验结果证明其有害物质含量指标超标的产品不得在工程上使用。</w:t>
      </w:r>
    </w:p>
    <w:p w14:paraId="5CEA6FE2">
      <w:pPr>
        <w:tabs>
          <w:tab w:val="left" w:pos="8280"/>
        </w:tabs>
        <w:autoSpaceDE w:val="0"/>
        <w:autoSpaceDN w:val="0"/>
        <w:adjustRightInd w:val="0"/>
        <w:spacing w:line="360" w:lineRule="auto"/>
        <w:ind w:right="25"/>
        <w:rPr>
          <w:rFonts w:ascii="宋体" w:hAnsi="宋体"/>
          <w:color w:val="auto"/>
          <w:sz w:val="24"/>
        </w:rPr>
      </w:pPr>
      <w:r>
        <w:rPr>
          <w:rFonts w:hint="eastAsia" w:ascii="宋体" w:hAnsi="宋体"/>
          <w:color w:val="auto"/>
          <w:sz w:val="24"/>
        </w:rPr>
        <w:t>3、供应要求</w:t>
      </w:r>
    </w:p>
    <w:p w14:paraId="721E2E9C">
      <w:pPr>
        <w:tabs>
          <w:tab w:val="left" w:pos="8280"/>
        </w:tabs>
        <w:autoSpaceDE w:val="0"/>
        <w:autoSpaceDN w:val="0"/>
        <w:adjustRightInd w:val="0"/>
        <w:spacing w:line="360" w:lineRule="auto"/>
        <w:ind w:right="25" w:firstLine="480" w:firstLineChars="200"/>
        <w:rPr>
          <w:rFonts w:ascii="宋体" w:hAnsi="宋体"/>
          <w:color w:val="auto"/>
          <w:sz w:val="24"/>
        </w:rPr>
      </w:pPr>
      <w:r>
        <w:rPr>
          <w:rFonts w:hint="eastAsia" w:ascii="宋体" w:hAnsi="宋体"/>
          <w:color w:val="auto"/>
          <w:sz w:val="24"/>
        </w:rPr>
        <w:t>（1）本次招标承包范围内的建筑施工材料均由承包供应商根据本采购文件、设计图纸和国家有关规定的具体要求进行采购、运输、检验、保管，但采购人保留变更和指定材料的权利；所有建筑材料须有产品合格证和质量保证书，应先送样品，样品经设计方、监理方、采购人确认与招标要求一致后封存，批量供应时应与样品一致，并经相关部门检验合格后方可使用。</w:t>
      </w:r>
    </w:p>
    <w:p w14:paraId="59D15328">
      <w:pPr>
        <w:tabs>
          <w:tab w:val="left" w:pos="8280"/>
        </w:tabs>
        <w:autoSpaceDE w:val="0"/>
        <w:autoSpaceDN w:val="0"/>
        <w:adjustRightInd w:val="0"/>
        <w:spacing w:line="360" w:lineRule="auto"/>
        <w:ind w:right="25" w:firstLine="480" w:firstLineChars="200"/>
        <w:rPr>
          <w:rFonts w:ascii="宋体" w:hAnsi="宋体"/>
          <w:color w:val="auto"/>
          <w:sz w:val="24"/>
        </w:rPr>
      </w:pPr>
      <w:r>
        <w:rPr>
          <w:rFonts w:hint="eastAsia" w:ascii="宋体" w:hAnsi="宋体"/>
          <w:color w:val="auto"/>
          <w:sz w:val="24"/>
        </w:rPr>
        <w:t>（2）由承包供应商采购的主要建筑材料，当承包供应商选定的产品质量达不到设计要求和预期质量目标时，采购人保留更换的权利，且中标价不予调整。</w:t>
      </w:r>
    </w:p>
    <w:p w14:paraId="6C4D3F21">
      <w:pPr>
        <w:tabs>
          <w:tab w:val="left" w:pos="8280"/>
        </w:tabs>
        <w:autoSpaceDE w:val="0"/>
        <w:autoSpaceDN w:val="0"/>
        <w:adjustRightInd w:val="0"/>
        <w:spacing w:line="360" w:lineRule="auto"/>
        <w:ind w:right="25"/>
        <w:rPr>
          <w:rFonts w:ascii="宋体" w:hAnsi="宋体"/>
          <w:color w:val="auto"/>
          <w:sz w:val="24"/>
        </w:rPr>
      </w:pPr>
      <w:r>
        <w:rPr>
          <w:rFonts w:hint="eastAsia" w:ascii="宋体" w:hAnsi="宋体"/>
          <w:color w:val="auto"/>
          <w:sz w:val="24"/>
        </w:rPr>
        <w:t>4、</w:t>
      </w:r>
      <w:r>
        <w:rPr>
          <w:rFonts w:hint="eastAsia" w:ascii="Times New Roman" w:hAnsi="Times New Roman" w:cs="Arial"/>
          <w:b/>
          <w:bCs/>
          <w:color w:val="auto"/>
          <w:sz w:val="24"/>
          <w:szCs w:val="21"/>
        </w:rPr>
        <w:t>主要设备材料备选品牌推荐表：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143"/>
        <w:gridCol w:w="5146"/>
        <w:gridCol w:w="1286"/>
      </w:tblGrid>
      <w:tr w14:paraId="76ED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11C5EC89">
            <w:pPr>
              <w:widowControl/>
              <w:spacing w:line="360" w:lineRule="auto"/>
              <w:jc w:val="center"/>
              <w:rPr>
                <w:rFonts w:ascii="宋体" w:hAnsi="宋体" w:cs="宋体"/>
                <w:color w:val="auto"/>
                <w:kern w:val="0"/>
                <w:sz w:val="24"/>
              </w:rPr>
            </w:pPr>
            <w:r>
              <w:rPr>
                <w:rFonts w:hint="eastAsia" w:ascii="宋体" w:hAnsi="宋体" w:cs="宋体"/>
                <w:color w:val="auto"/>
                <w:kern w:val="0"/>
                <w:sz w:val="24"/>
              </w:rPr>
              <w:t>序号</w:t>
            </w:r>
          </w:p>
        </w:tc>
        <w:tc>
          <w:tcPr>
            <w:tcW w:w="1140" w:type="pct"/>
            <w:vAlign w:val="center"/>
          </w:tcPr>
          <w:p w14:paraId="319B940E">
            <w:pPr>
              <w:widowControl/>
              <w:spacing w:line="360" w:lineRule="auto"/>
              <w:jc w:val="center"/>
              <w:rPr>
                <w:rFonts w:ascii="宋体" w:hAnsi="宋体" w:cs="宋体"/>
                <w:color w:val="auto"/>
                <w:kern w:val="0"/>
                <w:sz w:val="24"/>
              </w:rPr>
            </w:pPr>
            <w:r>
              <w:rPr>
                <w:rFonts w:hint="eastAsia" w:ascii="宋体" w:hAnsi="宋体" w:cs="宋体"/>
                <w:color w:val="auto"/>
                <w:kern w:val="0"/>
                <w:sz w:val="24"/>
              </w:rPr>
              <w:t>项目名称</w:t>
            </w:r>
          </w:p>
        </w:tc>
        <w:tc>
          <w:tcPr>
            <w:tcW w:w="2737" w:type="pct"/>
            <w:vAlign w:val="center"/>
          </w:tcPr>
          <w:p w14:paraId="07ECD576">
            <w:pPr>
              <w:widowControl/>
              <w:spacing w:line="360" w:lineRule="auto"/>
              <w:jc w:val="center"/>
              <w:rPr>
                <w:rFonts w:ascii="宋体" w:hAnsi="宋体" w:cs="宋体"/>
                <w:color w:val="auto"/>
                <w:kern w:val="0"/>
                <w:sz w:val="24"/>
              </w:rPr>
            </w:pPr>
            <w:r>
              <w:rPr>
                <w:rFonts w:hint="eastAsia" w:ascii="宋体" w:hAnsi="宋体" w:cs="宋体"/>
                <w:color w:val="auto"/>
                <w:kern w:val="0"/>
                <w:sz w:val="24"/>
              </w:rPr>
              <w:t>推荐参考品牌</w:t>
            </w:r>
          </w:p>
        </w:tc>
        <w:tc>
          <w:tcPr>
            <w:tcW w:w="684" w:type="pct"/>
          </w:tcPr>
          <w:p w14:paraId="19C063DB">
            <w:pPr>
              <w:widowControl/>
              <w:spacing w:line="360" w:lineRule="auto"/>
              <w:jc w:val="center"/>
              <w:rPr>
                <w:rFonts w:ascii="宋体" w:hAnsi="宋体" w:cs="宋体"/>
                <w:color w:val="auto"/>
                <w:kern w:val="0"/>
                <w:sz w:val="24"/>
              </w:rPr>
            </w:pPr>
            <w:r>
              <w:rPr>
                <w:rFonts w:hint="eastAsia" w:ascii="宋体" w:hAnsi="宋体" w:cs="宋体"/>
                <w:color w:val="auto"/>
                <w:kern w:val="0"/>
                <w:sz w:val="24"/>
              </w:rPr>
              <w:t>备注</w:t>
            </w:r>
          </w:p>
        </w:tc>
      </w:tr>
      <w:tr w14:paraId="0851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25DF9D3C">
            <w:pPr>
              <w:widowControl/>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1140" w:type="pct"/>
            <w:vAlign w:val="center"/>
          </w:tcPr>
          <w:p w14:paraId="0BEA997A">
            <w:pPr>
              <w:widowControl/>
              <w:spacing w:line="360" w:lineRule="auto"/>
              <w:jc w:val="center"/>
              <w:rPr>
                <w:rFonts w:ascii="宋体" w:hAnsi="宋体" w:cs="宋体"/>
                <w:color w:val="auto"/>
                <w:kern w:val="0"/>
                <w:sz w:val="24"/>
              </w:rPr>
            </w:pPr>
            <w:r>
              <w:rPr>
                <w:rFonts w:hint="eastAsia" w:ascii="宋体" w:hAnsi="宋体" w:cs="宋体"/>
                <w:color w:val="auto"/>
                <w:kern w:val="0"/>
                <w:sz w:val="24"/>
              </w:rPr>
              <w:t>瓷砖</w:t>
            </w:r>
          </w:p>
        </w:tc>
        <w:tc>
          <w:tcPr>
            <w:tcW w:w="2737" w:type="pct"/>
            <w:vAlign w:val="center"/>
          </w:tcPr>
          <w:p w14:paraId="01E0A092">
            <w:pPr>
              <w:widowControl/>
              <w:spacing w:line="360" w:lineRule="auto"/>
              <w:jc w:val="center"/>
              <w:rPr>
                <w:rFonts w:ascii="宋体" w:hAnsi="宋体" w:cs="宋体"/>
                <w:color w:val="auto"/>
                <w:kern w:val="0"/>
                <w:sz w:val="24"/>
              </w:rPr>
            </w:pPr>
            <w:r>
              <w:rPr>
                <w:rFonts w:hint="eastAsia" w:ascii="宋体" w:hAnsi="宋体" w:cs="宋体"/>
                <w:color w:val="auto"/>
                <w:kern w:val="0"/>
                <w:sz w:val="24"/>
              </w:rPr>
              <w:t>马可波罗、冠珠、鹰牌或相当于</w:t>
            </w:r>
          </w:p>
        </w:tc>
        <w:tc>
          <w:tcPr>
            <w:tcW w:w="684" w:type="pct"/>
          </w:tcPr>
          <w:p w14:paraId="7B55705C">
            <w:pPr>
              <w:widowControl/>
              <w:spacing w:line="360" w:lineRule="auto"/>
              <w:jc w:val="center"/>
              <w:rPr>
                <w:rFonts w:ascii="宋体" w:hAnsi="宋体" w:cs="宋体"/>
                <w:color w:val="auto"/>
                <w:kern w:val="0"/>
                <w:sz w:val="24"/>
              </w:rPr>
            </w:pPr>
          </w:p>
        </w:tc>
      </w:tr>
      <w:tr w14:paraId="329A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5E155EC7">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1140" w:type="pct"/>
            <w:vAlign w:val="center"/>
          </w:tcPr>
          <w:p w14:paraId="7045DB3A">
            <w:pPr>
              <w:widowControl/>
              <w:spacing w:line="360" w:lineRule="auto"/>
              <w:jc w:val="center"/>
              <w:rPr>
                <w:rFonts w:ascii="宋体" w:hAnsi="宋体" w:cs="宋体"/>
                <w:color w:val="auto"/>
                <w:kern w:val="0"/>
                <w:sz w:val="24"/>
              </w:rPr>
            </w:pPr>
            <w:r>
              <w:rPr>
                <w:rFonts w:hint="eastAsia" w:ascii="宋体" w:hAnsi="宋体" w:cs="宋体"/>
                <w:color w:val="auto"/>
                <w:kern w:val="0"/>
                <w:sz w:val="24"/>
              </w:rPr>
              <w:t>实木复合地板</w:t>
            </w:r>
          </w:p>
        </w:tc>
        <w:tc>
          <w:tcPr>
            <w:tcW w:w="2737" w:type="pct"/>
            <w:vAlign w:val="center"/>
          </w:tcPr>
          <w:p w14:paraId="6015BC20">
            <w:pPr>
              <w:widowControl/>
              <w:spacing w:line="360" w:lineRule="auto"/>
              <w:jc w:val="center"/>
              <w:rPr>
                <w:rFonts w:ascii="宋体" w:hAnsi="宋体" w:cs="宋体"/>
                <w:color w:val="auto"/>
                <w:kern w:val="0"/>
                <w:sz w:val="24"/>
              </w:rPr>
            </w:pPr>
            <w:r>
              <w:rPr>
                <w:rFonts w:hint="eastAsia" w:ascii="宋体" w:hAnsi="宋体" w:cs="宋体"/>
                <w:color w:val="auto"/>
                <w:kern w:val="0"/>
                <w:sz w:val="24"/>
              </w:rPr>
              <w:t>大自然、兔宝宝、圣象或相当于</w:t>
            </w:r>
          </w:p>
        </w:tc>
        <w:tc>
          <w:tcPr>
            <w:tcW w:w="684" w:type="pct"/>
          </w:tcPr>
          <w:p w14:paraId="7BDF996E">
            <w:pPr>
              <w:widowControl/>
              <w:spacing w:line="360" w:lineRule="auto"/>
              <w:jc w:val="center"/>
              <w:rPr>
                <w:rFonts w:ascii="宋体" w:hAnsi="宋体" w:cs="宋体"/>
                <w:color w:val="auto"/>
                <w:kern w:val="0"/>
                <w:sz w:val="24"/>
              </w:rPr>
            </w:pPr>
          </w:p>
        </w:tc>
      </w:tr>
      <w:tr w14:paraId="6601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0C17C77D">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1140" w:type="pct"/>
            <w:vAlign w:val="center"/>
          </w:tcPr>
          <w:p w14:paraId="6002DEDC">
            <w:pPr>
              <w:widowControl/>
              <w:spacing w:line="360" w:lineRule="auto"/>
              <w:jc w:val="center"/>
              <w:rPr>
                <w:rFonts w:ascii="宋体" w:hAnsi="宋体" w:cs="宋体"/>
                <w:color w:val="auto"/>
                <w:kern w:val="0"/>
                <w:sz w:val="24"/>
              </w:rPr>
            </w:pPr>
            <w:r>
              <w:rPr>
                <w:rFonts w:hint="eastAsia" w:ascii="宋体" w:hAnsi="宋体" w:cs="宋体"/>
                <w:color w:val="auto"/>
                <w:kern w:val="0"/>
                <w:sz w:val="24"/>
              </w:rPr>
              <w:t>水泥、白水泥</w:t>
            </w:r>
          </w:p>
        </w:tc>
        <w:tc>
          <w:tcPr>
            <w:tcW w:w="2737" w:type="pct"/>
            <w:vAlign w:val="center"/>
          </w:tcPr>
          <w:p w14:paraId="567DCA4E">
            <w:pPr>
              <w:widowControl/>
              <w:spacing w:line="360" w:lineRule="auto"/>
              <w:jc w:val="center"/>
              <w:rPr>
                <w:rFonts w:ascii="宋体" w:hAnsi="宋体" w:cs="宋体"/>
                <w:color w:val="auto"/>
                <w:kern w:val="0"/>
                <w:sz w:val="24"/>
              </w:rPr>
            </w:pPr>
            <w:r>
              <w:rPr>
                <w:rFonts w:hint="eastAsia" w:ascii="宋体" w:hAnsi="宋体" w:cs="宋体"/>
                <w:color w:val="auto"/>
                <w:kern w:val="0"/>
                <w:sz w:val="24"/>
              </w:rPr>
              <w:t>尖峰、三狮、海螺或相当于</w:t>
            </w:r>
          </w:p>
        </w:tc>
        <w:tc>
          <w:tcPr>
            <w:tcW w:w="684" w:type="pct"/>
          </w:tcPr>
          <w:p w14:paraId="07E20D62">
            <w:pPr>
              <w:widowControl/>
              <w:spacing w:line="360" w:lineRule="auto"/>
              <w:jc w:val="center"/>
              <w:rPr>
                <w:rFonts w:ascii="宋体" w:hAnsi="宋体" w:cs="宋体"/>
                <w:color w:val="auto"/>
                <w:kern w:val="0"/>
                <w:sz w:val="24"/>
              </w:rPr>
            </w:pPr>
          </w:p>
        </w:tc>
      </w:tr>
      <w:tr w14:paraId="5331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1B4F20B2">
            <w:pPr>
              <w:widowControl/>
              <w:spacing w:line="360" w:lineRule="auto"/>
              <w:jc w:val="center"/>
              <w:rPr>
                <w:rFonts w:ascii="宋体" w:hAnsi="宋体" w:cs="宋体"/>
                <w:color w:val="auto"/>
                <w:kern w:val="0"/>
                <w:sz w:val="24"/>
              </w:rPr>
            </w:pPr>
            <w:r>
              <w:rPr>
                <w:rFonts w:hint="eastAsia" w:ascii="宋体" w:hAnsi="宋体" w:cs="宋体"/>
                <w:color w:val="auto"/>
                <w:kern w:val="0"/>
                <w:sz w:val="24"/>
              </w:rPr>
              <w:t>4</w:t>
            </w:r>
          </w:p>
        </w:tc>
        <w:tc>
          <w:tcPr>
            <w:tcW w:w="1140" w:type="pct"/>
            <w:vAlign w:val="center"/>
          </w:tcPr>
          <w:p w14:paraId="0DDA5188">
            <w:pPr>
              <w:widowControl/>
              <w:spacing w:line="360" w:lineRule="auto"/>
              <w:jc w:val="center"/>
              <w:rPr>
                <w:rFonts w:ascii="宋体" w:hAnsi="宋体" w:cs="宋体"/>
                <w:color w:val="auto"/>
                <w:kern w:val="0"/>
                <w:sz w:val="24"/>
              </w:rPr>
            </w:pPr>
            <w:r>
              <w:rPr>
                <w:rFonts w:hint="eastAsia" w:ascii="宋体" w:hAnsi="宋体" w:cs="宋体"/>
                <w:color w:val="auto"/>
                <w:kern w:val="0"/>
                <w:sz w:val="24"/>
              </w:rPr>
              <w:t>乳胶漆、墙面漆</w:t>
            </w:r>
          </w:p>
        </w:tc>
        <w:tc>
          <w:tcPr>
            <w:tcW w:w="2737" w:type="pct"/>
            <w:vAlign w:val="center"/>
          </w:tcPr>
          <w:p w14:paraId="16C2E0B7">
            <w:pPr>
              <w:widowControl/>
              <w:spacing w:line="360" w:lineRule="auto"/>
              <w:jc w:val="center"/>
              <w:rPr>
                <w:rFonts w:ascii="宋体" w:hAnsi="宋体" w:cs="宋体"/>
                <w:color w:val="auto"/>
                <w:kern w:val="0"/>
                <w:sz w:val="24"/>
              </w:rPr>
            </w:pPr>
            <w:r>
              <w:rPr>
                <w:rFonts w:hint="eastAsia" w:ascii="宋体" w:hAnsi="宋体" w:cs="宋体"/>
                <w:color w:val="auto"/>
                <w:kern w:val="0"/>
                <w:sz w:val="24"/>
              </w:rPr>
              <w:t>立邦、多乐士、嘉宝莉或相当于</w:t>
            </w:r>
          </w:p>
        </w:tc>
        <w:tc>
          <w:tcPr>
            <w:tcW w:w="684" w:type="pct"/>
          </w:tcPr>
          <w:p w14:paraId="427353FA">
            <w:pPr>
              <w:widowControl/>
              <w:spacing w:line="360" w:lineRule="auto"/>
              <w:jc w:val="center"/>
              <w:rPr>
                <w:rFonts w:ascii="宋体" w:hAnsi="宋体" w:cs="宋体"/>
                <w:color w:val="auto"/>
                <w:kern w:val="0"/>
                <w:sz w:val="24"/>
              </w:rPr>
            </w:pPr>
          </w:p>
        </w:tc>
      </w:tr>
      <w:tr w14:paraId="5158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11762334">
            <w:pPr>
              <w:widowControl/>
              <w:spacing w:line="360" w:lineRule="auto"/>
              <w:jc w:val="center"/>
              <w:rPr>
                <w:rFonts w:ascii="宋体" w:hAnsi="宋体" w:cs="宋体"/>
                <w:color w:val="auto"/>
                <w:kern w:val="0"/>
                <w:sz w:val="24"/>
              </w:rPr>
            </w:pPr>
            <w:r>
              <w:rPr>
                <w:rFonts w:hint="eastAsia" w:ascii="宋体" w:hAnsi="宋体" w:cs="宋体"/>
                <w:color w:val="auto"/>
                <w:kern w:val="0"/>
                <w:sz w:val="24"/>
              </w:rPr>
              <w:t>5</w:t>
            </w:r>
          </w:p>
        </w:tc>
        <w:tc>
          <w:tcPr>
            <w:tcW w:w="1140" w:type="pct"/>
            <w:vAlign w:val="center"/>
          </w:tcPr>
          <w:p w14:paraId="1A6CF496">
            <w:pPr>
              <w:widowControl/>
              <w:spacing w:line="360" w:lineRule="auto"/>
              <w:jc w:val="center"/>
              <w:rPr>
                <w:rFonts w:ascii="宋体" w:hAnsi="宋体" w:cs="宋体"/>
                <w:color w:val="auto"/>
                <w:kern w:val="0"/>
                <w:sz w:val="24"/>
              </w:rPr>
            </w:pPr>
            <w:r>
              <w:rPr>
                <w:rFonts w:hint="eastAsia" w:ascii="宋体" w:hAnsi="宋体" w:cs="宋体"/>
                <w:color w:val="auto"/>
                <w:kern w:val="0"/>
                <w:sz w:val="24"/>
              </w:rPr>
              <w:t>石膏板（含防霉）</w:t>
            </w:r>
          </w:p>
        </w:tc>
        <w:tc>
          <w:tcPr>
            <w:tcW w:w="2737" w:type="pct"/>
            <w:vAlign w:val="center"/>
          </w:tcPr>
          <w:p w14:paraId="4C2B4689">
            <w:pPr>
              <w:widowControl/>
              <w:spacing w:line="360" w:lineRule="auto"/>
              <w:jc w:val="center"/>
              <w:rPr>
                <w:rFonts w:ascii="宋体" w:hAnsi="宋体" w:cs="宋体"/>
                <w:color w:val="auto"/>
                <w:kern w:val="0"/>
                <w:sz w:val="24"/>
              </w:rPr>
            </w:pPr>
            <w:r>
              <w:rPr>
                <w:rFonts w:hint="eastAsia" w:ascii="宋体" w:hAnsi="宋体" w:cs="宋体"/>
                <w:color w:val="auto"/>
                <w:kern w:val="0"/>
                <w:sz w:val="24"/>
              </w:rPr>
              <w:t>龙牌、杰科、可耐福或相当于</w:t>
            </w:r>
          </w:p>
        </w:tc>
        <w:tc>
          <w:tcPr>
            <w:tcW w:w="684" w:type="pct"/>
          </w:tcPr>
          <w:p w14:paraId="0E4C15CA">
            <w:pPr>
              <w:widowControl/>
              <w:spacing w:line="360" w:lineRule="auto"/>
              <w:jc w:val="center"/>
              <w:rPr>
                <w:rFonts w:ascii="宋体" w:hAnsi="宋体" w:cs="宋体"/>
                <w:color w:val="auto"/>
                <w:kern w:val="0"/>
                <w:sz w:val="24"/>
              </w:rPr>
            </w:pPr>
          </w:p>
        </w:tc>
      </w:tr>
      <w:tr w14:paraId="7BCC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3D48EF5A">
            <w:pPr>
              <w:widowControl/>
              <w:spacing w:line="360" w:lineRule="auto"/>
              <w:jc w:val="center"/>
              <w:rPr>
                <w:rFonts w:ascii="宋体" w:hAnsi="宋体" w:cs="宋体"/>
                <w:color w:val="auto"/>
                <w:kern w:val="0"/>
                <w:sz w:val="24"/>
              </w:rPr>
            </w:pPr>
            <w:r>
              <w:rPr>
                <w:rFonts w:hint="eastAsia" w:ascii="宋体" w:hAnsi="宋体" w:cs="宋体"/>
                <w:color w:val="auto"/>
                <w:kern w:val="0"/>
                <w:sz w:val="24"/>
              </w:rPr>
              <w:t>6</w:t>
            </w:r>
          </w:p>
        </w:tc>
        <w:tc>
          <w:tcPr>
            <w:tcW w:w="1140" w:type="pct"/>
            <w:vAlign w:val="center"/>
          </w:tcPr>
          <w:p w14:paraId="63CE8B91">
            <w:pPr>
              <w:widowControl/>
              <w:spacing w:line="360" w:lineRule="auto"/>
              <w:jc w:val="center"/>
              <w:rPr>
                <w:rFonts w:ascii="宋体" w:hAnsi="宋体" w:cs="宋体"/>
                <w:color w:val="auto"/>
                <w:kern w:val="0"/>
                <w:sz w:val="24"/>
              </w:rPr>
            </w:pPr>
            <w:r>
              <w:rPr>
                <w:rFonts w:hint="eastAsia" w:ascii="宋体" w:hAnsi="宋体" w:cs="宋体"/>
                <w:color w:val="auto"/>
                <w:kern w:val="0"/>
                <w:sz w:val="24"/>
              </w:rPr>
              <w:t>木材、细木工板</w:t>
            </w:r>
          </w:p>
        </w:tc>
        <w:tc>
          <w:tcPr>
            <w:tcW w:w="2737" w:type="pct"/>
            <w:vAlign w:val="center"/>
          </w:tcPr>
          <w:p w14:paraId="19D15526">
            <w:pPr>
              <w:widowControl/>
              <w:spacing w:line="360" w:lineRule="auto"/>
              <w:jc w:val="center"/>
              <w:rPr>
                <w:rFonts w:ascii="宋体" w:hAnsi="宋体" w:cs="宋体"/>
                <w:color w:val="auto"/>
                <w:kern w:val="0"/>
                <w:sz w:val="24"/>
              </w:rPr>
            </w:pPr>
            <w:r>
              <w:rPr>
                <w:rFonts w:hint="eastAsia" w:ascii="宋体" w:hAnsi="宋体" w:cs="宋体"/>
                <w:color w:val="auto"/>
                <w:kern w:val="0"/>
                <w:sz w:val="24"/>
              </w:rPr>
              <w:t>千年舟、莫干山、兔宝宝或相当于</w:t>
            </w:r>
          </w:p>
        </w:tc>
        <w:tc>
          <w:tcPr>
            <w:tcW w:w="684" w:type="pct"/>
          </w:tcPr>
          <w:p w14:paraId="22A38A60">
            <w:pPr>
              <w:widowControl/>
              <w:spacing w:line="360" w:lineRule="auto"/>
              <w:jc w:val="center"/>
              <w:rPr>
                <w:rFonts w:ascii="宋体" w:hAnsi="宋体" w:cs="宋体"/>
                <w:color w:val="auto"/>
                <w:kern w:val="0"/>
                <w:sz w:val="24"/>
              </w:rPr>
            </w:pPr>
          </w:p>
        </w:tc>
      </w:tr>
      <w:tr w14:paraId="7A13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1A291BB9">
            <w:pPr>
              <w:widowControl/>
              <w:spacing w:line="360" w:lineRule="auto"/>
              <w:jc w:val="center"/>
              <w:rPr>
                <w:rFonts w:ascii="宋体" w:hAnsi="宋体" w:cs="宋体"/>
                <w:color w:val="auto"/>
                <w:kern w:val="0"/>
                <w:sz w:val="24"/>
              </w:rPr>
            </w:pPr>
            <w:r>
              <w:rPr>
                <w:rFonts w:hint="eastAsia" w:ascii="宋体" w:hAnsi="宋体" w:cs="宋体"/>
                <w:color w:val="auto"/>
                <w:kern w:val="0"/>
                <w:sz w:val="24"/>
              </w:rPr>
              <w:t>7</w:t>
            </w:r>
          </w:p>
        </w:tc>
        <w:tc>
          <w:tcPr>
            <w:tcW w:w="1140" w:type="pct"/>
            <w:vAlign w:val="center"/>
          </w:tcPr>
          <w:p w14:paraId="1ECAA2C4">
            <w:pPr>
              <w:widowControl/>
              <w:spacing w:line="360" w:lineRule="auto"/>
              <w:jc w:val="center"/>
              <w:rPr>
                <w:rFonts w:ascii="宋体" w:hAnsi="宋体" w:cs="宋体"/>
                <w:color w:val="auto"/>
                <w:kern w:val="0"/>
                <w:sz w:val="24"/>
              </w:rPr>
            </w:pPr>
            <w:r>
              <w:rPr>
                <w:rFonts w:hint="eastAsia" w:ascii="宋体" w:hAnsi="宋体" w:cs="宋体"/>
                <w:color w:val="auto"/>
                <w:kern w:val="0"/>
                <w:sz w:val="24"/>
              </w:rPr>
              <w:t>成品木门</w:t>
            </w:r>
          </w:p>
        </w:tc>
        <w:tc>
          <w:tcPr>
            <w:tcW w:w="2737" w:type="pct"/>
            <w:vAlign w:val="center"/>
          </w:tcPr>
          <w:p w14:paraId="449D462D">
            <w:pPr>
              <w:widowControl/>
              <w:spacing w:line="360" w:lineRule="auto"/>
              <w:jc w:val="center"/>
              <w:rPr>
                <w:rFonts w:ascii="宋体" w:hAnsi="宋体" w:cs="宋体"/>
                <w:color w:val="auto"/>
                <w:kern w:val="0"/>
                <w:sz w:val="24"/>
              </w:rPr>
            </w:pPr>
            <w:r>
              <w:rPr>
                <w:rFonts w:hint="eastAsia" w:ascii="宋体" w:hAnsi="宋体" w:cs="宋体"/>
                <w:color w:val="auto"/>
                <w:kern w:val="0"/>
                <w:sz w:val="24"/>
              </w:rPr>
              <w:t>木老大、金门道、柯雅、开开或相当于</w:t>
            </w:r>
          </w:p>
        </w:tc>
        <w:tc>
          <w:tcPr>
            <w:tcW w:w="684" w:type="pct"/>
          </w:tcPr>
          <w:p w14:paraId="37C3E8F3">
            <w:pPr>
              <w:widowControl/>
              <w:spacing w:line="360" w:lineRule="auto"/>
              <w:jc w:val="center"/>
              <w:rPr>
                <w:rFonts w:ascii="宋体" w:hAnsi="宋体" w:cs="宋体"/>
                <w:color w:val="auto"/>
                <w:kern w:val="0"/>
                <w:sz w:val="24"/>
              </w:rPr>
            </w:pPr>
          </w:p>
        </w:tc>
      </w:tr>
      <w:tr w14:paraId="2207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56BCF10F">
            <w:pPr>
              <w:widowControl/>
              <w:spacing w:line="360" w:lineRule="auto"/>
              <w:jc w:val="center"/>
              <w:rPr>
                <w:rFonts w:ascii="宋体" w:hAnsi="宋体" w:cs="宋体"/>
                <w:color w:val="auto"/>
                <w:kern w:val="0"/>
                <w:sz w:val="24"/>
              </w:rPr>
            </w:pPr>
            <w:r>
              <w:rPr>
                <w:rFonts w:hint="eastAsia" w:ascii="宋体" w:hAnsi="宋体" w:cs="宋体"/>
                <w:color w:val="auto"/>
                <w:kern w:val="0"/>
                <w:sz w:val="24"/>
              </w:rPr>
              <w:t>8</w:t>
            </w:r>
          </w:p>
        </w:tc>
        <w:tc>
          <w:tcPr>
            <w:tcW w:w="1140" w:type="pct"/>
            <w:vAlign w:val="center"/>
          </w:tcPr>
          <w:p w14:paraId="2F6EAA32">
            <w:pPr>
              <w:widowControl/>
              <w:spacing w:line="360" w:lineRule="auto"/>
              <w:jc w:val="center"/>
              <w:rPr>
                <w:rFonts w:ascii="宋体" w:hAnsi="宋体" w:cs="宋体"/>
                <w:color w:val="auto"/>
                <w:kern w:val="0"/>
                <w:sz w:val="24"/>
              </w:rPr>
            </w:pPr>
            <w:r>
              <w:rPr>
                <w:rFonts w:hint="eastAsia" w:ascii="宋体" w:hAnsi="宋体" w:cs="宋体"/>
                <w:color w:val="auto"/>
                <w:kern w:val="0"/>
                <w:sz w:val="24"/>
              </w:rPr>
              <w:t>免漆板、成品木饰面</w:t>
            </w:r>
          </w:p>
        </w:tc>
        <w:tc>
          <w:tcPr>
            <w:tcW w:w="2737" w:type="pct"/>
            <w:vAlign w:val="center"/>
          </w:tcPr>
          <w:p w14:paraId="43E2A149">
            <w:pPr>
              <w:widowControl/>
              <w:spacing w:line="360" w:lineRule="auto"/>
              <w:jc w:val="center"/>
              <w:rPr>
                <w:rFonts w:ascii="宋体" w:hAnsi="宋体" w:cs="宋体"/>
                <w:color w:val="auto"/>
                <w:kern w:val="0"/>
                <w:sz w:val="24"/>
              </w:rPr>
            </w:pPr>
            <w:r>
              <w:rPr>
                <w:rFonts w:hint="eastAsia" w:ascii="宋体" w:hAnsi="宋体" w:cs="宋体"/>
                <w:color w:val="auto"/>
                <w:kern w:val="0"/>
                <w:sz w:val="24"/>
              </w:rPr>
              <w:t>大自然、兔宝宝、圣象或相当于</w:t>
            </w:r>
          </w:p>
        </w:tc>
        <w:tc>
          <w:tcPr>
            <w:tcW w:w="684" w:type="pct"/>
          </w:tcPr>
          <w:p w14:paraId="59B38DA5">
            <w:pPr>
              <w:widowControl/>
              <w:spacing w:line="360" w:lineRule="auto"/>
              <w:jc w:val="center"/>
              <w:rPr>
                <w:rFonts w:ascii="宋体" w:hAnsi="宋体" w:cs="宋体"/>
                <w:color w:val="auto"/>
                <w:kern w:val="0"/>
                <w:sz w:val="24"/>
              </w:rPr>
            </w:pPr>
            <w:r>
              <w:rPr>
                <w:rFonts w:hint="eastAsia" w:ascii="宋体" w:hAnsi="宋体" w:cs="宋体"/>
                <w:color w:val="auto"/>
                <w:kern w:val="0"/>
                <w:sz w:val="24"/>
              </w:rPr>
              <w:t>多层实木</w:t>
            </w:r>
          </w:p>
        </w:tc>
      </w:tr>
      <w:tr w14:paraId="17F5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318C91B0">
            <w:pPr>
              <w:widowControl/>
              <w:spacing w:line="360" w:lineRule="auto"/>
              <w:jc w:val="center"/>
              <w:rPr>
                <w:rFonts w:ascii="宋体" w:hAnsi="宋体" w:cs="宋体"/>
                <w:color w:val="auto"/>
                <w:kern w:val="0"/>
                <w:sz w:val="24"/>
              </w:rPr>
            </w:pPr>
            <w:r>
              <w:rPr>
                <w:rFonts w:hint="eastAsia" w:ascii="宋体" w:hAnsi="宋体" w:cs="宋体"/>
                <w:color w:val="auto"/>
                <w:kern w:val="0"/>
                <w:sz w:val="24"/>
              </w:rPr>
              <w:t>9</w:t>
            </w:r>
          </w:p>
        </w:tc>
        <w:tc>
          <w:tcPr>
            <w:tcW w:w="1140" w:type="pct"/>
            <w:vAlign w:val="center"/>
          </w:tcPr>
          <w:p w14:paraId="3E236DE5">
            <w:pPr>
              <w:widowControl/>
              <w:spacing w:line="360" w:lineRule="auto"/>
              <w:jc w:val="center"/>
              <w:rPr>
                <w:rFonts w:ascii="宋体" w:hAnsi="宋体" w:cs="宋体"/>
                <w:color w:val="auto"/>
                <w:kern w:val="0"/>
                <w:sz w:val="24"/>
              </w:rPr>
            </w:pPr>
            <w:r>
              <w:rPr>
                <w:rFonts w:hint="eastAsia" w:ascii="宋体" w:hAnsi="宋体" w:cs="宋体"/>
                <w:color w:val="auto"/>
                <w:kern w:val="0"/>
                <w:sz w:val="24"/>
              </w:rPr>
              <w:t>卫生洁具及配套</w:t>
            </w:r>
          </w:p>
        </w:tc>
        <w:tc>
          <w:tcPr>
            <w:tcW w:w="2737" w:type="pct"/>
            <w:vAlign w:val="center"/>
          </w:tcPr>
          <w:p w14:paraId="5AB66430">
            <w:pPr>
              <w:widowControl/>
              <w:spacing w:line="360" w:lineRule="auto"/>
              <w:jc w:val="center"/>
              <w:rPr>
                <w:rFonts w:ascii="宋体" w:hAnsi="宋体" w:cs="宋体"/>
                <w:color w:val="auto"/>
                <w:kern w:val="0"/>
                <w:sz w:val="24"/>
              </w:rPr>
            </w:pPr>
            <w:r>
              <w:rPr>
                <w:rFonts w:hint="eastAsia" w:ascii="宋体" w:hAnsi="宋体" w:cs="宋体"/>
                <w:color w:val="auto"/>
                <w:kern w:val="0"/>
                <w:sz w:val="24"/>
              </w:rPr>
              <w:t>箭牌、恒洁、欧路莎或相当于</w:t>
            </w:r>
          </w:p>
        </w:tc>
        <w:tc>
          <w:tcPr>
            <w:tcW w:w="684" w:type="pct"/>
          </w:tcPr>
          <w:p w14:paraId="03279164">
            <w:pPr>
              <w:widowControl/>
              <w:spacing w:line="360" w:lineRule="auto"/>
              <w:jc w:val="center"/>
              <w:rPr>
                <w:rFonts w:ascii="宋体" w:hAnsi="宋体" w:cs="宋体"/>
                <w:color w:val="auto"/>
                <w:kern w:val="0"/>
                <w:sz w:val="24"/>
              </w:rPr>
            </w:pPr>
            <w:r>
              <w:rPr>
                <w:rFonts w:hint="eastAsia" w:ascii="宋体" w:hAnsi="宋体" w:cs="宋体"/>
                <w:color w:val="auto"/>
                <w:kern w:val="0"/>
                <w:sz w:val="24"/>
              </w:rPr>
              <w:t>纯铜制龙头</w:t>
            </w:r>
          </w:p>
        </w:tc>
      </w:tr>
      <w:tr w14:paraId="43EE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54DC335E">
            <w:pPr>
              <w:widowControl/>
              <w:spacing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1140" w:type="pct"/>
            <w:vAlign w:val="center"/>
          </w:tcPr>
          <w:p w14:paraId="641E88FA">
            <w:pPr>
              <w:widowControl/>
              <w:spacing w:line="360" w:lineRule="auto"/>
              <w:jc w:val="center"/>
              <w:rPr>
                <w:rFonts w:ascii="宋体" w:hAnsi="宋体" w:cs="宋体"/>
                <w:color w:val="auto"/>
                <w:kern w:val="0"/>
                <w:sz w:val="24"/>
              </w:rPr>
            </w:pPr>
            <w:r>
              <w:rPr>
                <w:rFonts w:hint="eastAsia" w:ascii="宋体" w:hAnsi="宋体" w:cs="宋体"/>
                <w:color w:val="auto"/>
                <w:kern w:val="0"/>
                <w:sz w:val="24"/>
              </w:rPr>
              <w:t>轻钢龙骨</w:t>
            </w:r>
          </w:p>
        </w:tc>
        <w:tc>
          <w:tcPr>
            <w:tcW w:w="2737" w:type="pct"/>
            <w:vAlign w:val="center"/>
          </w:tcPr>
          <w:p w14:paraId="43D7EDDF">
            <w:pPr>
              <w:widowControl/>
              <w:spacing w:line="360" w:lineRule="auto"/>
              <w:jc w:val="center"/>
              <w:rPr>
                <w:rFonts w:ascii="宋体" w:hAnsi="宋体" w:cs="宋体"/>
                <w:color w:val="auto"/>
                <w:kern w:val="0"/>
                <w:sz w:val="24"/>
              </w:rPr>
            </w:pPr>
            <w:r>
              <w:rPr>
                <w:rFonts w:hint="eastAsia" w:ascii="宋体" w:hAnsi="宋体" w:cs="宋体"/>
                <w:color w:val="auto"/>
                <w:kern w:val="0"/>
                <w:sz w:val="24"/>
              </w:rPr>
              <w:t>龙牌、杰科、可耐福或相当于</w:t>
            </w:r>
          </w:p>
        </w:tc>
        <w:tc>
          <w:tcPr>
            <w:tcW w:w="684" w:type="pct"/>
          </w:tcPr>
          <w:p w14:paraId="69C27D69">
            <w:pPr>
              <w:widowControl/>
              <w:spacing w:line="360" w:lineRule="auto"/>
              <w:jc w:val="center"/>
              <w:rPr>
                <w:rFonts w:ascii="宋体" w:hAnsi="宋体" w:cs="宋体"/>
                <w:color w:val="auto"/>
                <w:kern w:val="0"/>
                <w:sz w:val="24"/>
              </w:rPr>
            </w:pPr>
          </w:p>
        </w:tc>
      </w:tr>
      <w:tr w14:paraId="3ADA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773D85CF">
            <w:pPr>
              <w:widowControl/>
              <w:spacing w:line="360" w:lineRule="auto"/>
              <w:jc w:val="center"/>
              <w:rPr>
                <w:rFonts w:ascii="宋体" w:hAnsi="宋体" w:cs="宋体"/>
                <w:color w:val="auto"/>
                <w:kern w:val="0"/>
                <w:sz w:val="24"/>
              </w:rPr>
            </w:pPr>
            <w:r>
              <w:rPr>
                <w:rFonts w:hint="eastAsia" w:ascii="宋体" w:hAnsi="宋体" w:cs="宋体"/>
                <w:color w:val="auto"/>
                <w:kern w:val="0"/>
                <w:sz w:val="24"/>
              </w:rPr>
              <w:t>11</w:t>
            </w:r>
          </w:p>
        </w:tc>
        <w:tc>
          <w:tcPr>
            <w:tcW w:w="1140" w:type="pct"/>
            <w:vAlign w:val="center"/>
          </w:tcPr>
          <w:p w14:paraId="753980A6">
            <w:pPr>
              <w:widowControl/>
              <w:spacing w:line="360" w:lineRule="auto"/>
              <w:jc w:val="center"/>
              <w:rPr>
                <w:rFonts w:ascii="宋体" w:hAnsi="宋体" w:cs="宋体"/>
                <w:color w:val="auto"/>
                <w:kern w:val="0"/>
                <w:sz w:val="24"/>
              </w:rPr>
            </w:pPr>
            <w:r>
              <w:rPr>
                <w:rFonts w:hint="eastAsia" w:ascii="宋体" w:hAnsi="宋体" w:cs="宋体"/>
                <w:color w:val="auto"/>
                <w:kern w:val="0"/>
                <w:sz w:val="24"/>
              </w:rPr>
              <w:t>五金件</w:t>
            </w:r>
          </w:p>
        </w:tc>
        <w:tc>
          <w:tcPr>
            <w:tcW w:w="2737" w:type="pct"/>
            <w:vAlign w:val="center"/>
          </w:tcPr>
          <w:p w14:paraId="4705A8FA">
            <w:pPr>
              <w:widowControl/>
              <w:spacing w:line="360" w:lineRule="auto"/>
              <w:jc w:val="center"/>
              <w:rPr>
                <w:rFonts w:ascii="宋体" w:hAnsi="宋体" w:cs="宋体"/>
                <w:color w:val="auto"/>
                <w:kern w:val="0"/>
                <w:sz w:val="24"/>
              </w:rPr>
            </w:pPr>
            <w:r>
              <w:rPr>
                <w:rFonts w:hint="eastAsia" w:ascii="宋体" w:hAnsi="宋体" w:cs="宋体"/>
                <w:color w:val="auto"/>
                <w:kern w:val="0"/>
                <w:sz w:val="24"/>
              </w:rPr>
              <w:t>汇泰龙、坚朗、多玛或相当于</w:t>
            </w:r>
          </w:p>
        </w:tc>
        <w:tc>
          <w:tcPr>
            <w:tcW w:w="684" w:type="pct"/>
          </w:tcPr>
          <w:p w14:paraId="05C72129">
            <w:pPr>
              <w:widowControl/>
              <w:spacing w:line="360" w:lineRule="auto"/>
              <w:jc w:val="center"/>
              <w:rPr>
                <w:rFonts w:ascii="宋体" w:hAnsi="宋体" w:cs="宋体"/>
                <w:color w:val="auto"/>
                <w:kern w:val="0"/>
                <w:sz w:val="24"/>
              </w:rPr>
            </w:pPr>
          </w:p>
        </w:tc>
      </w:tr>
      <w:tr w14:paraId="08B7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3B9D5183">
            <w:pPr>
              <w:widowControl/>
              <w:spacing w:line="360" w:lineRule="auto"/>
              <w:jc w:val="center"/>
              <w:rPr>
                <w:rFonts w:ascii="宋体" w:hAnsi="宋体" w:cs="宋体"/>
                <w:color w:val="auto"/>
                <w:kern w:val="0"/>
                <w:sz w:val="24"/>
              </w:rPr>
            </w:pPr>
            <w:r>
              <w:rPr>
                <w:rFonts w:hint="eastAsia" w:ascii="宋体" w:hAnsi="宋体" w:cs="宋体"/>
                <w:color w:val="auto"/>
                <w:kern w:val="0"/>
                <w:sz w:val="24"/>
              </w:rPr>
              <w:t>12</w:t>
            </w:r>
          </w:p>
        </w:tc>
        <w:tc>
          <w:tcPr>
            <w:tcW w:w="1140" w:type="pct"/>
            <w:vAlign w:val="center"/>
          </w:tcPr>
          <w:p w14:paraId="57521145">
            <w:pPr>
              <w:widowControl/>
              <w:spacing w:line="360" w:lineRule="auto"/>
              <w:jc w:val="center"/>
              <w:rPr>
                <w:rFonts w:ascii="宋体" w:hAnsi="宋体" w:cs="宋体"/>
                <w:color w:val="auto"/>
                <w:kern w:val="0"/>
                <w:sz w:val="24"/>
              </w:rPr>
            </w:pPr>
            <w:r>
              <w:rPr>
                <w:rFonts w:hint="eastAsia" w:ascii="宋体" w:hAnsi="宋体" w:cs="宋体"/>
                <w:color w:val="auto"/>
                <w:kern w:val="0"/>
                <w:sz w:val="24"/>
              </w:rPr>
              <w:t>铝合金型材</w:t>
            </w:r>
          </w:p>
        </w:tc>
        <w:tc>
          <w:tcPr>
            <w:tcW w:w="2737" w:type="pct"/>
            <w:vAlign w:val="center"/>
          </w:tcPr>
          <w:p w14:paraId="0D8F14BB">
            <w:pPr>
              <w:widowControl/>
              <w:spacing w:line="360" w:lineRule="auto"/>
              <w:jc w:val="center"/>
              <w:rPr>
                <w:rFonts w:ascii="宋体" w:hAnsi="宋体" w:cs="宋体"/>
                <w:color w:val="auto"/>
                <w:kern w:val="0"/>
                <w:sz w:val="24"/>
              </w:rPr>
            </w:pPr>
            <w:r>
              <w:rPr>
                <w:rFonts w:hint="eastAsia" w:ascii="宋体" w:hAnsi="宋体" w:cs="宋体"/>
                <w:color w:val="auto"/>
                <w:kern w:val="0"/>
                <w:sz w:val="24"/>
              </w:rPr>
              <w:t>凤铝、兴发、亚洲或相当于</w:t>
            </w:r>
          </w:p>
        </w:tc>
        <w:tc>
          <w:tcPr>
            <w:tcW w:w="684" w:type="pct"/>
          </w:tcPr>
          <w:p w14:paraId="03A03E48">
            <w:pPr>
              <w:widowControl/>
              <w:spacing w:line="360" w:lineRule="auto"/>
              <w:jc w:val="center"/>
              <w:rPr>
                <w:rFonts w:ascii="宋体" w:hAnsi="宋体" w:cs="宋体"/>
                <w:color w:val="auto"/>
                <w:kern w:val="0"/>
                <w:sz w:val="24"/>
              </w:rPr>
            </w:pPr>
          </w:p>
        </w:tc>
      </w:tr>
      <w:tr w14:paraId="5B0C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6FF79BE8">
            <w:pPr>
              <w:widowControl/>
              <w:spacing w:line="360" w:lineRule="auto"/>
              <w:jc w:val="center"/>
              <w:rPr>
                <w:rFonts w:ascii="宋体" w:hAnsi="宋体" w:cs="宋体"/>
                <w:color w:val="auto"/>
                <w:kern w:val="0"/>
                <w:sz w:val="24"/>
              </w:rPr>
            </w:pPr>
            <w:r>
              <w:rPr>
                <w:rFonts w:hint="eastAsia" w:ascii="宋体" w:hAnsi="宋体" w:cs="宋体"/>
                <w:color w:val="auto"/>
                <w:kern w:val="0"/>
                <w:sz w:val="24"/>
              </w:rPr>
              <w:t>13</w:t>
            </w:r>
          </w:p>
        </w:tc>
        <w:tc>
          <w:tcPr>
            <w:tcW w:w="1140" w:type="pct"/>
          </w:tcPr>
          <w:p w14:paraId="698DC889">
            <w:pPr>
              <w:widowControl/>
              <w:spacing w:line="360" w:lineRule="auto"/>
              <w:jc w:val="center"/>
              <w:rPr>
                <w:rFonts w:ascii="宋体" w:hAnsi="宋体" w:cs="宋体"/>
                <w:color w:val="auto"/>
                <w:kern w:val="0"/>
                <w:sz w:val="24"/>
              </w:rPr>
            </w:pPr>
            <w:r>
              <w:rPr>
                <w:rFonts w:hint="eastAsia" w:ascii="宋体" w:hAnsi="宋体" w:cs="宋体"/>
                <w:color w:val="auto"/>
                <w:kern w:val="0"/>
                <w:sz w:val="24"/>
              </w:rPr>
              <w:t>铝扣板</w:t>
            </w:r>
          </w:p>
        </w:tc>
        <w:tc>
          <w:tcPr>
            <w:tcW w:w="2737" w:type="pct"/>
          </w:tcPr>
          <w:p w14:paraId="1785049E">
            <w:pPr>
              <w:widowControl/>
              <w:spacing w:line="360" w:lineRule="auto"/>
              <w:jc w:val="center"/>
              <w:rPr>
                <w:rFonts w:ascii="宋体" w:hAnsi="宋体" w:cs="宋体"/>
                <w:color w:val="auto"/>
                <w:kern w:val="0"/>
                <w:sz w:val="24"/>
              </w:rPr>
            </w:pPr>
            <w:r>
              <w:rPr>
                <w:color w:val="auto"/>
              </w:rPr>
              <w:fldChar w:fldCharType="begin"/>
            </w:r>
            <w:r>
              <w:rPr>
                <w:color w:val="auto"/>
              </w:rPr>
              <w:instrText xml:space="preserve"> HYPERLINK "http://www.iccchina.com/brands/show/axwmro" \t "_blank" </w:instrText>
            </w:r>
            <w:r>
              <w:rPr>
                <w:color w:val="auto"/>
              </w:rPr>
              <w:fldChar w:fldCharType="separate"/>
            </w:r>
            <w:r>
              <w:rPr>
                <w:rFonts w:hint="eastAsia" w:ascii="宋体" w:hAnsi="宋体" w:cs="宋体"/>
                <w:color w:val="auto"/>
                <w:kern w:val="0"/>
                <w:sz w:val="24"/>
              </w:rPr>
              <w:t>欧斯宝</w:t>
            </w:r>
            <w:r>
              <w:rPr>
                <w:rFonts w:hint="eastAsia" w:ascii="宋体" w:hAnsi="宋体" w:cs="宋体"/>
                <w:color w:val="auto"/>
                <w:kern w:val="0"/>
                <w:sz w:val="24"/>
              </w:rPr>
              <w:fldChar w:fldCharType="end"/>
            </w:r>
            <w:r>
              <w:rPr>
                <w:rFonts w:hint="eastAsia" w:ascii="宋体" w:hAnsi="宋体" w:cs="宋体"/>
                <w:color w:val="auto"/>
                <w:kern w:val="0"/>
                <w:sz w:val="24"/>
              </w:rPr>
              <w:t>、拓得利、</w:t>
            </w:r>
            <w:r>
              <w:rPr>
                <w:color w:val="auto"/>
              </w:rPr>
              <w:fldChar w:fldCharType="begin"/>
            </w:r>
            <w:r>
              <w:rPr>
                <w:color w:val="auto"/>
              </w:rPr>
              <w:instrText xml:space="preserve"> HYPERLINK "http://www.iccchina.com/brands/show/axqswt" \t "_blank" </w:instrText>
            </w:r>
            <w:r>
              <w:rPr>
                <w:color w:val="auto"/>
              </w:rPr>
              <w:fldChar w:fldCharType="separate"/>
            </w:r>
            <w:r>
              <w:rPr>
                <w:rFonts w:hint="eastAsia" w:ascii="宋体" w:hAnsi="宋体" w:cs="宋体"/>
                <w:color w:val="auto"/>
                <w:kern w:val="0"/>
                <w:sz w:val="24"/>
              </w:rPr>
              <w:t>欧佰</w:t>
            </w:r>
            <w:r>
              <w:rPr>
                <w:rFonts w:hint="eastAsia" w:ascii="宋体" w:hAnsi="宋体" w:cs="宋体"/>
                <w:color w:val="auto"/>
                <w:kern w:val="0"/>
                <w:sz w:val="24"/>
              </w:rPr>
              <w:fldChar w:fldCharType="end"/>
            </w:r>
            <w:r>
              <w:rPr>
                <w:rFonts w:hint="eastAsia" w:ascii="宋体" w:hAnsi="宋体" w:cs="宋体"/>
                <w:color w:val="auto"/>
                <w:kern w:val="0"/>
                <w:sz w:val="24"/>
              </w:rPr>
              <w:t>或相当于</w:t>
            </w:r>
          </w:p>
        </w:tc>
        <w:tc>
          <w:tcPr>
            <w:tcW w:w="684" w:type="pct"/>
          </w:tcPr>
          <w:p w14:paraId="26E683F5">
            <w:pPr>
              <w:widowControl/>
              <w:spacing w:line="360" w:lineRule="auto"/>
              <w:jc w:val="center"/>
              <w:rPr>
                <w:rFonts w:ascii="宋体" w:hAnsi="宋体" w:cs="宋体"/>
                <w:color w:val="auto"/>
                <w:kern w:val="0"/>
                <w:sz w:val="24"/>
              </w:rPr>
            </w:pPr>
          </w:p>
        </w:tc>
      </w:tr>
      <w:tr w14:paraId="4FD9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31E999A5">
            <w:pPr>
              <w:widowControl/>
              <w:spacing w:line="360" w:lineRule="auto"/>
              <w:jc w:val="center"/>
              <w:rPr>
                <w:rFonts w:ascii="宋体" w:hAnsi="宋体" w:cs="宋体"/>
                <w:color w:val="auto"/>
                <w:kern w:val="0"/>
                <w:sz w:val="24"/>
              </w:rPr>
            </w:pPr>
            <w:r>
              <w:rPr>
                <w:rFonts w:hint="eastAsia" w:ascii="宋体" w:hAnsi="宋体" w:cs="宋体"/>
                <w:color w:val="auto"/>
                <w:kern w:val="0"/>
                <w:sz w:val="24"/>
              </w:rPr>
              <w:t>14</w:t>
            </w:r>
          </w:p>
        </w:tc>
        <w:tc>
          <w:tcPr>
            <w:tcW w:w="1140" w:type="pct"/>
          </w:tcPr>
          <w:p w14:paraId="0E002E41">
            <w:pPr>
              <w:widowControl/>
              <w:spacing w:line="360" w:lineRule="auto"/>
              <w:jc w:val="center"/>
              <w:rPr>
                <w:rFonts w:ascii="宋体" w:hAnsi="宋体" w:cs="宋体"/>
                <w:color w:val="auto"/>
                <w:kern w:val="0"/>
                <w:sz w:val="24"/>
              </w:rPr>
            </w:pPr>
            <w:r>
              <w:rPr>
                <w:rFonts w:hint="eastAsia" w:ascii="宋体" w:hAnsi="宋体" w:cs="宋体"/>
                <w:color w:val="auto"/>
                <w:kern w:val="0"/>
                <w:sz w:val="24"/>
              </w:rPr>
              <w:t>铝板、铝方通</w:t>
            </w:r>
          </w:p>
        </w:tc>
        <w:tc>
          <w:tcPr>
            <w:tcW w:w="2737" w:type="pct"/>
          </w:tcPr>
          <w:p w14:paraId="36E27121">
            <w:pPr>
              <w:widowControl/>
              <w:spacing w:line="360" w:lineRule="auto"/>
              <w:jc w:val="center"/>
              <w:rPr>
                <w:rFonts w:ascii="宋体" w:hAnsi="宋体" w:cs="宋体"/>
                <w:color w:val="auto"/>
                <w:kern w:val="0"/>
                <w:sz w:val="24"/>
              </w:rPr>
            </w:pPr>
            <w:r>
              <w:rPr>
                <w:rFonts w:hint="eastAsia" w:ascii="宋体" w:hAnsi="宋体" w:cs="宋体"/>
                <w:color w:val="auto"/>
                <w:kern w:val="0"/>
                <w:sz w:val="24"/>
              </w:rPr>
              <w:t>广东高士达、福建闽铝、绍兴墙煌或相当于</w:t>
            </w:r>
          </w:p>
        </w:tc>
        <w:tc>
          <w:tcPr>
            <w:tcW w:w="684" w:type="pct"/>
          </w:tcPr>
          <w:p w14:paraId="721C940F">
            <w:pPr>
              <w:widowControl/>
              <w:spacing w:line="360" w:lineRule="auto"/>
              <w:jc w:val="center"/>
              <w:rPr>
                <w:rFonts w:ascii="宋体" w:hAnsi="宋体" w:cs="宋体"/>
                <w:color w:val="auto"/>
                <w:kern w:val="0"/>
                <w:sz w:val="24"/>
              </w:rPr>
            </w:pPr>
          </w:p>
        </w:tc>
      </w:tr>
      <w:tr w14:paraId="35AF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78673B97">
            <w:pPr>
              <w:widowControl/>
              <w:spacing w:line="360" w:lineRule="auto"/>
              <w:jc w:val="center"/>
              <w:rPr>
                <w:rFonts w:ascii="宋体" w:hAnsi="宋体" w:cs="宋体"/>
                <w:color w:val="auto"/>
                <w:kern w:val="0"/>
                <w:sz w:val="24"/>
              </w:rPr>
            </w:pPr>
            <w:r>
              <w:rPr>
                <w:rFonts w:hint="eastAsia" w:ascii="宋体" w:hAnsi="宋体" w:cs="宋体"/>
                <w:color w:val="auto"/>
                <w:kern w:val="0"/>
                <w:sz w:val="24"/>
              </w:rPr>
              <w:t>15</w:t>
            </w:r>
          </w:p>
        </w:tc>
        <w:tc>
          <w:tcPr>
            <w:tcW w:w="1140" w:type="pct"/>
          </w:tcPr>
          <w:p w14:paraId="2B56350D">
            <w:pPr>
              <w:widowControl/>
              <w:spacing w:line="360" w:lineRule="auto"/>
              <w:jc w:val="center"/>
              <w:rPr>
                <w:rFonts w:ascii="宋体" w:hAnsi="宋体" w:cs="宋体"/>
                <w:color w:val="auto"/>
                <w:kern w:val="0"/>
                <w:sz w:val="24"/>
              </w:rPr>
            </w:pPr>
            <w:r>
              <w:rPr>
                <w:rFonts w:hint="eastAsia" w:ascii="宋体" w:hAnsi="宋体" w:cs="宋体"/>
                <w:color w:val="auto"/>
                <w:kern w:val="0"/>
                <w:sz w:val="24"/>
              </w:rPr>
              <w:t>大理石/平台石材</w:t>
            </w:r>
          </w:p>
        </w:tc>
        <w:tc>
          <w:tcPr>
            <w:tcW w:w="2737" w:type="pct"/>
          </w:tcPr>
          <w:p w14:paraId="313A43CA">
            <w:pPr>
              <w:widowControl/>
              <w:spacing w:line="360" w:lineRule="auto"/>
              <w:jc w:val="center"/>
              <w:rPr>
                <w:rFonts w:ascii="宋体" w:hAnsi="宋体" w:cs="宋体"/>
                <w:color w:val="auto"/>
                <w:kern w:val="0"/>
                <w:sz w:val="24"/>
              </w:rPr>
            </w:pPr>
            <w:r>
              <w:rPr>
                <w:rFonts w:hint="eastAsia" w:ascii="宋体" w:hAnsi="宋体" w:cs="宋体"/>
                <w:color w:val="auto"/>
                <w:kern w:val="0"/>
                <w:sz w:val="24"/>
              </w:rPr>
              <w:t>福建、湖北、山东或相当于</w:t>
            </w:r>
          </w:p>
        </w:tc>
        <w:tc>
          <w:tcPr>
            <w:tcW w:w="684" w:type="pct"/>
          </w:tcPr>
          <w:p w14:paraId="00C35932">
            <w:pPr>
              <w:widowControl/>
              <w:spacing w:line="360" w:lineRule="auto"/>
              <w:jc w:val="center"/>
              <w:rPr>
                <w:rFonts w:ascii="宋体" w:hAnsi="宋体" w:cs="宋体"/>
                <w:color w:val="auto"/>
                <w:kern w:val="0"/>
                <w:sz w:val="24"/>
              </w:rPr>
            </w:pPr>
          </w:p>
        </w:tc>
      </w:tr>
      <w:tr w14:paraId="29CD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09330A83">
            <w:pPr>
              <w:widowControl/>
              <w:spacing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1140" w:type="pct"/>
          </w:tcPr>
          <w:p w14:paraId="1658BA6A">
            <w:pPr>
              <w:widowControl/>
              <w:spacing w:line="360" w:lineRule="auto"/>
              <w:jc w:val="center"/>
              <w:rPr>
                <w:rFonts w:ascii="宋体" w:hAnsi="宋体" w:cs="宋体"/>
                <w:color w:val="auto"/>
                <w:kern w:val="0"/>
                <w:sz w:val="24"/>
              </w:rPr>
            </w:pPr>
            <w:r>
              <w:rPr>
                <w:rFonts w:hint="eastAsia" w:ascii="宋体" w:hAnsi="宋体" w:cs="宋体"/>
                <w:color w:val="auto"/>
                <w:kern w:val="0"/>
                <w:sz w:val="24"/>
              </w:rPr>
              <w:t>火烧板</w:t>
            </w:r>
          </w:p>
        </w:tc>
        <w:tc>
          <w:tcPr>
            <w:tcW w:w="2737" w:type="pct"/>
          </w:tcPr>
          <w:p w14:paraId="0206CF3F">
            <w:pPr>
              <w:widowControl/>
              <w:spacing w:line="360" w:lineRule="auto"/>
              <w:jc w:val="center"/>
              <w:rPr>
                <w:rFonts w:ascii="宋体" w:hAnsi="宋体" w:cs="宋体"/>
                <w:color w:val="auto"/>
                <w:kern w:val="0"/>
                <w:sz w:val="24"/>
              </w:rPr>
            </w:pPr>
            <w:r>
              <w:rPr>
                <w:rFonts w:hint="eastAsia" w:ascii="宋体" w:hAnsi="宋体" w:cs="宋体"/>
                <w:color w:val="auto"/>
                <w:kern w:val="0"/>
                <w:sz w:val="24"/>
              </w:rPr>
              <w:t>福建、山东或相当于</w:t>
            </w:r>
          </w:p>
        </w:tc>
        <w:tc>
          <w:tcPr>
            <w:tcW w:w="684" w:type="pct"/>
          </w:tcPr>
          <w:p w14:paraId="33C07D2C">
            <w:pPr>
              <w:widowControl/>
              <w:spacing w:line="360" w:lineRule="auto"/>
              <w:jc w:val="center"/>
              <w:rPr>
                <w:rFonts w:ascii="宋体" w:hAnsi="宋体" w:cs="宋体"/>
                <w:color w:val="auto"/>
                <w:kern w:val="0"/>
                <w:sz w:val="24"/>
              </w:rPr>
            </w:pPr>
          </w:p>
        </w:tc>
      </w:tr>
      <w:tr w14:paraId="130A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56C86081">
            <w:pPr>
              <w:widowControl/>
              <w:spacing w:line="360" w:lineRule="auto"/>
              <w:jc w:val="center"/>
              <w:rPr>
                <w:rFonts w:ascii="宋体" w:hAnsi="宋体" w:cs="宋体"/>
                <w:color w:val="auto"/>
                <w:kern w:val="0"/>
                <w:sz w:val="24"/>
              </w:rPr>
            </w:pPr>
            <w:r>
              <w:rPr>
                <w:rFonts w:hint="eastAsia" w:ascii="宋体" w:hAnsi="宋体" w:cs="宋体"/>
                <w:color w:val="auto"/>
                <w:kern w:val="0"/>
                <w:sz w:val="24"/>
              </w:rPr>
              <w:t>17</w:t>
            </w:r>
          </w:p>
        </w:tc>
        <w:tc>
          <w:tcPr>
            <w:tcW w:w="1140" w:type="pct"/>
          </w:tcPr>
          <w:p w14:paraId="2CB9C86F">
            <w:pPr>
              <w:widowControl/>
              <w:spacing w:line="360" w:lineRule="auto"/>
              <w:jc w:val="center"/>
              <w:rPr>
                <w:rFonts w:ascii="宋体" w:hAnsi="宋体" w:cs="宋体"/>
                <w:color w:val="auto"/>
                <w:kern w:val="0"/>
                <w:sz w:val="24"/>
              </w:rPr>
            </w:pPr>
            <w:r>
              <w:rPr>
                <w:rFonts w:hint="eastAsia" w:ascii="宋体" w:hAnsi="宋体" w:cs="宋体"/>
                <w:color w:val="auto"/>
                <w:kern w:val="0"/>
                <w:sz w:val="24"/>
              </w:rPr>
              <w:t>玻璃</w:t>
            </w:r>
          </w:p>
        </w:tc>
        <w:tc>
          <w:tcPr>
            <w:tcW w:w="2737" w:type="pct"/>
          </w:tcPr>
          <w:p w14:paraId="68CADAAA">
            <w:pPr>
              <w:widowControl/>
              <w:spacing w:line="360" w:lineRule="auto"/>
              <w:jc w:val="center"/>
              <w:rPr>
                <w:rFonts w:ascii="宋体" w:hAnsi="宋体" w:cs="宋体"/>
                <w:color w:val="auto"/>
                <w:kern w:val="0"/>
                <w:sz w:val="24"/>
              </w:rPr>
            </w:pPr>
            <w:r>
              <w:rPr>
                <w:rFonts w:hint="eastAsia" w:ascii="宋体" w:hAnsi="宋体" w:cs="宋体"/>
                <w:color w:val="auto"/>
                <w:kern w:val="0"/>
                <w:sz w:val="24"/>
              </w:rPr>
              <w:t>博大、辉玻、耀皮或相当于</w:t>
            </w:r>
          </w:p>
        </w:tc>
        <w:tc>
          <w:tcPr>
            <w:tcW w:w="684" w:type="pct"/>
          </w:tcPr>
          <w:p w14:paraId="2789CABB">
            <w:pPr>
              <w:widowControl/>
              <w:spacing w:line="360" w:lineRule="auto"/>
              <w:jc w:val="center"/>
              <w:rPr>
                <w:rFonts w:ascii="宋体" w:hAnsi="宋体" w:cs="宋体"/>
                <w:color w:val="auto"/>
                <w:kern w:val="0"/>
                <w:sz w:val="24"/>
              </w:rPr>
            </w:pPr>
          </w:p>
        </w:tc>
      </w:tr>
      <w:tr w14:paraId="44F9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5DF4A6D2">
            <w:pPr>
              <w:widowControl/>
              <w:spacing w:line="360" w:lineRule="auto"/>
              <w:jc w:val="center"/>
              <w:rPr>
                <w:rFonts w:ascii="宋体" w:hAnsi="宋体" w:cs="宋体"/>
                <w:color w:val="auto"/>
                <w:kern w:val="0"/>
                <w:sz w:val="24"/>
              </w:rPr>
            </w:pPr>
            <w:r>
              <w:rPr>
                <w:rFonts w:hint="eastAsia" w:ascii="宋体" w:hAnsi="宋体" w:cs="宋体"/>
                <w:color w:val="auto"/>
                <w:kern w:val="0"/>
                <w:sz w:val="24"/>
              </w:rPr>
              <w:t>18</w:t>
            </w:r>
          </w:p>
        </w:tc>
        <w:tc>
          <w:tcPr>
            <w:tcW w:w="1140" w:type="pct"/>
          </w:tcPr>
          <w:p w14:paraId="2F1F1EB5">
            <w:pPr>
              <w:widowControl/>
              <w:spacing w:line="360" w:lineRule="auto"/>
              <w:jc w:val="center"/>
              <w:rPr>
                <w:rFonts w:ascii="宋体" w:hAnsi="宋体" w:cs="宋体"/>
                <w:color w:val="auto"/>
                <w:kern w:val="0"/>
                <w:sz w:val="24"/>
              </w:rPr>
            </w:pPr>
            <w:r>
              <w:rPr>
                <w:rFonts w:hint="eastAsia" w:ascii="宋体" w:hAnsi="宋体" w:cs="宋体"/>
                <w:color w:val="auto"/>
                <w:kern w:val="0"/>
                <w:sz w:val="24"/>
              </w:rPr>
              <w:t>塑胶地板</w:t>
            </w:r>
          </w:p>
        </w:tc>
        <w:tc>
          <w:tcPr>
            <w:tcW w:w="2737" w:type="pct"/>
          </w:tcPr>
          <w:p w14:paraId="62AAD848">
            <w:pPr>
              <w:widowControl/>
              <w:spacing w:line="360" w:lineRule="auto"/>
              <w:jc w:val="center"/>
              <w:rPr>
                <w:rFonts w:ascii="宋体" w:hAnsi="宋体" w:cs="宋体"/>
                <w:color w:val="auto"/>
                <w:kern w:val="0"/>
                <w:sz w:val="24"/>
              </w:rPr>
            </w:pPr>
            <w:r>
              <w:rPr>
                <w:rFonts w:hint="eastAsia" w:ascii="宋体" w:hAnsi="宋体" w:cs="宋体"/>
                <w:color w:val="auto"/>
                <w:kern w:val="0"/>
                <w:sz w:val="24"/>
              </w:rPr>
              <w:t>LG、洁弗乐、阿姆斯壮或相当于</w:t>
            </w:r>
          </w:p>
        </w:tc>
        <w:tc>
          <w:tcPr>
            <w:tcW w:w="684" w:type="pct"/>
          </w:tcPr>
          <w:p w14:paraId="6A4A5672">
            <w:pPr>
              <w:widowControl/>
              <w:spacing w:line="360" w:lineRule="auto"/>
              <w:jc w:val="center"/>
              <w:rPr>
                <w:rFonts w:ascii="宋体" w:hAnsi="宋体" w:cs="宋体"/>
                <w:color w:val="auto"/>
                <w:kern w:val="0"/>
                <w:sz w:val="24"/>
              </w:rPr>
            </w:pPr>
          </w:p>
        </w:tc>
      </w:tr>
      <w:tr w14:paraId="6883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3F60D6A1">
            <w:pPr>
              <w:widowControl/>
              <w:spacing w:line="360" w:lineRule="auto"/>
              <w:jc w:val="center"/>
              <w:rPr>
                <w:rFonts w:ascii="宋体" w:hAnsi="宋体" w:cs="宋体"/>
                <w:color w:val="auto"/>
                <w:kern w:val="0"/>
                <w:sz w:val="24"/>
              </w:rPr>
            </w:pPr>
            <w:r>
              <w:rPr>
                <w:rFonts w:hint="eastAsia" w:ascii="宋体" w:hAnsi="宋体" w:cs="宋体"/>
                <w:color w:val="auto"/>
                <w:kern w:val="0"/>
                <w:sz w:val="24"/>
              </w:rPr>
              <w:t>19</w:t>
            </w:r>
          </w:p>
        </w:tc>
        <w:tc>
          <w:tcPr>
            <w:tcW w:w="1140" w:type="pct"/>
          </w:tcPr>
          <w:p w14:paraId="1A624939">
            <w:pPr>
              <w:widowControl/>
              <w:spacing w:line="360" w:lineRule="auto"/>
              <w:jc w:val="center"/>
              <w:rPr>
                <w:rFonts w:ascii="宋体" w:hAnsi="宋体" w:cs="宋体"/>
                <w:color w:val="auto"/>
                <w:kern w:val="0"/>
                <w:sz w:val="24"/>
              </w:rPr>
            </w:pPr>
            <w:r>
              <w:rPr>
                <w:rFonts w:hint="eastAsia" w:ascii="宋体" w:hAnsi="宋体" w:cs="宋体"/>
                <w:color w:val="auto"/>
                <w:kern w:val="0"/>
                <w:sz w:val="24"/>
              </w:rPr>
              <w:t>不锈钢管及配件</w:t>
            </w:r>
          </w:p>
        </w:tc>
        <w:tc>
          <w:tcPr>
            <w:tcW w:w="2737" w:type="pct"/>
          </w:tcPr>
          <w:p w14:paraId="4E17073C">
            <w:pPr>
              <w:widowControl/>
              <w:spacing w:line="360" w:lineRule="auto"/>
              <w:jc w:val="center"/>
              <w:rPr>
                <w:rFonts w:ascii="宋体" w:hAnsi="宋体" w:cs="宋体"/>
                <w:color w:val="auto"/>
                <w:kern w:val="0"/>
                <w:sz w:val="24"/>
              </w:rPr>
            </w:pPr>
            <w:r>
              <w:rPr>
                <w:rFonts w:hint="eastAsia" w:ascii="宋体" w:hAnsi="宋体" w:cs="宋体"/>
                <w:color w:val="auto"/>
                <w:kern w:val="0"/>
                <w:sz w:val="24"/>
              </w:rPr>
              <w:t>正康、铭扬、佛山瑞进或相当于</w:t>
            </w:r>
          </w:p>
        </w:tc>
        <w:tc>
          <w:tcPr>
            <w:tcW w:w="684" w:type="pct"/>
          </w:tcPr>
          <w:p w14:paraId="5C82DCAC">
            <w:pPr>
              <w:widowControl/>
              <w:spacing w:line="360" w:lineRule="auto"/>
              <w:jc w:val="center"/>
              <w:rPr>
                <w:rFonts w:ascii="宋体" w:hAnsi="宋体" w:cs="宋体"/>
                <w:color w:val="auto"/>
                <w:kern w:val="0"/>
                <w:sz w:val="24"/>
              </w:rPr>
            </w:pPr>
          </w:p>
        </w:tc>
      </w:tr>
      <w:tr w14:paraId="0C99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744EF36F">
            <w:pPr>
              <w:widowControl/>
              <w:spacing w:line="360" w:lineRule="auto"/>
              <w:jc w:val="center"/>
              <w:rPr>
                <w:rFonts w:ascii="宋体" w:hAnsi="宋体" w:cs="宋体"/>
                <w:color w:val="auto"/>
                <w:kern w:val="0"/>
                <w:sz w:val="24"/>
              </w:rPr>
            </w:pPr>
            <w:r>
              <w:rPr>
                <w:rFonts w:hint="eastAsia" w:ascii="宋体" w:hAnsi="宋体" w:cs="宋体"/>
                <w:color w:val="auto"/>
                <w:kern w:val="0"/>
                <w:sz w:val="24"/>
              </w:rPr>
              <w:t>20</w:t>
            </w:r>
          </w:p>
        </w:tc>
        <w:tc>
          <w:tcPr>
            <w:tcW w:w="1140" w:type="pct"/>
          </w:tcPr>
          <w:p w14:paraId="482D9375">
            <w:pPr>
              <w:widowControl/>
              <w:spacing w:line="360" w:lineRule="auto"/>
              <w:jc w:val="center"/>
              <w:rPr>
                <w:rFonts w:ascii="宋体" w:hAnsi="宋体" w:cs="宋体"/>
                <w:color w:val="auto"/>
                <w:kern w:val="0"/>
                <w:sz w:val="24"/>
              </w:rPr>
            </w:pPr>
            <w:r>
              <w:rPr>
                <w:rFonts w:hint="eastAsia" w:ascii="宋体" w:hAnsi="宋体" w:cs="宋体"/>
                <w:color w:val="auto"/>
                <w:kern w:val="0"/>
                <w:sz w:val="24"/>
              </w:rPr>
              <w:t>防水材料</w:t>
            </w:r>
          </w:p>
        </w:tc>
        <w:tc>
          <w:tcPr>
            <w:tcW w:w="2737" w:type="pct"/>
          </w:tcPr>
          <w:p w14:paraId="3D5DC41E">
            <w:pPr>
              <w:widowControl/>
              <w:spacing w:line="360" w:lineRule="auto"/>
              <w:jc w:val="center"/>
              <w:rPr>
                <w:rFonts w:ascii="宋体" w:hAnsi="宋体" w:cs="宋体"/>
                <w:color w:val="auto"/>
                <w:kern w:val="0"/>
                <w:sz w:val="24"/>
              </w:rPr>
            </w:pPr>
            <w:r>
              <w:rPr>
                <w:rFonts w:hint="eastAsia" w:ascii="宋体" w:hAnsi="宋体" w:cs="宋体"/>
                <w:color w:val="auto"/>
                <w:kern w:val="0"/>
                <w:sz w:val="24"/>
              </w:rPr>
              <w:t>禹王（防水）、东方雨虹、宏源（防水）或相当于</w:t>
            </w:r>
          </w:p>
        </w:tc>
        <w:tc>
          <w:tcPr>
            <w:tcW w:w="684" w:type="pct"/>
          </w:tcPr>
          <w:p w14:paraId="3C5AA858">
            <w:pPr>
              <w:widowControl/>
              <w:spacing w:line="360" w:lineRule="auto"/>
              <w:jc w:val="center"/>
              <w:rPr>
                <w:rFonts w:ascii="宋体" w:hAnsi="宋体" w:cs="宋体"/>
                <w:color w:val="auto"/>
                <w:kern w:val="0"/>
                <w:sz w:val="24"/>
              </w:rPr>
            </w:pPr>
          </w:p>
        </w:tc>
      </w:tr>
      <w:tr w14:paraId="17D3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0B67C703">
            <w:pPr>
              <w:widowControl/>
              <w:spacing w:line="360" w:lineRule="auto"/>
              <w:jc w:val="center"/>
              <w:rPr>
                <w:rFonts w:ascii="宋体" w:hAnsi="宋体" w:cs="宋体"/>
                <w:color w:val="auto"/>
                <w:kern w:val="0"/>
                <w:sz w:val="24"/>
              </w:rPr>
            </w:pPr>
            <w:r>
              <w:rPr>
                <w:rFonts w:hint="eastAsia" w:ascii="宋体" w:hAnsi="宋体" w:cs="宋体"/>
                <w:color w:val="auto"/>
                <w:kern w:val="0"/>
                <w:sz w:val="24"/>
              </w:rPr>
              <w:t>21</w:t>
            </w:r>
          </w:p>
        </w:tc>
        <w:tc>
          <w:tcPr>
            <w:tcW w:w="1140" w:type="pct"/>
          </w:tcPr>
          <w:p w14:paraId="682F6DEA">
            <w:pPr>
              <w:widowControl/>
              <w:spacing w:line="360" w:lineRule="auto"/>
              <w:jc w:val="center"/>
              <w:rPr>
                <w:rFonts w:ascii="宋体" w:hAnsi="宋体" w:cs="宋体"/>
                <w:color w:val="auto"/>
                <w:kern w:val="0"/>
                <w:sz w:val="24"/>
              </w:rPr>
            </w:pPr>
            <w:r>
              <w:rPr>
                <w:rFonts w:hint="eastAsia" w:ascii="宋体" w:hAnsi="宋体" w:cs="宋体"/>
                <w:color w:val="auto"/>
                <w:kern w:val="0"/>
                <w:sz w:val="24"/>
              </w:rPr>
              <w:t>电线、电缆</w:t>
            </w:r>
          </w:p>
        </w:tc>
        <w:tc>
          <w:tcPr>
            <w:tcW w:w="2737" w:type="pct"/>
          </w:tcPr>
          <w:p w14:paraId="33DEDC8C">
            <w:pPr>
              <w:widowControl/>
              <w:spacing w:line="360" w:lineRule="auto"/>
              <w:jc w:val="center"/>
              <w:rPr>
                <w:rFonts w:ascii="宋体" w:hAnsi="宋体" w:cs="宋体"/>
                <w:color w:val="auto"/>
                <w:kern w:val="0"/>
                <w:sz w:val="24"/>
              </w:rPr>
            </w:pPr>
            <w:r>
              <w:rPr>
                <w:rFonts w:hint="eastAsia" w:ascii="宋体" w:hAnsi="宋体" w:cs="宋体"/>
                <w:color w:val="auto"/>
                <w:kern w:val="0"/>
                <w:sz w:val="24"/>
              </w:rPr>
              <w:t>杭州中策、广州珠江、杭州永通或相当于</w:t>
            </w:r>
          </w:p>
        </w:tc>
        <w:tc>
          <w:tcPr>
            <w:tcW w:w="684" w:type="pct"/>
          </w:tcPr>
          <w:p w14:paraId="4B5BE05F">
            <w:pPr>
              <w:widowControl/>
              <w:spacing w:line="360" w:lineRule="auto"/>
              <w:jc w:val="center"/>
              <w:rPr>
                <w:rFonts w:ascii="宋体" w:hAnsi="宋体" w:cs="宋体"/>
                <w:color w:val="auto"/>
                <w:kern w:val="0"/>
                <w:sz w:val="24"/>
              </w:rPr>
            </w:pPr>
          </w:p>
        </w:tc>
      </w:tr>
      <w:tr w14:paraId="6664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71DAA4D1">
            <w:pPr>
              <w:widowControl/>
              <w:spacing w:line="360" w:lineRule="auto"/>
              <w:jc w:val="center"/>
              <w:rPr>
                <w:rFonts w:ascii="宋体" w:hAnsi="宋体" w:cs="宋体"/>
                <w:color w:val="auto"/>
                <w:kern w:val="0"/>
                <w:sz w:val="24"/>
              </w:rPr>
            </w:pPr>
            <w:r>
              <w:rPr>
                <w:rFonts w:hint="eastAsia" w:ascii="宋体" w:hAnsi="宋体" w:cs="宋体"/>
                <w:color w:val="auto"/>
                <w:kern w:val="0"/>
                <w:sz w:val="24"/>
              </w:rPr>
              <w:t>22</w:t>
            </w:r>
          </w:p>
        </w:tc>
        <w:tc>
          <w:tcPr>
            <w:tcW w:w="1140" w:type="pct"/>
          </w:tcPr>
          <w:p w14:paraId="33DB74CA">
            <w:pPr>
              <w:widowControl/>
              <w:spacing w:line="360" w:lineRule="auto"/>
              <w:jc w:val="center"/>
              <w:rPr>
                <w:rFonts w:ascii="宋体" w:hAnsi="宋体" w:cs="宋体"/>
                <w:color w:val="auto"/>
                <w:kern w:val="0"/>
                <w:sz w:val="24"/>
              </w:rPr>
            </w:pPr>
            <w:r>
              <w:rPr>
                <w:rFonts w:hint="eastAsia" w:ascii="宋体" w:hAnsi="宋体" w:cs="宋体"/>
                <w:color w:val="auto"/>
                <w:kern w:val="0"/>
                <w:sz w:val="24"/>
              </w:rPr>
              <w:t>开关、插座</w:t>
            </w:r>
          </w:p>
        </w:tc>
        <w:tc>
          <w:tcPr>
            <w:tcW w:w="2737" w:type="pct"/>
          </w:tcPr>
          <w:p w14:paraId="7F96B86A">
            <w:pPr>
              <w:widowControl/>
              <w:spacing w:line="360" w:lineRule="auto"/>
              <w:jc w:val="center"/>
              <w:rPr>
                <w:rFonts w:ascii="宋体" w:hAnsi="宋体" w:cs="宋体"/>
                <w:color w:val="auto"/>
                <w:kern w:val="0"/>
                <w:sz w:val="24"/>
              </w:rPr>
            </w:pPr>
            <w:r>
              <w:rPr>
                <w:rFonts w:hint="eastAsia" w:ascii="宋体" w:hAnsi="宋体" w:cs="宋体"/>
                <w:color w:val="auto"/>
                <w:kern w:val="0"/>
                <w:sz w:val="24"/>
              </w:rPr>
              <w:t>公牛、松下、西蒙或相当于</w:t>
            </w:r>
          </w:p>
        </w:tc>
        <w:tc>
          <w:tcPr>
            <w:tcW w:w="684" w:type="pct"/>
          </w:tcPr>
          <w:p w14:paraId="41E96052">
            <w:pPr>
              <w:widowControl/>
              <w:spacing w:line="360" w:lineRule="auto"/>
              <w:jc w:val="center"/>
              <w:rPr>
                <w:rFonts w:ascii="宋体" w:hAnsi="宋体" w:cs="宋体"/>
                <w:color w:val="auto"/>
                <w:kern w:val="0"/>
                <w:sz w:val="24"/>
              </w:rPr>
            </w:pPr>
          </w:p>
        </w:tc>
      </w:tr>
      <w:tr w14:paraId="618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4354396F">
            <w:pPr>
              <w:widowControl/>
              <w:spacing w:line="360" w:lineRule="auto"/>
              <w:jc w:val="center"/>
              <w:rPr>
                <w:rFonts w:ascii="宋体" w:hAnsi="宋体" w:cs="宋体"/>
                <w:color w:val="auto"/>
                <w:kern w:val="0"/>
                <w:sz w:val="24"/>
              </w:rPr>
            </w:pPr>
            <w:r>
              <w:rPr>
                <w:rFonts w:hint="eastAsia" w:ascii="宋体" w:hAnsi="宋体" w:cs="宋体"/>
                <w:color w:val="auto"/>
                <w:kern w:val="0"/>
                <w:sz w:val="24"/>
              </w:rPr>
              <w:t>23</w:t>
            </w:r>
          </w:p>
        </w:tc>
        <w:tc>
          <w:tcPr>
            <w:tcW w:w="1140" w:type="pct"/>
          </w:tcPr>
          <w:p w14:paraId="042A7016">
            <w:pPr>
              <w:widowControl/>
              <w:spacing w:line="360" w:lineRule="auto"/>
              <w:jc w:val="center"/>
              <w:rPr>
                <w:rFonts w:ascii="宋体" w:hAnsi="宋体" w:cs="宋体"/>
                <w:color w:val="auto"/>
                <w:kern w:val="0"/>
                <w:sz w:val="24"/>
              </w:rPr>
            </w:pPr>
            <w:r>
              <w:rPr>
                <w:rFonts w:hint="eastAsia" w:ascii="宋体" w:hAnsi="宋体" w:cs="宋体"/>
                <w:color w:val="auto"/>
                <w:kern w:val="0"/>
                <w:sz w:val="24"/>
              </w:rPr>
              <w:t>灯具</w:t>
            </w:r>
          </w:p>
        </w:tc>
        <w:tc>
          <w:tcPr>
            <w:tcW w:w="2737" w:type="pct"/>
          </w:tcPr>
          <w:p w14:paraId="3FCE4770">
            <w:pPr>
              <w:widowControl/>
              <w:spacing w:line="360" w:lineRule="auto"/>
              <w:jc w:val="center"/>
              <w:rPr>
                <w:rFonts w:ascii="宋体" w:hAnsi="宋体" w:cs="宋体"/>
                <w:color w:val="auto"/>
                <w:kern w:val="0"/>
                <w:sz w:val="24"/>
              </w:rPr>
            </w:pPr>
            <w:r>
              <w:rPr>
                <w:rFonts w:hint="eastAsia" w:ascii="宋体" w:hAnsi="宋体" w:cs="宋体"/>
                <w:color w:val="auto"/>
                <w:kern w:val="0"/>
                <w:sz w:val="24"/>
              </w:rPr>
              <w:t>飞利浦、雷士、欧普或相当于</w:t>
            </w:r>
          </w:p>
        </w:tc>
        <w:tc>
          <w:tcPr>
            <w:tcW w:w="684" w:type="pct"/>
          </w:tcPr>
          <w:p w14:paraId="3CAF5A52">
            <w:pPr>
              <w:widowControl/>
              <w:spacing w:line="360" w:lineRule="auto"/>
              <w:jc w:val="center"/>
              <w:rPr>
                <w:rFonts w:ascii="宋体" w:hAnsi="宋体" w:cs="宋体"/>
                <w:color w:val="auto"/>
                <w:kern w:val="0"/>
                <w:sz w:val="24"/>
              </w:rPr>
            </w:pPr>
          </w:p>
        </w:tc>
      </w:tr>
      <w:tr w14:paraId="2CF7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672F23FB">
            <w:pPr>
              <w:widowControl/>
              <w:spacing w:line="360" w:lineRule="auto"/>
              <w:jc w:val="center"/>
              <w:rPr>
                <w:rFonts w:ascii="宋体" w:hAnsi="宋体" w:cs="宋体"/>
                <w:color w:val="auto"/>
                <w:kern w:val="0"/>
                <w:sz w:val="24"/>
              </w:rPr>
            </w:pPr>
            <w:r>
              <w:rPr>
                <w:rFonts w:hint="eastAsia" w:ascii="宋体" w:hAnsi="宋体" w:cs="宋体"/>
                <w:color w:val="auto"/>
                <w:kern w:val="0"/>
                <w:sz w:val="24"/>
              </w:rPr>
              <w:t>24</w:t>
            </w:r>
          </w:p>
        </w:tc>
        <w:tc>
          <w:tcPr>
            <w:tcW w:w="1140" w:type="pct"/>
          </w:tcPr>
          <w:p w14:paraId="688BAC77">
            <w:pPr>
              <w:widowControl/>
              <w:spacing w:line="360" w:lineRule="auto"/>
              <w:jc w:val="center"/>
              <w:rPr>
                <w:rFonts w:ascii="宋体" w:hAnsi="宋体" w:cs="宋体"/>
                <w:color w:val="auto"/>
                <w:kern w:val="0"/>
                <w:sz w:val="24"/>
              </w:rPr>
            </w:pPr>
            <w:r>
              <w:rPr>
                <w:rFonts w:hint="eastAsia" w:ascii="宋体" w:hAnsi="宋体" w:cs="宋体"/>
                <w:color w:val="auto"/>
                <w:kern w:val="0"/>
                <w:sz w:val="24"/>
              </w:rPr>
              <w:t>镀锌钢管、无缝钢管、焊接钢管</w:t>
            </w:r>
          </w:p>
        </w:tc>
        <w:tc>
          <w:tcPr>
            <w:tcW w:w="2737" w:type="pct"/>
          </w:tcPr>
          <w:p w14:paraId="6ECB7F70">
            <w:pPr>
              <w:widowControl/>
              <w:spacing w:line="360" w:lineRule="auto"/>
              <w:jc w:val="center"/>
              <w:rPr>
                <w:rFonts w:ascii="宋体" w:hAnsi="宋体" w:cs="宋体"/>
                <w:color w:val="auto"/>
                <w:kern w:val="0"/>
                <w:sz w:val="24"/>
              </w:rPr>
            </w:pPr>
            <w:r>
              <w:rPr>
                <w:rFonts w:hint="eastAsia" w:ascii="宋体" w:hAnsi="宋体" w:cs="宋体"/>
                <w:color w:val="auto"/>
                <w:kern w:val="0"/>
                <w:sz w:val="24"/>
              </w:rPr>
              <w:t>天津利达、浙江金州、增洲、天津友发或相当于</w:t>
            </w:r>
          </w:p>
        </w:tc>
        <w:tc>
          <w:tcPr>
            <w:tcW w:w="684" w:type="pct"/>
          </w:tcPr>
          <w:p w14:paraId="71D63FB1">
            <w:pPr>
              <w:widowControl/>
              <w:spacing w:line="360" w:lineRule="auto"/>
              <w:jc w:val="center"/>
              <w:rPr>
                <w:rFonts w:ascii="宋体" w:hAnsi="宋体" w:cs="宋体"/>
                <w:color w:val="auto"/>
                <w:kern w:val="0"/>
                <w:sz w:val="24"/>
              </w:rPr>
            </w:pPr>
          </w:p>
        </w:tc>
      </w:tr>
      <w:tr w14:paraId="2566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079F4672">
            <w:pPr>
              <w:widowControl/>
              <w:spacing w:line="360" w:lineRule="auto"/>
              <w:jc w:val="center"/>
              <w:rPr>
                <w:rFonts w:ascii="宋体" w:hAnsi="宋体" w:cs="宋体"/>
                <w:color w:val="auto"/>
                <w:kern w:val="0"/>
                <w:sz w:val="24"/>
              </w:rPr>
            </w:pPr>
            <w:r>
              <w:rPr>
                <w:rFonts w:hint="eastAsia" w:ascii="宋体" w:hAnsi="宋体" w:cs="宋体"/>
                <w:color w:val="auto"/>
                <w:kern w:val="0"/>
                <w:sz w:val="24"/>
              </w:rPr>
              <w:t>25</w:t>
            </w:r>
          </w:p>
        </w:tc>
        <w:tc>
          <w:tcPr>
            <w:tcW w:w="1140" w:type="pct"/>
          </w:tcPr>
          <w:p w14:paraId="58B1AF96">
            <w:pPr>
              <w:widowControl/>
              <w:spacing w:line="360" w:lineRule="auto"/>
              <w:jc w:val="center"/>
              <w:rPr>
                <w:rFonts w:ascii="宋体" w:hAnsi="宋体" w:cs="宋体"/>
                <w:color w:val="auto"/>
                <w:kern w:val="0"/>
                <w:sz w:val="24"/>
              </w:rPr>
            </w:pPr>
            <w:r>
              <w:rPr>
                <w:rFonts w:hint="eastAsia" w:ascii="宋体" w:hAnsi="宋体" w:cs="宋体"/>
                <w:color w:val="auto"/>
                <w:kern w:val="0"/>
                <w:sz w:val="24"/>
              </w:rPr>
              <w:t>电线管</w:t>
            </w:r>
          </w:p>
        </w:tc>
        <w:tc>
          <w:tcPr>
            <w:tcW w:w="2737" w:type="pct"/>
          </w:tcPr>
          <w:p w14:paraId="04AC7F1D">
            <w:pPr>
              <w:widowControl/>
              <w:spacing w:line="360" w:lineRule="auto"/>
              <w:jc w:val="center"/>
              <w:rPr>
                <w:rFonts w:ascii="宋体" w:hAnsi="宋体" w:cs="宋体"/>
                <w:color w:val="auto"/>
                <w:kern w:val="0"/>
                <w:sz w:val="24"/>
              </w:rPr>
            </w:pPr>
            <w:r>
              <w:rPr>
                <w:rFonts w:hint="eastAsia" w:ascii="宋体" w:hAnsi="宋体" w:cs="宋体"/>
                <w:color w:val="auto"/>
                <w:kern w:val="0"/>
                <w:sz w:val="24"/>
              </w:rPr>
              <w:t>伟星、中财、联塑或相当于</w:t>
            </w:r>
          </w:p>
        </w:tc>
        <w:tc>
          <w:tcPr>
            <w:tcW w:w="684" w:type="pct"/>
          </w:tcPr>
          <w:p w14:paraId="29583488">
            <w:pPr>
              <w:widowControl/>
              <w:spacing w:line="360" w:lineRule="auto"/>
              <w:jc w:val="center"/>
              <w:rPr>
                <w:rFonts w:ascii="宋体" w:hAnsi="宋体" w:cs="宋体"/>
                <w:color w:val="auto"/>
                <w:kern w:val="0"/>
                <w:sz w:val="24"/>
              </w:rPr>
            </w:pPr>
          </w:p>
        </w:tc>
      </w:tr>
      <w:tr w14:paraId="6788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1A643FB7">
            <w:pPr>
              <w:widowControl/>
              <w:spacing w:line="360" w:lineRule="auto"/>
              <w:jc w:val="center"/>
              <w:rPr>
                <w:rFonts w:ascii="宋体" w:hAnsi="宋体" w:cs="宋体"/>
                <w:color w:val="auto"/>
                <w:kern w:val="0"/>
                <w:sz w:val="24"/>
              </w:rPr>
            </w:pPr>
            <w:r>
              <w:rPr>
                <w:rFonts w:hint="eastAsia" w:ascii="宋体" w:hAnsi="宋体" w:cs="宋体"/>
                <w:color w:val="auto"/>
                <w:kern w:val="0"/>
                <w:sz w:val="24"/>
              </w:rPr>
              <w:t>26</w:t>
            </w:r>
          </w:p>
        </w:tc>
        <w:tc>
          <w:tcPr>
            <w:tcW w:w="1140" w:type="pct"/>
          </w:tcPr>
          <w:p w14:paraId="0095C2D1">
            <w:pPr>
              <w:widowControl/>
              <w:spacing w:line="360" w:lineRule="auto"/>
              <w:jc w:val="center"/>
              <w:rPr>
                <w:rFonts w:ascii="宋体" w:hAnsi="宋体" w:cs="宋体"/>
                <w:color w:val="auto"/>
                <w:kern w:val="0"/>
                <w:sz w:val="24"/>
              </w:rPr>
            </w:pPr>
            <w:r>
              <w:rPr>
                <w:rFonts w:hint="eastAsia" w:ascii="宋体" w:hAnsi="宋体" w:cs="宋体"/>
                <w:color w:val="auto"/>
                <w:kern w:val="0"/>
                <w:sz w:val="24"/>
              </w:rPr>
              <w:t>塑料冷热水管、给排水管</w:t>
            </w:r>
          </w:p>
        </w:tc>
        <w:tc>
          <w:tcPr>
            <w:tcW w:w="2737" w:type="pct"/>
          </w:tcPr>
          <w:p w14:paraId="63459DB1">
            <w:pPr>
              <w:widowControl/>
              <w:spacing w:line="360" w:lineRule="auto"/>
              <w:jc w:val="center"/>
              <w:rPr>
                <w:rFonts w:ascii="宋体" w:hAnsi="宋体" w:cs="宋体"/>
                <w:color w:val="auto"/>
                <w:kern w:val="0"/>
                <w:sz w:val="24"/>
              </w:rPr>
            </w:pPr>
            <w:r>
              <w:rPr>
                <w:rFonts w:hint="eastAsia" w:ascii="宋体" w:hAnsi="宋体" w:cs="宋体"/>
                <w:color w:val="auto"/>
                <w:kern w:val="0"/>
                <w:sz w:val="24"/>
              </w:rPr>
              <w:t>伟星、中财、联塑或相当于</w:t>
            </w:r>
          </w:p>
        </w:tc>
        <w:tc>
          <w:tcPr>
            <w:tcW w:w="684" w:type="pct"/>
          </w:tcPr>
          <w:p w14:paraId="4FFB76E8">
            <w:pPr>
              <w:widowControl/>
              <w:spacing w:line="360" w:lineRule="auto"/>
              <w:jc w:val="center"/>
              <w:rPr>
                <w:rFonts w:ascii="宋体" w:hAnsi="宋体" w:cs="宋体"/>
                <w:color w:val="auto"/>
                <w:kern w:val="0"/>
                <w:sz w:val="24"/>
              </w:rPr>
            </w:pPr>
          </w:p>
        </w:tc>
      </w:tr>
      <w:tr w14:paraId="686C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4A8AFBED">
            <w:pPr>
              <w:widowControl/>
              <w:spacing w:line="360" w:lineRule="auto"/>
              <w:jc w:val="center"/>
              <w:rPr>
                <w:rFonts w:ascii="宋体" w:hAnsi="宋体" w:cs="宋体"/>
                <w:color w:val="auto"/>
                <w:kern w:val="0"/>
                <w:sz w:val="24"/>
              </w:rPr>
            </w:pPr>
            <w:r>
              <w:rPr>
                <w:rFonts w:hint="eastAsia" w:ascii="宋体" w:hAnsi="宋体" w:cs="宋体"/>
                <w:color w:val="auto"/>
                <w:kern w:val="0"/>
                <w:sz w:val="24"/>
              </w:rPr>
              <w:t>27</w:t>
            </w:r>
          </w:p>
        </w:tc>
        <w:tc>
          <w:tcPr>
            <w:tcW w:w="1140" w:type="pct"/>
          </w:tcPr>
          <w:p w14:paraId="48291708">
            <w:pPr>
              <w:widowControl/>
              <w:spacing w:line="360" w:lineRule="auto"/>
              <w:jc w:val="center"/>
              <w:rPr>
                <w:rFonts w:ascii="宋体" w:hAnsi="宋体" w:cs="宋体"/>
                <w:color w:val="auto"/>
                <w:kern w:val="0"/>
                <w:sz w:val="24"/>
              </w:rPr>
            </w:pPr>
            <w:r>
              <w:rPr>
                <w:rFonts w:hint="eastAsia" w:ascii="宋体" w:hAnsi="宋体" w:cs="宋体"/>
                <w:color w:val="auto"/>
                <w:kern w:val="0"/>
                <w:sz w:val="24"/>
              </w:rPr>
              <w:t>桥架</w:t>
            </w:r>
          </w:p>
        </w:tc>
        <w:tc>
          <w:tcPr>
            <w:tcW w:w="2737" w:type="pct"/>
          </w:tcPr>
          <w:p w14:paraId="2477B461">
            <w:pPr>
              <w:widowControl/>
              <w:spacing w:line="360" w:lineRule="auto"/>
              <w:jc w:val="center"/>
              <w:rPr>
                <w:rFonts w:ascii="宋体" w:hAnsi="宋体" w:cs="宋体"/>
                <w:color w:val="auto"/>
                <w:kern w:val="0"/>
                <w:sz w:val="24"/>
              </w:rPr>
            </w:pPr>
            <w:r>
              <w:rPr>
                <w:rFonts w:hint="eastAsia" w:ascii="宋体" w:hAnsi="宋体" w:cs="宋体"/>
                <w:color w:val="auto"/>
                <w:kern w:val="0"/>
                <w:sz w:val="24"/>
              </w:rPr>
              <w:t>浙江桥母、圣宇、远大或相当于</w:t>
            </w:r>
          </w:p>
        </w:tc>
        <w:tc>
          <w:tcPr>
            <w:tcW w:w="684" w:type="pct"/>
          </w:tcPr>
          <w:p w14:paraId="4E7ADC8D">
            <w:pPr>
              <w:widowControl/>
              <w:spacing w:line="360" w:lineRule="auto"/>
              <w:jc w:val="center"/>
              <w:rPr>
                <w:rFonts w:ascii="宋体" w:hAnsi="宋体" w:cs="宋体"/>
                <w:color w:val="auto"/>
                <w:kern w:val="0"/>
                <w:sz w:val="24"/>
              </w:rPr>
            </w:pPr>
          </w:p>
        </w:tc>
      </w:tr>
      <w:tr w14:paraId="4085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55CB88C5">
            <w:pPr>
              <w:widowControl/>
              <w:spacing w:line="360" w:lineRule="auto"/>
              <w:jc w:val="center"/>
              <w:rPr>
                <w:rFonts w:ascii="宋体" w:hAnsi="宋体" w:cs="宋体"/>
                <w:color w:val="auto"/>
                <w:kern w:val="0"/>
                <w:sz w:val="24"/>
              </w:rPr>
            </w:pPr>
            <w:r>
              <w:rPr>
                <w:rFonts w:hint="eastAsia" w:ascii="宋体" w:hAnsi="宋体" w:cs="宋体"/>
                <w:color w:val="auto"/>
                <w:kern w:val="0"/>
                <w:sz w:val="24"/>
              </w:rPr>
              <w:t>28</w:t>
            </w:r>
          </w:p>
        </w:tc>
        <w:tc>
          <w:tcPr>
            <w:tcW w:w="1140" w:type="pct"/>
          </w:tcPr>
          <w:p w14:paraId="68749AE9">
            <w:pPr>
              <w:widowControl/>
              <w:spacing w:line="360" w:lineRule="auto"/>
              <w:jc w:val="center"/>
              <w:rPr>
                <w:rFonts w:ascii="宋体" w:hAnsi="宋体" w:cs="宋体"/>
                <w:color w:val="auto"/>
                <w:kern w:val="0"/>
                <w:sz w:val="24"/>
              </w:rPr>
            </w:pPr>
            <w:r>
              <w:rPr>
                <w:rFonts w:hint="eastAsia" w:ascii="宋体" w:hAnsi="宋体" w:cs="宋体"/>
                <w:color w:val="auto"/>
                <w:kern w:val="0"/>
                <w:sz w:val="24"/>
              </w:rPr>
              <w:t>断路器</w:t>
            </w:r>
          </w:p>
        </w:tc>
        <w:tc>
          <w:tcPr>
            <w:tcW w:w="2737" w:type="pct"/>
          </w:tcPr>
          <w:p w14:paraId="786D4981">
            <w:pPr>
              <w:widowControl/>
              <w:spacing w:line="360" w:lineRule="auto"/>
              <w:jc w:val="center"/>
              <w:rPr>
                <w:rFonts w:ascii="宋体" w:hAnsi="宋体" w:cs="宋体"/>
                <w:color w:val="auto"/>
                <w:kern w:val="0"/>
                <w:sz w:val="24"/>
              </w:rPr>
            </w:pPr>
            <w:r>
              <w:rPr>
                <w:rFonts w:hint="eastAsia" w:ascii="宋体" w:hAnsi="宋体" w:cs="宋体"/>
                <w:color w:val="auto"/>
                <w:kern w:val="0"/>
                <w:sz w:val="24"/>
              </w:rPr>
              <w:t>江苏常熟、上海人民、德力西或相当于</w:t>
            </w:r>
          </w:p>
        </w:tc>
        <w:tc>
          <w:tcPr>
            <w:tcW w:w="684" w:type="pct"/>
          </w:tcPr>
          <w:p w14:paraId="7DB0BDCB">
            <w:pPr>
              <w:widowControl/>
              <w:spacing w:line="360" w:lineRule="auto"/>
              <w:jc w:val="center"/>
              <w:rPr>
                <w:rFonts w:ascii="宋体" w:hAnsi="宋体" w:cs="宋体"/>
                <w:color w:val="auto"/>
                <w:kern w:val="0"/>
                <w:sz w:val="24"/>
              </w:rPr>
            </w:pPr>
          </w:p>
        </w:tc>
      </w:tr>
      <w:tr w14:paraId="3D24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3F29ACAB">
            <w:pPr>
              <w:widowControl/>
              <w:spacing w:line="360" w:lineRule="auto"/>
              <w:jc w:val="center"/>
              <w:rPr>
                <w:rFonts w:ascii="宋体" w:hAnsi="宋体" w:cs="宋体"/>
                <w:color w:val="auto"/>
                <w:kern w:val="0"/>
                <w:sz w:val="24"/>
              </w:rPr>
            </w:pPr>
            <w:r>
              <w:rPr>
                <w:rFonts w:hint="eastAsia" w:ascii="宋体" w:hAnsi="宋体" w:cs="宋体"/>
                <w:color w:val="auto"/>
                <w:kern w:val="0"/>
                <w:sz w:val="24"/>
              </w:rPr>
              <w:t>29</w:t>
            </w:r>
          </w:p>
        </w:tc>
        <w:tc>
          <w:tcPr>
            <w:tcW w:w="1140" w:type="pct"/>
          </w:tcPr>
          <w:p w14:paraId="4547BF2D">
            <w:pPr>
              <w:widowControl/>
              <w:spacing w:line="360" w:lineRule="auto"/>
              <w:jc w:val="center"/>
              <w:rPr>
                <w:rFonts w:ascii="宋体" w:hAnsi="宋体" w:cs="宋体"/>
                <w:color w:val="auto"/>
                <w:kern w:val="0"/>
                <w:sz w:val="24"/>
              </w:rPr>
            </w:pPr>
            <w:r>
              <w:rPr>
                <w:rFonts w:hint="eastAsia" w:ascii="宋体" w:hAnsi="宋体" w:cs="宋体"/>
                <w:color w:val="auto"/>
                <w:kern w:val="0"/>
                <w:sz w:val="24"/>
              </w:rPr>
              <w:t>广播系统</w:t>
            </w:r>
          </w:p>
        </w:tc>
        <w:tc>
          <w:tcPr>
            <w:tcW w:w="2737" w:type="pct"/>
          </w:tcPr>
          <w:p w14:paraId="211BFFB3">
            <w:pPr>
              <w:widowControl/>
              <w:spacing w:line="360" w:lineRule="auto"/>
              <w:jc w:val="center"/>
              <w:rPr>
                <w:rFonts w:ascii="宋体" w:hAnsi="宋体" w:cs="宋体"/>
                <w:color w:val="auto"/>
                <w:kern w:val="0"/>
                <w:sz w:val="24"/>
              </w:rPr>
            </w:pPr>
            <w:r>
              <w:rPr>
                <w:rFonts w:hint="eastAsia" w:ascii="宋体" w:hAnsi="宋体" w:cs="宋体"/>
                <w:color w:val="auto"/>
                <w:kern w:val="0"/>
                <w:sz w:val="24"/>
              </w:rPr>
              <w:t>ITC、CRX、SENLANG或相当于</w:t>
            </w:r>
          </w:p>
        </w:tc>
        <w:tc>
          <w:tcPr>
            <w:tcW w:w="684" w:type="pct"/>
          </w:tcPr>
          <w:p w14:paraId="01D461CA">
            <w:pPr>
              <w:widowControl/>
              <w:spacing w:line="360" w:lineRule="auto"/>
              <w:jc w:val="center"/>
              <w:rPr>
                <w:rFonts w:ascii="宋体" w:hAnsi="宋体" w:cs="宋体"/>
                <w:color w:val="auto"/>
                <w:kern w:val="0"/>
                <w:sz w:val="24"/>
              </w:rPr>
            </w:pPr>
          </w:p>
        </w:tc>
      </w:tr>
      <w:tr w14:paraId="3FAB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118FCAAB">
            <w:pPr>
              <w:widowControl/>
              <w:spacing w:line="360" w:lineRule="auto"/>
              <w:jc w:val="center"/>
              <w:rPr>
                <w:rFonts w:ascii="宋体" w:hAnsi="宋体" w:cs="宋体"/>
                <w:color w:val="auto"/>
                <w:kern w:val="0"/>
                <w:sz w:val="24"/>
              </w:rPr>
            </w:pPr>
            <w:r>
              <w:rPr>
                <w:rFonts w:hint="eastAsia" w:ascii="宋体" w:hAnsi="宋体" w:cs="宋体"/>
                <w:color w:val="auto"/>
                <w:kern w:val="0"/>
                <w:sz w:val="24"/>
              </w:rPr>
              <w:t>30</w:t>
            </w:r>
          </w:p>
        </w:tc>
        <w:tc>
          <w:tcPr>
            <w:tcW w:w="1140" w:type="pct"/>
          </w:tcPr>
          <w:p w14:paraId="47816591">
            <w:pPr>
              <w:widowControl/>
              <w:spacing w:line="360" w:lineRule="auto"/>
              <w:jc w:val="center"/>
              <w:rPr>
                <w:rFonts w:ascii="宋体" w:hAnsi="宋体" w:cs="宋体"/>
                <w:color w:val="auto"/>
                <w:kern w:val="0"/>
                <w:sz w:val="24"/>
              </w:rPr>
            </w:pPr>
            <w:r>
              <w:rPr>
                <w:rFonts w:hint="eastAsia" w:ascii="宋体" w:hAnsi="宋体" w:cs="宋体"/>
                <w:color w:val="auto"/>
                <w:kern w:val="0"/>
                <w:sz w:val="24"/>
              </w:rPr>
              <w:t>计算机网络系统</w:t>
            </w:r>
          </w:p>
        </w:tc>
        <w:tc>
          <w:tcPr>
            <w:tcW w:w="2737" w:type="pct"/>
          </w:tcPr>
          <w:p w14:paraId="0A9AEB19">
            <w:pPr>
              <w:spacing w:line="360" w:lineRule="auto"/>
              <w:jc w:val="center"/>
              <w:rPr>
                <w:rFonts w:ascii="宋体" w:hAnsi="宋体" w:cs="宋体"/>
                <w:color w:val="auto"/>
                <w:kern w:val="0"/>
                <w:sz w:val="24"/>
              </w:rPr>
            </w:pPr>
            <w:r>
              <w:rPr>
                <w:rFonts w:hint="eastAsia" w:ascii="宋体" w:hAnsi="宋体" w:cs="宋体"/>
                <w:color w:val="auto"/>
                <w:kern w:val="0"/>
                <w:sz w:val="24"/>
              </w:rPr>
              <w:t>锐捷、华为、华三或相当于</w:t>
            </w:r>
          </w:p>
        </w:tc>
        <w:tc>
          <w:tcPr>
            <w:tcW w:w="684" w:type="pct"/>
          </w:tcPr>
          <w:p w14:paraId="5DAAE11B">
            <w:pPr>
              <w:spacing w:line="360" w:lineRule="auto"/>
              <w:jc w:val="center"/>
              <w:rPr>
                <w:rFonts w:ascii="宋体" w:hAnsi="宋体" w:cs="宋体"/>
                <w:color w:val="auto"/>
                <w:kern w:val="0"/>
                <w:sz w:val="24"/>
              </w:rPr>
            </w:pPr>
          </w:p>
        </w:tc>
      </w:tr>
      <w:tr w14:paraId="30E6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0529D6A5">
            <w:pPr>
              <w:widowControl/>
              <w:spacing w:line="360" w:lineRule="auto"/>
              <w:jc w:val="center"/>
              <w:rPr>
                <w:rFonts w:ascii="宋体" w:hAnsi="宋体" w:cs="宋体"/>
                <w:color w:val="auto"/>
                <w:kern w:val="0"/>
                <w:sz w:val="24"/>
              </w:rPr>
            </w:pPr>
            <w:r>
              <w:rPr>
                <w:rFonts w:hint="eastAsia" w:ascii="宋体" w:hAnsi="宋体" w:cs="宋体"/>
                <w:color w:val="auto"/>
                <w:kern w:val="0"/>
                <w:sz w:val="24"/>
              </w:rPr>
              <w:t>31</w:t>
            </w:r>
          </w:p>
        </w:tc>
        <w:tc>
          <w:tcPr>
            <w:tcW w:w="1140" w:type="pct"/>
          </w:tcPr>
          <w:p w14:paraId="31EB647D">
            <w:pPr>
              <w:widowControl/>
              <w:spacing w:line="360" w:lineRule="auto"/>
              <w:jc w:val="center"/>
              <w:rPr>
                <w:rFonts w:ascii="宋体" w:hAnsi="宋体" w:cs="宋体"/>
                <w:color w:val="auto"/>
                <w:kern w:val="0"/>
                <w:sz w:val="24"/>
              </w:rPr>
            </w:pPr>
            <w:r>
              <w:rPr>
                <w:rFonts w:hint="eastAsia" w:ascii="宋体" w:hAnsi="宋体" w:cs="宋体"/>
                <w:color w:val="auto"/>
                <w:kern w:val="0"/>
                <w:sz w:val="24"/>
              </w:rPr>
              <w:t>弱电综合布线系统</w:t>
            </w:r>
          </w:p>
        </w:tc>
        <w:tc>
          <w:tcPr>
            <w:tcW w:w="2737" w:type="pct"/>
          </w:tcPr>
          <w:p w14:paraId="06181723">
            <w:pPr>
              <w:widowControl/>
              <w:spacing w:line="360" w:lineRule="auto"/>
              <w:jc w:val="center"/>
              <w:rPr>
                <w:rFonts w:ascii="宋体" w:hAnsi="宋体" w:cs="宋体"/>
                <w:color w:val="auto"/>
                <w:kern w:val="0"/>
                <w:sz w:val="24"/>
              </w:rPr>
            </w:pPr>
            <w:r>
              <w:rPr>
                <w:rFonts w:hint="eastAsia" w:ascii="宋体" w:hAnsi="宋体" w:cs="宋体"/>
                <w:color w:val="auto"/>
                <w:kern w:val="0"/>
                <w:sz w:val="24"/>
              </w:rPr>
              <w:t>SIEMON西蒙、ENJOYLinK欢联、BELDEN百通或相当于</w:t>
            </w:r>
          </w:p>
        </w:tc>
        <w:tc>
          <w:tcPr>
            <w:tcW w:w="684" w:type="pct"/>
          </w:tcPr>
          <w:p w14:paraId="72997BAE">
            <w:pPr>
              <w:widowControl/>
              <w:spacing w:line="360" w:lineRule="auto"/>
              <w:jc w:val="center"/>
              <w:rPr>
                <w:rFonts w:ascii="宋体" w:hAnsi="宋体" w:cs="宋体"/>
                <w:color w:val="auto"/>
                <w:kern w:val="0"/>
                <w:sz w:val="24"/>
              </w:rPr>
            </w:pPr>
          </w:p>
        </w:tc>
      </w:tr>
      <w:tr w14:paraId="1FC2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0133BB93">
            <w:pPr>
              <w:widowControl/>
              <w:spacing w:line="360" w:lineRule="auto"/>
              <w:jc w:val="center"/>
              <w:rPr>
                <w:rFonts w:ascii="宋体" w:hAnsi="宋体" w:cs="宋体"/>
                <w:color w:val="auto"/>
                <w:kern w:val="0"/>
                <w:sz w:val="24"/>
              </w:rPr>
            </w:pPr>
            <w:r>
              <w:rPr>
                <w:rFonts w:hint="eastAsia" w:ascii="宋体" w:hAnsi="宋体" w:cs="宋体"/>
                <w:color w:val="auto"/>
                <w:kern w:val="0"/>
                <w:sz w:val="24"/>
              </w:rPr>
              <w:t>32</w:t>
            </w:r>
          </w:p>
        </w:tc>
        <w:tc>
          <w:tcPr>
            <w:tcW w:w="1140" w:type="pct"/>
          </w:tcPr>
          <w:p w14:paraId="7FA3A116">
            <w:pPr>
              <w:widowControl/>
              <w:spacing w:line="360" w:lineRule="auto"/>
              <w:jc w:val="center"/>
              <w:rPr>
                <w:rFonts w:ascii="宋体" w:hAnsi="宋体" w:cs="宋体"/>
                <w:color w:val="auto"/>
                <w:kern w:val="0"/>
                <w:sz w:val="24"/>
              </w:rPr>
            </w:pPr>
            <w:r>
              <w:rPr>
                <w:rFonts w:hint="eastAsia" w:ascii="宋体" w:hAnsi="宋体" w:cs="宋体"/>
                <w:color w:val="auto"/>
                <w:kern w:val="0"/>
                <w:sz w:val="24"/>
              </w:rPr>
              <w:t>应急灯、疏散指示、标志灯</w:t>
            </w:r>
          </w:p>
        </w:tc>
        <w:tc>
          <w:tcPr>
            <w:tcW w:w="2737" w:type="pct"/>
          </w:tcPr>
          <w:p w14:paraId="51F1D527">
            <w:pPr>
              <w:widowControl/>
              <w:spacing w:line="360" w:lineRule="auto"/>
              <w:jc w:val="center"/>
              <w:rPr>
                <w:rFonts w:ascii="宋体" w:hAnsi="宋体" w:cs="宋体"/>
                <w:color w:val="auto"/>
                <w:kern w:val="0"/>
                <w:sz w:val="24"/>
              </w:rPr>
            </w:pPr>
            <w:r>
              <w:rPr>
                <w:rFonts w:hint="eastAsia" w:ascii="宋体" w:hAnsi="宋体" w:cs="宋体"/>
                <w:color w:val="auto"/>
                <w:kern w:val="0"/>
                <w:sz w:val="24"/>
              </w:rPr>
              <w:t>苏舟鼎盛、台谊、振辉、元亨或相当于</w:t>
            </w:r>
          </w:p>
        </w:tc>
        <w:tc>
          <w:tcPr>
            <w:tcW w:w="684" w:type="pct"/>
          </w:tcPr>
          <w:p w14:paraId="65691219">
            <w:pPr>
              <w:widowControl/>
              <w:spacing w:line="360" w:lineRule="auto"/>
              <w:jc w:val="center"/>
              <w:rPr>
                <w:rFonts w:ascii="宋体" w:hAnsi="宋体" w:cs="宋体"/>
                <w:color w:val="auto"/>
                <w:kern w:val="0"/>
                <w:sz w:val="24"/>
              </w:rPr>
            </w:pPr>
          </w:p>
        </w:tc>
      </w:tr>
      <w:tr w14:paraId="3574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44932418">
            <w:pPr>
              <w:widowControl/>
              <w:spacing w:line="360" w:lineRule="auto"/>
              <w:jc w:val="center"/>
              <w:rPr>
                <w:rFonts w:ascii="宋体" w:hAnsi="宋体" w:cs="宋体"/>
                <w:color w:val="auto"/>
                <w:kern w:val="0"/>
                <w:sz w:val="24"/>
              </w:rPr>
            </w:pPr>
            <w:r>
              <w:rPr>
                <w:rFonts w:hint="eastAsia" w:ascii="宋体" w:hAnsi="宋体" w:cs="宋体"/>
                <w:color w:val="auto"/>
                <w:kern w:val="0"/>
                <w:sz w:val="24"/>
              </w:rPr>
              <w:t>33</w:t>
            </w:r>
          </w:p>
        </w:tc>
        <w:tc>
          <w:tcPr>
            <w:tcW w:w="1140" w:type="pct"/>
          </w:tcPr>
          <w:p w14:paraId="35682C13">
            <w:pPr>
              <w:widowControl/>
              <w:spacing w:line="360" w:lineRule="auto"/>
              <w:jc w:val="center"/>
              <w:rPr>
                <w:rFonts w:ascii="宋体" w:hAnsi="宋体" w:cs="宋体"/>
                <w:color w:val="auto"/>
                <w:kern w:val="0"/>
                <w:sz w:val="24"/>
              </w:rPr>
            </w:pPr>
            <w:r>
              <w:rPr>
                <w:rFonts w:hint="eastAsia" w:ascii="宋体" w:hAnsi="宋体" w:cs="宋体"/>
                <w:color w:val="auto"/>
                <w:kern w:val="0"/>
                <w:sz w:val="24"/>
              </w:rPr>
              <w:t>电视系统</w:t>
            </w:r>
          </w:p>
        </w:tc>
        <w:tc>
          <w:tcPr>
            <w:tcW w:w="2737" w:type="pct"/>
          </w:tcPr>
          <w:p w14:paraId="0BEFDC41">
            <w:pPr>
              <w:widowControl/>
              <w:spacing w:line="360" w:lineRule="auto"/>
              <w:jc w:val="center"/>
              <w:rPr>
                <w:rFonts w:ascii="宋体" w:hAnsi="宋体" w:cs="宋体"/>
                <w:color w:val="auto"/>
                <w:kern w:val="0"/>
                <w:sz w:val="24"/>
              </w:rPr>
            </w:pPr>
            <w:r>
              <w:rPr>
                <w:rFonts w:hint="eastAsia" w:ascii="宋体" w:hAnsi="宋体" w:cs="宋体"/>
                <w:color w:val="auto"/>
                <w:kern w:val="0"/>
                <w:sz w:val="24"/>
              </w:rPr>
              <w:t>杰和兴、吉兆 、九州或相当于</w:t>
            </w:r>
          </w:p>
        </w:tc>
        <w:tc>
          <w:tcPr>
            <w:tcW w:w="684" w:type="pct"/>
          </w:tcPr>
          <w:p w14:paraId="54D1C4A9">
            <w:pPr>
              <w:widowControl/>
              <w:spacing w:line="360" w:lineRule="auto"/>
              <w:jc w:val="center"/>
              <w:rPr>
                <w:rFonts w:ascii="宋体" w:hAnsi="宋体" w:cs="宋体"/>
                <w:color w:val="auto"/>
                <w:kern w:val="0"/>
                <w:sz w:val="24"/>
              </w:rPr>
            </w:pPr>
          </w:p>
        </w:tc>
      </w:tr>
      <w:tr w14:paraId="6A20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22D8DA79">
            <w:pPr>
              <w:widowControl/>
              <w:spacing w:line="360" w:lineRule="auto"/>
              <w:jc w:val="center"/>
              <w:rPr>
                <w:rFonts w:ascii="宋体" w:hAnsi="宋体" w:cs="宋体"/>
                <w:color w:val="auto"/>
                <w:kern w:val="0"/>
                <w:sz w:val="24"/>
              </w:rPr>
            </w:pPr>
            <w:r>
              <w:rPr>
                <w:rFonts w:hint="eastAsia" w:ascii="宋体" w:hAnsi="宋体" w:cs="宋体"/>
                <w:color w:val="auto"/>
                <w:kern w:val="0"/>
                <w:sz w:val="24"/>
              </w:rPr>
              <w:t>34</w:t>
            </w:r>
          </w:p>
        </w:tc>
        <w:tc>
          <w:tcPr>
            <w:tcW w:w="1140" w:type="pct"/>
          </w:tcPr>
          <w:p w14:paraId="7686495F">
            <w:pPr>
              <w:widowControl/>
              <w:spacing w:line="360" w:lineRule="auto"/>
              <w:jc w:val="center"/>
              <w:rPr>
                <w:rFonts w:ascii="宋体" w:hAnsi="宋体" w:cs="宋体"/>
                <w:color w:val="auto"/>
                <w:kern w:val="0"/>
                <w:sz w:val="24"/>
              </w:rPr>
            </w:pPr>
            <w:r>
              <w:rPr>
                <w:rFonts w:hint="eastAsia" w:ascii="宋体" w:hAnsi="宋体" w:cs="宋体"/>
                <w:color w:val="auto"/>
                <w:kern w:val="0"/>
                <w:sz w:val="24"/>
              </w:rPr>
              <w:t>安保监控系统</w:t>
            </w:r>
          </w:p>
        </w:tc>
        <w:tc>
          <w:tcPr>
            <w:tcW w:w="2737" w:type="pct"/>
          </w:tcPr>
          <w:p w14:paraId="5BB7B396">
            <w:pPr>
              <w:widowControl/>
              <w:spacing w:line="360" w:lineRule="auto"/>
              <w:jc w:val="center"/>
              <w:rPr>
                <w:rFonts w:ascii="宋体" w:hAnsi="宋体" w:cs="宋体"/>
                <w:color w:val="auto"/>
                <w:kern w:val="0"/>
                <w:sz w:val="24"/>
              </w:rPr>
            </w:pPr>
            <w:r>
              <w:rPr>
                <w:rFonts w:hint="eastAsia" w:ascii="宋体" w:hAnsi="宋体" w:cs="宋体"/>
                <w:color w:val="auto"/>
                <w:kern w:val="0"/>
                <w:sz w:val="24"/>
              </w:rPr>
              <w:t>海康威视、三星、霍尼韦尔或相当于</w:t>
            </w:r>
          </w:p>
        </w:tc>
        <w:tc>
          <w:tcPr>
            <w:tcW w:w="684" w:type="pct"/>
          </w:tcPr>
          <w:p w14:paraId="3B4AC5DC">
            <w:pPr>
              <w:widowControl/>
              <w:spacing w:line="360" w:lineRule="auto"/>
              <w:jc w:val="center"/>
              <w:rPr>
                <w:rFonts w:ascii="宋体" w:hAnsi="宋体" w:cs="宋体"/>
                <w:color w:val="auto"/>
                <w:kern w:val="0"/>
                <w:sz w:val="24"/>
              </w:rPr>
            </w:pPr>
          </w:p>
        </w:tc>
      </w:tr>
      <w:tr w14:paraId="09B7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3D683855">
            <w:pPr>
              <w:widowControl/>
              <w:spacing w:line="360" w:lineRule="auto"/>
              <w:jc w:val="center"/>
              <w:rPr>
                <w:rFonts w:ascii="宋体" w:hAnsi="宋体" w:cs="宋体"/>
                <w:color w:val="auto"/>
                <w:kern w:val="0"/>
                <w:sz w:val="24"/>
              </w:rPr>
            </w:pPr>
            <w:r>
              <w:rPr>
                <w:rFonts w:hint="eastAsia" w:ascii="宋体" w:hAnsi="宋体" w:cs="宋体"/>
                <w:color w:val="auto"/>
                <w:kern w:val="0"/>
                <w:sz w:val="24"/>
              </w:rPr>
              <w:t>35</w:t>
            </w:r>
          </w:p>
        </w:tc>
        <w:tc>
          <w:tcPr>
            <w:tcW w:w="1140" w:type="pct"/>
          </w:tcPr>
          <w:p w14:paraId="174E6319">
            <w:pPr>
              <w:widowControl/>
              <w:spacing w:line="360" w:lineRule="auto"/>
              <w:jc w:val="center"/>
              <w:rPr>
                <w:rFonts w:ascii="宋体" w:hAnsi="宋体" w:cs="宋体"/>
                <w:color w:val="auto"/>
                <w:kern w:val="0"/>
                <w:sz w:val="24"/>
              </w:rPr>
            </w:pPr>
            <w:r>
              <w:rPr>
                <w:rFonts w:hint="eastAsia" w:ascii="宋体" w:hAnsi="宋体" w:cs="宋体"/>
                <w:color w:val="auto"/>
                <w:kern w:val="0"/>
                <w:sz w:val="24"/>
              </w:rPr>
              <w:t>一卡通系统</w:t>
            </w:r>
          </w:p>
        </w:tc>
        <w:tc>
          <w:tcPr>
            <w:tcW w:w="2737" w:type="pct"/>
          </w:tcPr>
          <w:p w14:paraId="48806782">
            <w:pPr>
              <w:widowControl/>
              <w:spacing w:line="360" w:lineRule="auto"/>
              <w:jc w:val="center"/>
              <w:rPr>
                <w:rFonts w:ascii="宋体" w:hAnsi="宋体" w:cs="宋体"/>
                <w:color w:val="auto"/>
                <w:kern w:val="0"/>
                <w:sz w:val="24"/>
              </w:rPr>
            </w:pPr>
            <w:r>
              <w:rPr>
                <w:rFonts w:hint="eastAsia" w:ascii="宋体" w:hAnsi="宋体" w:cs="宋体"/>
                <w:color w:val="auto"/>
                <w:kern w:val="0"/>
                <w:sz w:val="24"/>
              </w:rPr>
              <w:t>富士、立方、新开普或相当于</w:t>
            </w:r>
          </w:p>
        </w:tc>
        <w:tc>
          <w:tcPr>
            <w:tcW w:w="684" w:type="pct"/>
          </w:tcPr>
          <w:p w14:paraId="63472E2D">
            <w:pPr>
              <w:widowControl/>
              <w:spacing w:line="360" w:lineRule="auto"/>
              <w:jc w:val="center"/>
              <w:rPr>
                <w:rFonts w:ascii="宋体" w:hAnsi="宋体" w:cs="宋体"/>
                <w:color w:val="auto"/>
                <w:kern w:val="0"/>
                <w:sz w:val="24"/>
              </w:rPr>
            </w:pPr>
          </w:p>
        </w:tc>
      </w:tr>
      <w:tr w14:paraId="3A16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5180C836">
            <w:pPr>
              <w:widowControl/>
              <w:spacing w:line="360" w:lineRule="auto"/>
              <w:jc w:val="center"/>
              <w:rPr>
                <w:rFonts w:ascii="宋体" w:hAnsi="宋体" w:cs="宋体"/>
                <w:color w:val="auto"/>
                <w:kern w:val="0"/>
                <w:sz w:val="24"/>
              </w:rPr>
            </w:pPr>
            <w:r>
              <w:rPr>
                <w:rFonts w:hint="eastAsia" w:ascii="宋体" w:hAnsi="宋体" w:cs="宋体"/>
                <w:color w:val="auto"/>
                <w:kern w:val="0"/>
                <w:sz w:val="24"/>
              </w:rPr>
              <w:t>36</w:t>
            </w:r>
          </w:p>
        </w:tc>
        <w:tc>
          <w:tcPr>
            <w:tcW w:w="1140" w:type="pct"/>
          </w:tcPr>
          <w:p w14:paraId="76808ED5">
            <w:pPr>
              <w:widowControl/>
              <w:spacing w:line="360" w:lineRule="auto"/>
              <w:jc w:val="center"/>
              <w:rPr>
                <w:rFonts w:ascii="宋体" w:hAnsi="宋体" w:cs="宋体"/>
                <w:color w:val="auto"/>
                <w:kern w:val="0"/>
                <w:sz w:val="24"/>
              </w:rPr>
            </w:pPr>
            <w:r>
              <w:rPr>
                <w:rFonts w:hint="eastAsia" w:ascii="宋体" w:hAnsi="宋体" w:cs="宋体"/>
                <w:color w:val="auto"/>
                <w:kern w:val="0"/>
                <w:sz w:val="24"/>
              </w:rPr>
              <w:t>吸顶扇、吊扇</w:t>
            </w:r>
          </w:p>
        </w:tc>
        <w:tc>
          <w:tcPr>
            <w:tcW w:w="2737" w:type="pct"/>
          </w:tcPr>
          <w:p w14:paraId="244C73F7">
            <w:pPr>
              <w:widowControl/>
              <w:spacing w:line="360" w:lineRule="auto"/>
              <w:jc w:val="center"/>
              <w:rPr>
                <w:rFonts w:ascii="宋体" w:hAnsi="宋体" w:cs="宋体"/>
                <w:color w:val="auto"/>
                <w:kern w:val="0"/>
                <w:sz w:val="24"/>
              </w:rPr>
            </w:pPr>
            <w:r>
              <w:rPr>
                <w:rFonts w:hint="eastAsia" w:ascii="宋体" w:hAnsi="宋体" w:cs="宋体"/>
                <w:color w:val="auto"/>
                <w:kern w:val="0"/>
                <w:sz w:val="24"/>
              </w:rPr>
              <w:t>宝风、欧普、雷士或相当于</w:t>
            </w:r>
          </w:p>
        </w:tc>
        <w:tc>
          <w:tcPr>
            <w:tcW w:w="684" w:type="pct"/>
          </w:tcPr>
          <w:p w14:paraId="4FFED053">
            <w:pPr>
              <w:widowControl/>
              <w:spacing w:line="360" w:lineRule="auto"/>
              <w:jc w:val="center"/>
              <w:rPr>
                <w:rFonts w:ascii="宋体" w:hAnsi="宋体" w:cs="宋体"/>
                <w:color w:val="auto"/>
                <w:kern w:val="0"/>
                <w:sz w:val="24"/>
              </w:rPr>
            </w:pPr>
          </w:p>
        </w:tc>
      </w:tr>
      <w:tr w14:paraId="481E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575FF6B4">
            <w:pPr>
              <w:widowControl/>
              <w:spacing w:line="360" w:lineRule="auto"/>
              <w:jc w:val="center"/>
              <w:rPr>
                <w:rFonts w:ascii="宋体" w:hAnsi="宋体" w:cs="宋体"/>
                <w:color w:val="auto"/>
                <w:kern w:val="0"/>
                <w:sz w:val="24"/>
              </w:rPr>
            </w:pPr>
            <w:r>
              <w:rPr>
                <w:rFonts w:hint="eastAsia" w:ascii="宋体" w:hAnsi="宋体" w:cs="宋体"/>
                <w:color w:val="auto"/>
                <w:kern w:val="0"/>
                <w:sz w:val="24"/>
              </w:rPr>
              <w:t>37</w:t>
            </w:r>
          </w:p>
        </w:tc>
        <w:tc>
          <w:tcPr>
            <w:tcW w:w="1140" w:type="pct"/>
          </w:tcPr>
          <w:p w14:paraId="7E13DCB9">
            <w:pPr>
              <w:widowControl/>
              <w:spacing w:line="360" w:lineRule="auto"/>
              <w:jc w:val="center"/>
              <w:rPr>
                <w:rFonts w:ascii="宋体" w:hAnsi="宋体" w:cs="宋体"/>
                <w:color w:val="auto"/>
                <w:kern w:val="0"/>
                <w:sz w:val="24"/>
              </w:rPr>
            </w:pPr>
            <w:r>
              <w:rPr>
                <w:rFonts w:hint="eastAsia" w:ascii="宋体" w:hAnsi="宋体" w:cs="宋体"/>
                <w:color w:val="auto"/>
                <w:kern w:val="0"/>
                <w:sz w:val="24"/>
              </w:rPr>
              <w:t>水泵类</w:t>
            </w:r>
          </w:p>
        </w:tc>
        <w:tc>
          <w:tcPr>
            <w:tcW w:w="2737" w:type="pct"/>
          </w:tcPr>
          <w:p w14:paraId="70C9F1B4">
            <w:pPr>
              <w:widowControl/>
              <w:spacing w:line="360" w:lineRule="auto"/>
              <w:jc w:val="center"/>
              <w:rPr>
                <w:rFonts w:ascii="宋体" w:hAnsi="宋体" w:cs="宋体"/>
                <w:color w:val="auto"/>
                <w:kern w:val="0"/>
                <w:sz w:val="24"/>
              </w:rPr>
            </w:pPr>
            <w:r>
              <w:rPr>
                <w:rFonts w:hint="eastAsia" w:ascii="宋体" w:hAnsi="宋体" w:cs="宋体"/>
                <w:color w:val="auto"/>
                <w:kern w:val="0"/>
                <w:sz w:val="24"/>
              </w:rPr>
              <w:t>上海东方、上海凯泉、上海熊猫或相当于</w:t>
            </w:r>
          </w:p>
        </w:tc>
        <w:tc>
          <w:tcPr>
            <w:tcW w:w="684" w:type="pct"/>
          </w:tcPr>
          <w:p w14:paraId="6869EB0B">
            <w:pPr>
              <w:widowControl/>
              <w:spacing w:line="360" w:lineRule="auto"/>
              <w:jc w:val="center"/>
              <w:rPr>
                <w:rFonts w:ascii="宋体" w:hAnsi="宋体" w:cs="宋体"/>
                <w:color w:val="auto"/>
                <w:kern w:val="0"/>
                <w:sz w:val="24"/>
              </w:rPr>
            </w:pPr>
          </w:p>
        </w:tc>
      </w:tr>
      <w:tr w14:paraId="3069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36980F9C">
            <w:pPr>
              <w:widowControl/>
              <w:spacing w:line="360" w:lineRule="auto"/>
              <w:jc w:val="center"/>
              <w:rPr>
                <w:rFonts w:ascii="宋体" w:hAnsi="宋体" w:cs="宋体"/>
                <w:color w:val="auto"/>
                <w:kern w:val="0"/>
                <w:sz w:val="24"/>
              </w:rPr>
            </w:pPr>
            <w:r>
              <w:rPr>
                <w:rFonts w:hint="eastAsia" w:ascii="宋体" w:hAnsi="宋体" w:cs="宋体"/>
                <w:color w:val="auto"/>
                <w:kern w:val="0"/>
                <w:sz w:val="24"/>
              </w:rPr>
              <w:t>38</w:t>
            </w:r>
          </w:p>
        </w:tc>
        <w:tc>
          <w:tcPr>
            <w:tcW w:w="1140" w:type="pct"/>
          </w:tcPr>
          <w:p w14:paraId="2D7BA855">
            <w:pPr>
              <w:spacing w:line="360" w:lineRule="auto"/>
              <w:jc w:val="center"/>
              <w:rPr>
                <w:rFonts w:ascii="宋体" w:hAnsi="宋体" w:cs="宋体"/>
                <w:color w:val="auto"/>
                <w:kern w:val="0"/>
                <w:sz w:val="24"/>
              </w:rPr>
            </w:pPr>
            <w:r>
              <w:rPr>
                <w:rFonts w:hint="eastAsia" w:ascii="宋体" w:hAnsi="宋体" w:cs="宋体"/>
                <w:color w:val="auto"/>
                <w:kern w:val="0"/>
                <w:sz w:val="24"/>
              </w:rPr>
              <w:t>护眼灯</w:t>
            </w:r>
          </w:p>
        </w:tc>
        <w:tc>
          <w:tcPr>
            <w:tcW w:w="2737" w:type="pct"/>
          </w:tcPr>
          <w:p w14:paraId="2203C768">
            <w:pPr>
              <w:spacing w:line="360" w:lineRule="auto"/>
              <w:jc w:val="center"/>
              <w:rPr>
                <w:rFonts w:ascii="宋体" w:hAnsi="宋体" w:cs="宋体"/>
                <w:color w:val="auto"/>
                <w:kern w:val="0"/>
                <w:sz w:val="24"/>
              </w:rPr>
            </w:pPr>
            <w:r>
              <w:rPr>
                <w:rFonts w:hint="eastAsia" w:ascii="宋体" w:hAnsi="宋体" w:cs="宋体"/>
                <w:color w:val="auto"/>
                <w:kern w:val="0"/>
                <w:sz w:val="24"/>
              </w:rPr>
              <w:t>欧普、TCL、三雄极光或相当于</w:t>
            </w:r>
          </w:p>
        </w:tc>
        <w:tc>
          <w:tcPr>
            <w:tcW w:w="684" w:type="pct"/>
          </w:tcPr>
          <w:p w14:paraId="001E5313">
            <w:pPr>
              <w:widowControl/>
              <w:spacing w:line="360" w:lineRule="auto"/>
              <w:jc w:val="center"/>
              <w:rPr>
                <w:rFonts w:ascii="宋体" w:hAnsi="宋体" w:cs="宋体"/>
                <w:color w:val="auto"/>
                <w:kern w:val="0"/>
                <w:sz w:val="24"/>
              </w:rPr>
            </w:pPr>
          </w:p>
        </w:tc>
      </w:tr>
      <w:tr w14:paraId="1522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3738A5FE">
            <w:pPr>
              <w:widowControl/>
              <w:spacing w:line="360" w:lineRule="auto"/>
              <w:jc w:val="center"/>
              <w:rPr>
                <w:rFonts w:ascii="宋体" w:hAnsi="宋体" w:cs="宋体"/>
                <w:color w:val="auto"/>
                <w:kern w:val="0"/>
                <w:sz w:val="24"/>
              </w:rPr>
            </w:pPr>
            <w:r>
              <w:rPr>
                <w:rFonts w:hint="eastAsia" w:ascii="宋体" w:hAnsi="宋体" w:cs="宋体"/>
                <w:color w:val="auto"/>
                <w:kern w:val="0"/>
                <w:sz w:val="24"/>
              </w:rPr>
              <w:t>39</w:t>
            </w:r>
          </w:p>
        </w:tc>
        <w:tc>
          <w:tcPr>
            <w:tcW w:w="1140" w:type="pct"/>
          </w:tcPr>
          <w:p w14:paraId="34385F48">
            <w:pPr>
              <w:spacing w:line="360" w:lineRule="auto"/>
              <w:jc w:val="center"/>
              <w:rPr>
                <w:rFonts w:ascii="宋体" w:hAnsi="宋体" w:cs="宋体"/>
                <w:color w:val="auto"/>
                <w:kern w:val="0"/>
                <w:sz w:val="24"/>
              </w:rPr>
            </w:pPr>
            <w:r>
              <w:rPr>
                <w:rFonts w:hint="eastAsia" w:ascii="宋体" w:hAnsi="宋体" w:cs="宋体"/>
                <w:color w:val="auto"/>
                <w:kern w:val="0"/>
                <w:sz w:val="24"/>
              </w:rPr>
              <w:t>防盗门</w:t>
            </w:r>
          </w:p>
        </w:tc>
        <w:tc>
          <w:tcPr>
            <w:tcW w:w="2737" w:type="pct"/>
          </w:tcPr>
          <w:p w14:paraId="603ACA78">
            <w:pPr>
              <w:spacing w:line="360" w:lineRule="auto"/>
              <w:jc w:val="center"/>
              <w:rPr>
                <w:rFonts w:ascii="宋体" w:hAnsi="宋体" w:cs="宋体"/>
                <w:color w:val="auto"/>
                <w:kern w:val="0"/>
                <w:sz w:val="24"/>
              </w:rPr>
            </w:pPr>
            <w:r>
              <w:rPr>
                <w:rFonts w:hint="eastAsia" w:ascii="宋体" w:hAnsi="宋体" w:cs="宋体"/>
                <w:color w:val="auto"/>
                <w:kern w:val="0"/>
                <w:sz w:val="24"/>
              </w:rPr>
              <w:t>春天、盼盼、步阳</w:t>
            </w:r>
          </w:p>
        </w:tc>
        <w:tc>
          <w:tcPr>
            <w:tcW w:w="684" w:type="pct"/>
          </w:tcPr>
          <w:p w14:paraId="70074164">
            <w:pPr>
              <w:widowControl/>
              <w:spacing w:line="360" w:lineRule="auto"/>
              <w:jc w:val="center"/>
              <w:rPr>
                <w:rFonts w:ascii="宋体" w:hAnsi="宋体" w:cs="宋体"/>
                <w:color w:val="auto"/>
                <w:kern w:val="0"/>
                <w:sz w:val="24"/>
              </w:rPr>
            </w:pPr>
          </w:p>
        </w:tc>
      </w:tr>
    </w:tbl>
    <w:p w14:paraId="102E858B">
      <w:pPr>
        <w:tabs>
          <w:tab w:val="left" w:pos="8280"/>
        </w:tabs>
        <w:autoSpaceDE w:val="0"/>
        <w:autoSpaceDN w:val="0"/>
        <w:adjustRightInd w:val="0"/>
        <w:spacing w:line="360" w:lineRule="auto"/>
        <w:ind w:right="25"/>
        <w:rPr>
          <w:color w:val="auto"/>
        </w:rPr>
      </w:pPr>
    </w:p>
    <w:p w14:paraId="7195B7FC">
      <w:pPr>
        <w:tabs>
          <w:tab w:val="left" w:pos="8280"/>
        </w:tabs>
        <w:autoSpaceDE w:val="0"/>
        <w:autoSpaceDN w:val="0"/>
        <w:adjustRightInd w:val="0"/>
        <w:spacing w:line="360" w:lineRule="auto"/>
        <w:ind w:right="25" w:firstLine="480" w:firstLineChars="200"/>
        <w:rPr>
          <w:rFonts w:hint="eastAsia" w:ascii="宋体" w:hAnsi="宋体"/>
          <w:color w:val="auto"/>
          <w:sz w:val="24"/>
        </w:rPr>
      </w:pPr>
      <w:r>
        <w:rPr>
          <w:rFonts w:hint="eastAsia" w:ascii="宋体" w:hAnsi="宋体"/>
          <w:color w:val="auto"/>
          <w:sz w:val="24"/>
        </w:rPr>
        <w:t>注：1、投标人在投标时应优先采用以上推荐品牌的品牌（明确其中一个），若选用推荐品牌以外的，替代产品品质不得低于推荐品牌产品档次，在评标过程中的设备选型及材料采用以评标委员会评定结果为准。</w:t>
      </w:r>
    </w:p>
    <w:p w14:paraId="3F3140AD">
      <w:pPr>
        <w:tabs>
          <w:tab w:val="left" w:pos="8280"/>
        </w:tabs>
        <w:autoSpaceDE w:val="0"/>
        <w:autoSpaceDN w:val="0"/>
        <w:adjustRightInd w:val="0"/>
        <w:spacing w:line="360" w:lineRule="auto"/>
        <w:ind w:right="25" w:firstLine="480" w:firstLineChars="200"/>
        <w:rPr>
          <w:rFonts w:hint="eastAsia" w:ascii="宋体" w:hAnsi="宋体"/>
          <w:color w:val="auto"/>
          <w:sz w:val="24"/>
        </w:rPr>
      </w:pPr>
      <w:r>
        <w:rPr>
          <w:rFonts w:hint="eastAsia" w:ascii="宋体" w:hAnsi="宋体"/>
          <w:color w:val="auto"/>
          <w:sz w:val="24"/>
        </w:rPr>
        <w:t>2、投标若某设备材料的品牌与厂家存在同名时，以品牌为先。</w:t>
      </w:r>
    </w:p>
    <w:p w14:paraId="64CA9BCA">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rPr>
        <w:t>五、工程管理的要求</w:t>
      </w:r>
    </w:p>
    <w:p w14:paraId="3C2BF0B1">
      <w:pPr>
        <w:tabs>
          <w:tab w:val="left" w:pos="8280"/>
        </w:tabs>
        <w:autoSpaceDE w:val="0"/>
        <w:autoSpaceDN w:val="0"/>
        <w:adjustRightInd w:val="0"/>
        <w:spacing w:line="360" w:lineRule="auto"/>
        <w:ind w:right="25"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、本工程发包范围内的工程项目，未经采购人同意一律不得分包。一经发现立即取消承包资格，作违约处理，并承担由此引起的一切经济损失。</w:t>
      </w:r>
    </w:p>
    <w:p w14:paraId="1B308948">
      <w:pPr>
        <w:tabs>
          <w:tab w:val="left" w:pos="8280"/>
        </w:tabs>
        <w:autoSpaceDE w:val="0"/>
        <w:autoSpaceDN w:val="0"/>
        <w:adjustRightInd w:val="0"/>
        <w:spacing w:line="360" w:lineRule="auto"/>
        <w:ind w:right="25" w:firstLine="480" w:firstLineChars="200"/>
        <w:rPr>
          <w:rFonts w:ascii="宋体" w:hAnsi="宋体"/>
          <w:color w:val="auto"/>
          <w:sz w:val="24"/>
        </w:rPr>
      </w:pPr>
      <w:r>
        <w:rPr>
          <w:rFonts w:hint="eastAsia" w:ascii="宋体" w:hAnsi="宋体"/>
          <w:color w:val="auto"/>
          <w:sz w:val="24"/>
        </w:rPr>
        <w:t>2、承包供应商应严格按已确认设计图纸和施工技术方案组织施工，并无条件地接受采购人委托的监理单位对施工质量的监督和管理。</w:t>
      </w:r>
    </w:p>
    <w:p w14:paraId="6FEA41CE">
      <w:pPr>
        <w:spacing w:line="460" w:lineRule="exact"/>
        <w:rPr>
          <w:rFonts w:ascii="宋体" w:hAnsi="宋体"/>
          <w:b/>
          <w:color w:val="auto"/>
          <w:sz w:val="24"/>
        </w:rPr>
      </w:pPr>
      <w:r>
        <w:rPr>
          <w:rFonts w:hint="eastAsia" w:ascii="宋体" w:hAnsi="宋体"/>
          <w:b/>
          <w:color w:val="auto"/>
          <w:sz w:val="24"/>
        </w:rPr>
        <w:t>六</w:t>
      </w:r>
      <w:r>
        <w:rPr>
          <w:rFonts w:ascii="宋体" w:hAnsi="宋体"/>
          <w:b/>
          <w:color w:val="auto"/>
          <w:sz w:val="24"/>
        </w:rPr>
        <w:t>、</w:t>
      </w:r>
      <w:r>
        <w:rPr>
          <w:rFonts w:hint="eastAsia" w:ascii="宋体" w:hAnsi="宋体"/>
          <w:b/>
          <w:color w:val="auto"/>
          <w:sz w:val="24"/>
        </w:rPr>
        <w:t>商务需求</w:t>
      </w:r>
    </w:p>
    <w:p w14:paraId="6994549A">
      <w:pPr>
        <w:tabs>
          <w:tab w:val="left" w:pos="8280"/>
        </w:tabs>
        <w:autoSpaceDE w:val="0"/>
        <w:autoSpaceDN w:val="0"/>
        <w:adjustRightInd w:val="0"/>
        <w:spacing w:line="360" w:lineRule="auto"/>
        <w:ind w:right="25" w:firstLine="482" w:firstLineChars="200"/>
        <w:rPr>
          <w:rFonts w:ascii="宋体" w:hAnsi="宋体"/>
          <w:color w:val="auto"/>
          <w:sz w:val="24"/>
        </w:rPr>
      </w:pPr>
      <w:r>
        <w:rPr>
          <w:rFonts w:hint="eastAsia" w:ascii="宋体" w:hAnsi="宋体"/>
          <w:b/>
          <w:color w:val="auto"/>
          <w:sz w:val="24"/>
        </w:rPr>
        <w:t>1、合同价格形式：</w:t>
      </w:r>
      <w:r>
        <w:rPr>
          <w:rFonts w:hint="eastAsia" w:ascii="宋体" w:hAnsi="宋体"/>
          <w:color w:val="auto"/>
          <w:sz w:val="24"/>
        </w:rPr>
        <w:t>本工程采用固定结算率，本工程的结算率一次性包死，结算率=（投标总报价/</w:t>
      </w:r>
      <w:r>
        <w:rPr>
          <w:rFonts w:hint="default" w:ascii="宋体" w:hAnsi="宋体"/>
          <w:color w:val="auto"/>
          <w:sz w:val="24"/>
          <w:lang w:val="en-US"/>
        </w:rPr>
        <w:t>1162162</w:t>
      </w:r>
      <w:r>
        <w:rPr>
          <w:rFonts w:hint="eastAsia" w:ascii="宋体" w:hAnsi="宋体"/>
          <w:color w:val="auto"/>
          <w:sz w:val="24"/>
        </w:rPr>
        <w:t>）×100%。本工程按发包人提供的预算价结合固定结算率方式结算，结算时应按照发包人提供的预算文件的计量依据、组价方式、取费标准等进行结算，不得调整。</w:t>
      </w:r>
    </w:p>
    <w:p w14:paraId="0665ED9E">
      <w:pPr>
        <w:snapToGrid w:val="0"/>
        <w:spacing w:line="460" w:lineRule="exact"/>
        <w:ind w:firstLine="420"/>
        <w:outlineLvl w:val="0"/>
        <w:rPr>
          <w:rFonts w:ascii="宋体" w:hAnsi="宋体"/>
          <w:color w:val="auto"/>
          <w:kern w:val="0"/>
          <w:sz w:val="24"/>
        </w:rPr>
      </w:pPr>
      <w:r>
        <w:rPr>
          <w:rFonts w:hint="eastAsia" w:ascii="宋体" w:hAnsi="宋体"/>
          <w:b/>
          <w:color w:val="auto"/>
          <w:sz w:val="24"/>
        </w:rPr>
        <w:t>2、</w:t>
      </w:r>
      <w:r>
        <w:rPr>
          <w:rFonts w:hint="eastAsia" w:ascii="宋体" w:hAnsi="宋体"/>
          <w:b/>
          <w:color w:val="auto"/>
          <w:kern w:val="0"/>
          <w:sz w:val="24"/>
        </w:rPr>
        <w:t>交货时间及地点：</w:t>
      </w:r>
      <w:r>
        <w:rPr>
          <w:rFonts w:hint="eastAsia" w:ascii="宋体" w:hAnsi="宋体"/>
          <w:color w:val="auto"/>
          <w:kern w:val="0"/>
          <w:sz w:val="24"/>
        </w:rPr>
        <w:t>同前面“招标项目一览表”内所填的相关内容。</w:t>
      </w:r>
    </w:p>
    <w:p w14:paraId="258BB453">
      <w:pPr>
        <w:snapToGrid w:val="0"/>
        <w:spacing w:line="460" w:lineRule="exact"/>
        <w:ind w:firstLine="420"/>
        <w:outlineLvl w:val="0"/>
        <w:rPr>
          <w:rFonts w:ascii="宋体" w:hAnsi="宋体"/>
          <w:bCs/>
          <w:color w:val="auto"/>
          <w:sz w:val="24"/>
        </w:rPr>
      </w:pPr>
      <w:r>
        <w:rPr>
          <w:rFonts w:hint="eastAsia" w:ascii="宋体" w:hAnsi="宋体"/>
          <w:b/>
          <w:color w:val="auto"/>
          <w:kern w:val="0"/>
          <w:sz w:val="24"/>
          <w:lang w:val="en-US" w:eastAsia="zh-CN"/>
        </w:rPr>
        <w:t>3</w:t>
      </w:r>
      <w:r>
        <w:rPr>
          <w:rFonts w:hint="eastAsia" w:ascii="宋体" w:hAnsi="宋体"/>
          <w:b/>
          <w:color w:val="auto"/>
          <w:kern w:val="0"/>
          <w:sz w:val="24"/>
        </w:rPr>
        <w:t>、</w:t>
      </w:r>
      <w:r>
        <w:rPr>
          <w:rFonts w:hint="eastAsia" w:ascii="宋体" w:hAnsi="宋体"/>
          <w:b/>
          <w:color w:val="auto"/>
          <w:sz w:val="24"/>
        </w:rPr>
        <w:t>付款条件：</w:t>
      </w:r>
      <w:r>
        <w:rPr>
          <w:rFonts w:hint="eastAsia" w:ascii="宋体" w:hAnsi="宋体"/>
          <w:bCs/>
          <w:color w:val="auto"/>
          <w:sz w:val="24"/>
        </w:rPr>
        <w:t>详见合同条款。</w:t>
      </w:r>
    </w:p>
    <w:p w14:paraId="02CBDE61">
      <w:pPr>
        <w:rPr>
          <w:rFonts w:ascii="宋体" w:hAnsi="宋体"/>
          <w:b/>
          <w:color w:val="auto"/>
          <w:sz w:val="36"/>
          <w:szCs w:val="36"/>
        </w:rPr>
      </w:pPr>
      <w:r>
        <w:rPr>
          <w:rFonts w:hint="eastAsia" w:ascii="宋体" w:hAnsi="宋体"/>
          <w:b/>
          <w:color w:val="auto"/>
          <w:sz w:val="36"/>
          <w:szCs w:val="36"/>
        </w:rPr>
        <w:br w:type="page"/>
      </w:r>
    </w:p>
    <w:p w14:paraId="6896BDFB">
      <w:pPr>
        <w:rPr>
          <w:color w:val="auto"/>
        </w:rPr>
      </w:pPr>
    </w:p>
    <w:p w14:paraId="1D6BF879">
      <w:pPr>
        <w:spacing w:line="360" w:lineRule="auto"/>
        <w:jc w:val="center"/>
        <w:rPr>
          <w:rFonts w:ascii="宋体" w:hAnsi="宋体"/>
          <w:b/>
          <w:color w:val="auto"/>
          <w:sz w:val="36"/>
          <w:szCs w:val="36"/>
        </w:rPr>
      </w:pPr>
      <w:r>
        <w:rPr>
          <w:rFonts w:hint="eastAsia" w:ascii="宋体" w:hAnsi="宋体"/>
          <w:b/>
          <w:color w:val="auto"/>
          <w:sz w:val="36"/>
          <w:szCs w:val="36"/>
        </w:rPr>
        <w:t>第五章　政府采购合同主要条款</w:t>
      </w:r>
    </w:p>
    <w:p w14:paraId="687250AC">
      <w:pPr>
        <w:spacing w:line="360" w:lineRule="auto"/>
        <w:jc w:val="center"/>
        <w:rPr>
          <w:rFonts w:hint="eastAsia" w:ascii="宋体" w:hAnsi="宋体" w:eastAsia="宋体" w:cs="宋体"/>
          <w:color w:val="auto"/>
          <w:sz w:val="52"/>
          <w:szCs w:val="52"/>
          <w:lang w:eastAsia="zh-CN"/>
        </w:rPr>
      </w:pPr>
      <w:bookmarkStart w:id="3" w:name="_Toc22115"/>
      <w:bookmarkStart w:id="4" w:name="_Toc20286"/>
      <w:bookmarkStart w:id="5" w:name="_Toc27248"/>
      <w:r>
        <w:rPr>
          <w:rFonts w:hint="eastAsia" w:ascii="宋体" w:hAnsi="宋体" w:cs="宋体"/>
          <w:color w:val="auto"/>
          <w:sz w:val="52"/>
          <w:szCs w:val="52"/>
          <w:lang w:eastAsia="zh-CN"/>
        </w:rPr>
        <w:t>台州职业技术学院教师公寓三单元4、5、6层改造项目</w:t>
      </w:r>
    </w:p>
    <w:p w14:paraId="3CE7D629">
      <w:pPr>
        <w:spacing w:line="360" w:lineRule="auto"/>
        <w:rPr>
          <w:rFonts w:ascii="宋体" w:hAnsi="宋体" w:cs="宋体"/>
          <w:color w:val="auto"/>
          <w:sz w:val="72"/>
          <w:szCs w:val="72"/>
        </w:rPr>
      </w:pPr>
    </w:p>
    <w:p w14:paraId="364679DD">
      <w:pPr>
        <w:spacing w:line="360" w:lineRule="auto"/>
        <w:jc w:val="center"/>
        <w:rPr>
          <w:rFonts w:ascii="宋体" w:hAnsi="宋体" w:cs="宋体"/>
          <w:color w:val="auto"/>
          <w:sz w:val="72"/>
          <w:szCs w:val="72"/>
        </w:rPr>
      </w:pPr>
      <w:r>
        <w:rPr>
          <w:rFonts w:hint="eastAsia" w:ascii="宋体" w:hAnsi="宋体" w:cs="宋体"/>
          <w:color w:val="auto"/>
          <w:sz w:val="72"/>
          <w:szCs w:val="72"/>
        </w:rPr>
        <w:t>施工合同文本</w:t>
      </w:r>
    </w:p>
    <w:p w14:paraId="43D128EB">
      <w:pPr>
        <w:spacing w:line="360" w:lineRule="auto"/>
        <w:ind w:firstLine="880" w:firstLineChars="200"/>
        <w:rPr>
          <w:rFonts w:ascii="宋体" w:hAnsi="宋体" w:cs="宋体"/>
          <w:color w:val="auto"/>
          <w:sz w:val="44"/>
          <w:szCs w:val="44"/>
        </w:rPr>
      </w:pPr>
    </w:p>
    <w:p w14:paraId="23E18450">
      <w:pPr>
        <w:spacing w:line="360" w:lineRule="auto"/>
        <w:ind w:firstLine="880" w:firstLineChars="200"/>
        <w:rPr>
          <w:rFonts w:ascii="宋体" w:hAnsi="宋体" w:cs="宋体"/>
          <w:color w:val="auto"/>
          <w:sz w:val="44"/>
          <w:szCs w:val="44"/>
        </w:rPr>
      </w:pPr>
    </w:p>
    <w:p w14:paraId="71E042C2">
      <w:pPr>
        <w:spacing w:line="360" w:lineRule="auto"/>
        <w:ind w:firstLine="880" w:firstLineChars="200"/>
        <w:rPr>
          <w:rFonts w:ascii="宋体" w:hAnsi="宋体" w:cs="宋体"/>
          <w:color w:val="auto"/>
          <w:sz w:val="44"/>
          <w:szCs w:val="44"/>
        </w:rPr>
      </w:pPr>
    </w:p>
    <w:p w14:paraId="19796BDC">
      <w:pPr>
        <w:spacing w:line="360" w:lineRule="auto"/>
        <w:rPr>
          <w:rFonts w:ascii="宋体" w:hAnsi="宋体" w:cs="宋体"/>
          <w:b/>
          <w:color w:val="auto"/>
          <w:sz w:val="44"/>
          <w:szCs w:val="44"/>
        </w:rPr>
      </w:pPr>
      <w:r>
        <w:rPr>
          <w:rFonts w:hint="eastAsia" w:ascii="宋体" w:hAnsi="宋体" w:cs="宋体"/>
          <w:color w:val="auto"/>
          <w:sz w:val="44"/>
          <w:szCs w:val="44"/>
        </w:rPr>
        <w:t>发包人：台州职业技术学院            </w:t>
      </w:r>
    </w:p>
    <w:p w14:paraId="7ECA5C2E">
      <w:pPr>
        <w:pStyle w:val="4"/>
        <w:spacing w:before="0" w:after="0"/>
        <w:rPr>
          <w:rFonts w:ascii="宋体" w:hAnsi="宋体" w:eastAsia="宋体" w:cs="宋体"/>
          <w:color w:val="auto"/>
          <w:sz w:val="44"/>
          <w:szCs w:val="44"/>
        </w:rPr>
      </w:pPr>
      <w:r>
        <w:rPr>
          <w:rFonts w:hint="eastAsia" w:ascii="宋体" w:hAnsi="宋体" w:eastAsia="宋体" w:cs="宋体"/>
          <w:color w:val="auto"/>
          <w:sz w:val="44"/>
          <w:szCs w:val="44"/>
        </w:rPr>
        <w:t>承包人：</w:t>
      </w:r>
    </w:p>
    <w:p w14:paraId="055F0A51">
      <w:pPr>
        <w:pStyle w:val="4"/>
        <w:spacing w:before="0" w:after="0"/>
        <w:jc w:val="center"/>
        <w:rPr>
          <w:rFonts w:ascii="宋体" w:hAnsi="宋体" w:eastAsia="宋体" w:cs="宋体"/>
          <w:color w:val="auto"/>
          <w:sz w:val="44"/>
          <w:szCs w:val="44"/>
        </w:rPr>
      </w:pPr>
    </w:p>
    <w:p w14:paraId="3A06DC9E">
      <w:pPr>
        <w:pStyle w:val="4"/>
        <w:spacing w:before="0" w:after="0"/>
        <w:jc w:val="center"/>
        <w:rPr>
          <w:rFonts w:ascii="宋体" w:hAnsi="宋体" w:eastAsia="宋体" w:cs="宋体"/>
          <w:color w:val="auto"/>
          <w:sz w:val="44"/>
          <w:szCs w:val="44"/>
        </w:rPr>
      </w:pPr>
      <w:r>
        <w:rPr>
          <w:rFonts w:hint="eastAsia" w:ascii="宋体" w:hAnsi="宋体" w:eastAsia="宋体" w:cs="宋体"/>
          <w:color w:val="auto"/>
          <w:sz w:val="44"/>
          <w:szCs w:val="44"/>
        </w:rPr>
        <w:t>202</w:t>
      </w:r>
      <w:r>
        <w:rPr>
          <w:rFonts w:hint="eastAsia" w:ascii="宋体" w:hAnsi="宋体" w:eastAsia="宋体" w:cs="宋体"/>
          <w:color w:val="auto"/>
          <w:sz w:val="44"/>
          <w:szCs w:val="44"/>
          <w:lang w:val="en-US" w:eastAsia="zh-CN"/>
        </w:rPr>
        <w:t>5</w:t>
      </w:r>
      <w:r>
        <w:rPr>
          <w:rFonts w:hint="eastAsia" w:ascii="宋体" w:hAnsi="宋体" w:eastAsia="宋体" w:cs="宋体"/>
          <w:color w:val="auto"/>
          <w:sz w:val="44"/>
          <w:szCs w:val="44"/>
        </w:rPr>
        <w:t>年   月</w:t>
      </w:r>
    </w:p>
    <w:p w14:paraId="7CC47F09">
      <w:pPr>
        <w:rPr>
          <w:rFonts w:ascii="宋体" w:hAnsi="宋体" w:cs="宋体"/>
          <w:color w:val="auto"/>
          <w:szCs w:val="21"/>
          <w:u w:val="single"/>
        </w:rPr>
      </w:pPr>
      <w:r>
        <w:rPr>
          <w:rFonts w:hint="eastAsia" w:ascii="宋体" w:hAnsi="宋体" w:cs="宋体"/>
          <w:color w:val="auto"/>
          <w:szCs w:val="21"/>
          <w:u w:val="single"/>
        </w:rPr>
        <w:br w:type="page"/>
      </w:r>
    </w:p>
    <w:p w14:paraId="69E00264">
      <w:pPr>
        <w:pStyle w:val="4"/>
        <w:jc w:val="center"/>
        <w:rPr>
          <w:rFonts w:ascii="宋体" w:hAnsi="宋体" w:eastAsia="宋体" w:cs="宋体"/>
          <w:color w:val="auto"/>
        </w:rPr>
      </w:pPr>
      <w:r>
        <w:rPr>
          <w:rFonts w:hint="eastAsia" w:ascii="宋体" w:hAnsi="宋体" w:eastAsia="宋体" w:cs="宋体"/>
          <w:color w:val="auto"/>
        </w:rPr>
        <w:t>第一部分    合同协议书</w:t>
      </w:r>
      <w:bookmarkEnd w:id="3"/>
      <w:bookmarkEnd w:id="4"/>
      <w:bookmarkEnd w:id="5"/>
    </w:p>
    <w:p w14:paraId="12911C8E">
      <w:pPr>
        <w:spacing w:line="360" w:lineRule="exact"/>
        <w:ind w:firstLine="420" w:firstLineChars="200"/>
        <w:rPr>
          <w:rFonts w:ascii="宋体" w:hAnsi="宋体" w:cs="宋体"/>
          <w:b/>
          <w:color w:val="auto"/>
          <w:szCs w:val="21"/>
          <w:u w:val="single"/>
        </w:rPr>
      </w:pPr>
      <w:r>
        <w:rPr>
          <w:rFonts w:hint="eastAsia" w:ascii="宋体" w:hAnsi="宋体" w:cs="宋体"/>
          <w:color w:val="auto"/>
          <w:szCs w:val="21"/>
        </w:rPr>
        <w:t>发包人（全称）：</w:t>
      </w:r>
      <w:r>
        <w:rPr>
          <w:rFonts w:hint="eastAsia" w:ascii="宋体" w:hAnsi="宋体" w:cs="宋体"/>
          <w:color w:val="auto"/>
          <w:szCs w:val="21"/>
          <w:u w:val="single"/>
        </w:rPr>
        <w:t>台州职业技术学院            </w:t>
      </w:r>
    </w:p>
    <w:p w14:paraId="33D1F945">
      <w:pPr>
        <w:spacing w:line="360" w:lineRule="exact"/>
        <w:ind w:firstLine="420" w:firstLineChars="200"/>
        <w:rPr>
          <w:rFonts w:ascii="宋体" w:hAnsi="宋体" w:cs="宋体"/>
          <w:b/>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768E339A">
      <w:pPr>
        <w:spacing w:line="360" w:lineRule="exact"/>
        <w:ind w:firstLine="420" w:firstLineChars="200"/>
        <w:rPr>
          <w:rFonts w:ascii="宋体" w:hAnsi="宋体" w:cs="宋体"/>
          <w:color w:val="auto"/>
          <w:szCs w:val="21"/>
        </w:rPr>
      </w:pPr>
      <w:r>
        <w:rPr>
          <w:rFonts w:hint="eastAsia" w:ascii="宋体" w:hAnsi="宋体" w:cs="宋体"/>
          <w:color w:val="auto"/>
          <w:szCs w:val="21"/>
        </w:rPr>
        <w:t>根据《中华人民共和国民法典》、《中华人民共和国建筑法》及有关法律规定，遵循平等、自愿、公平和诚实信用的原则，双方就</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台州职业技术学院教师公寓三单元4、5、6层改造项目</w:t>
      </w:r>
      <w:r>
        <w:rPr>
          <w:rFonts w:hint="eastAsia" w:ascii="宋体" w:hAnsi="宋体" w:cs="宋体"/>
          <w:color w:val="auto"/>
          <w:szCs w:val="21"/>
          <w:u w:val="single"/>
        </w:rPr>
        <w:t xml:space="preserve"> </w:t>
      </w:r>
      <w:r>
        <w:rPr>
          <w:rFonts w:hint="eastAsia" w:ascii="宋体" w:hAnsi="宋体" w:cs="宋体"/>
          <w:color w:val="auto"/>
          <w:szCs w:val="21"/>
        </w:rPr>
        <w:t>工程施工及有关事项协商一致，共同达成如下协议：</w:t>
      </w:r>
    </w:p>
    <w:p w14:paraId="66D50476">
      <w:pPr>
        <w:pStyle w:val="9"/>
        <w:spacing w:before="0" w:after="0" w:line="360" w:lineRule="exact"/>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一、工程概况</w:t>
      </w:r>
    </w:p>
    <w:p w14:paraId="27ABB814">
      <w:pPr>
        <w:spacing w:line="360" w:lineRule="exact"/>
        <w:ind w:firstLine="411" w:firstLineChars="196"/>
        <w:rPr>
          <w:rFonts w:ascii="宋体" w:hAnsi="宋体" w:cs="宋体"/>
          <w:color w:val="auto"/>
          <w:szCs w:val="21"/>
          <w:u w:val="single"/>
        </w:rPr>
      </w:pPr>
      <w:r>
        <w:rPr>
          <w:rFonts w:hint="eastAsia" w:ascii="宋体" w:hAnsi="宋体" w:cs="宋体"/>
          <w:bCs/>
          <w:color w:val="auto"/>
          <w:szCs w:val="21"/>
        </w:rPr>
        <w:t>1．工程名称</w:t>
      </w:r>
      <w:r>
        <w:rPr>
          <w:rFonts w:hint="eastAsia" w:ascii="宋体" w:hAnsi="宋体" w:cs="宋体"/>
          <w:color w:val="auto"/>
          <w:szCs w:val="21"/>
        </w:rPr>
        <w:t>：</w:t>
      </w:r>
      <w:r>
        <w:rPr>
          <w:rFonts w:hint="eastAsia" w:ascii="宋体" w:hAnsi="宋体" w:cs="宋体"/>
          <w:color w:val="auto"/>
          <w:szCs w:val="21"/>
          <w:u w:val="single"/>
          <w:lang w:eastAsia="zh-CN"/>
        </w:rPr>
        <w:t>台州职业技术学院教师公寓三单元4、5、6层改造项目</w:t>
      </w:r>
      <w:r>
        <w:rPr>
          <w:rFonts w:hint="eastAsia" w:ascii="宋体" w:hAnsi="宋体" w:cs="宋体"/>
          <w:color w:val="auto"/>
          <w:szCs w:val="21"/>
          <w:u w:val="single"/>
        </w:rPr>
        <w:t xml:space="preserve"> </w:t>
      </w:r>
      <w:r>
        <w:rPr>
          <w:rFonts w:hint="eastAsia" w:ascii="宋体" w:hAnsi="宋体" w:cs="宋体"/>
          <w:color w:val="auto"/>
          <w:szCs w:val="21"/>
        </w:rPr>
        <w:t>。</w:t>
      </w:r>
    </w:p>
    <w:p w14:paraId="705E6EC5">
      <w:pPr>
        <w:spacing w:line="360" w:lineRule="exact"/>
        <w:ind w:firstLine="411" w:firstLineChars="196"/>
        <w:rPr>
          <w:rFonts w:ascii="宋体" w:hAnsi="宋体" w:cs="宋体"/>
          <w:bCs/>
          <w:color w:val="auto"/>
          <w:szCs w:val="21"/>
        </w:rPr>
      </w:pPr>
      <w:r>
        <w:rPr>
          <w:rFonts w:hint="eastAsia" w:ascii="宋体" w:hAnsi="宋体" w:cs="宋体"/>
          <w:bCs/>
          <w:color w:val="auto"/>
          <w:szCs w:val="21"/>
        </w:rPr>
        <w:t>2．工程地点：</w:t>
      </w:r>
      <w:r>
        <w:rPr>
          <w:rFonts w:hint="eastAsia" w:ascii="宋体" w:hAnsi="宋体" w:cs="宋体"/>
          <w:color w:val="auto"/>
          <w:szCs w:val="21"/>
          <w:u w:val="single"/>
        </w:rPr>
        <w:t xml:space="preserve">台州职业技术学院综合楼四楼 </w:t>
      </w:r>
      <w:r>
        <w:rPr>
          <w:rFonts w:hint="eastAsia" w:ascii="宋体" w:hAnsi="宋体" w:cs="宋体"/>
          <w:color w:val="auto"/>
          <w:szCs w:val="21"/>
        </w:rPr>
        <w:t>。</w:t>
      </w:r>
    </w:p>
    <w:p w14:paraId="1398996A">
      <w:pPr>
        <w:spacing w:line="360" w:lineRule="exact"/>
        <w:ind w:firstLine="411" w:firstLineChars="196"/>
        <w:rPr>
          <w:rFonts w:ascii="宋体" w:hAnsi="宋体" w:cs="宋体"/>
          <w:bCs/>
          <w:color w:val="auto"/>
          <w:szCs w:val="21"/>
        </w:rPr>
      </w:pPr>
      <w:r>
        <w:rPr>
          <w:rFonts w:hint="eastAsia" w:ascii="宋体" w:hAnsi="宋体" w:cs="宋体"/>
          <w:bCs/>
          <w:color w:val="auto"/>
          <w:szCs w:val="21"/>
        </w:rPr>
        <w:t>3．资金来源：</w:t>
      </w:r>
      <w:r>
        <w:rPr>
          <w:rFonts w:hint="eastAsia" w:ascii="宋体" w:hAnsi="宋体" w:cs="宋体"/>
          <w:color w:val="auto"/>
          <w:szCs w:val="21"/>
          <w:u w:val="single"/>
        </w:rPr>
        <w:t xml:space="preserve">政府100%                    </w:t>
      </w:r>
      <w:r>
        <w:rPr>
          <w:rFonts w:hint="eastAsia" w:ascii="宋体" w:hAnsi="宋体" w:cs="宋体"/>
          <w:bCs/>
          <w:color w:val="auto"/>
          <w:szCs w:val="21"/>
        </w:rPr>
        <w:t>。</w:t>
      </w:r>
    </w:p>
    <w:p w14:paraId="215BBB56">
      <w:pPr>
        <w:spacing w:line="360" w:lineRule="exact"/>
        <w:ind w:firstLine="411" w:firstLineChars="196"/>
        <w:rPr>
          <w:rFonts w:ascii="宋体" w:hAnsi="宋体" w:cs="宋体"/>
          <w:bCs/>
          <w:color w:val="auto"/>
          <w:szCs w:val="21"/>
        </w:rPr>
      </w:pPr>
      <w:r>
        <w:rPr>
          <w:rFonts w:hint="eastAsia" w:ascii="宋体" w:hAnsi="宋体" w:cs="宋体"/>
          <w:bCs/>
          <w:color w:val="auto"/>
          <w:szCs w:val="21"/>
        </w:rPr>
        <w:t>4．工程内容：</w:t>
      </w:r>
      <w:r>
        <w:rPr>
          <w:rFonts w:hint="eastAsia" w:ascii="宋体" w:hAnsi="宋体" w:cs="宋体"/>
          <w:color w:val="auto"/>
          <w:szCs w:val="21"/>
          <w:u w:val="single"/>
        </w:rPr>
        <w:t xml:space="preserve">招标人提供的施工图纸所包含的 建筑装饰、安装工程等工程。 </w:t>
      </w:r>
    </w:p>
    <w:p w14:paraId="1ACFB315">
      <w:pPr>
        <w:spacing w:line="360" w:lineRule="exact"/>
        <w:ind w:firstLine="411" w:firstLineChars="196"/>
        <w:rPr>
          <w:rFonts w:ascii="宋体" w:hAnsi="宋体" w:cs="宋体"/>
          <w:bCs/>
          <w:color w:val="auto"/>
          <w:szCs w:val="21"/>
        </w:rPr>
      </w:pPr>
      <w:r>
        <w:rPr>
          <w:rFonts w:hint="eastAsia" w:ascii="宋体" w:hAnsi="宋体" w:cs="宋体"/>
          <w:color w:val="auto"/>
          <w:szCs w:val="21"/>
        </w:rPr>
        <w:t>群体工程应附《承包人承揽工程项目一览表》（附件1）。</w:t>
      </w:r>
    </w:p>
    <w:p w14:paraId="317B8541">
      <w:pPr>
        <w:spacing w:line="360" w:lineRule="exact"/>
        <w:ind w:firstLine="420" w:firstLineChars="200"/>
        <w:rPr>
          <w:rFonts w:ascii="宋体" w:hAnsi="宋体" w:cs="宋体"/>
          <w:bCs/>
          <w:color w:val="auto"/>
          <w:szCs w:val="21"/>
        </w:rPr>
      </w:pPr>
      <w:r>
        <w:rPr>
          <w:rFonts w:hint="eastAsia" w:ascii="宋体" w:hAnsi="宋体" w:cs="宋体"/>
          <w:bCs/>
          <w:color w:val="auto"/>
          <w:szCs w:val="21"/>
        </w:rPr>
        <w:t>5．工程承包范围：</w:t>
      </w:r>
    </w:p>
    <w:p w14:paraId="05CF1AC8">
      <w:pPr>
        <w:spacing w:line="360" w:lineRule="exact"/>
        <w:ind w:firstLine="420" w:firstLineChars="200"/>
        <w:rPr>
          <w:rFonts w:ascii="宋体" w:hAnsi="宋体" w:cs="宋体"/>
          <w:color w:val="auto"/>
          <w:szCs w:val="21"/>
        </w:rPr>
      </w:pPr>
      <w:r>
        <w:rPr>
          <w:rFonts w:hint="eastAsia" w:ascii="宋体" w:hAnsi="宋体" w:cs="宋体"/>
          <w:color w:val="auto"/>
          <w:szCs w:val="21"/>
          <w:u w:val="single"/>
        </w:rPr>
        <w:t>发包人提供的施工图纸所包含的建筑装饰、安装工程等工程</w:t>
      </w:r>
      <w:r>
        <w:rPr>
          <w:rFonts w:hint="eastAsia" w:ascii="宋体" w:hAnsi="宋体" w:cs="宋体"/>
          <w:color w:val="auto"/>
          <w:szCs w:val="21"/>
        </w:rPr>
        <w:t>。</w:t>
      </w:r>
    </w:p>
    <w:p w14:paraId="55CA9BF3">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 xml:space="preserve">    二、合同工期</w:t>
      </w:r>
    </w:p>
    <w:p w14:paraId="631ABF7E">
      <w:pPr>
        <w:spacing w:line="360" w:lineRule="exact"/>
        <w:ind w:firstLine="420" w:firstLineChars="200"/>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日（以开工报告为准）。计划竣工日期：</w:t>
      </w:r>
      <w:r>
        <w:rPr>
          <w:rFonts w:hint="eastAsia" w:ascii="宋体" w:hAnsi="宋体" w:cs="宋体"/>
          <w:color w:val="auto"/>
          <w:szCs w:val="21"/>
          <w:u w:val="single"/>
        </w:rPr>
        <w:t></w:t>
      </w:r>
      <w:r>
        <w:rPr>
          <w:rFonts w:hint="eastAsia" w:ascii="宋体" w:hAnsi="宋体" w:cs="宋体"/>
          <w:color w:val="auto"/>
          <w:szCs w:val="21"/>
        </w:rPr>
        <w:t>年</w:t>
      </w:r>
      <w:r>
        <w:rPr>
          <w:rFonts w:hint="eastAsia" w:ascii="宋体" w:hAnsi="宋体" w:cs="宋体"/>
          <w:color w:val="auto"/>
          <w:szCs w:val="21"/>
          <w:u w:val="single"/>
        </w:rPr>
        <w:t></w:t>
      </w:r>
      <w:r>
        <w:rPr>
          <w:rFonts w:hint="eastAsia" w:ascii="宋体" w:hAnsi="宋体" w:cs="宋体"/>
          <w:color w:val="auto"/>
          <w:szCs w:val="21"/>
        </w:rPr>
        <w:t>月</w:t>
      </w:r>
      <w:r>
        <w:rPr>
          <w:rFonts w:hint="eastAsia" w:ascii="宋体" w:hAnsi="宋体" w:cs="宋体"/>
          <w:color w:val="auto"/>
          <w:szCs w:val="21"/>
          <w:u w:val="single"/>
        </w:rPr>
        <w:t></w:t>
      </w:r>
      <w:r>
        <w:rPr>
          <w:rFonts w:hint="eastAsia" w:ascii="宋体" w:hAnsi="宋体" w:cs="宋体"/>
          <w:color w:val="auto"/>
          <w:szCs w:val="21"/>
        </w:rPr>
        <w:t>日。</w:t>
      </w:r>
    </w:p>
    <w:p w14:paraId="07E17C33">
      <w:pPr>
        <w:spacing w:line="360" w:lineRule="exact"/>
        <w:ind w:firstLine="420" w:firstLineChars="200"/>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 </w:t>
      </w:r>
      <w:r>
        <w:rPr>
          <w:rFonts w:hint="eastAsia" w:ascii="宋体" w:hAnsi="宋体" w:cs="宋体"/>
          <w:color w:val="auto"/>
          <w:szCs w:val="21"/>
        </w:rPr>
        <w:t>天。工期总日历天数与根据前述计划开、竣工日期计算的工期天数不一致的，以工期总日历天数为准。</w:t>
      </w:r>
    </w:p>
    <w:p w14:paraId="41F13126">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 xml:space="preserve">中间形象进度工期要求：  </w:t>
      </w:r>
      <w:r>
        <w:rPr>
          <w:rFonts w:hint="eastAsia" w:ascii="宋体" w:hAnsi="宋体" w:cs="宋体"/>
          <w:color w:val="auto"/>
          <w:szCs w:val="21"/>
          <w:u w:val="single"/>
        </w:rPr>
        <w:t xml:space="preserve">                     /                 。</w:t>
      </w:r>
    </w:p>
    <w:p w14:paraId="31D4C8F8">
      <w:pPr>
        <w:pStyle w:val="9"/>
        <w:spacing w:before="0" w:after="0" w:line="360" w:lineRule="exact"/>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三、质量标准</w:t>
      </w:r>
    </w:p>
    <w:p w14:paraId="62B1360F">
      <w:pPr>
        <w:spacing w:line="360" w:lineRule="exact"/>
        <w:ind w:firstLine="459"/>
        <w:rPr>
          <w:rFonts w:ascii="宋体" w:hAnsi="宋体" w:cs="宋体"/>
          <w:color w:val="auto"/>
          <w:szCs w:val="21"/>
        </w:rPr>
      </w:pPr>
      <w:r>
        <w:rPr>
          <w:rFonts w:hint="eastAsia" w:ascii="宋体" w:hAnsi="宋体" w:cs="宋体"/>
          <w:color w:val="auto"/>
          <w:szCs w:val="21"/>
        </w:rPr>
        <w:t>工程质量符合</w:t>
      </w:r>
      <w:r>
        <w:rPr>
          <w:rFonts w:hint="eastAsia" w:ascii="宋体" w:hAnsi="宋体" w:cs="宋体"/>
          <w:color w:val="auto"/>
          <w:szCs w:val="21"/>
          <w:u w:val="single"/>
        </w:rPr>
        <w:t>合格</w:t>
      </w:r>
      <w:r>
        <w:rPr>
          <w:rFonts w:hint="eastAsia" w:ascii="宋体" w:hAnsi="宋体" w:cs="宋体"/>
          <w:color w:val="auto"/>
          <w:szCs w:val="21"/>
        </w:rPr>
        <w:t>标准。</w:t>
      </w:r>
    </w:p>
    <w:p w14:paraId="4B4C11A3">
      <w:pPr>
        <w:pStyle w:val="9"/>
        <w:spacing w:before="0" w:after="0" w:line="360" w:lineRule="exact"/>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四、签约合同价与合同价格形式</w:t>
      </w:r>
      <w:r>
        <w:rPr>
          <w:rFonts w:hint="eastAsia" w:ascii="宋体" w:hAnsi="宋体" w:eastAsia="宋体" w:cs="宋体"/>
          <w:b w:val="0"/>
          <w:color w:val="auto"/>
          <w:sz w:val="21"/>
          <w:szCs w:val="21"/>
        </w:rPr>
        <w:tab/>
      </w:r>
    </w:p>
    <w:p w14:paraId="40977EE7">
      <w:pPr>
        <w:spacing w:line="360" w:lineRule="exact"/>
        <w:ind w:firstLine="420" w:firstLineChars="200"/>
        <w:rPr>
          <w:rFonts w:ascii="宋体" w:hAnsi="宋体" w:cs="宋体"/>
          <w:color w:val="auto"/>
          <w:szCs w:val="21"/>
        </w:rPr>
      </w:pPr>
      <w:r>
        <w:rPr>
          <w:rFonts w:hint="eastAsia" w:ascii="宋体" w:hAnsi="宋体" w:cs="宋体"/>
          <w:color w:val="auto"/>
          <w:szCs w:val="21"/>
        </w:rPr>
        <w:t>1．签约合同价为：</w:t>
      </w:r>
    </w:p>
    <w:p w14:paraId="25903D4D">
      <w:pPr>
        <w:spacing w:line="360" w:lineRule="exact"/>
        <w:ind w:firstLine="420" w:firstLineChars="20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170DD7D3">
      <w:pPr>
        <w:spacing w:line="360" w:lineRule="exact"/>
        <w:ind w:firstLine="420" w:firstLineChars="200"/>
        <w:rPr>
          <w:rFonts w:ascii="宋体" w:hAnsi="宋体" w:cs="宋体"/>
          <w:color w:val="auto"/>
          <w:szCs w:val="21"/>
        </w:rPr>
      </w:pPr>
      <w:r>
        <w:rPr>
          <w:rFonts w:hint="eastAsia" w:ascii="宋体" w:hAnsi="宋体" w:cs="宋体"/>
          <w:color w:val="auto"/>
          <w:szCs w:val="21"/>
        </w:rPr>
        <w:t>其中：</w:t>
      </w:r>
    </w:p>
    <w:p w14:paraId="642C4EA2">
      <w:pPr>
        <w:spacing w:line="360" w:lineRule="exact"/>
        <w:ind w:firstLine="420" w:firstLineChars="200"/>
        <w:rPr>
          <w:rFonts w:ascii="宋体" w:hAnsi="宋体" w:cs="宋体"/>
          <w:color w:val="auto"/>
          <w:szCs w:val="21"/>
        </w:rPr>
      </w:pPr>
      <w:r>
        <w:rPr>
          <w:rFonts w:hint="eastAsia" w:ascii="宋体" w:hAnsi="宋体" w:cs="宋体"/>
          <w:color w:val="auto"/>
          <w:szCs w:val="21"/>
        </w:rPr>
        <w:t>（1）安全文明施工费：</w:t>
      </w:r>
    </w:p>
    <w:p w14:paraId="1D914CEA">
      <w:pPr>
        <w:spacing w:line="360" w:lineRule="exact"/>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380B693C">
      <w:pPr>
        <w:spacing w:line="360" w:lineRule="exact"/>
        <w:ind w:firstLine="420" w:firstLineChars="200"/>
        <w:rPr>
          <w:rFonts w:ascii="宋体" w:hAnsi="宋体" w:cs="宋体"/>
          <w:color w:val="auto"/>
          <w:szCs w:val="21"/>
        </w:rPr>
      </w:pPr>
      <w:r>
        <w:rPr>
          <w:rFonts w:hint="eastAsia" w:ascii="宋体" w:hAnsi="宋体" w:cs="宋体"/>
          <w:color w:val="auto"/>
          <w:szCs w:val="21"/>
        </w:rPr>
        <w:t>（2）材料和工程设备暂估价金额：</w:t>
      </w:r>
    </w:p>
    <w:p w14:paraId="19365D10">
      <w:pPr>
        <w:spacing w:line="360" w:lineRule="exact"/>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013E3E9E">
      <w:pPr>
        <w:spacing w:line="360" w:lineRule="exact"/>
        <w:ind w:firstLine="420" w:firstLineChars="200"/>
        <w:rPr>
          <w:rFonts w:ascii="宋体" w:hAnsi="宋体" w:cs="宋体"/>
          <w:color w:val="auto"/>
          <w:szCs w:val="21"/>
        </w:rPr>
      </w:pPr>
      <w:r>
        <w:rPr>
          <w:rFonts w:hint="eastAsia" w:ascii="宋体" w:hAnsi="宋体" w:cs="宋体"/>
          <w:color w:val="auto"/>
          <w:szCs w:val="21"/>
        </w:rPr>
        <w:t>（3）专业工程暂估价金额：</w:t>
      </w:r>
    </w:p>
    <w:p w14:paraId="3755C513">
      <w:pPr>
        <w:spacing w:line="360" w:lineRule="exact"/>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2445761E">
      <w:pPr>
        <w:spacing w:line="360" w:lineRule="exact"/>
        <w:ind w:firstLine="420" w:firstLineChars="200"/>
        <w:rPr>
          <w:rFonts w:ascii="宋体" w:hAnsi="宋体" w:cs="宋体"/>
          <w:color w:val="auto"/>
          <w:szCs w:val="21"/>
        </w:rPr>
      </w:pPr>
      <w:r>
        <w:rPr>
          <w:rFonts w:hint="eastAsia" w:ascii="宋体" w:hAnsi="宋体" w:cs="宋体"/>
          <w:color w:val="auto"/>
          <w:szCs w:val="21"/>
        </w:rPr>
        <w:t>（4）暂列金额：</w:t>
      </w:r>
    </w:p>
    <w:p w14:paraId="4DA35D03">
      <w:pPr>
        <w:spacing w:line="360" w:lineRule="exact"/>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04987FE8">
      <w:pPr>
        <w:spacing w:line="360" w:lineRule="exact"/>
        <w:ind w:firstLine="420" w:firstLineChars="200"/>
        <w:rPr>
          <w:rFonts w:ascii="宋体" w:hAnsi="宋体" w:cs="宋体"/>
          <w:color w:val="auto"/>
          <w:szCs w:val="21"/>
        </w:rPr>
      </w:pPr>
      <w:r>
        <w:rPr>
          <w:rFonts w:hint="eastAsia" w:ascii="宋体" w:hAnsi="宋体" w:cs="宋体"/>
          <w:color w:val="auto"/>
          <w:szCs w:val="21"/>
        </w:rPr>
        <w:t>2．合同价格形式：</w:t>
      </w:r>
      <w:r>
        <w:rPr>
          <w:rFonts w:hint="eastAsia" w:ascii="宋体" w:hAnsi="宋体" w:cs="宋体"/>
          <w:color w:val="auto"/>
          <w:szCs w:val="21"/>
          <w:u w:val="single"/>
        </w:rPr>
        <w:t xml:space="preserve"> [单价合同] </w:t>
      </w:r>
      <w:r>
        <w:rPr>
          <w:rFonts w:hint="eastAsia" w:ascii="宋体" w:hAnsi="宋体" w:cs="宋体"/>
          <w:color w:val="auto"/>
          <w:szCs w:val="21"/>
        </w:rPr>
        <w:t>。</w:t>
      </w:r>
    </w:p>
    <w:p w14:paraId="4DB8FCD3">
      <w:pPr>
        <w:spacing w:line="360" w:lineRule="exact"/>
        <w:ind w:firstLine="420" w:firstLineChars="200"/>
        <w:rPr>
          <w:rFonts w:ascii="宋体" w:hAnsi="宋体" w:cs="宋体"/>
          <w:color w:val="auto"/>
          <w:szCs w:val="21"/>
        </w:rPr>
      </w:pPr>
      <w:r>
        <w:rPr>
          <w:rFonts w:hint="eastAsia" w:ascii="宋体" w:hAnsi="宋体" w:cs="宋体"/>
          <w:color w:val="auto"/>
          <w:szCs w:val="21"/>
        </w:rPr>
        <w:t>3．发包人向承包人支付工程价款及其他应当支付的款项均须汇入承包人合同协议书中的银行账户，并开具增值税专用发票。</w:t>
      </w:r>
    </w:p>
    <w:p w14:paraId="7619BDE1">
      <w:pPr>
        <w:spacing w:line="360" w:lineRule="exact"/>
        <w:ind w:firstLine="352" w:firstLineChars="168"/>
        <w:rPr>
          <w:rFonts w:ascii="宋体" w:hAnsi="宋体" w:cs="宋体"/>
          <w:color w:val="auto"/>
          <w:szCs w:val="21"/>
        </w:rPr>
      </w:pPr>
      <w:r>
        <w:rPr>
          <w:rFonts w:hint="eastAsia" w:ascii="宋体" w:hAnsi="宋体" w:cs="宋体"/>
          <w:color w:val="auto"/>
          <w:szCs w:val="21"/>
        </w:rPr>
        <w:t>根据《关于全面推开营业税改征增值税试点的通知》（</w:t>
      </w:r>
      <w:r>
        <w:rPr>
          <w:rFonts w:hint="eastAsia" w:ascii="宋体" w:hAnsi="宋体" w:cs="宋体"/>
          <w:bCs/>
          <w:color w:val="auto"/>
          <w:szCs w:val="21"/>
          <w:shd w:val="clear" w:color="auto" w:fill="FFFFFF"/>
        </w:rPr>
        <w:t>财税〔2016〕36号</w:t>
      </w:r>
      <w:r>
        <w:rPr>
          <w:rFonts w:hint="eastAsia" w:ascii="宋体" w:hAnsi="宋体" w:cs="宋体"/>
          <w:color w:val="auto"/>
          <w:szCs w:val="21"/>
          <w:shd w:val="clear" w:color="auto" w:fill="FFFFFF"/>
        </w:rPr>
        <w:t>）等有关规定，承包人完成本合同项下应税行为的计税方式按</w:t>
      </w:r>
      <w:r>
        <w:rPr>
          <w:rFonts w:hint="eastAsia" w:ascii="宋体" w:hAnsi="宋体" w:cs="宋体"/>
          <w:color w:val="auto"/>
          <w:szCs w:val="21"/>
        </w:rPr>
        <w:t>以下第</w:t>
      </w:r>
      <w:r>
        <w:rPr>
          <w:rFonts w:hint="eastAsia" w:ascii="宋体" w:hAnsi="宋体" w:cs="宋体"/>
          <w:color w:val="auto"/>
          <w:szCs w:val="21"/>
          <w:u w:val="single"/>
          <w:shd w:val="clear" w:color="auto" w:fill="FFFFFF"/>
        </w:rPr>
        <w:t xml:space="preserve">  （1）  </w:t>
      </w:r>
      <w:r>
        <w:rPr>
          <w:rFonts w:hint="eastAsia" w:ascii="宋体" w:hAnsi="宋体" w:cs="宋体"/>
          <w:color w:val="auto"/>
          <w:szCs w:val="21"/>
          <w:shd w:val="clear" w:color="auto" w:fill="FFFFFF"/>
        </w:rPr>
        <w:t>种方法，并与</w:t>
      </w:r>
      <w:r>
        <w:rPr>
          <w:rFonts w:hint="eastAsia" w:ascii="宋体" w:hAnsi="宋体" w:cs="宋体"/>
          <w:color w:val="auto"/>
          <w:szCs w:val="21"/>
        </w:rPr>
        <w:t>工程计价时采用的计税方法一致。</w:t>
      </w:r>
    </w:p>
    <w:p w14:paraId="47D0A88D">
      <w:pPr>
        <w:spacing w:line="360" w:lineRule="exact"/>
        <w:ind w:firstLine="352" w:firstLineChars="168"/>
        <w:rPr>
          <w:rFonts w:ascii="宋体" w:hAnsi="宋体" w:cs="宋体"/>
          <w:color w:val="auto"/>
          <w:szCs w:val="21"/>
        </w:rPr>
      </w:pPr>
      <w:r>
        <w:rPr>
          <w:rFonts w:hint="eastAsia" w:ascii="宋体" w:hAnsi="宋体" w:cs="宋体"/>
          <w:color w:val="auto"/>
          <w:szCs w:val="21"/>
          <w:shd w:val="clear" w:color="auto" w:fill="FFFFFF"/>
        </w:rPr>
        <w:t>（1）一般计税方法。</w:t>
      </w:r>
    </w:p>
    <w:p w14:paraId="78CEB91A">
      <w:pPr>
        <w:spacing w:line="360" w:lineRule="exact"/>
        <w:ind w:firstLine="352" w:firstLineChars="168"/>
        <w:rPr>
          <w:rFonts w:ascii="宋体" w:hAnsi="宋体" w:cs="宋体"/>
          <w:color w:val="auto"/>
          <w:szCs w:val="21"/>
        </w:rPr>
      </w:pPr>
      <w:r>
        <w:rPr>
          <w:rFonts w:hint="eastAsia" w:ascii="宋体" w:hAnsi="宋体" w:cs="宋体"/>
          <w:color w:val="auto"/>
          <w:szCs w:val="21"/>
        </w:rPr>
        <w:t>（2）本工程为</w:t>
      </w:r>
      <w:r>
        <w:rPr>
          <w:rFonts w:hint="eastAsia" w:ascii="宋体" w:hAnsi="宋体" w:cs="宋体"/>
          <w:color w:val="auto"/>
          <w:szCs w:val="21"/>
          <w:u w:val="single"/>
        </w:rPr>
        <w:t xml:space="preserve">   甲供   </w:t>
      </w:r>
      <w:r>
        <w:rPr>
          <w:rFonts w:hint="eastAsia" w:ascii="宋体" w:hAnsi="宋体" w:cs="宋体"/>
          <w:color w:val="auto"/>
          <w:szCs w:val="21"/>
        </w:rPr>
        <w:t>工程，</w:t>
      </w:r>
      <w:r>
        <w:rPr>
          <w:rFonts w:hint="eastAsia" w:ascii="宋体" w:hAnsi="宋体" w:cs="宋体"/>
          <w:color w:val="auto"/>
          <w:szCs w:val="21"/>
          <w:shd w:val="clear" w:color="auto" w:fill="FFFFFF"/>
        </w:rPr>
        <w:t>按简易计税方法。</w:t>
      </w:r>
    </w:p>
    <w:p w14:paraId="54EA9BD5">
      <w:pPr>
        <w:pStyle w:val="9"/>
        <w:spacing w:before="0" w:after="0" w:line="360" w:lineRule="exact"/>
        <w:rPr>
          <w:rFonts w:ascii="宋体" w:hAnsi="宋体" w:eastAsia="宋体" w:cs="宋体"/>
          <w:b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五、项目经理</w:t>
      </w:r>
    </w:p>
    <w:p w14:paraId="63211C68">
      <w:pPr>
        <w:spacing w:line="360" w:lineRule="exact"/>
        <w:ind w:firstLine="420" w:firstLineChars="200"/>
        <w:rPr>
          <w:rFonts w:ascii="宋体" w:hAnsi="宋体" w:cs="宋体"/>
          <w:color w:val="auto"/>
          <w:szCs w:val="21"/>
        </w:rPr>
      </w:pPr>
      <w:r>
        <w:rPr>
          <w:rFonts w:hint="eastAsia" w:ascii="宋体" w:hAnsi="宋体" w:cs="宋体"/>
          <w:color w:val="auto"/>
          <w:szCs w:val="21"/>
        </w:rPr>
        <w:t>承包人项目经理：</w:t>
      </w:r>
      <w:r>
        <w:rPr>
          <w:rFonts w:hint="eastAsia" w:ascii="宋体" w:hAnsi="宋体" w:cs="宋体"/>
          <w:color w:val="auto"/>
          <w:szCs w:val="21"/>
          <w:u w:val="single"/>
        </w:rPr>
        <w:t>                  </w:t>
      </w:r>
      <w:r>
        <w:rPr>
          <w:rFonts w:hint="eastAsia" w:ascii="宋体" w:hAnsi="宋体" w:cs="宋体"/>
          <w:color w:val="auto"/>
          <w:szCs w:val="21"/>
        </w:rPr>
        <w:t>。</w:t>
      </w:r>
    </w:p>
    <w:p w14:paraId="3B9B3A87">
      <w:pPr>
        <w:pStyle w:val="9"/>
        <w:spacing w:before="0" w:after="0" w:line="360" w:lineRule="exact"/>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六、合同文件构成</w:t>
      </w:r>
    </w:p>
    <w:p w14:paraId="63640982">
      <w:pPr>
        <w:spacing w:line="360" w:lineRule="exact"/>
        <w:ind w:firstLine="420" w:firstLineChars="200"/>
        <w:rPr>
          <w:rFonts w:ascii="宋体" w:hAnsi="宋体" w:cs="宋体"/>
          <w:bCs/>
          <w:color w:val="auto"/>
          <w:szCs w:val="21"/>
        </w:rPr>
      </w:pPr>
      <w:r>
        <w:rPr>
          <w:rFonts w:hint="eastAsia" w:ascii="宋体" w:hAnsi="宋体" w:cs="宋体"/>
          <w:bCs/>
          <w:color w:val="auto"/>
          <w:szCs w:val="21"/>
        </w:rPr>
        <w:t>本协议书与下列文件一起构成合同文件：</w:t>
      </w:r>
    </w:p>
    <w:p w14:paraId="22A8CE7C">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（1）中标通知书（如果有）；</w:t>
      </w:r>
    </w:p>
    <w:p w14:paraId="07721134">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（2）投标函及其附录（如果有）；</w:t>
      </w:r>
    </w:p>
    <w:p w14:paraId="6A661DD8">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（3）专用合同条款及其附件；</w:t>
      </w:r>
    </w:p>
    <w:p w14:paraId="0F594295">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（4）通用合同条款；</w:t>
      </w:r>
    </w:p>
    <w:p w14:paraId="64C666D9">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（5）技术标准和要求；</w:t>
      </w:r>
    </w:p>
    <w:p w14:paraId="391EC398">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（6）图纸；</w:t>
      </w:r>
    </w:p>
    <w:p w14:paraId="7D9E3E37">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（7）已标价工程量清单或预算书；</w:t>
      </w:r>
    </w:p>
    <w:p w14:paraId="31A3F491">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（8）其他合同文件。</w:t>
      </w:r>
    </w:p>
    <w:p w14:paraId="75217872">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14:paraId="48CBB7C5">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78A56FAC">
      <w:pPr>
        <w:pStyle w:val="9"/>
        <w:spacing w:before="0" w:after="0" w:line="360" w:lineRule="exact"/>
        <w:ind w:firstLine="315" w:firstLineChars="150"/>
        <w:rPr>
          <w:rFonts w:ascii="宋体" w:hAnsi="宋体" w:eastAsia="宋体" w:cs="宋体"/>
          <w:b w:val="0"/>
          <w:color w:val="auto"/>
          <w:sz w:val="21"/>
          <w:szCs w:val="21"/>
        </w:rPr>
      </w:pPr>
      <w:r>
        <w:rPr>
          <w:rFonts w:hint="eastAsia" w:ascii="宋体" w:hAnsi="宋体" w:eastAsia="宋体" w:cs="宋体"/>
          <w:b w:val="0"/>
          <w:color w:val="auto"/>
          <w:sz w:val="21"/>
          <w:szCs w:val="21"/>
        </w:rPr>
        <w:t>七、创优目标</w:t>
      </w:r>
    </w:p>
    <w:p w14:paraId="19ACC445">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工程质量创</w:t>
      </w:r>
      <w:r>
        <w:rPr>
          <w:rFonts w:hint="eastAsia" w:ascii="宋体" w:hAnsi="宋体" w:cs="宋体"/>
          <w:color w:val="auto"/>
          <w:szCs w:val="21"/>
          <w:u w:val="single"/>
        </w:rPr>
        <w:t xml:space="preserve">   /    。</w:t>
      </w:r>
    </w:p>
    <w:p w14:paraId="5F8F0CB6">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安全文明施工创</w:t>
      </w:r>
      <w:r>
        <w:rPr>
          <w:rFonts w:hint="eastAsia" w:ascii="宋体" w:hAnsi="宋体" w:cs="宋体"/>
          <w:color w:val="auto"/>
          <w:szCs w:val="21"/>
          <w:u w:val="single"/>
        </w:rPr>
        <w:t xml:space="preserve">  /  。</w:t>
      </w:r>
    </w:p>
    <w:p w14:paraId="27438A09">
      <w:pPr>
        <w:pStyle w:val="9"/>
        <w:spacing w:before="0" w:after="0" w:line="360" w:lineRule="exact"/>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w:t>
      </w:r>
      <w:r>
        <w:rPr>
          <w:rFonts w:hint="eastAsia" w:ascii="宋体" w:hAnsi="宋体" w:eastAsia="宋体" w:cs="宋体"/>
          <w:b w:val="0"/>
          <w:color w:val="auto"/>
          <w:sz w:val="21"/>
          <w:szCs w:val="21"/>
        </w:rPr>
        <w:t xml:space="preserve"> 八、承诺</w:t>
      </w:r>
    </w:p>
    <w:p w14:paraId="555DA646">
      <w:pPr>
        <w:spacing w:line="360" w:lineRule="exact"/>
        <w:ind w:firstLine="420" w:firstLineChars="200"/>
        <w:rPr>
          <w:rFonts w:ascii="宋体" w:hAnsi="宋体" w:cs="宋体"/>
          <w:bCs/>
          <w:color w:val="auto"/>
          <w:szCs w:val="21"/>
        </w:rPr>
      </w:pPr>
      <w:r>
        <w:rPr>
          <w:rFonts w:hint="eastAsia" w:ascii="宋体" w:hAnsi="宋体" w:cs="宋体"/>
          <w:bCs/>
          <w:color w:val="auto"/>
          <w:szCs w:val="21"/>
        </w:rPr>
        <w:t>1．发包人承诺按照法律规定履行项目审批手续、筹集工程建设资金并按照合同约定的期限和方式支付合同价款。</w:t>
      </w:r>
    </w:p>
    <w:p w14:paraId="5F5849CB">
      <w:pPr>
        <w:spacing w:line="360" w:lineRule="exact"/>
        <w:ind w:firstLine="420" w:firstLineChars="200"/>
        <w:rPr>
          <w:rFonts w:ascii="宋体" w:hAnsi="宋体" w:cs="宋体"/>
          <w:bCs/>
          <w:color w:val="auto"/>
          <w:szCs w:val="21"/>
        </w:rPr>
      </w:pPr>
      <w:r>
        <w:rPr>
          <w:rFonts w:hint="eastAsia" w:ascii="宋体" w:hAnsi="宋体" w:cs="宋体"/>
          <w:bCs/>
          <w:color w:val="auto"/>
          <w:szCs w:val="21"/>
        </w:rPr>
        <w:t>2．承包人承诺按照法律规定及合同约定组织完成工程施工，确保工程质量和安全，不进行转包及违法分包，并在缺陷责任期及保修期内承担相应的工程维修责任。</w:t>
      </w:r>
    </w:p>
    <w:p w14:paraId="5A7762FC">
      <w:pPr>
        <w:tabs>
          <w:tab w:val="left" w:pos="0"/>
        </w:tabs>
        <w:spacing w:line="360" w:lineRule="exact"/>
        <w:ind w:firstLine="420" w:firstLineChars="200"/>
        <w:rPr>
          <w:rFonts w:ascii="宋体" w:hAnsi="宋体" w:cs="宋体"/>
          <w:color w:val="auto"/>
          <w:szCs w:val="21"/>
        </w:rPr>
      </w:pPr>
      <w:r>
        <w:rPr>
          <w:rFonts w:hint="eastAsia" w:ascii="宋体" w:hAnsi="宋体" w:cs="宋体"/>
          <w:bCs/>
          <w:color w:val="auto"/>
          <w:szCs w:val="21"/>
        </w:rPr>
        <w:t xml:space="preserve">3. </w:t>
      </w:r>
      <w:r>
        <w:rPr>
          <w:rFonts w:hint="eastAsia" w:ascii="宋体" w:hAnsi="宋体" w:cs="宋体"/>
          <w:color w:val="auto"/>
          <w:szCs w:val="21"/>
        </w:rPr>
        <w:t>承包人</w:t>
      </w:r>
      <w:r>
        <w:rPr>
          <w:rFonts w:hint="eastAsia" w:ascii="宋体" w:hAnsi="宋体" w:cs="宋体"/>
          <w:bCs/>
          <w:color w:val="auto"/>
          <w:szCs w:val="21"/>
        </w:rPr>
        <w:t>承诺</w:t>
      </w:r>
      <w:r>
        <w:rPr>
          <w:rFonts w:hint="eastAsia" w:ascii="宋体" w:hAnsi="宋体" w:cs="宋体"/>
          <w:color w:val="auto"/>
          <w:szCs w:val="21"/>
        </w:rPr>
        <w:t>不拖欠工人工资，因拖欠工资造成的一切后果，均由承包人承担，发包人有权将应拔付的工程款，先代付工资。</w:t>
      </w:r>
    </w:p>
    <w:p w14:paraId="71A37F98">
      <w:pPr>
        <w:spacing w:line="360" w:lineRule="exact"/>
        <w:ind w:firstLine="420" w:firstLineChars="200"/>
        <w:rPr>
          <w:rFonts w:ascii="宋体" w:hAnsi="宋体" w:cs="宋体"/>
          <w:bCs/>
          <w:color w:val="auto"/>
          <w:szCs w:val="21"/>
        </w:rPr>
      </w:pPr>
      <w:r>
        <w:rPr>
          <w:rFonts w:hint="eastAsia" w:ascii="宋体" w:hAnsi="宋体" w:cs="宋体"/>
          <w:bCs/>
          <w:color w:val="auto"/>
          <w:szCs w:val="21"/>
        </w:rPr>
        <w:t>4．发包人和承包人通过招投标形式签订合同的，双方理解并承诺不再就同一工程另行签订与合同实质性内容相背离的协议。另行签订的协议不能作为结算依据。</w:t>
      </w:r>
    </w:p>
    <w:p w14:paraId="3B21E937">
      <w:pPr>
        <w:spacing w:line="360" w:lineRule="exact"/>
        <w:rPr>
          <w:rFonts w:ascii="宋体" w:hAnsi="宋体" w:cs="宋体"/>
          <w:bCs/>
          <w:color w:val="auto"/>
          <w:szCs w:val="21"/>
        </w:rPr>
      </w:pPr>
      <w:r>
        <w:rPr>
          <w:rFonts w:hint="eastAsia" w:ascii="宋体" w:hAnsi="宋体" w:cs="宋体"/>
          <w:color w:val="auto"/>
          <w:szCs w:val="21"/>
        </w:rPr>
        <w:t xml:space="preserve">    九、词语含义</w:t>
      </w:r>
    </w:p>
    <w:p w14:paraId="7BBDA81A">
      <w:pPr>
        <w:spacing w:line="360" w:lineRule="exact"/>
        <w:ind w:firstLine="420" w:firstLineChars="200"/>
        <w:rPr>
          <w:rFonts w:ascii="宋体" w:hAnsi="宋体" w:cs="宋体"/>
          <w:bCs/>
          <w:color w:val="auto"/>
          <w:szCs w:val="21"/>
        </w:rPr>
      </w:pPr>
      <w:r>
        <w:rPr>
          <w:rFonts w:hint="eastAsia" w:ascii="宋体" w:hAnsi="宋体" w:cs="宋体"/>
          <w:bCs/>
          <w:color w:val="auto"/>
          <w:szCs w:val="21"/>
        </w:rPr>
        <w:t>本协议书中词语含义与第二部分通用合同条款中赋予的含义相同。</w:t>
      </w:r>
    </w:p>
    <w:p w14:paraId="0F7A0582">
      <w:pPr>
        <w:pStyle w:val="9"/>
        <w:spacing w:before="0" w:after="0" w:line="360" w:lineRule="exact"/>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十、签订时间</w:t>
      </w:r>
    </w:p>
    <w:p w14:paraId="374DA5D6">
      <w:pPr>
        <w:spacing w:line="360" w:lineRule="exact"/>
        <w:ind w:firstLine="420" w:firstLineChars="200"/>
        <w:rPr>
          <w:rFonts w:ascii="宋体" w:hAnsi="宋体" w:cs="宋体"/>
          <w:bCs/>
          <w:color w:val="auto"/>
          <w:szCs w:val="21"/>
        </w:rPr>
      </w:pPr>
      <w:r>
        <w:rPr>
          <w:rFonts w:hint="eastAsia" w:ascii="宋体" w:hAnsi="宋体" w:cs="宋体"/>
          <w:bCs/>
          <w:color w:val="auto"/>
          <w:szCs w:val="21"/>
        </w:rPr>
        <w:t>本合同于</w:t>
      </w:r>
      <w:r>
        <w:rPr>
          <w:rFonts w:hint="eastAsia" w:ascii="宋体" w:hAnsi="宋体" w:cs="宋体"/>
          <w:bCs/>
          <w:color w:val="auto"/>
          <w:szCs w:val="21"/>
          <w:u w:val="single"/>
        </w:rPr>
        <w:t xml:space="preserve">   2024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日签订。</w:t>
      </w:r>
    </w:p>
    <w:p w14:paraId="303B130F">
      <w:pPr>
        <w:pStyle w:val="9"/>
        <w:spacing w:before="0" w:after="0" w:line="360" w:lineRule="exact"/>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十一、签订地点</w:t>
      </w:r>
    </w:p>
    <w:p w14:paraId="5647EBFC">
      <w:pPr>
        <w:spacing w:line="360" w:lineRule="exact"/>
        <w:ind w:firstLine="420" w:firstLineChars="200"/>
        <w:rPr>
          <w:rFonts w:ascii="宋体" w:hAnsi="宋体" w:cs="宋体"/>
          <w:bCs/>
          <w:color w:val="auto"/>
          <w:szCs w:val="21"/>
        </w:rPr>
      </w:pPr>
      <w:r>
        <w:rPr>
          <w:rFonts w:hint="eastAsia" w:ascii="宋体" w:hAnsi="宋体" w:cs="宋体"/>
          <w:bCs/>
          <w:color w:val="auto"/>
          <w:szCs w:val="21"/>
        </w:rPr>
        <w:t>本合同在</w:t>
      </w:r>
      <w:r>
        <w:rPr>
          <w:rFonts w:hint="eastAsia" w:ascii="宋体" w:hAnsi="宋体" w:cs="宋体"/>
          <w:bCs/>
          <w:color w:val="auto"/>
          <w:szCs w:val="21"/>
          <w:u w:val="single"/>
        </w:rPr>
        <w:t xml:space="preserve">           椒江区              </w:t>
      </w:r>
      <w:r>
        <w:rPr>
          <w:rFonts w:hint="eastAsia" w:ascii="宋体" w:hAnsi="宋体" w:cs="宋体"/>
          <w:bCs/>
          <w:color w:val="auto"/>
          <w:szCs w:val="21"/>
        </w:rPr>
        <w:t>签订。</w:t>
      </w:r>
    </w:p>
    <w:p w14:paraId="09F849F3">
      <w:pPr>
        <w:pStyle w:val="9"/>
        <w:spacing w:before="0" w:after="0" w:line="360" w:lineRule="exact"/>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十二、补充协议</w:t>
      </w:r>
    </w:p>
    <w:p w14:paraId="41DA8BA5">
      <w:pPr>
        <w:spacing w:line="360" w:lineRule="exact"/>
        <w:ind w:firstLine="420" w:firstLineChars="200"/>
        <w:rPr>
          <w:rFonts w:ascii="宋体" w:hAnsi="宋体" w:cs="宋体"/>
          <w:b/>
          <w:bCs/>
          <w:color w:val="auto"/>
          <w:szCs w:val="21"/>
        </w:rPr>
      </w:pPr>
      <w:r>
        <w:rPr>
          <w:rFonts w:hint="eastAsia" w:ascii="宋体" w:hAnsi="宋体" w:cs="宋体"/>
          <w:bCs/>
          <w:color w:val="auto"/>
          <w:szCs w:val="21"/>
        </w:rPr>
        <w:t>合同未尽事宜，合同当事人另行签订补充协议，补充协议是合同的组成部分。</w:t>
      </w:r>
    </w:p>
    <w:p w14:paraId="2D83AC2D">
      <w:pPr>
        <w:pStyle w:val="9"/>
        <w:spacing w:before="0" w:after="0" w:line="360" w:lineRule="exact"/>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十三、合同生效</w:t>
      </w:r>
    </w:p>
    <w:p w14:paraId="68D9C0B8">
      <w:pPr>
        <w:spacing w:line="360" w:lineRule="exact"/>
        <w:ind w:firstLine="420" w:firstLineChars="200"/>
        <w:rPr>
          <w:rFonts w:ascii="宋体" w:hAnsi="宋体" w:cs="宋体"/>
          <w:bCs/>
          <w:color w:val="auto"/>
          <w:szCs w:val="21"/>
        </w:rPr>
      </w:pPr>
      <w:r>
        <w:rPr>
          <w:rFonts w:hint="eastAsia" w:ascii="宋体" w:hAnsi="宋体" w:cs="宋体"/>
          <w:bCs/>
          <w:color w:val="auto"/>
          <w:szCs w:val="21"/>
        </w:rPr>
        <w:t>本合同自</w:t>
      </w:r>
      <w:r>
        <w:rPr>
          <w:rFonts w:hint="eastAsia" w:ascii="宋体" w:hAnsi="宋体" w:cs="宋体"/>
          <w:bCs/>
          <w:color w:val="auto"/>
          <w:szCs w:val="21"/>
          <w:u w:val="single"/>
        </w:rPr>
        <w:t>双方法定代表人或委托代理人签字并加盖公章后生效。</w:t>
      </w:r>
    </w:p>
    <w:p w14:paraId="582527A0">
      <w:pPr>
        <w:pStyle w:val="9"/>
        <w:spacing w:before="0" w:after="0" w:line="360" w:lineRule="exact"/>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十四、合同份数</w:t>
      </w:r>
    </w:p>
    <w:p w14:paraId="473AEED1">
      <w:pPr>
        <w:spacing w:line="360" w:lineRule="exact"/>
        <w:ind w:firstLine="420" w:firstLineChars="200"/>
        <w:rPr>
          <w:rFonts w:ascii="宋体" w:hAnsi="宋体" w:cs="宋体"/>
          <w:bCs/>
          <w:color w:val="auto"/>
          <w:szCs w:val="21"/>
        </w:rPr>
      </w:pPr>
      <w:r>
        <w:rPr>
          <w:rFonts w:hint="eastAsia" w:ascii="宋体" w:hAnsi="宋体" w:cs="宋体"/>
          <w:bCs/>
          <w:color w:val="auto"/>
          <w:szCs w:val="21"/>
        </w:rPr>
        <w:t>本合同一式</w:t>
      </w:r>
      <w:r>
        <w:rPr>
          <w:rFonts w:hint="eastAsia" w:ascii="宋体" w:hAnsi="宋体" w:cs="宋体"/>
          <w:bCs/>
          <w:color w:val="auto"/>
          <w:szCs w:val="21"/>
          <w:u w:val="single"/>
        </w:rPr>
        <w:t xml:space="preserve">  陆  </w:t>
      </w:r>
      <w:r>
        <w:rPr>
          <w:rFonts w:hint="eastAsia" w:ascii="宋体" w:hAnsi="宋体" w:cs="宋体"/>
          <w:bCs/>
          <w:color w:val="auto"/>
          <w:szCs w:val="21"/>
        </w:rPr>
        <w:t>份，均具有同等法律效力，发包人执</w:t>
      </w:r>
      <w:r>
        <w:rPr>
          <w:rFonts w:hint="eastAsia" w:ascii="宋体" w:hAnsi="宋体" w:cs="宋体"/>
          <w:bCs/>
          <w:color w:val="auto"/>
          <w:szCs w:val="21"/>
          <w:u w:val="single"/>
        </w:rPr>
        <w:t xml:space="preserve">  叁  </w:t>
      </w:r>
      <w:r>
        <w:rPr>
          <w:rFonts w:hint="eastAsia" w:ascii="宋体" w:hAnsi="宋体" w:cs="宋体"/>
          <w:bCs/>
          <w:color w:val="auto"/>
          <w:szCs w:val="21"/>
        </w:rPr>
        <w:t>份，承包人执</w:t>
      </w:r>
      <w:r>
        <w:rPr>
          <w:rFonts w:hint="eastAsia" w:ascii="宋体" w:hAnsi="宋体" w:cs="宋体"/>
          <w:bCs/>
          <w:color w:val="auto"/>
          <w:szCs w:val="21"/>
          <w:u w:val="single"/>
        </w:rPr>
        <w:t xml:space="preserve">  贰  </w:t>
      </w:r>
      <w:r>
        <w:rPr>
          <w:rFonts w:hint="eastAsia" w:ascii="宋体" w:hAnsi="宋体" w:cs="宋体"/>
          <w:bCs/>
          <w:color w:val="auto"/>
          <w:szCs w:val="21"/>
        </w:rPr>
        <w:t xml:space="preserve">份，合同备案机构执 </w:t>
      </w:r>
      <w:r>
        <w:rPr>
          <w:rFonts w:hint="eastAsia" w:ascii="宋体" w:hAnsi="宋体" w:cs="宋体"/>
          <w:bCs/>
          <w:color w:val="auto"/>
          <w:szCs w:val="21"/>
          <w:u w:val="single"/>
        </w:rPr>
        <w:t xml:space="preserve">   壹   </w:t>
      </w:r>
      <w:r>
        <w:rPr>
          <w:rFonts w:hint="eastAsia" w:ascii="宋体" w:hAnsi="宋体" w:cs="宋体"/>
          <w:bCs/>
          <w:color w:val="auto"/>
          <w:szCs w:val="21"/>
        </w:rPr>
        <w:t>份。</w:t>
      </w:r>
    </w:p>
    <w:p w14:paraId="4BC1961F">
      <w:pPr>
        <w:spacing w:line="360" w:lineRule="exact"/>
        <w:rPr>
          <w:rFonts w:ascii="宋体" w:hAnsi="宋体" w:cs="宋体"/>
          <w:bCs/>
          <w:color w:val="auto"/>
          <w:szCs w:val="21"/>
        </w:rPr>
      </w:pPr>
    </w:p>
    <w:p w14:paraId="3EB2AEC0">
      <w:pPr>
        <w:spacing w:line="360" w:lineRule="exact"/>
        <w:rPr>
          <w:rFonts w:ascii="宋体" w:hAnsi="宋体" w:cs="宋体"/>
          <w:color w:val="auto"/>
          <w:szCs w:val="21"/>
        </w:rPr>
      </w:pPr>
      <w:r>
        <w:rPr>
          <w:rFonts w:hint="eastAsia" w:ascii="宋体" w:hAnsi="宋体" w:cs="宋体"/>
          <w:color w:val="auto"/>
          <w:szCs w:val="21"/>
        </w:rPr>
        <w:t>发包人：  （公章）                 承包人：  （公章）</w:t>
      </w:r>
    </w:p>
    <w:p w14:paraId="6EB49018">
      <w:pPr>
        <w:spacing w:line="360" w:lineRule="exact"/>
        <w:rPr>
          <w:rFonts w:ascii="宋体" w:hAnsi="宋体" w:cs="宋体"/>
          <w:color w:val="auto"/>
          <w:szCs w:val="21"/>
          <w:u w:val="single"/>
        </w:rPr>
      </w:pPr>
    </w:p>
    <w:p w14:paraId="69459A44">
      <w:pPr>
        <w:spacing w:line="360" w:lineRule="exact"/>
        <w:rPr>
          <w:rFonts w:ascii="宋体" w:hAnsi="宋体" w:cs="宋体"/>
          <w:color w:val="auto"/>
          <w:szCs w:val="21"/>
          <w:u w:val="single"/>
        </w:rPr>
      </w:pPr>
    </w:p>
    <w:p w14:paraId="6C439473">
      <w:pPr>
        <w:spacing w:line="360" w:lineRule="exact"/>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12ECFDDB">
      <w:pPr>
        <w:spacing w:line="360" w:lineRule="exact"/>
        <w:rPr>
          <w:rFonts w:ascii="宋体" w:hAnsi="宋体" w:cs="宋体"/>
          <w:color w:val="auto"/>
          <w:szCs w:val="21"/>
        </w:rPr>
      </w:pPr>
      <w:r>
        <w:rPr>
          <w:rFonts w:hint="eastAsia" w:ascii="宋体" w:hAnsi="宋体" w:cs="宋体"/>
          <w:color w:val="auto"/>
          <w:szCs w:val="21"/>
        </w:rPr>
        <w:t>（签字）                          （签字）</w:t>
      </w:r>
    </w:p>
    <w:p w14:paraId="0B14EA0C">
      <w:pPr>
        <w:tabs>
          <w:tab w:val="left" w:pos="4410"/>
        </w:tabs>
        <w:spacing w:line="360" w:lineRule="exact"/>
        <w:rPr>
          <w:rFonts w:ascii="宋体" w:hAnsi="宋体" w:cs="宋体"/>
          <w:color w:val="auto"/>
          <w:szCs w:val="21"/>
        </w:rPr>
      </w:pPr>
      <w:r>
        <w:rPr>
          <w:rFonts w:hint="eastAsia" w:ascii="宋体" w:hAnsi="宋体" w:cs="宋体"/>
          <w:color w:val="auto"/>
          <w:szCs w:val="21"/>
        </w:rPr>
        <w:t>统一社会信用代码：</w:t>
      </w:r>
      <w:r>
        <w:rPr>
          <w:rFonts w:hint="eastAsia" w:ascii="宋体" w:hAnsi="宋体" w:cs="宋体"/>
          <w:color w:val="auto"/>
          <w:szCs w:val="21"/>
          <w:u w:val="single"/>
        </w:rPr>
        <w:t xml:space="preserve">   </w:t>
      </w:r>
      <w:r>
        <w:rPr>
          <w:rFonts w:hint="eastAsia" w:ascii="宋体" w:hAnsi="宋体" w:cs="宋体"/>
          <w:color w:val="auto"/>
          <w:szCs w:val="21"/>
        </w:rPr>
        <w:t xml:space="preserve">        统一社会信用代码：</w:t>
      </w:r>
      <w:r>
        <w:rPr>
          <w:rFonts w:hint="eastAsia" w:ascii="宋体" w:hAnsi="宋体" w:cs="宋体"/>
          <w:color w:val="auto"/>
          <w:szCs w:val="21"/>
          <w:u w:val="single"/>
        </w:rPr>
        <w:t xml:space="preserve">       </w:t>
      </w:r>
    </w:p>
    <w:p w14:paraId="2765BBC9">
      <w:pPr>
        <w:spacing w:line="360" w:lineRule="exact"/>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    </w:t>
      </w:r>
      <w:r>
        <w:rPr>
          <w:rFonts w:hint="eastAsia" w:ascii="宋体" w:hAnsi="宋体" w:cs="宋体"/>
          <w:color w:val="auto"/>
          <w:szCs w:val="21"/>
        </w:rPr>
        <w:t xml:space="preserve">        地  址：</w:t>
      </w:r>
      <w:r>
        <w:rPr>
          <w:rFonts w:hint="eastAsia" w:ascii="宋体" w:hAnsi="宋体" w:cs="宋体"/>
          <w:color w:val="auto"/>
          <w:szCs w:val="21"/>
          <w:u w:val="single"/>
        </w:rPr>
        <w:t xml:space="preserve">           </w:t>
      </w:r>
    </w:p>
    <w:p w14:paraId="4B1BD68B">
      <w:pPr>
        <w:spacing w:line="360" w:lineRule="exact"/>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     </w:t>
      </w:r>
      <w:r>
        <w:rPr>
          <w:rFonts w:hint="eastAsia" w:ascii="宋体" w:hAnsi="宋体" w:cs="宋体"/>
          <w:color w:val="auto"/>
          <w:szCs w:val="21"/>
        </w:rPr>
        <w:t xml:space="preserve">       邮政编码：</w:t>
      </w:r>
      <w:r>
        <w:rPr>
          <w:rFonts w:hint="eastAsia" w:ascii="宋体" w:hAnsi="宋体" w:cs="宋体"/>
          <w:color w:val="auto"/>
          <w:szCs w:val="21"/>
          <w:u w:val="single"/>
        </w:rPr>
        <w:t xml:space="preserve">    </w:t>
      </w:r>
    </w:p>
    <w:p w14:paraId="0C35926F">
      <w:pPr>
        <w:spacing w:line="360" w:lineRule="exact"/>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      </w:t>
      </w:r>
    </w:p>
    <w:p w14:paraId="70406AC8">
      <w:pPr>
        <w:spacing w:line="360" w:lineRule="exact"/>
        <w:rPr>
          <w:rFonts w:ascii="宋体" w:hAnsi="宋体" w:cs="宋体"/>
          <w:color w:val="auto"/>
          <w:szCs w:val="21"/>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14:paraId="0FEE81E8">
      <w:pPr>
        <w:spacing w:line="360" w:lineRule="exact"/>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    </w:t>
      </w:r>
    </w:p>
    <w:p w14:paraId="52820108">
      <w:pPr>
        <w:spacing w:line="360" w:lineRule="exact"/>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    </w:t>
      </w:r>
    </w:p>
    <w:p w14:paraId="5747EC53">
      <w:pPr>
        <w:spacing w:line="360" w:lineRule="exact"/>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 xml:space="preserve">        电子信箱：</w:t>
      </w:r>
      <w:r>
        <w:rPr>
          <w:rFonts w:hint="eastAsia" w:ascii="宋体" w:hAnsi="宋体" w:cs="宋体"/>
          <w:color w:val="auto"/>
          <w:szCs w:val="21"/>
          <w:u w:val="single"/>
        </w:rPr>
        <w:t xml:space="preserve">   </w:t>
      </w:r>
    </w:p>
    <w:p w14:paraId="7EF6124D">
      <w:pPr>
        <w:spacing w:line="36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w:t>
      </w:r>
      <w:r>
        <w:rPr>
          <w:rFonts w:hint="eastAsia" w:ascii="宋体" w:hAnsi="宋体" w:cs="宋体"/>
          <w:color w:val="auto"/>
          <w:w w:val="70"/>
          <w:sz w:val="24"/>
          <w:u w:val="single"/>
        </w:rPr>
        <w:t xml:space="preserve"> </w:t>
      </w:r>
      <w:r>
        <w:rPr>
          <w:rFonts w:hint="eastAsia" w:ascii="宋体" w:hAnsi="宋体" w:cs="宋体"/>
          <w:color w:val="auto"/>
          <w:szCs w:val="21"/>
          <w:u w:val="single"/>
        </w:rPr>
        <w:t></w:t>
      </w:r>
    </w:p>
    <w:p w14:paraId="14E264B2">
      <w:pPr>
        <w:spacing w:line="360" w:lineRule="exact"/>
        <w:rPr>
          <w:rFonts w:ascii="宋体" w:hAnsi="宋体" w:cs="宋体"/>
          <w:b/>
          <w:color w:val="auto"/>
          <w:szCs w:val="21"/>
        </w:rPr>
      </w:pPr>
      <w:r>
        <w:rPr>
          <w:rFonts w:hint="eastAsia" w:ascii="宋体" w:hAnsi="宋体" w:cs="宋体"/>
          <w:color w:val="auto"/>
          <w:szCs w:val="21"/>
        </w:rPr>
        <w:t>账  号：</w:t>
      </w:r>
      <w:r>
        <w:rPr>
          <w:rFonts w:hint="eastAsia" w:ascii="宋体" w:hAnsi="宋体" w:cs="宋体"/>
          <w:color w:val="auto"/>
          <w:szCs w:val="21"/>
          <w:u w:val="single"/>
        </w:rPr>
        <w:t xml:space="preserve">       </w:t>
      </w:r>
      <w:r>
        <w:rPr>
          <w:rFonts w:hint="eastAsia" w:ascii="宋体" w:hAnsi="宋体" w:cs="宋体"/>
          <w:color w:val="auto"/>
          <w:szCs w:val="21"/>
        </w:rPr>
        <w:t xml:space="preserve">         账  号：</w:t>
      </w:r>
      <w:r>
        <w:rPr>
          <w:rFonts w:hint="eastAsia" w:ascii="宋体" w:hAnsi="宋体" w:cs="宋体"/>
          <w:color w:val="auto"/>
          <w:szCs w:val="21"/>
          <w:u w:val="single"/>
        </w:rPr>
        <w:t xml:space="preserve">     </w:t>
      </w:r>
    </w:p>
    <w:p w14:paraId="58FDCAB0">
      <w:pPr>
        <w:spacing w:line="360" w:lineRule="exact"/>
        <w:rPr>
          <w:rFonts w:ascii="宋体" w:hAnsi="宋体" w:cs="宋体"/>
          <w:color w:val="auto"/>
          <w:szCs w:val="21"/>
        </w:rPr>
      </w:pPr>
      <w:r>
        <w:rPr>
          <w:rFonts w:hint="eastAsia" w:ascii="宋体" w:hAnsi="宋体" w:cs="宋体"/>
          <w:color w:val="auto"/>
          <w:szCs w:val="21"/>
        </w:rPr>
        <w:t xml:space="preserve"> </w:t>
      </w:r>
    </w:p>
    <w:p w14:paraId="5450B460">
      <w:pPr>
        <w:pStyle w:val="75"/>
        <w:tabs>
          <w:tab w:val="left" w:pos="0"/>
        </w:tabs>
        <w:jc w:val="center"/>
        <w:outlineLvl w:val="9"/>
        <w:rPr>
          <w:rFonts w:ascii="宋体" w:hAnsi="宋体" w:eastAsia="宋体"/>
          <w:color w:val="auto"/>
          <w:sz w:val="21"/>
          <w:szCs w:val="21"/>
        </w:rPr>
      </w:pPr>
    </w:p>
    <w:p w14:paraId="222C7D51">
      <w:pPr>
        <w:pStyle w:val="75"/>
        <w:tabs>
          <w:tab w:val="left" w:pos="0"/>
        </w:tabs>
        <w:jc w:val="left"/>
        <w:outlineLvl w:val="9"/>
        <w:rPr>
          <w:rFonts w:ascii="宋体" w:hAnsi="宋体" w:eastAsia="宋体"/>
          <w:color w:val="auto"/>
          <w:sz w:val="21"/>
          <w:szCs w:val="21"/>
        </w:rPr>
      </w:pPr>
      <w:r>
        <w:rPr>
          <w:rFonts w:hint="eastAsia" w:ascii="宋体" w:hAnsi="宋体" w:eastAsia="宋体"/>
          <w:color w:val="auto"/>
          <w:sz w:val="21"/>
          <w:szCs w:val="21"/>
        </w:rPr>
        <w:t>见证章（盖章）</w:t>
      </w:r>
    </w:p>
    <w:p w14:paraId="7CDC89B2">
      <w:pPr>
        <w:rPr>
          <w:rFonts w:ascii="宋体" w:hAnsi="宋体" w:cs="宋体"/>
          <w:b/>
          <w:color w:val="auto"/>
          <w:sz w:val="30"/>
          <w:szCs w:val="30"/>
        </w:rPr>
      </w:pPr>
      <w:r>
        <w:rPr>
          <w:rFonts w:hint="eastAsia" w:ascii="宋体" w:hAnsi="宋体" w:cs="宋体"/>
          <w:b/>
          <w:color w:val="auto"/>
          <w:sz w:val="30"/>
          <w:szCs w:val="30"/>
        </w:rPr>
        <w:br w:type="page"/>
      </w:r>
    </w:p>
    <w:p w14:paraId="2BDE7F01">
      <w:pPr>
        <w:pStyle w:val="4"/>
        <w:jc w:val="center"/>
        <w:rPr>
          <w:rFonts w:ascii="宋体" w:hAnsi="宋体" w:eastAsia="宋体" w:cs="宋体"/>
          <w:color w:val="auto"/>
        </w:rPr>
      </w:pPr>
      <w:bookmarkStart w:id="6" w:name="_Toc31992"/>
      <w:bookmarkStart w:id="7" w:name="_Toc31144"/>
      <w:bookmarkStart w:id="8" w:name="_Toc17562"/>
      <w:r>
        <w:rPr>
          <w:rFonts w:hint="eastAsia" w:ascii="宋体" w:hAnsi="宋体" w:eastAsia="宋体" w:cs="宋体"/>
          <w:color w:val="auto"/>
        </w:rPr>
        <w:t>第二部分   通用合同条款（略）</w:t>
      </w:r>
      <w:bookmarkEnd w:id="6"/>
      <w:bookmarkEnd w:id="7"/>
      <w:bookmarkEnd w:id="8"/>
    </w:p>
    <w:p w14:paraId="2AD1EC41">
      <w:pPr>
        <w:spacing w:line="360" w:lineRule="exact"/>
        <w:jc w:val="center"/>
        <w:rPr>
          <w:rFonts w:ascii="宋体" w:hAnsi="宋体" w:cs="宋体"/>
          <w:color w:val="auto"/>
        </w:rPr>
      </w:pPr>
      <w:r>
        <w:rPr>
          <w:rFonts w:hint="eastAsia" w:ascii="宋体" w:hAnsi="宋体" w:cs="宋体"/>
          <w:color w:val="auto"/>
          <w:szCs w:val="21"/>
        </w:rPr>
        <w:br w:type="page"/>
      </w:r>
      <w:bookmarkStart w:id="9" w:name="_Toc26931"/>
      <w:bookmarkStart w:id="10" w:name="_Toc18311"/>
      <w:bookmarkStart w:id="11" w:name="_Toc351203652"/>
      <w:r>
        <w:rPr>
          <w:rFonts w:hint="eastAsia" w:ascii="宋体" w:hAnsi="宋体" w:cs="宋体"/>
          <w:bCs/>
          <w:color w:val="auto"/>
          <w:sz w:val="30"/>
          <w:szCs w:val="30"/>
        </w:rPr>
        <w:t>第三部分    专用合同条款</w:t>
      </w:r>
      <w:bookmarkEnd w:id="9"/>
      <w:bookmarkEnd w:id="10"/>
    </w:p>
    <w:p w14:paraId="426E6167">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1. 一般约定</w:t>
      </w:r>
    </w:p>
    <w:p w14:paraId="28182A61">
      <w:pPr>
        <w:spacing w:line="360" w:lineRule="exact"/>
        <w:ind w:firstLine="420" w:firstLineChars="200"/>
        <w:rPr>
          <w:rFonts w:ascii="宋体" w:hAnsi="宋体" w:cs="宋体"/>
          <w:color w:val="auto"/>
          <w:szCs w:val="21"/>
        </w:rPr>
      </w:pPr>
      <w:r>
        <w:rPr>
          <w:rFonts w:hint="eastAsia" w:ascii="宋体" w:hAnsi="宋体" w:cs="宋体"/>
          <w:color w:val="auto"/>
          <w:szCs w:val="21"/>
        </w:rPr>
        <w:t>1.1 词语定义</w:t>
      </w:r>
    </w:p>
    <w:p w14:paraId="70BFAEC1">
      <w:pPr>
        <w:spacing w:line="360" w:lineRule="exact"/>
        <w:ind w:firstLine="420" w:firstLineChars="200"/>
        <w:rPr>
          <w:rFonts w:ascii="宋体" w:hAnsi="宋体" w:cs="宋体"/>
          <w:color w:val="auto"/>
          <w:szCs w:val="21"/>
        </w:rPr>
      </w:pPr>
      <w:r>
        <w:rPr>
          <w:rFonts w:hint="eastAsia" w:ascii="宋体" w:hAnsi="宋体" w:cs="宋体"/>
          <w:color w:val="auto"/>
          <w:szCs w:val="21"/>
        </w:rPr>
        <w:t>1.1.1合同</w:t>
      </w:r>
    </w:p>
    <w:p w14:paraId="22A22B5B">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1.1.1.10其他合同文件包括：</w:t>
      </w:r>
      <w:r>
        <w:rPr>
          <w:rFonts w:hint="eastAsia" w:ascii="宋体" w:hAnsi="宋体" w:cs="宋体"/>
          <w:color w:val="auto"/>
          <w:szCs w:val="21"/>
          <w:u w:val="single"/>
        </w:rPr>
        <w:t>工程招标文件、《关于进一步加强政府投资项目管理的若干意见的通知》（台政发〔2014〕26号）政府性投资项目，根据当地政府部门规定的工程变更办理程序文件填写）、除投标函及其附录和已标价工程量清单或预算书外的其它投标文件、监理合同、经批准的施工组织设计、专项施工方案。</w:t>
      </w:r>
    </w:p>
    <w:p w14:paraId="5C44E11E">
      <w:pPr>
        <w:spacing w:line="360" w:lineRule="exact"/>
        <w:ind w:firstLine="420" w:firstLineChars="200"/>
        <w:rPr>
          <w:rFonts w:ascii="宋体" w:hAnsi="宋体" w:cs="宋体"/>
          <w:color w:val="auto"/>
          <w:szCs w:val="21"/>
        </w:rPr>
      </w:pPr>
      <w:r>
        <w:rPr>
          <w:rFonts w:hint="eastAsia" w:ascii="宋体" w:hAnsi="宋体" w:cs="宋体"/>
          <w:color w:val="auto"/>
          <w:szCs w:val="21"/>
        </w:rPr>
        <w:t>1.1.2 合同当事人及其他相关方</w:t>
      </w:r>
    </w:p>
    <w:p w14:paraId="4FD1282C">
      <w:pPr>
        <w:spacing w:line="360" w:lineRule="exact"/>
        <w:ind w:firstLine="420" w:firstLineChars="200"/>
        <w:rPr>
          <w:rFonts w:ascii="宋体" w:hAnsi="宋体" w:cs="宋体"/>
          <w:color w:val="auto"/>
          <w:szCs w:val="21"/>
        </w:rPr>
      </w:pPr>
      <w:r>
        <w:rPr>
          <w:rFonts w:hint="eastAsia" w:ascii="宋体" w:hAnsi="宋体" w:cs="宋体"/>
          <w:color w:val="auto"/>
          <w:szCs w:val="21"/>
        </w:rPr>
        <w:t>1.1.2.4监理人：</w:t>
      </w:r>
    </w:p>
    <w:p w14:paraId="2015BF6F">
      <w:pPr>
        <w:spacing w:line="360" w:lineRule="exact"/>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     </w:t>
      </w:r>
      <w:r>
        <w:rPr>
          <w:rFonts w:hint="eastAsia" w:ascii="宋体" w:hAnsi="宋体" w:cs="宋体"/>
          <w:color w:val="auto"/>
          <w:szCs w:val="21"/>
        </w:rPr>
        <w:t>；</w:t>
      </w:r>
    </w:p>
    <w:p w14:paraId="6E18017D">
      <w:pPr>
        <w:spacing w:line="360" w:lineRule="exact"/>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   </w:t>
      </w:r>
      <w:r>
        <w:rPr>
          <w:rFonts w:hint="eastAsia" w:ascii="宋体" w:hAnsi="宋体" w:cs="宋体"/>
          <w:color w:val="auto"/>
          <w:szCs w:val="21"/>
        </w:rPr>
        <w:t>；</w:t>
      </w:r>
    </w:p>
    <w:p w14:paraId="37D14470">
      <w:pPr>
        <w:spacing w:line="3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14:paraId="44854E27">
      <w:pPr>
        <w:spacing w:line="360" w:lineRule="exact"/>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w:t>
      </w:r>
      <w:r>
        <w:rPr>
          <w:rFonts w:hint="eastAsia" w:ascii="宋体" w:hAnsi="宋体" w:cs="宋体"/>
          <w:color w:val="auto"/>
          <w:szCs w:val="21"/>
        </w:rPr>
        <w:t>；</w:t>
      </w:r>
    </w:p>
    <w:p w14:paraId="7E205990">
      <w:pPr>
        <w:spacing w:line="360" w:lineRule="exact"/>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374CC1A5">
      <w:pPr>
        <w:spacing w:line="360" w:lineRule="exact"/>
        <w:ind w:firstLine="420" w:firstLineChars="200"/>
        <w:rPr>
          <w:rFonts w:ascii="宋体" w:hAnsi="宋体" w:cs="宋体"/>
          <w:color w:val="auto"/>
          <w:szCs w:val="21"/>
        </w:rPr>
      </w:pPr>
      <w:r>
        <w:rPr>
          <w:rFonts w:hint="eastAsia" w:ascii="宋体" w:hAnsi="宋体" w:cs="宋体"/>
          <w:color w:val="auto"/>
          <w:szCs w:val="21"/>
        </w:rPr>
        <w:t>1.1.2.5 设计人：</w:t>
      </w:r>
    </w:p>
    <w:p w14:paraId="537CEEB6">
      <w:pPr>
        <w:spacing w:line="360" w:lineRule="exact"/>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浙江宝业建筑设计研究院有限公司       </w:t>
      </w:r>
      <w:r>
        <w:rPr>
          <w:rFonts w:hint="eastAsia" w:ascii="宋体" w:hAnsi="宋体" w:cs="宋体"/>
          <w:color w:val="auto"/>
          <w:szCs w:val="21"/>
        </w:rPr>
        <w:t>；</w:t>
      </w:r>
    </w:p>
    <w:p w14:paraId="22383259">
      <w:pPr>
        <w:spacing w:line="360" w:lineRule="exact"/>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建筑行业(建筑工程)甲级   </w:t>
      </w:r>
      <w:r>
        <w:rPr>
          <w:rFonts w:hint="eastAsia" w:ascii="宋体" w:hAnsi="宋体" w:cs="宋体"/>
          <w:color w:val="auto"/>
          <w:szCs w:val="21"/>
        </w:rPr>
        <w:t>；</w:t>
      </w:r>
    </w:p>
    <w:p w14:paraId="566B27F5">
      <w:pPr>
        <w:spacing w:line="3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w:t>
      </w:r>
      <w:r>
        <w:rPr>
          <w:rFonts w:hint="eastAsia" w:ascii="宋体" w:hAnsi="宋体" w:cs="宋体"/>
          <w:color w:val="auto"/>
          <w:szCs w:val="21"/>
        </w:rPr>
        <w:t>；</w:t>
      </w:r>
    </w:p>
    <w:p w14:paraId="0E55DF49">
      <w:pPr>
        <w:spacing w:line="360" w:lineRule="exact"/>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                </w:t>
      </w:r>
      <w:r>
        <w:rPr>
          <w:rFonts w:hint="eastAsia" w:ascii="宋体" w:hAnsi="宋体" w:cs="宋体"/>
          <w:color w:val="auto"/>
          <w:szCs w:val="21"/>
        </w:rPr>
        <w:t>；</w:t>
      </w:r>
    </w:p>
    <w:p w14:paraId="4C5331CC">
      <w:pPr>
        <w:spacing w:line="360" w:lineRule="exact"/>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6A52195E">
      <w:pPr>
        <w:spacing w:line="360" w:lineRule="exact"/>
        <w:ind w:firstLine="420" w:firstLineChars="200"/>
        <w:rPr>
          <w:rFonts w:ascii="宋体" w:hAnsi="宋体" w:cs="宋体"/>
          <w:color w:val="auto"/>
          <w:szCs w:val="21"/>
        </w:rPr>
      </w:pPr>
      <w:r>
        <w:rPr>
          <w:rFonts w:hint="eastAsia" w:ascii="宋体" w:hAnsi="宋体" w:cs="宋体"/>
          <w:color w:val="auto"/>
          <w:szCs w:val="21"/>
        </w:rPr>
        <w:t>1.1.3 工程和设备</w:t>
      </w:r>
    </w:p>
    <w:p w14:paraId="71024ADB">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1.1.3.7 作为施工现场组成部分的其他场所包括：</w:t>
      </w:r>
      <w:r>
        <w:rPr>
          <w:rFonts w:hint="eastAsia" w:ascii="宋体" w:hAnsi="宋体" w:cs="宋体"/>
          <w:color w:val="auto"/>
          <w:szCs w:val="21"/>
          <w:u w:val="single"/>
        </w:rPr>
        <w:t xml:space="preserve">       /                                        </w:t>
      </w:r>
    </w:p>
    <w:p w14:paraId="34E04261">
      <w:pPr>
        <w:spacing w:line="360" w:lineRule="exact"/>
        <w:ind w:firstLine="420" w:firstLineChars="200"/>
        <w:rPr>
          <w:rFonts w:ascii="宋体" w:hAnsi="宋体" w:cs="宋体"/>
          <w:color w:val="auto"/>
          <w:szCs w:val="21"/>
        </w:rPr>
      </w:pPr>
      <w:r>
        <w:rPr>
          <w:rFonts w:hint="eastAsia" w:ascii="宋体" w:hAnsi="宋体" w:cs="宋体"/>
          <w:color w:val="auto"/>
          <w:szCs w:val="21"/>
        </w:rPr>
        <w:t>1.1.3.9 永久占地包括：</w:t>
      </w:r>
      <w:r>
        <w:rPr>
          <w:rFonts w:hint="eastAsia" w:ascii="宋体" w:hAnsi="宋体" w:cs="宋体"/>
          <w:color w:val="auto"/>
          <w:szCs w:val="21"/>
          <w:u w:val="single"/>
        </w:rPr>
        <w:t xml:space="preserve">                     /     </w:t>
      </w:r>
    </w:p>
    <w:p w14:paraId="3F5B23BF">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1.1.3.10 临时占地包括：</w:t>
      </w:r>
      <w:r>
        <w:rPr>
          <w:rFonts w:hint="eastAsia" w:ascii="宋体" w:hAnsi="宋体" w:cs="宋体"/>
          <w:color w:val="auto"/>
          <w:szCs w:val="21"/>
          <w:u w:val="single"/>
        </w:rPr>
        <w:t xml:space="preserve">                 /        </w:t>
      </w:r>
    </w:p>
    <w:p w14:paraId="4638D7EF">
      <w:pPr>
        <w:spacing w:line="360" w:lineRule="exact"/>
        <w:ind w:firstLine="420" w:firstLineChars="200"/>
        <w:rPr>
          <w:rFonts w:ascii="宋体" w:hAnsi="宋体" w:cs="宋体"/>
          <w:color w:val="auto"/>
          <w:szCs w:val="21"/>
        </w:rPr>
      </w:pPr>
      <w:r>
        <w:rPr>
          <w:rFonts w:hint="eastAsia" w:ascii="宋体" w:hAnsi="宋体" w:cs="宋体"/>
          <w:color w:val="auto"/>
          <w:szCs w:val="21"/>
        </w:rPr>
        <w:t>1.3法律</w:t>
      </w:r>
    </w:p>
    <w:p w14:paraId="559F84EE">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适用于合同的其他规范性文件：</w:t>
      </w:r>
      <w:r>
        <w:rPr>
          <w:rFonts w:hint="eastAsia" w:ascii="宋体" w:hAnsi="宋体" w:cs="宋体"/>
          <w:color w:val="auto"/>
          <w:szCs w:val="21"/>
          <w:u w:val="single"/>
        </w:rPr>
        <w:t>浙江省建设工程计价规则（2018版）；定额套用《浙江省房屋建筑与装饰工程预算定额》（2018版）、《浙江省建筑安装工程修缮预算定额》(2018),取费套用《浙江省建设工程施工费用定额》(2018)相应费率及浙建建(2018)61号发布的关于《浙江省建设工程施工费用定额》有关费用项目和费率调整的通知、</w:t>
      </w:r>
      <w:r>
        <w:rPr>
          <w:rFonts w:hint="eastAsia" w:ascii="宋体" w:hAnsi="宋体" w:cs="宋体"/>
          <w:color w:val="auto"/>
          <w:szCs w:val="21"/>
          <w:u w:val="single"/>
        </w:rPr>
        <w:t>《台州造价》202</w:t>
      </w:r>
      <w:r>
        <w:rPr>
          <w:rFonts w:hint="eastAsia" w:ascii="宋体" w:hAnsi="宋体" w:cs="宋体"/>
          <w:color w:val="auto"/>
          <w:szCs w:val="21"/>
          <w:u w:val="single"/>
          <w:lang w:val="en-US" w:eastAsia="zh-CN"/>
        </w:rPr>
        <w:t>5</w:t>
      </w:r>
      <w:r>
        <w:rPr>
          <w:rFonts w:hint="eastAsia" w:ascii="宋体" w:hAnsi="宋体" w:cs="宋体"/>
          <w:color w:val="auto"/>
          <w:szCs w:val="21"/>
          <w:u w:val="single"/>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月</w:t>
      </w:r>
      <w:r>
        <w:rPr>
          <w:rFonts w:hint="eastAsia" w:ascii="宋体" w:hAnsi="宋体" w:cs="宋体"/>
          <w:color w:val="auto"/>
          <w:szCs w:val="21"/>
          <w:u w:val="single"/>
        </w:rPr>
        <w:t>及市场价格计取，台州造价信息没有的按浙江造价信息价格及市场价计算等工程所在地现行的有关工程造价方面规定</w:t>
      </w:r>
      <w:r>
        <w:rPr>
          <w:rFonts w:hint="eastAsia" w:ascii="宋体" w:hAnsi="宋体" w:cs="宋体"/>
          <w:color w:val="auto"/>
          <w:szCs w:val="21"/>
        </w:rPr>
        <w:t>。</w:t>
      </w:r>
    </w:p>
    <w:p w14:paraId="3BC6D73D">
      <w:pPr>
        <w:spacing w:line="360" w:lineRule="exact"/>
        <w:ind w:firstLine="420" w:firstLineChars="200"/>
        <w:rPr>
          <w:rFonts w:ascii="宋体" w:hAnsi="宋体" w:cs="宋体"/>
          <w:color w:val="auto"/>
          <w:szCs w:val="21"/>
        </w:rPr>
      </w:pPr>
      <w:r>
        <w:rPr>
          <w:rFonts w:hint="eastAsia" w:ascii="宋体" w:hAnsi="宋体" w:cs="宋体"/>
          <w:color w:val="auto"/>
          <w:szCs w:val="21"/>
        </w:rPr>
        <w:t>1.4 标准和规范</w:t>
      </w:r>
    </w:p>
    <w:p w14:paraId="182388C5">
      <w:pPr>
        <w:spacing w:line="360" w:lineRule="exact"/>
        <w:ind w:firstLine="420" w:firstLineChars="200"/>
        <w:rPr>
          <w:rFonts w:ascii="宋体" w:hAnsi="宋体" w:cs="宋体"/>
          <w:color w:val="auto"/>
          <w:szCs w:val="21"/>
        </w:rPr>
      </w:pPr>
      <w:r>
        <w:rPr>
          <w:rFonts w:hint="eastAsia" w:ascii="宋体" w:hAnsi="宋体" w:cs="宋体"/>
          <w:color w:val="auto"/>
          <w:szCs w:val="21"/>
        </w:rPr>
        <w:t>1.4.1适用于工程的标准规范包括：</w:t>
      </w:r>
      <w:r>
        <w:rPr>
          <w:rFonts w:hint="eastAsia" w:ascii="宋体" w:hAnsi="宋体" w:cs="宋体"/>
          <w:color w:val="auto"/>
          <w:szCs w:val="21"/>
          <w:u w:val="single"/>
        </w:rPr>
        <w:t>按现行的国家、省、市施工验收规范、质量评定标准及有关规定。合同工期内的标准、规范，招标文件中的技术要求等</w:t>
      </w:r>
      <w:r>
        <w:rPr>
          <w:rFonts w:hint="eastAsia" w:ascii="宋体" w:hAnsi="宋体" w:cs="宋体"/>
          <w:color w:val="auto"/>
          <w:szCs w:val="21"/>
        </w:rPr>
        <w:t>。</w:t>
      </w:r>
    </w:p>
    <w:p w14:paraId="2556EBDD">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1.4.2 发包人提供国外标准、规范的名称：</w:t>
      </w:r>
      <w:r>
        <w:rPr>
          <w:rFonts w:hint="eastAsia" w:ascii="宋体" w:hAnsi="宋体" w:cs="宋体"/>
          <w:color w:val="auto"/>
          <w:szCs w:val="21"/>
          <w:u w:val="single"/>
        </w:rPr>
        <w:t xml:space="preserve">     /            </w:t>
      </w:r>
      <w:r>
        <w:rPr>
          <w:rFonts w:hint="eastAsia" w:ascii="宋体" w:hAnsi="宋体" w:cs="宋体"/>
          <w:color w:val="auto"/>
          <w:szCs w:val="21"/>
        </w:rPr>
        <w:t>；</w:t>
      </w:r>
    </w:p>
    <w:p w14:paraId="6F150AC7">
      <w:pPr>
        <w:spacing w:line="360" w:lineRule="exact"/>
        <w:ind w:firstLine="420" w:firstLineChars="200"/>
        <w:rPr>
          <w:rFonts w:ascii="宋体" w:hAnsi="宋体" w:cs="宋体"/>
          <w:color w:val="auto"/>
          <w:szCs w:val="21"/>
        </w:rPr>
      </w:pPr>
      <w:r>
        <w:rPr>
          <w:rFonts w:hint="eastAsia" w:ascii="宋体" w:hAnsi="宋体" w:cs="宋体"/>
          <w:color w:val="auto"/>
          <w:szCs w:val="21"/>
        </w:rPr>
        <w:t>发包人提供国外标准、规范的份数：</w:t>
      </w:r>
      <w:r>
        <w:rPr>
          <w:rFonts w:hint="eastAsia" w:ascii="宋体" w:hAnsi="宋体" w:cs="宋体"/>
          <w:color w:val="auto"/>
          <w:szCs w:val="21"/>
          <w:u w:val="single"/>
        </w:rPr>
        <w:t xml:space="preserve">         /             </w:t>
      </w:r>
      <w:r>
        <w:rPr>
          <w:rFonts w:hint="eastAsia" w:ascii="宋体" w:hAnsi="宋体" w:cs="宋体"/>
          <w:color w:val="auto"/>
          <w:szCs w:val="21"/>
        </w:rPr>
        <w:t>；</w:t>
      </w:r>
    </w:p>
    <w:p w14:paraId="5FADFA6E">
      <w:pPr>
        <w:spacing w:line="360" w:lineRule="exact"/>
        <w:ind w:firstLine="420" w:firstLineChars="200"/>
        <w:rPr>
          <w:rFonts w:ascii="宋体" w:hAnsi="宋体" w:cs="宋体"/>
          <w:color w:val="auto"/>
          <w:szCs w:val="21"/>
        </w:rPr>
      </w:pPr>
      <w:r>
        <w:rPr>
          <w:rFonts w:hint="eastAsia" w:ascii="宋体" w:hAnsi="宋体" w:cs="宋体"/>
          <w:color w:val="auto"/>
          <w:szCs w:val="21"/>
        </w:rPr>
        <w:t>发包人提供国外标准、规范的名称：</w:t>
      </w:r>
      <w:r>
        <w:rPr>
          <w:rFonts w:hint="eastAsia" w:ascii="宋体" w:hAnsi="宋体" w:cs="宋体"/>
          <w:color w:val="auto"/>
          <w:szCs w:val="21"/>
          <w:u w:val="single"/>
        </w:rPr>
        <w:t xml:space="preserve">         /             </w:t>
      </w:r>
      <w:r>
        <w:rPr>
          <w:rFonts w:hint="eastAsia" w:ascii="宋体" w:hAnsi="宋体" w:cs="宋体"/>
          <w:color w:val="auto"/>
          <w:szCs w:val="21"/>
        </w:rPr>
        <w:t>。</w:t>
      </w:r>
    </w:p>
    <w:p w14:paraId="5A73263C">
      <w:pPr>
        <w:spacing w:line="360" w:lineRule="exact"/>
        <w:ind w:firstLine="420" w:firstLineChars="200"/>
        <w:rPr>
          <w:rFonts w:ascii="宋体" w:hAnsi="宋体" w:cs="宋体"/>
          <w:color w:val="auto"/>
          <w:szCs w:val="21"/>
        </w:rPr>
      </w:pPr>
      <w:r>
        <w:rPr>
          <w:rFonts w:hint="eastAsia" w:ascii="宋体" w:hAnsi="宋体" w:cs="宋体"/>
          <w:color w:val="auto"/>
          <w:szCs w:val="21"/>
        </w:rPr>
        <w:t>1.4.3发包人对工程的技术标准和功能要求的特殊要求：</w:t>
      </w:r>
      <w:r>
        <w:rPr>
          <w:rFonts w:hint="eastAsia" w:ascii="宋体" w:hAnsi="宋体" w:cs="宋体"/>
          <w:color w:val="auto"/>
          <w:szCs w:val="21"/>
          <w:u w:val="single"/>
        </w:rPr>
        <w:t xml:space="preserve">     </w:t>
      </w:r>
      <w:r>
        <w:rPr>
          <w:rFonts w:hint="eastAsia" w:ascii="宋体" w:hAnsi="宋体" w:cs="宋体"/>
          <w:color w:val="auto"/>
          <w:szCs w:val="21"/>
        </w:rPr>
        <w:t>。</w:t>
      </w:r>
    </w:p>
    <w:p w14:paraId="2D39E127">
      <w:pPr>
        <w:spacing w:line="360" w:lineRule="exact"/>
        <w:rPr>
          <w:rFonts w:ascii="宋体" w:hAnsi="宋体" w:cs="宋体"/>
          <w:color w:val="auto"/>
          <w:szCs w:val="21"/>
        </w:rPr>
      </w:pPr>
      <w:r>
        <w:rPr>
          <w:rFonts w:hint="eastAsia" w:ascii="宋体" w:hAnsi="宋体" w:cs="宋体"/>
          <w:color w:val="auto"/>
          <w:szCs w:val="21"/>
          <w:u w:val="single"/>
        </w:rPr>
        <w:t>（国家没有相应标准、规范且不使用国外标准、规范时，按发包人和承包人商定的方案施工）</w:t>
      </w:r>
      <w:r>
        <w:rPr>
          <w:rFonts w:hint="eastAsia" w:ascii="宋体" w:hAnsi="宋体" w:cs="宋体"/>
          <w:color w:val="auto"/>
          <w:szCs w:val="21"/>
        </w:rPr>
        <w:t>。</w:t>
      </w:r>
    </w:p>
    <w:p w14:paraId="21EAEE68">
      <w:pPr>
        <w:spacing w:line="360" w:lineRule="exact"/>
        <w:ind w:firstLine="420" w:firstLineChars="200"/>
        <w:rPr>
          <w:rFonts w:ascii="宋体" w:hAnsi="宋体" w:cs="宋体"/>
          <w:color w:val="auto"/>
          <w:szCs w:val="21"/>
        </w:rPr>
      </w:pPr>
      <w:r>
        <w:rPr>
          <w:rFonts w:hint="eastAsia" w:ascii="宋体" w:hAnsi="宋体" w:cs="宋体"/>
          <w:color w:val="auto"/>
          <w:szCs w:val="21"/>
        </w:rPr>
        <w:t>1.5 合同文件的优先顺序</w:t>
      </w:r>
    </w:p>
    <w:p w14:paraId="2BCD69B9">
      <w:pPr>
        <w:spacing w:line="360" w:lineRule="exact"/>
        <w:ind w:firstLine="420" w:firstLineChars="200"/>
        <w:rPr>
          <w:rFonts w:ascii="宋体" w:hAnsi="宋体" w:cs="宋体"/>
          <w:color w:val="auto"/>
          <w:szCs w:val="21"/>
        </w:rPr>
      </w:pPr>
      <w:r>
        <w:rPr>
          <w:rFonts w:hint="eastAsia" w:ascii="宋体" w:hAnsi="宋体" w:cs="宋体"/>
          <w:color w:val="auto"/>
          <w:szCs w:val="21"/>
        </w:rPr>
        <w:t>合同文件组成及优先顺序为：</w:t>
      </w:r>
      <w:r>
        <w:rPr>
          <w:rFonts w:hint="eastAsia" w:ascii="宋体" w:hAnsi="宋体" w:cs="宋体"/>
          <w:color w:val="auto"/>
          <w:szCs w:val="21"/>
          <w:u w:val="single"/>
        </w:rPr>
        <w:t>按合同通用条款（注：如有特殊要求另编列顺序）。</w:t>
      </w:r>
    </w:p>
    <w:p w14:paraId="0C67FF27">
      <w:pPr>
        <w:spacing w:line="360" w:lineRule="exact"/>
        <w:ind w:firstLine="420" w:firstLineChars="200"/>
        <w:rPr>
          <w:rFonts w:ascii="宋体" w:hAnsi="宋体" w:cs="宋体"/>
          <w:color w:val="auto"/>
          <w:szCs w:val="21"/>
        </w:rPr>
      </w:pPr>
      <w:r>
        <w:rPr>
          <w:rFonts w:hint="eastAsia" w:ascii="宋体" w:hAnsi="宋体" w:cs="宋体"/>
          <w:color w:val="auto"/>
          <w:szCs w:val="21"/>
        </w:rPr>
        <w:t>1.6 图纸和承包人文件</w:t>
      </w:r>
      <w:r>
        <w:rPr>
          <w:rFonts w:hint="eastAsia" w:ascii="宋体" w:hAnsi="宋体" w:cs="宋体"/>
          <w:color w:val="auto"/>
          <w:szCs w:val="21"/>
        </w:rPr>
        <w:tab/>
      </w:r>
    </w:p>
    <w:p w14:paraId="7896B778">
      <w:pPr>
        <w:spacing w:line="360" w:lineRule="exact"/>
        <w:ind w:firstLine="420" w:firstLineChars="200"/>
        <w:rPr>
          <w:rFonts w:ascii="宋体" w:hAnsi="宋体" w:cs="宋体"/>
          <w:color w:val="auto"/>
          <w:szCs w:val="21"/>
        </w:rPr>
      </w:pPr>
      <w:r>
        <w:rPr>
          <w:rFonts w:hint="eastAsia" w:ascii="宋体" w:hAnsi="宋体" w:cs="宋体"/>
          <w:color w:val="auto"/>
          <w:szCs w:val="21"/>
        </w:rPr>
        <w:t>1.6.1 图纸的提供</w:t>
      </w:r>
    </w:p>
    <w:p w14:paraId="6FC32612">
      <w:pPr>
        <w:spacing w:line="36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开工日期14天前</w:t>
      </w:r>
      <w:r>
        <w:rPr>
          <w:rFonts w:hint="eastAsia" w:ascii="宋体" w:hAnsi="宋体" w:cs="宋体"/>
          <w:color w:val="auto"/>
          <w:szCs w:val="21"/>
        </w:rPr>
        <w:t>；</w:t>
      </w:r>
    </w:p>
    <w:p w14:paraId="10B4886C">
      <w:pPr>
        <w:spacing w:line="360" w:lineRule="exact"/>
        <w:rPr>
          <w:rFonts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color w:val="auto"/>
          <w:szCs w:val="21"/>
          <w:u w:val="single"/>
        </w:rPr>
        <w:t>纸质施工图〔    〕套并附目录清单及与其一致的电子版施工图。</w:t>
      </w:r>
    </w:p>
    <w:p w14:paraId="19EB352F">
      <w:pPr>
        <w:spacing w:line="36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（须载明施工图纸名称、工程号、版本、出图日期、目录、已有的变更联系单编号等）</w:t>
      </w:r>
      <w:r>
        <w:rPr>
          <w:rFonts w:hint="eastAsia" w:ascii="宋体" w:hAnsi="宋体" w:cs="宋体"/>
          <w:color w:val="auto"/>
          <w:szCs w:val="21"/>
        </w:rPr>
        <w:t>。</w:t>
      </w:r>
    </w:p>
    <w:p w14:paraId="472E369E">
      <w:pPr>
        <w:spacing w:line="360" w:lineRule="exact"/>
        <w:ind w:firstLine="420" w:firstLineChars="200"/>
        <w:rPr>
          <w:rFonts w:ascii="宋体" w:hAnsi="宋体" w:cs="宋体"/>
          <w:color w:val="auto"/>
          <w:szCs w:val="21"/>
        </w:rPr>
      </w:pPr>
      <w:r>
        <w:rPr>
          <w:rFonts w:hint="eastAsia" w:ascii="宋体" w:hAnsi="宋体" w:cs="宋体"/>
          <w:color w:val="auto"/>
          <w:szCs w:val="21"/>
        </w:rPr>
        <w:t>1.6.4 承包人文件</w:t>
      </w:r>
    </w:p>
    <w:p w14:paraId="466B406C">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需要由承包人提供的文件，包括：</w:t>
      </w:r>
      <w:r>
        <w:rPr>
          <w:rFonts w:hint="eastAsia" w:ascii="宋体" w:hAnsi="宋体" w:cs="宋体"/>
          <w:color w:val="auto"/>
          <w:szCs w:val="21"/>
          <w:u w:val="single"/>
        </w:rPr>
        <w:t>施工组织设计、专项施工方案(含危大工程,下同)、工程总进度计划、工程月进度计划表等</w:t>
      </w:r>
      <w:r>
        <w:rPr>
          <w:rFonts w:hint="eastAsia" w:ascii="宋体" w:hAnsi="宋体" w:cs="宋体"/>
          <w:color w:val="auto"/>
          <w:szCs w:val="21"/>
        </w:rPr>
        <w:t>；</w:t>
      </w:r>
      <w:r>
        <w:rPr>
          <w:rFonts w:hint="eastAsia" w:ascii="宋体" w:hAnsi="宋体" w:cs="宋体"/>
          <w:color w:val="auto"/>
          <w:szCs w:val="21"/>
          <w:u w:val="single"/>
        </w:rPr>
        <w:t>承包人提交修正后的施工组织设计、专项施工方案等的技术标准不低于投标承诺或原承诺标准，且修改或优化后的施工组织设计、专项施工方案须报监理人、发包人批准。</w:t>
      </w:r>
    </w:p>
    <w:p w14:paraId="231F2EE3">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color w:val="auto"/>
          <w:szCs w:val="21"/>
        </w:rPr>
        <w:t>；</w:t>
      </w:r>
    </w:p>
    <w:p w14:paraId="06F353FC">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每样不少于2份          </w:t>
      </w:r>
      <w:r>
        <w:rPr>
          <w:rFonts w:hint="eastAsia" w:ascii="宋体" w:hAnsi="宋体" w:cs="宋体"/>
          <w:color w:val="auto"/>
          <w:szCs w:val="21"/>
        </w:rPr>
        <w:t>；</w:t>
      </w:r>
    </w:p>
    <w:p w14:paraId="43AE86D8">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纸质及电子版本     </w:t>
      </w:r>
      <w:r>
        <w:rPr>
          <w:rFonts w:hint="eastAsia" w:ascii="宋体" w:hAnsi="宋体" w:cs="宋体"/>
          <w:color w:val="auto"/>
          <w:szCs w:val="21"/>
        </w:rPr>
        <w:t>；</w:t>
      </w:r>
    </w:p>
    <w:p w14:paraId="610A3C0C">
      <w:pPr>
        <w:spacing w:line="360" w:lineRule="exact"/>
        <w:ind w:firstLine="420" w:firstLineChars="200"/>
        <w:rPr>
          <w:rFonts w:ascii="宋体" w:hAnsi="宋体" w:cs="宋体"/>
          <w:color w:val="auto"/>
          <w:szCs w:val="21"/>
        </w:rPr>
      </w:pPr>
      <w:r>
        <w:rPr>
          <w:rFonts w:hint="eastAsia" w:ascii="宋体" w:hAnsi="宋体" w:cs="宋体"/>
          <w:color w:val="auto"/>
          <w:szCs w:val="21"/>
        </w:rPr>
        <w:t>发包人审批承包人文件的期限：</w:t>
      </w:r>
      <w:r>
        <w:rPr>
          <w:rFonts w:hint="eastAsia" w:ascii="宋体" w:hAnsi="宋体" w:cs="宋体"/>
          <w:color w:val="auto"/>
          <w:szCs w:val="21"/>
          <w:u w:val="single"/>
        </w:rPr>
        <w:t>收到相应文件后7天内 </w:t>
      </w:r>
      <w:r>
        <w:rPr>
          <w:rFonts w:hint="eastAsia" w:ascii="宋体" w:hAnsi="宋体" w:cs="宋体"/>
          <w:color w:val="auto"/>
          <w:szCs w:val="21"/>
        </w:rPr>
        <w:t>。</w:t>
      </w:r>
    </w:p>
    <w:p w14:paraId="414C92F0">
      <w:pPr>
        <w:spacing w:line="360" w:lineRule="exact"/>
        <w:ind w:firstLine="420" w:firstLineChars="200"/>
        <w:rPr>
          <w:rFonts w:ascii="宋体" w:hAnsi="宋体" w:cs="宋体"/>
          <w:color w:val="auto"/>
          <w:szCs w:val="21"/>
        </w:rPr>
      </w:pPr>
      <w:r>
        <w:rPr>
          <w:rFonts w:hint="eastAsia" w:ascii="宋体" w:hAnsi="宋体" w:cs="宋体"/>
          <w:color w:val="auto"/>
          <w:szCs w:val="21"/>
        </w:rPr>
        <w:t>1.6.5 现场图纸准备</w:t>
      </w:r>
    </w:p>
    <w:p w14:paraId="5A74DC5E">
      <w:pPr>
        <w:spacing w:line="360" w:lineRule="exact"/>
        <w:ind w:firstLine="420" w:firstLineChars="200"/>
        <w:rPr>
          <w:rFonts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single"/>
        </w:rPr>
        <w:t>由监理人在现场保管一套完整施工图，供发包人、监理人及有关人员进行工程检查等活动时使用 </w:t>
      </w:r>
      <w:r>
        <w:rPr>
          <w:rFonts w:hint="eastAsia" w:ascii="宋体" w:hAnsi="宋体" w:cs="宋体"/>
          <w:color w:val="auto"/>
          <w:szCs w:val="21"/>
        </w:rPr>
        <w:t>。</w:t>
      </w:r>
    </w:p>
    <w:p w14:paraId="5D8288F5">
      <w:pPr>
        <w:spacing w:line="360" w:lineRule="exact"/>
        <w:ind w:firstLine="420" w:firstLineChars="200"/>
        <w:rPr>
          <w:rFonts w:ascii="宋体" w:hAnsi="宋体" w:cs="宋体"/>
          <w:color w:val="auto"/>
          <w:szCs w:val="21"/>
        </w:rPr>
      </w:pPr>
      <w:r>
        <w:rPr>
          <w:rFonts w:hint="eastAsia" w:ascii="宋体" w:hAnsi="宋体" w:cs="宋体"/>
          <w:color w:val="auto"/>
          <w:szCs w:val="21"/>
        </w:rPr>
        <w:t>1.7 联络</w:t>
      </w:r>
    </w:p>
    <w:p w14:paraId="722C7CE2">
      <w:pPr>
        <w:spacing w:line="360" w:lineRule="exact"/>
        <w:ind w:firstLine="420" w:firstLineChars="200"/>
        <w:rPr>
          <w:rFonts w:ascii="宋体" w:hAnsi="宋体" w:cs="宋体"/>
          <w:color w:val="auto"/>
          <w:szCs w:val="21"/>
        </w:rPr>
      </w:pPr>
      <w:r>
        <w:rPr>
          <w:rFonts w:hint="eastAsia" w:ascii="宋体" w:hAnsi="宋体" w:cs="宋体"/>
          <w:color w:val="auto"/>
          <w:szCs w:val="21"/>
        </w:rPr>
        <w:t>1.7.1发包人和承包人应当在</w:t>
      </w:r>
      <w:r>
        <w:rPr>
          <w:rFonts w:hint="eastAsia" w:ascii="宋体" w:hAnsi="宋体" w:cs="宋体"/>
          <w:color w:val="auto"/>
          <w:szCs w:val="21"/>
          <w:u w:val="single"/>
        </w:rPr>
        <w:t xml:space="preserve">7  </w:t>
      </w:r>
      <w:r>
        <w:rPr>
          <w:rFonts w:hint="eastAsia" w:ascii="宋体" w:hAnsi="宋体" w:cs="宋体"/>
          <w:color w:val="auto"/>
          <w:szCs w:val="21"/>
        </w:rPr>
        <w:t>天内将与合同有关的通知、批准、证明、证书、指示、指令、要求、请求、同意、意见、确定和决定等书面函件送达对方当事人。</w:t>
      </w:r>
    </w:p>
    <w:p w14:paraId="134F96F9">
      <w:pPr>
        <w:spacing w:line="360" w:lineRule="exact"/>
        <w:ind w:firstLine="420" w:firstLineChars="200"/>
        <w:rPr>
          <w:rFonts w:ascii="宋体" w:hAnsi="宋体" w:cs="宋体"/>
          <w:color w:val="auto"/>
          <w:szCs w:val="21"/>
        </w:rPr>
      </w:pPr>
      <w:r>
        <w:rPr>
          <w:rFonts w:hint="eastAsia" w:ascii="宋体" w:hAnsi="宋体" w:cs="宋体"/>
          <w:color w:val="auto"/>
          <w:szCs w:val="21"/>
        </w:rPr>
        <w:t>1.7.2 发包人接收文件的地点：</w:t>
      </w:r>
      <w:r>
        <w:rPr>
          <w:rFonts w:hint="eastAsia" w:ascii="宋体" w:hAnsi="宋体" w:cs="宋体"/>
          <w:color w:val="auto"/>
          <w:szCs w:val="21"/>
          <w:u w:val="single"/>
        </w:rPr>
        <w:t>      </w:t>
      </w:r>
      <w:r>
        <w:rPr>
          <w:rFonts w:hint="eastAsia" w:ascii="宋体" w:hAnsi="宋体" w:cs="宋体"/>
          <w:color w:val="auto"/>
          <w:szCs w:val="21"/>
        </w:rPr>
        <w:t>；</w:t>
      </w:r>
    </w:p>
    <w:p w14:paraId="38547229">
      <w:pPr>
        <w:spacing w:line="360" w:lineRule="exact"/>
        <w:ind w:firstLine="420" w:firstLineChars="200"/>
        <w:rPr>
          <w:rFonts w:ascii="宋体" w:hAnsi="宋体" w:cs="宋体"/>
          <w:color w:val="auto"/>
          <w:szCs w:val="21"/>
        </w:rPr>
      </w:pPr>
      <w:r>
        <w:rPr>
          <w:rFonts w:hint="eastAsia" w:ascii="宋体" w:hAnsi="宋体" w:cs="宋体"/>
          <w:color w:val="auto"/>
          <w:szCs w:val="21"/>
        </w:rPr>
        <w:t>发包人指定的接收人为：</w:t>
      </w:r>
      <w:r>
        <w:rPr>
          <w:rFonts w:hint="eastAsia" w:ascii="宋体" w:hAnsi="宋体" w:cs="宋体"/>
          <w:color w:val="auto"/>
          <w:szCs w:val="21"/>
          <w:u w:val="single"/>
        </w:rPr>
        <w:t>（2人以上及联系电话）</w:t>
      </w:r>
      <w:r>
        <w:rPr>
          <w:rFonts w:hint="eastAsia" w:ascii="宋体" w:hAnsi="宋体" w:cs="宋体"/>
          <w:color w:val="auto"/>
          <w:szCs w:val="21"/>
        </w:rPr>
        <w:t>。</w:t>
      </w:r>
    </w:p>
    <w:p w14:paraId="15BEC46A">
      <w:pPr>
        <w:spacing w:line="360" w:lineRule="exact"/>
        <w:ind w:firstLine="420" w:firstLineChars="200"/>
        <w:rPr>
          <w:rFonts w:ascii="宋体" w:hAnsi="宋体" w:cs="宋体"/>
          <w:color w:val="auto"/>
          <w:szCs w:val="21"/>
        </w:rPr>
      </w:pPr>
      <w:r>
        <w:rPr>
          <w:rFonts w:hint="eastAsia" w:ascii="宋体" w:hAnsi="宋体" w:cs="宋体"/>
          <w:color w:val="auto"/>
          <w:szCs w:val="21"/>
        </w:rPr>
        <w:t>承包人接收文件的地点：</w:t>
      </w:r>
      <w:r>
        <w:rPr>
          <w:rFonts w:hint="eastAsia" w:ascii="宋体" w:hAnsi="宋体" w:cs="宋体"/>
          <w:color w:val="auto"/>
          <w:szCs w:val="21"/>
          <w:u w:val="single"/>
        </w:rPr>
        <w:t>             </w:t>
      </w:r>
      <w:r>
        <w:rPr>
          <w:rFonts w:hint="eastAsia" w:ascii="宋体" w:hAnsi="宋体" w:cs="宋体"/>
          <w:color w:val="auto"/>
          <w:szCs w:val="21"/>
        </w:rPr>
        <w:t>；</w:t>
      </w:r>
    </w:p>
    <w:p w14:paraId="38AEB9F2">
      <w:pPr>
        <w:spacing w:line="360" w:lineRule="exact"/>
        <w:ind w:firstLine="420" w:firstLineChars="200"/>
        <w:rPr>
          <w:rFonts w:ascii="宋体" w:hAnsi="宋体" w:cs="宋体"/>
          <w:color w:val="auto"/>
          <w:szCs w:val="21"/>
        </w:rPr>
      </w:pPr>
      <w:r>
        <w:rPr>
          <w:rFonts w:hint="eastAsia" w:ascii="宋体" w:hAnsi="宋体" w:cs="宋体"/>
          <w:color w:val="auto"/>
          <w:szCs w:val="21"/>
        </w:rPr>
        <w:t>承包人指定的接收人为：</w:t>
      </w:r>
      <w:r>
        <w:rPr>
          <w:rFonts w:hint="eastAsia" w:ascii="宋体" w:hAnsi="宋体" w:cs="宋体"/>
          <w:color w:val="auto"/>
          <w:szCs w:val="21"/>
          <w:u w:val="single"/>
        </w:rPr>
        <w:t>（2人以上及联系电话）</w:t>
      </w:r>
      <w:r>
        <w:rPr>
          <w:rFonts w:hint="eastAsia" w:ascii="宋体" w:hAnsi="宋体" w:cs="宋体"/>
          <w:color w:val="auto"/>
          <w:szCs w:val="21"/>
        </w:rPr>
        <w:t>。</w:t>
      </w:r>
    </w:p>
    <w:p w14:paraId="235BC80C">
      <w:pPr>
        <w:spacing w:line="360" w:lineRule="exact"/>
        <w:ind w:firstLine="420" w:firstLineChars="200"/>
        <w:rPr>
          <w:rFonts w:ascii="宋体" w:hAnsi="宋体" w:cs="宋体"/>
          <w:color w:val="auto"/>
          <w:szCs w:val="21"/>
        </w:rPr>
      </w:pPr>
      <w:r>
        <w:rPr>
          <w:rFonts w:hint="eastAsia" w:ascii="宋体" w:hAnsi="宋体" w:cs="宋体"/>
          <w:color w:val="auto"/>
          <w:szCs w:val="21"/>
        </w:rPr>
        <w:t>监理人接收文件的地点：</w:t>
      </w:r>
      <w:r>
        <w:rPr>
          <w:rFonts w:hint="eastAsia" w:ascii="宋体" w:hAnsi="宋体" w:cs="宋体"/>
          <w:color w:val="auto"/>
          <w:szCs w:val="21"/>
          <w:u w:val="single"/>
        </w:rPr>
        <w:t>            </w:t>
      </w:r>
      <w:r>
        <w:rPr>
          <w:rFonts w:hint="eastAsia" w:ascii="宋体" w:hAnsi="宋体" w:cs="宋体"/>
          <w:color w:val="auto"/>
          <w:szCs w:val="21"/>
        </w:rPr>
        <w:t>；</w:t>
      </w:r>
    </w:p>
    <w:p w14:paraId="511EAC46">
      <w:pPr>
        <w:spacing w:line="360" w:lineRule="exact"/>
        <w:ind w:firstLine="420" w:firstLineChars="200"/>
        <w:rPr>
          <w:rFonts w:ascii="宋体" w:hAnsi="宋体" w:cs="宋体"/>
          <w:color w:val="auto"/>
          <w:szCs w:val="21"/>
        </w:rPr>
      </w:pPr>
      <w:r>
        <w:rPr>
          <w:rFonts w:hint="eastAsia" w:ascii="宋体" w:hAnsi="宋体" w:cs="宋体"/>
          <w:color w:val="auto"/>
          <w:szCs w:val="21"/>
        </w:rPr>
        <w:t>监理人指定的接收人为：</w:t>
      </w:r>
      <w:r>
        <w:rPr>
          <w:rFonts w:hint="eastAsia" w:ascii="宋体" w:hAnsi="宋体" w:cs="宋体"/>
          <w:color w:val="auto"/>
          <w:szCs w:val="21"/>
          <w:u w:val="single"/>
        </w:rPr>
        <w:t>（2人以上及联系电话） </w:t>
      </w:r>
      <w:r>
        <w:rPr>
          <w:rFonts w:hint="eastAsia" w:ascii="宋体" w:hAnsi="宋体" w:cs="宋体"/>
          <w:color w:val="auto"/>
          <w:szCs w:val="21"/>
        </w:rPr>
        <w:t>。</w:t>
      </w:r>
    </w:p>
    <w:p w14:paraId="1660E4A6">
      <w:pPr>
        <w:spacing w:line="360" w:lineRule="exact"/>
        <w:ind w:firstLine="420" w:firstLineChars="200"/>
        <w:rPr>
          <w:rFonts w:ascii="宋体" w:hAnsi="宋体" w:cs="宋体"/>
          <w:color w:val="auto"/>
          <w:szCs w:val="21"/>
        </w:rPr>
      </w:pPr>
      <w:r>
        <w:rPr>
          <w:rFonts w:hint="eastAsia" w:ascii="宋体" w:hAnsi="宋体" w:cs="宋体"/>
          <w:color w:val="auto"/>
          <w:szCs w:val="21"/>
        </w:rPr>
        <w:t>1.10 交通运输</w:t>
      </w:r>
    </w:p>
    <w:p w14:paraId="20475321">
      <w:pPr>
        <w:spacing w:line="360" w:lineRule="exact"/>
        <w:ind w:firstLine="420" w:firstLineChars="200"/>
        <w:rPr>
          <w:rFonts w:ascii="宋体" w:hAnsi="宋体" w:cs="宋体"/>
          <w:color w:val="auto"/>
          <w:szCs w:val="21"/>
        </w:rPr>
      </w:pPr>
      <w:r>
        <w:rPr>
          <w:rFonts w:hint="eastAsia" w:ascii="宋体" w:hAnsi="宋体" w:cs="宋体"/>
          <w:color w:val="auto"/>
          <w:szCs w:val="21"/>
        </w:rPr>
        <w:t>1.10.1 出入现场的权利</w:t>
      </w:r>
    </w:p>
    <w:p w14:paraId="621AF567">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关于出入现场的权利的约定：</w:t>
      </w:r>
      <w:r>
        <w:rPr>
          <w:rFonts w:hint="eastAsia" w:ascii="宋体" w:hAnsi="宋体" w:cs="宋体"/>
          <w:color w:val="auto"/>
          <w:szCs w:val="21"/>
          <w:u w:val="single"/>
        </w:rPr>
        <w:t>按合同通用条款，可视工程实际双方再补充约定</w:t>
      </w:r>
      <w:r>
        <w:rPr>
          <w:rFonts w:hint="eastAsia" w:ascii="宋体" w:hAnsi="宋体" w:cs="宋体"/>
          <w:color w:val="auto"/>
          <w:szCs w:val="21"/>
        </w:rPr>
        <w:t>。</w:t>
      </w:r>
    </w:p>
    <w:p w14:paraId="2007EF1E">
      <w:pPr>
        <w:spacing w:line="360" w:lineRule="exact"/>
        <w:ind w:firstLine="420" w:firstLineChars="200"/>
        <w:rPr>
          <w:rFonts w:ascii="宋体" w:hAnsi="宋体" w:cs="宋体"/>
          <w:color w:val="auto"/>
          <w:szCs w:val="21"/>
        </w:rPr>
      </w:pPr>
      <w:r>
        <w:rPr>
          <w:rFonts w:hint="eastAsia" w:ascii="宋体" w:hAnsi="宋体" w:cs="宋体"/>
          <w:color w:val="auto"/>
          <w:szCs w:val="21"/>
        </w:rPr>
        <w:t>1.10.3 场内交通</w:t>
      </w:r>
    </w:p>
    <w:p w14:paraId="2629390D">
      <w:pPr>
        <w:spacing w:line="360" w:lineRule="exact"/>
        <w:ind w:firstLine="420" w:firstLineChars="200"/>
        <w:rPr>
          <w:rFonts w:ascii="宋体" w:hAnsi="宋体" w:cs="宋体"/>
          <w:color w:val="auto"/>
          <w:szCs w:val="21"/>
        </w:rPr>
      </w:pPr>
      <w:r>
        <w:rPr>
          <w:rFonts w:hint="eastAsia" w:ascii="宋体" w:hAnsi="宋体" w:cs="宋体"/>
          <w:color w:val="auto"/>
          <w:szCs w:val="21"/>
        </w:rPr>
        <w:t>关于场外交通和场内交通的边界的约定：</w:t>
      </w:r>
      <w:r>
        <w:rPr>
          <w:rFonts w:hint="eastAsia" w:ascii="宋体" w:hAnsi="宋体" w:cs="宋体"/>
          <w:i/>
          <w:color w:val="auto"/>
          <w:szCs w:val="21"/>
          <w:u w:val="single"/>
        </w:rPr>
        <w:t>按具体工程由发包人在招标文件中明确后，在合同中约定</w:t>
      </w:r>
      <w:r>
        <w:rPr>
          <w:rFonts w:hint="eastAsia" w:ascii="宋体" w:hAnsi="宋体" w:cs="宋体"/>
          <w:color w:val="auto"/>
          <w:szCs w:val="21"/>
        </w:rPr>
        <w:t>。</w:t>
      </w:r>
    </w:p>
    <w:p w14:paraId="054C50BB">
      <w:pPr>
        <w:spacing w:line="360" w:lineRule="exact"/>
        <w:ind w:firstLine="420" w:firstLineChars="200"/>
        <w:rPr>
          <w:rFonts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color w:val="auto"/>
          <w:szCs w:val="21"/>
          <w:u w:val="single"/>
        </w:rPr>
        <w:t>发包人提供的场内交通条件为现状，承包人自行组织现场踏勘</w:t>
      </w:r>
      <w:r>
        <w:rPr>
          <w:rFonts w:hint="eastAsia" w:ascii="宋体" w:hAnsi="宋体" w:cs="宋体"/>
          <w:color w:val="auto"/>
          <w:szCs w:val="21"/>
        </w:rPr>
        <w:t>。</w:t>
      </w:r>
    </w:p>
    <w:p w14:paraId="048F0984">
      <w:pPr>
        <w:spacing w:line="360" w:lineRule="exact"/>
        <w:ind w:firstLine="420" w:firstLineChars="200"/>
        <w:rPr>
          <w:rFonts w:ascii="宋体" w:hAnsi="宋体" w:cs="宋体"/>
          <w:color w:val="auto"/>
          <w:szCs w:val="21"/>
        </w:rPr>
      </w:pPr>
      <w:r>
        <w:rPr>
          <w:rFonts w:hint="eastAsia" w:ascii="宋体" w:hAnsi="宋体" w:cs="宋体"/>
          <w:color w:val="auto"/>
          <w:szCs w:val="21"/>
        </w:rPr>
        <w:t>1.10.4超大件和超重件的运输</w:t>
      </w:r>
    </w:p>
    <w:p w14:paraId="064AA319">
      <w:pPr>
        <w:spacing w:line="360" w:lineRule="exact"/>
        <w:ind w:firstLine="420" w:firstLineChars="200"/>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w:t>
      </w:r>
      <w:r>
        <w:rPr>
          <w:rFonts w:hint="eastAsia" w:ascii="宋体" w:hAnsi="宋体" w:cs="宋体"/>
          <w:color w:val="auto"/>
          <w:szCs w:val="21"/>
          <w:u w:val="single"/>
        </w:rPr>
        <w:t>（根据具体工程发包人在招标文件或工程量清单中明确相关费用）由承包人报价包干或发生时协商处理。</w:t>
      </w:r>
    </w:p>
    <w:p w14:paraId="69353557">
      <w:pPr>
        <w:spacing w:line="360" w:lineRule="exact"/>
        <w:ind w:firstLine="420" w:firstLineChars="200"/>
        <w:rPr>
          <w:rFonts w:ascii="宋体" w:hAnsi="宋体" w:cs="宋体"/>
          <w:color w:val="auto"/>
          <w:szCs w:val="21"/>
        </w:rPr>
      </w:pPr>
      <w:r>
        <w:rPr>
          <w:rFonts w:hint="eastAsia" w:ascii="宋体" w:hAnsi="宋体" w:cs="宋体"/>
          <w:color w:val="auto"/>
          <w:szCs w:val="21"/>
        </w:rPr>
        <w:t>1.11 知识产权</w:t>
      </w:r>
    </w:p>
    <w:p w14:paraId="4693B08E">
      <w:pPr>
        <w:spacing w:line="360" w:lineRule="exact"/>
        <w:ind w:firstLine="420" w:firstLineChars="200"/>
        <w:rPr>
          <w:rFonts w:ascii="宋体" w:hAnsi="宋体" w:cs="宋体"/>
          <w:color w:val="auto"/>
          <w:szCs w:val="21"/>
        </w:rPr>
      </w:pPr>
      <w:r>
        <w:rPr>
          <w:rFonts w:hint="eastAsia" w:ascii="宋体" w:hAnsi="宋体" w:cs="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u w:val="single"/>
        </w:rPr>
        <w:t xml:space="preserve">按合同通用条款  </w:t>
      </w:r>
      <w:r>
        <w:rPr>
          <w:rFonts w:hint="eastAsia" w:ascii="宋体" w:hAnsi="宋体" w:cs="宋体"/>
          <w:color w:val="auto"/>
          <w:szCs w:val="21"/>
        </w:rPr>
        <w:t>。</w:t>
      </w:r>
    </w:p>
    <w:p w14:paraId="44A7EA6B">
      <w:pPr>
        <w:spacing w:line="360" w:lineRule="exact"/>
        <w:ind w:firstLine="420" w:firstLineChars="200"/>
        <w:rPr>
          <w:rFonts w:ascii="宋体" w:hAnsi="宋体" w:cs="宋体"/>
          <w:color w:val="auto"/>
          <w:szCs w:val="21"/>
        </w:rPr>
      </w:pPr>
      <w:r>
        <w:rPr>
          <w:rFonts w:hint="eastAsia" w:ascii="宋体" w:hAnsi="宋体" w:cs="宋体"/>
          <w:color w:val="auto"/>
          <w:szCs w:val="21"/>
        </w:rPr>
        <w:t>关于发包人提供的上述文件的使用限制的要求：</w:t>
      </w:r>
      <w:r>
        <w:rPr>
          <w:rFonts w:hint="eastAsia" w:ascii="宋体" w:hAnsi="宋体" w:cs="宋体"/>
          <w:color w:val="auto"/>
          <w:szCs w:val="21"/>
          <w:u w:val="single"/>
        </w:rPr>
        <w:t xml:space="preserve"> 按合同通用条款</w:t>
      </w:r>
      <w:r>
        <w:rPr>
          <w:rFonts w:hint="eastAsia" w:ascii="宋体" w:hAnsi="宋体" w:cs="宋体"/>
          <w:color w:val="auto"/>
          <w:szCs w:val="21"/>
        </w:rPr>
        <w:t>。</w:t>
      </w:r>
    </w:p>
    <w:p w14:paraId="6ABBFE54">
      <w:pPr>
        <w:spacing w:line="360" w:lineRule="exact"/>
        <w:ind w:firstLine="420" w:firstLineChars="200"/>
        <w:rPr>
          <w:rFonts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color w:val="auto"/>
          <w:szCs w:val="21"/>
          <w:u w:val="single"/>
        </w:rPr>
        <w:t xml:space="preserve"> 发包人</w:t>
      </w:r>
      <w:r>
        <w:rPr>
          <w:rFonts w:hint="eastAsia" w:ascii="宋体" w:hAnsi="宋体" w:cs="宋体"/>
          <w:color w:val="auto"/>
          <w:szCs w:val="21"/>
        </w:rPr>
        <w:t>。</w:t>
      </w:r>
    </w:p>
    <w:p w14:paraId="53BC224E">
      <w:pPr>
        <w:spacing w:line="360" w:lineRule="exact"/>
        <w:ind w:firstLine="420" w:firstLineChars="200"/>
        <w:rPr>
          <w:rFonts w:ascii="宋体" w:hAnsi="宋体" w:cs="宋体"/>
          <w:color w:val="auto"/>
          <w:szCs w:val="21"/>
        </w:rPr>
      </w:pPr>
      <w:r>
        <w:rPr>
          <w:rFonts w:hint="eastAsia" w:ascii="宋体" w:hAnsi="宋体" w:cs="宋体"/>
          <w:color w:val="auto"/>
          <w:szCs w:val="21"/>
        </w:rPr>
        <w:t>关于承包人提供的上述文件的使用限制的要求：</w:t>
      </w:r>
      <w:r>
        <w:rPr>
          <w:rFonts w:hint="eastAsia" w:ascii="宋体" w:hAnsi="宋体" w:cs="宋体"/>
          <w:color w:val="auto"/>
          <w:szCs w:val="21"/>
          <w:u w:val="single"/>
        </w:rPr>
        <w:t>按合同通用条款</w:t>
      </w:r>
      <w:r>
        <w:rPr>
          <w:rFonts w:hint="eastAsia" w:ascii="宋体" w:hAnsi="宋体" w:cs="宋体"/>
          <w:color w:val="auto"/>
          <w:szCs w:val="21"/>
        </w:rPr>
        <w:t>。</w:t>
      </w:r>
    </w:p>
    <w:p w14:paraId="1238195D">
      <w:pPr>
        <w:spacing w:line="360" w:lineRule="exact"/>
        <w:ind w:firstLine="420" w:firstLineChars="200"/>
        <w:rPr>
          <w:rFonts w:ascii="宋体" w:hAnsi="宋体" w:cs="宋体"/>
          <w:color w:val="auto"/>
          <w:szCs w:val="21"/>
        </w:rPr>
      </w:pPr>
      <w:r>
        <w:rPr>
          <w:rFonts w:hint="eastAsia" w:ascii="宋体" w:hAnsi="宋体" w:cs="宋体"/>
          <w:color w:val="auto"/>
          <w:szCs w:val="21"/>
        </w:rPr>
        <w:t>1.11.4 承包人在施工过程中所采用的专利、专有技术、技术秘密的使用费的承担方式：</w:t>
      </w:r>
      <w:r>
        <w:rPr>
          <w:rFonts w:hint="eastAsia" w:ascii="宋体" w:hAnsi="宋体" w:cs="宋体"/>
          <w:color w:val="auto"/>
          <w:szCs w:val="21"/>
          <w:u w:val="single"/>
        </w:rPr>
        <w:t>包含在签约合同价内</w:t>
      </w:r>
      <w:r>
        <w:rPr>
          <w:rFonts w:hint="eastAsia" w:ascii="宋体" w:hAnsi="宋体" w:cs="宋体"/>
          <w:color w:val="auto"/>
          <w:szCs w:val="21"/>
        </w:rPr>
        <w:t>。</w:t>
      </w:r>
    </w:p>
    <w:p w14:paraId="78547D78">
      <w:pPr>
        <w:spacing w:line="360" w:lineRule="exact"/>
        <w:ind w:firstLine="420" w:firstLineChars="200"/>
        <w:rPr>
          <w:rFonts w:ascii="宋体" w:hAnsi="宋体" w:cs="宋体"/>
          <w:color w:val="auto"/>
          <w:szCs w:val="21"/>
        </w:rPr>
      </w:pPr>
      <w:r>
        <w:rPr>
          <w:rFonts w:hint="eastAsia" w:ascii="宋体" w:hAnsi="宋体" w:cs="宋体"/>
          <w:color w:val="auto"/>
          <w:szCs w:val="21"/>
        </w:rPr>
        <w:t>1.13工程量清单错误的修正</w:t>
      </w:r>
    </w:p>
    <w:p w14:paraId="000ECA4E">
      <w:pPr>
        <w:spacing w:line="360" w:lineRule="exact"/>
        <w:ind w:firstLine="420" w:firstLineChars="200"/>
        <w:rPr>
          <w:rFonts w:ascii="宋体" w:hAnsi="宋体" w:cs="宋体"/>
          <w:color w:val="auto"/>
          <w:szCs w:val="21"/>
        </w:rPr>
      </w:pPr>
      <w:r>
        <w:rPr>
          <w:rFonts w:hint="eastAsia" w:ascii="宋体" w:hAnsi="宋体" w:cs="宋体"/>
          <w:color w:val="auto"/>
          <w:szCs w:val="21"/>
        </w:rPr>
        <w:t>出现工程量清单错误时，是否调整合同价格：</w:t>
      </w:r>
      <w:r>
        <w:rPr>
          <w:rFonts w:hint="eastAsia" w:ascii="宋体" w:hAnsi="宋体" w:cs="宋体"/>
          <w:color w:val="auto"/>
          <w:szCs w:val="21"/>
          <w:u w:val="single"/>
        </w:rPr>
        <w:t xml:space="preserve">调整合同价格 </w:t>
      </w:r>
      <w:r>
        <w:rPr>
          <w:rFonts w:hint="eastAsia" w:ascii="宋体" w:hAnsi="宋体" w:cs="宋体"/>
          <w:color w:val="auto"/>
          <w:szCs w:val="21"/>
        </w:rPr>
        <w:t>。</w:t>
      </w:r>
    </w:p>
    <w:p w14:paraId="142F44E4">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允许调整合同价格的工程量偏差范围：</w:t>
      </w:r>
      <w:r>
        <w:rPr>
          <w:rFonts w:hint="eastAsia" w:ascii="宋体" w:hAnsi="宋体" w:cs="宋体"/>
          <w:color w:val="auto"/>
          <w:szCs w:val="21"/>
          <w:u w:val="single"/>
        </w:rPr>
        <w:t>清单工程量变化不调整综合单价，但如综合单价异常（见专用条款10.4.1），则调整合同价格的工程量偏差范围按专用条款10.4.1（1）条约定调整。</w:t>
      </w:r>
    </w:p>
    <w:p w14:paraId="4ED471B9">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2. 发包人</w:t>
      </w:r>
    </w:p>
    <w:p w14:paraId="3F694E63">
      <w:pPr>
        <w:spacing w:line="360" w:lineRule="exact"/>
        <w:ind w:firstLine="420" w:firstLineChars="200"/>
        <w:rPr>
          <w:rFonts w:ascii="宋体" w:hAnsi="宋体" w:cs="宋体"/>
          <w:color w:val="auto"/>
          <w:szCs w:val="21"/>
        </w:rPr>
      </w:pPr>
      <w:r>
        <w:rPr>
          <w:rFonts w:hint="eastAsia" w:ascii="宋体" w:hAnsi="宋体" w:cs="宋体"/>
          <w:color w:val="auto"/>
          <w:szCs w:val="21"/>
        </w:rPr>
        <w:t>2.2 发包人代表</w:t>
      </w:r>
    </w:p>
    <w:p w14:paraId="212EA923">
      <w:pPr>
        <w:spacing w:line="360" w:lineRule="exact"/>
        <w:ind w:firstLine="420" w:firstLineChars="200"/>
        <w:rPr>
          <w:rFonts w:ascii="宋体" w:hAnsi="宋体" w:cs="宋体"/>
          <w:color w:val="auto"/>
          <w:szCs w:val="21"/>
        </w:rPr>
      </w:pPr>
      <w:r>
        <w:rPr>
          <w:rFonts w:hint="eastAsia" w:ascii="宋体" w:hAnsi="宋体" w:cs="宋体"/>
          <w:color w:val="auto"/>
          <w:szCs w:val="21"/>
        </w:rPr>
        <w:t>发包人代表：</w:t>
      </w:r>
    </w:p>
    <w:p w14:paraId="3860525D">
      <w:pPr>
        <w:spacing w:line="360" w:lineRule="exact"/>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14:paraId="68DB9D90">
      <w:pPr>
        <w:spacing w:line="360" w:lineRule="exact"/>
        <w:ind w:firstLine="420" w:firstLineChars="200"/>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14:paraId="5CE3CAD4">
      <w:pPr>
        <w:spacing w:line="360" w:lineRule="exact"/>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 </w:t>
      </w:r>
      <w:r>
        <w:rPr>
          <w:rFonts w:hint="eastAsia" w:ascii="宋体" w:hAnsi="宋体" w:cs="宋体"/>
          <w:color w:val="auto"/>
          <w:szCs w:val="21"/>
        </w:rPr>
        <w:t>；</w:t>
      </w:r>
    </w:p>
    <w:p w14:paraId="6C2F223E">
      <w:pPr>
        <w:spacing w:line="3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 </w:t>
      </w:r>
      <w:r>
        <w:rPr>
          <w:rFonts w:hint="eastAsia" w:ascii="宋体" w:hAnsi="宋体" w:cs="宋体"/>
          <w:color w:val="auto"/>
          <w:szCs w:val="21"/>
        </w:rPr>
        <w:t>；</w:t>
      </w:r>
    </w:p>
    <w:p w14:paraId="1CC10988">
      <w:pPr>
        <w:spacing w:line="360" w:lineRule="exact"/>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  </w:t>
      </w:r>
      <w:r>
        <w:rPr>
          <w:rFonts w:hint="eastAsia" w:ascii="宋体" w:hAnsi="宋体" w:cs="宋体"/>
          <w:color w:val="auto"/>
          <w:szCs w:val="21"/>
        </w:rPr>
        <w:t>；</w:t>
      </w:r>
    </w:p>
    <w:p w14:paraId="518CE887">
      <w:pPr>
        <w:spacing w:line="360" w:lineRule="exact"/>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 </w:t>
      </w:r>
      <w:r>
        <w:rPr>
          <w:rFonts w:hint="eastAsia" w:ascii="宋体" w:hAnsi="宋体" w:cs="宋体"/>
          <w:color w:val="auto"/>
          <w:szCs w:val="21"/>
        </w:rPr>
        <w:t>。</w:t>
      </w:r>
    </w:p>
    <w:p w14:paraId="798A6CC8">
      <w:pPr>
        <w:spacing w:line="360" w:lineRule="exact"/>
        <w:rPr>
          <w:rFonts w:ascii="宋体" w:hAnsi="宋体" w:cs="宋体"/>
          <w:b/>
          <w:color w:val="auto"/>
          <w:szCs w:val="21"/>
        </w:rPr>
      </w:pPr>
      <w:r>
        <w:rPr>
          <w:rFonts w:hint="eastAsia" w:ascii="宋体" w:hAnsi="宋体" w:cs="宋体"/>
          <w:color w:val="auto"/>
          <w:szCs w:val="21"/>
        </w:rPr>
        <w:t>发包人对发包人代表的授权范围如下：</w:t>
      </w:r>
      <w:r>
        <w:rPr>
          <w:rFonts w:hint="eastAsia" w:ascii="宋体" w:hAnsi="宋体" w:cs="宋体"/>
          <w:color w:val="auto"/>
          <w:szCs w:val="21"/>
          <w:u w:val="single"/>
        </w:rPr>
        <w:t xml:space="preserve">对工程质量、进度、投资负责，并对合同的内容进行有效的控制及对施工现场的协调，问题处理，督促、检查承包人严格按照安全的相关规定，做好安全、文明施工；负责对工程结算的初审；本工程所发的现场签证、工程变更联系单等经发包人代表核实签字后，须及时递交发包人主管部门审核盖章后，方可生效；未经盖发包人盖章的签章一律无效         </w:t>
      </w:r>
      <w:r>
        <w:rPr>
          <w:rFonts w:hint="eastAsia" w:ascii="宋体" w:hAnsi="宋体" w:cs="宋体"/>
          <w:color w:val="auto"/>
          <w:szCs w:val="21"/>
        </w:rPr>
        <w:t>。</w:t>
      </w:r>
    </w:p>
    <w:p w14:paraId="23583659">
      <w:pPr>
        <w:spacing w:line="360" w:lineRule="exact"/>
        <w:ind w:firstLine="420" w:firstLineChars="200"/>
        <w:rPr>
          <w:rFonts w:ascii="宋体" w:hAnsi="宋体" w:cs="宋体"/>
          <w:color w:val="auto"/>
          <w:szCs w:val="21"/>
        </w:rPr>
      </w:pPr>
      <w:r>
        <w:rPr>
          <w:rFonts w:hint="eastAsia" w:ascii="宋体" w:hAnsi="宋体" w:cs="宋体"/>
          <w:color w:val="auto"/>
          <w:szCs w:val="21"/>
        </w:rPr>
        <w:t>2.4 施工现场、施工条件和基础资料的提供</w:t>
      </w:r>
    </w:p>
    <w:p w14:paraId="37E82F6B">
      <w:pPr>
        <w:spacing w:line="360" w:lineRule="exact"/>
        <w:ind w:firstLine="420" w:firstLineChars="200"/>
        <w:rPr>
          <w:rFonts w:ascii="宋体" w:hAnsi="宋体" w:cs="宋体"/>
          <w:color w:val="auto"/>
          <w:szCs w:val="21"/>
        </w:rPr>
      </w:pPr>
      <w:r>
        <w:rPr>
          <w:rFonts w:hint="eastAsia" w:ascii="宋体" w:hAnsi="宋体" w:cs="宋体"/>
          <w:color w:val="auto"/>
          <w:szCs w:val="21"/>
        </w:rPr>
        <w:t>2.4.1 提供施工现场</w:t>
      </w:r>
    </w:p>
    <w:p w14:paraId="5D72E27B">
      <w:pPr>
        <w:spacing w:line="360" w:lineRule="exact"/>
        <w:ind w:firstLine="420" w:firstLineChars="200"/>
        <w:rPr>
          <w:rFonts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color w:val="auto"/>
          <w:szCs w:val="21"/>
          <w:u w:val="single"/>
        </w:rPr>
        <w:t xml:space="preserve">开工日期14天前  </w:t>
      </w:r>
      <w:r>
        <w:rPr>
          <w:rFonts w:hint="eastAsia" w:ascii="宋体" w:hAnsi="宋体" w:cs="宋体"/>
          <w:color w:val="auto"/>
          <w:szCs w:val="21"/>
        </w:rPr>
        <w:t>。</w:t>
      </w:r>
    </w:p>
    <w:p w14:paraId="54281FB6">
      <w:pPr>
        <w:spacing w:line="360" w:lineRule="exact"/>
        <w:ind w:firstLine="420" w:firstLineChars="200"/>
        <w:rPr>
          <w:rFonts w:ascii="宋体" w:hAnsi="宋体" w:cs="宋体"/>
          <w:color w:val="auto"/>
          <w:szCs w:val="21"/>
        </w:rPr>
      </w:pPr>
      <w:r>
        <w:rPr>
          <w:rFonts w:hint="eastAsia" w:ascii="宋体" w:hAnsi="宋体" w:cs="宋体"/>
          <w:color w:val="auto"/>
          <w:szCs w:val="21"/>
        </w:rPr>
        <w:t>2.4.2 提供施工条件</w:t>
      </w:r>
    </w:p>
    <w:p w14:paraId="028EE110">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关于发包人应负责提供施工所需要的条件，包括：</w:t>
      </w:r>
      <w:r>
        <w:rPr>
          <w:rFonts w:hint="eastAsia" w:ascii="宋体" w:hAnsi="宋体" w:cs="宋体"/>
          <w:color w:val="auto"/>
          <w:szCs w:val="21"/>
          <w:u w:val="single"/>
        </w:rPr>
        <w:t xml:space="preserve"> 施工临时用水、电接口由发包人提供，后续接驳工作由承包人自行完成，施工及试运行调试阶段的临时用水、电费用由承包人承担，承包人应持证上岗；水电费装表计量，承包人必须按水、电部门的计价标准，足额向发包人及时缴清，若承包人不按时支付，则发包人可以从承包人的工程进度款中直接扣除   </w:t>
      </w:r>
      <w:r>
        <w:rPr>
          <w:rFonts w:hint="eastAsia" w:ascii="宋体" w:hAnsi="宋体" w:cs="宋体"/>
          <w:color w:val="auto"/>
          <w:szCs w:val="21"/>
        </w:rPr>
        <w:t>。</w:t>
      </w:r>
    </w:p>
    <w:p w14:paraId="2DA9301B">
      <w:pPr>
        <w:spacing w:line="360" w:lineRule="exact"/>
        <w:ind w:firstLine="420" w:firstLineChars="200"/>
        <w:rPr>
          <w:rFonts w:ascii="宋体" w:hAnsi="宋体" w:cs="宋体"/>
          <w:color w:val="auto"/>
          <w:szCs w:val="21"/>
        </w:rPr>
      </w:pPr>
      <w:r>
        <w:rPr>
          <w:rFonts w:hint="eastAsia" w:ascii="宋体" w:hAnsi="宋体" w:cs="宋体"/>
          <w:color w:val="auto"/>
          <w:szCs w:val="21"/>
        </w:rPr>
        <w:t>2.5 资金来源证明及支付担保</w:t>
      </w:r>
    </w:p>
    <w:p w14:paraId="1B447F51">
      <w:pPr>
        <w:spacing w:line="360" w:lineRule="exact"/>
        <w:ind w:firstLine="420" w:firstLineChars="200"/>
        <w:rPr>
          <w:rFonts w:ascii="宋体" w:hAnsi="宋体" w:cs="宋体"/>
          <w:color w:val="auto"/>
          <w:szCs w:val="21"/>
        </w:rPr>
      </w:pPr>
      <w:r>
        <w:rPr>
          <w:rFonts w:hint="eastAsia" w:ascii="宋体" w:hAnsi="宋体" w:cs="宋体"/>
          <w:color w:val="auto"/>
          <w:szCs w:val="21"/>
        </w:rPr>
        <w:t>发包人提供资金来源证明的期限要求：</w:t>
      </w:r>
      <w:r>
        <w:rPr>
          <w:rFonts w:hint="eastAsia" w:ascii="宋体" w:hAnsi="宋体" w:cs="宋体"/>
          <w:color w:val="auto"/>
          <w:szCs w:val="21"/>
          <w:u w:val="single"/>
        </w:rPr>
        <w:t xml:space="preserve">       /         </w:t>
      </w:r>
      <w:r>
        <w:rPr>
          <w:rFonts w:hint="eastAsia" w:ascii="宋体" w:hAnsi="宋体" w:cs="宋体"/>
          <w:color w:val="auto"/>
          <w:szCs w:val="21"/>
        </w:rPr>
        <w:t>。</w:t>
      </w:r>
    </w:p>
    <w:p w14:paraId="016FDB98">
      <w:pPr>
        <w:spacing w:line="360" w:lineRule="exact"/>
        <w:ind w:firstLine="420" w:firstLineChars="200"/>
        <w:rPr>
          <w:rFonts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rPr>
        <w:t xml:space="preserve">        /        </w:t>
      </w:r>
      <w:r>
        <w:rPr>
          <w:rFonts w:hint="eastAsia" w:ascii="宋体" w:hAnsi="宋体" w:cs="宋体"/>
          <w:color w:val="auto"/>
          <w:szCs w:val="21"/>
        </w:rPr>
        <w:t>。</w:t>
      </w:r>
    </w:p>
    <w:p w14:paraId="6F650C07">
      <w:pPr>
        <w:spacing w:line="360" w:lineRule="exact"/>
        <w:ind w:firstLine="420" w:firstLineChars="200"/>
        <w:rPr>
          <w:rFonts w:ascii="宋体" w:hAnsi="宋体" w:cs="宋体"/>
          <w:color w:val="auto"/>
          <w:szCs w:val="21"/>
        </w:rPr>
      </w:pPr>
      <w:r>
        <w:rPr>
          <w:rFonts w:hint="eastAsia" w:ascii="宋体" w:hAnsi="宋体" w:cs="宋体"/>
          <w:color w:val="auto"/>
          <w:szCs w:val="21"/>
        </w:rPr>
        <w:t>发包人提供支付担保的形式：</w:t>
      </w:r>
      <w:r>
        <w:rPr>
          <w:rFonts w:hint="eastAsia" w:ascii="宋体" w:hAnsi="宋体" w:cs="宋体"/>
          <w:color w:val="auto"/>
          <w:szCs w:val="21"/>
          <w:u w:val="single"/>
        </w:rPr>
        <w:t xml:space="preserve">  /          </w:t>
      </w:r>
      <w:r>
        <w:rPr>
          <w:rFonts w:hint="eastAsia" w:ascii="宋体" w:hAnsi="宋体" w:cs="宋体"/>
          <w:color w:val="auto"/>
          <w:szCs w:val="21"/>
        </w:rPr>
        <w:t>。</w:t>
      </w:r>
    </w:p>
    <w:p w14:paraId="059963B9">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3. 承包人</w:t>
      </w:r>
    </w:p>
    <w:p w14:paraId="5242AB3E">
      <w:pPr>
        <w:spacing w:line="360" w:lineRule="exact"/>
        <w:ind w:firstLine="420" w:firstLineChars="200"/>
        <w:rPr>
          <w:rFonts w:ascii="宋体" w:hAnsi="宋体" w:cs="宋体"/>
          <w:color w:val="auto"/>
          <w:szCs w:val="21"/>
        </w:rPr>
      </w:pPr>
      <w:r>
        <w:rPr>
          <w:rFonts w:hint="eastAsia" w:ascii="宋体" w:hAnsi="宋体" w:cs="宋体"/>
          <w:color w:val="auto"/>
          <w:szCs w:val="21"/>
        </w:rPr>
        <w:t>3.1 承包人的一般义务</w:t>
      </w:r>
    </w:p>
    <w:p w14:paraId="1DCCE1F2">
      <w:pPr>
        <w:spacing w:line="360" w:lineRule="exact"/>
        <w:ind w:firstLine="420" w:firstLineChars="200"/>
        <w:rPr>
          <w:rFonts w:ascii="宋体" w:hAnsi="宋体" w:cs="宋体"/>
          <w:color w:val="auto"/>
          <w:szCs w:val="21"/>
        </w:rPr>
      </w:pPr>
      <w:r>
        <w:rPr>
          <w:rFonts w:hint="eastAsia" w:ascii="宋体" w:hAnsi="宋体" w:cs="宋体"/>
          <w:color w:val="auto"/>
          <w:szCs w:val="21"/>
        </w:rPr>
        <w:t>（9）承包人提交的竣工资料的内容：</w:t>
      </w:r>
      <w:r>
        <w:rPr>
          <w:rFonts w:hint="eastAsia" w:ascii="宋体" w:hAnsi="宋体" w:cs="宋体"/>
          <w:color w:val="auto"/>
          <w:szCs w:val="21"/>
          <w:u w:val="single"/>
        </w:rPr>
        <w:t>向发包人提交按规范规定应由承包人编制部分的竣工资料并符合建设工程资料存档要求</w:t>
      </w:r>
      <w:r>
        <w:rPr>
          <w:rFonts w:hint="eastAsia" w:ascii="宋体" w:hAnsi="宋体" w:cs="宋体"/>
          <w:color w:val="auto"/>
          <w:szCs w:val="21"/>
        </w:rPr>
        <w:t>。</w:t>
      </w:r>
    </w:p>
    <w:p w14:paraId="509F47EC">
      <w:pPr>
        <w:spacing w:line="360" w:lineRule="exact"/>
        <w:ind w:firstLine="420" w:firstLineChars="200"/>
        <w:rPr>
          <w:rFonts w:ascii="宋体" w:hAnsi="宋体" w:cs="宋体"/>
          <w:color w:val="auto"/>
          <w:szCs w:val="21"/>
        </w:rPr>
      </w:pPr>
      <w:r>
        <w:rPr>
          <w:rFonts w:hint="eastAsia" w:ascii="宋体" w:hAnsi="宋体" w:cs="宋体"/>
          <w:color w:val="auto"/>
          <w:szCs w:val="21"/>
        </w:rPr>
        <w:t>承包人需要提交的竣工资料套数：</w:t>
      </w:r>
      <w:r>
        <w:rPr>
          <w:rFonts w:hint="eastAsia" w:ascii="宋体" w:hAnsi="宋体" w:cs="宋体"/>
          <w:color w:val="auto"/>
          <w:szCs w:val="21"/>
          <w:u w:val="single"/>
        </w:rPr>
        <w:t xml:space="preserve">     两套   </w:t>
      </w:r>
      <w:r>
        <w:rPr>
          <w:rFonts w:hint="eastAsia" w:ascii="宋体" w:hAnsi="宋体" w:cs="宋体"/>
          <w:color w:val="auto"/>
          <w:szCs w:val="21"/>
        </w:rPr>
        <w:t>。</w:t>
      </w:r>
    </w:p>
    <w:p w14:paraId="48A0D64C">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single"/>
        </w:rPr>
        <w:t xml:space="preserve">    由承包人承担     </w:t>
      </w:r>
      <w:r>
        <w:rPr>
          <w:rFonts w:hint="eastAsia" w:ascii="宋体" w:hAnsi="宋体" w:cs="宋体"/>
          <w:color w:val="auto"/>
          <w:szCs w:val="21"/>
        </w:rPr>
        <w:t>。</w:t>
      </w:r>
    </w:p>
    <w:p w14:paraId="59B413F6">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single"/>
        </w:rPr>
        <w:t>工程竣工验收合格后7天内</w:t>
      </w:r>
      <w:r>
        <w:rPr>
          <w:rFonts w:hint="eastAsia" w:ascii="宋体" w:hAnsi="宋体" w:cs="宋体"/>
          <w:color w:val="auto"/>
          <w:szCs w:val="21"/>
        </w:rPr>
        <w:t>。</w:t>
      </w:r>
    </w:p>
    <w:p w14:paraId="3A93A198">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color w:val="auto"/>
          <w:szCs w:val="21"/>
          <w:u w:val="single"/>
        </w:rPr>
        <w:t xml:space="preserve">   纸质及相关电子数据  </w:t>
      </w:r>
      <w:r>
        <w:rPr>
          <w:rFonts w:hint="eastAsia" w:ascii="宋体" w:hAnsi="宋体" w:cs="宋体"/>
          <w:color w:val="auto"/>
          <w:szCs w:val="21"/>
        </w:rPr>
        <w:t>。</w:t>
      </w:r>
    </w:p>
    <w:p w14:paraId="4910202D">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（10）承包人应履行的其他义务：</w:t>
      </w:r>
    </w:p>
    <w:p w14:paraId="6E5CF4EF">
      <w:pPr>
        <w:spacing w:line="360" w:lineRule="exact"/>
        <w:ind w:firstLine="525" w:firstLineChars="250"/>
        <w:rPr>
          <w:rFonts w:ascii="宋体" w:hAnsi="宋体" w:cs="宋体"/>
          <w:color w:val="auto"/>
          <w:szCs w:val="21"/>
          <w:u w:val="single"/>
        </w:rPr>
      </w:pPr>
      <w:r>
        <w:rPr>
          <w:rFonts w:hint="eastAsia" w:ascii="宋体" w:hAnsi="宋体" w:cs="宋体"/>
          <w:color w:val="auto"/>
          <w:szCs w:val="21"/>
          <w:u w:val="single"/>
        </w:rPr>
        <w:t xml:space="preserve">a.向发包人、监理人提供施工现场办公室各1间免费使用。 </w:t>
      </w:r>
    </w:p>
    <w:p w14:paraId="1CCAA51C">
      <w:pPr>
        <w:spacing w:line="360" w:lineRule="exact"/>
        <w:ind w:firstLine="525" w:firstLineChars="250"/>
        <w:rPr>
          <w:rFonts w:ascii="宋体" w:hAnsi="宋体" w:cs="宋体"/>
          <w:color w:val="auto"/>
          <w:szCs w:val="21"/>
          <w:u w:val="single"/>
        </w:rPr>
      </w:pPr>
      <w:r>
        <w:rPr>
          <w:rFonts w:hint="eastAsia" w:ascii="宋体" w:hAnsi="宋体" w:cs="宋体"/>
          <w:color w:val="auto"/>
          <w:szCs w:val="21"/>
          <w:u w:val="single"/>
        </w:rPr>
        <w:t>b.在施工中必须严格按照规范操作，并针对邻近建筑物实际情况，采取相应防护措施，对不按规范要求施工或未采取防护措施的，造成的损失由承包人承担。</w:t>
      </w:r>
    </w:p>
    <w:p w14:paraId="0E21107F">
      <w:pPr>
        <w:spacing w:line="360" w:lineRule="exact"/>
        <w:ind w:firstLine="525" w:firstLineChars="250"/>
        <w:rPr>
          <w:rFonts w:ascii="宋体" w:hAnsi="宋体" w:cs="宋体"/>
          <w:color w:val="auto"/>
          <w:szCs w:val="21"/>
          <w:u w:val="single"/>
        </w:rPr>
      </w:pPr>
      <w:r>
        <w:rPr>
          <w:rFonts w:hint="eastAsia" w:ascii="宋体" w:hAnsi="宋体" w:cs="宋体"/>
          <w:color w:val="auto"/>
          <w:szCs w:val="21"/>
          <w:u w:val="single"/>
        </w:rPr>
        <w:t>c.本项目施工安全由承包人负总责。</w:t>
      </w:r>
    </w:p>
    <w:p w14:paraId="06D640F8">
      <w:pPr>
        <w:spacing w:line="360" w:lineRule="exact"/>
        <w:ind w:firstLine="531" w:firstLineChars="253"/>
        <w:rPr>
          <w:rFonts w:ascii="宋体" w:hAnsi="宋体" w:cs="宋体"/>
          <w:color w:val="auto"/>
          <w:szCs w:val="21"/>
          <w:u w:val="single"/>
        </w:rPr>
      </w:pPr>
      <w:r>
        <w:rPr>
          <w:rFonts w:hint="eastAsia" w:ascii="宋体" w:hAnsi="宋体" w:cs="宋体"/>
          <w:color w:val="auto"/>
          <w:szCs w:val="21"/>
          <w:u w:val="single"/>
        </w:rPr>
        <w:t>d.按当地有关部门要求，由承包人办理的有关施工场地交通、环卫和施工噪音管理等手续。</w:t>
      </w:r>
    </w:p>
    <w:p w14:paraId="72C2D66B">
      <w:pPr>
        <w:spacing w:line="360" w:lineRule="exact"/>
        <w:ind w:firstLine="531" w:firstLineChars="253"/>
        <w:rPr>
          <w:rFonts w:ascii="宋体" w:hAnsi="宋体" w:cs="宋体"/>
          <w:color w:val="auto"/>
          <w:szCs w:val="21"/>
          <w:u w:val="single"/>
        </w:rPr>
      </w:pPr>
      <w:r>
        <w:rPr>
          <w:rFonts w:hint="eastAsia" w:ascii="宋体" w:hAnsi="宋体" w:cs="宋体"/>
          <w:color w:val="auto"/>
          <w:szCs w:val="21"/>
        </w:rPr>
        <w:t>（11）承包人诚实信用的承诺：</w:t>
      </w:r>
      <w:r>
        <w:rPr>
          <w:rFonts w:hint="eastAsia" w:ascii="宋体" w:hAnsi="宋体" w:cs="宋体"/>
          <w:color w:val="auto"/>
          <w:szCs w:val="21"/>
          <w:u w:val="single"/>
        </w:rPr>
        <w:t xml:space="preserve">              /            </w:t>
      </w:r>
    </w:p>
    <w:p w14:paraId="3DB49A59">
      <w:pPr>
        <w:spacing w:line="360" w:lineRule="exact"/>
        <w:rPr>
          <w:rFonts w:ascii="宋体" w:hAnsi="宋体" w:cs="宋体"/>
          <w:color w:val="auto"/>
          <w:szCs w:val="21"/>
          <w:u w:val="single"/>
        </w:rPr>
      </w:pPr>
      <w:r>
        <w:rPr>
          <w:rFonts w:hint="eastAsia" w:ascii="宋体" w:hAnsi="宋体" w:cs="宋体"/>
          <w:color w:val="auto"/>
          <w:szCs w:val="21"/>
          <w:u w:val="single"/>
        </w:rPr>
        <w:t xml:space="preserve">                                                         。</w:t>
      </w:r>
    </w:p>
    <w:p w14:paraId="60FCF648">
      <w:pPr>
        <w:spacing w:line="360" w:lineRule="exact"/>
        <w:ind w:firstLine="531" w:firstLineChars="253"/>
        <w:rPr>
          <w:rFonts w:ascii="宋体" w:hAnsi="宋体" w:cs="宋体"/>
          <w:color w:val="auto"/>
          <w:szCs w:val="21"/>
          <w:u w:val="single"/>
        </w:rPr>
      </w:pPr>
      <w:r>
        <w:rPr>
          <w:rFonts w:hint="eastAsia" w:ascii="宋体" w:hAnsi="宋体" w:cs="宋体"/>
          <w:color w:val="auto"/>
          <w:szCs w:val="21"/>
        </w:rPr>
        <w:t>（12）承包人使用新技术、工法、工艺的承诺</w:t>
      </w:r>
      <w:r>
        <w:rPr>
          <w:rFonts w:hint="eastAsia" w:ascii="宋体" w:hAnsi="宋体" w:cs="宋体"/>
          <w:color w:val="auto"/>
          <w:szCs w:val="21"/>
          <w:u w:val="single"/>
        </w:rPr>
        <w:t xml:space="preserve">：   /         </w:t>
      </w:r>
    </w:p>
    <w:p w14:paraId="74341EFA">
      <w:pPr>
        <w:spacing w:line="360" w:lineRule="exact"/>
        <w:rPr>
          <w:rFonts w:ascii="宋体" w:hAnsi="宋体" w:cs="宋体"/>
          <w:color w:val="auto"/>
          <w:szCs w:val="21"/>
          <w:u w:val="single"/>
        </w:rPr>
      </w:pPr>
      <w:r>
        <w:rPr>
          <w:rFonts w:hint="eastAsia" w:ascii="宋体" w:hAnsi="宋体" w:cs="宋体"/>
          <w:color w:val="auto"/>
          <w:szCs w:val="21"/>
          <w:u w:val="single"/>
        </w:rPr>
        <w:t xml:space="preserve">                                                         。</w:t>
      </w:r>
    </w:p>
    <w:p w14:paraId="3C51DB75">
      <w:pPr>
        <w:spacing w:line="360" w:lineRule="exact"/>
        <w:ind w:firstLine="420" w:firstLineChars="200"/>
        <w:rPr>
          <w:rFonts w:ascii="宋体" w:hAnsi="宋体" w:cs="宋体"/>
          <w:color w:val="auto"/>
          <w:szCs w:val="21"/>
        </w:rPr>
      </w:pPr>
      <w:r>
        <w:rPr>
          <w:rFonts w:hint="eastAsia" w:ascii="宋体" w:hAnsi="宋体" w:cs="宋体"/>
          <w:color w:val="auto"/>
          <w:szCs w:val="21"/>
        </w:rPr>
        <w:t>3.2 项目经理</w:t>
      </w:r>
    </w:p>
    <w:p w14:paraId="5287FAAC">
      <w:pPr>
        <w:spacing w:line="360" w:lineRule="exact"/>
        <w:ind w:firstLine="420" w:firstLineChars="200"/>
        <w:rPr>
          <w:rFonts w:ascii="宋体" w:hAnsi="宋体" w:cs="宋体"/>
          <w:color w:val="auto"/>
          <w:szCs w:val="21"/>
        </w:rPr>
      </w:pPr>
      <w:r>
        <w:rPr>
          <w:rFonts w:hint="eastAsia" w:ascii="宋体" w:hAnsi="宋体" w:cs="宋体"/>
          <w:color w:val="auto"/>
          <w:szCs w:val="21"/>
        </w:rPr>
        <w:t>3.2.1 项目经理：</w:t>
      </w:r>
    </w:p>
    <w:p w14:paraId="5E9B498B">
      <w:pPr>
        <w:spacing w:line="360" w:lineRule="exact"/>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 </w:t>
      </w:r>
      <w:r>
        <w:rPr>
          <w:rFonts w:hint="eastAsia" w:ascii="宋体" w:hAnsi="宋体" w:cs="宋体"/>
          <w:color w:val="auto"/>
          <w:szCs w:val="21"/>
        </w:rPr>
        <w:t>；</w:t>
      </w:r>
    </w:p>
    <w:p w14:paraId="1CC05DF9">
      <w:pPr>
        <w:spacing w:line="360" w:lineRule="exact"/>
        <w:ind w:firstLine="420" w:firstLineChars="200"/>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 </w:t>
      </w:r>
      <w:r>
        <w:rPr>
          <w:rFonts w:hint="eastAsia" w:ascii="宋体" w:hAnsi="宋体" w:cs="宋体"/>
          <w:color w:val="auto"/>
          <w:szCs w:val="21"/>
        </w:rPr>
        <w:t>；</w:t>
      </w:r>
    </w:p>
    <w:p w14:paraId="0A8D0F07">
      <w:pPr>
        <w:spacing w:line="360" w:lineRule="exact"/>
        <w:ind w:firstLine="420" w:firstLineChars="200"/>
        <w:rPr>
          <w:rFonts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single"/>
        </w:rPr>
        <w:t>    </w:t>
      </w:r>
      <w:r>
        <w:rPr>
          <w:rFonts w:hint="eastAsia" w:ascii="宋体" w:hAnsi="宋体" w:cs="宋体"/>
          <w:color w:val="auto"/>
          <w:szCs w:val="21"/>
        </w:rPr>
        <w:t>；</w:t>
      </w:r>
    </w:p>
    <w:p w14:paraId="59FA08A6">
      <w:pPr>
        <w:spacing w:line="360" w:lineRule="exact"/>
        <w:ind w:firstLine="420" w:firstLineChars="200"/>
        <w:rPr>
          <w:rFonts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single"/>
        </w:rPr>
        <w:t>  </w:t>
      </w:r>
      <w:r>
        <w:rPr>
          <w:rFonts w:hint="eastAsia" w:ascii="宋体" w:hAnsi="宋体" w:cs="宋体"/>
          <w:color w:val="auto"/>
          <w:szCs w:val="21"/>
        </w:rPr>
        <w:t>；</w:t>
      </w:r>
    </w:p>
    <w:p w14:paraId="25D41F14">
      <w:pPr>
        <w:spacing w:line="360" w:lineRule="exact"/>
        <w:ind w:firstLine="420" w:firstLineChars="200"/>
        <w:rPr>
          <w:rFonts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single"/>
        </w:rPr>
        <w:t>  </w:t>
      </w:r>
      <w:r>
        <w:rPr>
          <w:rFonts w:hint="eastAsia" w:ascii="宋体" w:hAnsi="宋体" w:cs="宋体"/>
          <w:color w:val="auto"/>
          <w:szCs w:val="21"/>
        </w:rPr>
        <w:t>；</w:t>
      </w:r>
    </w:p>
    <w:p w14:paraId="1D274E4E">
      <w:pPr>
        <w:spacing w:line="360" w:lineRule="exact"/>
        <w:ind w:firstLine="420" w:firstLineChars="200"/>
        <w:rPr>
          <w:rFonts w:ascii="宋体" w:hAnsi="宋体" w:cs="宋体"/>
          <w:color w:val="auto"/>
          <w:szCs w:val="21"/>
        </w:rPr>
      </w:pPr>
      <w:r>
        <w:rPr>
          <w:rFonts w:hint="eastAsia" w:ascii="宋体" w:hAnsi="宋体" w:cs="宋体"/>
          <w:color w:val="auto"/>
          <w:szCs w:val="21"/>
        </w:rPr>
        <w:t>安全生产考核合格证书号：</w:t>
      </w:r>
      <w:r>
        <w:rPr>
          <w:rFonts w:hint="eastAsia" w:ascii="宋体" w:hAnsi="宋体" w:cs="宋体"/>
          <w:color w:val="auto"/>
          <w:szCs w:val="21"/>
          <w:u w:val="single"/>
        </w:rPr>
        <w:t>  </w:t>
      </w:r>
      <w:r>
        <w:rPr>
          <w:rFonts w:hint="eastAsia" w:ascii="宋体" w:hAnsi="宋体" w:cs="宋体"/>
          <w:color w:val="auto"/>
          <w:szCs w:val="21"/>
        </w:rPr>
        <w:t>；</w:t>
      </w:r>
    </w:p>
    <w:p w14:paraId="534A7801">
      <w:pPr>
        <w:spacing w:line="3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 </w:t>
      </w:r>
      <w:r>
        <w:rPr>
          <w:rFonts w:hint="eastAsia" w:ascii="宋体" w:hAnsi="宋体" w:cs="宋体"/>
          <w:color w:val="auto"/>
          <w:szCs w:val="21"/>
        </w:rPr>
        <w:t>；</w:t>
      </w:r>
    </w:p>
    <w:p w14:paraId="134F2EEB">
      <w:pPr>
        <w:spacing w:line="360" w:lineRule="exact"/>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 </w:t>
      </w:r>
      <w:r>
        <w:rPr>
          <w:rFonts w:hint="eastAsia" w:ascii="宋体" w:hAnsi="宋体" w:cs="宋体"/>
          <w:color w:val="auto"/>
          <w:szCs w:val="21"/>
        </w:rPr>
        <w:t>；</w:t>
      </w:r>
    </w:p>
    <w:p w14:paraId="12A46424">
      <w:pPr>
        <w:spacing w:line="360" w:lineRule="exact"/>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14:paraId="7B1367BB">
      <w:pPr>
        <w:spacing w:line="360" w:lineRule="exact"/>
        <w:ind w:firstLine="420" w:firstLineChars="200"/>
        <w:rPr>
          <w:rFonts w:ascii="宋体" w:hAnsi="宋体" w:cs="宋体"/>
          <w:color w:val="auto"/>
          <w:szCs w:val="21"/>
        </w:rPr>
      </w:pPr>
      <w:r>
        <w:rPr>
          <w:rFonts w:hint="eastAsia" w:ascii="宋体" w:hAnsi="宋体" w:cs="宋体"/>
          <w:color w:val="auto"/>
          <w:szCs w:val="21"/>
        </w:rPr>
        <w:t xml:space="preserve">承包人对项目经理的授权范围如下：  </w:t>
      </w:r>
      <w:r>
        <w:rPr>
          <w:rFonts w:hint="eastAsia" w:ascii="宋体" w:hAnsi="宋体" w:cs="宋体"/>
          <w:color w:val="auto"/>
          <w:szCs w:val="21"/>
          <w:u w:val="single"/>
        </w:rPr>
        <w:t xml:space="preserve">     在满足相关规定的前提下，承包人自行确定      </w:t>
      </w:r>
      <w:r>
        <w:rPr>
          <w:rFonts w:hint="eastAsia" w:ascii="宋体" w:hAnsi="宋体" w:cs="宋体"/>
          <w:color w:val="auto"/>
          <w:szCs w:val="21"/>
        </w:rPr>
        <w:t>。</w:t>
      </w:r>
    </w:p>
    <w:p w14:paraId="34DBE050">
      <w:pPr>
        <w:spacing w:line="360" w:lineRule="exact"/>
        <w:ind w:firstLine="420" w:firstLineChars="200"/>
        <w:rPr>
          <w:rFonts w:ascii="宋体" w:hAnsi="宋体" w:cs="宋体"/>
          <w:color w:val="auto"/>
          <w:szCs w:val="21"/>
        </w:rPr>
      </w:pPr>
      <w:r>
        <w:rPr>
          <w:rFonts w:hint="eastAsia" w:ascii="宋体" w:hAnsi="宋体" w:cs="宋体"/>
          <w:color w:val="auto"/>
          <w:szCs w:val="21"/>
        </w:rPr>
        <w:t>关于项目经理每月在施工现场的时间要求：</w:t>
      </w:r>
      <w:r>
        <w:rPr>
          <w:rFonts w:hint="eastAsia" w:ascii="宋体" w:hAnsi="宋体" w:cs="宋体"/>
          <w:color w:val="auto"/>
          <w:szCs w:val="21"/>
          <w:u w:val="single"/>
        </w:rPr>
        <w:t xml:space="preserve">  月到岗率须达到24天</w:t>
      </w:r>
      <w:r>
        <w:rPr>
          <w:rFonts w:hint="eastAsia" w:ascii="宋体" w:hAnsi="宋体" w:cs="宋体"/>
          <w:color w:val="auto"/>
          <w:szCs w:val="21"/>
        </w:rPr>
        <w:t>。</w:t>
      </w:r>
    </w:p>
    <w:p w14:paraId="6CF9F5CF">
      <w:pPr>
        <w:spacing w:line="360" w:lineRule="exact"/>
        <w:ind w:firstLine="420" w:firstLineChars="200"/>
        <w:rPr>
          <w:rFonts w:ascii="宋体" w:hAnsi="宋体" w:cs="宋体"/>
          <w:color w:val="auto"/>
          <w:szCs w:val="21"/>
        </w:rPr>
      </w:pPr>
      <w:r>
        <w:rPr>
          <w:rFonts w:hint="eastAsia" w:ascii="宋体" w:hAnsi="宋体" w:cs="宋体"/>
          <w:color w:val="auto"/>
          <w:szCs w:val="21"/>
        </w:rPr>
        <w:t>承包人未提交劳动合同，以及没有为项目经理缴纳社会保险证明的违约责任：</w:t>
      </w:r>
      <w:r>
        <w:rPr>
          <w:rFonts w:hint="eastAsia" w:ascii="宋体" w:hAnsi="宋体" w:cs="宋体"/>
          <w:color w:val="auto"/>
          <w:szCs w:val="21"/>
          <w:u w:val="single"/>
        </w:rPr>
        <w:t>发包人有权要求更换项目经理，由此增加的费用和（或）延误的工期由承包人承担，并承担违约责任</w:t>
      </w:r>
      <w:r>
        <w:rPr>
          <w:rFonts w:hint="eastAsia" w:ascii="宋体" w:hAnsi="宋体" w:cs="宋体"/>
          <w:color w:val="auto"/>
          <w:szCs w:val="21"/>
        </w:rPr>
        <w:t>。</w:t>
      </w:r>
    </w:p>
    <w:p w14:paraId="043EF7CD">
      <w:pPr>
        <w:spacing w:line="360" w:lineRule="exact"/>
        <w:ind w:firstLine="420" w:firstLineChars="200"/>
        <w:rPr>
          <w:rFonts w:ascii="宋体" w:hAnsi="宋体" w:cs="宋体"/>
          <w:color w:val="auto"/>
          <w:szCs w:val="21"/>
        </w:rPr>
      </w:pPr>
      <w:r>
        <w:rPr>
          <w:rFonts w:hint="eastAsia" w:ascii="宋体" w:hAnsi="宋体" w:cs="宋体"/>
          <w:color w:val="auto"/>
          <w:szCs w:val="21"/>
        </w:rPr>
        <w:t>项目经理未经批准，擅自离开施工现场的违约责任：</w:t>
      </w:r>
      <w:r>
        <w:rPr>
          <w:rFonts w:hint="eastAsia" w:ascii="宋体" w:hAnsi="宋体" w:cs="宋体"/>
          <w:color w:val="auto"/>
          <w:szCs w:val="21"/>
          <w:u w:val="single"/>
        </w:rPr>
        <w:t>月到岗须达到   天（按投标时的承诺，</w:t>
      </w:r>
      <w:r>
        <w:rPr>
          <w:rFonts w:hint="eastAsia" w:ascii="宋体" w:hAnsi="宋体" w:cs="宋体"/>
          <w:b/>
          <w:bCs/>
          <w:color w:val="auto"/>
          <w:szCs w:val="21"/>
          <w:u w:val="single"/>
        </w:rPr>
        <w:t>到位率不少于95%</w:t>
      </w:r>
      <w:r>
        <w:rPr>
          <w:rFonts w:hint="eastAsia" w:ascii="宋体" w:hAnsi="宋体" w:cs="宋体"/>
          <w:color w:val="auto"/>
          <w:szCs w:val="21"/>
          <w:u w:val="single"/>
        </w:rPr>
        <w:t>），不足天数，每天扣除400元，每月结算，在当期工程款支付时扣除；一个月达不到要求且项目经理不能到岗的，一次性扣除10000元，且发包人有权要求承包人更换项目经理，同时由承包人赔偿发包人由此造成的损失。另遇有工程检查、验收或参观等活动时，无特殊原因不得离开施工现场。</w:t>
      </w:r>
    </w:p>
    <w:p w14:paraId="00169DD3">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3.2.3 承包人擅自更换项目经理的违约责任：</w:t>
      </w:r>
      <w:r>
        <w:rPr>
          <w:rFonts w:hint="eastAsia" w:ascii="宋体" w:hAnsi="宋体" w:cs="宋体"/>
          <w:color w:val="auto"/>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5000元；及至发包人可通知承包人全部解除合同，并赔偿发包人损失。</w:t>
      </w:r>
    </w:p>
    <w:p w14:paraId="457EAEC1">
      <w:pPr>
        <w:spacing w:line="360" w:lineRule="exact"/>
        <w:ind w:firstLine="420" w:firstLineChars="200"/>
        <w:rPr>
          <w:rFonts w:ascii="宋体" w:hAnsi="宋体" w:cs="宋体"/>
          <w:color w:val="auto"/>
          <w:szCs w:val="21"/>
        </w:rPr>
      </w:pPr>
      <w:r>
        <w:rPr>
          <w:rFonts w:hint="eastAsia" w:ascii="宋体" w:hAnsi="宋体" w:cs="宋体"/>
          <w:color w:val="auto"/>
          <w:szCs w:val="21"/>
        </w:rPr>
        <w:t>3.2.4 承包人无正当理由拒绝更换项目经理的违约责任：</w:t>
      </w:r>
      <w:r>
        <w:rPr>
          <w:rFonts w:hint="eastAsia" w:ascii="宋体" w:hAnsi="宋体" w:cs="宋体"/>
          <w:color w:val="auto"/>
          <w:szCs w:val="21"/>
          <w:u w:val="single"/>
        </w:rPr>
        <w:t>发包人可通知承包人全部解除合同，同时赔偿发包人损失。</w:t>
      </w:r>
    </w:p>
    <w:p w14:paraId="532C9C0D">
      <w:pPr>
        <w:spacing w:line="360" w:lineRule="exact"/>
        <w:ind w:firstLine="420" w:firstLineChars="200"/>
        <w:rPr>
          <w:rFonts w:ascii="宋体" w:hAnsi="宋体" w:cs="宋体"/>
          <w:color w:val="auto"/>
          <w:szCs w:val="21"/>
        </w:rPr>
      </w:pPr>
      <w:r>
        <w:rPr>
          <w:rFonts w:hint="eastAsia" w:ascii="宋体" w:hAnsi="宋体" w:cs="宋体"/>
          <w:color w:val="auto"/>
          <w:szCs w:val="21"/>
        </w:rPr>
        <w:t>3.3 承包人人员</w:t>
      </w:r>
    </w:p>
    <w:p w14:paraId="3355E881">
      <w:pPr>
        <w:spacing w:line="360" w:lineRule="exact"/>
        <w:ind w:firstLine="420" w:firstLineChars="200"/>
        <w:rPr>
          <w:rFonts w:ascii="宋体" w:hAnsi="宋体" w:cs="宋体"/>
          <w:color w:val="auto"/>
          <w:szCs w:val="21"/>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single"/>
        </w:rPr>
        <w:t xml:space="preserve"> 接到开工通知（或确定开工日期）后7天内 </w:t>
      </w:r>
      <w:r>
        <w:rPr>
          <w:rFonts w:hint="eastAsia" w:ascii="宋体" w:hAnsi="宋体" w:cs="宋体"/>
          <w:color w:val="auto"/>
          <w:szCs w:val="21"/>
        </w:rPr>
        <w:t>。</w:t>
      </w:r>
    </w:p>
    <w:p w14:paraId="0B461D9D">
      <w:pPr>
        <w:spacing w:line="360" w:lineRule="exact"/>
        <w:ind w:firstLine="420" w:firstLineChars="200"/>
        <w:rPr>
          <w:rFonts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发包人可通知承包人全部解除合同，同时赔偿发包人损失。</w:t>
      </w:r>
    </w:p>
    <w:p w14:paraId="766D2E56">
      <w:pPr>
        <w:spacing w:line="360" w:lineRule="exact"/>
        <w:ind w:firstLine="357" w:firstLineChars="170"/>
        <w:rPr>
          <w:rFonts w:ascii="宋体" w:hAnsi="宋体" w:cs="宋体"/>
          <w:color w:val="auto"/>
          <w:szCs w:val="21"/>
          <w:u w:val="single"/>
        </w:rPr>
      </w:pPr>
      <w:r>
        <w:rPr>
          <w:rFonts w:hint="eastAsia" w:ascii="宋体" w:hAnsi="宋体" w:cs="宋体"/>
          <w:color w:val="auto"/>
          <w:szCs w:val="21"/>
        </w:rPr>
        <w:t>3.3.4 承包人主要施工管理人员离开施工现场的批准要求：</w:t>
      </w:r>
      <w:r>
        <w:rPr>
          <w:rFonts w:hint="eastAsia" w:ascii="宋体" w:hAnsi="宋体" w:cs="宋体"/>
          <w:color w:val="auto"/>
          <w:szCs w:val="21"/>
          <w:u w:val="single"/>
        </w:rPr>
        <w:t>按通用条款执行；另遇有工程检查、验收或参观等活动时，无特殊原因不得请假</w:t>
      </w:r>
      <w:r>
        <w:rPr>
          <w:rFonts w:hint="eastAsia" w:ascii="宋体" w:hAnsi="宋体" w:cs="宋体"/>
          <w:color w:val="auto"/>
          <w:szCs w:val="21"/>
        </w:rPr>
        <w:t>。</w:t>
      </w:r>
    </w:p>
    <w:p w14:paraId="56EEAB3E">
      <w:pPr>
        <w:spacing w:line="360" w:lineRule="exact"/>
        <w:ind w:firstLine="420" w:firstLineChars="200"/>
        <w:rPr>
          <w:rFonts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color w:val="auto"/>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5000元；其他关键岗位人员每更换一人次扣除1000元。</w:t>
      </w:r>
    </w:p>
    <w:p w14:paraId="49C58A1D">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承包人主要施工管理人员擅自离开施工现场的违约责任：</w:t>
      </w:r>
      <w:r>
        <w:rPr>
          <w:rFonts w:hint="eastAsia" w:ascii="宋体" w:hAnsi="宋体" w:cs="宋体"/>
          <w:color w:val="auto"/>
          <w:szCs w:val="21"/>
          <w:u w:val="single"/>
        </w:rPr>
        <w:t>关键岗位人员到岗达不到24天的，不足天数每人次每天扣除100元，每月结算，在当期工程款支付时扣除。某关键岗位人员连续三个月到岗率达不到要求且不能到岗的，一次性扣除10000元（含前三个月已扣除的），且发包人有权要求承包人更换该关键岗位人员。</w:t>
      </w:r>
    </w:p>
    <w:p w14:paraId="32BF820A">
      <w:pPr>
        <w:spacing w:line="360" w:lineRule="exact"/>
        <w:ind w:firstLine="420" w:firstLineChars="200"/>
        <w:rPr>
          <w:rFonts w:ascii="宋体" w:hAnsi="宋体" w:cs="宋体"/>
          <w:color w:val="auto"/>
          <w:szCs w:val="21"/>
        </w:rPr>
      </w:pPr>
      <w:r>
        <w:rPr>
          <w:rFonts w:hint="eastAsia" w:ascii="宋体" w:hAnsi="宋体" w:cs="宋体"/>
          <w:color w:val="auto"/>
          <w:szCs w:val="21"/>
        </w:rPr>
        <w:t>3</w:t>
      </w:r>
      <w:bookmarkStart w:id="12" w:name="_Toc296503159"/>
      <w:bookmarkStart w:id="13" w:name="_Toc292559869"/>
      <w:bookmarkStart w:id="14" w:name="_Toc297120459"/>
      <w:bookmarkStart w:id="15" w:name="_Toc297048345"/>
      <w:bookmarkStart w:id="16" w:name="_Toc296347158"/>
      <w:bookmarkStart w:id="17" w:name="_Toc296944498"/>
      <w:bookmarkStart w:id="18" w:name="_Toc296346660"/>
      <w:bookmarkStart w:id="19" w:name="_Toc304295523"/>
      <w:bookmarkStart w:id="20" w:name="_Toc300934945"/>
      <w:bookmarkStart w:id="21" w:name="_Toc296891199"/>
      <w:bookmarkStart w:id="22" w:name="_Toc312677988"/>
      <w:bookmarkStart w:id="23" w:name="_Toc297123492"/>
      <w:bookmarkStart w:id="24" w:name="_Toc292559364"/>
      <w:bookmarkStart w:id="25" w:name="_Toc303539102"/>
      <w:bookmarkStart w:id="26" w:name="_Toc296890987"/>
      <w:bookmarkStart w:id="27" w:name="_Toc297216151"/>
      <w:r>
        <w:rPr>
          <w:rFonts w:hint="eastAsia" w:ascii="宋体" w:hAnsi="宋体" w:cs="宋体"/>
          <w:color w:val="auto"/>
          <w:szCs w:val="21"/>
        </w:rPr>
        <w:t>.5 分包</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3459B92B">
      <w:pPr>
        <w:spacing w:line="360" w:lineRule="exact"/>
        <w:ind w:firstLine="420" w:firstLineChars="200"/>
        <w:rPr>
          <w:rFonts w:ascii="宋体" w:hAnsi="宋体" w:cs="宋体"/>
          <w:color w:val="auto"/>
          <w:szCs w:val="21"/>
        </w:rPr>
      </w:pPr>
      <w:r>
        <w:rPr>
          <w:rFonts w:hint="eastAsia" w:ascii="宋体" w:hAnsi="宋体" w:cs="宋体"/>
          <w:color w:val="auto"/>
          <w:szCs w:val="21"/>
        </w:rPr>
        <w:t>3</w:t>
      </w:r>
      <w:bookmarkStart w:id="28" w:name="_Toc300934946"/>
      <w:bookmarkStart w:id="29" w:name="_Toc297048346"/>
      <w:bookmarkStart w:id="30" w:name="_Toc296347159"/>
      <w:bookmarkStart w:id="31" w:name="_Toc296891200"/>
      <w:bookmarkStart w:id="32" w:name="_Toc304295524"/>
      <w:bookmarkStart w:id="33" w:name="_Toc297216152"/>
      <w:bookmarkStart w:id="34" w:name="_Toc297123493"/>
      <w:bookmarkStart w:id="35" w:name="_Toc292559365"/>
      <w:bookmarkStart w:id="36" w:name="_Toc296503160"/>
      <w:bookmarkStart w:id="37" w:name="_Toc296944499"/>
      <w:bookmarkStart w:id="38" w:name="_Toc303539103"/>
      <w:bookmarkStart w:id="39" w:name="_Toc292559870"/>
      <w:bookmarkStart w:id="40" w:name="_Toc297120460"/>
      <w:bookmarkStart w:id="41" w:name="_Toc296346661"/>
      <w:bookmarkStart w:id="42" w:name="_Toc296890988"/>
      <w:bookmarkStart w:id="43" w:name="_Toc318581158"/>
      <w:bookmarkStart w:id="44" w:name="_Toc312677989"/>
      <w:r>
        <w:rPr>
          <w:rFonts w:hint="eastAsia" w:ascii="宋体" w:hAnsi="宋体" w:cs="宋体"/>
          <w:color w:val="auto"/>
          <w:szCs w:val="21"/>
        </w:rPr>
        <w:t>.5.1 分包的一般约定</w:t>
      </w:r>
    </w:p>
    <w:p w14:paraId="79B8E75C">
      <w:pPr>
        <w:spacing w:line="360" w:lineRule="exact"/>
        <w:ind w:firstLine="420" w:firstLineChars="200"/>
        <w:rPr>
          <w:rFonts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 xml:space="preserve">工程主体结构、关键性工作   </w:t>
      </w:r>
      <w:r>
        <w:rPr>
          <w:rFonts w:hint="eastAsia" w:ascii="宋体" w:hAnsi="宋体" w:cs="宋体"/>
          <w:color w:val="auto"/>
          <w:szCs w:val="21"/>
        </w:rPr>
        <w:t>。</w:t>
      </w:r>
    </w:p>
    <w:p w14:paraId="13D2138A">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主体结构、关键性工作的范围：</w:t>
      </w:r>
      <w:r>
        <w:rPr>
          <w:rFonts w:hint="eastAsia" w:ascii="宋体" w:hAnsi="宋体" w:cs="宋体"/>
          <w:color w:val="auto"/>
          <w:szCs w:val="21"/>
          <w:u w:val="single"/>
        </w:rPr>
        <w:t xml:space="preserve">   /                   </w:t>
      </w:r>
      <w:r>
        <w:rPr>
          <w:rFonts w:hint="eastAsia" w:ascii="宋体" w:hAnsi="宋体" w:cs="宋体"/>
          <w:color w:val="auto"/>
          <w:szCs w:val="21"/>
        </w:rPr>
        <w: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5" w:name="_Toc304295525"/>
      <w:bookmarkStart w:id="46" w:name="_Toc296347160"/>
      <w:bookmarkStart w:id="47" w:name="_Toc296503161"/>
      <w:bookmarkStart w:id="48" w:name="_Toc297048347"/>
      <w:bookmarkStart w:id="49" w:name="_Toc297120461"/>
      <w:bookmarkStart w:id="50" w:name="_Toc296891201"/>
      <w:bookmarkStart w:id="51" w:name="_Toc303539104"/>
      <w:bookmarkStart w:id="52" w:name="_Toc296944500"/>
      <w:bookmarkStart w:id="53" w:name="_Toc296346662"/>
      <w:bookmarkStart w:id="54" w:name="_Toc296890989"/>
      <w:bookmarkStart w:id="55" w:name="_Toc300934947"/>
      <w:bookmarkStart w:id="56" w:name="_Toc297216153"/>
      <w:bookmarkStart w:id="57" w:name="_Toc297123494"/>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5618BF2A">
      <w:pPr>
        <w:spacing w:line="360" w:lineRule="exact"/>
        <w:rPr>
          <w:rFonts w:ascii="宋体" w:hAnsi="宋体" w:cs="宋体"/>
          <w:color w:val="auto"/>
          <w:szCs w:val="21"/>
        </w:rPr>
      </w:pPr>
      <w:r>
        <w:rPr>
          <w:rFonts w:hint="eastAsia" w:ascii="宋体" w:hAnsi="宋体" w:cs="宋体"/>
          <w:color w:val="auto"/>
          <w:szCs w:val="21"/>
        </w:rPr>
        <w:t xml:space="preserve">    3</w:t>
      </w:r>
      <w:bookmarkStart w:id="58" w:name="_Toc312677990"/>
      <w:bookmarkStart w:id="59" w:name="_Toc318581159"/>
      <w:r>
        <w:rPr>
          <w:rFonts w:hint="eastAsia" w:ascii="宋体" w:hAnsi="宋体" w:cs="宋体"/>
          <w:color w:val="auto"/>
          <w:szCs w:val="21"/>
        </w:rPr>
        <w:t>.5.2分包的确定</w:t>
      </w:r>
    </w:p>
    <w:p w14:paraId="1527445D">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 xml:space="preserve">        /                  </w:t>
      </w:r>
      <w:r>
        <w:rPr>
          <w:rFonts w:hint="eastAsia" w:ascii="宋体" w:hAnsi="宋体" w:cs="宋体"/>
          <w:color w:val="auto"/>
          <w:szCs w:val="21"/>
        </w:rPr>
        <w:t>。</w:t>
      </w:r>
    </w:p>
    <w:p w14:paraId="45C45657">
      <w:pPr>
        <w:spacing w:line="360" w:lineRule="exact"/>
        <w:ind w:firstLine="420" w:firstLineChars="200"/>
        <w:rPr>
          <w:rFonts w:ascii="宋体" w:hAnsi="宋体" w:cs="宋体"/>
          <w:color w:val="auto"/>
          <w:szCs w:val="21"/>
        </w:rPr>
      </w:pPr>
      <w:r>
        <w:rPr>
          <w:rFonts w:hint="eastAsia" w:ascii="宋体" w:hAnsi="宋体" w:cs="宋体"/>
          <w:color w:val="auto"/>
          <w:szCs w:val="21"/>
        </w:rPr>
        <w:t>其他关于分包的约定：</w:t>
      </w:r>
      <w:r>
        <w:rPr>
          <w:rFonts w:hint="eastAsia" w:ascii="宋体" w:hAnsi="宋体" w:cs="宋体"/>
          <w:color w:val="auto"/>
          <w:szCs w:val="21"/>
          <w:u w:val="single"/>
        </w:rPr>
        <w:t xml:space="preserve">                  /                </w:t>
      </w:r>
      <w:r>
        <w:rPr>
          <w:rFonts w:hint="eastAsia" w:ascii="宋体" w:hAnsi="宋体" w:cs="宋体"/>
          <w:color w:val="auto"/>
          <w:szCs w:val="21"/>
        </w:rPr>
        <w:t>。</w:t>
      </w:r>
    </w:p>
    <w:p w14:paraId="780DEF01">
      <w:pPr>
        <w:spacing w:line="360" w:lineRule="exact"/>
        <w:ind w:firstLine="420" w:firstLineChars="200"/>
        <w:rPr>
          <w:rFonts w:ascii="宋体" w:hAnsi="宋体" w:cs="宋体"/>
          <w:color w:val="auto"/>
          <w:szCs w:val="21"/>
        </w:rPr>
      </w:pPr>
      <w:r>
        <w:rPr>
          <w:rFonts w:hint="eastAsia" w:ascii="宋体" w:hAnsi="宋体" w:cs="宋体"/>
          <w:color w:val="auto"/>
          <w:szCs w:val="21"/>
        </w:rPr>
        <w:t>3.5.4 分包合同价款</w:t>
      </w:r>
    </w:p>
    <w:p w14:paraId="22377BD9">
      <w:pPr>
        <w:spacing w:line="360" w:lineRule="exact"/>
        <w:ind w:firstLine="420" w:firstLineChars="200"/>
        <w:rPr>
          <w:rFonts w:ascii="宋体" w:hAnsi="宋体" w:cs="宋体"/>
          <w:color w:val="auto"/>
          <w:szCs w:val="21"/>
        </w:rPr>
      </w:pPr>
      <w:r>
        <w:rPr>
          <w:rFonts w:hint="eastAsia" w:ascii="宋体" w:hAnsi="宋体" w:cs="宋体"/>
          <w:color w:val="auto"/>
          <w:szCs w:val="21"/>
        </w:rPr>
        <w:t>关于分包合同价款支付的约定：</w:t>
      </w:r>
      <w:r>
        <w:rPr>
          <w:rFonts w:hint="eastAsia" w:ascii="宋体" w:hAnsi="宋体" w:cs="宋体"/>
          <w:color w:val="auto"/>
          <w:szCs w:val="21"/>
          <w:u w:val="single"/>
        </w:rPr>
        <w:t xml:space="preserve">      /                </w:t>
      </w:r>
      <w:r>
        <w:rPr>
          <w:rFonts w:hint="eastAsia" w:ascii="宋体" w:hAnsi="宋体" w:cs="宋体"/>
          <w:color w:val="auto"/>
          <w:szCs w:val="21"/>
        </w:rPr>
        <w:t>。</w:t>
      </w:r>
    </w:p>
    <w:bookmarkEnd w:id="58"/>
    <w:bookmarkEnd w:id="59"/>
    <w:p w14:paraId="0282C5CB">
      <w:pPr>
        <w:spacing w:line="360" w:lineRule="exact"/>
        <w:ind w:firstLine="420" w:firstLineChars="200"/>
        <w:rPr>
          <w:rFonts w:ascii="宋体" w:hAnsi="宋体" w:cs="宋体"/>
          <w:color w:val="auto"/>
          <w:szCs w:val="21"/>
        </w:rPr>
      </w:pPr>
      <w:r>
        <w:rPr>
          <w:rFonts w:hint="eastAsia" w:ascii="宋体" w:hAnsi="宋体" w:cs="宋体"/>
          <w:color w:val="auto"/>
          <w:szCs w:val="21"/>
        </w:rPr>
        <w:t>3.6 工程照管与成品、半成品保护</w:t>
      </w:r>
    </w:p>
    <w:p w14:paraId="210DF76D">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承包人负责照管工程及工程相关的材料、工程设备的起始时间：</w:t>
      </w:r>
      <w:r>
        <w:rPr>
          <w:rFonts w:hint="eastAsia" w:ascii="宋体" w:hAnsi="宋体" w:cs="宋体"/>
          <w:color w:val="auto"/>
          <w:szCs w:val="21"/>
          <w:u w:val="single"/>
        </w:rPr>
        <w:t>按合同通用条款执行</w:t>
      </w:r>
      <w:r>
        <w:rPr>
          <w:rFonts w:hint="eastAsia" w:ascii="宋体" w:hAnsi="宋体" w:cs="宋体"/>
          <w:color w:val="auto"/>
          <w:szCs w:val="21"/>
        </w:rPr>
        <w:t>。</w:t>
      </w:r>
    </w:p>
    <w:p w14:paraId="3213C4A2">
      <w:pPr>
        <w:spacing w:line="360" w:lineRule="exact"/>
        <w:ind w:firstLine="420" w:firstLineChars="200"/>
        <w:rPr>
          <w:rFonts w:ascii="宋体" w:hAnsi="宋体" w:cs="宋体"/>
          <w:color w:val="auto"/>
          <w:szCs w:val="21"/>
        </w:rPr>
      </w:pPr>
      <w:r>
        <w:rPr>
          <w:rFonts w:hint="eastAsia" w:ascii="宋体" w:hAnsi="宋体" w:cs="宋体"/>
          <w:color w:val="auto"/>
          <w:szCs w:val="21"/>
        </w:rPr>
        <w:t>3.7 履约担保</w:t>
      </w:r>
    </w:p>
    <w:p w14:paraId="7FD20E74">
      <w:pPr>
        <w:spacing w:line="360" w:lineRule="exact"/>
        <w:ind w:firstLine="420" w:firstLineChars="200"/>
        <w:rPr>
          <w:rFonts w:ascii="宋体" w:hAnsi="宋体" w:cs="宋体"/>
          <w:color w:val="auto"/>
          <w:szCs w:val="21"/>
        </w:rPr>
      </w:pPr>
      <w:r>
        <w:rPr>
          <w:rFonts w:hint="eastAsia" w:ascii="宋体" w:hAnsi="宋体" w:cs="宋体"/>
          <w:color w:val="auto"/>
          <w:szCs w:val="21"/>
        </w:rPr>
        <w:t>承包人是否提供履约担保：</w:t>
      </w:r>
      <w:r>
        <w:rPr>
          <w:rFonts w:hint="eastAsia" w:ascii="宋体" w:hAnsi="宋体" w:cs="宋体"/>
          <w:color w:val="auto"/>
          <w:szCs w:val="21"/>
          <w:u w:val="single"/>
        </w:rPr>
        <w:t xml:space="preserve">   否   </w:t>
      </w:r>
      <w:r>
        <w:rPr>
          <w:rFonts w:hint="eastAsia" w:ascii="宋体" w:hAnsi="宋体" w:cs="宋体"/>
          <w:color w:val="auto"/>
          <w:szCs w:val="21"/>
        </w:rPr>
        <w:t>。</w:t>
      </w:r>
    </w:p>
    <w:p w14:paraId="5BE3A73A">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承包人提供履约担保的形式、金额及期限的：</w:t>
      </w:r>
      <w:r>
        <w:rPr>
          <w:rFonts w:hint="eastAsia" w:ascii="宋体" w:hAnsi="宋体" w:cs="宋体"/>
          <w:color w:val="auto"/>
          <w:szCs w:val="21"/>
          <w:u w:val="single"/>
        </w:rPr>
        <w:t>/</w:t>
      </w:r>
      <w:r>
        <w:rPr>
          <w:rFonts w:hint="eastAsia" w:ascii="宋体" w:hAnsi="宋体" w:cs="宋体"/>
          <w:color w:val="auto"/>
          <w:szCs w:val="21"/>
        </w:rPr>
        <w:t>。</w:t>
      </w:r>
    </w:p>
    <w:p w14:paraId="1A1779E6">
      <w:pPr>
        <w:pStyle w:val="9"/>
        <w:spacing w:before="0" w:after="0" w:line="360" w:lineRule="exact"/>
        <w:rPr>
          <w:rFonts w:ascii="宋体" w:hAnsi="宋体" w:eastAsia="宋体" w:cs="宋体"/>
          <w:b w:val="0"/>
          <w:color w:val="auto"/>
          <w:sz w:val="21"/>
          <w:szCs w:val="21"/>
        </w:rPr>
      </w:pPr>
      <w:bookmarkStart w:id="60" w:name="_Toc351203636"/>
      <w:r>
        <w:rPr>
          <w:rFonts w:hint="eastAsia" w:ascii="宋体" w:hAnsi="宋体" w:eastAsia="宋体" w:cs="宋体"/>
          <w:b w:val="0"/>
          <w:color w:val="auto"/>
          <w:sz w:val="21"/>
          <w:szCs w:val="21"/>
        </w:rPr>
        <w:t>4</w:t>
      </w:r>
      <w:bookmarkStart w:id="61" w:name="_Toc296347161"/>
      <w:bookmarkStart w:id="62" w:name="_Toc297048348"/>
      <w:bookmarkStart w:id="63" w:name="_Toc296346663"/>
      <w:bookmarkStart w:id="64" w:name="_Toc296890990"/>
      <w:bookmarkStart w:id="65" w:name="_Toc292559366"/>
      <w:bookmarkStart w:id="66" w:name="_Toc296891202"/>
      <w:bookmarkStart w:id="67" w:name="_Toc296503162"/>
      <w:bookmarkStart w:id="68" w:name="_Toc297120462"/>
      <w:bookmarkStart w:id="69" w:name="_Toc292559871"/>
      <w:bookmarkStart w:id="70" w:name="_Toc267251413"/>
      <w:bookmarkStart w:id="71" w:name="_Toc296944501"/>
      <w:r>
        <w:rPr>
          <w:rFonts w:hint="eastAsia" w:ascii="宋体" w:hAnsi="宋体" w:eastAsia="宋体" w:cs="宋体"/>
          <w:b w:val="0"/>
          <w:color w:val="auto"/>
          <w:sz w:val="21"/>
          <w:szCs w:val="21"/>
        </w:rPr>
        <w:t>. 监</w:t>
      </w:r>
      <w:bookmarkEnd w:id="61"/>
      <w:bookmarkEnd w:id="62"/>
      <w:bookmarkEnd w:id="63"/>
      <w:bookmarkEnd w:id="64"/>
      <w:bookmarkEnd w:id="65"/>
      <w:bookmarkEnd w:id="66"/>
      <w:bookmarkEnd w:id="67"/>
      <w:bookmarkEnd w:id="68"/>
      <w:bookmarkEnd w:id="69"/>
      <w:bookmarkEnd w:id="70"/>
      <w:bookmarkEnd w:id="71"/>
      <w:r>
        <w:rPr>
          <w:rFonts w:hint="eastAsia" w:ascii="宋体" w:hAnsi="宋体" w:eastAsia="宋体" w:cs="宋体"/>
          <w:b w:val="0"/>
          <w:color w:val="auto"/>
          <w:sz w:val="21"/>
          <w:szCs w:val="21"/>
        </w:rPr>
        <w:t>理人</w:t>
      </w:r>
      <w:bookmarkEnd w:id="60"/>
    </w:p>
    <w:p w14:paraId="5126FB2B">
      <w:pPr>
        <w:spacing w:line="360" w:lineRule="exact"/>
        <w:ind w:firstLine="420" w:firstLineChars="200"/>
        <w:rPr>
          <w:rFonts w:ascii="宋体" w:hAnsi="宋体" w:cs="宋体"/>
          <w:color w:val="auto"/>
          <w:szCs w:val="21"/>
        </w:rPr>
      </w:pPr>
      <w:r>
        <w:rPr>
          <w:rFonts w:hint="eastAsia" w:ascii="宋体" w:hAnsi="宋体" w:cs="宋体"/>
          <w:color w:val="auto"/>
          <w:szCs w:val="21"/>
        </w:rPr>
        <w:t>4.1监理人的一般规定</w:t>
      </w:r>
    </w:p>
    <w:p w14:paraId="7C9F5A04">
      <w:pPr>
        <w:spacing w:line="360" w:lineRule="exact"/>
        <w:ind w:firstLine="420" w:firstLineChars="200"/>
        <w:rPr>
          <w:rFonts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color w:val="auto"/>
          <w:szCs w:val="21"/>
          <w:u w:val="single"/>
        </w:rPr>
        <w:t xml:space="preserve"> 按本工程监理合同约定内容</w:t>
      </w:r>
      <w:r>
        <w:rPr>
          <w:rFonts w:hint="eastAsia" w:ascii="宋体" w:hAnsi="宋体" w:cs="宋体"/>
          <w:color w:val="auto"/>
          <w:szCs w:val="21"/>
        </w:rPr>
        <w:t>。</w:t>
      </w:r>
    </w:p>
    <w:p w14:paraId="17FBA8FD">
      <w:pPr>
        <w:spacing w:line="360" w:lineRule="exact"/>
        <w:ind w:firstLine="420" w:firstLineChars="200"/>
        <w:rPr>
          <w:rFonts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color w:val="auto"/>
          <w:szCs w:val="21"/>
          <w:u w:val="single"/>
        </w:rPr>
        <w:t>按本工程监理合同约定内容，涉及工程变更（含设计变更等参建各方变更）均需报发包人审批后生效</w:t>
      </w:r>
      <w:r>
        <w:rPr>
          <w:rFonts w:hint="eastAsia" w:ascii="宋体" w:hAnsi="宋体" w:cs="宋体"/>
          <w:color w:val="auto"/>
          <w:szCs w:val="21"/>
        </w:rPr>
        <w:t>〕。</w:t>
      </w:r>
    </w:p>
    <w:p w14:paraId="043EB7EC">
      <w:pPr>
        <w:spacing w:line="360" w:lineRule="exact"/>
        <w:ind w:firstLine="420" w:firstLineChars="200"/>
        <w:rPr>
          <w:rFonts w:ascii="宋体" w:hAnsi="宋体" w:cs="宋体"/>
          <w:color w:val="auto"/>
          <w:szCs w:val="21"/>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szCs w:val="21"/>
          <w:u w:val="single"/>
        </w:rPr>
        <w:t xml:space="preserve"> 由承包人免费提供办公室1间使用。</w:t>
      </w:r>
    </w:p>
    <w:p w14:paraId="33769196">
      <w:pPr>
        <w:spacing w:line="360" w:lineRule="exact"/>
        <w:ind w:firstLine="420" w:firstLineChars="200"/>
        <w:rPr>
          <w:rFonts w:ascii="宋体" w:hAnsi="宋体" w:cs="宋体"/>
          <w:color w:val="auto"/>
          <w:szCs w:val="21"/>
        </w:rPr>
      </w:pPr>
      <w:r>
        <w:rPr>
          <w:rFonts w:hint="eastAsia" w:ascii="宋体" w:hAnsi="宋体" w:cs="宋体"/>
          <w:color w:val="auto"/>
          <w:szCs w:val="21"/>
        </w:rPr>
        <w:t>4.2 监理人员</w:t>
      </w:r>
    </w:p>
    <w:p w14:paraId="3CC75751">
      <w:pPr>
        <w:spacing w:line="360" w:lineRule="exact"/>
        <w:ind w:firstLine="420" w:firstLineChars="200"/>
        <w:rPr>
          <w:rFonts w:ascii="宋体" w:hAnsi="宋体" w:cs="宋体"/>
          <w:color w:val="auto"/>
          <w:szCs w:val="21"/>
        </w:rPr>
      </w:pPr>
      <w:r>
        <w:rPr>
          <w:rFonts w:hint="eastAsia" w:ascii="宋体" w:hAnsi="宋体" w:cs="宋体"/>
          <w:color w:val="auto"/>
          <w:szCs w:val="21"/>
        </w:rPr>
        <w:t>总监理工程师：</w:t>
      </w:r>
    </w:p>
    <w:p w14:paraId="19A3730F">
      <w:pPr>
        <w:spacing w:line="360" w:lineRule="exact"/>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w:t>
      </w:r>
      <w:r>
        <w:rPr>
          <w:rFonts w:hint="eastAsia" w:ascii="宋体" w:hAnsi="宋体" w:cs="宋体"/>
          <w:color w:val="auto"/>
          <w:szCs w:val="21"/>
        </w:rPr>
        <w:t>；</w:t>
      </w:r>
    </w:p>
    <w:p w14:paraId="5796E5EC">
      <w:pPr>
        <w:spacing w:line="360" w:lineRule="exact"/>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 </w:t>
      </w:r>
      <w:r>
        <w:rPr>
          <w:rFonts w:hint="eastAsia" w:ascii="宋体" w:hAnsi="宋体" w:cs="宋体"/>
          <w:color w:val="auto"/>
          <w:szCs w:val="21"/>
        </w:rPr>
        <w:t>；</w:t>
      </w:r>
    </w:p>
    <w:p w14:paraId="7F92B745">
      <w:pPr>
        <w:spacing w:line="360" w:lineRule="exact"/>
        <w:ind w:firstLine="420" w:firstLineChars="200"/>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 </w:t>
      </w:r>
      <w:r>
        <w:rPr>
          <w:rFonts w:hint="eastAsia" w:ascii="宋体" w:hAnsi="宋体" w:cs="宋体"/>
          <w:color w:val="auto"/>
          <w:szCs w:val="21"/>
        </w:rPr>
        <w:t>；</w:t>
      </w:r>
    </w:p>
    <w:p w14:paraId="0E22EFD7">
      <w:pPr>
        <w:spacing w:line="36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w:t>
      </w:r>
      <w:r>
        <w:rPr>
          <w:rFonts w:hint="eastAsia" w:ascii="宋体" w:hAnsi="宋体" w:cs="宋体"/>
          <w:color w:val="auto"/>
          <w:szCs w:val="21"/>
        </w:rPr>
        <w:t>；</w:t>
      </w:r>
    </w:p>
    <w:p w14:paraId="4D3E09DF">
      <w:pPr>
        <w:spacing w:line="360" w:lineRule="exact"/>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14:paraId="7C4886BB">
      <w:pPr>
        <w:spacing w:line="360" w:lineRule="exact"/>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45CFDFEC">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关于监理人的其他约定：</w:t>
      </w:r>
      <w:r>
        <w:rPr>
          <w:rFonts w:hint="eastAsia" w:ascii="宋体" w:hAnsi="宋体" w:cs="宋体"/>
          <w:color w:val="auto"/>
          <w:szCs w:val="21"/>
          <w:u w:val="single"/>
        </w:rPr>
        <w:t>                。</w:t>
      </w:r>
    </w:p>
    <w:p w14:paraId="115A9F8D">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（1）监理人授权超出合同约定，承包人有权提出异议，如监理人对于承包人合理的异议不予接受，则承包人可要求发包人就该事项作出处理决定；</w:t>
      </w:r>
    </w:p>
    <w:p w14:paraId="026AC591">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（2）对于监理人更换其委派的监理人员的，监理人在征得发包人同意后应当提前48小时书面通知承包人；</w:t>
      </w:r>
    </w:p>
    <w:p w14:paraId="3E1308B0">
      <w:pPr>
        <w:spacing w:line="360" w:lineRule="exact"/>
        <w:ind w:firstLine="420" w:firstLineChars="200"/>
        <w:rPr>
          <w:rFonts w:ascii="宋体" w:hAnsi="宋体" w:cs="宋体"/>
          <w:color w:val="auto"/>
          <w:szCs w:val="21"/>
        </w:rPr>
      </w:pPr>
      <w:r>
        <w:rPr>
          <w:rFonts w:hint="eastAsia" w:ascii="宋体" w:hAnsi="宋体" w:cs="宋体"/>
          <w:color w:val="auto"/>
          <w:szCs w:val="21"/>
          <w:u w:val="single"/>
        </w:rPr>
        <w:t>（3）监理人对其监理人员的任何授权，承包人均应当要求监理人提供书面的授权，否则，承包人有权拒绝接受监理人员的指示。</w:t>
      </w:r>
    </w:p>
    <w:p w14:paraId="792D1F41">
      <w:pPr>
        <w:spacing w:line="360" w:lineRule="exact"/>
        <w:ind w:firstLine="420" w:firstLineChars="200"/>
        <w:rPr>
          <w:rFonts w:ascii="宋体" w:hAnsi="宋体" w:cs="宋体"/>
          <w:color w:val="auto"/>
          <w:szCs w:val="21"/>
        </w:rPr>
      </w:pPr>
      <w:r>
        <w:rPr>
          <w:rFonts w:hint="eastAsia" w:ascii="宋体" w:hAnsi="宋体" w:cs="宋体"/>
          <w:color w:val="auto"/>
          <w:szCs w:val="21"/>
        </w:rPr>
        <w:t>4.4 商定或确定</w:t>
      </w:r>
    </w:p>
    <w:p w14:paraId="2FFD8FC6">
      <w:pPr>
        <w:spacing w:line="360" w:lineRule="exact"/>
        <w:ind w:firstLine="420" w:firstLineChars="200"/>
        <w:rPr>
          <w:rFonts w:ascii="宋体" w:hAnsi="宋体" w:cs="宋体"/>
          <w:color w:val="auto"/>
          <w:szCs w:val="21"/>
        </w:rPr>
      </w:pPr>
      <w:bookmarkStart w:id="72" w:name="_Toc267251418"/>
      <w:r>
        <w:rPr>
          <w:rFonts w:hint="eastAsia" w:ascii="宋体" w:hAnsi="宋体" w:cs="宋体"/>
          <w:color w:val="auto"/>
          <w:szCs w:val="21"/>
        </w:rPr>
        <w:t>在发包人和承包人不能通过协商达成一致意见时，发包人授权监理人对以下事项进行确定：</w:t>
      </w:r>
    </w:p>
    <w:p w14:paraId="3D8E0A87">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                      </w:t>
      </w:r>
      <w:r>
        <w:rPr>
          <w:rFonts w:hint="eastAsia" w:ascii="宋体" w:hAnsi="宋体" w:cs="宋体"/>
          <w:color w:val="auto"/>
          <w:szCs w:val="21"/>
        </w:rPr>
        <w:t>；</w:t>
      </w:r>
    </w:p>
    <w:p w14:paraId="5042C70B">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                    </w:t>
      </w:r>
      <w:r>
        <w:rPr>
          <w:rFonts w:hint="eastAsia" w:ascii="宋体" w:hAnsi="宋体" w:cs="宋体"/>
          <w:color w:val="auto"/>
          <w:szCs w:val="21"/>
        </w:rPr>
        <w:t>；</w:t>
      </w:r>
    </w:p>
    <w:p w14:paraId="675A25AD">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                /                   </w:t>
      </w:r>
      <w:r>
        <w:rPr>
          <w:rFonts w:hint="eastAsia" w:ascii="宋体" w:hAnsi="宋体" w:cs="宋体"/>
          <w:color w:val="auto"/>
          <w:szCs w:val="21"/>
        </w:rPr>
        <w:t>。</w:t>
      </w:r>
    </w:p>
    <w:p w14:paraId="5E782950">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5</w:t>
      </w:r>
      <w:bookmarkEnd w:id="72"/>
      <w:r>
        <w:rPr>
          <w:rFonts w:hint="eastAsia" w:ascii="宋体" w:hAnsi="宋体" w:eastAsia="宋体" w:cs="宋体"/>
          <w:b w:val="0"/>
          <w:color w:val="auto"/>
          <w:sz w:val="21"/>
          <w:szCs w:val="21"/>
        </w:rPr>
        <w:t>. 工程质量</w:t>
      </w:r>
    </w:p>
    <w:p w14:paraId="7CDAADD5">
      <w:pPr>
        <w:spacing w:line="360" w:lineRule="exact"/>
        <w:ind w:firstLine="420" w:firstLineChars="200"/>
        <w:rPr>
          <w:rFonts w:ascii="宋体" w:hAnsi="宋体" w:cs="宋体"/>
          <w:color w:val="auto"/>
          <w:szCs w:val="21"/>
        </w:rPr>
      </w:pPr>
      <w:r>
        <w:rPr>
          <w:rFonts w:hint="eastAsia" w:ascii="宋体" w:hAnsi="宋体" w:cs="宋体"/>
          <w:color w:val="auto"/>
          <w:szCs w:val="21"/>
        </w:rPr>
        <w:t>5.1 质量要求</w:t>
      </w:r>
    </w:p>
    <w:p w14:paraId="2FA7DD70">
      <w:pPr>
        <w:spacing w:line="360" w:lineRule="exact"/>
        <w:ind w:firstLine="420" w:firstLineChars="200"/>
        <w:rPr>
          <w:rFonts w:ascii="宋体" w:hAnsi="宋体" w:cs="宋体"/>
          <w:color w:val="auto"/>
          <w:szCs w:val="21"/>
        </w:rPr>
      </w:pPr>
      <w:r>
        <w:rPr>
          <w:rFonts w:hint="eastAsia" w:ascii="宋体" w:hAnsi="宋体" w:cs="宋体"/>
          <w:color w:val="auto"/>
          <w:szCs w:val="21"/>
        </w:rPr>
        <w:t>5.1.1 特殊质量标准和要求：</w:t>
      </w:r>
      <w:r>
        <w:rPr>
          <w:rFonts w:hint="eastAsia" w:ascii="宋体" w:hAnsi="宋体" w:cs="宋体"/>
          <w:color w:val="auto"/>
          <w:szCs w:val="21"/>
          <w:u w:val="single"/>
        </w:rPr>
        <w:t xml:space="preserve">      /              </w:t>
      </w:r>
      <w:r>
        <w:rPr>
          <w:rFonts w:hint="eastAsia" w:ascii="宋体" w:hAnsi="宋体" w:cs="宋体"/>
          <w:color w:val="auto"/>
          <w:szCs w:val="21"/>
        </w:rPr>
        <w:t>。</w:t>
      </w:r>
    </w:p>
    <w:p w14:paraId="676AB1A2">
      <w:pPr>
        <w:spacing w:line="360" w:lineRule="exact"/>
        <w:ind w:firstLine="420" w:firstLineChars="200"/>
        <w:rPr>
          <w:rFonts w:ascii="宋体" w:hAnsi="宋体" w:cs="宋体"/>
          <w:color w:val="auto"/>
          <w:szCs w:val="21"/>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31021D7A">
      <w:pPr>
        <w:spacing w:line="360" w:lineRule="exact"/>
        <w:ind w:firstLine="420" w:firstLineChars="200"/>
        <w:rPr>
          <w:rFonts w:ascii="宋体" w:hAnsi="宋体" w:cs="宋体"/>
          <w:color w:val="auto"/>
          <w:szCs w:val="21"/>
        </w:rPr>
      </w:pPr>
      <w:r>
        <w:rPr>
          <w:rFonts w:hint="eastAsia" w:ascii="宋体" w:hAnsi="宋体" w:cs="宋体"/>
          <w:color w:val="auto"/>
          <w:szCs w:val="21"/>
        </w:rPr>
        <w:t>5.3 隐蔽工程检查</w:t>
      </w:r>
    </w:p>
    <w:p w14:paraId="23517765">
      <w:pPr>
        <w:spacing w:line="360" w:lineRule="exact"/>
        <w:ind w:firstLine="420" w:firstLineChars="200"/>
        <w:rPr>
          <w:rFonts w:ascii="宋体" w:hAnsi="宋体" w:cs="宋体"/>
          <w:color w:val="auto"/>
          <w:szCs w:val="21"/>
        </w:rPr>
      </w:pPr>
      <w:r>
        <w:rPr>
          <w:rFonts w:hint="eastAsia" w:ascii="宋体" w:hAnsi="宋体" w:cs="宋体"/>
          <w:color w:val="auto"/>
          <w:szCs w:val="21"/>
        </w:rPr>
        <w:t>5.3.2承包人提前通知监理人隐蔽工程检查的期限的约定：</w:t>
      </w:r>
      <w:r>
        <w:rPr>
          <w:rFonts w:hint="eastAsia" w:ascii="宋体" w:hAnsi="宋体" w:cs="宋体"/>
          <w:color w:val="auto"/>
          <w:szCs w:val="21"/>
          <w:u w:val="single"/>
        </w:rPr>
        <w:t xml:space="preserve"> 按合同通用条款执行。</w:t>
      </w:r>
    </w:p>
    <w:p w14:paraId="25FE024F">
      <w:pPr>
        <w:spacing w:line="360" w:lineRule="exact"/>
        <w:ind w:firstLine="420" w:firstLineChars="200"/>
        <w:rPr>
          <w:rFonts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2C4E0B51">
      <w:pPr>
        <w:spacing w:line="360" w:lineRule="exact"/>
        <w:ind w:firstLine="420" w:firstLineChars="200"/>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24 </w:t>
      </w:r>
      <w:r>
        <w:rPr>
          <w:rFonts w:hint="eastAsia" w:ascii="宋体" w:hAnsi="宋体" w:cs="宋体"/>
          <w:color w:val="auto"/>
          <w:szCs w:val="21"/>
        </w:rPr>
        <w:t>小时，由此导致工期延误的，工期予以顺延。</w:t>
      </w:r>
    </w:p>
    <w:p w14:paraId="69121557">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隐蔽工程验收过程、验收部位除办理纸质验收记录，还应留置验收部位、验收过程、主要验收人员相片、影像等资料。</w:t>
      </w:r>
    </w:p>
    <w:p w14:paraId="0DFBBBE3">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6. 安全文明施工与环境保护</w:t>
      </w:r>
    </w:p>
    <w:p w14:paraId="3897CED0">
      <w:pPr>
        <w:spacing w:line="360" w:lineRule="exact"/>
        <w:ind w:firstLine="420" w:firstLineChars="200"/>
        <w:rPr>
          <w:rFonts w:ascii="宋体" w:hAnsi="宋体" w:cs="宋体"/>
          <w:color w:val="auto"/>
          <w:szCs w:val="21"/>
        </w:rPr>
      </w:pPr>
      <w:r>
        <w:rPr>
          <w:rFonts w:hint="eastAsia" w:ascii="宋体" w:hAnsi="宋体" w:cs="宋体"/>
          <w:color w:val="auto"/>
          <w:szCs w:val="21"/>
        </w:rPr>
        <w:t>6.1安全文明施工</w:t>
      </w:r>
    </w:p>
    <w:p w14:paraId="0234C743">
      <w:pPr>
        <w:spacing w:line="360" w:lineRule="exact"/>
        <w:ind w:firstLine="420" w:firstLineChars="200"/>
        <w:rPr>
          <w:rFonts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 xml:space="preserve"> </w:t>
      </w:r>
      <w:r>
        <w:rPr>
          <w:rFonts w:hint="eastAsia" w:ascii="宋体" w:hAnsi="宋体" w:cs="宋体"/>
          <w:b/>
          <w:color w:val="auto"/>
          <w:szCs w:val="21"/>
          <w:u w:val="single"/>
        </w:rPr>
        <w:t>按《浙江省建筑施工安全标准化管理规定》（浙建建〔2012〕54号）及省、市建筑业、安全监督等相关主管部门发布的有关管理规定执行</w:t>
      </w:r>
      <w:r>
        <w:rPr>
          <w:rFonts w:hint="eastAsia" w:ascii="宋体" w:hAnsi="宋体" w:cs="宋体"/>
          <w:color w:val="auto"/>
          <w:szCs w:val="21"/>
        </w:rPr>
        <w:t>。</w:t>
      </w:r>
    </w:p>
    <w:p w14:paraId="6370E321">
      <w:pPr>
        <w:spacing w:line="360" w:lineRule="exact"/>
        <w:ind w:firstLine="420" w:firstLineChars="200"/>
        <w:rPr>
          <w:rFonts w:ascii="宋体" w:hAnsi="宋体" w:cs="宋体"/>
          <w:color w:val="auto"/>
          <w:szCs w:val="21"/>
        </w:rPr>
      </w:pPr>
      <w:r>
        <w:rPr>
          <w:rFonts w:hint="eastAsia" w:ascii="宋体" w:hAnsi="宋体" w:cs="宋体"/>
          <w:color w:val="auto"/>
          <w:szCs w:val="21"/>
        </w:rPr>
        <w:t>6.1.4 关于治安保卫的特别约定：</w:t>
      </w:r>
      <w:r>
        <w:rPr>
          <w:rFonts w:hint="eastAsia" w:ascii="宋体" w:hAnsi="宋体" w:cs="宋体"/>
          <w:color w:val="auto"/>
          <w:szCs w:val="21"/>
          <w:u w:val="single"/>
        </w:rPr>
        <w:t>按合同通用条款</w:t>
      </w:r>
      <w:r>
        <w:rPr>
          <w:rFonts w:hint="eastAsia" w:ascii="宋体" w:hAnsi="宋体" w:cs="宋体"/>
          <w:color w:val="auto"/>
          <w:szCs w:val="21"/>
        </w:rPr>
        <w:t>。</w:t>
      </w:r>
    </w:p>
    <w:p w14:paraId="3E52DF35">
      <w:pPr>
        <w:spacing w:line="360" w:lineRule="exact"/>
        <w:ind w:firstLine="420" w:firstLineChars="200"/>
        <w:rPr>
          <w:rFonts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按合同通用条款</w:t>
      </w:r>
      <w:r>
        <w:rPr>
          <w:rFonts w:hint="eastAsia" w:ascii="宋体" w:hAnsi="宋体" w:cs="宋体"/>
          <w:color w:val="auto"/>
          <w:szCs w:val="21"/>
        </w:rPr>
        <w:t>。</w:t>
      </w:r>
    </w:p>
    <w:p w14:paraId="739AE826">
      <w:pPr>
        <w:spacing w:line="360" w:lineRule="exact"/>
        <w:ind w:firstLine="420" w:firstLineChars="200"/>
        <w:rPr>
          <w:rFonts w:ascii="宋体" w:hAnsi="宋体" w:cs="宋体"/>
          <w:color w:val="auto"/>
          <w:szCs w:val="21"/>
        </w:rPr>
      </w:pPr>
      <w:r>
        <w:rPr>
          <w:rFonts w:hint="eastAsia" w:ascii="宋体" w:hAnsi="宋体" w:cs="宋体"/>
          <w:color w:val="auto"/>
          <w:szCs w:val="21"/>
        </w:rPr>
        <w:t>6.1.5 文明施工</w:t>
      </w:r>
    </w:p>
    <w:p w14:paraId="76CE6274">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合同当事人对文明施工的要求：</w:t>
      </w:r>
      <w:r>
        <w:rPr>
          <w:rFonts w:hint="eastAsia" w:ascii="宋体" w:hAnsi="宋体" w:cs="宋体"/>
          <w:color w:val="auto"/>
          <w:szCs w:val="21"/>
          <w:u w:val="single"/>
        </w:rPr>
        <w:t>按省、市发有关文明施工管理规定执行</w:t>
      </w:r>
      <w:r>
        <w:rPr>
          <w:rFonts w:hint="eastAsia" w:ascii="宋体" w:hAnsi="宋体" w:cs="宋体"/>
          <w:color w:val="auto"/>
          <w:szCs w:val="21"/>
        </w:rPr>
        <w:t>。</w:t>
      </w:r>
      <w:r>
        <w:rPr>
          <w:rFonts w:hint="eastAsia" w:ascii="宋体" w:hAnsi="宋体" w:cs="宋体"/>
          <w:color w:val="auto"/>
          <w:szCs w:val="21"/>
          <w:u w:val="single"/>
        </w:rPr>
        <w:t>〔创国家、省、市、县（市、区）级安标化工地〕</w:t>
      </w:r>
    </w:p>
    <w:p w14:paraId="220ECB10">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6.1.6 关于安全文明施工费支付比例和支付期限的约定：安</w:t>
      </w:r>
      <w:r>
        <w:rPr>
          <w:rFonts w:hint="eastAsia" w:ascii="宋体" w:hAnsi="宋体" w:cs="宋体"/>
          <w:color w:val="auto"/>
          <w:szCs w:val="21"/>
          <w:u w:val="single"/>
        </w:rPr>
        <w:t>全文明施工费预付费用包含在工程预付款内，与工程预付款一并支付，支付比例为安全文明施工费（不含创标化工地增加费）总额的（ 50  ）% ，金额为（    ）元(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cs="宋体"/>
          <w:color w:val="auto"/>
          <w:szCs w:val="21"/>
        </w:rPr>
        <w:t>。</w:t>
      </w:r>
    </w:p>
    <w:p w14:paraId="311BCD06">
      <w:pPr>
        <w:spacing w:line="360" w:lineRule="exact"/>
        <w:ind w:firstLine="420" w:firstLineChars="200"/>
        <w:rPr>
          <w:rFonts w:ascii="宋体" w:hAnsi="宋体" w:cs="宋体"/>
          <w:color w:val="auto"/>
          <w:szCs w:val="21"/>
        </w:rPr>
      </w:pPr>
      <w:r>
        <w:rPr>
          <w:rFonts w:hint="eastAsia" w:ascii="宋体" w:hAnsi="宋体" w:cs="宋体"/>
          <w:color w:val="auto"/>
          <w:szCs w:val="21"/>
          <w:u w:val="single"/>
        </w:rPr>
        <w:t xml:space="preserve"> 安全文明施工费包含在签约合同价内。承包人经发包人同意采取合同以外的安全措施所产生的费用，由发、承包人协商处理；未经发包人同意，发包人可不承担由此增加费用；</w:t>
      </w:r>
    </w:p>
    <w:p w14:paraId="019DAD00">
      <w:pPr>
        <w:pStyle w:val="9"/>
        <w:spacing w:before="0" w:after="0" w:line="360" w:lineRule="exact"/>
        <w:rPr>
          <w:rFonts w:ascii="宋体" w:hAnsi="宋体" w:eastAsia="宋体" w:cs="宋体"/>
          <w:b w:val="0"/>
          <w:color w:val="auto"/>
          <w:sz w:val="21"/>
          <w:szCs w:val="21"/>
        </w:rPr>
      </w:pPr>
      <w:bookmarkStart w:id="73" w:name="_Toc351203639"/>
      <w:r>
        <w:rPr>
          <w:rFonts w:hint="eastAsia" w:ascii="宋体" w:hAnsi="宋体" w:eastAsia="宋体" w:cs="宋体"/>
          <w:b w:val="0"/>
          <w:color w:val="auto"/>
          <w:sz w:val="21"/>
          <w:szCs w:val="21"/>
        </w:rPr>
        <w:t>7. 工期和进度</w:t>
      </w:r>
      <w:bookmarkEnd w:id="73"/>
    </w:p>
    <w:p w14:paraId="534A1F56">
      <w:pPr>
        <w:spacing w:line="360" w:lineRule="exact"/>
        <w:ind w:firstLine="420" w:firstLineChars="200"/>
        <w:rPr>
          <w:rFonts w:ascii="宋体" w:hAnsi="宋体" w:cs="宋体"/>
          <w:color w:val="auto"/>
          <w:szCs w:val="21"/>
        </w:rPr>
      </w:pPr>
      <w:r>
        <w:rPr>
          <w:rFonts w:hint="eastAsia" w:ascii="宋体" w:hAnsi="宋体" w:cs="宋体"/>
          <w:color w:val="auto"/>
          <w:szCs w:val="21"/>
        </w:rPr>
        <w:t>7.1 施工组织设计</w:t>
      </w:r>
    </w:p>
    <w:p w14:paraId="45C8EEEB">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7.1.1 合同当事人约定的施工组织设计应包括的其他内容：</w:t>
      </w:r>
      <w:r>
        <w:rPr>
          <w:rFonts w:hint="eastAsia" w:ascii="宋体" w:hAnsi="宋体" w:cs="宋体"/>
          <w:color w:val="auto"/>
          <w:szCs w:val="21"/>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14:paraId="397A4DB4">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7.1.2 施工组织设计的提交和修改</w:t>
      </w:r>
    </w:p>
    <w:p w14:paraId="6BD158E0">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承包人提交详细施工组织设计的期限的约定：</w:t>
      </w:r>
      <w:r>
        <w:rPr>
          <w:rFonts w:hint="eastAsia" w:ascii="宋体" w:hAnsi="宋体" w:cs="宋体"/>
          <w:color w:val="auto"/>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color w:val="auto"/>
          <w:szCs w:val="21"/>
        </w:rPr>
        <w:t>；</w:t>
      </w:r>
    </w:p>
    <w:p w14:paraId="000FD788">
      <w:pPr>
        <w:spacing w:line="360" w:lineRule="exact"/>
        <w:ind w:firstLine="420" w:firstLineChars="200"/>
        <w:rPr>
          <w:rFonts w:ascii="宋体" w:hAnsi="宋体" w:cs="宋体"/>
          <w:color w:val="auto"/>
          <w:szCs w:val="21"/>
        </w:rPr>
      </w:pPr>
      <w:r>
        <w:rPr>
          <w:rFonts w:hint="eastAsia" w:ascii="宋体" w:hAnsi="宋体" w:cs="宋体"/>
          <w:color w:val="auto"/>
          <w:szCs w:val="21"/>
        </w:rPr>
        <w:t>发包人和监理人在收到详细的施工组织设计后确认或提出修改意见的期限：</w:t>
      </w:r>
      <w:r>
        <w:rPr>
          <w:rFonts w:hint="eastAsia" w:ascii="宋体" w:hAnsi="宋体" w:cs="宋体"/>
          <w:color w:val="auto"/>
          <w:szCs w:val="21"/>
          <w:u w:val="single"/>
        </w:rPr>
        <w:t>收到相应文件后7天内</w:t>
      </w:r>
      <w:r>
        <w:rPr>
          <w:rFonts w:hint="eastAsia" w:ascii="宋体" w:hAnsi="宋体" w:cs="宋体"/>
          <w:color w:val="auto"/>
          <w:szCs w:val="21"/>
        </w:rPr>
        <w:t>。</w:t>
      </w:r>
    </w:p>
    <w:p w14:paraId="108703AA">
      <w:pPr>
        <w:spacing w:line="360" w:lineRule="exact"/>
        <w:ind w:firstLine="420" w:firstLineChars="200"/>
        <w:rPr>
          <w:rFonts w:ascii="宋体" w:hAnsi="宋体" w:cs="宋体"/>
          <w:color w:val="auto"/>
          <w:szCs w:val="21"/>
        </w:rPr>
      </w:pPr>
      <w:r>
        <w:rPr>
          <w:rFonts w:hint="eastAsia" w:ascii="宋体" w:hAnsi="宋体" w:cs="宋体"/>
          <w:color w:val="auto"/>
          <w:szCs w:val="21"/>
        </w:rPr>
        <w:t>7</w:t>
      </w:r>
      <w:bookmarkStart w:id="74" w:name="_Toc297216173"/>
      <w:bookmarkStart w:id="75" w:name="_Toc297123514"/>
      <w:bookmarkStart w:id="76" w:name="_Toc304295541"/>
      <w:bookmarkStart w:id="77" w:name="_Toc300934966"/>
      <w:bookmarkStart w:id="78" w:name="_Toc312677479"/>
      <w:bookmarkStart w:id="79" w:name="_Toc303539123"/>
      <w:bookmarkStart w:id="80" w:name="_Toc312678005"/>
      <w:r>
        <w:rPr>
          <w:rFonts w:hint="eastAsia" w:ascii="宋体" w:hAnsi="宋体" w:cs="宋体"/>
          <w:color w:val="auto"/>
          <w:szCs w:val="21"/>
        </w:rPr>
        <w:t>.2 施工进度计划</w:t>
      </w:r>
    </w:p>
    <w:p w14:paraId="5F174DD3">
      <w:pPr>
        <w:spacing w:line="360" w:lineRule="exact"/>
        <w:ind w:firstLine="420" w:firstLineChars="200"/>
        <w:rPr>
          <w:rFonts w:ascii="宋体" w:hAnsi="宋体" w:cs="宋体"/>
          <w:color w:val="auto"/>
          <w:szCs w:val="21"/>
        </w:rPr>
      </w:pPr>
      <w:r>
        <w:rPr>
          <w:rFonts w:hint="eastAsia" w:ascii="宋体" w:hAnsi="宋体" w:cs="宋体"/>
          <w:color w:val="auto"/>
          <w:szCs w:val="21"/>
        </w:rPr>
        <w:t>7.2.2 施工进度计划的修订</w:t>
      </w:r>
    </w:p>
    <w:p w14:paraId="6E12BD04">
      <w:pPr>
        <w:spacing w:line="360" w:lineRule="exact"/>
        <w:ind w:firstLine="420" w:firstLineChars="200"/>
        <w:rPr>
          <w:rFonts w:ascii="宋体" w:hAnsi="宋体" w:cs="宋体"/>
          <w:color w:val="auto"/>
          <w:szCs w:val="21"/>
        </w:rPr>
      </w:pPr>
      <w:r>
        <w:rPr>
          <w:rFonts w:hint="eastAsia" w:ascii="宋体" w:hAnsi="宋体" w:cs="宋体"/>
          <w:color w:val="auto"/>
          <w:szCs w:val="21"/>
        </w:rPr>
        <w:t>发包人和监理人在收到修订的施工进度计划后确认或提出修改意见的期限：</w:t>
      </w:r>
      <w:r>
        <w:rPr>
          <w:rFonts w:hint="eastAsia" w:ascii="宋体" w:hAnsi="宋体" w:cs="宋体"/>
          <w:color w:val="auto"/>
          <w:szCs w:val="21"/>
          <w:u w:val="single"/>
        </w:rPr>
        <w:t xml:space="preserve"> 收到相应文件后7天内 </w:t>
      </w:r>
      <w:r>
        <w:rPr>
          <w:rFonts w:hint="eastAsia" w:ascii="宋体" w:hAnsi="宋体" w:cs="宋体"/>
          <w:color w:val="auto"/>
          <w:szCs w:val="21"/>
        </w:rPr>
        <w:t>。</w:t>
      </w:r>
    </w:p>
    <w:p w14:paraId="7806A095">
      <w:pPr>
        <w:spacing w:line="360" w:lineRule="exact"/>
        <w:ind w:firstLine="420" w:firstLineChars="200"/>
        <w:rPr>
          <w:rFonts w:ascii="宋体" w:hAnsi="宋体" w:cs="宋体"/>
          <w:color w:val="auto"/>
          <w:szCs w:val="21"/>
        </w:rPr>
      </w:pPr>
      <w:r>
        <w:rPr>
          <w:rFonts w:hint="eastAsia" w:ascii="宋体" w:hAnsi="宋体" w:cs="宋体"/>
          <w:color w:val="auto"/>
          <w:szCs w:val="21"/>
        </w:rPr>
        <w:t>7.3 开工</w:t>
      </w:r>
    </w:p>
    <w:p w14:paraId="1C518B66">
      <w:pPr>
        <w:spacing w:line="360" w:lineRule="exact"/>
        <w:ind w:firstLine="420" w:firstLineChars="200"/>
        <w:rPr>
          <w:rFonts w:ascii="宋体" w:hAnsi="宋体" w:cs="宋体"/>
          <w:color w:val="auto"/>
          <w:szCs w:val="21"/>
        </w:rPr>
      </w:pPr>
      <w:r>
        <w:rPr>
          <w:rFonts w:hint="eastAsia" w:ascii="宋体" w:hAnsi="宋体" w:cs="宋体"/>
          <w:color w:val="auto"/>
          <w:szCs w:val="21"/>
        </w:rPr>
        <w:t>7.3.1 开工准备</w:t>
      </w:r>
    </w:p>
    <w:p w14:paraId="17E71F0C">
      <w:pPr>
        <w:spacing w:line="360" w:lineRule="exact"/>
        <w:ind w:firstLine="645"/>
        <w:rPr>
          <w:rFonts w:ascii="宋体" w:hAnsi="宋体" w:cs="宋体"/>
          <w:color w:val="auto"/>
          <w:szCs w:val="21"/>
          <w:u w:val="single"/>
        </w:rPr>
      </w:pPr>
      <w:r>
        <w:rPr>
          <w:rFonts w:hint="eastAsia" w:ascii="宋体" w:hAnsi="宋体" w:cs="宋体"/>
          <w:color w:val="auto"/>
          <w:szCs w:val="21"/>
        </w:rPr>
        <w:t>关于承包人提交工程开工报审表的期限：</w:t>
      </w:r>
      <w:r>
        <w:rPr>
          <w:rFonts w:hint="eastAsia" w:ascii="宋体" w:hAnsi="宋体" w:cs="宋体"/>
          <w:color w:val="auto"/>
          <w:szCs w:val="21"/>
          <w:u w:val="single"/>
        </w:rPr>
        <w:t xml:space="preserve">接到开工通知（或确定开工日期）后7天内 </w:t>
      </w:r>
      <w:r>
        <w:rPr>
          <w:rFonts w:hint="eastAsia" w:ascii="宋体" w:hAnsi="宋体" w:cs="宋体"/>
          <w:color w:val="auto"/>
          <w:szCs w:val="21"/>
        </w:rPr>
        <w:t>。</w:t>
      </w:r>
    </w:p>
    <w:p w14:paraId="4BA0EB2B">
      <w:pPr>
        <w:spacing w:line="360" w:lineRule="exact"/>
        <w:ind w:firstLine="420" w:firstLineChars="200"/>
        <w:rPr>
          <w:rFonts w:ascii="宋体" w:hAnsi="宋体" w:cs="宋体"/>
          <w:color w:val="auto"/>
          <w:szCs w:val="21"/>
        </w:rPr>
      </w:pPr>
      <w:r>
        <w:rPr>
          <w:rFonts w:hint="eastAsia" w:ascii="宋体" w:hAnsi="宋体" w:cs="宋体"/>
          <w:color w:val="auto"/>
          <w:szCs w:val="21"/>
        </w:rPr>
        <w:t>关于发包人应完成的其他开工准备工作及期限：</w:t>
      </w:r>
      <w:r>
        <w:rPr>
          <w:rFonts w:hint="eastAsia" w:ascii="宋体" w:hAnsi="宋体" w:cs="宋体"/>
          <w:color w:val="auto"/>
          <w:szCs w:val="21"/>
          <w:u w:val="single"/>
        </w:rPr>
        <w:t>开工前7天</w:t>
      </w:r>
      <w:r>
        <w:rPr>
          <w:rFonts w:hint="eastAsia" w:ascii="宋体" w:hAnsi="宋体" w:cs="宋体"/>
          <w:color w:val="auto"/>
          <w:szCs w:val="21"/>
        </w:rPr>
        <w:t>。</w:t>
      </w:r>
    </w:p>
    <w:p w14:paraId="132581A4">
      <w:pPr>
        <w:spacing w:line="360" w:lineRule="exact"/>
        <w:ind w:firstLine="420" w:firstLineChars="200"/>
        <w:rPr>
          <w:rFonts w:ascii="宋体" w:hAnsi="宋体" w:cs="宋体"/>
          <w:color w:val="auto"/>
          <w:szCs w:val="21"/>
        </w:rPr>
      </w:pPr>
      <w:r>
        <w:rPr>
          <w:rFonts w:hint="eastAsia" w:ascii="宋体" w:hAnsi="宋体" w:cs="宋体"/>
          <w:color w:val="auto"/>
          <w:szCs w:val="21"/>
        </w:rPr>
        <w:t>关于承包人应完成的其他开工准备工作及期限：</w:t>
      </w:r>
      <w:r>
        <w:rPr>
          <w:rFonts w:hint="eastAsia" w:ascii="宋体" w:hAnsi="宋体" w:cs="宋体"/>
          <w:color w:val="auto"/>
          <w:szCs w:val="21"/>
          <w:u w:val="single"/>
        </w:rPr>
        <w:t>开工前。</w:t>
      </w:r>
    </w:p>
    <w:p w14:paraId="04E76E1B">
      <w:pPr>
        <w:spacing w:line="360" w:lineRule="exact"/>
        <w:ind w:firstLine="420" w:firstLineChars="200"/>
        <w:rPr>
          <w:rFonts w:ascii="宋体" w:hAnsi="宋体" w:cs="宋体"/>
          <w:color w:val="auto"/>
          <w:szCs w:val="21"/>
        </w:rPr>
      </w:pPr>
      <w:r>
        <w:rPr>
          <w:rFonts w:hint="eastAsia" w:ascii="宋体" w:hAnsi="宋体" w:cs="宋体"/>
          <w:color w:val="auto"/>
          <w:szCs w:val="21"/>
        </w:rPr>
        <w:t>7.3.2开工通知</w:t>
      </w:r>
    </w:p>
    <w:p w14:paraId="356DF8AE">
      <w:pPr>
        <w:spacing w:line="360" w:lineRule="exact"/>
        <w:ind w:firstLine="420" w:firstLineChars="200"/>
        <w:rPr>
          <w:rFonts w:ascii="宋体" w:hAnsi="宋体" w:cs="宋体"/>
          <w:color w:val="auto"/>
          <w:szCs w:val="21"/>
        </w:rPr>
      </w:pPr>
      <w:r>
        <w:rPr>
          <w:rFonts w:hint="eastAsia" w:ascii="宋体" w:hAnsi="宋体" w:cs="宋体"/>
          <w:color w:val="auto"/>
          <w:szCs w:val="21"/>
        </w:rPr>
        <w:t>发包人（或监理人）在计划开工日期前7天向承包人发出开工通知，工期自开工通知中载明的开工日期起算。</w:t>
      </w:r>
    </w:p>
    <w:p w14:paraId="651F33D6">
      <w:pPr>
        <w:spacing w:line="360" w:lineRule="exact"/>
        <w:ind w:firstLine="420" w:firstLineChars="200"/>
        <w:rPr>
          <w:rFonts w:ascii="宋体" w:hAnsi="宋体" w:cs="宋体"/>
          <w:color w:val="auto"/>
          <w:szCs w:val="21"/>
        </w:rPr>
      </w:pPr>
      <w:r>
        <w:rPr>
          <w:rFonts w:hint="eastAsia" w:ascii="宋体" w:hAnsi="宋体" w:cs="宋体"/>
          <w:color w:val="auto"/>
          <w:szCs w:val="21"/>
        </w:rPr>
        <w:t xml:space="preserve">因发包人原因造成监理人未能在计划开工日期之日起 </w:t>
      </w:r>
      <w:r>
        <w:rPr>
          <w:rFonts w:hint="eastAsia" w:ascii="宋体" w:hAnsi="宋体" w:cs="宋体"/>
          <w:color w:val="auto"/>
          <w:szCs w:val="21"/>
          <w:u w:val="single"/>
        </w:rPr>
        <w:t xml:space="preserve"> 60</w:t>
      </w:r>
      <w:r>
        <w:rPr>
          <w:rFonts w:hint="eastAsia" w:ascii="宋体" w:hAnsi="宋体" w:cs="宋体"/>
          <w:color w:val="auto"/>
          <w:szCs w:val="21"/>
        </w:rPr>
        <w:t>天内发出开工通知的，承包人有权提出价格调整要求，或者解除合同。发包人应当承担由此增加的费用或赔偿承包人的损失。</w:t>
      </w:r>
    </w:p>
    <w:bookmarkEnd w:id="74"/>
    <w:bookmarkEnd w:id="75"/>
    <w:bookmarkEnd w:id="76"/>
    <w:bookmarkEnd w:id="77"/>
    <w:bookmarkEnd w:id="78"/>
    <w:bookmarkEnd w:id="79"/>
    <w:bookmarkEnd w:id="80"/>
    <w:p w14:paraId="1CBC0FC0">
      <w:pPr>
        <w:spacing w:line="360" w:lineRule="exact"/>
        <w:ind w:firstLine="420" w:firstLineChars="200"/>
        <w:rPr>
          <w:rFonts w:ascii="宋体" w:hAnsi="宋体" w:cs="宋体"/>
          <w:color w:val="auto"/>
          <w:szCs w:val="21"/>
        </w:rPr>
      </w:pPr>
      <w:r>
        <w:rPr>
          <w:rFonts w:hint="eastAsia" w:ascii="宋体" w:hAnsi="宋体" w:cs="宋体"/>
          <w:color w:val="auto"/>
          <w:szCs w:val="21"/>
        </w:rPr>
        <w:t>7.4 测量放线</w:t>
      </w:r>
    </w:p>
    <w:p w14:paraId="5A6E3016">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color w:val="auto"/>
          <w:szCs w:val="21"/>
          <w:u w:val="single"/>
        </w:rPr>
        <w:t xml:space="preserve"> 按合同通用条款执行 </w:t>
      </w:r>
      <w:r>
        <w:rPr>
          <w:rFonts w:hint="eastAsia" w:ascii="宋体" w:hAnsi="宋体" w:cs="宋体"/>
          <w:color w:val="auto"/>
          <w:szCs w:val="21"/>
        </w:rPr>
        <w:t>。</w:t>
      </w:r>
    </w:p>
    <w:p w14:paraId="1A6EA306">
      <w:pPr>
        <w:spacing w:line="360" w:lineRule="exact"/>
        <w:ind w:firstLine="420" w:firstLineChars="200"/>
        <w:rPr>
          <w:rFonts w:ascii="宋体" w:hAnsi="宋体" w:cs="宋体"/>
          <w:color w:val="auto"/>
          <w:szCs w:val="21"/>
        </w:rPr>
      </w:pPr>
      <w:r>
        <w:rPr>
          <w:rFonts w:hint="eastAsia" w:ascii="宋体" w:hAnsi="宋体" w:cs="宋体"/>
          <w:color w:val="auto"/>
          <w:szCs w:val="21"/>
        </w:rPr>
        <w:t>7</w:t>
      </w:r>
      <w:bookmarkStart w:id="81" w:name="_Toc312678010"/>
      <w:bookmarkStart w:id="82" w:name="_Toc304295546"/>
      <w:bookmarkStart w:id="83" w:name="_Toc297216175"/>
      <w:bookmarkStart w:id="84" w:name="_Toc297123516"/>
      <w:bookmarkStart w:id="85" w:name="_Toc300934968"/>
      <w:bookmarkStart w:id="86" w:name="_Toc312677484"/>
      <w:bookmarkStart w:id="87" w:name="_Toc303539125"/>
      <w:r>
        <w:rPr>
          <w:rFonts w:hint="eastAsia" w:ascii="宋体" w:hAnsi="宋体" w:cs="宋体"/>
          <w:color w:val="auto"/>
          <w:szCs w:val="21"/>
        </w:rPr>
        <w:t>.5 工期延误</w:t>
      </w:r>
    </w:p>
    <w:bookmarkEnd w:id="81"/>
    <w:bookmarkEnd w:id="82"/>
    <w:bookmarkEnd w:id="83"/>
    <w:bookmarkEnd w:id="84"/>
    <w:bookmarkEnd w:id="85"/>
    <w:bookmarkEnd w:id="86"/>
    <w:bookmarkEnd w:id="87"/>
    <w:p w14:paraId="4DEBB59C">
      <w:pPr>
        <w:spacing w:line="360" w:lineRule="exact"/>
        <w:ind w:firstLine="420" w:firstLineChars="200"/>
        <w:rPr>
          <w:rFonts w:ascii="宋体" w:hAnsi="宋体" w:cs="宋体"/>
          <w:color w:val="auto"/>
          <w:szCs w:val="21"/>
        </w:rPr>
      </w:pPr>
      <w:r>
        <w:rPr>
          <w:rFonts w:hint="eastAsia" w:ascii="宋体" w:hAnsi="宋体" w:cs="宋体"/>
          <w:color w:val="auto"/>
          <w:szCs w:val="21"/>
        </w:rPr>
        <w:t>7.5.1 因发包人原因导致工期延误</w:t>
      </w:r>
    </w:p>
    <w:p w14:paraId="7800DF9E">
      <w:pPr>
        <w:spacing w:line="360" w:lineRule="exact"/>
        <w:ind w:firstLine="315" w:firstLineChars="150"/>
        <w:rPr>
          <w:rFonts w:ascii="宋体" w:hAnsi="宋体" w:cs="宋体"/>
          <w:color w:val="auto"/>
          <w:szCs w:val="21"/>
          <w:u w:val="single"/>
        </w:rPr>
      </w:pPr>
      <w:r>
        <w:rPr>
          <w:rFonts w:hint="eastAsia" w:ascii="宋体" w:hAnsi="宋体" w:cs="宋体"/>
          <w:color w:val="auto"/>
          <w:szCs w:val="21"/>
        </w:rPr>
        <w:t>（7）因发包人原因导致工期延误的其他情形：</w:t>
      </w:r>
      <w:r>
        <w:rPr>
          <w:rFonts w:hint="eastAsia" w:ascii="宋体" w:hAnsi="宋体" w:cs="宋体"/>
          <w:color w:val="auto"/>
          <w:szCs w:val="21"/>
          <w:u w:val="single"/>
        </w:rPr>
        <w:t xml:space="preserve">     /          </w:t>
      </w:r>
      <w:r>
        <w:rPr>
          <w:rFonts w:hint="eastAsia" w:ascii="宋体" w:hAnsi="宋体" w:cs="宋体"/>
          <w:color w:val="auto"/>
          <w:szCs w:val="21"/>
        </w:rPr>
        <w:t>。</w:t>
      </w:r>
    </w:p>
    <w:p w14:paraId="7FFA1016">
      <w:pPr>
        <w:spacing w:line="360" w:lineRule="exact"/>
        <w:ind w:firstLine="420" w:firstLineChars="200"/>
        <w:rPr>
          <w:rFonts w:ascii="宋体" w:hAnsi="宋体" w:cs="宋体"/>
          <w:color w:val="auto"/>
          <w:szCs w:val="21"/>
        </w:rPr>
      </w:pPr>
      <w:r>
        <w:rPr>
          <w:rFonts w:hint="eastAsia" w:ascii="宋体" w:hAnsi="宋体" w:cs="宋体"/>
          <w:color w:val="auto"/>
          <w:szCs w:val="21"/>
        </w:rPr>
        <w:t>7</w:t>
      </w:r>
      <w:bookmarkStart w:id="88" w:name="_Toc318581169"/>
      <w:bookmarkStart w:id="89" w:name="_Toc312678012"/>
      <w:bookmarkStart w:id="90" w:name="_Toc312677486"/>
      <w:bookmarkStart w:id="91" w:name="_Toc300934970"/>
      <w:bookmarkStart w:id="92" w:name="_Toc297216177"/>
      <w:bookmarkStart w:id="93" w:name="_Toc303539127"/>
      <w:bookmarkStart w:id="94" w:name="_Toc297123518"/>
      <w:bookmarkStart w:id="95" w:name="_Toc304295548"/>
      <w:r>
        <w:rPr>
          <w:rFonts w:hint="eastAsia" w:ascii="宋体" w:hAnsi="宋体" w:cs="宋体"/>
          <w:color w:val="auto"/>
          <w:szCs w:val="21"/>
        </w:rPr>
        <w:t>.5.2 因承包人原因导致工期延误</w:t>
      </w:r>
    </w:p>
    <w:bookmarkEnd w:id="88"/>
    <w:bookmarkEnd w:id="89"/>
    <w:bookmarkEnd w:id="90"/>
    <w:p w14:paraId="56F2A716">
      <w:pPr>
        <w:spacing w:line="360" w:lineRule="exact"/>
        <w:ind w:firstLine="420" w:firstLineChars="200"/>
        <w:rPr>
          <w:rFonts w:ascii="宋体" w:hAnsi="宋体" w:cs="宋体"/>
          <w:i/>
          <w:color w:val="auto"/>
          <w:szCs w:val="21"/>
          <w:u w:val="single"/>
        </w:rPr>
      </w:pPr>
      <w:r>
        <w:rPr>
          <w:rFonts w:hint="eastAsia" w:ascii="宋体" w:hAnsi="宋体" w:cs="宋体"/>
          <w:color w:val="auto"/>
          <w:szCs w:val="21"/>
        </w:rPr>
        <w:t>因</w:t>
      </w:r>
      <w:bookmarkStart w:id="96" w:name="_Toc312678013"/>
      <w:bookmarkStart w:id="97" w:name="_Toc312677487"/>
      <w:bookmarkStart w:id="98" w:name="_Toc318581170"/>
      <w:r>
        <w:rPr>
          <w:rFonts w:hint="eastAsia" w:ascii="宋体" w:hAnsi="宋体" w:cs="宋体"/>
          <w:color w:val="auto"/>
          <w:szCs w:val="21"/>
        </w:rPr>
        <w:t>承包人原因造成工期延误，逾期竣工违约金的计算方法为：</w:t>
      </w:r>
      <w:r>
        <w:rPr>
          <w:rFonts w:hint="eastAsia" w:ascii="宋体" w:hAnsi="宋体" w:cs="宋体"/>
          <w:color w:val="auto"/>
          <w:szCs w:val="21"/>
          <w:u w:val="single"/>
        </w:rPr>
        <w:t>每天1000元</w:t>
      </w:r>
      <w:bookmarkEnd w:id="91"/>
      <w:bookmarkEnd w:id="92"/>
      <w:bookmarkEnd w:id="93"/>
      <w:bookmarkEnd w:id="94"/>
      <w:bookmarkEnd w:id="95"/>
      <w:bookmarkEnd w:id="96"/>
      <w:bookmarkEnd w:id="97"/>
      <w:r>
        <w:rPr>
          <w:rFonts w:hint="eastAsia" w:ascii="宋体" w:hAnsi="宋体" w:cs="宋体"/>
          <w:i/>
          <w:color w:val="auto"/>
          <w:szCs w:val="21"/>
          <w:u w:val="single"/>
        </w:rPr>
        <w:t>。</w:t>
      </w:r>
    </w:p>
    <w:bookmarkEnd w:id="98"/>
    <w:p w14:paraId="4C2A38C1">
      <w:pPr>
        <w:spacing w:line="360" w:lineRule="exact"/>
        <w:ind w:firstLine="420" w:firstLineChars="200"/>
        <w:rPr>
          <w:rFonts w:ascii="宋体" w:hAnsi="宋体" w:cs="宋体"/>
          <w:color w:val="auto"/>
          <w:szCs w:val="21"/>
        </w:rPr>
      </w:pPr>
      <w:r>
        <w:rPr>
          <w:rFonts w:hint="eastAsia" w:ascii="宋体" w:hAnsi="宋体" w:cs="宋体"/>
          <w:color w:val="auto"/>
          <w:szCs w:val="21"/>
        </w:rPr>
        <w:t>因承包人原因造成工期延误，逾</w:t>
      </w:r>
      <w:bookmarkStart w:id="99" w:name="_Toc312678014"/>
      <w:bookmarkStart w:id="100" w:name="_Toc318581171"/>
      <w:r>
        <w:rPr>
          <w:rFonts w:hint="eastAsia" w:ascii="宋体" w:hAnsi="宋体" w:cs="宋体"/>
          <w:color w:val="auto"/>
          <w:szCs w:val="21"/>
        </w:rPr>
        <w:t>期竣工违约金的上限：</w:t>
      </w:r>
      <w:r>
        <w:rPr>
          <w:rFonts w:hint="eastAsia" w:ascii="宋体" w:hAnsi="宋体" w:cs="宋体"/>
          <w:color w:val="auto"/>
          <w:szCs w:val="21"/>
          <w:u w:val="single"/>
        </w:rPr>
        <w:t>30000元</w:t>
      </w:r>
      <w:r>
        <w:rPr>
          <w:rFonts w:hint="eastAsia" w:ascii="宋体" w:hAnsi="宋体" w:cs="宋体"/>
          <w:color w:val="auto"/>
          <w:szCs w:val="21"/>
        </w:rPr>
        <w:t>。</w:t>
      </w:r>
    </w:p>
    <w:bookmarkEnd w:id="99"/>
    <w:bookmarkEnd w:id="100"/>
    <w:p w14:paraId="6EE6E460">
      <w:pPr>
        <w:spacing w:line="360" w:lineRule="exact"/>
        <w:ind w:firstLine="420" w:firstLineChars="200"/>
        <w:rPr>
          <w:rFonts w:ascii="宋体" w:hAnsi="宋体" w:cs="宋体"/>
          <w:color w:val="auto"/>
          <w:szCs w:val="21"/>
        </w:rPr>
      </w:pPr>
      <w:r>
        <w:rPr>
          <w:rFonts w:hint="eastAsia" w:ascii="宋体" w:hAnsi="宋体" w:cs="宋体"/>
          <w:color w:val="auto"/>
          <w:szCs w:val="21"/>
        </w:rPr>
        <w:t>7</w:t>
      </w:r>
      <w:bookmarkStart w:id="101" w:name="_Toc297123519"/>
      <w:bookmarkStart w:id="102" w:name="_Toc297216178"/>
      <w:bookmarkStart w:id="103" w:name="_Toc304295549"/>
      <w:bookmarkStart w:id="104" w:name="_Toc300934971"/>
      <w:bookmarkStart w:id="105" w:name="_Toc312678015"/>
      <w:bookmarkStart w:id="106" w:name="_Toc303539128"/>
      <w:r>
        <w:rPr>
          <w:rFonts w:hint="eastAsia" w:ascii="宋体" w:hAnsi="宋体" w:cs="宋体"/>
          <w:color w:val="auto"/>
          <w:szCs w:val="21"/>
        </w:rPr>
        <w:t>.6 不</w:t>
      </w:r>
      <w:bookmarkEnd w:id="101"/>
      <w:bookmarkEnd w:id="102"/>
      <w:bookmarkEnd w:id="103"/>
      <w:bookmarkEnd w:id="104"/>
      <w:bookmarkEnd w:id="105"/>
      <w:bookmarkEnd w:id="106"/>
      <w:r>
        <w:rPr>
          <w:rFonts w:hint="eastAsia" w:ascii="宋体" w:hAnsi="宋体" w:cs="宋体"/>
          <w:color w:val="auto"/>
          <w:szCs w:val="21"/>
        </w:rPr>
        <w:t>利物质条件</w:t>
      </w:r>
    </w:p>
    <w:p w14:paraId="5EEEE736">
      <w:pPr>
        <w:spacing w:line="360" w:lineRule="exact"/>
        <w:ind w:firstLine="420" w:firstLineChars="200"/>
        <w:rPr>
          <w:rFonts w:ascii="宋体" w:hAnsi="宋体" w:cs="宋体"/>
          <w:color w:val="auto"/>
          <w:szCs w:val="21"/>
        </w:rPr>
      </w:pPr>
      <w:bookmarkStart w:id="107" w:name="_Toc312678016"/>
      <w:bookmarkStart w:id="108" w:name="_Toc300934972"/>
      <w:bookmarkStart w:id="109" w:name="_Toc304295550"/>
      <w:bookmarkStart w:id="110" w:name="_Toc318581172"/>
      <w:bookmarkStart w:id="111" w:name="_Toc297216179"/>
      <w:bookmarkStart w:id="112" w:name="_Toc303539129"/>
      <w:bookmarkStart w:id="113" w:name="_Toc297123520"/>
      <w:r>
        <w:rPr>
          <w:rFonts w:hint="eastAsia" w:ascii="宋体" w:hAnsi="宋体" w:cs="宋体"/>
          <w:color w:val="auto"/>
          <w:szCs w:val="21"/>
        </w:rPr>
        <w:t>不利物质条件的其他情形和有关约定：</w:t>
      </w:r>
    </w:p>
    <w:p w14:paraId="3B52DD62">
      <w:pPr>
        <w:spacing w:line="36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每天连续停水、停电超过8小时以上。</w:t>
      </w:r>
    </w:p>
    <w:p w14:paraId="0E5BFF57">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因政府行政命令（因承包人原因的除外）。</w:t>
      </w:r>
    </w:p>
    <w:p w14:paraId="12C4414D">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（3）</w:t>
      </w:r>
      <w:r>
        <w:rPr>
          <w:rFonts w:hint="eastAsia" w:ascii="宋体" w:hAnsi="宋体" w:cs="宋体"/>
          <w:color w:val="auto"/>
          <w:szCs w:val="21"/>
          <w:u w:val="single"/>
        </w:rPr>
        <w:t>非因双方原因而无法控制的爆炸、火灾等事件。</w:t>
      </w:r>
    </w:p>
    <w:p w14:paraId="02A54C5F">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（4）</w:t>
      </w:r>
      <w:r>
        <w:rPr>
          <w:rFonts w:hint="eastAsia" w:ascii="宋体" w:hAnsi="宋体" w:cs="宋体"/>
          <w:color w:val="auto"/>
          <w:szCs w:val="21"/>
          <w:u w:val="single"/>
        </w:rPr>
        <w:t>施工场地周围地下管线保护，地下障碍物和污染物排除，邻近建筑物、构筑物的保护要求。</w:t>
      </w:r>
    </w:p>
    <w:p w14:paraId="520689FD">
      <w:pPr>
        <w:spacing w:line="36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u w:val="single"/>
        </w:rPr>
        <w:t>地质勘探资料未涉及的地下管道、暗沟、岩层等。</w:t>
      </w:r>
    </w:p>
    <w:bookmarkEnd w:id="107"/>
    <w:bookmarkEnd w:id="108"/>
    <w:bookmarkEnd w:id="109"/>
    <w:bookmarkEnd w:id="110"/>
    <w:bookmarkEnd w:id="111"/>
    <w:bookmarkEnd w:id="112"/>
    <w:bookmarkEnd w:id="113"/>
    <w:p w14:paraId="78F9A4FD">
      <w:pPr>
        <w:spacing w:line="360" w:lineRule="exact"/>
        <w:ind w:firstLine="420" w:firstLineChars="200"/>
        <w:rPr>
          <w:rFonts w:ascii="宋体" w:hAnsi="宋体" w:cs="宋体"/>
          <w:color w:val="auto"/>
          <w:szCs w:val="21"/>
        </w:rPr>
      </w:pPr>
      <w:r>
        <w:rPr>
          <w:rFonts w:hint="eastAsia" w:ascii="宋体" w:hAnsi="宋体" w:cs="宋体"/>
          <w:color w:val="auto"/>
          <w:szCs w:val="21"/>
        </w:rPr>
        <w:t>7</w:t>
      </w:r>
      <w:bookmarkStart w:id="114" w:name="_Toc297123521"/>
      <w:bookmarkStart w:id="115" w:name="_Toc312678017"/>
      <w:bookmarkStart w:id="116" w:name="_Toc304295551"/>
      <w:bookmarkStart w:id="117" w:name="_Toc300934973"/>
      <w:bookmarkStart w:id="118" w:name="_Toc303539130"/>
      <w:bookmarkStart w:id="119" w:name="_Toc297216180"/>
      <w:r>
        <w:rPr>
          <w:rFonts w:hint="eastAsia" w:ascii="宋体" w:hAnsi="宋体" w:cs="宋体"/>
          <w:color w:val="auto"/>
          <w:szCs w:val="21"/>
        </w:rPr>
        <w:t>.7异常恶劣的气候条件</w:t>
      </w:r>
    </w:p>
    <w:bookmarkEnd w:id="114"/>
    <w:bookmarkEnd w:id="115"/>
    <w:bookmarkEnd w:id="116"/>
    <w:bookmarkEnd w:id="117"/>
    <w:bookmarkEnd w:id="118"/>
    <w:bookmarkEnd w:id="119"/>
    <w:p w14:paraId="6A0FB3DB">
      <w:pPr>
        <w:spacing w:line="360" w:lineRule="exact"/>
        <w:ind w:firstLine="420" w:firstLineChars="200"/>
        <w:rPr>
          <w:rFonts w:ascii="宋体" w:hAnsi="宋体" w:cs="宋体"/>
          <w:color w:val="auto"/>
          <w:szCs w:val="21"/>
        </w:rPr>
      </w:pPr>
      <w:r>
        <w:rPr>
          <w:rFonts w:hint="eastAsia" w:ascii="宋体" w:hAnsi="宋体" w:cs="宋体"/>
          <w:color w:val="auto"/>
          <w:szCs w:val="21"/>
        </w:rPr>
        <w:t>发包人和承包人同意以下情形视为异常恶劣的气候条件：</w:t>
      </w:r>
    </w:p>
    <w:p w14:paraId="57BC28F4">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w:t>
      </w:r>
      <w:r>
        <w:rPr>
          <w:rFonts w:hint="eastAsia" w:ascii="宋体" w:hAnsi="宋体" w:cs="宋体"/>
          <w:color w:val="auto"/>
          <w:szCs w:val="21"/>
          <w:u w:val="single"/>
        </w:rPr>
        <w:t>8级以上持续24小时的大风（台风）；</w:t>
      </w:r>
    </w:p>
    <w:p w14:paraId="33036951">
      <w:pPr>
        <w:spacing w:line="36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24小时内持续降雨且降水量为200mm以上 </w:t>
      </w:r>
      <w:r>
        <w:rPr>
          <w:rFonts w:hint="eastAsia" w:ascii="宋体" w:hAnsi="宋体" w:cs="宋体"/>
          <w:color w:val="auto"/>
          <w:szCs w:val="21"/>
        </w:rPr>
        <w:t>；</w:t>
      </w:r>
    </w:p>
    <w:p w14:paraId="5A531E48">
      <w:pPr>
        <w:spacing w:line="36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40摄氏度及以上且持续2天以上的高温天气 </w:t>
      </w:r>
      <w:r>
        <w:rPr>
          <w:rFonts w:hint="eastAsia" w:ascii="宋体" w:hAnsi="宋体" w:cs="宋体"/>
          <w:color w:val="auto"/>
          <w:szCs w:val="21"/>
        </w:rPr>
        <w:t>。</w:t>
      </w:r>
    </w:p>
    <w:p w14:paraId="70B6298D">
      <w:pPr>
        <w:spacing w:line="360" w:lineRule="exact"/>
        <w:ind w:firstLine="420" w:firstLineChars="200"/>
        <w:rPr>
          <w:rFonts w:ascii="宋体" w:hAnsi="宋体" w:cs="宋体"/>
          <w:color w:val="auto"/>
          <w:szCs w:val="21"/>
        </w:rPr>
      </w:pPr>
      <w:r>
        <w:rPr>
          <w:rFonts w:hint="eastAsia" w:ascii="宋体" w:hAnsi="宋体" w:cs="宋体"/>
          <w:color w:val="auto"/>
          <w:szCs w:val="21"/>
        </w:rPr>
        <w:t>7.9 提前竣工的奖励</w:t>
      </w:r>
    </w:p>
    <w:p w14:paraId="4979B783">
      <w:pPr>
        <w:spacing w:line="360" w:lineRule="exact"/>
        <w:ind w:firstLine="420" w:firstLineChars="200"/>
        <w:rPr>
          <w:rFonts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 xml:space="preserve">           /                     </w:t>
      </w:r>
      <w:r>
        <w:rPr>
          <w:rFonts w:hint="eastAsia" w:ascii="宋体" w:hAnsi="宋体" w:cs="宋体"/>
          <w:color w:val="auto"/>
          <w:szCs w:val="21"/>
        </w:rPr>
        <w:t>。</w:t>
      </w:r>
    </w:p>
    <w:p w14:paraId="106AD4F6">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8. 材料与设备</w:t>
      </w:r>
    </w:p>
    <w:p w14:paraId="74D2F349">
      <w:pPr>
        <w:spacing w:line="360" w:lineRule="exact"/>
        <w:ind w:firstLine="615"/>
        <w:rPr>
          <w:rFonts w:ascii="宋体" w:hAnsi="宋体" w:cs="宋体"/>
          <w:color w:val="auto"/>
          <w:szCs w:val="21"/>
        </w:rPr>
      </w:pPr>
      <w:r>
        <w:rPr>
          <w:rFonts w:hint="eastAsia" w:ascii="宋体" w:hAnsi="宋体" w:cs="宋体"/>
          <w:color w:val="auto"/>
          <w:szCs w:val="21"/>
        </w:rPr>
        <w:t>8.1 发包人供应材料与工程设备</w:t>
      </w:r>
    </w:p>
    <w:p w14:paraId="002A43C8">
      <w:pPr>
        <w:spacing w:line="360" w:lineRule="exact"/>
        <w:ind w:firstLine="615"/>
        <w:rPr>
          <w:rFonts w:ascii="宋体" w:hAnsi="宋体" w:cs="宋体"/>
          <w:color w:val="auto"/>
          <w:szCs w:val="21"/>
        </w:rPr>
      </w:pPr>
      <w:r>
        <w:rPr>
          <w:rFonts w:hint="eastAsia" w:ascii="宋体" w:hAnsi="宋体" w:cs="宋体"/>
          <w:color w:val="auto"/>
          <w:szCs w:val="21"/>
        </w:rPr>
        <w:t>本工程中</w:t>
      </w:r>
      <w:r>
        <w:rPr>
          <w:rFonts w:hint="eastAsia" w:ascii="宋体" w:hAnsi="宋体" w:cs="宋体"/>
          <w:color w:val="auto"/>
          <w:szCs w:val="21"/>
          <w:u w:val="single"/>
        </w:rPr>
        <w:t xml:space="preserve">     /      </w:t>
      </w:r>
      <w:r>
        <w:rPr>
          <w:rFonts w:hint="eastAsia" w:ascii="宋体" w:hAnsi="宋体" w:cs="宋体"/>
          <w:color w:val="auto"/>
          <w:szCs w:val="21"/>
        </w:rPr>
        <w:t>材料由发包人提供，详见附件2：发包人供应材料设备一览表。</w:t>
      </w:r>
    </w:p>
    <w:p w14:paraId="2959FDEE">
      <w:pPr>
        <w:spacing w:line="360" w:lineRule="exact"/>
        <w:ind w:firstLine="615"/>
        <w:rPr>
          <w:rFonts w:ascii="宋体" w:hAnsi="宋体" w:cs="宋体"/>
          <w:color w:val="auto"/>
          <w:szCs w:val="21"/>
        </w:rPr>
      </w:pPr>
      <w:r>
        <w:rPr>
          <w:rFonts w:hint="eastAsia" w:ascii="宋体" w:hAnsi="宋体" w:cs="宋体"/>
          <w:color w:val="auto"/>
          <w:szCs w:val="21"/>
        </w:rPr>
        <w:t>发包人提供的</w:t>
      </w:r>
      <w:r>
        <w:rPr>
          <w:rFonts w:hint="eastAsia" w:ascii="宋体" w:hAnsi="宋体" w:cs="宋体"/>
          <w:color w:val="auto"/>
          <w:szCs w:val="21"/>
          <w:u w:val="single"/>
        </w:rPr>
        <w:t xml:space="preserve">      /      </w:t>
      </w:r>
      <w:r>
        <w:rPr>
          <w:rFonts w:hint="eastAsia" w:ascii="宋体" w:hAnsi="宋体" w:cs="宋体"/>
          <w:color w:val="auto"/>
          <w:szCs w:val="21"/>
        </w:rPr>
        <w:t>材料费用（除税价款）在每期应付工程款（或竣工结算）的税前工程造价中扣回。</w:t>
      </w:r>
    </w:p>
    <w:p w14:paraId="16CFCBF6">
      <w:pPr>
        <w:spacing w:line="360" w:lineRule="exact"/>
        <w:ind w:firstLine="420" w:firstLineChars="200"/>
        <w:rPr>
          <w:rFonts w:ascii="宋体" w:hAnsi="宋体" w:cs="宋体"/>
          <w:color w:val="auto"/>
          <w:szCs w:val="21"/>
        </w:rPr>
      </w:pPr>
      <w:r>
        <w:rPr>
          <w:rFonts w:hint="eastAsia" w:ascii="宋体" w:hAnsi="宋体" w:cs="宋体"/>
          <w:color w:val="auto"/>
          <w:szCs w:val="21"/>
        </w:rPr>
        <w:t>8.2 承包人采购材料与工程设备</w:t>
      </w:r>
    </w:p>
    <w:p w14:paraId="6EA29DEF">
      <w:pPr>
        <w:snapToGrid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（1）材料品牌、规格和使用要求：按招标文件（相应）技术标准和要求执行。</w:t>
      </w:r>
    </w:p>
    <w:p w14:paraId="79054365">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（2）本工程已确定承包价的建筑材料均由承包人自行询价、采购、运输和保管。新型墙体材料的使用须符合相关规定，否则相关押金由承包人承担。</w:t>
      </w:r>
    </w:p>
    <w:p w14:paraId="293BA178">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（3）本工程要求使用材料要求（如商品砼、商品砂浆、保温节能材料等）。</w:t>
      </w:r>
    </w:p>
    <w:p w14:paraId="4C159E36">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（4）所有材料必须有质保书或合格证，符合施工图纸和规范要求，且品牌、产地需报发包人备案，否则，因此产生的后果均由承包人负责。</w:t>
      </w:r>
    </w:p>
    <w:p w14:paraId="2FB96D4E">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7EC61318">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2B99DBB8">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（7）根据工程需要，发包人有权对承包人投标时确认的品牌进行更换，更换后的材料价格由发包人签证进行结算。</w:t>
      </w:r>
    </w:p>
    <w:p w14:paraId="54B44B5A">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14:paraId="125831B6">
      <w:pPr>
        <w:spacing w:line="360" w:lineRule="exact"/>
        <w:ind w:firstLine="420" w:firstLineChars="200"/>
        <w:rPr>
          <w:rFonts w:ascii="宋体" w:hAnsi="宋体" w:cs="宋体"/>
          <w:color w:val="auto"/>
          <w:szCs w:val="21"/>
        </w:rPr>
      </w:pPr>
      <w:r>
        <w:rPr>
          <w:rFonts w:hint="eastAsia" w:ascii="宋体" w:hAnsi="宋体" w:cs="宋体"/>
          <w:color w:val="auto"/>
          <w:szCs w:val="21"/>
        </w:rPr>
        <w:t>8</w:t>
      </w:r>
      <w:bookmarkStart w:id="120" w:name="_Toc312677493"/>
      <w:bookmarkStart w:id="121" w:name="_Toc296890995"/>
      <w:bookmarkStart w:id="122" w:name="_Toc296891207"/>
      <w:bookmarkStart w:id="123" w:name="_Toc297216186"/>
      <w:bookmarkStart w:id="124" w:name="_Toc292559877"/>
      <w:bookmarkStart w:id="125" w:name="_Toc303539136"/>
      <w:bookmarkStart w:id="126" w:name="_Toc297048353"/>
      <w:bookmarkStart w:id="127" w:name="_Toc296347166"/>
      <w:bookmarkStart w:id="128" w:name="_Toc280868654"/>
      <w:bookmarkStart w:id="129" w:name="_Toc297120467"/>
      <w:bookmarkStart w:id="130" w:name="_Toc312678019"/>
      <w:bookmarkStart w:id="131" w:name="_Toc297123527"/>
      <w:bookmarkStart w:id="132" w:name="_Toc300934979"/>
      <w:bookmarkStart w:id="133" w:name="_Toc292559372"/>
      <w:bookmarkStart w:id="134" w:name="_Toc296503167"/>
      <w:bookmarkStart w:id="135" w:name="_Toc304295556"/>
      <w:bookmarkStart w:id="136" w:name="_Toc296944506"/>
      <w:bookmarkStart w:id="137" w:name="_Toc296346668"/>
      <w:bookmarkStart w:id="138" w:name="_Toc267251424"/>
      <w:bookmarkStart w:id="139" w:name="_Toc280868656"/>
      <w:bookmarkStart w:id="140" w:name="_Toc280868655"/>
      <w:r>
        <w:rPr>
          <w:rFonts w:hint="eastAsia" w:ascii="宋体" w:hAnsi="宋体" w:cs="宋体"/>
          <w:color w:val="auto"/>
          <w:szCs w:val="21"/>
        </w:rPr>
        <w:t>.4材料与工程设备的保管与使用</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6FE609DF">
      <w:pPr>
        <w:spacing w:line="360" w:lineRule="exact"/>
        <w:ind w:firstLine="420" w:firstLineChars="200"/>
        <w:rPr>
          <w:rFonts w:ascii="宋体" w:hAnsi="宋体" w:cs="宋体"/>
          <w:color w:val="auto"/>
          <w:szCs w:val="21"/>
        </w:rPr>
      </w:pPr>
      <w:r>
        <w:rPr>
          <w:rFonts w:hint="eastAsia" w:ascii="宋体" w:hAnsi="宋体" w:cs="宋体"/>
          <w:color w:val="auto"/>
          <w:szCs w:val="21"/>
        </w:rPr>
        <w:t>8</w:t>
      </w:r>
      <w:bookmarkStart w:id="141" w:name="_Toc292559878"/>
      <w:bookmarkStart w:id="142" w:name="_Toc292559373"/>
      <w:bookmarkStart w:id="143" w:name="_Toc304295557"/>
      <w:bookmarkStart w:id="144" w:name="_Toc300934980"/>
      <w:bookmarkStart w:id="145" w:name="_Toc297216187"/>
      <w:bookmarkStart w:id="146" w:name="_Toc297048354"/>
      <w:bookmarkStart w:id="147" w:name="_Toc312678020"/>
      <w:bookmarkStart w:id="148" w:name="_Toc303539137"/>
      <w:bookmarkStart w:id="149" w:name="_Toc297120468"/>
      <w:bookmarkStart w:id="150" w:name="_Toc312677494"/>
      <w:bookmarkStart w:id="151" w:name="_Toc296890996"/>
      <w:bookmarkStart w:id="152" w:name="_Toc318581173"/>
      <w:bookmarkStart w:id="153" w:name="_Toc296503168"/>
      <w:bookmarkStart w:id="154" w:name="_Toc296346669"/>
      <w:bookmarkStart w:id="155" w:name="_Toc297123528"/>
      <w:bookmarkStart w:id="156" w:name="_Toc296891208"/>
      <w:bookmarkStart w:id="157" w:name="_Toc296944507"/>
      <w:bookmarkStart w:id="158" w:name="_Toc296347167"/>
      <w:r>
        <w:rPr>
          <w:rFonts w:hint="eastAsia" w:ascii="宋体" w:hAnsi="宋体" w:cs="宋体"/>
          <w:color w:val="auto"/>
          <w:szCs w:val="21"/>
        </w:rPr>
        <w:t>.4.1发包人供应的材料设备的保管费用的承担：</w:t>
      </w:r>
      <w:r>
        <w:rPr>
          <w:rFonts w:hint="eastAsia" w:ascii="宋体" w:hAnsi="宋体" w:cs="宋体"/>
          <w:color w:val="auto"/>
          <w:szCs w:val="21"/>
          <w:u w:val="single"/>
        </w:rPr>
        <w:t>（可参考《浙江省建设工程费用定额（2010版）》计算计取总承包服务费）。</w:t>
      </w:r>
      <w:bookmarkEnd w:id="141"/>
      <w:bookmarkEnd w:id="142"/>
    </w:p>
    <w:p w14:paraId="0F8BB314">
      <w:pPr>
        <w:spacing w:line="360" w:lineRule="exact"/>
        <w:ind w:firstLine="420" w:firstLineChars="200"/>
        <w:rPr>
          <w:rFonts w:ascii="宋体" w:hAnsi="宋体" w:cs="宋体"/>
          <w:color w:val="auto"/>
          <w:szCs w:val="21"/>
        </w:rPr>
      </w:pPr>
      <w:r>
        <w:rPr>
          <w:rFonts w:hint="eastAsia" w:ascii="宋体" w:hAnsi="宋体" w:cs="宋体"/>
          <w:color w:val="auto"/>
          <w:szCs w:val="21"/>
        </w:rPr>
        <w:t>8.6 样品</w:t>
      </w:r>
    </w:p>
    <w:p w14:paraId="708605C6">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8.6.1 样品的报送与封存</w:t>
      </w:r>
    </w:p>
    <w:p w14:paraId="69481539">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需要承包人报送样品的材料或工程设备，样品的种类、名称、规格、数量要求：</w:t>
      </w:r>
      <w:r>
        <w:rPr>
          <w:rFonts w:hint="eastAsia" w:ascii="宋体" w:hAnsi="宋体" w:cs="宋体"/>
          <w:color w:val="auto"/>
          <w:szCs w:val="21"/>
          <w:u w:val="single"/>
        </w:rPr>
        <w:t xml:space="preserve"> （如有要封存样品，明确具体样品名称）  </w:t>
      </w:r>
      <w:r>
        <w:rPr>
          <w:rFonts w:hint="eastAsia" w:ascii="宋体" w:hAnsi="宋体" w:cs="宋体"/>
          <w:color w:val="auto"/>
          <w:szCs w:val="21"/>
        </w:rPr>
        <w:t>。</w:t>
      </w:r>
    </w:p>
    <w:p w14:paraId="61ABB55D">
      <w:pPr>
        <w:spacing w:line="360" w:lineRule="exact"/>
        <w:ind w:firstLine="420" w:firstLineChars="200"/>
        <w:rPr>
          <w:rFonts w:ascii="宋体" w:hAnsi="宋体" w:cs="宋体"/>
          <w:color w:val="auto"/>
          <w:szCs w:val="21"/>
        </w:rPr>
      </w:pPr>
      <w:r>
        <w:rPr>
          <w:rFonts w:hint="eastAsia" w:ascii="宋体" w:hAnsi="宋体" w:cs="宋体"/>
          <w:color w:val="auto"/>
          <w:szCs w:val="21"/>
        </w:rPr>
        <w:t>8.8 施工设备和临时设施</w:t>
      </w:r>
    </w:p>
    <w:p w14:paraId="5C882B1F">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8.8.1 承包人提供的施工设备和临时设施</w:t>
      </w:r>
    </w:p>
    <w:p w14:paraId="3D5B01DF">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关于修建临时设施费用承担的约定：</w:t>
      </w:r>
      <w:r>
        <w:rPr>
          <w:rFonts w:hint="eastAsia" w:ascii="宋体" w:hAnsi="宋体" w:cs="宋体"/>
          <w:color w:val="auto"/>
          <w:szCs w:val="21"/>
          <w:u w:val="single"/>
        </w:rPr>
        <w:t xml:space="preserve"> 由承包人承担  </w:t>
      </w:r>
      <w:r>
        <w:rPr>
          <w:rFonts w:hint="eastAsia" w:ascii="宋体" w:hAnsi="宋体" w:cs="宋体"/>
          <w:color w:val="auto"/>
          <w:szCs w:val="21"/>
        </w:rPr>
        <w:t>。</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7BAB9DE0">
      <w:pPr>
        <w:pStyle w:val="9"/>
        <w:spacing w:before="0" w:after="0" w:line="360" w:lineRule="exact"/>
        <w:rPr>
          <w:rFonts w:ascii="宋体" w:hAnsi="宋体" w:eastAsia="宋体" w:cs="宋体"/>
          <w:b w:val="0"/>
          <w:color w:val="auto"/>
          <w:sz w:val="21"/>
          <w:szCs w:val="21"/>
        </w:rPr>
      </w:pPr>
      <w:bookmarkStart w:id="159" w:name="_Toc351203641"/>
      <w:r>
        <w:rPr>
          <w:rFonts w:hint="eastAsia" w:ascii="宋体" w:hAnsi="宋体" w:eastAsia="宋体" w:cs="宋体"/>
          <w:b w:val="0"/>
          <w:color w:val="auto"/>
          <w:sz w:val="21"/>
          <w:szCs w:val="21"/>
        </w:rPr>
        <w:t>9</w:t>
      </w:r>
      <w:bookmarkEnd w:id="138"/>
      <w:bookmarkEnd w:id="139"/>
      <w:bookmarkEnd w:id="140"/>
      <w:bookmarkStart w:id="160" w:name="_Toc300934982"/>
      <w:bookmarkStart w:id="161" w:name="_Toc312677495"/>
      <w:bookmarkStart w:id="162" w:name="_Toc297216192"/>
      <w:bookmarkStart w:id="163" w:name="_Toc312678021"/>
      <w:bookmarkStart w:id="164" w:name="_Toc303539139"/>
      <w:bookmarkStart w:id="165" w:name="_Toc297123533"/>
      <w:bookmarkStart w:id="166" w:name="_Toc304295559"/>
      <w:bookmarkStart w:id="167" w:name="_Toc296347172"/>
      <w:bookmarkStart w:id="168" w:name="_Toc297048359"/>
      <w:bookmarkStart w:id="169" w:name="_Toc267251428"/>
      <w:bookmarkStart w:id="170" w:name="_Toc296346674"/>
      <w:bookmarkStart w:id="171" w:name="_Toc292559883"/>
      <w:bookmarkStart w:id="172" w:name="_Toc297120473"/>
      <w:bookmarkStart w:id="173" w:name="_Toc296503173"/>
      <w:bookmarkStart w:id="174" w:name="_Toc296891213"/>
      <w:bookmarkStart w:id="175" w:name="_Toc296944512"/>
      <w:bookmarkStart w:id="176" w:name="_Toc296891001"/>
      <w:bookmarkStart w:id="177" w:name="_Toc267251427"/>
      <w:bookmarkStart w:id="178" w:name="_Toc292559378"/>
      <w:r>
        <w:rPr>
          <w:rFonts w:hint="eastAsia" w:ascii="宋体" w:hAnsi="宋体" w:eastAsia="宋体" w:cs="宋体"/>
          <w:b w:val="0"/>
          <w:color w:val="auto"/>
          <w:sz w:val="21"/>
          <w:szCs w:val="21"/>
        </w:rPr>
        <w:t>. 试验与检验</w:t>
      </w:r>
      <w:bookmarkEnd w:id="159"/>
    </w:p>
    <w:bookmarkEnd w:id="160"/>
    <w:bookmarkEnd w:id="161"/>
    <w:bookmarkEnd w:id="162"/>
    <w:bookmarkEnd w:id="163"/>
    <w:bookmarkEnd w:id="164"/>
    <w:bookmarkEnd w:id="165"/>
    <w:bookmarkEnd w:id="166"/>
    <w:p w14:paraId="1D918C52">
      <w:pPr>
        <w:spacing w:line="360" w:lineRule="exact"/>
        <w:ind w:firstLine="420" w:firstLineChars="200"/>
        <w:rPr>
          <w:rFonts w:ascii="宋体" w:hAnsi="宋体" w:cs="宋体"/>
          <w:color w:val="auto"/>
          <w:szCs w:val="21"/>
        </w:rPr>
      </w:pPr>
      <w:r>
        <w:rPr>
          <w:rFonts w:hint="eastAsia" w:ascii="宋体" w:hAnsi="宋体" w:cs="宋体"/>
          <w:color w:val="auto"/>
          <w:szCs w:val="21"/>
        </w:rPr>
        <w:t>9</w:t>
      </w:r>
      <w:bookmarkStart w:id="179" w:name="_Toc297123534"/>
      <w:bookmarkStart w:id="180" w:name="_Toc297216193"/>
      <w:bookmarkStart w:id="181" w:name="_Toc312678022"/>
      <w:bookmarkStart w:id="182" w:name="_Toc300934983"/>
      <w:bookmarkStart w:id="183" w:name="_Toc304295560"/>
      <w:bookmarkStart w:id="184" w:name="_Toc303539140"/>
      <w:bookmarkStart w:id="185" w:name="_Toc312677496"/>
      <w:r>
        <w:rPr>
          <w:rFonts w:hint="eastAsia" w:ascii="宋体" w:hAnsi="宋体" w:cs="宋体"/>
          <w:color w:val="auto"/>
          <w:szCs w:val="21"/>
        </w:rPr>
        <w:t>.1试验设备与试验人员</w:t>
      </w:r>
    </w:p>
    <w:bookmarkEnd w:id="179"/>
    <w:bookmarkEnd w:id="180"/>
    <w:bookmarkEnd w:id="181"/>
    <w:bookmarkEnd w:id="182"/>
    <w:bookmarkEnd w:id="183"/>
    <w:bookmarkEnd w:id="184"/>
    <w:bookmarkEnd w:id="185"/>
    <w:p w14:paraId="3F2F1C52">
      <w:pPr>
        <w:spacing w:line="360" w:lineRule="exact"/>
        <w:ind w:firstLine="420" w:firstLineChars="200"/>
        <w:rPr>
          <w:rFonts w:ascii="宋体" w:hAnsi="宋体" w:cs="宋体"/>
          <w:color w:val="auto"/>
          <w:szCs w:val="21"/>
        </w:rPr>
      </w:pPr>
      <w:r>
        <w:rPr>
          <w:rFonts w:hint="eastAsia" w:ascii="宋体" w:hAnsi="宋体" w:cs="宋体"/>
          <w:color w:val="auto"/>
          <w:szCs w:val="21"/>
        </w:rPr>
        <w:t>9</w:t>
      </w:r>
      <w:bookmarkStart w:id="186" w:name="_Toc297216194"/>
      <w:bookmarkStart w:id="187" w:name="_Toc304295561"/>
      <w:bookmarkStart w:id="188" w:name="_Toc300934984"/>
      <w:bookmarkStart w:id="189" w:name="_Toc312677497"/>
      <w:bookmarkStart w:id="190" w:name="_Toc297123535"/>
      <w:bookmarkStart w:id="191" w:name="_Toc303539141"/>
      <w:bookmarkStart w:id="192" w:name="_Toc312678023"/>
      <w:bookmarkStart w:id="193" w:name="_Toc318581174"/>
      <w:r>
        <w:rPr>
          <w:rFonts w:hint="eastAsia" w:ascii="宋体" w:hAnsi="宋体" w:cs="宋体"/>
          <w:color w:val="auto"/>
          <w:szCs w:val="21"/>
        </w:rPr>
        <w:t>.1.2 试验设备</w:t>
      </w:r>
    </w:p>
    <w:p w14:paraId="574BE395">
      <w:pPr>
        <w:spacing w:line="360" w:lineRule="exact"/>
        <w:ind w:firstLine="420" w:firstLineChars="200"/>
        <w:rPr>
          <w:rFonts w:ascii="宋体" w:hAnsi="宋体" w:cs="宋体"/>
          <w:color w:val="auto"/>
          <w:szCs w:val="21"/>
        </w:rPr>
      </w:pPr>
      <w:r>
        <w:rPr>
          <w:rFonts w:hint="eastAsia" w:ascii="宋体" w:hAnsi="宋体" w:cs="宋体"/>
          <w:color w:val="auto"/>
          <w:szCs w:val="21"/>
        </w:rPr>
        <w:t>施工现场需要配置的试验场所：</w:t>
      </w:r>
      <w:bookmarkEnd w:id="186"/>
      <w:bookmarkEnd w:id="187"/>
      <w:bookmarkEnd w:id="188"/>
      <w:bookmarkEnd w:id="189"/>
      <w:bookmarkEnd w:id="190"/>
      <w:bookmarkEnd w:id="191"/>
      <w:bookmarkEnd w:id="192"/>
      <w:bookmarkStart w:id="194" w:name="_Toc297123536"/>
      <w:bookmarkStart w:id="195" w:name="_Toc303539142"/>
      <w:bookmarkStart w:id="196" w:name="_Toc297216195"/>
      <w:bookmarkStart w:id="197" w:name="_Toc304295562"/>
      <w:bookmarkStart w:id="198" w:name="_Toc300934985"/>
      <w:bookmarkStart w:id="199" w:name="_Toc312677498"/>
      <w:bookmarkStart w:id="200" w:name="_Toc312678024"/>
      <w:r>
        <w:rPr>
          <w:rFonts w:hint="eastAsia" w:ascii="宋体" w:hAnsi="宋体" w:cs="宋体"/>
          <w:color w:val="auto"/>
          <w:szCs w:val="21"/>
          <w:u w:val="single"/>
        </w:rPr>
        <w:t xml:space="preserve"> 按规范及（当地）建设行政主管部门要求配置</w:t>
      </w:r>
      <w:r>
        <w:rPr>
          <w:rFonts w:hint="eastAsia" w:ascii="宋体" w:hAnsi="宋体" w:cs="宋体"/>
          <w:color w:val="auto"/>
          <w:szCs w:val="21"/>
        </w:rPr>
        <w:t>。</w:t>
      </w:r>
    </w:p>
    <w:p w14:paraId="67A3CC0B">
      <w:pPr>
        <w:spacing w:line="360" w:lineRule="exact"/>
        <w:ind w:firstLine="420" w:firstLineChars="200"/>
        <w:rPr>
          <w:rFonts w:ascii="宋体" w:hAnsi="宋体" w:cs="宋体"/>
          <w:color w:val="auto"/>
          <w:szCs w:val="21"/>
        </w:rPr>
      </w:pPr>
      <w:r>
        <w:rPr>
          <w:rFonts w:hint="eastAsia" w:ascii="宋体" w:hAnsi="宋体" w:cs="宋体"/>
          <w:color w:val="auto"/>
          <w:szCs w:val="21"/>
        </w:rPr>
        <w:t>施工现场需要配备的试验设备：</w:t>
      </w:r>
      <w:r>
        <w:rPr>
          <w:rFonts w:hint="eastAsia" w:ascii="宋体" w:hAnsi="宋体" w:cs="宋体"/>
          <w:color w:val="auto"/>
          <w:szCs w:val="21"/>
          <w:u w:val="single"/>
        </w:rPr>
        <w:t xml:space="preserve"> 按规范及（当地）建设行政主管部门要求配置</w:t>
      </w:r>
      <w:r>
        <w:rPr>
          <w:rFonts w:hint="eastAsia" w:ascii="宋体" w:hAnsi="宋体" w:cs="宋体"/>
          <w:color w:val="auto"/>
          <w:szCs w:val="21"/>
        </w:rPr>
        <w:t>。</w:t>
      </w:r>
    </w:p>
    <w:p w14:paraId="15E56068">
      <w:pPr>
        <w:spacing w:line="360" w:lineRule="exact"/>
        <w:ind w:firstLine="420" w:firstLineChars="200"/>
        <w:rPr>
          <w:rFonts w:ascii="宋体" w:hAnsi="宋体" w:cs="宋体"/>
          <w:color w:val="auto"/>
          <w:szCs w:val="21"/>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 xml:space="preserve"> 按规范及（当地）建设行政主管部门要求配置</w:t>
      </w:r>
      <w:r>
        <w:rPr>
          <w:rFonts w:hint="eastAsia" w:ascii="宋体" w:hAnsi="宋体" w:cs="宋体"/>
          <w:color w:val="auto"/>
          <w:szCs w:val="21"/>
        </w:rPr>
        <w:t>。</w:t>
      </w:r>
    </w:p>
    <w:p w14:paraId="4ECD1074">
      <w:pPr>
        <w:spacing w:line="360" w:lineRule="exact"/>
        <w:ind w:firstLine="420" w:firstLineChars="200"/>
        <w:rPr>
          <w:rFonts w:ascii="宋体" w:hAnsi="宋体" w:cs="宋体"/>
          <w:color w:val="auto"/>
          <w:szCs w:val="21"/>
        </w:rPr>
      </w:pPr>
      <w:r>
        <w:rPr>
          <w:rFonts w:hint="eastAsia" w:ascii="宋体" w:hAnsi="宋体" w:cs="宋体"/>
          <w:color w:val="auto"/>
          <w:szCs w:val="21"/>
        </w:rPr>
        <w:t>9.3 材料、工程设备和工程的试验和检验</w:t>
      </w:r>
    </w:p>
    <w:p w14:paraId="4FCF8CA6">
      <w:pPr>
        <w:spacing w:line="360" w:lineRule="exact"/>
        <w:ind w:firstLine="315" w:firstLineChars="150"/>
        <w:rPr>
          <w:rFonts w:ascii="宋体" w:hAnsi="宋体" w:cs="宋体"/>
          <w:color w:val="auto"/>
          <w:szCs w:val="21"/>
          <w:u w:val="single"/>
        </w:rPr>
      </w:pPr>
      <w:r>
        <w:rPr>
          <w:rFonts w:hint="eastAsia" w:ascii="宋体" w:hAnsi="宋体" w:cs="宋体"/>
          <w:color w:val="auto"/>
          <w:szCs w:val="21"/>
        </w:rPr>
        <w:t>材料、设备和工程的试验和检验的费用：</w:t>
      </w:r>
      <w:r>
        <w:rPr>
          <w:rFonts w:hint="eastAsia" w:ascii="宋体" w:hAnsi="宋体" w:cs="宋体"/>
          <w:color w:val="auto"/>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1F2B66E9">
      <w:pPr>
        <w:spacing w:line="360" w:lineRule="exact"/>
        <w:ind w:firstLine="315" w:firstLineChars="150"/>
        <w:rPr>
          <w:rFonts w:ascii="宋体" w:hAnsi="宋体" w:cs="宋体"/>
          <w:color w:val="auto"/>
          <w:szCs w:val="21"/>
          <w:u w:val="single"/>
        </w:rPr>
      </w:pPr>
      <w:r>
        <w:rPr>
          <w:rFonts w:hint="eastAsia" w:ascii="宋体" w:hAnsi="宋体" w:cs="宋体"/>
          <w:color w:val="auto"/>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43264E82">
      <w:pPr>
        <w:spacing w:line="360" w:lineRule="exact"/>
        <w:ind w:firstLine="315" w:firstLineChars="150"/>
        <w:rPr>
          <w:rFonts w:ascii="宋体" w:hAnsi="宋体" w:cs="宋体"/>
          <w:color w:val="auto"/>
          <w:szCs w:val="21"/>
          <w:u w:val="single"/>
        </w:rPr>
      </w:pPr>
      <w:r>
        <w:rPr>
          <w:rFonts w:hint="eastAsia" w:ascii="宋体" w:hAnsi="宋体" w:cs="宋体"/>
          <w:color w:val="auto"/>
          <w:szCs w:val="21"/>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3CFD18FB">
      <w:pPr>
        <w:spacing w:line="360" w:lineRule="exact"/>
        <w:ind w:firstLine="420" w:firstLineChars="200"/>
        <w:rPr>
          <w:rFonts w:ascii="宋体" w:hAnsi="宋体" w:cs="宋体"/>
          <w:color w:val="auto"/>
          <w:szCs w:val="21"/>
        </w:rPr>
      </w:pPr>
      <w:r>
        <w:rPr>
          <w:rFonts w:hint="eastAsia" w:ascii="宋体" w:hAnsi="宋体" w:cs="宋体"/>
          <w:color w:val="auto"/>
          <w:szCs w:val="21"/>
        </w:rPr>
        <w:t>9.4 现场工艺试验</w:t>
      </w:r>
    </w:p>
    <w:p w14:paraId="1E26E942">
      <w:pPr>
        <w:spacing w:line="360" w:lineRule="exact"/>
        <w:ind w:firstLine="420" w:firstLineChars="200"/>
        <w:rPr>
          <w:rFonts w:ascii="宋体" w:hAnsi="宋体" w:cs="宋体"/>
          <w:color w:val="auto"/>
          <w:szCs w:val="21"/>
        </w:rPr>
      </w:pPr>
      <w:r>
        <w:rPr>
          <w:rFonts w:hint="eastAsia" w:ascii="宋体" w:hAnsi="宋体" w:cs="宋体"/>
          <w:color w:val="auto"/>
          <w:szCs w:val="21"/>
        </w:rPr>
        <w:t>现场工艺试验的有关约定：</w:t>
      </w:r>
      <w:r>
        <w:rPr>
          <w:rFonts w:hint="eastAsia" w:ascii="宋体" w:hAnsi="宋体" w:cs="宋体"/>
          <w:color w:val="auto"/>
          <w:szCs w:val="21"/>
          <w:u w:val="single"/>
        </w:rPr>
        <w:t xml:space="preserve">        /                      </w:t>
      </w:r>
      <w:r>
        <w:rPr>
          <w:rFonts w:hint="eastAsia" w:ascii="宋体" w:hAnsi="宋体" w:cs="宋体"/>
          <w:color w:val="auto"/>
          <w:szCs w:val="21"/>
        </w:rPr>
        <w:t>。</w:t>
      </w:r>
    </w:p>
    <w:bookmarkEnd w:id="193"/>
    <w:bookmarkEnd w:id="194"/>
    <w:bookmarkEnd w:id="195"/>
    <w:bookmarkEnd w:id="196"/>
    <w:bookmarkEnd w:id="197"/>
    <w:bookmarkEnd w:id="198"/>
    <w:bookmarkEnd w:id="199"/>
    <w:bookmarkEnd w:id="200"/>
    <w:p w14:paraId="15BA150B">
      <w:pPr>
        <w:pStyle w:val="9"/>
        <w:spacing w:before="0" w:after="0" w:line="360" w:lineRule="exact"/>
        <w:rPr>
          <w:rFonts w:ascii="宋体" w:hAnsi="宋体" w:eastAsia="宋体" w:cs="宋体"/>
          <w:b w:val="0"/>
          <w:color w:val="auto"/>
          <w:sz w:val="21"/>
          <w:szCs w:val="21"/>
        </w:rPr>
      </w:pPr>
      <w:bookmarkStart w:id="201" w:name="_Toc351203642"/>
      <w:r>
        <w:rPr>
          <w:rFonts w:hint="eastAsia" w:ascii="宋体" w:hAnsi="宋体" w:eastAsia="宋体" w:cs="宋体"/>
          <w:b w:val="0"/>
          <w:color w:val="auto"/>
          <w:sz w:val="21"/>
          <w:szCs w:val="21"/>
        </w:rPr>
        <w:t>1</w:t>
      </w:r>
      <w:bookmarkEnd w:id="167"/>
      <w:bookmarkEnd w:id="168"/>
      <w:bookmarkEnd w:id="169"/>
      <w:bookmarkEnd w:id="170"/>
      <w:bookmarkEnd w:id="171"/>
      <w:bookmarkEnd w:id="172"/>
      <w:bookmarkEnd w:id="173"/>
      <w:bookmarkEnd w:id="174"/>
      <w:bookmarkEnd w:id="175"/>
      <w:bookmarkEnd w:id="176"/>
      <w:bookmarkEnd w:id="177"/>
      <w:bookmarkEnd w:id="178"/>
      <w:bookmarkStart w:id="202" w:name="_Toc303539146"/>
      <w:bookmarkStart w:id="203" w:name="_Toc296891021"/>
      <w:bookmarkStart w:id="204" w:name="_Toc297123540"/>
      <w:bookmarkStart w:id="205" w:name="_Toc296944532"/>
      <w:bookmarkStart w:id="206" w:name="_Toc292559903"/>
      <w:bookmarkStart w:id="207" w:name="_Toc296503193"/>
      <w:bookmarkStart w:id="208" w:name="_Toc297216199"/>
      <w:bookmarkStart w:id="209" w:name="_Toc297120493"/>
      <w:bookmarkStart w:id="210" w:name="_Toc300934989"/>
      <w:bookmarkStart w:id="211" w:name="_Toc292559398"/>
      <w:bookmarkStart w:id="212" w:name="_Toc304295566"/>
      <w:bookmarkStart w:id="213" w:name="_Toc296891233"/>
      <w:bookmarkStart w:id="214" w:name="_Toc297048379"/>
      <w:bookmarkStart w:id="215" w:name="_Toc296347192"/>
      <w:bookmarkStart w:id="216" w:name="_Toc296346694"/>
      <w:bookmarkStart w:id="217" w:name="_Toc312677499"/>
      <w:bookmarkStart w:id="218" w:name="_Toc312678025"/>
      <w:r>
        <w:rPr>
          <w:rFonts w:hint="eastAsia" w:ascii="宋体" w:hAnsi="宋体" w:eastAsia="宋体" w:cs="宋体"/>
          <w:b w:val="0"/>
          <w:color w:val="auto"/>
          <w:sz w:val="21"/>
          <w:szCs w:val="21"/>
        </w:rPr>
        <w:t>0. 变更</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bookmarkEnd w:id="217"/>
    <w:bookmarkEnd w:id="218"/>
    <w:p w14:paraId="62DC0E2B">
      <w:pPr>
        <w:spacing w:line="360" w:lineRule="exact"/>
        <w:ind w:firstLine="420" w:firstLineChars="200"/>
        <w:rPr>
          <w:rFonts w:ascii="宋体" w:hAnsi="宋体" w:cs="宋体"/>
          <w:color w:val="auto"/>
          <w:szCs w:val="21"/>
        </w:rPr>
      </w:pPr>
      <w:r>
        <w:rPr>
          <w:rFonts w:hint="eastAsia" w:ascii="宋体" w:hAnsi="宋体" w:cs="宋体"/>
          <w:color w:val="auto"/>
          <w:szCs w:val="21"/>
        </w:rPr>
        <w:t>1</w:t>
      </w:r>
      <w:bookmarkStart w:id="219" w:name="_Toc297120494"/>
      <w:bookmarkStart w:id="220" w:name="_Toc292559904"/>
      <w:bookmarkStart w:id="221" w:name="_Toc303539147"/>
      <w:bookmarkStart w:id="222" w:name="_Toc296503194"/>
      <w:bookmarkStart w:id="223" w:name="_Toc297123541"/>
      <w:bookmarkStart w:id="224" w:name="_Toc296346695"/>
      <w:bookmarkStart w:id="225" w:name="_Toc312678026"/>
      <w:bookmarkStart w:id="226" w:name="_Toc292559399"/>
      <w:bookmarkStart w:id="227" w:name="_Toc297216200"/>
      <w:bookmarkStart w:id="228" w:name="_Toc297048380"/>
      <w:bookmarkStart w:id="229" w:name="_Toc296891022"/>
      <w:bookmarkStart w:id="230" w:name="_Toc296891234"/>
      <w:bookmarkStart w:id="231" w:name="_Toc296944533"/>
      <w:bookmarkStart w:id="232" w:name="_Toc312677500"/>
      <w:bookmarkStart w:id="233" w:name="_Toc300934990"/>
      <w:bookmarkStart w:id="234" w:name="_Toc296347193"/>
      <w:bookmarkStart w:id="235" w:name="_Toc304295567"/>
      <w:r>
        <w:rPr>
          <w:rFonts w:hint="eastAsia" w:ascii="宋体" w:hAnsi="宋体" w:cs="宋体"/>
          <w:color w:val="auto"/>
          <w:szCs w:val="21"/>
        </w:rPr>
        <w:t>0.1变更的范围</w:t>
      </w:r>
    </w:p>
    <w:p w14:paraId="3E42FE54">
      <w:pPr>
        <w:spacing w:line="360" w:lineRule="exact"/>
        <w:ind w:firstLine="315" w:firstLineChars="150"/>
        <w:rPr>
          <w:rFonts w:ascii="宋体" w:hAnsi="宋体" w:cs="宋体"/>
          <w:color w:val="auto"/>
          <w:szCs w:val="21"/>
        </w:rPr>
      </w:pPr>
      <w:r>
        <w:rPr>
          <w:rFonts w:hint="eastAsia" w:ascii="宋体" w:hAnsi="宋体" w:cs="宋体"/>
          <w:color w:val="auto"/>
          <w:szCs w:val="21"/>
        </w:rPr>
        <w:t>关于变更的范围的约定：</w:t>
      </w:r>
      <w:r>
        <w:rPr>
          <w:rFonts w:hint="eastAsia" w:ascii="宋体" w:hAnsi="宋体" w:cs="宋体"/>
          <w:color w:val="auto"/>
          <w:szCs w:val="21"/>
          <w:u w:val="single"/>
        </w:rPr>
        <w:t>按合同通用条款。工程变更引起工程量的减少或增加，承包人不得因此拒绝施工。</w:t>
      </w:r>
    </w:p>
    <w:p w14:paraId="5CDB0A6B">
      <w:pPr>
        <w:spacing w:line="360" w:lineRule="exact"/>
        <w:ind w:firstLine="420" w:firstLineChars="200"/>
        <w:rPr>
          <w:rFonts w:ascii="宋体" w:hAnsi="宋体" w:cs="宋体"/>
          <w:color w:val="auto"/>
          <w:szCs w:val="21"/>
        </w:rPr>
      </w:pPr>
      <w:r>
        <w:rPr>
          <w:rFonts w:hint="eastAsia" w:ascii="宋体" w:hAnsi="宋体" w:cs="宋体"/>
          <w:color w:val="auto"/>
          <w:szCs w:val="21"/>
        </w:rPr>
        <w:t>10.4 变更估价</w:t>
      </w:r>
    </w:p>
    <w:p w14:paraId="222209DD">
      <w:pPr>
        <w:spacing w:line="360" w:lineRule="exact"/>
        <w:ind w:firstLine="420" w:firstLineChars="200"/>
        <w:rPr>
          <w:rFonts w:ascii="宋体" w:hAnsi="宋体" w:cs="宋体"/>
          <w:color w:val="auto"/>
          <w:szCs w:val="21"/>
        </w:rPr>
      </w:pPr>
      <w:r>
        <w:rPr>
          <w:rFonts w:hint="eastAsia" w:ascii="宋体" w:hAnsi="宋体" w:cs="宋体"/>
          <w:color w:val="auto"/>
          <w:szCs w:val="21"/>
        </w:rPr>
        <w:t>10.4.1 变更估价原则</w:t>
      </w:r>
    </w:p>
    <w:p w14:paraId="33CCACF0">
      <w:pPr>
        <w:spacing w:line="360" w:lineRule="exact"/>
        <w:ind w:firstLine="315" w:firstLineChars="150"/>
        <w:rPr>
          <w:rFonts w:ascii="宋体" w:hAnsi="宋体" w:cs="宋体"/>
          <w:color w:val="auto"/>
          <w:szCs w:val="21"/>
        </w:rPr>
      </w:pPr>
      <w:r>
        <w:rPr>
          <w:rFonts w:hint="eastAsia" w:ascii="宋体" w:hAnsi="宋体" w:cs="宋体"/>
          <w:color w:val="auto"/>
          <w:szCs w:val="21"/>
        </w:rPr>
        <w:t xml:space="preserve">关于变更估价的约定: </w:t>
      </w:r>
    </w:p>
    <w:p w14:paraId="595C96C7">
      <w:pPr>
        <w:spacing w:line="360" w:lineRule="exact"/>
        <w:ind w:firstLine="315" w:firstLineChars="150"/>
        <w:rPr>
          <w:rFonts w:ascii="宋体" w:hAnsi="宋体" w:cs="宋体"/>
          <w:color w:val="auto"/>
          <w:szCs w:val="21"/>
          <w:u w:val="single"/>
        </w:rPr>
      </w:pPr>
      <w:r>
        <w:rPr>
          <w:rFonts w:hint="eastAsia" w:ascii="宋体" w:hAnsi="宋体" w:cs="宋体"/>
          <w:color w:val="auto"/>
          <w:szCs w:val="21"/>
          <w:u w:val="single"/>
        </w:rPr>
        <w:t>（1）变更后项目与已标价工程量清单有相同项目的，按照相同项目综合单价确定。如该综合单价异常，则投标清单中合价金额占签约合同价2%及以上的分部分项清单项目，其工程量增加超过本项目工程数量15%及以上时；或投标清单中合价金额占签约合同价不到2%的分部分项清单项目，但其工程量增加超过本项目工程数量25%及以上时，该分部分项清单超过约定幅度外部分工程量的综合单价按专用条款10.4.1（2）（3）条约定调整。</w:t>
      </w:r>
    </w:p>
    <w:p w14:paraId="2BE44A41">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综合单价异常：是指投标综合单价与按本项目招标控制价编制依据计算的综合单价偏差±25%以上。</w:t>
      </w:r>
    </w:p>
    <w:p w14:paraId="058D1291">
      <w:pPr>
        <w:spacing w:line="360" w:lineRule="exact"/>
        <w:ind w:firstLine="210" w:firstLineChars="100"/>
        <w:rPr>
          <w:rFonts w:ascii="宋体" w:hAnsi="宋体" w:cs="宋体"/>
          <w:color w:val="auto"/>
          <w:szCs w:val="21"/>
          <w:u w:val="single"/>
        </w:rPr>
      </w:pPr>
      <w:r>
        <w:rPr>
          <w:rFonts w:hint="eastAsia" w:ascii="宋体" w:hAnsi="宋体" w:cs="宋体"/>
          <w:color w:val="auto"/>
          <w:szCs w:val="21"/>
          <w:u w:val="single"/>
        </w:rPr>
        <w:t>（2）变更后项目与已标价工程量清单中没有适用的综合单价，但有类似的工程项目综合单价，承包人可参照类似工程项目综合单价计算，并报发包人确定。</w:t>
      </w:r>
    </w:p>
    <w:p w14:paraId="0D860B4A">
      <w:pPr>
        <w:numPr>
          <w:ilvl w:val="0"/>
          <w:numId w:val="4"/>
        </w:numPr>
        <w:spacing w:line="360" w:lineRule="exact"/>
        <w:ind w:firstLine="336" w:firstLineChars="160"/>
        <w:rPr>
          <w:rFonts w:ascii="宋体" w:hAnsi="宋体" w:cs="宋体"/>
          <w:color w:val="auto"/>
          <w:szCs w:val="21"/>
          <w:u w:val="single"/>
        </w:rPr>
      </w:pPr>
      <w:r>
        <w:rPr>
          <w:rFonts w:hint="eastAsia" w:ascii="宋体" w:hAnsi="宋体" w:cs="宋体"/>
          <w:color w:val="auto"/>
          <w:szCs w:val="21"/>
          <w:u w:val="single"/>
        </w:rPr>
        <w:t>某种材料（或半成品及成品）等级、标准变化的，清单组合子目不变，仅调整不同的材料市场价格之差；</w:t>
      </w:r>
    </w:p>
    <w:p w14:paraId="7C7CE5DF">
      <w:pPr>
        <w:numPr>
          <w:ilvl w:val="0"/>
          <w:numId w:val="4"/>
        </w:numPr>
        <w:spacing w:line="360" w:lineRule="exact"/>
        <w:ind w:firstLine="420"/>
        <w:rPr>
          <w:rFonts w:ascii="宋体" w:hAnsi="宋体" w:cs="宋体"/>
          <w:color w:val="auto"/>
          <w:szCs w:val="21"/>
          <w:u w:val="single"/>
        </w:rPr>
      </w:pPr>
      <w:r>
        <w:rPr>
          <w:rFonts w:hint="eastAsia" w:ascii="宋体" w:hAnsi="宋体" w:cs="宋体"/>
          <w:color w:val="auto"/>
          <w:szCs w:val="21"/>
          <w:u w:val="single"/>
        </w:rPr>
        <w:t>清单项目组合内容中某一个（或多个）定额子目发生变化，不影响其他特征及工程内容价格的，仅调整发生变化的定额子目价格。</w:t>
      </w:r>
    </w:p>
    <w:p w14:paraId="22B2E023">
      <w:pPr>
        <w:spacing w:line="360" w:lineRule="exact"/>
        <w:ind w:firstLine="315" w:firstLineChars="150"/>
        <w:rPr>
          <w:rFonts w:ascii="宋体" w:hAnsi="宋体" w:cs="宋体"/>
          <w:color w:val="auto"/>
          <w:szCs w:val="21"/>
          <w:u w:val="single"/>
        </w:rPr>
      </w:pPr>
      <w:r>
        <w:rPr>
          <w:rFonts w:hint="eastAsia" w:ascii="宋体" w:hAnsi="宋体" w:cs="宋体"/>
          <w:color w:val="auto"/>
          <w:szCs w:val="21"/>
          <w:u w:val="single"/>
        </w:rPr>
        <w:t>c、如该类似工程项目的综合单价异常，则按专用条款10.4.1（3）款重新计算综合单价。</w:t>
      </w:r>
    </w:p>
    <w:p w14:paraId="11B90563">
      <w:pPr>
        <w:spacing w:line="360" w:lineRule="exact"/>
        <w:ind w:firstLine="315" w:firstLineChars="150"/>
        <w:rPr>
          <w:rFonts w:ascii="宋体" w:hAnsi="宋体" w:cs="宋体"/>
          <w:color w:val="auto"/>
          <w:szCs w:val="21"/>
          <w:u w:val="single"/>
        </w:rPr>
      </w:pPr>
      <w:r>
        <w:rPr>
          <w:rFonts w:hint="eastAsia" w:ascii="宋体" w:hAnsi="宋体" w:cs="宋体"/>
          <w:color w:val="auto"/>
          <w:szCs w:val="21"/>
          <w:u w:val="single"/>
        </w:rPr>
        <w:t xml:space="preserve">（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的综合单价，合同中约定的人工、材料、机械可调整的内容，仍按合同约定调整。 </w:t>
      </w:r>
    </w:p>
    <w:p w14:paraId="62131719">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如按以上编制依据缺项的内容，承包人应通过市场调查等手段提出单价，并报发包人确定后执行。</w:t>
      </w:r>
    </w:p>
    <w:p w14:paraId="10918950">
      <w:pPr>
        <w:spacing w:line="360" w:lineRule="exact"/>
        <w:ind w:firstLine="420" w:firstLineChars="200"/>
        <w:rPr>
          <w:rFonts w:ascii="宋体" w:hAnsi="宋体" w:cs="宋体"/>
          <w:color w:val="auto"/>
          <w:szCs w:val="21"/>
        </w:rPr>
      </w:pPr>
      <w:r>
        <w:rPr>
          <w:rFonts w:hint="eastAsia" w:ascii="宋体" w:hAnsi="宋体" w:cs="宋体"/>
          <w:color w:val="auto"/>
          <w:szCs w:val="21"/>
        </w:rPr>
        <w:t>10.4.2 变更估价程序</w:t>
      </w:r>
    </w:p>
    <w:p w14:paraId="558E21E7">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承包人收到发包人、监理人、设计单位的变更指示后14天内向发包人提交变更估价申请。</w:t>
      </w:r>
    </w:p>
    <w:p w14:paraId="43EF8A33">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承包人提出工程变更、施工方案调整等变更应同时提交变更估价申请。</w:t>
      </w:r>
    </w:p>
    <w:p w14:paraId="7DD476B2">
      <w:pPr>
        <w:spacing w:line="360" w:lineRule="exact"/>
        <w:ind w:firstLine="420" w:firstLineChars="200"/>
        <w:rPr>
          <w:rFonts w:ascii="宋体" w:hAnsi="宋体" w:cs="宋体"/>
          <w:color w:val="auto"/>
          <w:szCs w:val="21"/>
        </w:rPr>
      </w:pPr>
      <w:r>
        <w:rPr>
          <w:rFonts w:hint="eastAsia" w:ascii="宋体" w:hAnsi="宋体" w:cs="宋体"/>
          <w:color w:val="auto"/>
          <w:szCs w:val="21"/>
          <w:u w:val="single"/>
        </w:rPr>
        <w:t>承包人提交的变更估价申请，发包人应予以签收，并在14天内审批完毕。</w:t>
      </w:r>
    </w:p>
    <w:p w14:paraId="15601007">
      <w:pPr>
        <w:spacing w:line="360" w:lineRule="exact"/>
        <w:ind w:firstLine="420" w:firstLineChars="200"/>
        <w:rPr>
          <w:rFonts w:ascii="宋体" w:hAnsi="宋体" w:cs="宋体"/>
          <w:color w:val="auto"/>
          <w:szCs w:val="21"/>
        </w:rPr>
      </w:pPr>
      <w:r>
        <w:rPr>
          <w:rFonts w:hint="eastAsia" w:ascii="宋体" w:hAnsi="宋体" w:cs="宋体"/>
          <w:color w:val="auto"/>
          <w:szCs w:val="21"/>
        </w:rPr>
        <w:t>1</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Start w:id="236" w:name="_Toc296891025"/>
      <w:bookmarkStart w:id="237" w:name="_Toc296347196"/>
      <w:bookmarkStart w:id="238" w:name="_Toc297123544"/>
      <w:bookmarkStart w:id="239" w:name="_Toc296891237"/>
      <w:bookmarkStart w:id="240" w:name="_Toc292559907"/>
      <w:bookmarkStart w:id="241" w:name="_Toc296346698"/>
      <w:bookmarkStart w:id="242" w:name="_Toc296503197"/>
      <w:bookmarkStart w:id="243" w:name="_Toc292559402"/>
      <w:bookmarkStart w:id="244" w:name="_Toc297216203"/>
      <w:bookmarkStart w:id="245" w:name="_Toc297048383"/>
      <w:bookmarkStart w:id="246" w:name="_Toc297120497"/>
      <w:bookmarkStart w:id="247" w:name="_Toc300934993"/>
      <w:bookmarkStart w:id="248" w:name="_Toc296944536"/>
      <w:bookmarkStart w:id="249" w:name="_Toc303539150"/>
      <w:bookmarkStart w:id="250" w:name="_Toc312677503"/>
      <w:bookmarkStart w:id="251" w:name="_Toc312678029"/>
      <w:bookmarkStart w:id="252" w:name="_Toc304295570"/>
      <w:r>
        <w:rPr>
          <w:rFonts w:hint="eastAsia" w:ascii="宋体" w:hAnsi="宋体" w:cs="宋体"/>
          <w:color w:val="auto"/>
          <w:szCs w:val="21"/>
        </w:rPr>
        <w:t>0.5承</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Start w:id="253" w:name="_Toc296891031"/>
      <w:bookmarkStart w:id="254" w:name="_Toc296503203"/>
      <w:bookmarkStart w:id="255" w:name="_Toc296347202"/>
      <w:bookmarkStart w:id="256" w:name="_Toc297048389"/>
      <w:bookmarkStart w:id="257" w:name="_Toc300934994"/>
      <w:bookmarkStart w:id="258" w:name="_Toc296346704"/>
      <w:bookmarkStart w:id="259" w:name="_Toc296891243"/>
      <w:bookmarkStart w:id="260" w:name="_Toc297216204"/>
      <w:bookmarkStart w:id="261" w:name="_Toc297120503"/>
      <w:bookmarkStart w:id="262" w:name="_Toc303539151"/>
      <w:bookmarkStart w:id="263" w:name="_Toc292559913"/>
      <w:bookmarkStart w:id="264" w:name="_Toc296944542"/>
      <w:bookmarkStart w:id="265" w:name="_Toc297123545"/>
      <w:bookmarkStart w:id="266" w:name="_Toc292559408"/>
      <w:r>
        <w:rPr>
          <w:rFonts w:hint="eastAsia" w:ascii="宋体" w:hAnsi="宋体" w:cs="宋体"/>
          <w:color w:val="auto"/>
          <w:szCs w:val="21"/>
        </w:rPr>
        <w:t>包人的合理化建议</w:t>
      </w: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27DB30EA">
      <w:pPr>
        <w:spacing w:line="360" w:lineRule="exact"/>
        <w:ind w:firstLine="420" w:firstLineChars="200"/>
        <w:rPr>
          <w:rFonts w:ascii="宋体" w:hAnsi="宋体" w:cs="宋体"/>
          <w:color w:val="auto"/>
          <w:szCs w:val="21"/>
        </w:rPr>
      </w:pPr>
      <w:r>
        <w:rPr>
          <w:rFonts w:hint="eastAsia" w:ascii="宋体" w:hAnsi="宋体" w:cs="宋体"/>
          <w:color w:val="auto"/>
          <w:szCs w:val="21"/>
        </w:rPr>
        <w:t>监理人审查承包人合理化建议的期限：</w:t>
      </w:r>
      <w:r>
        <w:rPr>
          <w:rFonts w:hint="eastAsia" w:ascii="宋体" w:hAnsi="宋体" w:cs="宋体"/>
          <w:color w:val="auto"/>
          <w:szCs w:val="21"/>
          <w:u w:val="single"/>
        </w:rPr>
        <w:t xml:space="preserve"> 按通用条款执行  </w:t>
      </w:r>
      <w:r>
        <w:rPr>
          <w:rFonts w:hint="eastAsia" w:ascii="宋体" w:hAnsi="宋体" w:cs="宋体"/>
          <w:color w:val="auto"/>
          <w:szCs w:val="21"/>
        </w:rPr>
        <w:t>。</w:t>
      </w:r>
    </w:p>
    <w:p w14:paraId="32A1F8F4">
      <w:pPr>
        <w:spacing w:line="360" w:lineRule="exact"/>
        <w:ind w:firstLine="420" w:firstLineChars="200"/>
        <w:rPr>
          <w:rFonts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single"/>
        </w:rPr>
        <w:t xml:space="preserve">按通用条款执行   </w:t>
      </w:r>
      <w:r>
        <w:rPr>
          <w:rFonts w:hint="eastAsia" w:ascii="宋体" w:hAnsi="宋体" w:cs="宋体"/>
          <w:color w:val="auto"/>
          <w:szCs w:val="21"/>
        </w:rPr>
        <w:t>。</w:t>
      </w:r>
    </w:p>
    <w:p w14:paraId="72EE5B2F">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承</w:t>
      </w:r>
      <w:bookmarkStart w:id="267" w:name="_Toc296944543"/>
      <w:bookmarkStart w:id="268" w:name="_Toc312677504"/>
      <w:bookmarkStart w:id="269" w:name="_Toc296347203"/>
      <w:bookmarkStart w:id="270" w:name="_Toc297216205"/>
      <w:bookmarkStart w:id="271" w:name="_Toc296346705"/>
      <w:bookmarkStart w:id="272" w:name="_Toc297123546"/>
      <w:bookmarkStart w:id="273" w:name="_Toc297048390"/>
      <w:bookmarkStart w:id="274" w:name="_Toc300934995"/>
      <w:bookmarkStart w:id="275" w:name="_Toc318581175"/>
      <w:bookmarkStart w:id="276" w:name="_Toc304295571"/>
      <w:bookmarkStart w:id="277" w:name="_Toc296891032"/>
      <w:bookmarkStart w:id="278" w:name="_Toc303539152"/>
      <w:bookmarkStart w:id="279" w:name="_Toc312678030"/>
      <w:bookmarkStart w:id="280" w:name="_Toc292559409"/>
      <w:bookmarkStart w:id="281" w:name="_Toc292559914"/>
      <w:bookmarkStart w:id="282" w:name="_Toc296503204"/>
      <w:bookmarkStart w:id="283" w:name="_Toc297120504"/>
      <w:bookmarkStart w:id="284" w:name="_Toc296891244"/>
      <w:r>
        <w:rPr>
          <w:rFonts w:hint="eastAsia" w:ascii="宋体" w:hAnsi="宋体" w:cs="宋体"/>
          <w:color w:val="auto"/>
          <w:szCs w:val="21"/>
        </w:rPr>
        <w:t>包人提出的合理化建议降低了合同价格或者提高了工程经济效益的奖励的方法和金额为：</w:t>
      </w:r>
      <w:r>
        <w:rPr>
          <w:rFonts w:hint="eastAsia" w:ascii="宋体" w:hAnsi="宋体" w:cs="宋体"/>
          <w:color w:val="auto"/>
          <w:szCs w:val="21"/>
          <w:u w:val="single"/>
        </w:rPr>
        <w:t xml:space="preserve">                                </w:t>
      </w:r>
      <w:r>
        <w:rPr>
          <w:rFonts w:hint="eastAsia" w:ascii="宋体" w:hAnsi="宋体" w:cs="宋体"/>
          <w:color w:val="auto"/>
          <w:szCs w:val="21"/>
        </w:rPr>
        <w:t>。</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4B0FEA0B">
      <w:pPr>
        <w:spacing w:line="360" w:lineRule="exact"/>
        <w:ind w:firstLine="420" w:firstLineChars="200"/>
        <w:rPr>
          <w:rFonts w:ascii="宋体" w:hAnsi="宋体" w:cs="宋体"/>
          <w:color w:val="auto"/>
          <w:szCs w:val="21"/>
        </w:rPr>
      </w:pPr>
      <w:r>
        <w:rPr>
          <w:rFonts w:hint="eastAsia" w:ascii="宋体" w:hAnsi="宋体" w:cs="宋体"/>
          <w:color w:val="auto"/>
          <w:szCs w:val="21"/>
        </w:rPr>
        <w:t>1</w:t>
      </w:r>
      <w:bookmarkStart w:id="285" w:name="_Toc296891027"/>
      <w:bookmarkStart w:id="286" w:name="_Toc297216207"/>
      <w:bookmarkStart w:id="287" w:name="_Toc296503199"/>
      <w:bookmarkStart w:id="288" w:name="_Toc296944538"/>
      <w:bookmarkStart w:id="289" w:name="_Toc292559404"/>
      <w:bookmarkStart w:id="290" w:name="_Toc304295574"/>
      <w:bookmarkStart w:id="291" w:name="_Toc297123548"/>
      <w:bookmarkStart w:id="292" w:name="_Toc296347198"/>
      <w:bookmarkStart w:id="293" w:name="_Toc312678033"/>
      <w:bookmarkStart w:id="294" w:name="_Toc303539154"/>
      <w:bookmarkStart w:id="295" w:name="_Toc292559909"/>
      <w:bookmarkStart w:id="296" w:name="_Toc296346700"/>
      <w:bookmarkStart w:id="297" w:name="_Toc300934997"/>
      <w:bookmarkStart w:id="298" w:name="_Toc312677507"/>
      <w:bookmarkStart w:id="299" w:name="_Toc297120499"/>
      <w:bookmarkStart w:id="300" w:name="_Toc297048385"/>
      <w:bookmarkStart w:id="301" w:name="_Toc296891239"/>
      <w:r>
        <w:rPr>
          <w:rFonts w:hint="eastAsia" w:ascii="宋体" w:hAnsi="宋体" w:cs="宋体"/>
          <w:color w:val="auto"/>
          <w:szCs w:val="21"/>
        </w:rPr>
        <w:t>0.7 暂估价</w:t>
      </w: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4A43C579">
      <w:pPr>
        <w:spacing w:line="360" w:lineRule="exact"/>
        <w:ind w:firstLine="420" w:firstLineChars="200"/>
        <w:rPr>
          <w:rFonts w:ascii="宋体" w:hAnsi="宋体" w:cs="宋体"/>
          <w:color w:val="auto"/>
          <w:szCs w:val="21"/>
        </w:rPr>
      </w:pPr>
      <w:r>
        <w:rPr>
          <w:rFonts w:hint="eastAsia" w:ascii="宋体" w:hAnsi="宋体" w:cs="宋体"/>
          <w:color w:val="auto"/>
          <w:szCs w:val="21"/>
        </w:rPr>
        <w:t>暂</w:t>
      </w:r>
      <w:bookmarkStart w:id="302" w:name="_Toc312677508"/>
      <w:bookmarkStart w:id="303" w:name="_Toc318581176"/>
      <w:bookmarkStart w:id="304" w:name="_Toc312678034"/>
      <w:r>
        <w:rPr>
          <w:rFonts w:hint="eastAsia" w:ascii="宋体" w:hAnsi="宋体" w:cs="宋体"/>
          <w:color w:val="auto"/>
          <w:szCs w:val="21"/>
        </w:rPr>
        <w:t>估价材料和工程设备的明细详见附件11：《暂估价一览表》。</w:t>
      </w:r>
    </w:p>
    <w:bookmarkEnd w:id="302"/>
    <w:bookmarkEnd w:id="303"/>
    <w:bookmarkEnd w:id="304"/>
    <w:p w14:paraId="4ED9A86F">
      <w:pPr>
        <w:spacing w:line="360" w:lineRule="exact"/>
        <w:ind w:firstLine="420" w:firstLineChars="200"/>
        <w:rPr>
          <w:rFonts w:ascii="宋体" w:hAnsi="宋体" w:cs="宋体"/>
          <w:color w:val="auto"/>
          <w:szCs w:val="21"/>
        </w:rPr>
      </w:pPr>
      <w:r>
        <w:rPr>
          <w:rFonts w:hint="eastAsia" w:ascii="宋体" w:hAnsi="宋体" w:cs="宋体"/>
          <w:color w:val="auto"/>
          <w:szCs w:val="21"/>
        </w:rPr>
        <w:t>1</w:t>
      </w:r>
      <w:bookmarkStart w:id="305" w:name="_Toc312678035"/>
      <w:bookmarkStart w:id="306" w:name="_Toc318581177"/>
      <w:bookmarkStart w:id="307" w:name="_Toc312677509"/>
      <w:r>
        <w:rPr>
          <w:rFonts w:hint="eastAsia" w:ascii="宋体" w:hAnsi="宋体" w:cs="宋体"/>
          <w:color w:val="auto"/>
          <w:szCs w:val="21"/>
        </w:rPr>
        <w:t>0.7.1 依法必须招标的暂估价项目</w:t>
      </w:r>
    </w:p>
    <w:bookmarkEnd w:id="305"/>
    <w:bookmarkEnd w:id="306"/>
    <w:bookmarkEnd w:id="307"/>
    <w:p w14:paraId="67AFF714">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085A724F">
      <w:pPr>
        <w:spacing w:line="360" w:lineRule="exact"/>
        <w:ind w:firstLine="420" w:firstLineChars="200"/>
        <w:rPr>
          <w:rFonts w:ascii="宋体" w:hAnsi="宋体" w:cs="宋体"/>
          <w:color w:val="auto"/>
          <w:szCs w:val="21"/>
        </w:rPr>
      </w:pPr>
      <w:r>
        <w:rPr>
          <w:rFonts w:hint="eastAsia" w:ascii="宋体" w:hAnsi="宋体" w:cs="宋体"/>
          <w:color w:val="auto"/>
          <w:szCs w:val="21"/>
        </w:rPr>
        <w:t>10.7.2 不属于依法必须招标的暂估价项目：</w:t>
      </w:r>
      <w:r>
        <w:rPr>
          <w:rFonts w:hint="eastAsia" w:ascii="宋体" w:hAnsi="宋体" w:cs="宋体"/>
          <w:color w:val="auto"/>
          <w:szCs w:val="21"/>
          <w:u w:val="single"/>
        </w:rPr>
        <w:t>按合同通用条款。</w:t>
      </w:r>
    </w:p>
    <w:p w14:paraId="39A31047">
      <w:pPr>
        <w:spacing w:line="360" w:lineRule="exact"/>
        <w:ind w:firstLine="420" w:firstLineChars="200"/>
        <w:rPr>
          <w:rFonts w:ascii="宋体" w:hAnsi="宋体" w:cs="宋体"/>
          <w:color w:val="auto"/>
          <w:szCs w:val="21"/>
        </w:rPr>
      </w:pPr>
      <w:r>
        <w:rPr>
          <w:rFonts w:hint="eastAsia" w:ascii="宋体" w:hAnsi="宋体" w:cs="宋体"/>
          <w:color w:val="auto"/>
          <w:szCs w:val="21"/>
        </w:rPr>
        <w:t>第3种方式：承包人直接实施的暂估价项目</w:t>
      </w:r>
    </w:p>
    <w:p w14:paraId="541952BE">
      <w:pPr>
        <w:spacing w:line="360" w:lineRule="exact"/>
        <w:ind w:firstLine="420" w:firstLineChars="200"/>
        <w:rPr>
          <w:rFonts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rPr>
        <w:t xml:space="preserve">       /          </w:t>
      </w:r>
      <w:r>
        <w:rPr>
          <w:rFonts w:hint="eastAsia" w:ascii="宋体" w:hAnsi="宋体" w:cs="宋体"/>
          <w:color w:val="auto"/>
          <w:szCs w:val="21"/>
        </w:rPr>
        <w:t>。</w:t>
      </w:r>
    </w:p>
    <w:p w14:paraId="4C82EA66">
      <w:pPr>
        <w:spacing w:line="360" w:lineRule="exact"/>
        <w:ind w:firstLine="420" w:firstLineChars="200"/>
        <w:rPr>
          <w:rFonts w:ascii="宋体" w:hAnsi="宋体" w:cs="宋体"/>
          <w:color w:val="auto"/>
          <w:szCs w:val="21"/>
        </w:rPr>
      </w:pPr>
      <w:r>
        <w:rPr>
          <w:rFonts w:hint="eastAsia" w:ascii="宋体" w:hAnsi="宋体" w:cs="宋体"/>
          <w:color w:val="auto"/>
          <w:szCs w:val="21"/>
        </w:rPr>
        <w:t>10.8 暂列金额</w:t>
      </w:r>
    </w:p>
    <w:p w14:paraId="2C6FECF5">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合同当事人关于暂列金额使用的约定：</w:t>
      </w:r>
      <w:r>
        <w:rPr>
          <w:rFonts w:hint="eastAsia" w:ascii="宋体" w:hAnsi="宋体" w:cs="宋体"/>
          <w:color w:val="auto"/>
          <w:szCs w:val="21"/>
          <w:u w:val="single"/>
        </w:rPr>
        <w:t xml:space="preserve">     /             </w:t>
      </w:r>
      <w:r>
        <w:rPr>
          <w:rFonts w:hint="eastAsia" w:ascii="宋体" w:hAnsi="宋体" w:cs="宋体"/>
          <w:color w:val="auto"/>
          <w:szCs w:val="21"/>
        </w:rPr>
        <w:t>。</w:t>
      </w:r>
    </w:p>
    <w:p w14:paraId="5C17CF03">
      <w:pPr>
        <w:autoSpaceDE w:val="0"/>
        <w:autoSpaceDN w:val="0"/>
        <w:adjustRightIn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创标化工地增加费</w:t>
      </w:r>
      <w:r>
        <w:rPr>
          <w:rFonts w:hint="eastAsia" w:ascii="宋体" w:hAnsi="宋体" w:cs="宋体"/>
          <w:color w:val="auto"/>
          <w:szCs w:val="21"/>
          <w:u w:val="single"/>
        </w:rPr>
        <w:t xml:space="preserve">              /                        </w:t>
      </w:r>
      <w:r>
        <w:rPr>
          <w:rFonts w:hint="eastAsia" w:ascii="宋体" w:hAnsi="宋体" w:cs="宋体"/>
          <w:color w:val="auto"/>
          <w:szCs w:val="21"/>
        </w:rPr>
        <w:t>。</w:t>
      </w:r>
    </w:p>
    <w:p w14:paraId="017BC6D3">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创优质工程增加费</w:t>
      </w:r>
      <w:r>
        <w:rPr>
          <w:rFonts w:hint="eastAsia" w:ascii="宋体" w:hAnsi="宋体" w:cs="宋体"/>
          <w:color w:val="auto"/>
          <w:szCs w:val="21"/>
          <w:u w:val="single"/>
        </w:rPr>
        <w:t xml:space="preserve">              /                        </w:t>
      </w:r>
      <w:r>
        <w:rPr>
          <w:rFonts w:hint="eastAsia" w:ascii="宋体" w:hAnsi="宋体" w:cs="宋体"/>
          <w:color w:val="auto"/>
          <w:szCs w:val="21"/>
        </w:rPr>
        <w:t>。</w:t>
      </w:r>
    </w:p>
    <w:p w14:paraId="4F6B3714">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11. 价格调整</w:t>
      </w:r>
    </w:p>
    <w:p w14:paraId="67DFEC49">
      <w:pPr>
        <w:spacing w:line="360" w:lineRule="exact"/>
        <w:ind w:firstLine="420" w:firstLineChars="200"/>
        <w:rPr>
          <w:rFonts w:ascii="宋体" w:hAnsi="宋体" w:cs="宋体"/>
          <w:color w:val="auto"/>
          <w:szCs w:val="21"/>
        </w:rPr>
      </w:pPr>
      <w:r>
        <w:rPr>
          <w:rFonts w:hint="eastAsia" w:ascii="宋体" w:hAnsi="宋体" w:cs="宋体"/>
          <w:color w:val="auto"/>
          <w:szCs w:val="21"/>
        </w:rPr>
        <w:t>11.1 市场价格波动引起的调整</w:t>
      </w:r>
    </w:p>
    <w:p w14:paraId="4D99F9F2">
      <w:pPr>
        <w:spacing w:line="360" w:lineRule="exact"/>
        <w:ind w:firstLine="388" w:firstLineChars="185"/>
        <w:rPr>
          <w:rFonts w:ascii="宋体" w:hAnsi="宋体" w:cs="宋体"/>
          <w:color w:val="auto"/>
          <w:szCs w:val="21"/>
          <w:u w:val="single"/>
        </w:rPr>
      </w:pPr>
      <w:r>
        <w:rPr>
          <w:rFonts w:hint="eastAsia" w:ascii="宋体" w:hAnsi="宋体" w:cs="宋体"/>
          <w:color w:val="auto"/>
          <w:szCs w:val="21"/>
        </w:rPr>
        <w:t>市场价格波动是否调整合同价格的约定</w:t>
      </w:r>
      <w:r>
        <w:rPr>
          <w:rFonts w:hint="eastAsia" w:ascii="宋体" w:hAnsi="宋体" w:cs="宋体"/>
          <w:color w:val="auto"/>
          <w:szCs w:val="21"/>
          <w:u w:val="single"/>
        </w:rPr>
        <w:t>：不调整。</w:t>
      </w:r>
    </w:p>
    <w:p w14:paraId="3D887693">
      <w:pPr>
        <w:spacing w:line="360" w:lineRule="exact"/>
        <w:ind w:firstLine="420" w:firstLineChars="200"/>
        <w:rPr>
          <w:rFonts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single"/>
        </w:rPr>
        <w:t xml:space="preserve">  2  </w:t>
      </w:r>
      <w:r>
        <w:rPr>
          <w:rFonts w:hint="eastAsia" w:ascii="宋体" w:hAnsi="宋体" w:cs="宋体"/>
          <w:color w:val="auto"/>
          <w:szCs w:val="21"/>
        </w:rPr>
        <w:t>种方式对合同价格进行调整：</w:t>
      </w:r>
    </w:p>
    <w:p w14:paraId="527EBF33">
      <w:pPr>
        <w:spacing w:line="360" w:lineRule="exact"/>
        <w:ind w:firstLine="420" w:firstLineChars="200"/>
        <w:rPr>
          <w:rFonts w:ascii="宋体" w:hAnsi="宋体" w:cs="宋体"/>
          <w:color w:val="auto"/>
          <w:szCs w:val="21"/>
        </w:rPr>
      </w:pPr>
      <w:r>
        <w:rPr>
          <w:rFonts w:hint="eastAsia" w:ascii="宋体" w:hAnsi="宋体" w:cs="宋体"/>
          <w:color w:val="auto"/>
          <w:szCs w:val="21"/>
        </w:rPr>
        <w:t>第1种方式：采用价格指数进行价格调整。</w:t>
      </w:r>
    </w:p>
    <w:p w14:paraId="7DAFC0CA">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关于各可调因子、定值和变值权重，以及基本价格指数及其来源的约定：</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14:paraId="572C6896">
      <w:pPr>
        <w:spacing w:line="360" w:lineRule="exact"/>
        <w:ind w:firstLine="420" w:firstLineChars="200"/>
        <w:rPr>
          <w:rFonts w:ascii="宋体" w:hAnsi="宋体" w:cs="宋体"/>
          <w:color w:val="auto"/>
          <w:szCs w:val="21"/>
        </w:rPr>
      </w:pPr>
      <w:r>
        <w:rPr>
          <w:rFonts w:hint="eastAsia" w:ascii="宋体" w:hAnsi="宋体" w:cs="宋体"/>
          <w:color w:val="auto"/>
          <w:szCs w:val="21"/>
        </w:rPr>
        <w:t>第2种方式：采用造价信息进行价格调整。</w:t>
      </w:r>
    </w:p>
    <w:p w14:paraId="4CBC143B">
      <w:pPr>
        <w:spacing w:line="360" w:lineRule="exact"/>
        <w:ind w:firstLine="447" w:firstLineChars="213"/>
        <w:rPr>
          <w:rFonts w:ascii="宋体" w:hAnsi="宋体" w:cs="宋体"/>
          <w:color w:val="auto"/>
          <w:szCs w:val="21"/>
        </w:rPr>
      </w:pPr>
      <w:r>
        <w:rPr>
          <w:rFonts w:hint="eastAsia" w:ascii="宋体" w:hAnsi="宋体" w:cs="宋体"/>
          <w:color w:val="auto"/>
          <w:szCs w:val="21"/>
        </w:rPr>
        <w:t>（1）关于基准价格的约定：</w:t>
      </w:r>
      <w:r>
        <w:rPr>
          <w:rFonts w:hint="eastAsia" w:ascii="宋体" w:hAnsi="宋体" w:cs="宋体"/>
          <w:color w:val="auto"/>
          <w:szCs w:val="21"/>
          <w:u w:val="single"/>
        </w:rPr>
        <w:t>A1=编制招标控制价（预算书）时所采用《台州造价（工程所在地）》对应月份的人工、材料价格</w:t>
      </w:r>
      <w:r>
        <w:rPr>
          <w:rFonts w:hint="eastAsia" w:ascii="宋体" w:hAnsi="宋体" w:cs="宋体"/>
          <w:color w:val="auto"/>
          <w:szCs w:val="21"/>
        </w:rPr>
        <w:t>。</w:t>
      </w:r>
    </w:p>
    <w:p w14:paraId="6FBEA667">
      <w:pPr>
        <w:spacing w:line="360" w:lineRule="exact"/>
        <w:ind w:firstLine="420" w:firstLineChars="200"/>
        <w:rPr>
          <w:rFonts w:ascii="宋体" w:hAnsi="宋体" w:cs="宋体"/>
          <w:color w:val="auto"/>
          <w:szCs w:val="21"/>
        </w:rPr>
      </w:pPr>
      <w:r>
        <w:rPr>
          <w:rFonts w:hint="eastAsia" w:ascii="宋体" w:hAnsi="宋体" w:cs="宋体"/>
          <w:color w:val="auto"/>
          <w:szCs w:val="21"/>
        </w:rPr>
        <w:t>（2）市场价格约定：</w:t>
      </w:r>
      <w:r>
        <w:rPr>
          <w:rFonts w:hint="eastAsia" w:ascii="宋体" w:hAnsi="宋体" w:cs="宋体"/>
          <w:color w:val="auto"/>
          <w:szCs w:val="21"/>
          <w:u w:val="single"/>
        </w:rPr>
        <w:t>A2＝桩基施工期、结构施工工期、装饰施工等施工期对应《台州造价（工程所在地）》人工、材料信息价算术（或加权）平均价；市政工程如有多个分项工程可按分项工程分别计算对应人工、材料信息价算术（加权）平均值（如A2采用加权平均值计算，则在12.3.3条应约定，汇总合同约定可调的人工、材料，当月完成工程量中的数量）。</w:t>
      </w:r>
    </w:p>
    <w:p w14:paraId="01DC28F0">
      <w:pPr>
        <w:spacing w:line="360" w:lineRule="exact"/>
        <w:ind w:firstLine="315" w:firstLineChars="150"/>
        <w:rPr>
          <w:rFonts w:ascii="宋体" w:hAnsi="宋体" w:cs="宋体"/>
          <w:color w:val="auto"/>
          <w:szCs w:val="21"/>
        </w:rPr>
      </w:pPr>
      <w:r>
        <w:rPr>
          <w:rFonts w:hint="eastAsia" w:ascii="宋体" w:hAnsi="宋体" w:cs="宋体"/>
          <w:color w:val="auto"/>
          <w:szCs w:val="21"/>
          <w:u w:val="single"/>
        </w:rPr>
        <w:t>（注：例：结构施工期以基础垫层砼施工所在月份开始计，至屋面梁板砼浇筑所在月份为止，具体以施工现场记录或试块报告为准；另应约定结构施工期不超过合同总工期60%（70%）月份，超过60%（70%）按60%（70%）计（遇有小数即进位取整）。遇整体工程或大地下室工程应按各单体工程及地下室部分进行划分，分别计算市场价格</w:t>
      </w:r>
      <w:r>
        <w:rPr>
          <w:rFonts w:hint="eastAsia" w:ascii="宋体" w:hAnsi="宋体" w:cs="宋体"/>
          <w:color w:val="auto"/>
          <w:szCs w:val="21"/>
        </w:rPr>
        <w:t>。）</w:t>
      </w:r>
    </w:p>
    <w:p w14:paraId="16E0DB6B">
      <w:pPr>
        <w:spacing w:line="360" w:lineRule="exact"/>
        <w:ind w:firstLine="420" w:firstLineChars="200"/>
        <w:rPr>
          <w:rFonts w:ascii="宋体" w:hAnsi="宋体" w:cs="宋体"/>
          <w:color w:val="auto"/>
          <w:szCs w:val="21"/>
        </w:rPr>
      </w:pPr>
      <w:r>
        <w:rPr>
          <w:rFonts w:hint="eastAsia" w:ascii="宋体" w:hAnsi="宋体" w:cs="宋体"/>
          <w:color w:val="auto"/>
          <w:szCs w:val="21"/>
        </w:rPr>
        <w:t>（3）调整方法</w:t>
      </w:r>
    </w:p>
    <w:p w14:paraId="4DC4BBE3">
      <w:pPr>
        <w:spacing w:line="360" w:lineRule="exact"/>
        <w:ind w:firstLine="420" w:firstLineChars="200"/>
        <w:rPr>
          <w:rFonts w:ascii="宋体" w:hAnsi="宋体" w:cs="宋体"/>
          <w:color w:val="auto"/>
          <w:szCs w:val="21"/>
        </w:rPr>
      </w:pPr>
      <w:r>
        <w:rPr>
          <w:rFonts w:hint="eastAsia" w:ascii="宋体" w:hAnsi="宋体" w:cs="宋体"/>
          <w:color w:val="auto"/>
          <w:szCs w:val="21"/>
        </w:rPr>
        <w:t>a.当A2＞A1时，该材料（人工）结算单价按超出的金额调增，即该材料（人工）结算单价=承包人的投标单价+（A2－A1）；</w:t>
      </w:r>
    </w:p>
    <w:p w14:paraId="41D5AD07">
      <w:pPr>
        <w:spacing w:line="360" w:lineRule="exact"/>
        <w:ind w:firstLine="420" w:firstLineChars="200"/>
        <w:rPr>
          <w:rFonts w:ascii="宋体" w:hAnsi="宋体" w:cs="宋体"/>
          <w:color w:val="auto"/>
          <w:szCs w:val="21"/>
        </w:rPr>
      </w:pPr>
      <w:r>
        <w:rPr>
          <w:rFonts w:hint="eastAsia" w:ascii="宋体" w:hAnsi="宋体" w:cs="宋体"/>
          <w:color w:val="auto"/>
          <w:szCs w:val="21"/>
        </w:rPr>
        <w:t>b.当A2＜A1时，该材料（人工）结算单价按低于的金额调减，即该材料（人工）结算单价=承包人的投标单价－（A1－A2）；</w:t>
      </w:r>
    </w:p>
    <w:p w14:paraId="13A5D1EB">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c.当A2＝A1时，该材料（人工）结算单价不作调整。</w:t>
      </w:r>
    </w:p>
    <w:p w14:paraId="52272E2D">
      <w:pPr>
        <w:spacing w:line="360" w:lineRule="exact"/>
        <w:ind w:firstLine="420" w:firstLineChars="200"/>
        <w:rPr>
          <w:rFonts w:ascii="宋体" w:hAnsi="宋体" w:cs="宋体"/>
          <w:color w:val="auto"/>
          <w:szCs w:val="21"/>
        </w:rPr>
      </w:pPr>
      <w:r>
        <w:rPr>
          <w:rFonts w:hint="eastAsia" w:ascii="宋体" w:hAnsi="宋体" w:cs="宋体"/>
          <w:color w:val="auto"/>
          <w:szCs w:val="21"/>
        </w:rPr>
        <w:t>第3种方式：其他价格调整方式：</w:t>
      </w:r>
      <w:r>
        <w:rPr>
          <w:rFonts w:hint="eastAsia" w:ascii="宋体" w:hAnsi="宋体" w:cs="宋体"/>
          <w:color w:val="auto"/>
          <w:szCs w:val="21"/>
          <w:u w:val="single"/>
        </w:rPr>
        <w:t xml:space="preserve">      /              </w:t>
      </w:r>
      <w:r>
        <w:rPr>
          <w:rFonts w:hint="eastAsia" w:ascii="宋体" w:hAnsi="宋体" w:cs="宋体"/>
          <w:color w:val="auto"/>
          <w:szCs w:val="21"/>
        </w:rPr>
        <w:t>。</w:t>
      </w:r>
    </w:p>
    <w:p w14:paraId="0F17C2F0">
      <w:pPr>
        <w:spacing w:line="360" w:lineRule="exact"/>
        <w:ind w:firstLine="420" w:firstLineChars="200"/>
        <w:rPr>
          <w:rFonts w:ascii="宋体" w:hAnsi="宋体" w:cs="宋体"/>
          <w:color w:val="auto"/>
          <w:szCs w:val="21"/>
        </w:rPr>
      </w:pPr>
      <w:r>
        <w:rPr>
          <w:rFonts w:hint="eastAsia" w:ascii="宋体" w:hAnsi="宋体" w:cs="宋体"/>
          <w:color w:val="auto"/>
          <w:szCs w:val="21"/>
        </w:rPr>
        <w:t>11.2  法律变化引起的调整 ：</w:t>
      </w:r>
      <w:r>
        <w:rPr>
          <w:rFonts w:hint="eastAsia" w:ascii="宋体" w:hAnsi="宋体" w:cs="宋体"/>
          <w:color w:val="auto"/>
          <w:szCs w:val="21"/>
          <w:u w:val="single"/>
        </w:rPr>
        <w:t xml:space="preserve">  基准日期以后变化由发包人承担，但由承包人原因导致工期延误时的法律变化引起合同价增加的由承包人承担，合同价下降的由发包人受益。</w:t>
      </w:r>
      <w:r>
        <w:rPr>
          <w:rFonts w:hint="eastAsia" w:ascii="宋体" w:hAnsi="宋体" w:cs="宋体"/>
          <w:color w:val="auto"/>
          <w:szCs w:val="21"/>
        </w:rPr>
        <w:t xml:space="preserve"> </w:t>
      </w:r>
    </w:p>
    <w:p w14:paraId="5E3A4E64">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12. 合同价格、计量与支付</w:t>
      </w:r>
    </w:p>
    <w:p w14:paraId="729928FA">
      <w:pPr>
        <w:spacing w:line="360" w:lineRule="exact"/>
        <w:ind w:firstLine="420" w:firstLineChars="200"/>
        <w:rPr>
          <w:rFonts w:ascii="宋体" w:hAnsi="宋体" w:cs="宋体"/>
          <w:color w:val="auto"/>
          <w:szCs w:val="21"/>
        </w:rPr>
      </w:pPr>
      <w:r>
        <w:rPr>
          <w:rFonts w:hint="eastAsia" w:ascii="宋体" w:hAnsi="宋体" w:cs="宋体"/>
          <w:color w:val="auto"/>
          <w:szCs w:val="21"/>
        </w:rPr>
        <w:t>12.1 合同价格形式</w:t>
      </w:r>
    </w:p>
    <w:p w14:paraId="10E3713E">
      <w:pPr>
        <w:pStyle w:val="6"/>
        <w:widowControl/>
        <w:adjustRightInd w:val="0"/>
        <w:spacing w:line="360" w:lineRule="exact"/>
        <w:ind w:firstLine="420" w:firstLineChars="200"/>
        <w:rPr>
          <w:rFonts w:ascii="宋体" w:hAnsi="宋体" w:eastAsia="宋体" w:cs="宋体"/>
          <w:color w:val="auto"/>
          <w:kern w:val="0"/>
        </w:rPr>
      </w:pPr>
      <w:r>
        <w:rPr>
          <w:rFonts w:hint="eastAsia" w:ascii="宋体" w:hAnsi="宋体" w:eastAsia="宋体" w:cs="宋体"/>
          <w:color w:val="auto"/>
          <w:kern w:val="0"/>
        </w:rPr>
        <w:t>本合同价款采用第</w:t>
      </w:r>
      <w:r>
        <w:rPr>
          <w:rFonts w:hint="eastAsia" w:ascii="宋体" w:hAnsi="宋体" w:eastAsia="宋体" w:cs="宋体"/>
          <w:color w:val="auto"/>
          <w:kern w:val="0"/>
          <w:u w:val="single"/>
        </w:rPr>
        <w:t xml:space="preserve">  1  </w:t>
      </w:r>
      <w:r>
        <w:rPr>
          <w:rFonts w:hint="eastAsia" w:ascii="宋体" w:hAnsi="宋体" w:eastAsia="宋体" w:cs="宋体"/>
          <w:color w:val="auto"/>
          <w:kern w:val="0"/>
        </w:rPr>
        <w:t>种方式</w:t>
      </w:r>
      <w:r>
        <w:rPr>
          <w:rFonts w:hint="eastAsia" w:ascii="宋体" w:hAnsi="宋体" w:eastAsia="宋体" w:cs="宋体"/>
          <w:color w:val="auto"/>
          <w:kern w:val="0"/>
          <w:u w:val="single"/>
        </w:rPr>
        <w:t xml:space="preserve">  固定结算率合同  </w:t>
      </w:r>
      <w:r>
        <w:rPr>
          <w:rFonts w:hint="eastAsia" w:ascii="宋体" w:hAnsi="宋体" w:eastAsia="宋体" w:cs="宋体"/>
          <w:color w:val="auto"/>
          <w:kern w:val="0"/>
        </w:rPr>
        <w:t>确定。</w:t>
      </w:r>
    </w:p>
    <w:p w14:paraId="64615262">
      <w:pPr>
        <w:numPr>
          <w:ilvl w:val="0"/>
          <w:numId w:val="5"/>
        </w:numPr>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采用固定结算率合同。</w:t>
      </w:r>
    </w:p>
    <w:p w14:paraId="27E704B9">
      <w:pPr>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 xml:space="preserve">(1)合同风险范围：         </w:t>
      </w:r>
    </w:p>
    <w:p w14:paraId="57C8BE0E">
      <w:pPr>
        <w:autoSpaceDE w:val="0"/>
        <w:autoSpaceDN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  1）本工程的结算率一次性包死，结算率=（投标总报价/</w:t>
      </w:r>
      <w:r>
        <w:rPr>
          <w:rFonts w:hint="eastAsia" w:ascii="宋体" w:hAnsi="宋体" w:cs="宋体"/>
          <w:color w:val="auto"/>
          <w:szCs w:val="21"/>
          <w:lang w:val="en-US"/>
        </w:rPr>
        <w:t>1162162</w:t>
      </w:r>
      <w:r>
        <w:rPr>
          <w:rFonts w:hint="eastAsia" w:ascii="宋体" w:hAnsi="宋体" w:cs="宋体"/>
          <w:color w:val="auto"/>
          <w:szCs w:val="21"/>
        </w:rPr>
        <w:t>）×100%</w:t>
      </w:r>
    </w:p>
    <w:p w14:paraId="33BE2444">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 xml:space="preserve">  2）本工程按发包人提供的预算价结合固定结算率方式结算，结算时应按照发包人提供的预算文件的计量依据、组价方式、取费标准等进行结算，不得调整。</w:t>
      </w:r>
    </w:p>
    <w:p w14:paraId="41116714">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（4）计日工综合单价（工数经发包人签证，综合单价按技术工（260）元/工日、普工（180）元/工日计取）；</w:t>
      </w:r>
    </w:p>
    <w:p w14:paraId="3AD70854">
      <w:pPr>
        <w:autoSpaceDE w:val="0"/>
        <w:autoSpaceDN w:val="0"/>
        <w:spacing w:line="360" w:lineRule="exact"/>
        <w:rPr>
          <w:rFonts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u w:val="single"/>
        </w:rPr>
        <w:t>（5）其他可能发生的费用：</w:t>
      </w:r>
    </w:p>
    <w:p w14:paraId="701DEB75">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53B0D720">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b.实际施工中可能发生街道管理费、干扰费、环保费、占道押金等其它管理费。</w:t>
      </w:r>
    </w:p>
    <w:p w14:paraId="30F8BB83">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c.土方开挖及外运、处置及泥浆外运、处置按当地有关要求办理，费用包含在合同价内。</w:t>
      </w:r>
    </w:p>
    <w:p w14:paraId="7E3788C1">
      <w:pPr>
        <w:spacing w:line="360" w:lineRule="exact"/>
        <w:ind w:firstLine="420" w:firstLineChars="200"/>
        <w:rPr>
          <w:rFonts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rPr>
        <w:t>已包含在合同价内</w:t>
      </w:r>
      <w:r>
        <w:rPr>
          <w:rFonts w:hint="eastAsia" w:ascii="宋体" w:hAnsi="宋体" w:cs="宋体"/>
          <w:color w:val="auto"/>
          <w:szCs w:val="21"/>
        </w:rPr>
        <w:t>。</w:t>
      </w:r>
    </w:p>
    <w:p w14:paraId="74FC0288">
      <w:pPr>
        <w:spacing w:line="360" w:lineRule="exact"/>
        <w:ind w:firstLine="420" w:firstLineChars="200"/>
        <w:rPr>
          <w:rFonts w:ascii="宋体" w:hAnsi="宋体" w:cs="宋体"/>
          <w:color w:val="auto"/>
          <w:szCs w:val="21"/>
        </w:rPr>
      </w:pPr>
      <w:r>
        <w:rPr>
          <w:rFonts w:hint="eastAsia" w:ascii="宋体" w:hAnsi="宋体" w:cs="宋体"/>
          <w:color w:val="auto"/>
          <w:szCs w:val="21"/>
        </w:rPr>
        <w:t>风险范围以外合同价格的调整方法：</w:t>
      </w:r>
    </w:p>
    <w:p w14:paraId="21DA13AB">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lang w:val="zh-CN"/>
        </w:rPr>
        <w:t>（1）</w:t>
      </w:r>
      <w:r>
        <w:rPr>
          <w:rFonts w:hint="eastAsia" w:ascii="宋体" w:hAnsi="宋体" w:cs="宋体"/>
          <w:color w:val="auto"/>
          <w:szCs w:val="21"/>
          <w:u w:val="single"/>
        </w:rPr>
        <w:t>工程量按照专用条款12.3.1条规定，由承包人计量，发包人及有关部门审核。</w:t>
      </w:r>
    </w:p>
    <w:p w14:paraId="1E1167F0">
      <w:pPr>
        <w:autoSpaceDE w:val="0"/>
        <w:autoSpaceDN w:val="0"/>
        <w:spacing w:line="360" w:lineRule="exact"/>
        <w:ind w:firstLine="420" w:firstLineChars="200"/>
        <w:rPr>
          <w:rFonts w:ascii="宋体" w:hAnsi="宋体" w:cs="宋体"/>
          <w:color w:val="auto"/>
          <w:szCs w:val="21"/>
          <w:u w:val="single"/>
          <w:lang w:val="zh-CN"/>
        </w:rPr>
      </w:pPr>
      <w:r>
        <w:rPr>
          <w:rFonts w:hint="eastAsia" w:ascii="宋体" w:hAnsi="宋体" w:cs="宋体"/>
          <w:color w:val="auto"/>
          <w:szCs w:val="21"/>
          <w:u w:val="single"/>
        </w:rPr>
        <w:t>（2）因市场价格波动引起的调整按本合同专用条款第11.1款的约定调整。</w:t>
      </w:r>
    </w:p>
    <w:p w14:paraId="2931C841">
      <w:pPr>
        <w:autoSpaceDE w:val="0"/>
        <w:autoSpaceDN w:val="0"/>
        <w:spacing w:line="360" w:lineRule="exact"/>
        <w:ind w:firstLine="420" w:firstLineChars="200"/>
        <w:rPr>
          <w:rFonts w:ascii="宋体" w:hAnsi="宋体" w:cs="宋体"/>
          <w:color w:val="auto"/>
          <w:szCs w:val="21"/>
          <w:u w:val="single"/>
          <w:lang w:val="zh-CN"/>
        </w:rPr>
      </w:pPr>
      <w:r>
        <w:rPr>
          <w:rFonts w:hint="eastAsia" w:ascii="宋体" w:hAnsi="宋体" w:cs="宋体"/>
          <w:color w:val="auto"/>
          <w:szCs w:val="21"/>
          <w:u w:val="single"/>
          <w:lang w:val="zh-CN"/>
        </w:rPr>
        <w:t>（3）因发包人提供的工程量清单项目工程数量计算偏差或工程变更引起的</w:t>
      </w:r>
      <w:r>
        <w:rPr>
          <w:rFonts w:hint="eastAsia" w:ascii="宋体" w:hAnsi="宋体" w:cs="宋体"/>
          <w:color w:val="auto"/>
          <w:szCs w:val="21"/>
          <w:u w:val="single"/>
        </w:rPr>
        <w:t>工程量增加或减少，按专用条款10.4.1条执行。</w:t>
      </w:r>
    </w:p>
    <w:p w14:paraId="4A65C445">
      <w:pPr>
        <w:autoSpaceDE w:val="0"/>
        <w:autoSpaceDN w:val="0"/>
        <w:spacing w:line="360" w:lineRule="exact"/>
        <w:ind w:firstLine="420" w:firstLineChars="200"/>
        <w:rPr>
          <w:rFonts w:ascii="宋体" w:hAnsi="宋体" w:cs="宋体"/>
          <w:color w:val="auto"/>
          <w:szCs w:val="21"/>
          <w:u w:val="single"/>
          <w:lang w:val="zh-CN"/>
        </w:rPr>
      </w:pPr>
      <w:r>
        <w:rPr>
          <w:rFonts w:hint="eastAsia" w:ascii="宋体" w:hAnsi="宋体" w:cs="宋体"/>
          <w:color w:val="auto"/>
          <w:szCs w:val="21"/>
          <w:u w:val="single"/>
          <w:lang w:val="zh-CN"/>
        </w:rPr>
        <w:t>（4）发包人提供的工程量清单项目漏项、错项、工程变更引起的新增项目、工程量清单局部变更，</w:t>
      </w:r>
      <w:r>
        <w:rPr>
          <w:rFonts w:hint="eastAsia" w:ascii="宋体" w:hAnsi="宋体" w:cs="宋体"/>
          <w:color w:val="auto"/>
          <w:szCs w:val="21"/>
          <w:u w:val="single"/>
        </w:rPr>
        <w:t>与已标价工程量清单项目不同或相类似项目，</w:t>
      </w:r>
      <w:r>
        <w:rPr>
          <w:rFonts w:hint="eastAsia" w:ascii="宋体" w:hAnsi="宋体" w:cs="宋体"/>
          <w:color w:val="auto"/>
          <w:szCs w:val="21"/>
          <w:u w:val="single"/>
          <w:lang w:val="zh-CN"/>
        </w:rPr>
        <w:t>其综合单价的确定方法</w:t>
      </w:r>
      <w:r>
        <w:rPr>
          <w:rFonts w:hint="eastAsia" w:ascii="宋体" w:hAnsi="宋体" w:cs="宋体"/>
          <w:color w:val="auto"/>
          <w:szCs w:val="21"/>
          <w:u w:val="single"/>
        </w:rPr>
        <w:t>按本合同专用条款10.4.1条约定调整。</w:t>
      </w:r>
    </w:p>
    <w:p w14:paraId="12AFED8E">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（5）因非承包人原因的分部分项工程量清单漏项、错项、工程变更及清单工程量增减等，引起措施项目内容、工程数量发生变化，则调整措施项目费用：</w:t>
      </w:r>
    </w:p>
    <w:p w14:paraId="08485C8C">
      <w:pPr>
        <w:autoSpaceDE w:val="0"/>
        <w:autoSpaceDN w:val="0"/>
        <w:spacing w:line="360" w:lineRule="exact"/>
        <w:ind w:firstLine="315" w:firstLineChars="150"/>
        <w:rPr>
          <w:rFonts w:ascii="宋体" w:hAnsi="宋体" w:cs="宋体"/>
          <w:color w:val="auto"/>
          <w:szCs w:val="21"/>
          <w:u w:val="single"/>
        </w:rPr>
      </w:pPr>
      <w:r>
        <w:rPr>
          <w:rFonts w:hint="eastAsia" w:ascii="宋体" w:hAnsi="宋体" w:cs="宋体"/>
          <w:color w:val="auto"/>
          <w:szCs w:val="21"/>
          <w:u w:val="single"/>
        </w:rPr>
        <w:t>a、采用综合单价计价的按专用条款第10.4.1条计算综合单价。</w:t>
      </w:r>
    </w:p>
    <w:p w14:paraId="57E46557">
      <w:pPr>
        <w:spacing w:line="360" w:lineRule="exact"/>
        <w:ind w:firstLine="315" w:firstLineChars="150"/>
        <w:rPr>
          <w:rFonts w:ascii="宋体" w:hAnsi="宋体" w:cs="宋体"/>
          <w:color w:val="auto"/>
          <w:szCs w:val="21"/>
          <w:u w:val="single"/>
        </w:rPr>
      </w:pPr>
      <w:r>
        <w:rPr>
          <w:rFonts w:hint="eastAsia" w:ascii="宋体" w:hAnsi="宋体" w:cs="宋体"/>
          <w:color w:val="auto"/>
          <w:szCs w:val="21"/>
          <w:u w:val="single"/>
        </w:rPr>
        <w:t>b、计量单位采用以“项”计价的措施项目，工程量清单项目及工程数量变化引起措施变动部分重新组价。</w:t>
      </w:r>
    </w:p>
    <w:p w14:paraId="3C49A9A2">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c、施工组织措施项目，按合同约定的费率内容调整措施费用计算基数。</w:t>
      </w:r>
    </w:p>
    <w:p w14:paraId="31D15A2D">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（6）未在投标价中包含的专项施工方案的施工及论证费用，根据施工现场实际参照合同专用条款10.4.1款约定方法确定或签证。</w:t>
      </w:r>
    </w:p>
    <w:p w14:paraId="10A12AF3">
      <w:pPr>
        <w:spacing w:line="360" w:lineRule="exact"/>
        <w:ind w:firstLine="420" w:firstLineChars="200"/>
        <w:rPr>
          <w:rFonts w:ascii="宋体" w:hAnsi="宋体" w:cs="宋体"/>
          <w:color w:val="auto"/>
          <w:szCs w:val="21"/>
        </w:rPr>
      </w:pPr>
      <w:r>
        <w:rPr>
          <w:rFonts w:hint="eastAsia" w:ascii="宋体" w:hAnsi="宋体" w:cs="宋体"/>
          <w:color w:val="auto"/>
          <w:szCs w:val="21"/>
        </w:rPr>
        <w:t>2．总价合同。</w:t>
      </w:r>
    </w:p>
    <w:p w14:paraId="387F2CE5">
      <w:pPr>
        <w:spacing w:line="360" w:lineRule="exact"/>
        <w:ind w:firstLine="420" w:firstLineChars="200"/>
        <w:rPr>
          <w:rFonts w:ascii="宋体" w:hAnsi="宋体" w:cs="宋体"/>
          <w:color w:val="auto"/>
          <w:szCs w:val="21"/>
        </w:rPr>
      </w:pPr>
      <w:r>
        <w:rPr>
          <w:rFonts w:hint="eastAsia" w:ascii="宋体" w:hAnsi="宋体" w:cs="宋体"/>
          <w:color w:val="auto"/>
          <w:szCs w:val="21"/>
        </w:rPr>
        <w:t>总价包含的风险范围：</w:t>
      </w:r>
      <w:r>
        <w:rPr>
          <w:rFonts w:hint="eastAsia" w:ascii="宋体" w:hAnsi="宋体" w:cs="宋体"/>
          <w:color w:val="auto"/>
          <w:szCs w:val="21"/>
          <w:u w:val="single"/>
        </w:rPr>
        <w:t xml:space="preserve">                /                </w:t>
      </w:r>
      <w:r>
        <w:rPr>
          <w:rFonts w:hint="eastAsia" w:ascii="宋体" w:hAnsi="宋体" w:cs="宋体"/>
          <w:color w:val="auto"/>
          <w:szCs w:val="21"/>
        </w:rPr>
        <w:t>。</w:t>
      </w:r>
    </w:p>
    <w:p w14:paraId="100DCC1F">
      <w:pPr>
        <w:spacing w:line="360" w:lineRule="exact"/>
        <w:ind w:firstLine="420" w:firstLineChars="200"/>
        <w:rPr>
          <w:rFonts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rPr>
        <w:t xml:space="preserve">              /              </w:t>
      </w:r>
      <w:r>
        <w:rPr>
          <w:rFonts w:hint="eastAsia" w:ascii="宋体" w:hAnsi="宋体" w:cs="宋体"/>
          <w:color w:val="auto"/>
          <w:szCs w:val="21"/>
        </w:rPr>
        <w:t>。</w:t>
      </w:r>
    </w:p>
    <w:p w14:paraId="206ADD63">
      <w:pPr>
        <w:spacing w:line="360" w:lineRule="exact"/>
        <w:ind w:firstLine="420" w:firstLineChars="200"/>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           </w:t>
      </w:r>
      <w:r>
        <w:rPr>
          <w:rFonts w:hint="eastAsia" w:ascii="宋体" w:hAnsi="宋体" w:cs="宋体"/>
          <w:color w:val="auto"/>
          <w:szCs w:val="21"/>
        </w:rPr>
        <w:t>。</w:t>
      </w:r>
    </w:p>
    <w:p w14:paraId="741F1D3C">
      <w:pPr>
        <w:spacing w:line="360" w:lineRule="exact"/>
        <w:ind w:firstLine="420" w:firstLineChars="200"/>
        <w:rPr>
          <w:rFonts w:ascii="宋体" w:hAnsi="宋体" w:cs="宋体"/>
          <w:color w:val="auto"/>
          <w:szCs w:val="21"/>
        </w:rPr>
      </w:pPr>
      <w:r>
        <w:rPr>
          <w:rFonts w:hint="eastAsia" w:ascii="宋体" w:hAnsi="宋体" w:cs="宋体"/>
          <w:color w:val="auto"/>
          <w:szCs w:val="21"/>
        </w:rPr>
        <w:t>3．其他价格方式：</w:t>
      </w:r>
      <w:r>
        <w:rPr>
          <w:rFonts w:hint="eastAsia" w:ascii="宋体" w:hAnsi="宋体" w:cs="宋体"/>
          <w:color w:val="auto"/>
          <w:szCs w:val="21"/>
          <w:u w:val="single"/>
        </w:rPr>
        <w:t xml:space="preserve">                  /                 </w:t>
      </w:r>
      <w:r>
        <w:rPr>
          <w:rFonts w:hint="eastAsia" w:ascii="宋体" w:hAnsi="宋体" w:cs="宋体"/>
          <w:color w:val="auto"/>
          <w:szCs w:val="21"/>
        </w:rPr>
        <w:t>。</w:t>
      </w:r>
    </w:p>
    <w:p w14:paraId="115F1E49">
      <w:pPr>
        <w:spacing w:line="360" w:lineRule="exact"/>
        <w:ind w:firstLine="420" w:firstLineChars="200"/>
        <w:rPr>
          <w:rFonts w:ascii="宋体" w:hAnsi="宋体" w:cs="宋体"/>
          <w:color w:val="auto"/>
          <w:szCs w:val="21"/>
        </w:rPr>
      </w:pPr>
      <w:bookmarkStart w:id="308" w:name="_Toc304295581"/>
      <w:bookmarkStart w:id="309" w:name="_Toc303539161"/>
      <w:bookmarkStart w:id="310" w:name="_Toc300935004"/>
      <w:bookmarkStart w:id="311" w:name="_Toc297216213"/>
      <w:bookmarkStart w:id="312" w:name="_Toc312678042"/>
      <w:bookmarkStart w:id="313" w:name="_Toc297123554"/>
      <w:bookmarkStart w:id="314" w:name="_Toc296891247"/>
      <w:bookmarkStart w:id="315" w:name="_Toc296891035"/>
      <w:bookmarkStart w:id="316" w:name="_Toc297048393"/>
      <w:bookmarkStart w:id="317" w:name="_Toc296503207"/>
      <w:bookmarkStart w:id="318" w:name="_Toc292559917"/>
      <w:bookmarkStart w:id="319" w:name="_Toc296346708"/>
      <w:bookmarkStart w:id="320" w:name="_Toc296944546"/>
      <w:bookmarkStart w:id="321" w:name="_Toc296347206"/>
      <w:bookmarkStart w:id="322" w:name="_Toc292559412"/>
      <w:bookmarkStart w:id="323" w:name="_Toc297120507"/>
      <w:r>
        <w:rPr>
          <w:rFonts w:hint="eastAsia" w:ascii="宋体" w:hAnsi="宋体" w:cs="宋体"/>
          <w:color w:val="auto"/>
          <w:szCs w:val="21"/>
        </w:rPr>
        <w:t>12.2 预付款</w:t>
      </w:r>
    </w:p>
    <w:bookmarkEnd w:id="308"/>
    <w:bookmarkEnd w:id="309"/>
    <w:bookmarkEnd w:id="310"/>
    <w:bookmarkEnd w:id="311"/>
    <w:bookmarkEnd w:id="312"/>
    <w:bookmarkEnd w:id="313"/>
    <w:p w14:paraId="7F19DED6">
      <w:pPr>
        <w:spacing w:line="360" w:lineRule="exact"/>
        <w:ind w:firstLine="420" w:firstLineChars="200"/>
        <w:rPr>
          <w:rFonts w:ascii="宋体" w:hAnsi="宋体" w:cs="宋体"/>
          <w:color w:val="auto"/>
          <w:szCs w:val="21"/>
        </w:rPr>
      </w:pPr>
      <w:r>
        <w:rPr>
          <w:rFonts w:hint="eastAsia" w:ascii="宋体" w:hAnsi="宋体" w:cs="宋体"/>
          <w:color w:val="auto"/>
          <w:szCs w:val="21"/>
        </w:rPr>
        <w:t>12.2.1 预付款的支付</w:t>
      </w:r>
    </w:p>
    <w:p w14:paraId="6801A0C1">
      <w:pPr>
        <w:spacing w:line="360" w:lineRule="exact"/>
        <w:ind w:firstLine="420" w:firstLineChars="200"/>
        <w:rPr>
          <w:rFonts w:ascii="宋体" w:hAnsi="宋体" w:cs="宋体"/>
          <w:color w:val="auto"/>
          <w:szCs w:val="21"/>
        </w:rPr>
      </w:pPr>
      <w:r>
        <w:rPr>
          <w:rFonts w:hint="eastAsia" w:ascii="宋体" w:hAnsi="宋体" w:cs="宋体"/>
          <w:color w:val="auto"/>
          <w:szCs w:val="21"/>
        </w:rPr>
        <w:t>预付款支付比例或金额：</w:t>
      </w:r>
      <w:r>
        <w:rPr>
          <w:rFonts w:hint="eastAsia" w:ascii="宋体" w:hAnsi="宋体" w:cs="宋体"/>
          <w:color w:val="auto"/>
          <w:szCs w:val="21"/>
          <w:u w:val="single"/>
        </w:rPr>
        <w:t>签约合同价的60%，金额（  ）元，包含专用条款6.1.6条所列的安全文明施工费，其余作为备料款。</w:t>
      </w:r>
    </w:p>
    <w:p w14:paraId="5B96F152">
      <w:pPr>
        <w:spacing w:line="360" w:lineRule="exact"/>
        <w:ind w:firstLine="420" w:firstLineChars="200"/>
        <w:rPr>
          <w:rFonts w:ascii="宋体" w:hAnsi="宋体" w:cs="宋体"/>
          <w:color w:val="auto"/>
          <w:szCs w:val="21"/>
        </w:rPr>
      </w:pPr>
      <w:r>
        <w:rPr>
          <w:rFonts w:hint="eastAsia" w:ascii="宋体" w:hAnsi="宋体" w:cs="宋体"/>
          <w:color w:val="auto"/>
          <w:szCs w:val="21"/>
        </w:rPr>
        <w:t>预付款支付期限：</w:t>
      </w:r>
      <w:r>
        <w:rPr>
          <w:rFonts w:hint="eastAsia" w:ascii="宋体" w:hAnsi="宋体" w:cs="宋体"/>
          <w:color w:val="auto"/>
          <w:szCs w:val="21"/>
          <w:u w:val="single"/>
        </w:rPr>
        <w:t xml:space="preserve"> 按投标承诺的人员、机械设备进场后7天内 </w:t>
      </w:r>
      <w:r>
        <w:rPr>
          <w:rFonts w:hint="eastAsia" w:ascii="宋体" w:hAnsi="宋体" w:cs="宋体"/>
          <w:color w:val="auto"/>
          <w:szCs w:val="21"/>
        </w:rPr>
        <w:t>。</w:t>
      </w:r>
    </w:p>
    <w:p w14:paraId="1C43D3AD">
      <w:pPr>
        <w:spacing w:line="360" w:lineRule="exact"/>
        <w:ind w:firstLine="420" w:firstLineChars="200"/>
        <w:rPr>
          <w:rFonts w:ascii="宋体" w:hAnsi="宋体" w:cs="宋体"/>
          <w:color w:val="auto"/>
          <w:szCs w:val="21"/>
        </w:rPr>
      </w:pPr>
      <w:r>
        <w:rPr>
          <w:rFonts w:hint="eastAsia" w:ascii="宋体" w:hAnsi="宋体" w:cs="宋体"/>
          <w:color w:val="auto"/>
          <w:szCs w:val="21"/>
        </w:rPr>
        <w:t>预付款扣回的方式：</w:t>
      </w:r>
      <w:r>
        <w:rPr>
          <w:rFonts w:hint="eastAsia" w:ascii="宋体" w:hAnsi="宋体" w:cs="宋体"/>
          <w:color w:val="auto"/>
          <w:szCs w:val="21"/>
          <w:u w:val="single"/>
        </w:rPr>
        <w:t>不扣回，作为工程款</w:t>
      </w:r>
      <w:r>
        <w:rPr>
          <w:rFonts w:hint="eastAsia" w:ascii="宋体" w:hAnsi="宋体" w:cs="宋体"/>
          <w:color w:val="auto"/>
          <w:szCs w:val="21"/>
        </w:rPr>
        <w:t>。</w:t>
      </w:r>
    </w:p>
    <w:p w14:paraId="4523B29C">
      <w:pPr>
        <w:spacing w:line="360" w:lineRule="exact"/>
        <w:ind w:firstLine="420" w:firstLineChars="200"/>
        <w:rPr>
          <w:rFonts w:ascii="宋体" w:hAnsi="宋体" w:cs="宋体"/>
          <w:color w:val="auto"/>
          <w:szCs w:val="21"/>
        </w:rPr>
      </w:pPr>
      <w:r>
        <w:rPr>
          <w:rFonts w:hint="eastAsia" w:ascii="宋体" w:hAnsi="宋体" w:cs="宋体"/>
          <w:color w:val="auto"/>
          <w:szCs w:val="21"/>
        </w:rPr>
        <w:t>12.2.2 预付款担保</w:t>
      </w:r>
    </w:p>
    <w:p w14:paraId="72905484">
      <w:pPr>
        <w:spacing w:line="360" w:lineRule="exact"/>
        <w:ind w:firstLine="420" w:firstLineChars="200"/>
        <w:rPr>
          <w:rFonts w:ascii="宋体" w:hAnsi="宋体" w:cs="宋体"/>
          <w:color w:val="auto"/>
          <w:szCs w:val="21"/>
        </w:rPr>
      </w:pPr>
      <w:r>
        <w:rPr>
          <w:rFonts w:hint="eastAsia" w:ascii="宋体" w:hAnsi="宋体" w:cs="宋体"/>
          <w:color w:val="auto"/>
          <w:szCs w:val="21"/>
        </w:rPr>
        <w:t xml:space="preserve">承包人提交预付款担保的期限： </w:t>
      </w:r>
      <w:r>
        <w:rPr>
          <w:rFonts w:hint="eastAsia" w:ascii="宋体" w:hAnsi="宋体" w:cs="宋体"/>
          <w:color w:val="auto"/>
          <w:szCs w:val="21"/>
          <w:u w:val="single"/>
        </w:rPr>
        <w:t xml:space="preserve">       /            </w:t>
      </w:r>
      <w:r>
        <w:rPr>
          <w:rFonts w:hint="eastAsia" w:ascii="宋体" w:hAnsi="宋体" w:cs="宋体"/>
          <w:color w:val="auto"/>
          <w:szCs w:val="21"/>
        </w:rPr>
        <w:t>。</w:t>
      </w:r>
    </w:p>
    <w:p w14:paraId="3BC4AA24">
      <w:pPr>
        <w:spacing w:line="360" w:lineRule="exact"/>
        <w:ind w:firstLine="420" w:firstLineChars="200"/>
        <w:rPr>
          <w:rFonts w:ascii="宋体" w:hAnsi="宋体" w:cs="宋体"/>
          <w:color w:val="auto"/>
          <w:szCs w:val="21"/>
        </w:rPr>
      </w:pPr>
      <w:r>
        <w:rPr>
          <w:rFonts w:hint="eastAsia" w:ascii="宋体" w:hAnsi="宋体" w:cs="宋体"/>
          <w:color w:val="auto"/>
          <w:szCs w:val="21"/>
        </w:rPr>
        <w:t>预付款担保的形式为：</w:t>
      </w:r>
      <w:r>
        <w:rPr>
          <w:rFonts w:hint="eastAsia" w:ascii="宋体" w:hAnsi="宋体" w:cs="宋体"/>
          <w:color w:val="auto"/>
          <w:szCs w:val="21"/>
          <w:u w:val="single"/>
        </w:rPr>
        <w:t xml:space="preserve">           /        </w:t>
      </w:r>
      <w:r>
        <w:rPr>
          <w:rFonts w:hint="eastAsia" w:ascii="宋体" w:hAnsi="宋体" w:cs="宋体"/>
          <w:color w:val="auto"/>
          <w:szCs w:val="21"/>
        </w:rPr>
        <w:t>。</w:t>
      </w:r>
    </w:p>
    <w:bookmarkEnd w:id="314"/>
    <w:bookmarkEnd w:id="315"/>
    <w:bookmarkEnd w:id="316"/>
    <w:bookmarkEnd w:id="317"/>
    <w:bookmarkEnd w:id="318"/>
    <w:bookmarkEnd w:id="319"/>
    <w:bookmarkEnd w:id="320"/>
    <w:bookmarkEnd w:id="321"/>
    <w:bookmarkEnd w:id="322"/>
    <w:bookmarkEnd w:id="323"/>
    <w:p w14:paraId="3F9CC124">
      <w:pPr>
        <w:spacing w:line="360" w:lineRule="exact"/>
        <w:ind w:firstLine="420" w:firstLineChars="200"/>
        <w:rPr>
          <w:rFonts w:ascii="宋体" w:hAnsi="宋体" w:cs="宋体"/>
          <w:color w:val="auto"/>
          <w:szCs w:val="21"/>
        </w:rPr>
      </w:pPr>
      <w:r>
        <w:rPr>
          <w:rFonts w:hint="eastAsia" w:ascii="宋体" w:hAnsi="宋体" w:cs="宋体"/>
          <w:color w:val="auto"/>
          <w:szCs w:val="21"/>
        </w:rPr>
        <w:t>12.3 计量</w:t>
      </w:r>
    </w:p>
    <w:p w14:paraId="52ACCB51">
      <w:pPr>
        <w:spacing w:line="360" w:lineRule="exact"/>
        <w:ind w:firstLine="420" w:firstLineChars="200"/>
        <w:rPr>
          <w:rFonts w:ascii="宋体" w:hAnsi="宋体" w:cs="宋体"/>
          <w:color w:val="auto"/>
          <w:szCs w:val="21"/>
        </w:rPr>
      </w:pPr>
      <w:r>
        <w:rPr>
          <w:rFonts w:hint="eastAsia" w:ascii="宋体" w:hAnsi="宋体" w:cs="宋体"/>
          <w:color w:val="auto"/>
          <w:szCs w:val="21"/>
        </w:rPr>
        <w:t>12.3.1 计量原则</w:t>
      </w:r>
    </w:p>
    <w:p w14:paraId="0A6C7AA3">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工程量计算按照实际完成施工图纸范围内和经发包人同意增加的施工内容按实计算，工程量计算规则按照〔以下按工程专业填〕《建设工程工程量清单计价规范》(GB 50500-2013)、《房屋建筑与装饰工程工程量计算规范》(GB 50854-2013)、《通用安装工程工程量计算规范》(GB 50856-2013)及省、市有关文件，《浙江省建设工程计价规则》（2018版）、《浙江省房屋建筑与装饰工程预算定额》（2018版）、《浙江省通用安装工程预算定额》（2018版）等浙江省2018版计价依据、关于增值税调整后我省建设工程计价依据增值税税率及有关计价调整的通知（浙建建〔2019〕92号）等省、市有关文件，材料信息价根据《台州造价》2024年3月及市场价格计取:及发包人提供的工程量清单中说明的工程量计算规则计量。</w:t>
      </w:r>
    </w:p>
    <w:p w14:paraId="5EC96F56">
      <w:pPr>
        <w:spacing w:line="360" w:lineRule="exact"/>
        <w:ind w:firstLine="420" w:firstLineChars="200"/>
        <w:rPr>
          <w:rFonts w:ascii="宋体" w:hAnsi="宋体" w:cs="宋体"/>
          <w:color w:val="auto"/>
          <w:szCs w:val="21"/>
        </w:rPr>
      </w:pPr>
      <w:r>
        <w:rPr>
          <w:rFonts w:hint="eastAsia" w:ascii="宋体" w:hAnsi="宋体" w:cs="宋体"/>
          <w:color w:val="auto"/>
          <w:szCs w:val="21"/>
        </w:rPr>
        <w:t>12.3.2 计量周期：</w:t>
      </w:r>
    </w:p>
    <w:p w14:paraId="67380135">
      <w:pPr>
        <w:spacing w:line="360" w:lineRule="exact"/>
        <w:ind w:firstLine="420" w:firstLineChars="200"/>
        <w:rPr>
          <w:rFonts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single"/>
        </w:rPr>
        <w:t>按进度计量</w:t>
      </w:r>
      <w:r>
        <w:rPr>
          <w:rFonts w:hint="eastAsia" w:ascii="宋体" w:hAnsi="宋体" w:cs="宋体"/>
          <w:color w:val="auto"/>
          <w:szCs w:val="21"/>
        </w:rPr>
        <w:t>。</w:t>
      </w:r>
    </w:p>
    <w:p w14:paraId="427FDD7A">
      <w:pPr>
        <w:spacing w:line="360" w:lineRule="exact"/>
        <w:ind w:firstLine="420" w:firstLineChars="200"/>
        <w:rPr>
          <w:rFonts w:ascii="宋体" w:hAnsi="宋体" w:cs="宋体"/>
          <w:color w:val="auto"/>
          <w:szCs w:val="21"/>
        </w:rPr>
      </w:pPr>
      <w:r>
        <w:rPr>
          <w:rFonts w:hint="eastAsia" w:ascii="宋体" w:hAnsi="宋体" w:cs="宋体"/>
          <w:color w:val="auto"/>
          <w:szCs w:val="21"/>
        </w:rPr>
        <w:t>12.3.3 单价合同的计量</w:t>
      </w:r>
    </w:p>
    <w:p w14:paraId="52EF0B5E">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关于单价合同计量的约定：</w:t>
      </w:r>
      <w:r>
        <w:rPr>
          <w:rFonts w:hint="eastAsia" w:ascii="宋体" w:hAnsi="宋体" w:cs="宋体"/>
          <w:color w:val="auto"/>
          <w:szCs w:val="21"/>
          <w:u w:val="single"/>
        </w:rPr>
        <w:t>按合同通用条款执行。</w:t>
      </w:r>
    </w:p>
    <w:p w14:paraId="79F2F8D7">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（4）确认的工程量和单价仅作为本期工程款支付的依据。</w:t>
      </w:r>
    </w:p>
    <w:p w14:paraId="7B9A0AAF">
      <w:pPr>
        <w:spacing w:line="360" w:lineRule="exact"/>
        <w:ind w:firstLine="420" w:firstLineChars="200"/>
        <w:rPr>
          <w:rFonts w:ascii="宋体" w:hAnsi="宋体" w:cs="宋体"/>
          <w:color w:val="auto"/>
          <w:szCs w:val="21"/>
        </w:rPr>
      </w:pPr>
      <w:r>
        <w:rPr>
          <w:rFonts w:hint="eastAsia" w:ascii="宋体" w:hAnsi="宋体" w:cs="宋体"/>
          <w:color w:val="auto"/>
          <w:szCs w:val="21"/>
        </w:rPr>
        <w:t>12.3.4 总价合同的计量</w:t>
      </w:r>
    </w:p>
    <w:p w14:paraId="0C2A2A36">
      <w:pPr>
        <w:spacing w:line="360" w:lineRule="exact"/>
        <w:ind w:firstLine="420" w:firstLineChars="200"/>
        <w:rPr>
          <w:rFonts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          /                    </w:t>
      </w:r>
      <w:r>
        <w:rPr>
          <w:rFonts w:hint="eastAsia" w:ascii="宋体" w:hAnsi="宋体" w:cs="宋体"/>
          <w:color w:val="auto"/>
          <w:szCs w:val="21"/>
        </w:rPr>
        <w:t>。</w:t>
      </w:r>
    </w:p>
    <w:p w14:paraId="7ADF350A">
      <w:pPr>
        <w:spacing w:line="360" w:lineRule="exact"/>
        <w:ind w:firstLine="420" w:firstLineChars="200"/>
        <w:rPr>
          <w:rFonts w:ascii="宋体" w:hAnsi="宋体" w:cs="宋体"/>
          <w:color w:val="auto"/>
          <w:szCs w:val="21"/>
        </w:rPr>
      </w:pPr>
      <w:r>
        <w:rPr>
          <w:rFonts w:hint="eastAsia" w:ascii="宋体" w:hAnsi="宋体" w:cs="宋体"/>
          <w:color w:val="auto"/>
          <w:szCs w:val="21"/>
        </w:rPr>
        <w:t>12.3.5总价合同采用支付分解表计量支付的，是否适用第12.3.4 项〔总价合同的计量〕约定进行计量：</w:t>
      </w:r>
      <w:r>
        <w:rPr>
          <w:rFonts w:hint="eastAsia" w:ascii="宋体" w:hAnsi="宋体" w:cs="宋体"/>
          <w:color w:val="auto"/>
          <w:szCs w:val="21"/>
          <w:u w:val="single"/>
        </w:rPr>
        <w:t xml:space="preserve">        /             </w:t>
      </w:r>
      <w:r>
        <w:rPr>
          <w:rFonts w:hint="eastAsia" w:ascii="宋体" w:hAnsi="宋体" w:cs="宋体"/>
          <w:color w:val="auto"/>
          <w:szCs w:val="21"/>
        </w:rPr>
        <w:t>。</w:t>
      </w:r>
    </w:p>
    <w:p w14:paraId="4471A4F4">
      <w:pPr>
        <w:spacing w:line="360" w:lineRule="exact"/>
        <w:ind w:firstLine="420" w:firstLineChars="200"/>
        <w:rPr>
          <w:rFonts w:ascii="宋体" w:hAnsi="宋体" w:cs="宋体"/>
          <w:color w:val="auto"/>
          <w:szCs w:val="21"/>
        </w:rPr>
      </w:pPr>
      <w:r>
        <w:rPr>
          <w:rFonts w:hint="eastAsia" w:ascii="宋体" w:hAnsi="宋体" w:cs="宋体"/>
          <w:color w:val="auto"/>
          <w:szCs w:val="21"/>
        </w:rPr>
        <w:t>12.3.6 其他价格形式合同的计量</w:t>
      </w:r>
    </w:p>
    <w:p w14:paraId="099FE394">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    /     。</w:t>
      </w:r>
    </w:p>
    <w:p w14:paraId="27911D0C">
      <w:pPr>
        <w:spacing w:line="360" w:lineRule="exact"/>
        <w:ind w:firstLine="420" w:firstLineChars="200"/>
        <w:rPr>
          <w:rFonts w:ascii="宋体" w:hAnsi="宋体" w:cs="宋体"/>
          <w:color w:val="auto"/>
          <w:szCs w:val="21"/>
        </w:rPr>
      </w:pPr>
      <w:r>
        <w:rPr>
          <w:rFonts w:hint="eastAsia" w:ascii="宋体" w:hAnsi="宋体" w:cs="宋体"/>
          <w:color w:val="auto"/>
          <w:szCs w:val="21"/>
        </w:rPr>
        <w:t xml:space="preserve"> 12.4 工程进度款支付</w:t>
      </w:r>
    </w:p>
    <w:p w14:paraId="615D286E">
      <w:pPr>
        <w:spacing w:line="360" w:lineRule="exact"/>
        <w:ind w:firstLine="420" w:firstLineChars="200"/>
        <w:rPr>
          <w:rFonts w:ascii="宋体" w:hAnsi="宋体" w:cs="宋体"/>
          <w:color w:val="auto"/>
          <w:szCs w:val="21"/>
        </w:rPr>
      </w:pPr>
      <w:r>
        <w:rPr>
          <w:rFonts w:hint="eastAsia" w:ascii="宋体" w:hAnsi="宋体" w:cs="宋体"/>
          <w:color w:val="auto"/>
          <w:szCs w:val="21"/>
        </w:rPr>
        <w:t>12.4.1 付款周期</w:t>
      </w:r>
    </w:p>
    <w:p w14:paraId="7FC5DF7F">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关于付款周期的约定：</w:t>
      </w:r>
      <w:r>
        <w:rPr>
          <w:rFonts w:hint="eastAsia" w:ascii="宋体" w:hAnsi="宋体" w:cs="宋体"/>
          <w:color w:val="auto"/>
          <w:szCs w:val="21"/>
          <w:u w:val="single"/>
        </w:rPr>
        <w:t>按进度支付</w:t>
      </w:r>
    </w:p>
    <w:p w14:paraId="6C0067E6">
      <w:pPr>
        <w:spacing w:line="360" w:lineRule="exact"/>
        <w:ind w:firstLine="420" w:firstLineChars="200"/>
        <w:rPr>
          <w:rFonts w:ascii="宋体" w:hAnsi="宋体" w:cs="宋体"/>
          <w:color w:val="auto"/>
          <w:szCs w:val="21"/>
        </w:rPr>
      </w:pPr>
      <w:r>
        <w:rPr>
          <w:rFonts w:hint="eastAsia" w:ascii="宋体" w:hAnsi="宋体" w:cs="宋体"/>
          <w:color w:val="auto"/>
          <w:szCs w:val="21"/>
        </w:rPr>
        <w:t>12.4.2 进度付款申请单的编制</w:t>
      </w:r>
    </w:p>
    <w:p w14:paraId="7B85588C">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关于进度付款申请单编制的约定：</w:t>
      </w:r>
      <w:r>
        <w:rPr>
          <w:rFonts w:hint="eastAsia" w:ascii="宋体" w:hAnsi="宋体" w:cs="宋体"/>
          <w:color w:val="auto"/>
          <w:szCs w:val="21"/>
          <w:u w:val="single"/>
        </w:rPr>
        <w:t>发包人向承包人支付当期按12.1、12.3款计量工程量价款的75%工程价款。人工、材料价格调整引起合同价款调整，在完成专用条款第11.1条约定的调整节点后，计入该节点所在当期工程价款；工程变更按规定办理完毕的，计入当期工程价款。</w:t>
      </w:r>
    </w:p>
    <w:p w14:paraId="4D43626A">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合同范围内施工内容施工完成，参建各方（建设、监理、施工、勘察、设计单位等）对工程验收并签署工程质量合格文件后，支付至合同价格的85 %，经有关部门结算审核后支付至结算价款的100%。</w:t>
      </w:r>
    </w:p>
    <w:p w14:paraId="43ACCECE">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承包人需提交工程质量保证金（保证金额为1.5%的工程结算审定价）。</w:t>
      </w:r>
    </w:p>
    <w:p w14:paraId="3285FA4B">
      <w:pPr>
        <w:spacing w:line="360" w:lineRule="exact"/>
        <w:ind w:firstLine="420" w:firstLineChars="200"/>
        <w:rPr>
          <w:rFonts w:ascii="宋体" w:hAnsi="宋体" w:cs="宋体"/>
          <w:color w:val="auto"/>
          <w:szCs w:val="21"/>
        </w:rPr>
      </w:pPr>
      <w:r>
        <w:rPr>
          <w:rFonts w:hint="eastAsia" w:ascii="宋体" w:hAnsi="宋体" w:cs="宋体"/>
          <w:color w:val="auto"/>
          <w:szCs w:val="21"/>
          <w:u w:val="single"/>
        </w:rPr>
        <w:t>其余按合同通用条款</w:t>
      </w:r>
      <w:r>
        <w:rPr>
          <w:rFonts w:hint="eastAsia" w:ascii="宋体" w:hAnsi="宋体" w:cs="宋体"/>
          <w:color w:val="auto"/>
          <w:szCs w:val="21"/>
        </w:rPr>
        <w:t>。</w:t>
      </w:r>
    </w:p>
    <w:p w14:paraId="4F43CC05">
      <w:pPr>
        <w:spacing w:line="360" w:lineRule="exact"/>
        <w:ind w:firstLine="420" w:firstLineChars="200"/>
        <w:rPr>
          <w:rFonts w:ascii="宋体" w:hAnsi="宋体" w:cs="宋体"/>
          <w:color w:val="auto"/>
          <w:szCs w:val="21"/>
        </w:rPr>
      </w:pPr>
      <w:r>
        <w:rPr>
          <w:rFonts w:hint="eastAsia" w:ascii="宋体" w:hAnsi="宋体" w:cs="宋体"/>
          <w:color w:val="auto"/>
          <w:szCs w:val="21"/>
        </w:rPr>
        <w:t>12.4.3 进度付款申请单的提交</w:t>
      </w:r>
    </w:p>
    <w:p w14:paraId="2B152D71">
      <w:pPr>
        <w:spacing w:line="360" w:lineRule="exact"/>
        <w:ind w:firstLine="420" w:firstLineChars="200"/>
        <w:rPr>
          <w:rFonts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color w:val="auto"/>
          <w:szCs w:val="21"/>
          <w:u w:val="single"/>
        </w:rPr>
        <w:t>按合同通用条款</w:t>
      </w:r>
      <w:r>
        <w:rPr>
          <w:rFonts w:hint="eastAsia" w:ascii="宋体" w:hAnsi="宋体" w:cs="宋体"/>
          <w:color w:val="auto"/>
          <w:szCs w:val="21"/>
        </w:rPr>
        <w:t>。</w:t>
      </w:r>
    </w:p>
    <w:p w14:paraId="134682F1">
      <w:pPr>
        <w:spacing w:line="360" w:lineRule="exact"/>
        <w:ind w:firstLine="420" w:firstLineChars="200"/>
        <w:rPr>
          <w:rFonts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045FF6B0">
      <w:pPr>
        <w:spacing w:line="360" w:lineRule="exact"/>
        <w:ind w:firstLine="420" w:firstLineChars="200"/>
        <w:rPr>
          <w:rFonts w:ascii="宋体" w:hAnsi="宋体" w:cs="宋体"/>
          <w:color w:val="auto"/>
          <w:szCs w:val="21"/>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305FA73A">
      <w:pPr>
        <w:spacing w:line="360" w:lineRule="exact"/>
        <w:ind w:firstLine="420" w:firstLineChars="200"/>
        <w:rPr>
          <w:rFonts w:ascii="宋体" w:hAnsi="宋体" w:cs="宋体"/>
          <w:color w:val="auto"/>
          <w:szCs w:val="21"/>
        </w:rPr>
      </w:pPr>
      <w:r>
        <w:rPr>
          <w:rFonts w:hint="eastAsia" w:ascii="宋体" w:hAnsi="宋体" w:cs="宋体"/>
          <w:color w:val="auto"/>
          <w:szCs w:val="21"/>
        </w:rPr>
        <w:t>12.4.4 进度款审核和支付</w:t>
      </w:r>
    </w:p>
    <w:p w14:paraId="12E80C9C">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（1）监理人审查并报送发包人的期限：</w:t>
      </w:r>
      <w:r>
        <w:rPr>
          <w:rFonts w:hint="eastAsia" w:ascii="宋体" w:hAnsi="宋体" w:cs="宋体"/>
          <w:color w:val="auto"/>
          <w:szCs w:val="21"/>
          <w:u w:val="single"/>
        </w:rPr>
        <w:t xml:space="preserve">按合同通用条款 </w:t>
      </w:r>
      <w:r>
        <w:rPr>
          <w:rFonts w:hint="eastAsia" w:ascii="宋体" w:hAnsi="宋体" w:cs="宋体"/>
          <w:color w:val="auto"/>
          <w:szCs w:val="21"/>
        </w:rPr>
        <w:t>。</w:t>
      </w:r>
    </w:p>
    <w:p w14:paraId="676E11F0">
      <w:pPr>
        <w:spacing w:line="360" w:lineRule="exact"/>
        <w:ind w:firstLine="420" w:firstLineChars="200"/>
        <w:rPr>
          <w:rFonts w:ascii="宋体" w:hAnsi="宋体" w:cs="宋体"/>
          <w:color w:val="auto"/>
          <w:szCs w:val="21"/>
        </w:rPr>
      </w:pPr>
      <w:r>
        <w:rPr>
          <w:rFonts w:hint="eastAsia" w:ascii="宋体" w:hAnsi="宋体" w:cs="宋体"/>
          <w:color w:val="auto"/>
          <w:szCs w:val="21"/>
        </w:rPr>
        <w:t>发包人完成审批并签发进度款支付证书的期限：</w:t>
      </w:r>
      <w:r>
        <w:rPr>
          <w:rFonts w:hint="eastAsia" w:ascii="宋体" w:hAnsi="宋体" w:cs="宋体"/>
          <w:color w:val="auto"/>
          <w:szCs w:val="21"/>
          <w:u w:val="single"/>
        </w:rPr>
        <w:t>按合同通用条款</w:t>
      </w:r>
      <w:r>
        <w:rPr>
          <w:rFonts w:hint="eastAsia" w:ascii="宋体" w:hAnsi="宋体" w:cs="宋体"/>
          <w:color w:val="auto"/>
          <w:szCs w:val="21"/>
        </w:rPr>
        <w:t>。</w:t>
      </w:r>
    </w:p>
    <w:p w14:paraId="4C233D74">
      <w:pPr>
        <w:numPr>
          <w:ilvl w:val="0"/>
          <w:numId w:val="6"/>
        </w:numPr>
        <w:spacing w:line="360" w:lineRule="exact"/>
        <w:ind w:firstLine="420" w:firstLineChars="200"/>
        <w:rPr>
          <w:rFonts w:ascii="宋体" w:hAnsi="宋体" w:cs="宋体"/>
          <w:color w:val="auto"/>
          <w:szCs w:val="21"/>
          <w:u w:val="single"/>
        </w:rPr>
      </w:pPr>
      <w:r>
        <w:rPr>
          <w:rFonts w:hint="eastAsia" w:ascii="宋体" w:hAnsi="宋体" w:cs="宋体"/>
          <w:color w:val="auto"/>
          <w:szCs w:val="21"/>
        </w:rPr>
        <w:t>发包人支付进度款的期限：</w:t>
      </w:r>
      <w:r>
        <w:rPr>
          <w:rFonts w:hint="eastAsia" w:ascii="宋体" w:hAnsi="宋体" w:cs="宋体"/>
          <w:color w:val="auto"/>
          <w:szCs w:val="21"/>
          <w:u w:val="single"/>
        </w:rPr>
        <w:t>在发包人确认计量结果后14天内完成支付。</w:t>
      </w:r>
    </w:p>
    <w:p w14:paraId="0F57831C">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 xml:space="preserve"> 发包人将当期应付工程进度款拨付到承包人，再由承包人将工程进度款的25%单独拨付到承包人开设的农民工工资（劳务费）专用账户，承包人应确保专款专用。</w:t>
      </w:r>
    </w:p>
    <w:p w14:paraId="6986AC6F">
      <w:pPr>
        <w:spacing w:line="360" w:lineRule="exact"/>
        <w:ind w:firstLine="420" w:firstLineChars="200"/>
        <w:rPr>
          <w:rFonts w:ascii="宋体" w:hAnsi="宋体" w:cs="宋体"/>
          <w:color w:val="auto"/>
          <w:szCs w:val="21"/>
        </w:rPr>
      </w:pPr>
      <w:r>
        <w:rPr>
          <w:rFonts w:hint="eastAsia" w:ascii="宋体" w:hAnsi="宋体" w:cs="宋体"/>
          <w:color w:val="auto"/>
          <w:szCs w:val="21"/>
        </w:rPr>
        <w:t>发包人逾期支付进度款的违约金的计算方式：</w:t>
      </w:r>
      <w:r>
        <w:rPr>
          <w:rFonts w:hint="eastAsia" w:ascii="宋体" w:hAnsi="宋体" w:cs="宋体"/>
          <w:color w:val="auto"/>
          <w:szCs w:val="21"/>
          <w:u w:val="single"/>
        </w:rPr>
        <w:t>支付应付工程进度（备料）款的利息，利率按中国人民银行发布的同期同类贷款基准利率，时间为从约定应付之日起至支付之日止计算利息</w:t>
      </w:r>
      <w:r>
        <w:rPr>
          <w:rFonts w:hint="eastAsia" w:ascii="宋体" w:hAnsi="宋体" w:cs="宋体"/>
          <w:color w:val="auto"/>
          <w:szCs w:val="21"/>
        </w:rPr>
        <w:t>。</w:t>
      </w:r>
    </w:p>
    <w:p w14:paraId="23BA8AD6">
      <w:pPr>
        <w:spacing w:line="36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66E7A93F">
      <w:pPr>
        <w:spacing w:line="360" w:lineRule="exact"/>
        <w:ind w:firstLine="413" w:firstLineChars="196"/>
        <w:rPr>
          <w:rFonts w:ascii="宋体" w:hAnsi="宋体" w:cs="宋体"/>
          <w:b/>
          <w:color w:val="auto"/>
          <w:szCs w:val="21"/>
        </w:rPr>
      </w:pPr>
      <w:r>
        <w:rPr>
          <w:rFonts w:hint="eastAsia" w:ascii="宋体" w:hAnsi="宋体" w:cs="宋体"/>
          <w:b/>
          <w:color w:val="auto"/>
          <w:szCs w:val="21"/>
        </w:rPr>
        <w:t>12.4.6 支付分解表的编制</w:t>
      </w:r>
    </w:p>
    <w:p w14:paraId="740DFDE4">
      <w:pPr>
        <w:spacing w:line="360" w:lineRule="exact"/>
        <w:ind w:firstLine="420" w:firstLineChars="200"/>
        <w:rPr>
          <w:rFonts w:ascii="宋体" w:hAnsi="宋体" w:cs="宋体"/>
          <w:color w:val="auto"/>
          <w:szCs w:val="21"/>
        </w:rPr>
      </w:pPr>
      <w:r>
        <w:rPr>
          <w:rFonts w:hint="eastAsia" w:ascii="宋体" w:hAnsi="宋体" w:cs="宋体"/>
          <w:color w:val="auto"/>
          <w:szCs w:val="21"/>
        </w:rPr>
        <w:t xml:space="preserve">2、总价合同支付分解表的编制与审批： </w:t>
      </w:r>
      <w:r>
        <w:rPr>
          <w:rFonts w:hint="eastAsia" w:ascii="宋体" w:hAnsi="宋体" w:cs="宋体"/>
          <w:color w:val="auto"/>
          <w:szCs w:val="21"/>
          <w:u w:val="single"/>
        </w:rPr>
        <w:t xml:space="preserve">      /         </w:t>
      </w:r>
      <w:r>
        <w:rPr>
          <w:rFonts w:hint="eastAsia" w:ascii="宋体" w:hAnsi="宋体" w:cs="宋体"/>
          <w:color w:val="auto"/>
          <w:szCs w:val="21"/>
        </w:rPr>
        <w:t>。</w:t>
      </w:r>
    </w:p>
    <w:p w14:paraId="6B089A42">
      <w:pPr>
        <w:spacing w:line="360" w:lineRule="exact"/>
        <w:ind w:firstLine="420" w:firstLineChars="200"/>
        <w:rPr>
          <w:rFonts w:ascii="宋体" w:hAnsi="宋体" w:cs="宋体"/>
          <w:color w:val="auto"/>
          <w:szCs w:val="21"/>
        </w:rPr>
      </w:pPr>
      <w:r>
        <w:rPr>
          <w:rFonts w:hint="eastAsia" w:ascii="宋体" w:hAnsi="宋体" w:cs="宋体"/>
          <w:color w:val="auto"/>
          <w:szCs w:val="21"/>
        </w:rPr>
        <w:t>3、单价合同的总价项目支付分解表的编制与审批：</w:t>
      </w:r>
      <w:r>
        <w:rPr>
          <w:rFonts w:hint="eastAsia" w:ascii="宋体" w:hAnsi="宋体" w:cs="宋体"/>
          <w:color w:val="auto"/>
          <w:szCs w:val="21"/>
          <w:u w:val="single"/>
        </w:rPr>
        <w:t xml:space="preserve">       </w:t>
      </w:r>
      <w:r>
        <w:rPr>
          <w:rFonts w:hint="eastAsia" w:ascii="宋体" w:hAnsi="宋体" w:cs="宋体"/>
          <w:color w:val="auto"/>
          <w:szCs w:val="21"/>
        </w:rPr>
        <w:t>。</w:t>
      </w:r>
    </w:p>
    <w:p w14:paraId="353ABD73">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13. 验收和工程试车</w:t>
      </w:r>
    </w:p>
    <w:p w14:paraId="40FF146B">
      <w:pPr>
        <w:spacing w:line="360" w:lineRule="exact"/>
        <w:ind w:firstLine="420" w:firstLineChars="200"/>
        <w:rPr>
          <w:rFonts w:ascii="宋体" w:hAnsi="宋体" w:cs="宋体"/>
          <w:color w:val="auto"/>
          <w:szCs w:val="21"/>
        </w:rPr>
      </w:pPr>
      <w:r>
        <w:rPr>
          <w:rFonts w:hint="eastAsia" w:ascii="宋体" w:hAnsi="宋体" w:cs="宋体"/>
          <w:color w:val="auto"/>
          <w:szCs w:val="21"/>
        </w:rPr>
        <w:t>13.1 分部分项工程验收</w:t>
      </w:r>
    </w:p>
    <w:p w14:paraId="78F1D5AD">
      <w:pPr>
        <w:spacing w:line="360" w:lineRule="exact"/>
        <w:ind w:firstLine="420" w:firstLineChars="200"/>
        <w:rPr>
          <w:rFonts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2A923A3A">
      <w:pPr>
        <w:spacing w:line="360" w:lineRule="exact"/>
        <w:ind w:firstLine="420" w:firstLineChars="200"/>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24 </w:t>
      </w:r>
      <w:r>
        <w:rPr>
          <w:rFonts w:hint="eastAsia" w:ascii="宋体" w:hAnsi="宋体" w:cs="宋体"/>
          <w:color w:val="auto"/>
          <w:szCs w:val="21"/>
        </w:rPr>
        <w:t>小时。</w:t>
      </w:r>
    </w:p>
    <w:p w14:paraId="18F8342A">
      <w:pPr>
        <w:spacing w:line="360" w:lineRule="exact"/>
        <w:ind w:firstLine="420" w:firstLineChars="200"/>
        <w:rPr>
          <w:rFonts w:ascii="宋体" w:hAnsi="宋体" w:cs="宋体"/>
          <w:b/>
          <w:color w:val="auto"/>
          <w:szCs w:val="21"/>
          <w:u w:val="single"/>
        </w:rPr>
      </w:pPr>
      <w:r>
        <w:rPr>
          <w:rFonts w:hint="eastAsia" w:ascii="宋体" w:hAnsi="宋体" w:cs="宋体"/>
          <w:color w:val="auto"/>
          <w:szCs w:val="21"/>
          <w:u w:val="single"/>
        </w:rPr>
        <w:t>工程验收过程、验收部位除办理纸质验收记录，还应留置验收部位、验收过程、主要验收人员相片、影像等资料。</w:t>
      </w:r>
    </w:p>
    <w:p w14:paraId="49361EEB">
      <w:pPr>
        <w:spacing w:line="360" w:lineRule="exact"/>
        <w:ind w:firstLine="420" w:firstLineChars="200"/>
        <w:rPr>
          <w:rFonts w:ascii="宋体" w:hAnsi="宋体" w:cs="宋体"/>
          <w:color w:val="auto"/>
          <w:szCs w:val="21"/>
        </w:rPr>
      </w:pPr>
      <w:r>
        <w:rPr>
          <w:rFonts w:hint="eastAsia" w:ascii="宋体" w:hAnsi="宋体" w:cs="宋体"/>
          <w:color w:val="auto"/>
          <w:szCs w:val="21"/>
        </w:rPr>
        <w:t>13.2 竣工验收</w:t>
      </w:r>
    </w:p>
    <w:p w14:paraId="5459F3B6">
      <w:pPr>
        <w:spacing w:line="360" w:lineRule="exact"/>
        <w:ind w:firstLine="420" w:firstLineChars="200"/>
        <w:rPr>
          <w:rFonts w:ascii="宋体" w:hAnsi="宋体" w:cs="宋体"/>
          <w:color w:val="auto"/>
          <w:szCs w:val="21"/>
        </w:rPr>
      </w:pPr>
      <w:r>
        <w:rPr>
          <w:rFonts w:hint="eastAsia" w:ascii="宋体" w:hAnsi="宋体" w:cs="宋体"/>
          <w:color w:val="auto"/>
          <w:szCs w:val="21"/>
        </w:rPr>
        <w:t>13.2.2竣工验收程序</w:t>
      </w:r>
    </w:p>
    <w:p w14:paraId="773E04B4">
      <w:pPr>
        <w:spacing w:line="360" w:lineRule="exact"/>
        <w:ind w:left="3746" w:leftChars="188" w:hanging="3351" w:hangingChars="1596"/>
        <w:rPr>
          <w:rFonts w:ascii="宋体" w:hAnsi="宋体" w:cs="宋体"/>
          <w:color w:val="auto"/>
          <w:szCs w:val="21"/>
        </w:rPr>
      </w:pPr>
      <w:r>
        <w:rPr>
          <w:rFonts w:hint="eastAsia" w:ascii="宋体" w:hAnsi="宋体" w:cs="宋体"/>
          <w:color w:val="auto"/>
          <w:szCs w:val="21"/>
        </w:rPr>
        <w:t>关于竣工验收程序的约定：</w:t>
      </w:r>
      <w:r>
        <w:rPr>
          <w:rFonts w:hint="eastAsia" w:ascii="宋体" w:hAnsi="宋体" w:cs="宋体"/>
          <w:color w:val="auto"/>
          <w:szCs w:val="21"/>
          <w:u w:val="single"/>
        </w:rPr>
        <w:t xml:space="preserve"> 按通用条款    </w:t>
      </w:r>
      <w:r>
        <w:rPr>
          <w:rFonts w:hint="eastAsia" w:ascii="宋体" w:hAnsi="宋体" w:cs="宋体"/>
          <w:color w:val="auto"/>
          <w:szCs w:val="21"/>
        </w:rPr>
        <w:t>。</w:t>
      </w:r>
    </w:p>
    <w:p w14:paraId="5558DE58">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发包人不按照本项约定组织竣工验收、颁发工程接收证书的违约金的计算方法：</w:t>
      </w:r>
      <w:r>
        <w:rPr>
          <w:rFonts w:hint="eastAsia" w:ascii="宋体" w:hAnsi="宋体" w:cs="宋体"/>
          <w:color w:val="auto"/>
          <w:szCs w:val="21"/>
          <w:u w:val="single"/>
        </w:rPr>
        <w:t xml:space="preserve">  不计违约金。</w:t>
      </w:r>
    </w:p>
    <w:p w14:paraId="26A6A14F">
      <w:pPr>
        <w:spacing w:line="360" w:lineRule="exact"/>
        <w:ind w:firstLine="420" w:firstLineChars="200"/>
        <w:rPr>
          <w:rFonts w:ascii="宋体" w:hAnsi="宋体" w:cs="宋体"/>
          <w:color w:val="auto"/>
          <w:szCs w:val="21"/>
        </w:rPr>
      </w:pPr>
      <w:r>
        <w:rPr>
          <w:rFonts w:hint="eastAsia" w:ascii="宋体" w:hAnsi="宋体" w:cs="宋体"/>
          <w:color w:val="auto"/>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color w:val="auto"/>
          <w:szCs w:val="21"/>
        </w:rPr>
        <w:t>。</w:t>
      </w:r>
    </w:p>
    <w:p w14:paraId="14A285CB">
      <w:pPr>
        <w:spacing w:line="360" w:lineRule="exact"/>
        <w:ind w:firstLine="420" w:firstLineChars="200"/>
        <w:rPr>
          <w:rFonts w:ascii="宋体" w:hAnsi="宋体" w:cs="宋体"/>
          <w:color w:val="auto"/>
          <w:szCs w:val="21"/>
        </w:rPr>
      </w:pPr>
      <w:r>
        <w:rPr>
          <w:rFonts w:hint="eastAsia" w:ascii="宋体" w:hAnsi="宋体" w:cs="宋体"/>
          <w:color w:val="auto"/>
          <w:szCs w:val="21"/>
        </w:rPr>
        <w:t>13.2.5移交、接收全部与部分工程</w:t>
      </w:r>
    </w:p>
    <w:p w14:paraId="6C405096">
      <w:pPr>
        <w:spacing w:line="360" w:lineRule="exact"/>
        <w:ind w:firstLine="420" w:firstLineChars="200"/>
        <w:rPr>
          <w:rFonts w:ascii="宋体" w:hAnsi="宋体" w:cs="宋体"/>
          <w:color w:val="auto"/>
          <w:szCs w:val="21"/>
        </w:rPr>
      </w:pPr>
      <w:r>
        <w:rPr>
          <w:rFonts w:hint="eastAsia" w:ascii="宋体" w:hAnsi="宋体" w:cs="宋体"/>
          <w:color w:val="auto"/>
          <w:szCs w:val="21"/>
        </w:rPr>
        <w:t>承包人向发包人移交工程的期限：</w:t>
      </w:r>
      <w:r>
        <w:rPr>
          <w:rFonts w:hint="eastAsia" w:ascii="宋体" w:hAnsi="宋体" w:cs="宋体"/>
          <w:color w:val="auto"/>
          <w:szCs w:val="21"/>
          <w:u w:val="single"/>
        </w:rPr>
        <w:t xml:space="preserve">  按通用条款执行  </w:t>
      </w:r>
      <w:r>
        <w:rPr>
          <w:rFonts w:hint="eastAsia" w:ascii="宋体" w:hAnsi="宋体" w:cs="宋体"/>
          <w:color w:val="auto"/>
          <w:szCs w:val="21"/>
        </w:rPr>
        <w:t>。</w:t>
      </w:r>
    </w:p>
    <w:p w14:paraId="4A336A26">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发包人未按本合同约定接收全部或部分工程的，违约金的计算方法为：</w:t>
      </w:r>
      <w:r>
        <w:rPr>
          <w:rFonts w:hint="eastAsia" w:ascii="宋体" w:hAnsi="宋体" w:cs="宋体"/>
          <w:color w:val="auto"/>
          <w:szCs w:val="21"/>
          <w:u w:val="single"/>
        </w:rPr>
        <w:t xml:space="preserve">    /      </w:t>
      </w:r>
      <w:r>
        <w:rPr>
          <w:rFonts w:hint="eastAsia" w:ascii="宋体" w:hAnsi="宋体" w:cs="宋体"/>
          <w:color w:val="auto"/>
          <w:szCs w:val="21"/>
        </w:rPr>
        <w:t>。</w:t>
      </w:r>
    </w:p>
    <w:p w14:paraId="2A878502">
      <w:pPr>
        <w:spacing w:line="360" w:lineRule="exact"/>
        <w:ind w:left="399" w:leftChars="189" w:hanging="2" w:hangingChars="1"/>
        <w:rPr>
          <w:rFonts w:ascii="宋体" w:hAnsi="宋体" w:cs="宋体"/>
          <w:color w:val="auto"/>
          <w:szCs w:val="21"/>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single"/>
        </w:rPr>
        <w:t xml:space="preserve">       /    </w:t>
      </w:r>
      <w:r>
        <w:rPr>
          <w:rFonts w:hint="eastAsia" w:ascii="宋体" w:hAnsi="宋体" w:cs="宋体"/>
          <w:color w:val="auto"/>
          <w:szCs w:val="21"/>
        </w:rPr>
        <w:t>。</w:t>
      </w:r>
    </w:p>
    <w:p w14:paraId="573F58D4">
      <w:pPr>
        <w:spacing w:line="360" w:lineRule="exact"/>
        <w:ind w:firstLine="420" w:firstLineChars="200"/>
        <w:rPr>
          <w:rFonts w:ascii="宋体" w:hAnsi="宋体" w:cs="宋体"/>
          <w:color w:val="auto"/>
          <w:szCs w:val="21"/>
        </w:rPr>
      </w:pPr>
      <w:r>
        <w:rPr>
          <w:rFonts w:hint="eastAsia" w:ascii="宋体" w:hAnsi="宋体" w:cs="宋体"/>
          <w:color w:val="auto"/>
          <w:szCs w:val="21"/>
        </w:rPr>
        <w:t>13.3 工程试车</w:t>
      </w:r>
    </w:p>
    <w:p w14:paraId="11556ED1">
      <w:pPr>
        <w:spacing w:line="360" w:lineRule="exact"/>
        <w:ind w:firstLine="420" w:firstLineChars="200"/>
        <w:rPr>
          <w:rFonts w:ascii="宋体" w:hAnsi="宋体" w:cs="宋体"/>
          <w:color w:val="auto"/>
          <w:szCs w:val="21"/>
        </w:rPr>
      </w:pPr>
      <w:r>
        <w:rPr>
          <w:rFonts w:hint="eastAsia" w:ascii="宋体" w:hAnsi="宋体" w:cs="宋体"/>
          <w:color w:val="auto"/>
          <w:szCs w:val="21"/>
        </w:rPr>
        <w:t>13.3.1 试车程序</w:t>
      </w:r>
    </w:p>
    <w:p w14:paraId="4632B2C2">
      <w:pPr>
        <w:spacing w:line="360" w:lineRule="exact"/>
        <w:ind w:firstLine="420" w:firstLineChars="200"/>
        <w:rPr>
          <w:rFonts w:ascii="宋体" w:hAnsi="宋体" w:cs="宋体"/>
          <w:color w:val="auto"/>
          <w:szCs w:val="21"/>
        </w:rPr>
      </w:pPr>
      <w:r>
        <w:rPr>
          <w:rFonts w:hint="eastAsia" w:ascii="宋体" w:hAnsi="宋体" w:cs="宋体"/>
          <w:color w:val="auto"/>
          <w:szCs w:val="21"/>
        </w:rPr>
        <w:t>工程试车内容：</w:t>
      </w:r>
      <w:r>
        <w:rPr>
          <w:rFonts w:hint="eastAsia" w:ascii="宋体" w:hAnsi="宋体" w:cs="宋体"/>
          <w:color w:val="auto"/>
          <w:szCs w:val="21"/>
          <w:u w:val="single"/>
        </w:rPr>
        <w:t xml:space="preserve">        /            </w:t>
      </w:r>
      <w:r>
        <w:rPr>
          <w:rFonts w:hint="eastAsia" w:ascii="宋体" w:hAnsi="宋体" w:cs="宋体"/>
          <w:color w:val="auto"/>
          <w:szCs w:val="21"/>
        </w:rPr>
        <w:t>。</w:t>
      </w:r>
    </w:p>
    <w:p w14:paraId="580B20E1">
      <w:pPr>
        <w:spacing w:line="360" w:lineRule="exact"/>
        <w:ind w:firstLine="420" w:firstLineChars="200"/>
        <w:rPr>
          <w:rFonts w:ascii="宋体" w:hAnsi="宋体" w:cs="宋体"/>
          <w:color w:val="auto"/>
          <w:szCs w:val="21"/>
        </w:rPr>
      </w:pPr>
      <w:r>
        <w:rPr>
          <w:rFonts w:hint="eastAsia" w:ascii="宋体" w:hAnsi="宋体" w:cs="宋体"/>
          <w:color w:val="auto"/>
          <w:szCs w:val="21"/>
        </w:rPr>
        <w:t>（1）单机无负荷试车费用由</w:t>
      </w:r>
      <w:r>
        <w:rPr>
          <w:rFonts w:hint="eastAsia" w:ascii="宋体" w:hAnsi="宋体" w:cs="宋体"/>
          <w:color w:val="auto"/>
          <w:szCs w:val="21"/>
          <w:u w:val="single"/>
        </w:rPr>
        <w:t xml:space="preserve">       /              </w:t>
      </w:r>
      <w:r>
        <w:rPr>
          <w:rFonts w:hint="eastAsia" w:ascii="宋体" w:hAnsi="宋体" w:cs="宋体"/>
          <w:color w:val="auto"/>
          <w:szCs w:val="21"/>
        </w:rPr>
        <w:t>承担；</w:t>
      </w:r>
    </w:p>
    <w:p w14:paraId="3A14292A">
      <w:pPr>
        <w:spacing w:line="360" w:lineRule="exact"/>
        <w:ind w:firstLine="420" w:firstLineChars="200"/>
        <w:rPr>
          <w:rFonts w:ascii="宋体" w:hAnsi="宋体" w:cs="宋体"/>
          <w:color w:val="auto"/>
          <w:szCs w:val="21"/>
        </w:rPr>
      </w:pPr>
      <w:r>
        <w:rPr>
          <w:rFonts w:hint="eastAsia" w:ascii="宋体" w:hAnsi="宋体" w:cs="宋体"/>
          <w:color w:val="auto"/>
          <w:szCs w:val="21"/>
        </w:rPr>
        <w:t>（2）无负荷联动试车费用由</w:t>
      </w:r>
      <w:r>
        <w:rPr>
          <w:rFonts w:hint="eastAsia" w:ascii="宋体" w:hAnsi="宋体" w:cs="宋体"/>
          <w:color w:val="auto"/>
          <w:szCs w:val="21"/>
          <w:u w:val="single"/>
        </w:rPr>
        <w:t xml:space="preserve">        /             </w:t>
      </w:r>
      <w:r>
        <w:rPr>
          <w:rFonts w:hint="eastAsia" w:ascii="宋体" w:hAnsi="宋体" w:cs="宋体"/>
          <w:color w:val="auto"/>
          <w:szCs w:val="21"/>
        </w:rPr>
        <w:t>承担。</w:t>
      </w:r>
    </w:p>
    <w:p w14:paraId="234156B3">
      <w:pPr>
        <w:spacing w:line="360" w:lineRule="exact"/>
        <w:ind w:firstLine="420" w:firstLineChars="200"/>
        <w:rPr>
          <w:rFonts w:ascii="宋体" w:hAnsi="宋体" w:cs="宋体"/>
          <w:color w:val="auto"/>
          <w:szCs w:val="21"/>
        </w:rPr>
      </w:pPr>
      <w:r>
        <w:rPr>
          <w:rFonts w:hint="eastAsia" w:ascii="宋体" w:hAnsi="宋体" w:cs="宋体"/>
          <w:color w:val="auto"/>
          <w:szCs w:val="21"/>
        </w:rPr>
        <w:t>13.3.3 投料试车</w:t>
      </w:r>
    </w:p>
    <w:p w14:paraId="2385971D">
      <w:pPr>
        <w:spacing w:line="360" w:lineRule="exact"/>
        <w:ind w:firstLine="420" w:firstLineChars="200"/>
        <w:rPr>
          <w:rFonts w:ascii="宋体" w:hAnsi="宋体" w:cs="宋体"/>
          <w:color w:val="auto"/>
          <w:szCs w:val="21"/>
        </w:rPr>
      </w:pPr>
      <w:r>
        <w:rPr>
          <w:rFonts w:hint="eastAsia" w:ascii="宋体" w:hAnsi="宋体" w:cs="宋体"/>
          <w:color w:val="auto"/>
          <w:szCs w:val="21"/>
        </w:rPr>
        <w:t>关于投料试车相关事项的约定：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5AF22286">
      <w:pPr>
        <w:spacing w:line="360" w:lineRule="exact"/>
        <w:ind w:firstLine="420" w:firstLineChars="200"/>
        <w:rPr>
          <w:rFonts w:ascii="宋体" w:hAnsi="宋体" w:cs="宋体"/>
          <w:color w:val="auto"/>
          <w:szCs w:val="21"/>
        </w:rPr>
      </w:pPr>
      <w:r>
        <w:rPr>
          <w:rFonts w:hint="eastAsia" w:ascii="宋体" w:hAnsi="宋体" w:cs="宋体"/>
          <w:color w:val="auto"/>
          <w:szCs w:val="21"/>
        </w:rPr>
        <w:t>13.6 竣工退场</w:t>
      </w:r>
    </w:p>
    <w:p w14:paraId="771D4047">
      <w:pPr>
        <w:spacing w:line="360" w:lineRule="exact"/>
        <w:ind w:firstLine="420" w:firstLineChars="200"/>
        <w:rPr>
          <w:rFonts w:ascii="宋体" w:hAnsi="宋体" w:cs="宋体"/>
          <w:color w:val="auto"/>
          <w:szCs w:val="21"/>
        </w:rPr>
      </w:pPr>
      <w:r>
        <w:rPr>
          <w:rFonts w:hint="eastAsia" w:ascii="宋体" w:hAnsi="宋体" w:cs="宋体"/>
          <w:color w:val="auto"/>
          <w:szCs w:val="21"/>
        </w:rPr>
        <w:t>13.6.1 竣工退场</w:t>
      </w:r>
    </w:p>
    <w:p w14:paraId="1C9AB225">
      <w:pPr>
        <w:spacing w:line="360" w:lineRule="exact"/>
        <w:ind w:firstLine="420" w:firstLineChars="200"/>
        <w:rPr>
          <w:rFonts w:ascii="宋体" w:hAnsi="宋体" w:cs="宋体"/>
          <w:color w:val="auto"/>
          <w:szCs w:val="21"/>
        </w:rPr>
      </w:pPr>
      <w:r>
        <w:rPr>
          <w:rFonts w:hint="eastAsia" w:ascii="宋体" w:hAnsi="宋体" w:cs="宋体"/>
          <w:color w:val="auto"/>
          <w:szCs w:val="21"/>
        </w:rPr>
        <w:t>承包人完成竣工退场的期限：</w:t>
      </w:r>
      <w:r>
        <w:rPr>
          <w:rFonts w:hint="eastAsia" w:ascii="宋体" w:hAnsi="宋体" w:cs="宋体"/>
          <w:color w:val="auto"/>
          <w:szCs w:val="21"/>
          <w:u w:val="single"/>
        </w:rPr>
        <w:t xml:space="preserve"> 颁发工程接收证书后7天内 </w:t>
      </w:r>
      <w:r>
        <w:rPr>
          <w:rFonts w:hint="eastAsia" w:ascii="宋体" w:hAnsi="宋体" w:cs="宋体"/>
          <w:color w:val="auto"/>
          <w:szCs w:val="21"/>
        </w:rPr>
        <w:t>。</w:t>
      </w:r>
    </w:p>
    <w:p w14:paraId="3BEE429C">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14. 竣工结算</w:t>
      </w:r>
    </w:p>
    <w:p w14:paraId="1A37FB8E">
      <w:pPr>
        <w:spacing w:line="360" w:lineRule="exact"/>
        <w:ind w:firstLine="420" w:firstLineChars="200"/>
        <w:rPr>
          <w:rFonts w:ascii="宋体" w:hAnsi="宋体" w:cs="宋体"/>
          <w:color w:val="auto"/>
          <w:szCs w:val="21"/>
        </w:rPr>
      </w:pPr>
      <w:r>
        <w:rPr>
          <w:rFonts w:hint="eastAsia" w:ascii="宋体" w:hAnsi="宋体" w:cs="宋体"/>
          <w:color w:val="auto"/>
          <w:szCs w:val="21"/>
        </w:rPr>
        <w:t>14.1 竣工结算申请</w:t>
      </w:r>
    </w:p>
    <w:p w14:paraId="23BA6286">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承包人应在完成合同范围内施工内容，参建各方（建设、监理、施工、勘察、设计单位等）对工程验收并签署工程质量合格文件后90天内向发包人和监理人提交竣工结算申请单，并提交完整的工程结算资料一套。承包人超过90天未提交竣工结算资料，经发包人催告后28天，承包人还不提交竣工结算资料的，发包人可根据自己资料办理竣工结算，且视为承包人认可竣工结算结果。</w:t>
      </w:r>
    </w:p>
    <w:p w14:paraId="386BB6F4">
      <w:pPr>
        <w:spacing w:line="360" w:lineRule="exact"/>
        <w:ind w:firstLine="420" w:firstLineChars="200"/>
        <w:rPr>
          <w:rFonts w:ascii="宋体" w:hAnsi="宋体" w:cs="宋体"/>
          <w:color w:val="auto"/>
          <w:szCs w:val="21"/>
        </w:rPr>
      </w:pPr>
      <w:r>
        <w:rPr>
          <w:rFonts w:hint="eastAsia" w:ascii="宋体" w:hAnsi="宋体" w:cs="宋体"/>
          <w:color w:val="auto"/>
          <w:szCs w:val="21"/>
        </w:rPr>
        <w:t>14.2 竣工结算审核</w:t>
      </w:r>
    </w:p>
    <w:p w14:paraId="272D9AD5">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（1）发包人结算审核时间：</w:t>
      </w:r>
      <w:r>
        <w:rPr>
          <w:rFonts w:hint="eastAsia" w:ascii="宋体" w:hAnsi="宋体" w:cs="宋体"/>
          <w:color w:val="auto"/>
          <w:szCs w:val="21"/>
          <w:u w:val="single"/>
        </w:rPr>
        <w:t>发包人收到承包人递交的竣工结算报告及结算资料后，在（  12  ）个月内审核完毕，并签发竣工结算证书。</w:t>
      </w:r>
    </w:p>
    <w:p w14:paraId="2D784391">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14:paraId="67F0D6AD">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14:paraId="390C91A0">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（3）承包人对发包人签认的结算价有异议的，发包人可先支付承包人无异议部分结算款。异议部分重新进行复核或按照第20条处理。</w:t>
      </w:r>
    </w:p>
    <w:p w14:paraId="1C6C1E19">
      <w:pPr>
        <w:spacing w:line="360" w:lineRule="exact"/>
        <w:ind w:firstLine="420" w:firstLineChars="200"/>
        <w:rPr>
          <w:rFonts w:ascii="宋体" w:hAnsi="宋体" w:cs="宋体"/>
          <w:color w:val="auto"/>
          <w:szCs w:val="21"/>
        </w:rPr>
      </w:pPr>
      <w:r>
        <w:rPr>
          <w:rFonts w:hint="eastAsia" w:ascii="宋体" w:hAnsi="宋体" w:cs="宋体"/>
          <w:color w:val="auto"/>
          <w:szCs w:val="21"/>
        </w:rPr>
        <w:t>14.4 最终结清</w:t>
      </w:r>
    </w:p>
    <w:p w14:paraId="74A5FBE7">
      <w:pPr>
        <w:spacing w:line="360" w:lineRule="exact"/>
        <w:ind w:firstLine="420" w:firstLineChars="200"/>
        <w:rPr>
          <w:rFonts w:ascii="宋体" w:hAnsi="宋体" w:cs="宋体"/>
          <w:color w:val="auto"/>
          <w:szCs w:val="21"/>
        </w:rPr>
      </w:pPr>
      <w:r>
        <w:rPr>
          <w:rFonts w:hint="eastAsia" w:ascii="宋体" w:hAnsi="宋体" w:cs="宋体"/>
          <w:color w:val="auto"/>
          <w:szCs w:val="21"/>
        </w:rPr>
        <w:t>14.4.1 最终结清申请单</w:t>
      </w:r>
    </w:p>
    <w:p w14:paraId="296C3FA0">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承包人提交最终结清申请单的份数：</w:t>
      </w:r>
      <w:r>
        <w:rPr>
          <w:rFonts w:hint="eastAsia" w:ascii="宋体" w:hAnsi="宋体" w:cs="宋体"/>
          <w:color w:val="auto"/>
          <w:szCs w:val="21"/>
          <w:u w:val="single"/>
        </w:rPr>
        <w:t xml:space="preserve">  满足发包人及相关部门审查要求    </w:t>
      </w:r>
      <w:r>
        <w:rPr>
          <w:rFonts w:hint="eastAsia" w:ascii="宋体" w:hAnsi="宋体" w:cs="宋体"/>
          <w:color w:val="auto"/>
          <w:szCs w:val="21"/>
        </w:rPr>
        <w:t>。</w:t>
      </w:r>
    </w:p>
    <w:p w14:paraId="2E8CC9EE">
      <w:pPr>
        <w:spacing w:line="360" w:lineRule="exact"/>
        <w:ind w:firstLine="420" w:firstLineChars="200"/>
        <w:rPr>
          <w:rFonts w:ascii="宋体" w:hAnsi="宋体" w:cs="宋体"/>
          <w:color w:val="auto"/>
          <w:szCs w:val="21"/>
        </w:rPr>
      </w:pPr>
      <w:r>
        <w:rPr>
          <w:rFonts w:hint="eastAsia" w:ascii="宋体" w:hAnsi="宋体" w:cs="宋体"/>
          <w:color w:val="auto"/>
          <w:szCs w:val="21"/>
        </w:rPr>
        <w:t>承包人提交最终结算申请单的期限：</w:t>
      </w:r>
      <w:r>
        <w:rPr>
          <w:rFonts w:hint="eastAsia" w:ascii="宋体" w:hAnsi="宋体" w:cs="宋体"/>
          <w:color w:val="auto"/>
          <w:szCs w:val="21"/>
          <w:u w:val="single"/>
        </w:rPr>
        <w:t xml:space="preserve">   缺陷责任期终止后7天内   </w:t>
      </w:r>
      <w:r>
        <w:rPr>
          <w:rFonts w:hint="eastAsia" w:ascii="宋体" w:hAnsi="宋体" w:cs="宋体"/>
          <w:color w:val="auto"/>
          <w:szCs w:val="21"/>
        </w:rPr>
        <w:t xml:space="preserve">。 </w:t>
      </w:r>
    </w:p>
    <w:p w14:paraId="552796D2">
      <w:pPr>
        <w:spacing w:line="360" w:lineRule="exact"/>
        <w:ind w:firstLine="420" w:firstLineChars="200"/>
        <w:rPr>
          <w:rFonts w:ascii="宋体" w:hAnsi="宋体" w:cs="宋体"/>
          <w:color w:val="auto"/>
          <w:szCs w:val="21"/>
        </w:rPr>
      </w:pPr>
      <w:r>
        <w:rPr>
          <w:rFonts w:hint="eastAsia" w:ascii="宋体" w:hAnsi="宋体" w:cs="宋体"/>
          <w:color w:val="auto"/>
          <w:szCs w:val="21"/>
        </w:rPr>
        <w:t>14.4.2 最终结清证书和支付</w:t>
      </w:r>
    </w:p>
    <w:p w14:paraId="0045C230">
      <w:pPr>
        <w:spacing w:line="360" w:lineRule="exact"/>
        <w:ind w:firstLine="420" w:firstLineChars="200"/>
        <w:rPr>
          <w:rFonts w:ascii="宋体" w:hAnsi="宋体" w:cs="宋体"/>
          <w:color w:val="auto"/>
          <w:szCs w:val="21"/>
        </w:rPr>
      </w:pPr>
      <w:r>
        <w:rPr>
          <w:rFonts w:hint="eastAsia" w:ascii="宋体" w:hAnsi="宋体" w:cs="宋体"/>
          <w:color w:val="auto"/>
          <w:szCs w:val="21"/>
        </w:rPr>
        <w:t>（1）发包人完成最终结清申请单的审批并颁发最终结清证书的期限：</w:t>
      </w:r>
      <w:r>
        <w:rPr>
          <w:rFonts w:hint="eastAsia" w:ascii="宋体" w:hAnsi="宋体" w:cs="宋体"/>
          <w:color w:val="auto"/>
          <w:szCs w:val="21"/>
          <w:u w:val="single"/>
        </w:rPr>
        <w:t xml:space="preserve">  按通用条款  </w:t>
      </w:r>
      <w:r>
        <w:rPr>
          <w:rFonts w:hint="eastAsia" w:ascii="宋体" w:hAnsi="宋体" w:cs="宋体"/>
          <w:color w:val="auto"/>
          <w:szCs w:val="21"/>
        </w:rPr>
        <w:t>。</w:t>
      </w:r>
    </w:p>
    <w:p w14:paraId="141BA91A">
      <w:pPr>
        <w:spacing w:line="360" w:lineRule="exact"/>
        <w:ind w:firstLine="420" w:firstLineChars="200"/>
        <w:rPr>
          <w:rFonts w:ascii="宋体" w:hAnsi="宋体" w:cs="宋体"/>
          <w:color w:val="auto"/>
          <w:szCs w:val="21"/>
        </w:rPr>
      </w:pPr>
      <w:r>
        <w:rPr>
          <w:rFonts w:hint="eastAsia" w:ascii="宋体" w:hAnsi="宋体" w:cs="宋体"/>
          <w:color w:val="auto"/>
          <w:szCs w:val="21"/>
        </w:rPr>
        <w:t>（2）发包人完成支付的期限：</w:t>
      </w:r>
      <w:r>
        <w:rPr>
          <w:rFonts w:hint="eastAsia" w:ascii="宋体" w:hAnsi="宋体" w:cs="宋体"/>
          <w:color w:val="auto"/>
          <w:szCs w:val="21"/>
          <w:u w:val="single"/>
        </w:rPr>
        <w:t>按通用条款</w:t>
      </w:r>
      <w:r>
        <w:rPr>
          <w:rFonts w:hint="eastAsia" w:ascii="宋体" w:hAnsi="宋体" w:cs="宋体"/>
          <w:color w:val="auto"/>
          <w:szCs w:val="21"/>
        </w:rPr>
        <w:t>。</w:t>
      </w:r>
    </w:p>
    <w:p w14:paraId="2AE396ED">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15. 缺陷责任期与保修</w:t>
      </w:r>
    </w:p>
    <w:p w14:paraId="01BF3558">
      <w:pPr>
        <w:spacing w:line="360" w:lineRule="exact"/>
        <w:ind w:firstLine="420" w:firstLineChars="200"/>
        <w:rPr>
          <w:rFonts w:ascii="宋体" w:hAnsi="宋体" w:cs="宋体"/>
          <w:color w:val="auto"/>
          <w:szCs w:val="21"/>
        </w:rPr>
      </w:pPr>
      <w:r>
        <w:rPr>
          <w:rFonts w:hint="eastAsia" w:ascii="宋体" w:hAnsi="宋体" w:cs="宋体"/>
          <w:color w:val="auto"/>
          <w:szCs w:val="21"/>
        </w:rPr>
        <w:t>15.2缺陷责任期</w:t>
      </w:r>
    </w:p>
    <w:p w14:paraId="55981E08">
      <w:pPr>
        <w:spacing w:line="360" w:lineRule="exact"/>
        <w:ind w:firstLine="420" w:firstLineChars="200"/>
        <w:rPr>
          <w:rFonts w:ascii="宋体" w:hAnsi="宋体" w:cs="宋体"/>
          <w:color w:val="auto"/>
          <w:szCs w:val="21"/>
        </w:rPr>
      </w:pPr>
      <w:r>
        <w:rPr>
          <w:rFonts w:hint="eastAsia" w:ascii="宋体" w:hAnsi="宋体" w:cs="宋体"/>
          <w:color w:val="auto"/>
          <w:szCs w:val="21"/>
        </w:rPr>
        <w:t>缺陷责任期的具体期限：</w:t>
      </w:r>
      <w:r>
        <w:rPr>
          <w:rFonts w:hint="eastAsia" w:ascii="宋体" w:hAnsi="宋体" w:cs="宋体"/>
          <w:color w:val="auto"/>
          <w:szCs w:val="21"/>
          <w:u w:val="single"/>
        </w:rPr>
        <w:t xml:space="preserve"> 缺陷责任期24个月，其余按通用条款执行</w:t>
      </w:r>
      <w:r>
        <w:rPr>
          <w:rFonts w:hint="eastAsia" w:ascii="宋体" w:hAnsi="宋体" w:cs="宋体"/>
          <w:color w:val="auto"/>
          <w:szCs w:val="21"/>
        </w:rPr>
        <w:t>。</w:t>
      </w:r>
    </w:p>
    <w:p w14:paraId="6279028D">
      <w:pPr>
        <w:spacing w:line="360" w:lineRule="exact"/>
        <w:ind w:firstLine="420" w:firstLineChars="200"/>
        <w:rPr>
          <w:rFonts w:ascii="宋体" w:hAnsi="宋体" w:cs="宋体"/>
          <w:color w:val="auto"/>
          <w:szCs w:val="21"/>
        </w:rPr>
      </w:pPr>
      <w:r>
        <w:rPr>
          <w:rFonts w:hint="eastAsia" w:ascii="宋体" w:hAnsi="宋体" w:cs="宋体"/>
          <w:color w:val="auto"/>
          <w:szCs w:val="21"/>
        </w:rPr>
        <w:t>15.3 质量保证金</w:t>
      </w:r>
    </w:p>
    <w:p w14:paraId="6853F6EC">
      <w:pPr>
        <w:spacing w:line="360" w:lineRule="exact"/>
        <w:ind w:firstLine="420" w:firstLineChars="200"/>
        <w:rPr>
          <w:rFonts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rPr>
        <w:t xml:space="preserve"> 不扣留质量保证金    </w:t>
      </w:r>
      <w:r>
        <w:rPr>
          <w:rFonts w:hint="eastAsia" w:ascii="宋体" w:hAnsi="宋体" w:cs="宋体"/>
          <w:color w:val="auto"/>
          <w:szCs w:val="21"/>
        </w:rPr>
        <w:t>。</w:t>
      </w:r>
    </w:p>
    <w:p w14:paraId="368A75F2">
      <w:pPr>
        <w:spacing w:line="360" w:lineRule="exact"/>
        <w:ind w:firstLine="420" w:firstLineChars="200"/>
        <w:rPr>
          <w:rFonts w:ascii="宋体" w:hAnsi="宋体" w:cs="宋体"/>
          <w:color w:val="auto"/>
          <w:szCs w:val="21"/>
        </w:rPr>
      </w:pPr>
      <w:r>
        <w:rPr>
          <w:rFonts w:hint="eastAsia" w:ascii="宋体" w:hAnsi="宋体" w:cs="宋体"/>
          <w:color w:val="auto"/>
          <w:szCs w:val="21"/>
        </w:rPr>
        <w:t>15.3.1 承包人提供质量保证金的方式</w:t>
      </w:r>
    </w:p>
    <w:p w14:paraId="70085A29">
      <w:pPr>
        <w:spacing w:line="360" w:lineRule="exact"/>
        <w:ind w:firstLine="420" w:firstLineChars="200"/>
        <w:rPr>
          <w:rFonts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3  </w:t>
      </w:r>
      <w:r>
        <w:rPr>
          <w:rFonts w:hint="eastAsia" w:ascii="宋体" w:hAnsi="宋体" w:cs="宋体"/>
          <w:color w:val="auto"/>
          <w:szCs w:val="21"/>
        </w:rPr>
        <w:t>种方式：</w:t>
      </w:r>
    </w:p>
    <w:p w14:paraId="0A93555A">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（1）质量保证金保函，保证金额为1.5 %的工程结算价款； </w:t>
      </w:r>
    </w:p>
    <w:p w14:paraId="3F2C96E3">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color w:val="auto"/>
          <w:szCs w:val="21"/>
          <w:u w:val="single"/>
        </w:rPr>
        <w:t>1.5 %</w:t>
      </w:r>
      <w:r>
        <w:rPr>
          <w:rFonts w:hint="eastAsia" w:ascii="宋体" w:hAnsi="宋体" w:cs="宋体"/>
          <w:color w:val="auto"/>
          <w:szCs w:val="21"/>
        </w:rPr>
        <w:t>的工程结算价款；</w:t>
      </w:r>
    </w:p>
    <w:p w14:paraId="11C329EC">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（3）其他方式:</w:t>
      </w:r>
      <w:r>
        <w:rPr>
          <w:rFonts w:hint="eastAsia" w:ascii="宋体" w:hAnsi="宋体" w:cs="宋体"/>
          <w:color w:val="auto"/>
          <w:szCs w:val="21"/>
          <w:u w:val="single"/>
        </w:rPr>
        <w:t xml:space="preserve"> 承包人提交工程质量保证金（保证金额为1.5%的工程结算审定价） </w:t>
      </w:r>
      <w:r>
        <w:rPr>
          <w:rFonts w:hint="eastAsia" w:ascii="宋体" w:hAnsi="宋体" w:cs="宋体"/>
          <w:color w:val="auto"/>
          <w:szCs w:val="21"/>
        </w:rPr>
        <w:t>。</w:t>
      </w:r>
    </w:p>
    <w:p w14:paraId="7BD4730C">
      <w:pPr>
        <w:spacing w:line="360" w:lineRule="exact"/>
        <w:ind w:firstLine="420" w:firstLineChars="200"/>
        <w:rPr>
          <w:rFonts w:ascii="宋体" w:hAnsi="宋体" w:cs="宋体"/>
          <w:color w:val="auto"/>
          <w:szCs w:val="21"/>
        </w:rPr>
      </w:pPr>
      <w:r>
        <w:rPr>
          <w:rFonts w:hint="eastAsia" w:ascii="宋体" w:hAnsi="宋体" w:cs="宋体"/>
          <w:color w:val="auto"/>
          <w:szCs w:val="21"/>
        </w:rPr>
        <w:t xml:space="preserve">15.3.2 质量保证金的扣留 </w:t>
      </w:r>
    </w:p>
    <w:p w14:paraId="6EF2635C">
      <w:pPr>
        <w:spacing w:line="360" w:lineRule="exact"/>
        <w:ind w:firstLine="420" w:firstLineChars="200"/>
        <w:rPr>
          <w:rFonts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 xml:space="preserve">  3   </w:t>
      </w:r>
      <w:r>
        <w:rPr>
          <w:rFonts w:hint="eastAsia" w:ascii="宋体" w:hAnsi="宋体" w:cs="宋体"/>
          <w:color w:val="auto"/>
          <w:szCs w:val="21"/>
        </w:rPr>
        <w:t>种方式：</w:t>
      </w:r>
    </w:p>
    <w:p w14:paraId="6105DBA7">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（1）在支付工程进度款时逐次扣留，在此情形下，质量保证金的计算基数不包括预付款的支付、扣回以及价格调整的金额；</w:t>
      </w:r>
    </w:p>
    <w:p w14:paraId="20C18D0C">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（2）工程竣工结算时一次性扣留质量保证金；</w:t>
      </w:r>
    </w:p>
    <w:p w14:paraId="078EB3F1">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（3）其他扣留方式:</w:t>
      </w:r>
      <w:r>
        <w:rPr>
          <w:rFonts w:hint="eastAsia" w:ascii="宋体" w:hAnsi="宋体" w:cs="宋体"/>
          <w:color w:val="auto"/>
          <w:szCs w:val="21"/>
          <w:u w:val="single"/>
        </w:rPr>
        <w:t xml:space="preserve">  发包人支付完成最后工程结算付款前，承包人提交工程质量保证金       </w:t>
      </w:r>
      <w:r>
        <w:rPr>
          <w:rFonts w:hint="eastAsia" w:ascii="宋体" w:hAnsi="宋体" w:cs="宋体"/>
          <w:color w:val="auto"/>
          <w:szCs w:val="21"/>
        </w:rPr>
        <w:t>。</w:t>
      </w:r>
    </w:p>
    <w:p w14:paraId="68A899D9">
      <w:pPr>
        <w:spacing w:line="360" w:lineRule="exact"/>
        <w:ind w:firstLine="420" w:firstLineChars="200"/>
        <w:rPr>
          <w:rFonts w:ascii="宋体" w:hAnsi="宋体" w:cs="宋体"/>
          <w:color w:val="auto"/>
          <w:szCs w:val="21"/>
        </w:rPr>
      </w:pPr>
      <w:r>
        <w:rPr>
          <w:rFonts w:hint="eastAsia" w:ascii="宋体" w:hAnsi="宋体" w:cs="宋体"/>
          <w:color w:val="auto"/>
          <w:szCs w:val="21"/>
        </w:rPr>
        <w:t>关于质量保证金的补充约定：</w:t>
      </w:r>
      <w:r>
        <w:rPr>
          <w:rFonts w:hint="eastAsia" w:ascii="宋体" w:hAnsi="宋体" w:cs="宋体"/>
          <w:color w:val="auto"/>
          <w:szCs w:val="21"/>
          <w:u w:val="single"/>
        </w:rPr>
        <w:t xml:space="preserve">             /                。</w:t>
      </w:r>
    </w:p>
    <w:p w14:paraId="34613503">
      <w:pPr>
        <w:spacing w:line="360" w:lineRule="exact"/>
        <w:ind w:firstLine="420" w:firstLineChars="200"/>
        <w:rPr>
          <w:rFonts w:ascii="宋体" w:hAnsi="宋体" w:cs="宋体"/>
          <w:color w:val="auto"/>
          <w:szCs w:val="21"/>
        </w:rPr>
      </w:pPr>
      <w:r>
        <w:rPr>
          <w:rFonts w:hint="eastAsia" w:ascii="宋体" w:hAnsi="宋体" w:cs="宋体"/>
          <w:color w:val="auto"/>
          <w:szCs w:val="21"/>
        </w:rPr>
        <w:t>15.3.3 质量保证金的退还</w:t>
      </w:r>
    </w:p>
    <w:p w14:paraId="0A40548C">
      <w:pPr>
        <w:spacing w:line="360" w:lineRule="exact"/>
        <w:ind w:firstLine="420" w:firstLineChars="200"/>
        <w:rPr>
          <w:rFonts w:ascii="宋体" w:hAnsi="宋体" w:cs="宋体"/>
          <w:color w:val="auto"/>
          <w:szCs w:val="21"/>
        </w:rPr>
      </w:pPr>
      <w:r>
        <w:rPr>
          <w:rFonts w:hint="eastAsia" w:ascii="宋体" w:hAnsi="宋体" w:cs="宋体"/>
          <w:color w:val="auto"/>
          <w:szCs w:val="21"/>
        </w:rPr>
        <w:t>质量保证金按以下第</w:t>
      </w:r>
      <w:r>
        <w:rPr>
          <w:rFonts w:hint="eastAsia" w:ascii="宋体" w:hAnsi="宋体" w:cs="宋体"/>
          <w:color w:val="auto"/>
          <w:szCs w:val="21"/>
          <w:u w:val="single"/>
        </w:rPr>
        <w:t xml:space="preserve"> 4  </w:t>
      </w:r>
      <w:r>
        <w:rPr>
          <w:rFonts w:hint="eastAsia" w:ascii="宋体" w:hAnsi="宋体" w:cs="宋体"/>
          <w:color w:val="auto"/>
          <w:szCs w:val="21"/>
        </w:rPr>
        <w:t>方式退回：</w:t>
      </w:r>
    </w:p>
    <w:p w14:paraId="5BD9961B">
      <w:pPr>
        <w:spacing w:line="360" w:lineRule="exact"/>
        <w:ind w:firstLine="420" w:firstLineChars="200"/>
        <w:rPr>
          <w:rFonts w:ascii="宋体" w:hAnsi="宋体" w:cs="宋体"/>
          <w:color w:val="auto"/>
          <w:szCs w:val="21"/>
        </w:rPr>
      </w:pPr>
      <w:r>
        <w:rPr>
          <w:rFonts w:hint="eastAsia" w:ascii="宋体" w:hAnsi="宋体" w:cs="宋体"/>
          <w:color w:val="auto"/>
          <w:szCs w:val="21"/>
        </w:rPr>
        <w:t>（1）缺陷责任期终止后，发包人退还剩余的质量保证金（不计息）。</w:t>
      </w:r>
    </w:p>
    <w:p w14:paraId="5CF34F55">
      <w:pPr>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（2）建筑工程：工程实际竣工验收合格后满一年返还质量保证金的30%，质量缺陷保修期后返还全部预留的质量保证金。</w:t>
      </w:r>
    </w:p>
    <w:p w14:paraId="302F895F">
      <w:pPr>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（3）市政工程：工程实际竣工验收合格后满一年可返还全部质量保证金。</w:t>
      </w:r>
    </w:p>
    <w:p w14:paraId="117FFDDD">
      <w:pPr>
        <w:spacing w:line="360" w:lineRule="exact"/>
        <w:ind w:firstLine="420" w:firstLineChars="200"/>
        <w:rPr>
          <w:rFonts w:ascii="宋体" w:hAnsi="宋体" w:cs="宋体"/>
          <w:color w:val="auto"/>
          <w:szCs w:val="21"/>
        </w:rPr>
      </w:pPr>
      <w:r>
        <w:rPr>
          <w:rFonts w:hint="eastAsia" w:ascii="宋体" w:hAnsi="宋体" w:cs="宋体"/>
          <w:color w:val="auto"/>
          <w:szCs w:val="21"/>
        </w:rPr>
        <w:t>（4）其它：</w:t>
      </w:r>
      <w:r>
        <w:rPr>
          <w:rFonts w:hint="eastAsia" w:ascii="宋体" w:hAnsi="宋体" w:cs="宋体"/>
          <w:bCs/>
          <w:color w:val="auto"/>
          <w:szCs w:val="21"/>
          <w:u w:val="single"/>
        </w:rPr>
        <w:t xml:space="preserve"> 工程实际竣工验收合格后满二年可返还全部质量保证金。    </w:t>
      </w:r>
    </w:p>
    <w:p w14:paraId="4292F61C">
      <w:pPr>
        <w:spacing w:line="360" w:lineRule="exact"/>
        <w:ind w:firstLine="420" w:firstLineChars="200"/>
        <w:rPr>
          <w:rFonts w:ascii="宋体" w:hAnsi="宋体" w:cs="宋体"/>
          <w:color w:val="auto"/>
          <w:szCs w:val="21"/>
        </w:rPr>
      </w:pPr>
      <w:r>
        <w:rPr>
          <w:rFonts w:hint="eastAsia" w:ascii="宋体" w:hAnsi="宋体" w:cs="宋体"/>
          <w:color w:val="auto"/>
          <w:szCs w:val="21"/>
        </w:rPr>
        <w:t>15.4保修</w:t>
      </w:r>
    </w:p>
    <w:p w14:paraId="6A3B9040">
      <w:pPr>
        <w:spacing w:line="360" w:lineRule="exact"/>
        <w:ind w:firstLine="420" w:firstLineChars="200"/>
        <w:rPr>
          <w:rFonts w:ascii="宋体" w:hAnsi="宋体" w:cs="宋体"/>
          <w:color w:val="auto"/>
          <w:szCs w:val="21"/>
        </w:rPr>
      </w:pPr>
      <w:r>
        <w:rPr>
          <w:rFonts w:hint="eastAsia" w:ascii="宋体" w:hAnsi="宋体" w:cs="宋体"/>
          <w:color w:val="auto"/>
          <w:szCs w:val="21"/>
        </w:rPr>
        <w:t>15.4.1 保修责任</w:t>
      </w:r>
    </w:p>
    <w:p w14:paraId="700E4DB3">
      <w:pPr>
        <w:spacing w:line="360" w:lineRule="exact"/>
        <w:ind w:firstLine="420" w:firstLineChars="200"/>
        <w:rPr>
          <w:rFonts w:ascii="宋体" w:hAnsi="宋体" w:cs="宋体"/>
          <w:color w:val="auto"/>
          <w:szCs w:val="21"/>
        </w:rPr>
      </w:pPr>
      <w:r>
        <w:rPr>
          <w:rFonts w:hint="eastAsia" w:ascii="宋体" w:hAnsi="宋体" w:cs="宋体"/>
          <w:color w:val="auto"/>
          <w:szCs w:val="21"/>
        </w:rPr>
        <w:t>工程保修期为：</w:t>
      </w:r>
      <w:r>
        <w:rPr>
          <w:rFonts w:hint="eastAsia" w:ascii="宋体" w:hAnsi="宋体" w:cs="宋体"/>
          <w:color w:val="auto"/>
          <w:szCs w:val="21"/>
          <w:u w:val="single"/>
        </w:rPr>
        <w:t xml:space="preserve"> 按本合同附件3《工程质量保修书》 </w:t>
      </w:r>
      <w:r>
        <w:rPr>
          <w:rFonts w:hint="eastAsia" w:ascii="宋体" w:hAnsi="宋体" w:cs="宋体"/>
          <w:color w:val="auto"/>
          <w:szCs w:val="21"/>
        </w:rPr>
        <w:t>。</w:t>
      </w:r>
    </w:p>
    <w:p w14:paraId="41E529C2">
      <w:pPr>
        <w:spacing w:line="360" w:lineRule="exact"/>
        <w:ind w:firstLine="420" w:firstLineChars="200"/>
        <w:rPr>
          <w:rFonts w:ascii="宋体" w:hAnsi="宋体" w:cs="宋体"/>
          <w:color w:val="auto"/>
          <w:szCs w:val="21"/>
        </w:rPr>
      </w:pPr>
      <w:r>
        <w:rPr>
          <w:rFonts w:hint="eastAsia" w:ascii="宋体" w:hAnsi="宋体" w:cs="宋体"/>
          <w:color w:val="auto"/>
          <w:szCs w:val="21"/>
        </w:rPr>
        <w:t>15.4.3 修复通知</w:t>
      </w:r>
    </w:p>
    <w:p w14:paraId="35B22C2E">
      <w:pPr>
        <w:spacing w:line="360" w:lineRule="exact"/>
        <w:ind w:firstLine="420" w:firstLineChars="200"/>
        <w:rPr>
          <w:rFonts w:ascii="宋体" w:hAnsi="宋体" w:cs="宋体"/>
          <w:color w:val="auto"/>
          <w:szCs w:val="21"/>
        </w:rPr>
      </w:pPr>
      <w:r>
        <w:rPr>
          <w:rFonts w:hint="eastAsia" w:ascii="宋体" w:hAnsi="宋体" w:cs="宋体"/>
          <w:color w:val="auto"/>
          <w:szCs w:val="21"/>
        </w:rPr>
        <w:t>承包人收到保修通知并到达工程现场的合理时间：</w:t>
      </w:r>
      <w:r>
        <w:rPr>
          <w:rFonts w:hint="eastAsia" w:ascii="宋体" w:hAnsi="宋体" w:cs="宋体"/>
          <w:color w:val="auto"/>
          <w:szCs w:val="21"/>
          <w:u w:val="single"/>
        </w:rPr>
        <w:t xml:space="preserve"> 按通用条款     </w:t>
      </w:r>
      <w:r>
        <w:rPr>
          <w:rFonts w:hint="eastAsia" w:ascii="宋体" w:hAnsi="宋体" w:cs="宋体"/>
          <w:color w:val="auto"/>
          <w:szCs w:val="21"/>
        </w:rPr>
        <w:t>。</w:t>
      </w:r>
    </w:p>
    <w:p w14:paraId="4F556A25">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16. 违约</w:t>
      </w:r>
    </w:p>
    <w:p w14:paraId="34C52816">
      <w:pPr>
        <w:spacing w:line="360" w:lineRule="exact"/>
        <w:ind w:firstLine="420" w:firstLineChars="200"/>
        <w:rPr>
          <w:rFonts w:ascii="宋体" w:hAnsi="宋体" w:cs="宋体"/>
          <w:color w:val="auto"/>
          <w:szCs w:val="21"/>
        </w:rPr>
      </w:pPr>
      <w:r>
        <w:rPr>
          <w:rFonts w:hint="eastAsia" w:ascii="宋体" w:hAnsi="宋体" w:cs="宋体"/>
          <w:color w:val="auto"/>
          <w:szCs w:val="21"/>
        </w:rPr>
        <w:t>16.1 发包人违约</w:t>
      </w:r>
    </w:p>
    <w:p w14:paraId="4DEB9D5B">
      <w:pPr>
        <w:spacing w:line="360" w:lineRule="exact"/>
        <w:ind w:firstLine="420" w:firstLineChars="200"/>
        <w:rPr>
          <w:rFonts w:ascii="宋体" w:hAnsi="宋体" w:cs="宋体"/>
          <w:color w:val="auto"/>
          <w:szCs w:val="21"/>
        </w:rPr>
      </w:pPr>
      <w:r>
        <w:rPr>
          <w:rFonts w:hint="eastAsia" w:ascii="宋体" w:hAnsi="宋体" w:cs="宋体"/>
          <w:color w:val="auto"/>
          <w:szCs w:val="21"/>
        </w:rPr>
        <w:t>16.1.1发包人违约的情形</w:t>
      </w:r>
    </w:p>
    <w:p w14:paraId="68A45DDC">
      <w:pPr>
        <w:spacing w:line="360" w:lineRule="exact"/>
        <w:ind w:left="815" w:leftChars="188" w:hanging="420" w:hangingChars="200"/>
        <w:rPr>
          <w:rFonts w:ascii="宋体" w:hAnsi="宋体" w:cs="宋体"/>
          <w:color w:val="auto"/>
          <w:szCs w:val="21"/>
        </w:rPr>
      </w:pPr>
      <w:r>
        <w:rPr>
          <w:rFonts w:hint="eastAsia" w:ascii="宋体" w:hAnsi="宋体" w:cs="宋体"/>
          <w:color w:val="auto"/>
          <w:szCs w:val="21"/>
        </w:rPr>
        <w:t>发包人违约的其他情形：</w:t>
      </w:r>
      <w:r>
        <w:rPr>
          <w:rFonts w:hint="eastAsia" w:ascii="宋体" w:hAnsi="宋体" w:cs="宋体"/>
          <w:color w:val="auto"/>
          <w:szCs w:val="21"/>
          <w:u w:val="single"/>
        </w:rPr>
        <w:t xml:space="preserve">       /           </w:t>
      </w:r>
      <w:r>
        <w:rPr>
          <w:rFonts w:hint="eastAsia" w:ascii="宋体" w:hAnsi="宋体" w:cs="宋体"/>
          <w:color w:val="auto"/>
          <w:szCs w:val="21"/>
        </w:rPr>
        <w:t>。</w:t>
      </w:r>
    </w:p>
    <w:p w14:paraId="28F54B2D">
      <w:pPr>
        <w:spacing w:line="360" w:lineRule="exact"/>
        <w:ind w:left="1016" w:leftChars="188" w:hanging="621" w:hangingChars="296"/>
        <w:rPr>
          <w:rFonts w:ascii="宋体" w:hAnsi="宋体" w:cs="宋体"/>
          <w:color w:val="auto"/>
          <w:szCs w:val="21"/>
        </w:rPr>
      </w:pPr>
      <w:r>
        <w:rPr>
          <w:rFonts w:hint="eastAsia" w:ascii="宋体" w:hAnsi="宋体" w:cs="宋体"/>
          <w:color w:val="auto"/>
          <w:szCs w:val="21"/>
        </w:rPr>
        <w:t>16.1.2 发包人违约的责任</w:t>
      </w:r>
    </w:p>
    <w:p w14:paraId="7E936ED6">
      <w:pPr>
        <w:spacing w:line="360" w:lineRule="exact"/>
        <w:ind w:firstLine="420" w:firstLineChars="200"/>
        <w:rPr>
          <w:rFonts w:ascii="宋体" w:hAnsi="宋体" w:cs="宋体"/>
          <w:color w:val="auto"/>
          <w:szCs w:val="21"/>
        </w:rPr>
      </w:pPr>
      <w:r>
        <w:rPr>
          <w:rFonts w:hint="eastAsia" w:ascii="宋体" w:hAnsi="宋体" w:cs="宋体"/>
          <w:color w:val="auto"/>
          <w:szCs w:val="21"/>
        </w:rPr>
        <w:t>发包人违约责任的承担方式和计算方法：</w:t>
      </w:r>
    </w:p>
    <w:p w14:paraId="60799E6A">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（1）因发包人原因未能在计划开工日期前7天内下达开工通知的违约责任：</w:t>
      </w:r>
      <w:r>
        <w:rPr>
          <w:rFonts w:hint="eastAsia" w:ascii="宋体" w:hAnsi="宋体" w:cs="宋体"/>
          <w:color w:val="auto"/>
          <w:szCs w:val="21"/>
          <w:u w:val="single"/>
        </w:rPr>
        <w:t xml:space="preserve"> 开始计算第7天后承包人已进场施工设备租赁费及施工人员窝工费。</w:t>
      </w:r>
    </w:p>
    <w:p w14:paraId="3DD28599">
      <w:pPr>
        <w:spacing w:line="360" w:lineRule="exact"/>
        <w:ind w:firstLine="420" w:firstLineChars="200"/>
        <w:rPr>
          <w:rFonts w:ascii="宋体" w:hAnsi="宋体" w:cs="宋体"/>
          <w:color w:val="auto"/>
          <w:szCs w:val="21"/>
        </w:rPr>
      </w:pPr>
      <w:r>
        <w:rPr>
          <w:rFonts w:hint="eastAsia" w:ascii="宋体" w:hAnsi="宋体" w:cs="宋体"/>
          <w:color w:val="auto"/>
          <w:szCs w:val="21"/>
        </w:rPr>
        <w:t>（2）因发包人原因未能按合同约定支付合同价款的违约责任：</w:t>
      </w:r>
      <w:r>
        <w:rPr>
          <w:rFonts w:hint="eastAsia" w:ascii="宋体" w:hAnsi="宋体" w:cs="宋体"/>
          <w:color w:val="auto"/>
          <w:szCs w:val="21"/>
          <w:u w:val="single"/>
        </w:rPr>
        <w:t xml:space="preserve">  支付违约金，违约金为应付工程款的利息，利率按中国人民银行发布的同期同类贷款基准利率，利息计算时间为应付工程款日至支付工程款日止。</w:t>
      </w:r>
    </w:p>
    <w:p w14:paraId="5B5DB61A">
      <w:pPr>
        <w:spacing w:line="360" w:lineRule="exact"/>
        <w:ind w:firstLine="420" w:firstLineChars="200"/>
        <w:rPr>
          <w:rFonts w:ascii="宋体" w:hAnsi="宋体" w:cs="宋体"/>
          <w:color w:val="auto"/>
          <w:szCs w:val="21"/>
        </w:rPr>
      </w:pPr>
      <w:r>
        <w:rPr>
          <w:rFonts w:hint="eastAsia" w:ascii="宋体" w:hAnsi="宋体" w:cs="宋体"/>
          <w:color w:val="auto"/>
          <w:szCs w:val="21"/>
        </w:rPr>
        <w:t>（3）发包人违反第10.1款〔变更的范围〕第（2）项约定，自行实施被取消的工作或转由他人实施的违约责任：</w:t>
      </w:r>
      <w:r>
        <w:rPr>
          <w:rFonts w:hint="eastAsia" w:ascii="宋体" w:hAnsi="宋体" w:cs="宋体"/>
          <w:color w:val="auto"/>
          <w:szCs w:val="21"/>
          <w:u w:val="single"/>
        </w:rPr>
        <w:t xml:space="preserve">    /      </w:t>
      </w:r>
      <w:r>
        <w:rPr>
          <w:rFonts w:hint="eastAsia" w:ascii="宋体" w:hAnsi="宋体" w:cs="宋体"/>
          <w:color w:val="auto"/>
          <w:szCs w:val="21"/>
        </w:rPr>
        <w:t>。</w:t>
      </w:r>
    </w:p>
    <w:p w14:paraId="7B771E0D">
      <w:pPr>
        <w:spacing w:line="360" w:lineRule="exact"/>
        <w:ind w:firstLine="420" w:firstLineChars="200"/>
        <w:rPr>
          <w:rFonts w:ascii="宋体" w:hAnsi="宋体" w:cs="宋体"/>
          <w:color w:val="auto"/>
          <w:szCs w:val="21"/>
        </w:rPr>
      </w:pPr>
      <w:r>
        <w:rPr>
          <w:rFonts w:hint="eastAsia" w:ascii="宋体" w:hAnsi="宋体" w:cs="宋体"/>
          <w:color w:val="auto"/>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u w:val="single"/>
        </w:rPr>
        <w:t xml:space="preserve">      造成工期延误的顺延工期，并承担增加的造价及承包人的相应损失费用等        </w:t>
      </w:r>
      <w:r>
        <w:rPr>
          <w:rFonts w:hint="eastAsia" w:ascii="宋体" w:hAnsi="宋体" w:cs="宋体"/>
          <w:color w:val="auto"/>
          <w:szCs w:val="21"/>
        </w:rPr>
        <w:t>。</w:t>
      </w:r>
    </w:p>
    <w:p w14:paraId="7E8A36EE">
      <w:pPr>
        <w:spacing w:line="360" w:lineRule="exact"/>
        <w:ind w:firstLine="420" w:firstLineChars="200"/>
        <w:rPr>
          <w:rFonts w:ascii="宋体" w:hAnsi="宋体" w:cs="宋体"/>
          <w:color w:val="auto"/>
          <w:szCs w:val="21"/>
        </w:rPr>
      </w:pPr>
      <w:r>
        <w:rPr>
          <w:rFonts w:hint="eastAsia" w:ascii="宋体" w:hAnsi="宋体" w:cs="宋体"/>
          <w:color w:val="auto"/>
          <w:szCs w:val="21"/>
        </w:rPr>
        <w:t>（5）因发包人违反合同约定造成暂停施工的违约责任：</w:t>
      </w:r>
      <w:r>
        <w:rPr>
          <w:rFonts w:hint="eastAsia" w:ascii="宋体" w:hAnsi="宋体" w:cs="宋体"/>
          <w:color w:val="auto"/>
          <w:szCs w:val="21"/>
          <w:u w:val="single"/>
        </w:rPr>
        <w:t xml:space="preserve"> 造成工期延误的顺延工期，并承担增加的造价及承包人的相应损失费用等  </w:t>
      </w:r>
      <w:r>
        <w:rPr>
          <w:rFonts w:hint="eastAsia" w:ascii="宋体" w:hAnsi="宋体" w:cs="宋体"/>
          <w:color w:val="auto"/>
          <w:szCs w:val="21"/>
        </w:rPr>
        <w:t>。</w:t>
      </w:r>
    </w:p>
    <w:p w14:paraId="12C7504B">
      <w:pPr>
        <w:spacing w:line="360" w:lineRule="exact"/>
        <w:ind w:firstLine="420" w:firstLineChars="200"/>
        <w:rPr>
          <w:rFonts w:ascii="宋体" w:hAnsi="宋体" w:cs="宋体"/>
          <w:color w:val="auto"/>
          <w:szCs w:val="21"/>
        </w:rPr>
      </w:pPr>
      <w:r>
        <w:rPr>
          <w:rFonts w:hint="eastAsia" w:ascii="宋体" w:hAnsi="宋体" w:cs="宋体"/>
          <w:color w:val="auto"/>
          <w:szCs w:val="21"/>
        </w:rPr>
        <w:t>（6）发包人无正当理由没有在约定期限内发出复工指示，导致承包人无法复工的违约责任：</w:t>
      </w:r>
      <w:r>
        <w:rPr>
          <w:rFonts w:hint="eastAsia" w:ascii="宋体" w:hAnsi="宋体" w:cs="宋体"/>
          <w:color w:val="auto"/>
          <w:szCs w:val="21"/>
          <w:u w:val="single"/>
        </w:rPr>
        <w:t xml:space="preserve">     造成工期延误的顺延工期，并承担增加的造价及承包人的相应损失费用等       </w:t>
      </w:r>
      <w:r>
        <w:rPr>
          <w:rFonts w:hint="eastAsia" w:ascii="宋体" w:hAnsi="宋体" w:cs="宋体"/>
          <w:color w:val="auto"/>
          <w:szCs w:val="21"/>
        </w:rPr>
        <w:t>。</w:t>
      </w:r>
    </w:p>
    <w:p w14:paraId="71AF82DE">
      <w:pPr>
        <w:spacing w:line="360" w:lineRule="exact"/>
        <w:ind w:firstLine="420" w:firstLineChars="200"/>
        <w:rPr>
          <w:rFonts w:ascii="宋体" w:hAnsi="宋体" w:cs="宋体"/>
          <w:color w:val="auto"/>
          <w:szCs w:val="21"/>
        </w:rPr>
      </w:pPr>
      <w:r>
        <w:rPr>
          <w:rFonts w:hint="eastAsia" w:ascii="宋体" w:hAnsi="宋体" w:cs="宋体"/>
          <w:color w:val="auto"/>
          <w:szCs w:val="21"/>
        </w:rPr>
        <w:t>（7）其他：</w:t>
      </w:r>
      <w:r>
        <w:rPr>
          <w:rFonts w:hint="eastAsia" w:ascii="宋体" w:hAnsi="宋体" w:cs="宋体"/>
          <w:color w:val="auto"/>
          <w:szCs w:val="21"/>
          <w:u w:val="single"/>
        </w:rPr>
        <w:t xml:space="preserve">                    /                      </w:t>
      </w:r>
      <w:r>
        <w:rPr>
          <w:rFonts w:hint="eastAsia" w:ascii="宋体" w:hAnsi="宋体" w:cs="宋体"/>
          <w:color w:val="auto"/>
          <w:szCs w:val="21"/>
        </w:rPr>
        <w:t>。</w:t>
      </w:r>
    </w:p>
    <w:p w14:paraId="6F280077">
      <w:pPr>
        <w:spacing w:line="360" w:lineRule="exact"/>
        <w:ind w:firstLine="420" w:firstLineChars="200"/>
        <w:rPr>
          <w:rFonts w:ascii="宋体" w:hAnsi="宋体" w:cs="宋体"/>
          <w:color w:val="auto"/>
          <w:szCs w:val="21"/>
        </w:rPr>
      </w:pPr>
      <w:r>
        <w:rPr>
          <w:rFonts w:hint="eastAsia" w:ascii="宋体" w:hAnsi="宋体" w:cs="宋体"/>
          <w:color w:val="auto"/>
          <w:szCs w:val="21"/>
        </w:rPr>
        <w:t>16.1.3 因发包人违约解除合同</w:t>
      </w:r>
    </w:p>
    <w:p w14:paraId="0E9FA08D">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承包人按16.1.1项〔发包人违约的情形〕约定暂停施工满</w:t>
      </w:r>
      <w:r>
        <w:rPr>
          <w:rFonts w:hint="eastAsia" w:ascii="宋体" w:hAnsi="宋体" w:cs="宋体"/>
          <w:color w:val="auto"/>
          <w:szCs w:val="21"/>
          <w:u w:val="single"/>
        </w:rPr>
        <w:t xml:space="preserve"> 90   </w:t>
      </w:r>
      <w:r>
        <w:rPr>
          <w:rFonts w:hint="eastAsia" w:ascii="宋体" w:hAnsi="宋体" w:cs="宋体"/>
          <w:color w:val="auto"/>
          <w:szCs w:val="21"/>
        </w:rPr>
        <w:t>天后发包人仍不纠正其违约行为并致使合同目的不能实现的，承包人有权解除合同。</w:t>
      </w:r>
    </w:p>
    <w:p w14:paraId="7DA00F64">
      <w:pPr>
        <w:spacing w:line="360" w:lineRule="exact"/>
        <w:ind w:firstLine="420" w:firstLineChars="200"/>
        <w:rPr>
          <w:rFonts w:ascii="宋体" w:hAnsi="宋体" w:cs="宋体"/>
          <w:color w:val="auto"/>
          <w:szCs w:val="21"/>
        </w:rPr>
      </w:pPr>
      <w:r>
        <w:rPr>
          <w:rFonts w:hint="eastAsia" w:ascii="宋体" w:hAnsi="宋体" w:cs="宋体"/>
          <w:color w:val="auto"/>
          <w:szCs w:val="21"/>
        </w:rPr>
        <w:t>16.2 承包人违约</w:t>
      </w:r>
    </w:p>
    <w:p w14:paraId="3864BD14">
      <w:pPr>
        <w:spacing w:line="360" w:lineRule="exact"/>
        <w:ind w:firstLine="420" w:firstLineChars="200"/>
        <w:rPr>
          <w:rFonts w:ascii="宋体" w:hAnsi="宋体" w:cs="宋体"/>
          <w:color w:val="auto"/>
          <w:szCs w:val="21"/>
        </w:rPr>
      </w:pPr>
      <w:r>
        <w:rPr>
          <w:rFonts w:hint="eastAsia" w:ascii="宋体" w:hAnsi="宋体" w:cs="宋体"/>
          <w:color w:val="auto"/>
          <w:szCs w:val="21"/>
        </w:rPr>
        <w:t>16.2.1 承包人违约的情形</w:t>
      </w:r>
    </w:p>
    <w:p w14:paraId="29628F85">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承包人违约的其他情形：</w:t>
      </w:r>
    </w:p>
    <w:p w14:paraId="0D430A8C">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w:t>
      </w:r>
      <w:r>
        <w:rPr>
          <w:rFonts w:hint="eastAsia" w:ascii="宋体" w:hAnsi="宋体" w:cs="宋体"/>
          <w:color w:val="auto"/>
          <w:szCs w:val="21"/>
          <w:u w:val="single"/>
        </w:rPr>
        <w:t>）机械设备、施工项目班子未按投标承诺及时到位；</w:t>
      </w:r>
    </w:p>
    <w:p w14:paraId="4E533B93">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）本工程在实施过程中，如承包人的施工队伍素质、力量、现场管理班子、现场安全文明施工不符合投标书的承诺，造成现场管理混乱、工程质量和进度达不到投标所承诺的要求；</w:t>
      </w:r>
    </w:p>
    <w:p w14:paraId="0E727675">
      <w:pPr>
        <w:spacing w:line="36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）承包人允许其他人挂靠经营、私自转包</w:t>
      </w:r>
      <w:r>
        <w:rPr>
          <w:rFonts w:hint="eastAsia" w:ascii="宋体" w:hAnsi="宋体" w:cs="宋体"/>
          <w:color w:val="auto"/>
          <w:szCs w:val="21"/>
        </w:rPr>
        <w:t>；</w:t>
      </w:r>
    </w:p>
    <w:p w14:paraId="5A24F67F">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（4</w:t>
      </w:r>
      <w:r>
        <w:rPr>
          <w:rFonts w:hint="eastAsia" w:ascii="宋体" w:hAnsi="宋体" w:cs="宋体"/>
          <w:color w:val="auto"/>
          <w:szCs w:val="21"/>
          <w:u w:val="single"/>
        </w:rPr>
        <w:t>）承包人未达到投标时所承诺的诚信与技术标准。</w:t>
      </w:r>
    </w:p>
    <w:p w14:paraId="49809368">
      <w:pPr>
        <w:spacing w:line="360" w:lineRule="exact"/>
        <w:ind w:firstLine="420" w:firstLineChars="200"/>
        <w:rPr>
          <w:rFonts w:ascii="宋体" w:hAnsi="宋体" w:cs="宋体"/>
          <w:color w:val="auto"/>
          <w:szCs w:val="21"/>
        </w:rPr>
      </w:pPr>
      <w:r>
        <w:rPr>
          <w:rFonts w:hint="eastAsia" w:ascii="宋体" w:hAnsi="宋体" w:cs="宋体"/>
          <w:color w:val="auto"/>
          <w:szCs w:val="21"/>
        </w:rPr>
        <w:t>16.2.2承包人违约的责任</w:t>
      </w:r>
    </w:p>
    <w:p w14:paraId="65C479C5">
      <w:pPr>
        <w:spacing w:line="360" w:lineRule="exact"/>
        <w:ind w:firstLine="420" w:firstLineChars="200"/>
        <w:rPr>
          <w:rFonts w:ascii="宋体" w:hAnsi="宋体" w:cs="宋体"/>
          <w:color w:val="auto"/>
          <w:szCs w:val="21"/>
        </w:rPr>
      </w:pPr>
      <w:r>
        <w:rPr>
          <w:rFonts w:hint="eastAsia" w:ascii="宋体" w:hAnsi="宋体" w:cs="宋体"/>
          <w:color w:val="auto"/>
          <w:szCs w:val="21"/>
        </w:rPr>
        <w:t>承包人违约责任的承担方式和计算方法：</w:t>
      </w:r>
    </w:p>
    <w:p w14:paraId="666D2A7A">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（1）</w:t>
      </w:r>
      <w:r>
        <w:rPr>
          <w:rFonts w:hint="eastAsia" w:ascii="宋体" w:hAnsi="宋体" w:cs="宋体"/>
          <w:color w:val="auto"/>
          <w:szCs w:val="21"/>
          <w:u w:val="single"/>
        </w:rPr>
        <w:t>机械设备未按投标承诺到位，每项扣除5000元；</w:t>
      </w:r>
    </w:p>
    <w:p w14:paraId="745924C3">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并赔偿发包人损失。</w:t>
      </w:r>
    </w:p>
    <w:p w14:paraId="4BDD5C4B">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（3）</w:t>
      </w:r>
      <w:r>
        <w:rPr>
          <w:rFonts w:hint="eastAsia" w:ascii="宋体" w:hAnsi="宋体" w:cs="宋体"/>
          <w:color w:val="auto"/>
          <w:szCs w:val="21"/>
          <w:u w:val="single"/>
        </w:rPr>
        <w:t>发现承包人允许其他人挂靠经营、私自转包，同时赔偿发包人损失，并责令退出工地。</w:t>
      </w:r>
    </w:p>
    <w:p w14:paraId="40DD5AD7">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（4）</w:t>
      </w:r>
      <w:r>
        <w:rPr>
          <w:rFonts w:hint="eastAsia" w:ascii="宋体" w:hAnsi="宋体" w:cs="宋体"/>
          <w:color w:val="auto"/>
          <w:szCs w:val="21"/>
          <w:u w:val="single"/>
        </w:rPr>
        <w:t>未达到投标所承诺的诚信与技术标准，按每一项扣减3000元。</w:t>
      </w:r>
    </w:p>
    <w:p w14:paraId="61EB4E47">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（5）</w:t>
      </w:r>
      <w:r>
        <w:rPr>
          <w:rFonts w:hint="eastAsia" w:ascii="宋体" w:hAnsi="宋体" w:cs="宋体"/>
          <w:color w:val="auto"/>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  50%  〕以上时，可解除施工合同。</w:t>
      </w:r>
    </w:p>
    <w:p w14:paraId="15C65171">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（6）</w:t>
      </w:r>
      <w:r>
        <w:rPr>
          <w:rFonts w:hint="eastAsia" w:ascii="宋体" w:hAnsi="宋体" w:cs="宋体"/>
          <w:color w:val="auto"/>
          <w:szCs w:val="21"/>
          <w:u w:val="single"/>
        </w:rPr>
        <w:t>承包人无法继续履行、明确表示不履行或实质上已停止履行合同，发包人可通知承包人全部解除合同，同时赔偿发包人损失。</w:t>
      </w:r>
    </w:p>
    <w:p w14:paraId="54370E1A">
      <w:pPr>
        <w:spacing w:line="360" w:lineRule="exact"/>
        <w:ind w:firstLine="420" w:firstLineChars="200"/>
        <w:rPr>
          <w:rFonts w:ascii="宋体" w:hAnsi="宋体" w:cs="宋体"/>
          <w:color w:val="auto"/>
          <w:szCs w:val="21"/>
        </w:rPr>
      </w:pPr>
      <w:r>
        <w:rPr>
          <w:rFonts w:hint="eastAsia" w:ascii="宋体" w:hAnsi="宋体" w:cs="宋体"/>
          <w:color w:val="auto"/>
          <w:szCs w:val="21"/>
        </w:rPr>
        <w:t>16.2.3 因承包人违约解除合同</w:t>
      </w:r>
    </w:p>
    <w:p w14:paraId="6BECA724">
      <w:pPr>
        <w:autoSpaceDE w:val="0"/>
        <w:autoSpaceDN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关于承包人违约解除合同的特别约定：</w:t>
      </w:r>
      <w:r>
        <w:rPr>
          <w:rFonts w:hint="eastAsia" w:ascii="宋体" w:hAnsi="宋体" w:cs="宋体"/>
          <w:color w:val="auto"/>
          <w:szCs w:val="21"/>
          <w:u w:val="single"/>
        </w:rPr>
        <w:t xml:space="preserve">   施工现场满足开工条件，且承包人接到发包人发出的开工令后14天内，不进行正常施工的，发包人有权单方面解除合同          。</w:t>
      </w:r>
    </w:p>
    <w:p w14:paraId="2EADFCCE">
      <w:pPr>
        <w:spacing w:line="360" w:lineRule="exact"/>
        <w:ind w:firstLine="420" w:firstLineChars="200"/>
        <w:rPr>
          <w:rFonts w:ascii="宋体" w:hAnsi="宋体" w:cs="宋体"/>
          <w:color w:val="auto"/>
          <w:szCs w:val="21"/>
        </w:rPr>
      </w:pPr>
      <w:r>
        <w:rPr>
          <w:rFonts w:hint="eastAsia" w:ascii="宋体" w:hAnsi="宋体" w:cs="宋体"/>
          <w:color w:val="auto"/>
          <w:szCs w:val="21"/>
        </w:rPr>
        <w:t>发包人继续使用承包人在施工现场的材料、设备、临时工程、承包人文件和由承包人或以其名义编制的其他文件的费用承担方式：</w:t>
      </w:r>
      <w:r>
        <w:rPr>
          <w:rFonts w:hint="eastAsia" w:ascii="宋体" w:hAnsi="宋体" w:cs="宋体"/>
          <w:color w:val="auto"/>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color w:val="auto"/>
          <w:szCs w:val="21"/>
        </w:rPr>
        <w:t>。</w:t>
      </w:r>
    </w:p>
    <w:p w14:paraId="2400359C">
      <w:pPr>
        <w:spacing w:line="360" w:lineRule="exact"/>
        <w:ind w:firstLine="420" w:firstLineChars="200"/>
        <w:rPr>
          <w:rFonts w:ascii="宋体" w:hAnsi="宋体" w:cs="宋体"/>
          <w:color w:val="auto"/>
          <w:szCs w:val="21"/>
        </w:rPr>
      </w:pPr>
      <w:r>
        <w:rPr>
          <w:rFonts w:hint="eastAsia" w:ascii="宋体" w:hAnsi="宋体" w:cs="宋体"/>
          <w:color w:val="auto"/>
          <w:szCs w:val="21"/>
        </w:rPr>
        <w:t>16.2.4 因承包人违约解除合同后的处理</w:t>
      </w:r>
    </w:p>
    <w:p w14:paraId="414267AE">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 xml:space="preserve">17. 不可抗力 </w:t>
      </w:r>
    </w:p>
    <w:p w14:paraId="1C0931A1">
      <w:pPr>
        <w:spacing w:line="360" w:lineRule="exact"/>
        <w:ind w:firstLine="420" w:firstLineChars="200"/>
        <w:rPr>
          <w:rFonts w:ascii="宋体" w:hAnsi="宋体" w:cs="宋体"/>
          <w:color w:val="auto"/>
          <w:szCs w:val="21"/>
        </w:rPr>
      </w:pPr>
      <w:r>
        <w:rPr>
          <w:rFonts w:hint="eastAsia" w:ascii="宋体" w:hAnsi="宋体" w:cs="宋体"/>
          <w:color w:val="auto"/>
          <w:szCs w:val="21"/>
        </w:rPr>
        <w:t>17.1 不可抗力的确认</w:t>
      </w:r>
    </w:p>
    <w:p w14:paraId="0C5CD995">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除通用合同条款约定的不可抗力事件之外，视为不可抗力的其他情形：</w:t>
      </w:r>
      <w:r>
        <w:rPr>
          <w:rFonts w:hint="eastAsia" w:ascii="宋体" w:hAnsi="宋体" w:cs="宋体"/>
          <w:color w:val="auto"/>
          <w:szCs w:val="21"/>
          <w:u w:val="single"/>
        </w:rPr>
        <w:t xml:space="preserve"> 10年一遇洪水、暴风雪、干旱， 罢工、政府禁令 </w:t>
      </w:r>
      <w:r>
        <w:rPr>
          <w:rFonts w:hint="eastAsia" w:ascii="宋体" w:hAnsi="宋体" w:cs="宋体"/>
          <w:color w:val="auto"/>
          <w:szCs w:val="21"/>
        </w:rPr>
        <w:t>。</w:t>
      </w:r>
    </w:p>
    <w:p w14:paraId="03666B54">
      <w:pPr>
        <w:spacing w:line="360" w:lineRule="exact"/>
        <w:ind w:firstLine="420" w:firstLineChars="200"/>
        <w:rPr>
          <w:rFonts w:ascii="宋体" w:hAnsi="宋体" w:cs="宋体"/>
          <w:color w:val="auto"/>
          <w:szCs w:val="21"/>
        </w:rPr>
      </w:pPr>
      <w:r>
        <w:rPr>
          <w:rFonts w:hint="eastAsia" w:ascii="宋体" w:hAnsi="宋体" w:cs="宋体"/>
          <w:color w:val="auto"/>
          <w:szCs w:val="21"/>
        </w:rPr>
        <w:t>17.4 因不可抗力解除合同</w:t>
      </w:r>
    </w:p>
    <w:p w14:paraId="73FDCEE6">
      <w:pPr>
        <w:spacing w:line="360" w:lineRule="exact"/>
        <w:ind w:firstLine="420" w:firstLineChars="200"/>
        <w:rPr>
          <w:rFonts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 xml:space="preserve">    </w:t>
      </w:r>
      <w:r>
        <w:rPr>
          <w:rFonts w:hint="eastAsia" w:ascii="宋体" w:hAnsi="宋体" w:cs="宋体"/>
          <w:color w:val="auto"/>
          <w:szCs w:val="21"/>
        </w:rPr>
        <w:t>天内完成款项的支付。</w:t>
      </w:r>
    </w:p>
    <w:p w14:paraId="23DEE22E">
      <w:pPr>
        <w:pStyle w:val="9"/>
        <w:spacing w:before="0" w:after="0" w:line="360" w:lineRule="exact"/>
        <w:rPr>
          <w:rFonts w:ascii="宋体" w:hAnsi="宋体" w:eastAsia="宋体" w:cs="宋体"/>
          <w:b w:val="0"/>
          <w:color w:val="auto"/>
          <w:sz w:val="21"/>
          <w:szCs w:val="21"/>
        </w:rPr>
      </w:pPr>
      <w:bookmarkStart w:id="324" w:name="_Toc351203650"/>
      <w:r>
        <w:rPr>
          <w:rFonts w:hint="eastAsia" w:ascii="宋体" w:hAnsi="宋体" w:eastAsia="宋体" w:cs="宋体"/>
          <w:b w:val="0"/>
          <w:color w:val="auto"/>
          <w:sz w:val="21"/>
          <w:szCs w:val="21"/>
        </w:rPr>
        <w:t>18. 保险</w:t>
      </w:r>
      <w:bookmarkEnd w:id="324"/>
    </w:p>
    <w:p w14:paraId="418D8074">
      <w:pPr>
        <w:spacing w:line="360" w:lineRule="exact"/>
        <w:ind w:firstLine="420" w:firstLineChars="200"/>
        <w:rPr>
          <w:rFonts w:ascii="宋体" w:hAnsi="宋体" w:cs="宋体"/>
          <w:color w:val="auto"/>
          <w:szCs w:val="21"/>
        </w:rPr>
      </w:pPr>
      <w:r>
        <w:rPr>
          <w:rFonts w:hint="eastAsia" w:ascii="宋体" w:hAnsi="宋体" w:cs="宋体"/>
          <w:color w:val="auto"/>
          <w:szCs w:val="21"/>
        </w:rPr>
        <w:t>18.1 工程保险</w:t>
      </w:r>
    </w:p>
    <w:p w14:paraId="6AD279D0">
      <w:pPr>
        <w:spacing w:line="360" w:lineRule="exact"/>
        <w:ind w:firstLine="420" w:firstLineChars="200"/>
        <w:rPr>
          <w:rFonts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szCs w:val="21"/>
          <w:u w:val="single"/>
        </w:rPr>
        <w:t xml:space="preserve">    承包人须为工程施工人员办理人身意外伤害保险，并为施工场内自有人员生命财产和施工机械设备办理保险，保险费用由承包人自行承担并支付，费用包含在投标报价中      </w:t>
      </w:r>
      <w:r>
        <w:rPr>
          <w:rFonts w:hint="eastAsia" w:ascii="宋体" w:hAnsi="宋体" w:cs="宋体"/>
          <w:color w:val="auto"/>
          <w:szCs w:val="21"/>
        </w:rPr>
        <w:t>。</w:t>
      </w:r>
    </w:p>
    <w:p w14:paraId="37A9949B">
      <w:pPr>
        <w:spacing w:line="360" w:lineRule="exact"/>
        <w:ind w:firstLine="420" w:firstLineChars="200"/>
        <w:rPr>
          <w:rFonts w:ascii="宋体" w:hAnsi="宋体" w:cs="宋体"/>
          <w:color w:val="auto"/>
          <w:szCs w:val="21"/>
        </w:rPr>
      </w:pPr>
      <w:r>
        <w:rPr>
          <w:rFonts w:hint="eastAsia" w:ascii="宋体" w:hAnsi="宋体" w:cs="宋体"/>
          <w:color w:val="auto"/>
          <w:szCs w:val="21"/>
        </w:rPr>
        <w:t>18.3 其他保险</w:t>
      </w:r>
    </w:p>
    <w:p w14:paraId="7EC42C1B">
      <w:pPr>
        <w:spacing w:line="360" w:lineRule="exact"/>
        <w:ind w:firstLine="420" w:firstLineChars="200"/>
        <w:rPr>
          <w:rFonts w:ascii="宋体" w:hAnsi="宋体" w:cs="宋体"/>
          <w:color w:val="auto"/>
          <w:szCs w:val="21"/>
        </w:rPr>
      </w:pPr>
      <w:r>
        <w:rPr>
          <w:rFonts w:hint="eastAsia" w:ascii="宋体" w:hAnsi="宋体" w:cs="宋体"/>
          <w:color w:val="auto"/>
          <w:szCs w:val="21"/>
        </w:rPr>
        <w:t>关于其他保险的约定：</w:t>
      </w:r>
      <w:r>
        <w:rPr>
          <w:rFonts w:hint="eastAsia" w:ascii="宋体" w:hAnsi="宋体" w:cs="宋体"/>
          <w:color w:val="auto"/>
          <w:szCs w:val="21"/>
          <w:u w:val="single"/>
        </w:rPr>
        <w:t xml:space="preserve">         按通用条款执行         </w:t>
      </w:r>
      <w:r>
        <w:rPr>
          <w:rFonts w:hint="eastAsia" w:ascii="宋体" w:hAnsi="宋体" w:cs="宋体"/>
          <w:color w:val="auto"/>
          <w:szCs w:val="21"/>
        </w:rPr>
        <w:t>。</w:t>
      </w:r>
    </w:p>
    <w:p w14:paraId="5FF2E9D4">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 xml:space="preserve">  承包人须为其施工现场的全部人员（包括其员工及为履行合同聘请的第三方人员）办理人身意外伤害保险，并为其施工机械设备办理保险，保险费用由承包人自行承担并支付，费用包含在投标报价中    </w:t>
      </w:r>
      <w:r>
        <w:rPr>
          <w:rFonts w:hint="eastAsia" w:ascii="宋体" w:hAnsi="宋体" w:cs="宋体"/>
          <w:color w:val="auto"/>
          <w:szCs w:val="21"/>
        </w:rPr>
        <w:t>。</w:t>
      </w:r>
    </w:p>
    <w:p w14:paraId="4BC453FF">
      <w:pPr>
        <w:spacing w:line="360" w:lineRule="exact"/>
        <w:ind w:firstLine="420" w:firstLineChars="200"/>
        <w:rPr>
          <w:rFonts w:ascii="宋体" w:hAnsi="宋体" w:cs="宋体"/>
          <w:color w:val="auto"/>
          <w:szCs w:val="21"/>
        </w:rPr>
      </w:pPr>
      <w:r>
        <w:rPr>
          <w:rFonts w:hint="eastAsia" w:ascii="宋体" w:hAnsi="宋体" w:cs="宋体"/>
          <w:color w:val="auto"/>
          <w:szCs w:val="21"/>
        </w:rPr>
        <w:t>18.7 通知义务</w:t>
      </w:r>
    </w:p>
    <w:p w14:paraId="3A777941">
      <w:pPr>
        <w:spacing w:line="360" w:lineRule="exact"/>
        <w:ind w:firstLine="420" w:firstLineChars="200"/>
        <w:rPr>
          <w:rFonts w:ascii="宋体" w:hAnsi="宋体" w:cs="宋体"/>
          <w:color w:val="auto"/>
          <w:szCs w:val="21"/>
        </w:rPr>
      </w:pPr>
      <w:r>
        <w:rPr>
          <w:rFonts w:hint="eastAsia" w:ascii="宋体" w:hAnsi="宋体" w:cs="宋体"/>
          <w:color w:val="auto"/>
          <w:szCs w:val="21"/>
        </w:rPr>
        <w:t>关于变更保险合同时的通知义务的约定：</w:t>
      </w:r>
      <w:r>
        <w:rPr>
          <w:rFonts w:hint="eastAsia" w:ascii="宋体" w:hAnsi="宋体" w:cs="宋体"/>
          <w:color w:val="auto"/>
          <w:szCs w:val="21"/>
          <w:u w:val="single"/>
        </w:rPr>
        <w:t xml:space="preserve">    按合同通用条款执行     </w:t>
      </w:r>
      <w:r>
        <w:rPr>
          <w:rFonts w:hint="eastAsia" w:ascii="宋体" w:hAnsi="宋体" w:cs="宋体"/>
          <w:color w:val="auto"/>
          <w:szCs w:val="21"/>
        </w:rPr>
        <w:t>。</w:t>
      </w:r>
    </w:p>
    <w:p w14:paraId="7C9600FA">
      <w:pPr>
        <w:pStyle w:val="9"/>
        <w:spacing w:before="0" w:after="0" w:line="360" w:lineRule="exact"/>
        <w:rPr>
          <w:rFonts w:ascii="宋体" w:hAnsi="宋体" w:eastAsia="宋体" w:cs="宋体"/>
          <w:b w:val="0"/>
          <w:color w:val="auto"/>
          <w:sz w:val="21"/>
          <w:szCs w:val="21"/>
        </w:rPr>
      </w:pPr>
      <w:r>
        <w:rPr>
          <w:rFonts w:hint="eastAsia" w:ascii="宋体" w:hAnsi="宋体" w:eastAsia="宋体" w:cs="宋体"/>
          <w:b w:val="0"/>
          <w:color w:val="auto"/>
          <w:sz w:val="21"/>
          <w:szCs w:val="21"/>
        </w:rPr>
        <w:t>20. 争议解决</w:t>
      </w:r>
    </w:p>
    <w:p w14:paraId="168A218B">
      <w:pPr>
        <w:spacing w:line="360" w:lineRule="exact"/>
        <w:ind w:firstLine="420" w:firstLineChars="200"/>
        <w:rPr>
          <w:rFonts w:ascii="宋体" w:hAnsi="宋体" w:cs="宋体"/>
          <w:color w:val="auto"/>
          <w:szCs w:val="21"/>
        </w:rPr>
      </w:pPr>
      <w:r>
        <w:rPr>
          <w:rFonts w:hint="eastAsia" w:ascii="宋体" w:hAnsi="宋体" w:cs="宋体"/>
          <w:color w:val="auto"/>
          <w:szCs w:val="21"/>
        </w:rPr>
        <w:t>20.3 争议评审</w:t>
      </w:r>
    </w:p>
    <w:p w14:paraId="0AAC85A8">
      <w:pPr>
        <w:spacing w:line="360" w:lineRule="exact"/>
        <w:ind w:firstLine="420" w:firstLineChars="200"/>
        <w:rPr>
          <w:rFonts w:ascii="宋体" w:hAnsi="宋体" w:cs="宋体"/>
          <w:color w:val="auto"/>
          <w:szCs w:val="21"/>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rPr>
        <w:t xml:space="preserve">  否    </w:t>
      </w:r>
      <w:r>
        <w:rPr>
          <w:rFonts w:hint="eastAsia" w:ascii="宋体" w:hAnsi="宋体" w:cs="宋体"/>
          <w:color w:val="auto"/>
          <w:szCs w:val="21"/>
        </w:rPr>
        <w:t>。</w:t>
      </w:r>
    </w:p>
    <w:p w14:paraId="2EA18BD1">
      <w:pPr>
        <w:spacing w:line="360" w:lineRule="exact"/>
        <w:ind w:firstLine="420" w:firstLineChars="200"/>
        <w:rPr>
          <w:rFonts w:ascii="宋体" w:hAnsi="宋体" w:cs="宋体"/>
          <w:color w:val="auto"/>
          <w:szCs w:val="21"/>
        </w:rPr>
      </w:pPr>
      <w:r>
        <w:rPr>
          <w:rFonts w:hint="eastAsia" w:ascii="宋体" w:hAnsi="宋体" w:cs="宋体"/>
          <w:color w:val="auto"/>
          <w:szCs w:val="21"/>
        </w:rPr>
        <w:t>20.3.1 争议评审小组的确定</w:t>
      </w:r>
    </w:p>
    <w:p w14:paraId="65B1BB28">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提交争议评审时再选定 </w:t>
      </w:r>
      <w:r>
        <w:rPr>
          <w:rFonts w:hint="eastAsia" w:ascii="宋体" w:hAnsi="宋体" w:cs="宋体"/>
          <w:color w:val="auto"/>
          <w:szCs w:val="21"/>
        </w:rPr>
        <w:t>。</w:t>
      </w:r>
    </w:p>
    <w:p w14:paraId="0B5AFB0B">
      <w:pPr>
        <w:spacing w:line="360" w:lineRule="exact"/>
        <w:ind w:firstLine="420" w:firstLineChars="200"/>
        <w:rPr>
          <w:rFonts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              </w:t>
      </w:r>
      <w:r>
        <w:rPr>
          <w:rFonts w:hint="eastAsia" w:ascii="宋体" w:hAnsi="宋体" w:cs="宋体"/>
          <w:color w:val="auto"/>
          <w:szCs w:val="21"/>
        </w:rPr>
        <w:t>。</w:t>
      </w:r>
    </w:p>
    <w:p w14:paraId="265AF4EF">
      <w:pPr>
        <w:spacing w:line="360" w:lineRule="exact"/>
        <w:ind w:firstLine="420" w:firstLineChars="200"/>
        <w:rPr>
          <w:rFonts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 xml:space="preserve">          /           </w:t>
      </w:r>
      <w:r>
        <w:rPr>
          <w:rFonts w:hint="eastAsia" w:ascii="宋体" w:hAnsi="宋体" w:cs="宋体"/>
          <w:color w:val="auto"/>
          <w:szCs w:val="21"/>
        </w:rPr>
        <w:t>。</w:t>
      </w:r>
    </w:p>
    <w:p w14:paraId="5C08F1CB">
      <w:pPr>
        <w:spacing w:line="360" w:lineRule="exact"/>
        <w:ind w:firstLine="420" w:firstLineChars="200"/>
        <w:rPr>
          <w:rFonts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30217E5A">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20.3.2 争议评审小组的决定</w:t>
      </w:r>
    </w:p>
    <w:p w14:paraId="7BFB5C15">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按通用条款。</w:t>
      </w:r>
    </w:p>
    <w:p w14:paraId="7A85083C">
      <w:pPr>
        <w:spacing w:line="360" w:lineRule="exact"/>
        <w:ind w:firstLine="420" w:firstLineChars="200"/>
        <w:rPr>
          <w:rFonts w:ascii="宋体" w:hAnsi="宋体" w:cs="宋体"/>
          <w:color w:val="auto"/>
          <w:szCs w:val="21"/>
          <w:u w:val="single"/>
        </w:rPr>
      </w:pPr>
      <w:r>
        <w:rPr>
          <w:rFonts w:hint="eastAsia" w:ascii="宋体" w:hAnsi="宋体" w:cs="宋体"/>
          <w:color w:val="auto"/>
          <w:szCs w:val="21"/>
          <w:u w:val="single"/>
        </w:rPr>
        <w:t>20.3.3 争议评审小组决定的效力：按通用条款执行。</w:t>
      </w:r>
    </w:p>
    <w:p w14:paraId="0FD318C2">
      <w:pPr>
        <w:spacing w:line="360" w:lineRule="exact"/>
        <w:ind w:firstLine="420" w:firstLineChars="200"/>
        <w:rPr>
          <w:rFonts w:ascii="宋体" w:hAnsi="宋体" w:cs="宋体"/>
          <w:color w:val="auto"/>
          <w:szCs w:val="21"/>
        </w:rPr>
      </w:pPr>
      <w:r>
        <w:rPr>
          <w:rFonts w:hint="eastAsia" w:ascii="宋体" w:hAnsi="宋体" w:cs="宋体"/>
          <w:color w:val="auto"/>
          <w:szCs w:val="21"/>
        </w:rPr>
        <w:t>20.4仲裁或诉讼</w:t>
      </w:r>
    </w:p>
    <w:p w14:paraId="6087DA4A">
      <w:pPr>
        <w:spacing w:line="360" w:lineRule="exact"/>
        <w:ind w:firstLine="420" w:firstLineChars="200"/>
        <w:rPr>
          <w:rFonts w:ascii="宋体" w:hAnsi="宋体" w:cs="宋体"/>
          <w:color w:val="auto"/>
          <w:szCs w:val="21"/>
        </w:rPr>
      </w:pPr>
      <w:r>
        <w:rPr>
          <w:rFonts w:hint="eastAsia" w:ascii="宋体" w:hAnsi="宋体" w:cs="宋体"/>
          <w:color w:val="auto"/>
          <w:szCs w:val="21"/>
        </w:rPr>
        <w:t>因合同及合同有关事项发生的争议，按下列第</w:t>
      </w:r>
      <w:r>
        <w:rPr>
          <w:rFonts w:hint="eastAsia" w:ascii="宋体" w:hAnsi="宋体" w:cs="宋体"/>
          <w:color w:val="auto"/>
          <w:szCs w:val="21"/>
          <w:u w:val="single"/>
        </w:rPr>
        <w:t xml:space="preserve"> 1  </w:t>
      </w:r>
      <w:r>
        <w:rPr>
          <w:rFonts w:hint="eastAsia" w:ascii="宋体" w:hAnsi="宋体" w:cs="宋体"/>
          <w:color w:val="auto"/>
          <w:szCs w:val="21"/>
        </w:rPr>
        <w:t>种方式解决：</w:t>
      </w:r>
    </w:p>
    <w:p w14:paraId="12CA8A95">
      <w:pPr>
        <w:spacing w:line="360" w:lineRule="exact"/>
        <w:ind w:firstLine="420" w:firstLineChars="200"/>
        <w:rPr>
          <w:rFonts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台州</w:t>
      </w:r>
      <w:r>
        <w:rPr>
          <w:rFonts w:hint="eastAsia" w:ascii="宋体" w:hAnsi="宋体" w:cs="宋体"/>
          <w:color w:val="auto"/>
          <w:szCs w:val="21"/>
        </w:rPr>
        <w:t>仲裁委员会申请仲裁；</w:t>
      </w:r>
    </w:p>
    <w:p w14:paraId="001FF1C8">
      <w:pPr>
        <w:spacing w:line="360" w:lineRule="exact"/>
        <w:ind w:firstLine="420" w:firstLineChars="200"/>
        <w:rPr>
          <w:rFonts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工程所在地  </w:t>
      </w:r>
      <w:r>
        <w:rPr>
          <w:rFonts w:hint="eastAsia" w:ascii="宋体" w:hAnsi="宋体" w:cs="宋体"/>
          <w:color w:val="auto"/>
          <w:szCs w:val="21"/>
        </w:rPr>
        <w:t>人民法院起诉。</w:t>
      </w:r>
    </w:p>
    <w:p w14:paraId="42158092">
      <w:pPr>
        <w:spacing w:line="360" w:lineRule="exact"/>
        <w:rPr>
          <w:rFonts w:ascii="宋体" w:hAnsi="宋体" w:cs="宋体"/>
          <w:color w:val="auto"/>
          <w:szCs w:val="21"/>
        </w:rPr>
      </w:pPr>
    </w:p>
    <w:p w14:paraId="22769946">
      <w:pPr>
        <w:spacing w:line="360" w:lineRule="exact"/>
        <w:rPr>
          <w:rFonts w:ascii="宋体" w:hAnsi="宋体" w:cs="宋体"/>
          <w:color w:val="auto"/>
          <w:szCs w:val="21"/>
        </w:rPr>
      </w:pPr>
    </w:p>
    <w:p w14:paraId="0C0ACB8D">
      <w:pPr>
        <w:spacing w:line="360" w:lineRule="exact"/>
        <w:rPr>
          <w:rFonts w:ascii="宋体" w:hAnsi="宋体" w:cs="宋体"/>
          <w:color w:val="auto"/>
          <w:szCs w:val="21"/>
        </w:rPr>
      </w:pPr>
    </w:p>
    <w:p w14:paraId="6B233A13">
      <w:pPr>
        <w:spacing w:line="360" w:lineRule="exact"/>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       </w:t>
      </w:r>
      <w:r>
        <w:rPr>
          <w:rFonts w:hint="eastAsia" w:ascii="宋体" w:hAnsi="宋体" w:cs="宋体"/>
          <w:color w:val="auto"/>
          <w:szCs w:val="21"/>
        </w:rPr>
        <w:t xml:space="preserve">             承包人（公章）：</w:t>
      </w:r>
      <w:r>
        <w:rPr>
          <w:rFonts w:hint="eastAsia" w:ascii="宋体" w:hAnsi="宋体" w:cs="宋体"/>
          <w:color w:val="auto"/>
          <w:szCs w:val="21"/>
          <w:u w:val="single"/>
        </w:rPr>
        <w:t xml:space="preserve">             </w:t>
      </w:r>
    </w:p>
    <w:p w14:paraId="0C713FEC">
      <w:pPr>
        <w:spacing w:line="360" w:lineRule="exact"/>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     </w:t>
      </w:r>
      <w:r>
        <w:rPr>
          <w:rFonts w:hint="eastAsia" w:ascii="宋体" w:hAnsi="宋体" w:cs="宋体"/>
          <w:color w:val="auto"/>
          <w:szCs w:val="21"/>
        </w:rPr>
        <w:t xml:space="preserve">               地  址：</w:t>
      </w:r>
      <w:r>
        <w:rPr>
          <w:rFonts w:hint="eastAsia" w:ascii="宋体" w:hAnsi="宋体" w:cs="宋体"/>
          <w:color w:val="auto"/>
          <w:szCs w:val="21"/>
          <w:u w:val="single"/>
        </w:rPr>
        <w:t xml:space="preserve">                       </w:t>
      </w:r>
    </w:p>
    <w:p w14:paraId="4AB0FB68">
      <w:pPr>
        <w:spacing w:line="360" w:lineRule="exact"/>
        <w:rPr>
          <w:rFonts w:ascii="宋体" w:hAnsi="宋体" w:cs="宋体"/>
          <w:color w:val="auto"/>
          <w:szCs w:val="21"/>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xml:space="preserve">       </w:t>
      </w:r>
    </w:p>
    <w:p w14:paraId="0CB5BE6C">
      <w:pPr>
        <w:spacing w:line="360" w:lineRule="exact"/>
        <w:rPr>
          <w:rFonts w:ascii="宋体" w:hAnsi="宋体" w:cs="宋体"/>
          <w:color w:val="auto"/>
          <w:szCs w:val="21"/>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14:paraId="131F519F">
      <w:pPr>
        <w:spacing w:line="360" w:lineRule="exact"/>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w:t>
      </w:r>
    </w:p>
    <w:p w14:paraId="06A4B283">
      <w:pPr>
        <w:spacing w:line="360" w:lineRule="exact"/>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     </w:t>
      </w:r>
    </w:p>
    <w:p w14:paraId="29A2D37E">
      <w:pPr>
        <w:spacing w:line="360" w:lineRule="exact"/>
        <w:rPr>
          <w:rFonts w:ascii="宋体" w:hAnsi="宋体" w:cs="宋体"/>
          <w:color w:val="auto"/>
          <w:szCs w:val="21"/>
        </w:rPr>
      </w:pPr>
    </w:p>
    <w:p w14:paraId="14AE4999">
      <w:pPr>
        <w:spacing w:line="360" w:lineRule="exact"/>
        <w:rPr>
          <w:rFonts w:ascii="宋体" w:hAnsi="宋体" w:cs="宋体"/>
          <w:color w:val="auto"/>
          <w:szCs w:val="21"/>
        </w:rPr>
      </w:pPr>
    </w:p>
    <w:p w14:paraId="6B1A9E27">
      <w:pPr>
        <w:rPr>
          <w:rFonts w:ascii="宋体" w:hAnsi="宋体" w:cs="宋体"/>
          <w:color w:val="auto"/>
        </w:rPr>
      </w:pPr>
      <w:r>
        <w:rPr>
          <w:rFonts w:hint="eastAsia" w:ascii="宋体" w:hAnsi="宋体" w:cs="宋体"/>
          <w:color w:val="auto"/>
          <w:szCs w:val="21"/>
        </w:rPr>
        <w:t>见证方（盖章）</w:t>
      </w:r>
      <w:bookmarkEnd w:id="11"/>
    </w:p>
    <w:p w14:paraId="42DD2DCB">
      <w:pPr>
        <w:rPr>
          <w:rFonts w:ascii="宋体" w:hAnsi="宋体"/>
          <w:color w:val="auto"/>
        </w:rPr>
      </w:pPr>
      <w:r>
        <w:rPr>
          <w:rFonts w:hint="eastAsia" w:ascii="宋体" w:hAnsi="宋体"/>
          <w:color w:val="auto"/>
        </w:rPr>
        <w:br w:type="page"/>
      </w:r>
    </w:p>
    <w:p w14:paraId="5149FB88">
      <w:pPr>
        <w:spacing w:line="360" w:lineRule="exact"/>
        <w:ind w:firstLine="420" w:firstLineChars="200"/>
        <w:jc w:val="center"/>
        <w:rPr>
          <w:rFonts w:ascii="黑体" w:hAnsi="宋体" w:eastAsia="黑体"/>
          <w:b/>
          <w:color w:val="auto"/>
          <w:kern w:val="44"/>
          <w:sz w:val="32"/>
          <w:szCs w:val="32"/>
        </w:rPr>
      </w:pPr>
      <w:r>
        <w:rPr>
          <w:rFonts w:hint="eastAsia" w:ascii="宋体" w:hAnsi="宋体"/>
          <w:color w:val="auto"/>
        </w:rPr>
        <w:t xml:space="preserve"> </w:t>
      </w:r>
      <w:r>
        <w:rPr>
          <w:rFonts w:hint="eastAsia" w:ascii="黑体" w:hAnsi="宋体" w:eastAsia="黑体"/>
          <w:b/>
          <w:color w:val="auto"/>
          <w:kern w:val="44"/>
          <w:sz w:val="32"/>
          <w:szCs w:val="32"/>
        </w:rPr>
        <w:t>工程质量保修书</w:t>
      </w:r>
    </w:p>
    <w:p w14:paraId="38CA50A5">
      <w:pPr>
        <w:rPr>
          <w:rFonts w:ascii="宋体" w:hAnsi="宋体"/>
          <w:color w:val="auto"/>
        </w:rPr>
      </w:pPr>
    </w:p>
    <w:p w14:paraId="12B66F74">
      <w:pPr>
        <w:spacing w:line="586" w:lineRule="exact"/>
        <w:rPr>
          <w:color w:val="auto"/>
        </w:rPr>
      </w:pPr>
      <w:r>
        <w:rPr>
          <w:rFonts w:ascii="宋体" w:hAnsi="宋体"/>
          <w:color w:val="auto"/>
        </w:rPr>
        <w:t>发包人（全称）：</w:t>
      </w:r>
      <w:r>
        <w:rPr>
          <w:color w:val="auto"/>
          <w:u w:val="single"/>
        </w:rPr>
        <w:t xml:space="preserve">  </w:t>
      </w:r>
      <w:r>
        <w:rPr>
          <w:rFonts w:hint="eastAsia" w:ascii="宋体" w:hAnsi="宋体"/>
          <w:color w:val="auto"/>
          <w:u w:val="single"/>
        </w:rPr>
        <w:t>台州职业技术学院</w:t>
      </w:r>
      <w:r>
        <w:rPr>
          <w:color w:val="auto"/>
          <w:u w:val="single"/>
        </w:rPr>
        <w:t xml:space="preserve">        </w:t>
      </w:r>
      <w:r>
        <w:rPr>
          <w:color w:val="auto"/>
        </w:rPr>
        <w:t xml:space="preserve"> </w:t>
      </w:r>
    </w:p>
    <w:p w14:paraId="650D121F">
      <w:pPr>
        <w:spacing w:line="360" w:lineRule="exact"/>
        <w:rPr>
          <w:color w:val="auto"/>
        </w:rPr>
      </w:pPr>
      <w:r>
        <w:rPr>
          <w:rFonts w:ascii="宋体" w:hAnsi="宋体"/>
          <w:color w:val="auto"/>
        </w:rPr>
        <w:t>承包人（全称）：</w:t>
      </w:r>
      <w:r>
        <w:rPr>
          <w:color w:val="auto"/>
          <w:u w:val="single"/>
        </w:rPr>
        <w:t></w:t>
      </w:r>
      <w:r>
        <w:rPr>
          <w:rFonts w:hint="eastAsia" w:ascii="宋体" w:hAnsi="宋体"/>
          <w:color w:val="auto"/>
          <w:u w:val="single"/>
        </w:rPr>
        <w:t xml:space="preserve">             </w:t>
      </w:r>
      <w:r>
        <w:rPr>
          <w:color w:val="auto"/>
          <w:u w:val="single"/>
        </w:rPr>
        <w:t xml:space="preserve"> </w:t>
      </w:r>
    </w:p>
    <w:p w14:paraId="5774B702">
      <w:pPr>
        <w:spacing w:line="360" w:lineRule="exact"/>
        <w:rPr>
          <w:color w:val="auto"/>
        </w:rPr>
      </w:pPr>
      <w:r>
        <w:rPr>
          <w:color w:val="auto"/>
        </w:rPr>
        <w:t xml:space="preserve"> </w:t>
      </w:r>
    </w:p>
    <w:p w14:paraId="37900799">
      <w:pPr>
        <w:spacing w:line="360" w:lineRule="exact"/>
        <w:rPr>
          <w:color w:val="auto"/>
        </w:rPr>
      </w:pPr>
      <w:r>
        <w:rPr>
          <w:rFonts w:ascii="宋体" w:hAnsi="宋体"/>
          <w:color w:val="auto"/>
        </w:rPr>
        <w:t>发包人和承包人根据《中华人民共和国建筑法》和《建设工程质量管理条例》，经协商一致就</w:t>
      </w:r>
      <w:r>
        <w:rPr>
          <w:rFonts w:hint="eastAsia" w:ascii="宋体" w:hAnsi="宋体"/>
          <w:color w:val="auto"/>
          <w:u w:val="single"/>
          <w:lang w:eastAsia="zh-CN"/>
        </w:rPr>
        <w:t>台州职业技术学院教师公寓三单元4、5、6层改造项目</w:t>
      </w:r>
      <w:r>
        <w:rPr>
          <w:rFonts w:ascii="宋体" w:hAnsi="宋体"/>
          <w:color w:val="auto"/>
        </w:rPr>
        <w:t>（工程全称）签订工程质量保修书。</w:t>
      </w:r>
    </w:p>
    <w:p w14:paraId="0B7072A9">
      <w:pPr>
        <w:spacing w:line="360" w:lineRule="exact"/>
        <w:rPr>
          <w:rFonts w:eastAsia="黑体"/>
          <w:color w:val="auto"/>
        </w:rPr>
      </w:pPr>
      <w:r>
        <w:rPr>
          <w:rFonts w:ascii="黑体" w:hAnsi="黑体" w:eastAsia="黑体"/>
          <w:color w:val="auto"/>
        </w:rPr>
        <w:t>一、工程质量保修范围和内容</w:t>
      </w:r>
    </w:p>
    <w:p w14:paraId="6A4AE864">
      <w:pPr>
        <w:spacing w:line="360" w:lineRule="exact"/>
        <w:rPr>
          <w:color w:val="auto"/>
        </w:rPr>
      </w:pPr>
      <w:r>
        <w:rPr>
          <w:rFonts w:ascii="宋体" w:hAnsi="宋体"/>
          <w:color w:val="auto"/>
        </w:rPr>
        <w:t>承包人在质量保修期内，按照有关法律规定和合同约定，承担工程质量保修责任。</w:t>
      </w:r>
    </w:p>
    <w:p w14:paraId="73BBC828">
      <w:pPr>
        <w:spacing w:line="360" w:lineRule="exact"/>
        <w:rPr>
          <w:color w:val="auto"/>
        </w:rPr>
      </w:pPr>
      <w:r>
        <w:rPr>
          <w:rFonts w:ascii="宋体" w:hAnsi="宋体"/>
          <w:color w:val="auto"/>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auto"/>
          <w:u w:val="single"/>
        </w:rPr>
        <w:t>本工程合同范围内的所有工程</w:t>
      </w:r>
      <w:r>
        <w:rPr>
          <w:color w:val="auto"/>
          <w:u w:val="single"/>
        </w:rPr>
        <w:t xml:space="preserve">  </w:t>
      </w:r>
      <w:r>
        <w:rPr>
          <w:rFonts w:ascii="宋体" w:hAnsi="宋体"/>
          <w:color w:val="auto"/>
        </w:rPr>
        <w:t>。</w:t>
      </w:r>
    </w:p>
    <w:p w14:paraId="673B4871">
      <w:pPr>
        <w:spacing w:line="360" w:lineRule="exact"/>
        <w:rPr>
          <w:rFonts w:eastAsia="黑体"/>
          <w:color w:val="auto"/>
        </w:rPr>
      </w:pPr>
      <w:r>
        <w:rPr>
          <w:rFonts w:ascii="黑体" w:hAnsi="黑体" w:eastAsia="黑体"/>
          <w:color w:val="auto"/>
        </w:rPr>
        <w:t>二、质量保修期</w:t>
      </w:r>
    </w:p>
    <w:p w14:paraId="4B846EDE">
      <w:pPr>
        <w:spacing w:line="360" w:lineRule="exact"/>
        <w:rPr>
          <w:color w:val="auto"/>
        </w:rPr>
      </w:pPr>
      <w:r>
        <w:rPr>
          <w:rFonts w:ascii="宋体" w:hAnsi="宋体"/>
          <w:color w:val="auto"/>
        </w:rPr>
        <w:t>根据《建设工程质量管理条例》及有关规定，工程的质量保修期如下：</w:t>
      </w:r>
    </w:p>
    <w:p w14:paraId="584EBF6A">
      <w:pPr>
        <w:spacing w:line="360" w:lineRule="exact"/>
        <w:rPr>
          <w:rFonts w:ascii="仿宋_GB2312" w:eastAsia="仿宋_GB2312"/>
          <w:color w:val="auto"/>
        </w:rPr>
      </w:pPr>
      <w:r>
        <w:rPr>
          <w:rFonts w:hint="eastAsia" w:ascii="仿宋_GB2312" w:hAnsi="宋体"/>
          <w:color w:val="auto"/>
        </w:rPr>
        <w:t>1</w:t>
      </w:r>
      <w:r>
        <w:rPr>
          <w:rFonts w:hint="eastAsia" w:ascii="宋体" w:hAnsi="宋体"/>
          <w:color w:val="auto"/>
        </w:rPr>
        <w:t>．地基基础工程和主体结构工程为设计文件规定的工程合理使用年限；</w:t>
      </w:r>
    </w:p>
    <w:p w14:paraId="537B6AC4">
      <w:pPr>
        <w:spacing w:line="360" w:lineRule="exact"/>
        <w:rPr>
          <w:color w:val="auto"/>
        </w:rPr>
      </w:pPr>
      <w:r>
        <w:rPr>
          <w:rFonts w:hint="eastAsia" w:ascii="宋体" w:hAnsi="宋体"/>
          <w:color w:val="auto"/>
        </w:rPr>
        <w:t>2．</w:t>
      </w:r>
      <w:r>
        <w:rPr>
          <w:rFonts w:ascii="宋体" w:hAnsi="宋体"/>
          <w:color w:val="auto"/>
        </w:rPr>
        <w:t>屋面防水工程、有防水要求的卫生间、房间和外墙面的防渗</w:t>
      </w:r>
      <w:r>
        <w:rPr>
          <w:rFonts w:hint="eastAsia" w:ascii="宋体" w:hAnsi="宋体"/>
          <w:color w:val="auto"/>
        </w:rPr>
        <w:t>为</w:t>
      </w:r>
      <w:r>
        <w:rPr>
          <w:rFonts w:hint="eastAsia" w:ascii="宋体" w:hAnsi="宋体"/>
          <w:color w:val="auto"/>
          <w:u w:val="single"/>
        </w:rPr>
        <w:t xml:space="preserve">   5   </w:t>
      </w:r>
      <w:r>
        <w:rPr>
          <w:rFonts w:ascii="宋体" w:hAnsi="宋体"/>
          <w:color w:val="auto"/>
        </w:rPr>
        <w:t>年；</w:t>
      </w:r>
    </w:p>
    <w:p w14:paraId="356B6CAB">
      <w:pPr>
        <w:spacing w:line="360" w:lineRule="exact"/>
        <w:rPr>
          <w:color w:val="auto"/>
        </w:rPr>
      </w:pPr>
      <w:r>
        <w:rPr>
          <w:rFonts w:hint="eastAsia" w:ascii="宋体" w:hAnsi="宋体"/>
          <w:color w:val="auto"/>
        </w:rPr>
        <w:t>3．</w:t>
      </w:r>
      <w:r>
        <w:rPr>
          <w:rFonts w:ascii="宋体" w:hAnsi="宋体"/>
          <w:color w:val="auto"/>
        </w:rPr>
        <w:t>装修工程为</w:t>
      </w:r>
      <w:r>
        <w:rPr>
          <w:color w:val="auto"/>
          <w:u w:val="single"/>
        </w:rPr>
        <w:t xml:space="preserve">    </w:t>
      </w:r>
      <w:r>
        <w:rPr>
          <w:rFonts w:hint="eastAsia" w:ascii="宋体" w:hAnsi="宋体"/>
          <w:color w:val="auto"/>
          <w:u w:val="single"/>
        </w:rPr>
        <w:t>2</w:t>
      </w:r>
      <w:r>
        <w:rPr>
          <w:color w:val="auto"/>
          <w:u w:val="single"/>
        </w:rPr>
        <w:t xml:space="preserve">   </w:t>
      </w:r>
      <w:r>
        <w:rPr>
          <w:rFonts w:ascii="宋体" w:hAnsi="宋体"/>
          <w:color w:val="auto"/>
        </w:rPr>
        <w:t>年；</w:t>
      </w:r>
    </w:p>
    <w:p w14:paraId="50770677">
      <w:pPr>
        <w:spacing w:line="360" w:lineRule="exact"/>
        <w:rPr>
          <w:color w:val="auto"/>
        </w:rPr>
      </w:pPr>
      <w:r>
        <w:rPr>
          <w:rFonts w:hint="eastAsia" w:ascii="宋体" w:hAnsi="宋体"/>
          <w:color w:val="auto"/>
        </w:rPr>
        <w:t>4．</w:t>
      </w:r>
      <w:r>
        <w:rPr>
          <w:rFonts w:ascii="宋体" w:hAnsi="宋体"/>
          <w:color w:val="auto"/>
        </w:rPr>
        <w:t>电气管线、给排水管道、设备安装工程为</w:t>
      </w:r>
      <w:r>
        <w:rPr>
          <w:color w:val="auto"/>
          <w:u w:val="single"/>
        </w:rPr>
        <w:t xml:space="preserve">   </w:t>
      </w:r>
      <w:r>
        <w:rPr>
          <w:rFonts w:hint="eastAsia" w:ascii="宋体" w:hAnsi="宋体"/>
          <w:color w:val="auto"/>
          <w:u w:val="single"/>
        </w:rPr>
        <w:t>2</w:t>
      </w:r>
      <w:r>
        <w:rPr>
          <w:color w:val="auto"/>
          <w:u w:val="single"/>
        </w:rPr>
        <w:t xml:space="preserve">    </w:t>
      </w:r>
      <w:r>
        <w:rPr>
          <w:rFonts w:ascii="宋体" w:hAnsi="宋体"/>
          <w:color w:val="auto"/>
        </w:rPr>
        <w:t>年；</w:t>
      </w:r>
    </w:p>
    <w:p w14:paraId="6A056CEA">
      <w:pPr>
        <w:spacing w:line="360" w:lineRule="exact"/>
        <w:rPr>
          <w:color w:val="auto"/>
        </w:rPr>
      </w:pPr>
      <w:r>
        <w:rPr>
          <w:rFonts w:hint="eastAsia" w:ascii="宋体" w:hAnsi="宋体"/>
          <w:color w:val="auto"/>
        </w:rPr>
        <w:t>5．</w:t>
      </w:r>
      <w:r>
        <w:rPr>
          <w:rFonts w:ascii="宋体" w:hAnsi="宋体"/>
          <w:color w:val="auto"/>
        </w:rPr>
        <w:t>供热与供冷系统为</w:t>
      </w:r>
      <w:r>
        <w:rPr>
          <w:color w:val="auto"/>
          <w:u w:val="single"/>
        </w:rPr>
        <w:t xml:space="preserve">    </w:t>
      </w:r>
      <w:r>
        <w:rPr>
          <w:rFonts w:hint="eastAsia" w:ascii="宋体" w:hAnsi="宋体"/>
          <w:color w:val="auto"/>
          <w:u w:val="single"/>
        </w:rPr>
        <w:t>2</w:t>
      </w:r>
      <w:r>
        <w:rPr>
          <w:color w:val="auto"/>
          <w:u w:val="single"/>
        </w:rPr>
        <w:t xml:space="preserve">    </w:t>
      </w:r>
      <w:r>
        <w:rPr>
          <w:rFonts w:ascii="宋体" w:hAnsi="宋体"/>
          <w:color w:val="auto"/>
        </w:rPr>
        <w:t>个采暖期、供冷期；</w:t>
      </w:r>
    </w:p>
    <w:p w14:paraId="42B8E0D4">
      <w:pPr>
        <w:spacing w:line="360" w:lineRule="exact"/>
        <w:rPr>
          <w:color w:val="auto"/>
        </w:rPr>
      </w:pPr>
      <w:r>
        <w:rPr>
          <w:rFonts w:hint="eastAsia" w:ascii="宋体" w:hAnsi="宋体"/>
          <w:color w:val="auto"/>
        </w:rPr>
        <w:t>6．</w:t>
      </w:r>
      <w:r>
        <w:rPr>
          <w:rFonts w:ascii="宋体" w:hAnsi="宋体"/>
          <w:color w:val="auto"/>
        </w:rPr>
        <w:t>住宅小区内的给排水设施、道路等配套工程为</w:t>
      </w:r>
      <w:r>
        <w:rPr>
          <w:color w:val="auto"/>
          <w:u w:val="single"/>
        </w:rPr>
        <w:t xml:space="preserve">    </w:t>
      </w:r>
      <w:r>
        <w:rPr>
          <w:rFonts w:hint="eastAsia" w:ascii="宋体" w:hAnsi="宋体"/>
          <w:color w:val="auto"/>
          <w:u w:val="single"/>
        </w:rPr>
        <w:t>2</w:t>
      </w:r>
      <w:r>
        <w:rPr>
          <w:color w:val="auto"/>
          <w:u w:val="single"/>
        </w:rPr>
        <w:t xml:space="preserve">    </w:t>
      </w:r>
      <w:r>
        <w:rPr>
          <w:rFonts w:ascii="宋体" w:hAnsi="宋体"/>
          <w:color w:val="auto"/>
        </w:rPr>
        <w:t>年；</w:t>
      </w:r>
    </w:p>
    <w:p w14:paraId="38DCE861">
      <w:pPr>
        <w:spacing w:line="360" w:lineRule="exact"/>
        <w:rPr>
          <w:color w:val="auto"/>
        </w:rPr>
      </w:pPr>
      <w:r>
        <w:rPr>
          <w:rFonts w:hint="eastAsia" w:ascii="宋体" w:hAnsi="宋体"/>
          <w:color w:val="auto"/>
        </w:rPr>
        <w:t>7．</w:t>
      </w:r>
      <w:r>
        <w:rPr>
          <w:rFonts w:ascii="宋体" w:hAnsi="宋体"/>
          <w:color w:val="auto"/>
        </w:rPr>
        <w:t>其他项目保修期限：</w:t>
      </w:r>
      <w:r>
        <w:rPr>
          <w:color w:val="auto"/>
          <w:u w:val="single"/>
        </w:rPr>
        <w:t xml:space="preserve">   </w:t>
      </w:r>
      <w:r>
        <w:rPr>
          <w:rFonts w:hint="eastAsia" w:ascii="宋体" w:hAnsi="宋体"/>
          <w:color w:val="auto"/>
          <w:u w:val="single"/>
        </w:rPr>
        <w:t>2</w:t>
      </w:r>
      <w:r>
        <w:rPr>
          <w:color w:val="auto"/>
          <w:u w:val="single"/>
        </w:rPr>
        <w:t xml:space="preserve">    </w:t>
      </w:r>
      <w:r>
        <w:rPr>
          <w:rFonts w:ascii="宋体" w:hAnsi="宋体"/>
          <w:color w:val="auto"/>
        </w:rPr>
        <w:t>年</w:t>
      </w:r>
    </w:p>
    <w:p w14:paraId="25AE7550">
      <w:pPr>
        <w:spacing w:line="360" w:lineRule="exact"/>
        <w:rPr>
          <w:color w:val="auto"/>
        </w:rPr>
      </w:pPr>
      <w:r>
        <w:rPr>
          <w:rFonts w:ascii="宋体" w:hAnsi="宋体"/>
          <w:color w:val="auto"/>
        </w:rPr>
        <w:t>质量保修期自工程竣工验收合格之日起计算。</w:t>
      </w:r>
    </w:p>
    <w:p w14:paraId="39FBF8F5">
      <w:pPr>
        <w:spacing w:line="360" w:lineRule="exact"/>
        <w:rPr>
          <w:rFonts w:eastAsia="黑体"/>
          <w:color w:val="auto"/>
        </w:rPr>
      </w:pPr>
      <w:r>
        <w:rPr>
          <w:rFonts w:ascii="黑体" w:hAnsi="黑体" w:eastAsia="黑体"/>
          <w:color w:val="auto"/>
        </w:rPr>
        <w:t>三、缺陷责任期</w:t>
      </w:r>
    </w:p>
    <w:p w14:paraId="4C7F56AA">
      <w:pPr>
        <w:spacing w:line="360" w:lineRule="exact"/>
        <w:rPr>
          <w:color w:val="auto"/>
        </w:rPr>
      </w:pPr>
      <w:r>
        <w:rPr>
          <w:rFonts w:ascii="宋体" w:hAnsi="宋体"/>
          <w:color w:val="auto"/>
        </w:rPr>
        <w:t>工程缺陷责任期为</w:t>
      </w:r>
      <w:r>
        <w:rPr>
          <w:rFonts w:hint="eastAsia" w:ascii="宋体" w:hAnsi="宋体"/>
          <w:color w:val="auto"/>
          <w:u w:val="single"/>
        </w:rPr>
        <w:t xml:space="preserve"> 24 </w:t>
      </w:r>
      <w:r>
        <w:rPr>
          <w:rFonts w:ascii="宋体" w:hAnsi="宋体"/>
          <w:color w:val="auto"/>
        </w:rPr>
        <w:t>个月，缺陷责任期自工程竣工验收合格之日起计算。单位工程先于全部工程进行验收，单位工程缺陷责任期自单位工程验收合格之日起算。</w:t>
      </w:r>
    </w:p>
    <w:p w14:paraId="0B0E33B4">
      <w:pPr>
        <w:spacing w:line="360" w:lineRule="exact"/>
        <w:rPr>
          <w:rFonts w:eastAsia="黑体"/>
          <w:color w:val="auto"/>
        </w:rPr>
      </w:pPr>
      <w:r>
        <w:rPr>
          <w:rFonts w:ascii="黑体" w:hAnsi="黑体" w:eastAsia="黑体"/>
          <w:color w:val="auto"/>
        </w:rPr>
        <w:t>四、质量保修责任</w:t>
      </w:r>
    </w:p>
    <w:p w14:paraId="484C95F6">
      <w:pPr>
        <w:spacing w:line="360" w:lineRule="exact"/>
        <w:rPr>
          <w:color w:val="auto"/>
        </w:rPr>
      </w:pPr>
      <w:r>
        <w:rPr>
          <w:rFonts w:hint="eastAsia" w:ascii="宋体" w:hAnsi="宋体"/>
          <w:color w:val="auto"/>
        </w:rPr>
        <w:t>1．</w:t>
      </w:r>
      <w:r>
        <w:rPr>
          <w:rFonts w:ascii="宋体" w:hAnsi="宋体"/>
          <w:color w:val="auto"/>
        </w:rPr>
        <w:t>属于保修范围、内容的项目，承包人应当在接到保修通知之日起</w:t>
      </w:r>
      <w:r>
        <w:rPr>
          <w:color w:val="auto"/>
        </w:rPr>
        <w:t>7</w:t>
      </w:r>
      <w:r>
        <w:rPr>
          <w:rFonts w:ascii="宋体" w:hAnsi="宋体"/>
          <w:color w:val="auto"/>
        </w:rPr>
        <w:t>天内派人保修。承包人不在约定期限内派人保修的，发包人可以委托他人修理。</w:t>
      </w:r>
    </w:p>
    <w:p w14:paraId="16D7A097">
      <w:pPr>
        <w:spacing w:line="360" w:lineRule="exact"/>
        <w:rPr>
          <w:color w:val="auto"/>
        </w:rPr>
      </w:pPr>
      <w:r>
        <w:rPr>
          <w:rFonts w:hint="eastAsia" w:ascii="宋体" w:hAnsi="宋体"/>
          <w:color w:val="auto"/>
        </w:rPr>
        <w:t>2．</w:t>
      </w:r>
      <w:r>
        <w:rPr>
          <w:rFonts w:ascii="宋体" w:hAnsi="宋体"/>
          <w:color w:val="auto"/>
        </w:rPr>
        <w:t>发生紧急事故需抢修的，承包人在接到事故通知后，应当立即到达事故现场抢修。</w:t>
      </w:r>
    </w:p>
    <w:p w14:paraId="51B0E8C5">
      <w:pPr>
        <w:spacing w:line="360" w:lineRule="exact"/>
        <w:rPr>
          <w:color w:val="auto"/>
        </w:rPr>
      </w:pPr>
      <w:r>
        <w:rPr>
          <w:rFonts w:hint="eastAsia" w:ascii="宋体" w:hAnsi="宋体"/>
          <w:color w:val="auto"/>
        </w:rPr>
        <w:t>3．</w:t>
      </w:r>
      <w:r>
        <w:rPr>
          <w:rFonts w:ascii="宋体" w:hAnsi="宋体"/>
          <w:color w:val="auto"/>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8F8D926">
      <w:pPr>
        <w:spacing w:line="360" w:lineRule="exact"/>
        <w:rPr>
          <w:color w:val="auto"/>
        </w:rPr>
      </w:pPr>
      <w:r>
        <w:rPr>
          <w:rFonts w:hint="eastAsia" w:ascii="宋体" w:hAnsi="宋体"/>
          <w:color w:val="auto"/>
        </w:rPr>
        <w:t>4．</w:t>
      </w:r>
      <w:r>
        <w:rPr>
          <w:rFonts w:ascii="宋体" w:hAnsi="宋体"/>
          <w:color w:val="auto"/>
        </w:rPr>
        <w:t>质量保修完成后，由发包人组织验收。</w:t>
      </w:r>
    </w:p>
    <w:p w14:paraId="71E54244">
      <w:pPr>
        <w:spacing w:line="360" w:lineRule="exact"/>
        <w:rPr>
          <w:rFonts w:eastAsia="黑体"/>
          <w:color w:val="auto"/>
        </w:rPr>
      </w:pPr>
      <w:r>
        <w:rPr>
          <w:rFonts w:ascii="黑体" w:hAnsi="黑体" w:eastAsia="黑体"/>
          <w:color w:val="auto"/>
        </w:rPr>
        <w:t>五、保修费用</w:t>
      </w:r>
    </w:p>
    <w:p w14:paraId="63E5A74E">
      <w:pPr>
        <w:spacing w:line="360" w:lineRule="exact"/>
        <w:rPr>
          <w:color w:val="auto"/>
        </w:rPr>
      </w:pPr>
      <w:r>
        <w:rPr>
          <w:rFonts w:ascii="宋体" w:hAnsi="宋体"/>
          <w:color w:val="auto"/>
        </w:rPr>
        <w:t>保修费用由造成质量缺陷的责任方承担。</w:t>
      </w:r>
    </w:p>
    <w:p w14:paraId="30B11B73">
      <w:pPr>
        <w:spacing w:line="360" w:lineRule="exact"/>
        <w:rPr>
          <w:rFonts w:ascii="宋体" w:hAnsi="宋体"/>
          <w:color w:val="auto"/>
        </w:rPr>
      </w:pPr>
      <w:r>
        <w:rPr>
          <w:rFonts w:hint="eastAsia" w:ascii="黑体" w:hAnsi="黑体" w:eastAsia="黑体"/>
          <w:color w:val="auto"/>
        </w:rPr>
        <w:t>六</w:t>
      </w:r>
      <w:r>
        <w:rPr>
          <w:rFonts w:ascii="黑体" w:hAnsi="黑体" w:eastAsia="黑体"/>
          <w:color w:val="auto"/>
        </w:rPr>
        <w:t>、双方约定的其他工程质量保修事项</w:t>
      </w:r>
      <w:r>
        <w:rPr>
          <w:rFonts w:ascii="宋体" w:hAnsi="宋体"/>
          <w:color w:val="auto"/>
        </w:rPr>
        <w:t>：</w:t>
      </w:r>
      <w:r>
        <w:rPr>
          <w:rFonts w:hint="eastAsia" w:ascii="宋体" w:hAnsi="宋体"/>
          <w:color w:val="auto"/>
          <w:u w:val="single"/>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w:t>
      </w:r>
      <w:r>
        <w:rPr>
          <w:color w:val="auto"/>
          <w:u w:val="single"/>
        </w:rPr>
        <w:t xml:space="preserve"> </w:t>
      </w:r>
      <w:r>
        <w:rPr>
          <w:rFonts w:hint="eastAsia" w:ascii="宋体" w:hAnsi="宋体"/>
          <w:color w:val="auto"/>
        </w:rPr>
        <w:t>。</w:t>
      </w:r>
    </w:p>
    <w:p w14:paraId="6500A23F">
      <w:pPr>
        <w:spacing w:line="360" w:lineRule="exact"/>
        <w:rPr>
          <w:color w:val="auto"/>
        </w:rPr>
      </w:pPr>
      <w:r>
        <w:rPr>
          <w:rFonts w:ascii="宋体" w:hAnsi="宋体"/>
          <w:color w:val="auto"/>
        </w:rPr>
        <w:t>工程质量保修书由发包人、承包人在工程竣工验收前共同签署，作为施工合同附件，其有效期限至保修期满。</w:t>
      </w:r>
    </w:p>
    <w:p w14:paraId="35C7154E">
      <w:pPr>
        <w:spacing w:line="360" w:lineRule="exact"/>
        <w:rPr>
          <w:color w:val="auto"/>
        </w:rPr>
      </w:pPr>
      <w:r>
        <w:rPr>
          <w:color w:val="auto"/>
        </w:rPr>
        <w:t xml:space="preserve"> </w:t>
      </w:r>
    </w:p>
    <w:p w14:paraId="5BD57019">
      <w:pPr>
        <w:spacing w:line="360" w:lineRule="exact"/>
        <w:rPr>
          <w:color w:val="auto"/>
        </w:rPr>
      </w:pPr>
      <w:r>
        <w:rPr>
          <w:rFonts w:ascii="宋体" w:hAnsi="宋体"/>
          <w:color w:val="auto"/>
        </w:rPr>
        <w:t>发包人</w:t>
      </w:r>
      <w:r>
        <w:rPr>
          <w:rFonts w:hint="eastAsia" w:ascii="宋体" w:hAnsi="宋体"/>
          <w:color w:val="auto"/>
        </w:rPr>
        <w:t>（</w:t>
      </w:r>
      <w:r>
        <w:rPr>
          <w:rFonts w:ascii="宋体" w:hAnsi="宋体"/>
          <w:color w:val="auto"/>
        </w:rPr>
        <w:t>公章</w:t>
      </w:r>
      <w:r>
        <w:rPr>
          <w:rFonts w:hint="eastAsia" w:ascii="宋体" w:hAnsi="宋体"/>
          <w:color w:val="auto"/>
        </w:rPr>
        <w:t>）</w:t>
      </w:r>
      <w:r>
        <w:rPr>
          <w:rFonts w:ascii="宋体" w:hAnsi="宋体"/>
          <w:color w:val="auto"/>
        </w:rPr>
        <w:t>：</w:t>
      </w:r>
      <w:r>
        <w:rPr>
          <w:color w:val="auto"/>
          <w:u w:val="single"/>
        </w:rPr>
        <w:t xml:space="preserve">        </w:t>
      </w:r>
      <w:r>
        <w:rPr>
          <w:color w:val="auto"/>
        </w:rPr>
        <w:t xml:space="preserve"> </w:t>
      </w:r>
      <w:r>
        <w:rPr>
          <w:rFonts w:hint="eastAsia" w:ascii="宋体" w:hAnsi="宋体"/>
          <w:color w:val="auto"/>
        </w:rPr>
        <w:t xml:space="preserve"> </w:t>
      </w:r>
      <w:r>
        <w:rPr>
          <w:rFonts w:ascii="宋体" w:hAnsi="宋体"/>
          <w:color w:val="auto"/>
        </w:rPr>
        <w:t xml:space="preserve">          承包人</w:t>
      </w:r>
      <w:r>
        <w:rPr>
          <w:rFonts w:hint="eastAsia" w:ascii="宋体" w:hAnsi="宋体"/>
          <w:color w:val="auto"/>
        </w:rPr>
        <w:t>（</w:t>
      </w:r>
      <w:r>
        <w:rPr>
          <w:rFonts w:ascii="宋体" w:hAnsi="宋体"/>
          <w:color w:val="auto"/>
        </w:rPr>
        <w:t>公章</w:t>
      </w:r>
      <w:r>
        <w:rPr>
          <w:rFonts w:hint="eastAsia" w:ascii="宋体" w:hAnsi="宋体"/>
          <w:color w:val="auto"/>
        </w:rPr>
        <w:t>）</w:t>
      </w:r>
      <w:r>
        <w:rPr>
          <w:rFonts w:ascii="宋体" w:hAnsi="宋体"/>
          <w:color w:val="auto"/>
        </w:rPr>
        <w:t>：</w:t>
      </w:r>
      <w:r>
        <w:rPr>
          <w:color w:val="auto"/>
          <w:u w:val="single"/>
        </w:rPr>
        <w:t></w:t>
      </w:r>
      <w:r>
        <w:rPr>
          <w:rFonts w:hint="eastAsia" w:ascii="宋体" w:hAnsi="宋体"/>
          <w:color w:val="auto"/>
          <w:u w:val="single"/>
        </w:rPr>
        <w:t xml:space="preserve">            </w:t>
      </w:r>
    </w:p>
    <w:p w14:paraId="47F67443">
      <w:pPr>
        <w:spacing w:line="360" w:lineRule="exact"/>
        <w:ind w:left="4935" w:hanging="4935" w:hangingChars="2350"/>
        <w:rPr>
          <w:rFonts w:ascii="宋体" w:hAnsi="宋体" w:cs="宋体"/>
          <w:color w:val="auto"/>
        </w:rPr>
      </w:pPr>
      <w:r>
        <w:rPr>
          <w:rFonts w:hint="eastAsia" w:ascii="宋体" w:hAnsi="宋体" w:cs="宋体"/>
          <w:color w:val="auto"/>
        </w:rPr>
        <w:t>地  址：</w:t>
      </w:r>
      <w:r>
        <w:rPr>
          <w:rFonts w:hint="eastAsia" w:ascii="宋体" w:hAnsi="宋体" w:cs="宋体"/>
          <w:color w:val="auto"/>
          <w:u w:val="single"/>
        </w:rPr>
        <w:t xml:space="preserve">                    </w:t>
      </w:r>
      <w:r>
        <w:rPr>
          <w:rFonts w:hint="eastAsia" w:ascii="宋体" w:hAnsi="宋体" w:cs="宋体"/>
          <w:color w:val="auto"/>
        </w:rPr>
        <w:t xml:space="preserve">   </w:t>
      </w:r>
      <w:r>
        <w:rPr>
          <w:rFonts w:ascii="宋体" w:hAnsi="宋体" w:cs="宋体"/>
          <w:color w:val="auto"/>
        </w:rPr>
        <w:t xml:space="preserve">          </w:t>
      </w:r>
      <w:r>
        <w:rPr>
          <w:rFonts w:hint="eastAsia" w:ascii="宋体" w:hAnsi="宋体" w:cs="宋体"/>
          <w:color w:val="auto"/>
        </w:rPr>
        <w:t>地  址：</w:t>
      </w:r>
      <w:r>
        <w:rPr>
          <w:color w:val="auto"/>
          <w:u w:val="single"/>
        </w:rPr>
        <w:t></w:t>
      </w:r>
      <w:r>
        <w:rPr>
          <w:rFonts w:hint="eastAsia" w:ascii="宋体" w:hAnsi="宋体"/>
          <w:color w:val="auto"/>
          <w:u w:val="single"/>
        </w:rPr>
        <w:t xml:space="preserve">             </w:t>
      </w:r>
    </w:p>
    <w:p w14:paraId="2AF99D57">
      <w:pPr>
        <w:spacing w:line="360" w:lineRule="exact"/>
        <w:rPr>
          <w:color w:val="auto"/>
        </w:rPr>
      </w:pPr>
      <w:r>
        <w:rPr>
          <w:rFonts w:ascii="宋体" w:hAnsi="宋体"/>
          <w:color w:val="auto"/>
        </w:rPr>
        <w:t>法定代表人</w:t>
      </w:r>
      <w:r>
        <w:rPr>
          <w:rFonts w:hint="eastAsia" w:ascii="宋体" w:hAnsi="宋体"/>
          <w:color w:val="auto"/>
        </w:rPr>
        <w:t>（</w:t>
      </w:r>
      <w:r>
        <w:rPr>
          <w:rFonts w:ascii="宋体" w:hAnsi="宋体"/>
          <w:color w:val="auto"/>
        </w:rPr>
        <w:t>签字</w:t>
      </w:r>
      <w:r>
        <w:rPr>
          <w:rFonts w:hint="eastAsia" w:ascii="宋体" w:hAnsi="宋体"/>
          <w:color w:val="auto"/>
        </w:rPr>
        <w:t>）</w:t>
      </w:r>
      <w:r>
        <w:rPr>
          <w:rFonts w:ascii="宋体" w:hAnsi="宋体"/>
          <w:color w:val="auto"/>
        </w:rPr>
        <w:t>：</w:t>
      </w:r>
      <w:r>
        <w:rPr>
          <w:color w:val="auto"/>
          <w:u w:val="single"/>
        </w:rPr>
        <w:t></w:t>
      </w:r>
      <w:r>
        <w:rPr>
          <w:rFonts w:hint="eastAsia" w:ascii="宋体" w:hAnsi="宋体"/>
          <w:color w:val="auto"/>
          <w:u w:val="single"/>
        </w:rPr>
        <w:t xml:space="preserve">    </w:t>
      </w:r>
      <w:r>
        <w:rPr>
          <w:color w:val="auto"/>
          <w:u w:val="single"/>
        </w:rPr>
        <w:t xml:space="preserve">  </w:t>
      </w:r>
      <w:r>
        <w:rPr>
          <w:color w:val="auto"/>
        </w:rPr>
        <w:t xml:space="preserve">           </w:t>
      </w:r>
      <w:r>
        <w:rPr>
          <w:rFonts w:ascii="宋体" w:hAnsi="宋体"/>
          <w:color w:val="auto"/>
        </w:rPr>
        <w:t>法定代表人</w:t>
      </w:r>
      <w:r>
        <w:rPr>
          <w:rFonts w:hint="eastAsia" w:ascii="宋体" w:hAnsi="宋体"/>
          <w:color w:val="auto"/>
        </w:rPr>
        <w:t>（</w:t>
      </w:r>
      <w:r>
        <w:rPr>
          <w:rFonts w:ascii="宋体" w:hAnsi="宋体"/>
          <w:color w:val="auto"/>
        </w:rPr>
        <w:t>签字</w:t>
      </w:r>
      <w:r>
        <w:rPr>
          <w:rFonts w:hint="eastAsia" w:ascii="宋体" w:hAnsi="宋体"/>
          <w:color w:val="auto"/>
        </w:rPr>
        <w:t>）</w:t>
      </w:r>
      <w:r>
        <w:rPr>
          <w:rFonts w:ascii="宋体" w:hAnsi="宋体"/>
          <w:color w:val="auto"/>
        </w:rPr>
        <w:t>：</w:t>
      </w:r>
      <w:r>
        <w:rPr>
          <w:color w:val="auto"/>
          <w:u w:val="single"/>
        </w:rPr>
        <w:t></w:t>
      </w:r>
      <w:r>
        <w:rPr>
          <w:rFonts w:hint="eastAsia" w:ascii="宋体" w:hAnsi="宋体"/>
          <w:color w:val="auto"/>
          <w:u w:val="single"/>
        </w:rPr>
        <w:t xml:space="preserve">      </w:t>
      </w:r>
      <w:r>
        <w:rPr>
          <w:color w:val="auto"/>
          <w:u w:val="single"/>
        </w:rPr>
        <w:t xml:space="preserve"> </w:t>
      </w:r>
    </w:p>
    <w:p w14:paraId="7208D4FD">
      <w:pPr>
        <w:spacing w:line="360" w:lineRule="exact"/>
        <w:rPr>
          <w:color w:val="auto"/>
        </w:rPr>
      </w:pPr>
      <w:r>
        <w:rPr>
          <w:rFonts w:ascii="宋体" w:hAnsi="宋体"/>
          <w:color w:val="auto"/>
        </w:rPr>
        <w:t>委托代理人</w:t>
      </w:r>
      <w:r>
        <w:rPr>
          <w:rFonts w:hint="eastAsia" w:ascii="宋体" w:hAnsi="宋体"/>
          <w:color w:val="auto"/>
        </w:rPr>
        <w:t>（</w:t>
      </w:r>
      <w:r>
        <w:rPr>
          <w:rFonts w:ascii="宋体" w:hAnsi="宋体"/>
          <w:color w:val="auto"/>
        </w:rPr>
        <w:t>签字</w:t>
      </w:r>
      <w:r>
        <w:rPr>
          <w:rFonts w:hint="eastAsia" w:ascii="宋体" w:hAnsi="宋体"/>
          <w:color w:val="auto"/>
        </w:rPr>
        <w:t>）</w:t>
      </w:r>
      <w:r>
        <w:rPr>
          <w:rFonts w:ascii="宋体" w:hAnsi="宋体"/>
          <w:color w:val="auto"/>
        </w:rPr>
        <w:t>：</w:t>
      </w:r>
      <w:r>
        <w:rPr>
          <w:color w:val="auto"/>
          <w:u w:val="single"/>
        </w:rPr>
        <w:t xml:space="preserve">      </w:t>
      </w:r>
      <w:r>
        <w:rPr>
          <w:color w:val="auto"/>
        </w:rPr>
        <w:t xml:space="preserve">           </w:t>
      </w:r>
      <w:r>
        <w:rPr>
          <w:rFonts w:ascii="宋体" w:hAnsi="宋体"/>
          <w:color w:val="auto"/>
        </w:rPr>
        <w:t>委托代理人</w:t>
      </w:r>
      <w:r>
        <w:rPr>
          <w:rFonts w:hint="eastAsia" w:ascii="宋体" w:hAnsi="宋体"/>
          <w:color w:val="auto"/>
        </w:rPr>
        <w:t>（</w:t>
      </w:r>
      <w:r>
        <w:rPr>
          <w:rFonts w:ascii="宋体" w:hAnsi="宋体"/>
          <w:color w:val="auto"/>
        </w:rPr>
        <w:t>签字</w:t>
      </w:r>
      <w:r>
        <w:rPr>
          <w:rFonts w:hint="eastAsia" w:ascii="宋体" w:hAnsi="宋体"/>
          <w:color w:val="auto"/>
        </w:rPr>
        <w:t>）</w:t>
      </w:r>
      <w:r>
        <w:rPr>
          <w:rFonts w:ascii="宋体" w:hAnsi="宋体"/>
          <w:color w:val="auto"/>
        </w:rPr>
        <w:t>：</w:t>
      </w:r>
      <w:r>
        <w:rPr>
          <w:color w:val="auto"/>
          <w:u w:val="single"/>
        </w:rPr>
        <w:t xml:space="preserve">  </w:t>
      </w:r>
      <w:r>
        <w:rPr>
          <w:rFonts w:hint="eastAsia" w:ascii="宋体" w:hAnsi="宋体"/>
          <w:color w:val="auto"/>
          <w:u w:val="single"/>
        </w:rPr>
        <w:t xml:space="preserve"> </w:t>
      </w:r>
      <w:r>
        <w:rPr>
          <w:color w:val="auto"/>
          <w:u w:val="single"/>
        </w:rPr>
        <w:t xml:space="preserve">    </w:t>
      </w:r>
    </w:p>
    <w:p w14:paraId="6CD641BC">
      <w:pPr>
        <w:spacing w:line="360" w:lineRule="exact"/>
        <w:rPr>
          <w:rFonts w:ascii="宋体" w:hAnsi="宋体" w:cs="宋体"/>
          <w:color w:val="auto"/>
        </w:rPr>
      </w:pPr>
      <w:r>
        <w:rPr>
          <w:rFonts w:hint="eastAsia" w:ascii="宋体" w:hAnsi="宋体" w:cs="宋体"/>
          <w:color w:val="auto"/>
        </w:rPr>
        <w:t>电  话：</w:t>
      </w:r>
      <w:r>
        <w:rPr>
          <w:rFonts w:hint="eastAsia" w:ascii="宋体" w:hAnsi="宋体" w:cs="宋体"/>
          <w:color w:val="auto"/>
          <w:u w:val="single"/>
        </w:rPr>
        <w:t xml:space="preserve">                        </w:t>
      </w:r>
      <w:r>
        <w:rPr>
          <w:rFonts w:hint="eastAsia" w:ascii="宋体" w:hAnsi="宋体" w:cs="宋体"/>
          <w:color w:val="auto"/>
        </w:rPr>
        <w:t xml:space="preserve">   </w:t>
      </w:r>
      <w:r>
        <w:rPr>
          <w:rFonts w:ascii="宋体" w:hAnsi="宋体" w:cs="宋体"/>
          <w:color w:val="auto"/>
        </w:rPr>
        <w:t xml:space="preserve">       </w:t>
      </w:r>
      <w:r>
        <w:rPr>
          <w:rFonts w:hint="eastAsia" w:ascii="宋体" w:hAnsi="宋体" w:cs="宋体"/>
          <w:color w:val="auto"/>
        </w:rPr>
        <w:t>电  话：</w:t>
      </w:r>
      <w:r>
        <w:rPr>
          <w:rFonts w:hint="eastAsia" w:ascii="宋体" w:hAnsi="宋体" w:cs="宋体"/>
          <w:color w:val="auto"/>
          <w:u w:val="single"/>
        </w:rPr>
        <w:t xml:space="preserve"> </w:t>
      </w:r>
      <w:r>
        <w:rPr>
          <w:color w:val="auto"/>
          <w:u w:val="single"/>
        </w:rPr>
        <w:t></w:t>
      </w:r>
      <w:r>
        <w:rPr>
          <w:rFonts w:hint="eastAsia" w:ascii="宋体" w:hAnsi="宋体"/>
          <w:color w:val="auto"/>
          <w:u w:val="single"/>
        </w:rPr>
        <w:t xml:space="preserve">             </w:t>
      </w:r>
      <w:r>
        <w:rPr>
          <w:rFonts w:hint="eastAsia" w:ascii="宋体" w:hAnsi="宋体" w:cs="宋体"/>
          <w:color w:val="auto"/>
          <w:u w:val="single"/>
        </w:rPr>
        <w:t xml:space="preserve">  </w:t>
      </w:r>
    </w:p>
    <w:p w14:paraId="1FF18BA3">
      <w:pPr>
        <w:spacing w:line="360" w:lineRule="exact"/>
        <w:rPr>
          <w:color w:val="auto"/>
        </w:rPr>
      </w:pPr>
      <w:r>
        <w:rPr>
          <w:rFonts w:ascii="宋体" w:hAnsi="宋体"/>
          <w:color w:val="auto"/>
        </w:rPr>
        <w:t>传</w:t>
      </w:r>
      <w:r>
        <w:rPr>
          <w:color w:val="auto"/>
        </w:rPr>
        <w:t xml:space="preserve">  </w:t>
      </w:r>
      <w:r>
        <w:rPr>
          <w:rFonts w:ascii="宋体" w:hAnsi="宋体"/>
          <w:color w:val="auto"/>
        </w:rPr>
        <w:t>真：</w:t>
      </w:r>
      <w:r>
        <w:rPr>
          <w:color w:val="auto"/>
          <w:u w:val="single"/>
        </w:rPr>
        <w:t xml:space="preserve">   </w:t>
      </w:r>
      <w:r>
        <w:rPr>
          <w:color w:val="auto"/>
        </w:rPr>
        <w:t xml:space="preserve"> </w:t>
      </w:r>
      <w:r>
        <w:rPr>
          <w:rFonts w:hint="eastAsia" w:ascii="宋体" w:hAnsi="宋体"/>
          <w:color w:val="auto"/>
        </w:rPr>
        <w:t xml:space="preserve">  </w:t>
      </w:r>
      <w:r>
        <w:rPr>
          <w:rFonts w:ascii="宋体" w:hAnsi="宋体"/>
          <w:color w:val="auto"/>
        </w:rPr>
        <w:t xml:space="preserve">           传</w:t>
      </w:r>
      <w:r>
        <w:rPr>
          <w:color w:val="auto"/>
        </w:rPr>
        <w:t xml:space="preserve">  </w:t>
      </w:r>
      <w:r>
        <w:rPr>
          <w:rFonts w:ascii="宋体" w:hAnsi="宋体"/>
          <w:color w:val="auto"/>
        </w:rPr>
        <w:t>真：</w:t>
      </w:r>
      <w:r>
        <w:rPr>
          <w:color w:val="auto"/>
          <w:u w:val="single"/>
        </w:rPr>
        <w:t></w:t>
      </w:r>
      <w:r>
        <w:rPr>
          <w:rFonts w:hint="eastAsia" w:ascii="宋体" w:hAnsi="宋体"/>
          <w:color w:val="auto"/>
          <w:u w:val="single"/>
        </w:rPr>
        <w:t xml:space="preserve">  </w:t>
      </w:r>
      <w:r>
        <w:rPr>
          <w:color w:val="auto"/>
          <w:u w:val="single"/>
        </w:rPr>
        <w:t xml:space="preserve">   </w:t>
      </w:r>
      <w:r>
        <w:rPr>
          <w:rFonts w:hint="eastAsia" w:ascii="宋体" w:hAnsi="宋体"/>
          <w:color w:val="auto"/>
          <w:u w:val="single"/>
        </w:rPr>
        <w:t xml:space="preserve"> </w:t>
      </w:r>
    </w:p>
    <w:p w14:paraId="30FA19BD">
      <w:pPr>
        <w:spacing w:line="360" w:lineRule="exact"/>
        <w:ind w:left="5880" w:hanging="5880" w:hangingChars="2800"/>
        <w:rPr>
          <w:rFonts w:ascii="宋体" w:hAnsi="宋体" w:cs="宋体"/>
          <w:color w:val="auto"/>
        </w:rPr>
      </w:pPr>
      <w:r>
        <w:rPr>
          <w:rFonts w:hint="eastAsia" w:ascii="宋体" w:hAnsi="宋体" w:cs="宋体"/>
          <w:color w:val="auto"/>
        </w:rPr>
        <w:t>开户银行：</w:t>
      </w:r>
      <w:r>
        <w:rPr>
          <w:rFonts w:hint="eastAsia" w:ascii="宋体" w:hAnsi="宋体" w:cs="宋体"/>
          <w:color w:val="auto"/>
          <w:u w:val="single"/>
        </w:rPr>
        <w:t xml:space="preserve">                    </w:t>
      </w:r>
      <w:r>
        <w:rPr>
          <w:rFonts w:hint="eastAsia" w:ascii="宋体" w:hAnsi="宋体" w:cs="宋体"/>
          <w:color w:val="auto"/>
        </w:rPr>
        <w:t xml:space="preserve">  </w:t>
      </w:r>
      <w:r>
        <w:rPr>
          <w:rFonts w:ascii="宋体" w:hAnsi="宋体" w:cs="宋体"/>
          <w:color w:val="auto"/>
        </w:rPr>
        <w:t xml:space="preserve"> </w:t>
      </w:r>
      <w:r>
        <w:rPr>
          <w:rFonts w:hint="eastAsia" w:ascii="宋体" w:hAnsi="宋体" w:cs="宋体"/>
          <w:color w:val="auto"/>
        </w:rPr>
        <w:t xml:space="preserve"> </w:t>
      </w:r>
      <w:r>
        <w:rPr>
          <w:rFonts w:ascii="宋体" w:hAnsi="宋体" w:cs="宋体"/>
          <w:color w:val="auto"/>
        </w:rPr>
        <w:t xml:space="preserve">       </w:t>
      </w:r>
      <w:r>
        <w:rPr>
          <w:rFonts w:hint="eastAsia" w:ascii="宋体" w:hAnsi="宋体" w:cs="宋体"/>
          <w:color w:val="auto"/>
        </w:rPr>
        <w:t>开户银行：</w:t>
      </w:r>
      <w:r>
        <w:rPr>
          <w:color w:val="auto"/>
          <w:u w:val="single"/>
        </w:rPr>
        <w:t></w:t>
      </w:r>
      <w:r>
        <w:rPr>
          <w:rFonts w:hint="eastAsia" w:ascii="宋体" w:hAnsi="宋体"/>
          <w:color w:val="auto"/>
          <w:u w:val="single"/>
        </w:rPr>
        <w:t xml:space="preserve">             </w:t>
      </w:r>
    </w:p>
    <w:p w14:paraId="377F679F">
      <w:pPr>
        <w:keepNext/>
        <w:keepLines/>
        <w:spacing w:before="100" w:line="400" w:lineRule="exact"/>
        <w:outlineLvl w:val="1"/>
        <w:rPr>
          <w:rFonts w:ascii="宋体" w:hAnsi="宋体" w:cs="宋体"/>
          <w:color w:val="auto"/>
          <w:u w:val="single"/>
        </w:rPr>
      </w:pPr>
      <w:r>
        <w:rPr>
          <w:rFonts w:hint="eastAsia" w:ascii="宋体" w:hAnsi="宋体" w:cs="宋体"/>
          <w:color w:val="auto"/>
        </w:rPr>
        <w:t>账  号：</w:t>
      </w:r>
      <w:r>
        <w:rPr>
          <w:rFonts w:hint="eastAsia" w:ascii="宋体" w:hAnsi="宋体" w:cs="宋体"/>
          <w:color w:val="auto"/>
          <w:u w:val="single"/>
        </w:rPr>
        <w:t xml:space="preserve">                      </w:t>
      </w:r>
      <w:r>
        <w:rPr>
          <w:rFonts w:hint="eastAsia" w:ascii="宋体" w:hAnsi="宋体" w:cs="宋体"/>
          <w:color w:val="auto"/>
        </w:rPr>
        <w:t xml:space="preserve">  </w:t>
      </w:r>
      <w:r>
        <w:rPr>
          <w:rFonts w:ascii="宋体" w:hAnsi="宋体" w:cs="宋体"/>
          <w:color w:val="auto"/>
        </w:rPr>
        <w:t xml:space="preserve"> </w:t>
      </w:r>
      <w:r>
        <w:rPr>
          <w:rFonts w:hint="eastAsia" w:ascii="宋体" w:hAnsi="宋体" w:cs="宋体"/>
          <w:color w:val="auto"/>
        </w:rPr>
        <w:t xml:space="preserve"> </w:t>
      </w:r>
      <w:r>
        <w:rPr>
          <w:rFonts w:ascii="宋体" w:hAnsi="宋体" w:cs="宋体"/>
          <w:color w:val="auto"/>
        </w:rPr>
        <w:t xml:space="preserve">       </w:t>
      </w:r>
      <w:r>
        <w:rPr>
          <w:rFonts w:hint="eastAsia" w:ascii="宋体" w:hAnsi="宋体" w:cs="宋体"/>
          <w:color w:val="auto"/>
        </w:rPr>
        <w:t>账  号：</w:t>
      </w:r>
      <w:r>
        <w:rPr>
          <w:color w:val="auto"/>
          <w:u w:val="single"/>
        </w:rPr>
        <w:t></w:t>
      </w:r>
      <w:r>
        <w:rPr>
          <w:rFonts w:hint="eastAsia" w:ascii="宋体" w:hAnsi="宋体"/>
          <w:color w:val="auto"/>
          <w:u w:val="single"/>
        </w:rPr>
        <w:t xml:space="preserve">             </w:t>
      </w:r>
    </w:p>
    <w:p w14:paraId="7A43D07E">
      <w:pPr>
        <w:keepNext/>
        <w:keepLines/>
        <w:spacing w:before="100" w:line="400" w:lineRule="exact"/>
        <w:outlineLvl w:val="1"/>
        <w:rPr>
          <w:rFonts w:ascii="宋体" w:hAnsi="宋体"/>
          <w:color w:val="auto"/>
          <w:u w:val="single"/>
        </w:rPr>
      </w:pPr>
      <w:r>
        <w:rPr>
          <w:rFonts w:ascii="宋体" w:hAnsi="宋体"/>
          <w:color w:val="auto"/>
        </w:rPr>
        <w:t>邮政编码：</w:t>
      </w:r>
      <w:r>
        <w:rPr>
          <w:color w:val="auto"/>
          <w:u w:val="single"/>
        </w:rPr>
        <w:t xml:space="preserve">     </w:t>
      </w:r>
      <w:r>
        <w:rPr>
          <w:color w:val="auto"/>
        </w:rPr>
        <w:t xml:space="preserve"> </w:t>
      </w:r>
      <w:r>
        <w:rPr>
          <w:rFonts w:hint="eastAsia" w:ascii="宋体" w:hAnsi="宋体"/>
          <w:color w:val="auto"/>
        </w:rPr>
        <w:t xml:space="preserve">  </w:t>
      </w:r>
      <w:r>
        <w:rPr>
          <w:rFonts w:ascii="宋体" w:hAnsi="宋体"/>
          <w:color w:val="auto"/>
        </w:rPr>
        <w:t xml:space="preserve">           邮政编码：</w:t>
      </w:r>
      <w:r>
        <w:rPr>
          <w:color w:val="auto"/>
          <w:u w:val="single"/>
        </w:rPr>
        <w:t xml:space="preserve">  </w:t>
      </w:r>
      <w:r>
        <w:rPr>
          <w:rFonts w:hint="eastAsia" w:ascii="宋体" w:hAnsi="宋体"/>
          <w:color w:val="auto"/>
          <w:u w:val="single"/>
        </w:rPr>
        <w:t xml:space="preserve"> </w:t>
      </w:r>
    </w:p>
    <w:p w14:paraId="37525BB4">
      <w:pPr>
        <w:spacing w:line="360" w:lineRule="exact"/>
        <w:rPr>
          <w:rFonts w:ascii="宋体" w:hAnsi="宋体"/>
          <w:color w:val="auto"/>
          <w:u w:val="single"/>
        </w:rPr>
      </w:pPr>
    </w:p>
    <w:p w14:paraId="49067F8E">
      <w:pPr>
        <w:spacing w:after="120"/>
        <w:rPr>
          <w:color w:val="auto"/>
        </w:rPr>
      </w:pPr>
    </w:p>
    <w:p w14:paraId="4F1D1161">
      <w:pPr>
        <w:adjustRightInd w:val="0"/>
        <w:spacing w:line="360" w:lineRule="exact"/>
        <w:jc w:val="center"/>
        <w:rPr>
          <w:rFonts w:ascii="黑体" w:hAnsi="黑体" w:eastAsia="黑体"/>
          <w:color w:val="auto"/>
          <w:sz w:val="30"/>
          <w:szCs w:val="30"/>
        </w:rPr>
      </w:pPr>
    </w:p>
    <w:p w14:paraId="705AB957">
      <w:pPr>
        <w:adjustRightInd w:val="0"/>
        <w:spacing w:line="360" w:lineRule="exact"/>
        <w:jc w:val="center"/>
        <w:rPr>
          <w:rFonts w:ascii="黑体" w:hAnsi="黑体" w:eastAsia="黑体"/>
          <w:color w:val="auto"/>
          <w:sz w:val="30"/>
          <w:szCs w:val="30"/>
        </w:rPr>
      </w:pPr>
    </w:p>
    <w:p w14:paraId="73AFD86A">
      <w:pPr>
        <w:adjustRightInd w:val="0"/>
        <w:spacing w:line="360" w:lineRule="exact"/>
        <w:jc w:val="center"/>
        <w:rPr>
          <w:rFonts w:ascii="黑体" w:hAnsi="黑体" w:eastAsia="黑体"/>
          <w:color w:val="auto"/>
          <w:sz w:val="30"/>
          <w:szCs w:val="30"/>
        </w:rPr>
      </w:pPr>
    </w:p>
    <w:p w14:paraId="7D2549EE">
      <w:pPr>
        <w:adjustRightInd w:val="0"/>
        <w:spacing w:line="360" w:lineRule="exact"/>
        <w:jc w:val="center"/>
        <w:rPr>
          <w:rFonts w:ascii="黑体" w:hAnsi="黑体" w:eastAsia="黑体"/>
          <w:color w:val="auto"/>
          <w:sz w:val="30"/>
          <w:szCs w:val="30"/>
        </w:rPr>
      </w:pPr>
    </w:p>
    <w:p w14:paraId="0F984C8B">
      <w:pPr>
        <w:adjustRightInd w:val="0"/>
        <w:spacing w:line="360" w:lineRule="exact"/>
        <w:jc w:val="center"/>
        <w:rPr>
          <w:rFonts w:ascii="黑体" w:hAnsi="黑体" w:eastAsia="黑体"/>
          <w:color w:val="auto"/>
          <w:sz w:val="30"/>
          <w:szCs w:val="30"/>
        </w:rPr>
        <w:sectPr>
          <w:footerReference r:id="rId5" w:type="default"/>
          <w:footnotePr>
            <w:numRestart w:val="eachPage"/>
          </w:footnotePr>
          <w:endnotePr>
            <w:numRestart w:val="eachSect"/>
          </w:endnotePr>
          <w:pgSz w:w="11907" w:h="16840"/>
          <w:pgMar w:top="1247" w:right="1361" w:bottom="1247" w:left="1361" w:header="851" w:footer="824" w:gutter="0"/>
          <w:pgNumType w:fmt="decimal"/>
          <w:cols w:space="720" w:num="1"/>
          <w:docGrid w:linePitch="435" w:charSpace="-6554"/>
        </w:sectPr>
      </w:pPr>
    </w:p>
    <w:p w14:paraId="60C1CD3B">
      <w:pPr>
        <w:keepNext/>
        <w:keepLines/>
        <w:spacing w:before="100" w:line="400" w:lineRule="exact"/>
        <w:jc w:val="center"/>
        <w:outlineLvl w:val="1"/>
        <w:rPr>
          <w:rFonts w:ascii="黑体" w:hAnsi="黑体" w:eastAsia="黑体"/>
          <w:b/>
          <w:bCs/>
          <w:color w:val="auto"/>
          <w:sz w:val="30"/>
          <w:szCs w:val="30"/>
        </w:rPr>
      </w:pPr>
      <w:r>
        <w:rPr>
          <w:rFonts w:hint="eastAsia" w:ascii="黑体" w:hAnsi="黑体" w:eastAsia="黑体"/>
          <w:b/>
          <w:bCs/>
          <w:color w:val="auto"/>
          <w:sz w:val="30"/>
          <w:szCs w:val="30"/>
        </w:rPr>
        <w:t>工程建设项目廉政责任书</w:t>
      </w:r>
    </w:p>
    <w:p w14:paraId="4E508F8B">
      <w:pPr>
        <w:adjustRightInd w:val="0"/>
        <w:spacing w:line="360" w:lineRule="exact"/>
        <w:jc w:val="center"/>
        <w:rPr>
          <w:rFonts w:ascii="黑体" w:hAnsi="黑体" w:eastAsia="黑体"/>
          <w:color w:val="auto"/>
          <w:sz w:val="28"/>
          <w:szCs w:val="28"/>
        </w:rPr>
      </w:pPr>
    </w:p>
    <w:p w14:paraId="0B7F8C35">
      <w:pPr>
        <w:autoSpaceDE w:val="0"/>
        <w:autoSpaceDN w:val="0"/>
        <w:spacing w:line="360" w:lineRule="exact"/>
        <w:rPr>
          <w:rFonts w:ascii="宋体" w:hAnsi="宋体"/>
          <w:color w:val="auto"/>
        </w:rPr>
      </w:pPr>
      <w:r>
        <w:rPr>
          <w:rFonts w:hint="eastAsia" w:ascii="宋体" w:hAnsi="宋体"/>
          <w:color w:val="auto"/>
        </w:rPr>
        <w:t>工程项目名称：</w:t>
      </w:r>
      <w:r>
        <w:rPr>
          <w:rFonts w:hint="eastAsia" w:ascii="宋体" w:hAnsi="宋体"/>
          <w:color w:val="auto"/>
          <w:u w:val="single"/>
          <w:lang w:eastAsia="zh-CN"/>
        </w:rPr>
        <w:t>台州职业技术学院教师公寓三单元4、5、6层改造项目</w:t>
      </w:r>
      <w:r>
        <w:rPr>
          <w:rFonts w:ascii="宋体" w:hAnsi="宋体"/>
          <w:color w:val="auto"/>
          <w:u w:val="single"/>
        </w:rPr>
        <w:t xml:space="preserve">    </w:t>
      </w:r>
      <w:r>
        <w:rPr>
          <w:rFonts w:hint="eastAsia" w:ascii="宋体" w:hAnsi="宋体"/>
          <w:color w:val="auto"/>
          <w:u w:val="single"/>
        </w:rPr>
        <w:t xml:space="preserve">    </w:t>
      </w:r>
    </w:p>
    <w:p w14:paraId="3C500C96">
      <w:pPr>
        <w:autoSpaceDE w:val="0"/>
        <w:autoSpaceDN w:val="0"/>
        <w:spacing w:line="360" w:lineRule="exact"/>
        <w:rPr>
          <w:rFonts w:ascii="宋体" w:hAnsi="宋体"/>
          <w:color w:val="auto"/>
          <w:u w:val="single"/>
        </w:rPr>
      </w:pPr>
      <w:r>
        <w:rPr>
          <w:rFonts w:hint="eastAsia" w:ascii="宋体" w:hAnsi="宋体"/>
          <w:color w:val="auto"/>
        </w:rPr>
        <w:t>工程项目地址：</w:t>
      </w:r>
      <w:r>
        <w:rPr>
          <w:rFonts w:hint="eastAsia" w:ascii="宋体" w:hAnsi="宋体"/>
          <w:color w:val="auto"/>
          <w:u w:val="single"/>
        </w:rPr>
        <w:t xml:space="preserve">       </w:t>
      </w:r>
    </w:p>
    <w:p w14:paraId="25CACE55">
      <w:pPr>
        <w:autoSpaceDE w:val="0"/>
        <w:autoSpaceDN w:val="0"/>
        <w:spacing w:line="360" w:lineRule="exact"/>
        <w:rPr>
          <w:rFonts w:ascii="宋体" w:hAnsi="宋体"/>
          <w:color w:val="auto"/>
        </w:rPr>
      </w:pPr>
      <w:r>
        <w:rPr>
          <w:rFonts w:hint="eastAsia" w:ascii="宋体" w:hAnsi="宋体"/>
          <w:color w:val="auto"/>
        </w:rPr>
        <w:t>建设单位（甲方）：</w:t>
      </w:r>
      <w:r>
        <w:rPr>
          <w:rFonts w:hint="eastAsia" w:ascii="宋体" w:hAnsi="宋体"/>
          <w:color w:val="auto"/>
          <w:u w:val="single"/>
        </w:rPr>
        <w:t xml:space="preserve">台州职业技术学院    </w:t>
      </w:r>
    </w:p>
    <w:p w14:paraId="1D8665AF">
      <w:pPr>
        <w:autoSpaceDE w:val="0"/>
        <w:autoSpaceDN w:val="0"/>
        <w:spacing w:line="360" w:lineRule="exact"/>
        <w:rPr>
          <w:rFonts w:ascii="宋体" w:hAnsi="宋体"/>
          <w:color w:val="auto"/>
        </w:rPr>
      </w:pPr>
      <w:r>
        <w:rPr>
          <w:rFonts w:hint="eastAsia" w:ascii="宋体" w:hAnsi="宋体"/>
          <w:color w:val="auto"/>
        </w:rPr>
        <w:t>施工单位（乙方）：</w:t>
      </w:r>
      <w:r>
        <w:rPr>
          <w:color w:val="auto"/>
          <w:u w:val="single"/>
        </w:rPr>
        <w:t></w:t>
      </w:r>
      <w:r>
        <w:rPr>
          <w:rFonts w:hint="eastAsia" w:ascii="宋体" w:hAnsi="宋体"/>
          <w:color w:val="auto"/>
          <w:u w:val="single"/>
        </w:rPr>
        <w:t xml:space="preserve">             </w:t>
      </w:r>
      <w:r>
        <w:rPr>
          <w:rFonts w:hint="eastAsia" w:ascii="宋体" w:hAnsi="宋体"/>
          <w:color w:val="auto"/>
        </w:rPr>
        <w:t xml:space="preserve"> </w:t>
      </w:r>
    </w:p>
    <w:p w14:paraId="2BA6FC5C">
      <w:pPr>
        <w:autoSpaceDE w:val="0"/>
        <w:autoSpaceDN w:val="0"/>
        <w:spacing w:line="360" w:lineRule="exact"/>
        <w:rPr>
          <w:color w:val="auto"/>
          <w:szCs w:val="21"/>
        </w:rPr>
      </w:pPr>
      <w:r>
        <w:rPr>
          <w:rFonts w:hint="eastAsia"/>
          <w:color w:val="auto"/>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1E1A464">
      <w:pPr>
        <w:autoSpaceDE w:val="0"/>
        <w:autoSpaceDN w:val="0"/>
        <w:spacing w:line="360" w:lineRule="exact"/>
        <w:rPr>
          <w:color w:val="auto"/>
          <w:szCs w:val="21"/>
        </w:rPr>
      </w:pPr>
      <w:r>
        <w:rPr>
          <w:rFonts w:hint="eastAsia"/>
          <w:color w:val="auto"/>
          <w:szCs w:val="21"/>
        </w:rPr>
        <w:t>　　第一条 甲乙双方的责任</w:t>
      </w:r>
    </w:p>
    <w:p w14:paraId="671861D0">
      <w:pPr>
        <w:spacing w:line="360" w:lineRule="exact"/>
        <w:jc w:val="left"/>
        <w:rPr>
          <w:color w:val="auto"/>
          <w:szCs w:val="21"/>
        </w:rPr>
      </w:pPr>
      <w:r>
        <w:rPr>
          <w:rFonts w:hint="eastAsia"/>
          <w:color w:val="auto"/>
          <w:szCs w:val="21"/>
        </w:rPr>
        <w:t>　　（一）应严格遵守国家关于市场准入、项目招标投标、工程建设、施工安装和市场活动等有关法律、法规，相关政策，以及廉政建设的各项规定。</w:t>
      </w:r>
    </w:p>
    <w:p w14:paraId="601F6BA6">
      <w:pPr>
        <w:autoSpaceDE w:val="0"/>
        <w:autoSpaceDN w:val="0"/>
        <w:spacing w:line="360" w:lineRule="exact"/>
        <w:rPr>
          <w:color w:val="auto"/>
          <w:szCs w:val="21"/>
        </w:rPr>
      </w:pPr>
      <w:r>
        <w:rPr>
          <w:rFonts w:hint="eastAsia"/>
          <w:color w:val="auto"/>
          <w:szCs w:val="21"/>
        </w:rPr>
        <w:t>　　（二）严格执行建设工程项目承发包合同文件，自觉按合同办事。</w:t>
      </w:r>
    </w:p>
    <w:p w14:paraId="7CF519E3">
      <w:pPr>
        <w:spacing w:line="360" w:lineRule="exact"/>
        <w:rPr>
          <w:color w:val="auto"/>
          <w:szCs w:val="21"/>
        </w:rPr>
      </w:pPr>
      <w:r>
        <w:rPr>
          <w:rFonts w:hint="eastAsia"/>
          <w:color w:val="auto"/>
          <w:szCs w:val="21"/>
        </w:rPr>
        <w:t>　　（三）业务活动必须坚持公开、公平、公正、诚信、透明的原则（除法律法规另有规定者外），不得为获取不正当的利益，损害国家、集体和对方利益，不得违反工程建设管理、施工安装的规章制度。</w:t>
      </w:r>
    </w:p>
    <w:p w14:paraId="6A611D4C">
      <w:pPr>
        <w:spacing w:line="360" w:lineRule="exact"/>
        <w:jc w:val="left"/>
        <w:rPr>
          <w:color w:val="auto"/>
          <w:szCs w:val="21"/>
        </w:rPr>
      </w:pPr>
      <w:r>
        <w:rPr>
          <w:rFonts w:hint="eastAsia"/>
          <w:color w:val="auto"/>
          <w:szCs w:val="21"/>
        </w:rPr>
        <w:t>　　（四）发现对方在业务活动中有违规、违纪、违法行为的，应及时提醒对方，情节严重的，应向其上级主管部门或纪检监察、司法等有关机关举报。</w:t>
      </w:r>
    </w:p>
    <w:p w14:paraId="60F27D74">
      <w:pPr>
        <w:autoSpaceDE w:val="0"/>
        <w:autoSpaceDN w:val="0"/>
        <w:spacing w:line="360" w:lineRule="exact"/>
        <w:rPr>
          <w:color w:val="auto"/>
          <w:szCs w:val="21"/>
        </w:rPr>
      </w:pPr>
      <w:r>
        <w:rPr>
          <w:rFonts w:hint="eastAsia"/>
          <w:color w:val="auto"/>
          <w:szCs w:val="21"/>
        </w:rPr>
        <w:t>　　第二条 甲方的责任</w:t>
      </w:r>
    </w:p>
    <w:p w14:paraId="30482A19">
      <w:pPr>
        <w:autoSpaceDE w:val="0"/>
        <w:autoSpaceDN w:val="0"/>
        <w:spacing w:line="360" w:lineRule="exact"/>
        <w:rPr>
          <w:color w:val="auto"/>
          <w:szCs w:val="21"/>
        </w:rPr>
      </w:pPr>
      <w:r>
        <w:rPr>
          <w:rFonts w:hint="eastAsia"/>
          <w:color w:val="auto"/>
          <w:szCs w:val="21"/>
        </w:rPr>
        <w:t>　　甲方的领导和从事该建设工程项目的工作人员，在工程建设的事前、事中、事后应遵守以下规定：</w:t>
      </w:r>
    </w:p>
    <w:p w14:paraId="1D5F6085">
      <w:pPr>
        <w:autoSpaceDE w:val="0"/>
        <w:autoSpaceDN w:val="0"/>
        <w:spacing w:line="360" w:lineRule="exact"/>
        <w:rPr>
          <w:color w:val="auto"/>
          <w:szCs w:val="21"/>
        </w:rPr>
      </w:pPr>
      <w:r>
        <w:rPr>
          <w:rFonts w:hint="eastAsia"/>
          <w:color w:val="auto"/>
          <w:szCs w:val="21"/>
        </w:rPr>
        <w:t>　　（一）不准向乙方和相关单位索要或接受回扣、礼金、有价证券、贵重物品和好处费、感谢费等。</w:t>
      </w:r>
    </w:p>
    <w:p w14:paraId="438B04AC">
      <w:pPr>
        <w:autoSpaceDE w:val="0"/>
        <w:autoSpaceDN w:val="0"/>
        <w:spacing w:line="360" w:lineRule="exact"/>
        <w:rPr>
          <w:color w:val="auto"/>
          <w:szCs w:val="21"/>
        </w:rPr>
      </w:pPr>
      <w:r>
        <w:rPr>
          <w:rFonts w:hint="eastAsia"/>
          <w:color w:val="auto"/>
          <w:szCs w:val="21"/>
        </w:rPr>
        <w:t>　　（二）不准在乙方和相关单位报销任何应由甲方或个人支付的费用。</w:t>
      </w:r>
    </w:p>
    <w:p w14:paraId="136C8A18">
      <w:pPr>
        <w:spacing w:line="360" w:lineRule="exact"/>
        <w:jc w:val="left"/>
        <w:rPr>
          <w:color w:val="auto"/>
          <w:szCs w:val="21"/>
        </w:rPr>
      </w:pPr>
      <w:r>
        <w:rPr>
          <w:rFonts w:hint="eastAsia"/>
          <w:color w:val="auto"/>
          <w:szCs w:val="21"/>
        </w:rPr>
        <w:t>　　（三）不准要求、暗示和接受乙方和相关单位为个人装修住房、婚丧嫁娶、配偶子女的工作安排以及出国（境）、旅游等提供方便。</w:t>
      </w:r>
    </w:p>
    <w:p w14:paraId="7A859F1F">
      <w:pPr>
        <w:autoSpaceDE w:val="0"/>
        <w:autoSpaceDN w:val="0"/>
        <w:spacing w:line="360" w:lineRule="exact"/>
        <w:rPr>
          <w:color w:val="auto"/>
          <w:szCs w:val="21"/>
        </w:rPr>
      </w:pPr>
      <w:r>
        <w:rPr>
          <w:rFonts w:hint="eastAsia"/>
          <w:color w:val="auto"/>
          <w:szCs w:val="21"/>
        </w:rPr>
        <w:t>　　（四）不准参加有可能影响公正执行公务的乙方和相关单位的宴请和健身、娱乐等活动。</w:t>
      </w:r>
    </w:p>
    <w:p w14:paraId="3DA634C4">
      <w:pPr>
        <w:spacing w:line="360" w:lineRule="exact"/>
        <w:jc w:val="left"/>
        <w:rPr>
          <w:color w:val="auto"/>
          <w:szCs w:val="21"/>
        </w:rPr>
      </w:pPr>
      <w:r>
        <w:rPr>
          <w:rFonts w:hint="eastAsia"/>
          <w:color w:val="auto"/>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60E9D414">
      <w:pPr>
        <w:autoSpaceDE w:val="0"/>
        <w:autoSpaceDN w:val="0"/>
        <w:spacing w:line="360" w:lineRule="exact"/>
        <w:rPr>
          <w:color w:val="auto"/>
          <w:szCs w:val="21"/>
        </w:rPr>
      </w:pPr>
      <w:r>
        <w:rPr>
          <w:rFonts w:hint="eastAsia"/>
          <w:color w:val="auto"/>
          <w:szCs w:val="21"/>
        </w:rPr>
        <w:t>　　第三条 乙方的责任</w:t>
      </w:r>
    </w:p>
    <w:p w14:paraId="11191781">
      <w:pPr>
        <w:spacing w:line="360" w:lineRule="exact"/>
        <w:jc w:val="left"/>
        <w:rPr>
          <w:color w:val="auto"/>
          <w:szCs w:val="21"/>
        </w:rPr>
      </w:pPr>
      <w:r>
        <w:rPr>
          <w:rFonts w:hint="eastAsia"/>
          <w:color w:val="auto"/>
          <w:szCs w:val="21"/>
        </w:rPr>
        <w:t>　　应与甲方保持正常的业务交往，按照有关法律法规和程序开展业务工作，严格执行工程建设的有关方针、政策，尤其是有关建筑施工安装的强制性标准和规范，并遵守以下规定：</w:t>
      </w:r>
    </w:p>
    <w:p w14:paraId="58FDAC37">
      <w:pPr>
        <w:spacing w:line="360" w:lineRule="exact"/>
        <w:jc w:val="left"/>
        <w:rPr>
          <w:color w:val="auto"/>
          <w:szCs w:val="21"/>
        </w:rPr>
      </w:pPr>
      <w:r>
        <w:rPr>
          <w:rFonts w:hint="eastAsia"/>
          <w:color w:val="auto"/>
          <w:szCs w:val="21"/>
        </w:rPr>
        <w:t>　　（一）不准以任何理由向甲方、相关单位及其工作人员索要、接受或赠送礼金、有价证券、贵重物品和回扣、好处费、感谢费等。</w:t>
      </w:r>
    </w:p>
    <w:p w14:paraId="366BD297">
      <w:pPr>
        <w:autoSpaceDE w:val="0"/>
        <w:autoSpaceDN w:val="0"/>
        <w:spacing w:line="360" w:lineRule="exact"/>
        <w:rPr>
          <w:color w:val="auto"/>
          <w:szCs w:val="21"/>
        </w:rPr>
      </w:pPr>
      <w:r>
        <w:rPr>
          <w:rFonts w:hint="eastAsia"/>
          <w:color w:val="auto"/>
          <w:szCs w:val="21"/>
        </w:rPr>
        <w:t>　　（二）不准以任何理由为甲方和相关单位报销应由对方或个人支付的费用。</w:t>
      </w:r>
    </w:p>
    <w:p w14:paraId="61C7D19B">
      <w:pPr>
        <w:spacing w:line="360" w:lineRule="exact"/>
        <w:jc w:val="left"/>
        <w:rPr>
          <w:color w:val="auto"/>
          <w:szCs w:val="21"/>
        </w:rPr>
      </w:pPr>
      <w:r>
        <w:rPr>
          <w:rFonts w:hint="eastAsia"/>
          <w:color w:val="auto"/>
          <w:szCs w:val="21"/>
        </w:rPr>
        <w:t>　　（三）不准接受或暗示为甲方、相关单位或个人装修住房、婚丧嫁娶、配偶子女的工作安排以及出国（境）、旅游等提供方便。</w:t>
      </w:r>
    </w:p>
    <w:p w14:paraId="7F8CB1AC">
      <w:pPr>
        <w:spacing w:line="360" w:lineRule="exact"/>
        <w:jc w:val="left"/>
        <w:rPr>
          <w:color w:val="auto"/>
          <w:szCs w:val="21"/>
        </w:rPr>
      </w:pPr>
      <w:r>
        <w:rPr>
          <w:rFonts w:hint="eastAsia"/>
          <w:color w:val="auto"/>
          <w:szCs w:val="21"/>
        </w:rPr>
        <w:t>　　（四）不准以任何理由为甲方、相关单位或个人组织有可能影响公正执行公务的宴请、健身、娱乐等活动。</w:t>
      </w:r>
    </w:p>
    <w:p w14:paraId="488D2B5B">
      <w:pPr>
        <w:autoSpaceDE w:val="0"/>
        <w:autoSpaceDN w:val="0"/>
        <w:spacing w:line="360" w:lineRule="exact"/>
        <w:rPr>
          <w:color w:val="auto"/>
          <w:szCs w:val="21"/>
        </w:rPr>
      </w:pPr>
      <w:r>
        <w:rPr>
          <w:rFonts w:hint="eastAsia"/>
          <w:color w:val="auto"/>
          <w:szCs w:val="21"/>
        </w:rPr>
        <w:t>　　第四条 违约责任</w:t>
      </w:r>
    </w:p>
    <w:p w14:paraId="070D5576">
      <w:pPr>
        <w:spacing w:line="360" w:lineRule="exact"/>
        <w:jc w:val="left"/>
        <w:rPr>
          <w:color w:val="auto"/>
          <w:szCs w:val="21"/>
        </w:rPr>
      </w:pPr>
      <w:r>
        <w:rPr>
          <w:rFonts w:hint="eastAsia"/>
          <w:color w:val="auto"/>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2CD7A61">
      <w:pPr>
        <w:spacing w:line="360" w:lineRule="exact"/>
        <w:jc w:val="left"/>
        <w:rPr>
          <w:color w:val="auto"/>
          <w:szCs w:val="21"/>
        </w:rPr>
      </w:pPr>
      <w:r>
        <w:rPr>
          <w:rFonts w:hint="eastAsia"/>
          <w:color w:val="auto"/>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1A71B51">
      <w:pPr>
        <w:autoSpaceDE w:val="0"/>
        <w:autoSpaceDN w:val="0"/>
        <w:spacing w:line="360" w:lineRule="exact"/>
        <w:rPr>
          <w:color w:val="auto"/>
          <w:szCs w:val="21"/>
        </w:rPr>
      </w:pPr>
      <w:r>
        <w:rPr>
          <w:rFonts w:hint="eastAsia"/>
          <w:color w:val="auto"/>
          <w:szCs w:val="21"/>
        </w:rPr>
        <w:t>　　第五条 本责任书作为工程施工合同的附件，与工程施工合同具有同等法律效力。经双方签署后立即生效。</w:t>
      </w:r>
    </w:p>
    <w:p w14:paraId="0A1A40E5">
      <w:pPr>
        <w:autoSpaceDE w:val="0"/>
        <w:autoSpaceDN w:val="0"/>
        <w:spacing w:line="360" w:lineRule="exact"/>
        <w:rPr>
          <w:color w:val="auto"/>
          <w:szCs w:val="21"/>
        </w:rPr>
      </w:pPr>
      <w:r>
        <w:rPr>
          <w:rFonts w:hint="eastAsia"/>
          <w:color w:val="auto"/>
          <w:szCs w:val="21"/>
        </w:rPr>
        <w:t>　　第六条 本责任书的有效期为双方签署之日起至该工程项目竣工验收合格时止。</w:t>
      </w:r>
    </w:p>
    <w:p w14:paraId="25F11A49">
      <w:pPr>
        <w:autoSpaceDE w:val="0"/>
        <w:autoSpaceDN w:val="0"/>
        <w:spacing w:line="360" w:lineRule="exact"/>
        <w:rPr>
          <w:color w:val="auto"/>
          <w:szCs w:val="21"/>
        </w:rPr>
      </w:pPr>
      <w:r>
        <w:rPr>
          <w:rFonts w:hint="eastAsia"/>
          <w:color w:val="auto"/>
          <w:szCs w:val="21"/>
        </w:rPr>
        <w:t>　　第七条 本责任书一式四份，由甲乙双方各执一份，送交甲乙双方的监督单位各一份。</w:t>
      </w:r>
    </w:p>
    <w:p w14:paraId="4FBBA41F">
      <w:pPr>
        <w:autoSpaceDE w:val="0"/>
        <w:autoSpaceDN w:val="0"/>
        <w:spacing w:line="360" w:lineRule="exact"/>
        <w:rPr>
          <w:color w:val="auto"/>
          <w:szCs w:val="21"/>
        </w:rPr>
      </w:pPr>
    </w:p>
    <w:p w14:paraId="1DF2DB50">
      <w:pPr>
        <w:autoSpaceDE w:val="0"/>
        <w:autoSpaceDN w:val="0"/>
        <w:spacing w:line="360" w:lineRule="exact"/>
        <w:rPr>
          <w:color w:val="auto"/>
          <w:szCs w:val="21"/>
        </w:rPr>
      </w:pPr>
    </w:p>
    <w:p w14:paraId="1BAD412C">
      <w:pPr>
        <w:autoSpaceDE w:val="0"/>
        <w:autoSpaceDN w:val="0"/>
        <w:spacing w:line="360" w:lineRule="exact"/>
        <w:rPr>
          <w:color w:val="auto"/>
          <w:szCs w:val="21"/>
        </w:rPr>
      </w:pPr>
      <w:r>
        <w:rPr>
          <w:rFonts w:hint="eastAsia"/>
          <w:color w:val="auto"/>
          <w:szCs w:val="21"/>
        </w:rPr>
        <w:t>甲方单位：（盖章）　　　　　　　　             乙方单位：（盖章）</w:t>
      </w:r>
    </w:p>
    <w:p w14:paraId="46FE53F7">
      <w:pPr>
        <w:autoSpaceDE w:val="0"/>
        <w:autoSpaceDN w:val="0"/>
        <w:spacing w:line="360" w:lineRule="exact"/>
        <w:rPr>
          <w:color w:val="auto"/>
          <w:szCs w:val="21"/>
        </w:rPr>
      </w:pPr>
      <w:r>
        <w:rPr>
          <w:rFonts w:hint="eastAsia"/>
          <w:color w:val="auto"/>
          <w:szCs w:val="21"/>
        </w:rPr>
        <w:t>法定代表人：　　　　　　　　　               　法定代表人：</w:t>
      </w:r>
    </w:p>
    <w:p w14:paraId="7074A49D">
      <w:pPr>
        <w:spacing w:line="360" w:lineRule="exact"/>
        <w:ind w:left="4935" w:hanging="4935" w:hangingChars="2350"/>
        <w:rPr>
          <w:rFonts w:ascii="宋体" w:hAnsi="宋体" w:cs="宋体"/>
          <w:color w:val="auto"/>
        </w:rPr>
      </w:pPr>
      <w:r>
        <w:rPr>
          <w:rFonts w:hint="eastAsia" w:ascii="宋体" w:hAnsi="宋体" w:cs="宋体"/>
          <w:color w:val="auto"/>
        </w:rPr>
        <w:t>地  址：</w:t>
      </w:r>
      <w:r>
        <w:rPr>
          <w:rFonts w:hint="eastAsia" w:ascii="宋体" w:hAnsi="宋体" w:cs="宋体"/>
          <w:color w:val="auto"/>
          <w:u w:val="single"/>
        </w:rPr>
        <w:t xml:space="preserve">                     </w:t>
      </w:r>
      <w:r>
        <w:rPr>
          <w:rFonts w:hint="eastAsia" w:ascii="宋体" w:hAnsi="宋体" w:cs="宋体"/>
          <w:color w:val="auto"/>
        </w:rPr>
        <w:t xml:space="preserve">   </w:t>
      </w:r>
      <w:r>
        <w:rPr>
          <w:rFonts w:ascii="宋体" w:hAnsi="宋体" w:cs="宋体"/>
          <w:color w:val="auto"/>
        </w:rPr>
        <w:t xml:space="preserve">               </w:t>
      </w:r>
      <w:r>
        <w:rPr>
          <w:rFonts w:hint="eastAsia" w:ascii="宋体" w:hAnsi="宋体" w:cs="宋体"/>
          <w:color w:val="auto"/>
        </w:rPr>
        <w:t>地  址：</w:t>
      </w:r>
      <w:r>
        <w:rPr>
          <w:color w:val="auto"/>
          <w:u w:val="single"/>
        </w:rPr>
        <w:t></w:t>
      </w:r>
      <w:r>
        <w:rPr>
          <w:rFonts w:hint="eastAsia" w:ascii="宋体" w:hAnsi="宋体"/>
          <w:color w:val="auto"/>
          <w:u w:val="single"/>
        </w:rPr>
        <w:t xml:space="preserve">             </w:t>
      </w:r>
    </w:p>
    <w:p w14:paraId="04414311">
      <w:pPr>
        <w:spacing w:line="360" w:lineRule="exact"/>
        <w:rPr>
          <w:rFonts w:ascii="宋体" w:hAnsi="宋体" w:cs="宋体"/>
          <w:color w:val="auto"/>
        </w:rPr>
      </w:pPr>
      <w:r>
        <w:rPr>
          <w:rFonts w:hint="eastAsia" w:ascii="宋体" w:hAnsi="宋体" w:cs="宋体"/>
          <w:color w:val="auto"/>
        </w:rPr>
        <w:t>电  话：</w:t>
      </w:r>
      <w:r>
        <w:rPr>
          <w:rFonts w:hint="eastAsia" w:ascii="宋体" w:hAnsi="宋体" w:cs="宋体"/>
          <w:color w:val="auto"/>
          <w:u w:val="single"/>
        </w:rPr>
        <w:t xml:space="preserve">                        </w:t>
      </w:r>
      <w:r>
        <w:rPr>
          <w:rFonts w:hint="eastAsia" w:ascii="宋体" w:hAnsi="宋体" w:cs="宋体"/>
          <w:color w:val="auto"/>
        </w:rPr>
        <w:t xml:space="preserve">   </w:t>
      </w:r>
      <w:r>
        <w:rPr>
          <w:rFonts w:ascii="宋体" w:hAnsi="宋体" w:cs="宋体"/>
          <w:color w:val="auto"/>
        </w:rPr>
        <w:t xml:space="preserve">             </w:t>
      </w:r>
      <w:r>
        <w:rPr>
          <w:rFonts w:hint="eastAsia" w:ascii="宋体" w:hAnsi="宋体" w:cs="宋体"/>
          <w:color w:val="auto"/>
        </w:rPr>
        <w:t>电  话：</w:t>
      </w:r>
      <w:r>
        <w:rPr>
          <w:color w:val="auto"/>
          <w:u w:val="single"/>
        </w:rPr>
        <w:t></w:t>
      </w:r>
      <w:r>
        <w:rPr>
          <w:rFonts w:hint="eastAsia" w:ascii="宋体" w:hAnsi="宋体"/>
          <w:color w:val="auto"/>
          <w:u w:val="single"/>
        </w:rPr>
        <w:t xml:space="preserve">             </w:t>
      </w:r>
    </w:p>
    <w:p w14:paraId="75F9FF0E">
      <w:pPr>
        <w:autoSpaceDE w:val="0"/>
        <w:autoSpaceDN w:val="0"/>
        <w:spacing w:line="360" w:lineRule="exact"/>
        <w:rPr>
          <w:color w:val="auto"/>
          <w:szCs w:val="21"/>
        </w:rPr>
      </w:pPr>
      <w:r>
        <w:rPr>
          <w:rFonts w:hint="eastAsia"/>
          <w:color w:val="auto"/>
          <w:szCs w:val="21"/>
        </w:rPr>
        <w:t>年　月　日　　　　　　　　　　　　　           年　月　日</w:t>
      </w:r>
    </w:p>
    <w:p w14:paraId="10B0798D">
      <w:pPr>
        <w:autoSpaceDE w:val="0"/>
        <w:autoSpaceDN w:val="0"/>
        <w:spacing w:line="360" w:lineRule="exact"/>
        <w:rPr>
          <w:color w:val="auto"/>
          <w:szCs w:val="21"/>
        </w:rPr>
      </w:pPr>
      <w:r>
        <w:rPr>
          <w:rFonts w:hint="eastAsia"/>
          <w:color w:val="auto"/>
          <w:szCs w:val="21"/>
        </w:rPr>
        <w:t>甲方监督单位（盖章）　　　　　　　　　         乙方监督单位（盖章）</w:t>
      </w:r>
    </w:p>
    <w:p w14:paraId="6EB665EF">
      <w:pPr>
        <w:rPr>
          <w:color w:val="auto"/>
        </w:rPr>
      </w:pPr>
      <w:r>
        <w:rPr>
          <w:rFonts w:hint="eastAsia"/>
          <w:color w:val="auto"/>
          <w:szCs w:val="21"/>
        </w:rPr>
        <w:t>年　月　日　　　　　　　　　　　　　　         年　月　日</w:t>
      </w:r>
    </w:p>
    <w:p w14:paraId="33EB4410">
      <w:pPr>
        <w:rPr>
          <w:color w:val="auto"/>
        </w:rPr>
      </w:pPr>
    </w:p>
    <w:p w14:paraId="4EFF297E">
      <w:pPr>
        <w:rPr>
          <w:color w:val="auto"/>
        </w:rPr>
      </w:pPr>
    </w:p>
    <w:p w14:paraId="615A59B5">
      <w:pPr>
        <w:spacing w:line="360" w:lineRule="auto"/>
        <w:jc w:val="left"/>
        <w:rPr>
          <w:rFonts w:ascii="宋体" w:hAnsi="宋体"/>
          <w:color w:val="auto"/>
          <w:sz w:val="28"/>
          <w:szCs w:val="28"/>
        </w:rPr>
      </w:pPr>
    </w:p>
    <w:p w14:paraId="28E7AB78">
      <w:pPr>
        <w:spacing w:line="360" w:lineRule="auto"/>
        <w:jc w:val="left"/>
        <w:rPr>
          <w:rFonts w:ascii="宋体" w:hAnsi="宋体"/>
          <w:color w:val="auto"/>
          <w:sz w:val="28"/>
          <w:szCs w:val="28"/>
        </w:rPr>
        <w:sectPr>
          <w:pgSz w:w="11906" w:h="16838"/>
          <w:pgMar w:top="1440" w:right="1800" w:bottom="1440" w:left="1800" w:header="851" w:footer="992" w:gutter="0"/>
          <w:pgNumType w:fmt="decimal"/>
          <w:cols w:space="720" w:num="1"/>
          <w:docGrid w:type="lines" w:linePitch="312" w:charSpace="0"/>
        </w:sectPr>
      </w:pPr>
    </w:p>
    <w:p w14:paraId="58845D7A">
      <w:pPr>
        <w:jc w:val="center"/>
        <w:rPr>
          <w:rFonts w:ascii="宋体" w:hAnsi="宋体"/>
          <w:b/>
          <w:color w:val="auto"/>
          <w:sz w:val="36"/>
          <w:szCs w:val="36"/>
        </w:rPr>
      </w:pPr>
      <w:r>
        <w:rPr>
          <w:rFonts w:hint="eastAsia" w:ascii="宋体" w:hAnsi="宋体"/>
          <w:b/>
          <w:color w:val="auto"/>
          <w:sz w:val="36"/>
          <w:szCs w:val="36"/>
        </w:rPr>
        <w:t>第六章：响应文件格式附件</w:t>
      </w:r>
    </w:p>
    <w:p w14:paraId="40A48284">
      <w:pPr>
        <w:tabs>
          <w:tab w:val="left" w:pos="8280"/>
        </w:tabs>
        <w:autoSpaceDE w:val="0"/>
        <w:autoSpaceDN w:val="0"/>
        <w:adjustRightInd w:val="0"/>
        <w:spacing w:line="240" w:lineRule="atLeast"/>
        <w:ind w:right="25"/>
        <w:rPr>
          <w:rFonts w:ascii="宋体" w:hAnsi="宋体"/>
          <w:color w:val="auto"/>
          <w:kern w:val="0"/>
          <w:sz w:val="24"/>
        </w:rPr>
      </w:pPr>
    </w:p>
    <w:p w14:paraId="5756CF9A">
      <w:pPr>
        <w:rPr>
          <w:rFonts w:ascii="宋体" w:hAnsi="宋体"/>
          <w:b/>
          <w:bCs/>
          <w:color w:val="auto"/>
          <w:sz w:val="32"/>
          <w:szCs w:val="32"/>
        </w:rPr>
      </w:pPr>
      <w:r>
        <w:rPr>
          <w:rFonts w:hint="eastAsia" w:ascii="宋体" w:hAnsi="宋体"/>
          <w:b/>
          <w:color w:val="auto"/>
          <w:kern w:val="0"/>
          <w:sz w:val="28"/>
          <w:szCs w:val="28"/>
        </w:rPr>
        <w:t>附件1</w:t>
      </w: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p>
    <w:p w14:paraId="5C3F1A10">
      <w:pPr>
        <w:snapToGrid w:val="0"/>
        <w:spacing w:before="50" w:after="50" w:line="360" w:lineRule="auto"/>
        <w:jc w:val="center"/>
        <w:rPr>
          <w:rFonts w:ascii="宋体" w:hAnsi="宋体"/>
          <w:b/>
          <w:bCs/>
          <w:color w:val="auto"/>
          <w:sz w:val="36"/>
          <w:szCs w:val="36"/>
        </w:rPr>
      </w:pPr>
      <w:r>
        <w:rPr>
          <w:rFonts w:hint="eastAsia" w:ascii="宋体" w:hAnsi="宋体"/>
          <w:b/>
          <w:bCs/>
          <w:color w:val="auto"/>
          <w:sz w:val="36"/>
          <w:szCs w:val="36"/>
        </w:rPr>
        <w:t>磋商响应文件目录</w:t>
      </w:r>
    </w:p>
    <w:p w14:paraId="0FD58B59">
      <w:pPr>
        <w:snapToGrid w:val="0"/>
        <w:spacing w:before="50" w:after="50" w:line="360" w:lineRule="auto"/>
        <w:jc w:val="center"/>
        <w:rPr>
          <w:rFonts w:ascii="宋体" w:hAnsi="宋体"/>
          <w:b/>
          <w:bCs/>
          <w:color w:val="auto"/>
          <w:sz w:val="32"/>
          <w:szCs w:val="32"/>
        </w:rPr>
      </w:pPr>
    </w:p>
    <w:p w14:paraId="580549D3">
      <w:pPr>
        <w:snapToGrid w:val="0"/>
        <w:spacing w:before="50" w:after="50" w:line="360" w:lineRule="auto"/>
        <w:ind w:firstLine="422" w:firstLineChars="150"/>
        <w:rPr>
          <w:rFonts w:ascii="宋体" w:hAnsi="宋体" w:cs="楷体_GB2312"/>
          <w:b/>
          <w:bCs/>
          <w:color w:val="auto"/>
          <w:sz w:val="28"/>
          <w:szCs w:val="28"/>
        </w:rPr>
      </w:pPr>
      <w:r>
        <w:rPr>
          <w:rFonts w:hint="eastAsia" w:ascii="宋体" w:hAnsi="宋体" w:cs="楷体_GB2312"/>
          <w:b/>
          <w:bCs/>
          <w:color w:val="auto"/>
          <w:sz w:val="28"/>
          <w:szCs w:val="28"/>
        </w:rPr>
        <w:t>第一部分：资格证明部分</w:t>
      </w:r>
    </w:p>
    <w:p w14:paraId="16599BA3">
      <w:pPr>
        <w:snapToGrid w:val="0"/>
        <w:spacing w:line="360" w:lineRule="auto"/>
        <w:ind w:firstLine="470" w:firstLineChars="196"/>
        <w:rPr>
          <w:rFonts w:ascii="宋体" w:hAnsi="宋体" w:cs="楷体_GB2312"/>
          <w:color w:val="auto"/>
          <w:sz w:val="24"/>
        </w:rPr>
      </w:pPr>
      <w:r>
        <w:rPr>
          <w:rFonts w:hint="eastAsia" w:ascii="宋体" w:hAnsi="宋体" w:cs="楷体_GB2312"/>
          <w:color w:val="auto"/>
          <w:sz w:val="24"/>
        </w:rPr>
        <w:t>（1）磋商声明书；（附件2）</w:t>
      </w:r>
    </w:p>
    <w:p w14:paraId="36BC5C9A">
      <w:pPr>
        <w:snapToGrid w:val="0"/>
        <w:spacing w:line="360" w:lineRule="auto"/>
        <w:ind w:firstLine="470" w:firstLineChars="196"/>
        <w:rPr>
          <w:rFonts w:ascii="宋体" w:hAnsi="宋体" w:cs="楷体_GB2312"/>
          <w:color w:val="auto"/>
          <w:sz w:val="24"/>
        </w:rPr>
      </w:pPr>
      <w:r>
        <w:rPr>
          <w:rFonts w:hint="eastAsia" w:ascii="宋体" w:hAnsi="宋体" w:cs="楷体_GB2312"/>
          <w:color w:val="auto"/>
          <w:sz w:val="24"/>
        </w:rPr>
        <w:t>（2）授权委托书（法定代表人亲自办理磋商响应事宜的，则无需提交)；（附件3）</w:t>
      </w:r>
    </w:p>
    <w:p w14:paraId="4E61025A">
      <w:pPr>
        <w:snapToGrid w:val="0"/>
        <w:spacing w:line="360" w:lineRule="auto"/>
        <w:ind w:firstLine="470" w:firstLineChars="196"/>
        <w:rPr>
          <w:rFonts w:hint="eastAsia" w:ascii="宋体" w:hAnsi="宋体" w:eastAsia="宋体" w:cs="楷体_GB2312"/>
          <w:color w:val="auto"/>
          <w:sz w:val="24"/>
        </w:rPr>
      </w:pPr>
      <w:r>
        <w:rPr>
          <w:rFonts w:hint="eastAsia" w:ascii="宋体" w:hAnsi="宋体" w:eastAsia="宋体" w:cs="楷体_GB2312"/>
          <w:color w:val="auto"/>
          <w:sz w:val="24"/>
        </w:rPr>
        <w:t>（3）法人或者其他组织的营业执照等证明文件；</w:t>
      </w:r>
    </w:p>
    <w:p w14:paraId="5012C3F3">
      <w:pPr>
        <w:snapToGrid w:val="0"/>
        <w:spacing w:line="360" w:lineRule="auto"/>
        <w:ind w:firstLine="470" w:firstLineChars="196"/>
        <w:rPr>
          <w:rFonts w:hint="eastAsia" w:ascii="宋体" w:hAnsi="宋体" w:eastAsia="宋体" w:cs="楷体_GB2312"/>
          <w:color w:val="auto"/>
          <w:sz w:val="24"/>
        </w:rPr>
      </w:pPr>
      <w:r>
        <w:rPr>
          <w:rFonts w:hint="eastAsia" w:ascii="宋体" w:hAnsi="宋体" w:eastAsia="宋体" w:cs="楷体_GB2312"/>
          <w:color w:val="auto"/>
          <w:sz w:val="24"/>
        </w:rPr>
        <w:t>（4）提供采购公告中符合供应商特定条件的有效资质证书复印件（投标供应商特定条件中有要求的必须提供）；</w:t>
      </w:r>
    </w:p>
    <w:p w14:paraId="45045D6B">
      <w:pPr>
        <w:snapToGrid w:val="0"/>
        <w:spacing w:line="360" w:lineRule="auto"/>
        <w:ind w:firstLine="470" w:firstLineChars="196"/>
        <w:rPr>
          <w:rFonts w:hint="eastAsia" w:ascii="宋体" w:hAnsi="宋体" w:eastAsia="宋体" w:cs="楷体_GB2312"/>
          <w:color w:val="auto"/>
          <w:sz w:val="24"/>
          <w:lang w:val="en-US" w:eastAsia="zh-CN"/>
        </w:rPr>
      </w:pPr>
      <w:r>
        <w:rPr>
          <w:rFonts w:hint="eastAsia" w:ascii="宋体" w:hAnsi="宋体" w:eastAsia="宋体" w:cs="楷体_GB2312"/>
          <w:color w:val="auto"/>
          <w:sz w:val="24"/>
          <w:lang w:val="zh-CN"/>
        </w:rPr>
        <w:t>（</w:t>
      </w:r>
      <w:r>
        <w:rPr>
          <w:rFonts w:hint="eastAsia" w:ascii="宋体" w:hAnsi="宋体" w:eastAsia="宋体" w:cs="楷体_GB2312"/>
          <w:color w:val="auto"/>
          <w:sz w:val="24"/>
          <w:lang w:val="en-US" w:eastAsia="zh-CN"/>
        </w:rPr>
        <w:t>5</w:t>
      </w:r>
      <w:r>
        <w:rPr>
          <w:rFonts w:hint="eastAsia" w:ascii="宋体" w:hAnsi="宋体" w:eastAsia="宋体" w:cs="楷体_GB2312"/>
          <w:color w:val="auto"/>
          <w:sz w:val="24"/>
          <w:lang w:val="zh-CN"/>
        </w:rPr>
        <w:t>）</w:t>
      </w:r>
      <w:r>
        <w:rPr>
          <w:rFonts w:hint="eastAsia" w:ascii="宋体" w:hAnsi="宋体" w:eastAsia="宋体" w:cs="楷体_GB2312"/>
          <w:color w:val="auto"/>
          <w:sz w:val="24"/>
          <w:lang w:val="en-US" w:eastAsia="zh-CN"/>
        </w:rPr>
        <w:t>《中小企业声明函》），监狱企业、残疾人福利性单位视同小型、微型企业（须在资格证明文件里提供相关证明材料）。</w:t>
      </w:r>
    </w:p>
    <w:p w14:paraId="2C899FBB">
      <w:pPr>
        <w:snapToGrid w:val="0"/>
        <w:spacing w:line="360" w:lineRule="auto"/>
        <w:ind w:firstLine="422" w:firstLineChars="150"/>
        <w:rPr>
          <w:rFonts w:ascii="宋体" w:hAnsi="宋体" w:cs="楷体_GB2312"/>
          <w:b/>
          <w:bCs/>
          <w:color w:val="auto"/>
          <w:sz w:val="28"/>
          <w:szCs w:val="28"/>
        </w:rPr>
      </w:pPr>
      <w:r>
        <w:rPr>
          <w:rFonts w:hint="eastAsia" w:ascii="宋体" w:hAnsi="宋体" w:cs="楷体_GB2312"/>
          <w:b/>
          <w:bCs/>
          <w:color w:val="auto"/>
          <w:sz w:val="28"/>
          <w:szCs w:val="28"/>
          <w:lang w:val="zh-CN"/>
        </w:rPr>
        <w:t>第二部分：商务与技术</w:t>
      </w:r>
      <w:r>
        <w:rPr>
          <w:rFonts w:hint="eastAsia" w:ascii="宋体" w:hAnsi="宋体" w:cs="楷体_GB2312"/>
          <w:b/>
          <w:bCs/>
          <w:color w:val="auto"/>
          <w:sz w:val="28"/>
          <w:szCs w:val="28"/>
        </w:rPr>
        <w:t>部分</w:t>
      </w:r>
    </w:p>
    <w:p w14:paraId="6876F7B4">
      <w:pPr>
        <w:spacing w:line="360" w:lineRule="auto"/>
        <w:ind w:right="-108" w:firstLine="480" w:firstLineChars="200"/>
        <w:rPr>
          <w:rFonts w:ascii="宋体" w:hAnsi="宋体" w:cs="楷体_GB2312"/>
          <w:bCs/>
          <w:color w:val="auto"/>
          <w:sz w:val="24"/>
        </w:rPr>
      </w:pPr>
      <w:r>
        <w:rPr>
          <w:rFonts w:hint="eastAsia" w:ascii="宋体" w:hAnsi="宋体" w:cs="楷体_GB2312"/>
          <w:bCs/>
          <w:color w:val="auto"/>
          <w:sz w:val="24"/>
        </w:rPr>
        <w:t>（1）供应商基本情况表；（附件4）</w:t>
      </w:r>
    </w:p>
    <w:p w14:paraId="40753DD8">
      <w:pPr>
        <w:spacing w:line="360" w:lineRule="auto"/>
        <w:ind w:right="-108" w:firstLine="480" w:firstLineChars="200"/>
        <w:rPr>
          <w:rFonts w:ascii="宋体" w:hAnsi="宋体" w:cs="楷体_GB2312"/>
          <w:bCs/>
          <w:color w:val="auto"/>
          <w:sz w:val="24"/>
        </w:rPr>
      </w:pPr>
      <w:r>
        <w:rPr>
          <w:rFonts w:hint="eastAsia" w:ascii="宋体" w:hAnsi="宋体" w:cs="楷体_GB2312"/>
          <w:bCs/>
          <w:color w:val="auto"/>
          <w:sz w:val="24"/>
        </w:rPr>
        <w:t xml:space="preserve">（2）项目实施人员一览表；（附件5） </w:t>
      </w:r>
    </w:p>
    <w:p w14:paraId="0E3470AD">
      <w:pPr>
        <w:spacing w:line="360" w:lineRule="auto"/>
        <w:ind w:right="-108" w:firstLine="480" w:firstLineChars="200"/>
        <w:rPr>
          <w:rFonts w:ascii="宋体" w:hAnsi="宋体" w:cs="楷体_GB2312"/>
          <w:bCs/>
          <w:color w:val="auto"/>
          <w:sz w:val="24"/>
        </w:rPr>
      </w:pPr>
      <w:r>
        <w:rPr>
          <w:rFonts w:hint="eastAsia" w:ascii="宋体" w:hAnsi="宋体" w:cs="楷体_GB2312"/>
          <w:bCs/>
          <w:color w:val="auto"/>
          <w:sz w:val="24"/>
        </w:rPr>
        <w:t>（3）项目负责人简历表；（附件</w:t>
      </w:r>
      <w:r>
        <w:rPr>
          <w:rFonts w:ascii="宋体" w:hAnsi="宋体" w:cs="楷体_GB2312"/>
          <w:bCs/>
          <w:color w:val="auto"/>
          <w:sz w:val="24"/>
        </w:rPr>
        <w:t>6</w:t>
      </w:r>
      <w:r>
        <w:rPr>
          <w:rFonts w:hint="eastAsia" w:ascii="宋体" w:hAnsi="宋体" w:cs="楷体_GB2312"/>
          <w:bCs/>
          <w:color w:val="auto"/>
          <w:sz w:val="24"/>
        </w:rPr>
        <w:t>）</w:t>
      </w:r>
    </w:p>
    <w:p w14:paraId="64069495">
      <w:pPr>
        <w:spacing w:line="360" w:lineRule="auto"/>
        <w:ind w:right="-108" w:firstLine="480" w:firstLineChars="200"/>
        <w:rPr>
          <w:rFonts w:ascii="宋体" w:hAnsi="宋体" w:cs="楷体_GB2312"/>
          <w:bCs/>
          <w:color w:val="auto"/>
          <w:sz w:val="24"/>
        </w:rPr>
      </w:pPr>
      <w:r>
        <w:rPr>
          <w:rFonts w:hint="eastAsia" w:ascii="宋体" w:hAnsi="宋体" w:cs="楷体_GB2312"/>
          <w:bCs/>
          <w:color w:val="auto"/>
          <w:sz w:val="24"/>
        </w:rPr>
        <w:t>（4）作业机械、设备一览表；（附件</w:t>
      </w:r>
      <w:r>
        <w:rPr>
          <w:rFonts w:ascii="宋体" w:hAnsi="宋体" w:cs="楷体_GB2312"/>
          <w:bCs/>
          <w:color w:val="auto"/>
          <w:sz w:val="24"/>
        </w:rPr>
        <w:t>7</w:t>
      </w:r>
      <w:r>
        <w:rPr>
          <w:rFonts w:hint="eastAsia" w:ascii="宋体" w:hAnsi="宋体" w:cs="楷体_GB2312"/>
          <w:bCs/>
          <w:color w:val="auto"/>
          <w:sz w:val="24"/>
        </w:rPr>
        <w:t>）</w:t>
      </w:r>
    </w:p>
    <w:p w14:paraId="3A3101E0">
      <w:pPr>
        <w:spacing w:line="360" w:lineRule="auto"/>
        <w:ind w:right="-108" w:firstLine="480" w:firstLineChars="200"/>
        <w:rPr>
          <w:rFonts w:ascii="宋体" w:hAnsi="宋体" w:cs="楷体_GB2312"/>
          <w:color w:val="auto"/>
          <w:sz w:val="24"/>
        </w:rPr>
      </w:pPr>
      <w:r>
        <w:rPr>
          <w:rFonts w:hint="eastAsia" w:ascii="宋体" w:hAnsi="宋体" w:cs="楷体_GB2312"/>
          <w:bCs/>
          <w:color w:val="auto"/>
          <w:sz w:val="24"/>
        </w:rPr>
        <w:t>（5）其余内容根据评标办法自拟（格式参考附件，无格式的自拟）；</w:t>
      </w:r>
    </w:p>
    <w:p w14:paraId="7CCDBB83">
      <w:pPr>
        <w:spacing w:line="360" w:lineRule="auto"/>
        <w:ind w:right="-108" w:firstLine="361" w:firstLineChars="150"/>
        <w:rPr>
          <w:rFonts w:ascii="宋体" w:hAnsi="宋体" w:cs="楷体_GB2312"/>
          <w:b/>
          <w:color w:val="auto"/>
          <w:sz w:val="24"/>
        </w:rPr>
      </w:pPr>
      <w:r>
        <w:rPr>
          <w:rFonts w:hint="eastAsia" w:ascii="宋体" w:hAnsi="宋体" w:cs="楷体_GB2312"/>
          <w:b/>
          <w:color w:val="auto"/>
          <w:sz w:val="24"/>
        </w:rPr>
        <w:t>招标需求</w:t>
      </w:r>
      <w:r>
        <w:rPr>
          <w:rFonts w:ascii="宋体" w:hAnsi="宋体" w:cs="楷体_GB2312"/>
          <w:b/>
          <w:color w:val="auto"/>
          <w:sz w:val="24"/>
        </w:rPr>
        <w:t>中</w:t>
      </w:r>
      <w:r>
        <w:rPr>
          <w:rFonts w:hint="eastAsia" w:ascii="宋体" w:hAnsi="宋体" w:cs="楷体_GB2312"/>
          <w:b/>
          <w:color w:val="auto"/>
          <w:sz w:val="24"/>
        </w:rPr>
        <w:t>要求提供的相关证明材料及根据</w:t>
      </w:r>
      <w:r>
        <w:rPr>
          <w:rFonts w:ascii="宋体" w:hAnsi="宋体" w:cs="楷体_GB2312"/>
          <w:b/>
          <w:color w:val="auto"/>
          <w:sz w:val="24"/>
        </w:rPr>
        <w:t>评标办法</w:t>
      </w:r>
      <w:r>
        <w:rPr>
          <w:rFonts w:hint="eastAsia" w:ascii="宋体" w:hAnsi="宋体" w:cs="楷体_GB2312"/>
          <w:b/>
          <w:color w:val="auto"/>
          <w:sz w:val="24"/>
        </w:rPr>
        <w:t>提供</w:t>
      </w:r>
      <w:r>
        <w:rPr>
          <w:rFonts w:ascii="宋体" w:hAnsi="宋体" w:cs="楷体_GB2312"/>
          <w:b/>
          <w:color w:val="auto"/>
          <w:sz w:val="24"/>
        </w:rPr>
        <w:t>的证明材料</w:t>
      </w:r>
      <w:r>
        <w:rPr>
          <w:rFonts w:hint="eastAsia" w:ascii="宋体" w:hAnsi="宋体" w:cs="楷体_GB2312"/>
          <w:b/>
          <w:color w:val="auto"/>
          <w:sz w:val="24"/>
        </w:rPr>
        <w:t>均需在投标文件中提供原件的扫描件。</w:t>
      </w:r>
    </w:p>
    <w:p w14:paraId="27144DCC">
      <w:pPr>
        <w:spacing w:line="360" w:lineRule="auto"/>
        <w:ind w:right="-108" w:firstLine="422" w:firstLineChars="150"/>
        <w:rPr>
          <w:rFonts w:ascii="宋体" w:hAnsi="宋体" w:cs="楷体_GB2312"/>
          <w:color w:val="auto"/>
          <w:sz w:val="24"/>
        </w:rPr>
      </w:pPr>
      <w:r>
        <w:rPr>
          <w:rFonts w:hint="eastAsia" w:ascii="宋体" w:hAnsi="宋体" w:cs="楷体_GB2312"/>
          <w:b/>
          <w:bCs/>
          <w:color w:val="auto"/>
          <w:kern w:val="0"/>
          <w:sz w:val="28"/>
          <w:szCs w:val="28"/>
        </w:rPr>
        <w:t>第三部分 ：</w:t>
      </w:r>
      <w:r>
        <w:rPr>
          <w:rFonts w:hint="eastAsia" w:ascii="宋体" w:hAnsi="宋体" w:cs="楷体_GB2312"/>
          <w:b/>
          <w:color w:val="auto"/>
          <w:sz w:val="28"/>
          <w:szCs w:val="28"/>
        </w:rPr>
        <w:t>报价</w:t>
      </w:r>
      <w:r>
        <w:rPr>
          <w:rFonts w:hint="eastAsia" w:ascii="宋体" w:hAnsi="宋体" w:cs="楷体_GB2312"/>
          <w:b/>
          <w:bCs/>
          <w:color w:val="auto"/>
          <w:sz w:val="28"/>
          <w:szCs w:val="28"/>
        </w:rPr>
        <w:t>部分</w:t>
      </w:r>
    </w:p>
    <w:p w14:paraId="7AE49D30">
      <w:pPr>
        <w:snapToGrid w:val="0"/>
        <w:spacing w:line="360" w:lineRule="auto"/>
        <w:ind w:firstLine="480" w:firstLineChars="200"/>
        <w:jc w:val="left"/>
        <w:rPr>
          <w:rFonts w:ascii="宋体" w:hAnsi="宋体" w:cs="楷体_GB2312"/>
          <w:color w:val="auto"/>
          <w:sz w:val="24"/>
        </w:rPr>
      </w:pPr>
      <w:r>
        <w:rPr>
          <w:rFonts w:hint="eastAsia" w:ascii="宋体" w:hAnsi="宋体" w:cs="楷体_GB2312"/>
          <w:color w:val="auto"/>
          <w:sz w:val="24"/>
        </w:rPr>
        <w:t>（1）首次报价一览表；（附件1</w:t>
      </w:r>
      <w:r>
        <w:rPr>
          <w:rFonts w:ascii="宋体" w:hAnsi="宋体" w:cs="楷体_GB2312"/>
          <w:color w:val="auto"/>
          <w:sz w:val="24"/>
        </w:rPr>
        <w:t>0</w:t>
      </w:r>
      <w:r>
        <w:rPr>
          <w:rFonts w:hint="eastAsia" w:ascii="宋体" w:hAnsi="宋体" w:cs="楷体_GB2312"/>
          <w:color w:val="auto"/>
          <w:sz w:val="24"/>
        </w:rPr>
        <w:t>）</w:t>
      </w:r>
    </w:p>
    <w:p w14:paraId="3E78441D">
      <w:pPr>
        <w:spacing w:line="360" w:lineRule="auto"/>
        <w:ind w:left="420"/>
        <w:rPr>
          <w:rFonts w:ascii="宋体" w:hAnsi="宋体"/>
          <w:b/>
          <w:color w:val="auto"/>
          <w:sz w:val="28"/>
        </w:rPr>
        <w:sectPr>
          <w:pgSz w:w="11906" w:h="16838"/>
          <w:pgMar w:top="1440" w:right="1800" w:bottom="1440" w:left="1800" w:header="851" w:footer="992" w:gutter="0"/>
          <w:pgNumType w:fmt="decimal"/>
          <w:cols w:space="720" w:num="1"/>
          <w:docGrid w:type="lines" w:linePitch="312" w:charSpace="0"/>
        </w:sectPr>
      </w:pPr>
    </w:p>
    <w:p w14:paraId="7F6AAAC8">
      <w:pPr>
        <w:spacing w:line="360" w:lineRule="auto"/>
        <w:rPr>
          <w:rFonts w:ascii="宋体" w:hAnsi="宋体"/>
          <w:b/>
          <w:color w:val="auto"/>
          <w:sz w:val="28"/>
        </w:rPr>
      </w:pPr>
      <w:r>
        <w:rPr>
          <w:rFonts w:hint="eastAsia" w:ascii="宋体" w:hAnsi="宋体"/>
          <w:b/>
          <w:color w:val="auto"/>
          <w:sz w:val="28"/>
        </w:rPr>
        <w:t>附件2</w:t>
      </w:r>
    </w:p>
    <w:p w14:paraId="0B5AFB6F">
      <w:pPr>
        <w:snapToGrid w:val="0"/>
        <w:spacing w:before="156" w:beforeLines="50" w:after="50" w:line="360" w:lineRule="auto"/>
        <w:ind w:firstLine="643" w:firstLineChars="200"/>
        <w:jc w:val="center"/>
        <w:rPr>
          <w:rStyle w:val="32"/>
          <w:rFonts w:ascii="宋体" w:hAnsi="宋体"/>
          <w:b/>
          <w:color w:val="auto"/>
          <w:sz w:val="32"/>
          <w:szCs w:val="32"/>
          <w:u w:val="none"/>
        </w:rPr>
      </w:pPr>
      <w:r>
        <w:rPr>
          <w:rStyle w:val="32"/>
          <w:rFonts w:hint="eastAsia" w:ascii="宋体" w:hAnsi="宋体"/>
          <w:b/>
          <w:color w:val="auto"/>
          <w:sz w:val="32"/>
          <w:szCs w:val="32"/>
          <w:u w:val="none"/>
        </w:rPr>
        <w:t>磋商声明书</w:t>
      </w:r>
    </w:p>
    <w:p w14:paraId="1E830FF8">
      <w:pPr>
        <w:snapToGrid w:val="0"/>
        <w:spacing w:before="156" w:beforeLines="50" w:after="50" w:line="288" w:lineRule="auto"/>
        <w:ind w:firstLine="480" w:firstLineChars="200"/>
        <w:rPr>
          <w:rFonts w:ascii="宋体" w:hAnsi="宋体" w:cs="楷体_GB2312"/>
          <w:color w:val="auto"/>
          <w:kern w:val="0"/>
          <w:sz w:val="24"/>
        </w:rPr>
      </w:pPr>
      <w:r>
        <w:rPr>
          <w:rFonts w:ascii="宋体" w:hAnsi="宋体" w:cs="楷体_GB2312"/>
          <w:color w:val="auto"/>
          <w:kern w:val="0"/>
          <w:sz w:val="24"/>
          <w:u w:val="single"/>
        </w:rPr>
        <w:t>浙江五石中正工程咨询有限公司</w:t>
      </w:r>
      <w:r>
        <w:rPr>
          <w:rFonts w:hint="eastAsia" w:ascii="宋体" w:hAnsi="宋体" w:cs="楷体_GB2312"/>
          <w:color w:val="auto"/>
          <w:kern w:val="0"/>
          <w:sz w:val="24"/>
        </w:rPr>
        <w:t>（采购代理机构名称）：</w:t>
      </w:r>
    </w:p>
    <w:p w14:paraId="7F8E0546">
      <w:pPr>
        <w:snapToGrid w:val="0"/>
        <w:spacing w:before="156" w:beforeLines="50" w:after="50" w:line="288" w:lineRule="auto"/>
        <w:ind w:firstLine="480" w:firstLineChars="200"/>
        <w:rPr>
          <w:rFonts w:ascii="宋体" w:hAnsi="宋体" w:cs="楷体_GB2312"/>
          <w:color w:val="auto"/>
          <w:kern w:val="0"/>
          <w:sz w:val="24"/>
        </w:rPr>
      </w:pPr>
      <w:r>
        <w:rPr>
          <w:rFonts w:hint="eastAsia" w:ascii="宋体" w:hAnsi="宋体" w:cs="楷体_GB2312"/>
          <w:color w:val="auto"/>
          <w:kern w:val="0"/>
          <w:sz w:val="24"/>
          <w:u w:val="single"/>
        </w:rPr>
        <w:t xml:space="preserve">（供应商名称）            </w:t>
      </w:r>
      <w:r>
        <w:rPr>
          <w:rFonts w:hint="eastAsia" w:ascii="宋体" w:hAnsi="宋体" w:cs="楷体_GB2312"/>
          <w:color w:val="auto"/>
          <w:kern w:val="0"/>
          <w:sz w:val="24"/>
        </w:rPr>
        <w:t>系中华人民共和国合法企业，经营地址。</w:t>
      </w:r>
    </w:p>
    <w:p w14:paraId="7C94FF18">
      <w:pPr>
        <w:snapToGrid w:val="0"/>
        <w:spacing w:before="156" w:beforeLines="50" w:after="50" w:line="288" w:lineRule="auto"/>
        <w:ind w:firstLine="480" w:firstLineChars="200"/>
        <w:rPr>
          <w:rFonts w:ascii="宋体" w:hAnsi="宋体" w:cs="楷体_GB2312"/>
          <w:color w:val="auto"/>
          <w:kern w:val="0"/>
          <w:sz w:val="24"/>
        </w:rPr>
      </w:pPr>
      <w:r>
        <w:rPr>
          <w:rFonts w:hint="eastAsia" w:ascii="宋体" w:hAnsi="宋体" w:cs="楷体_GB2312"/>
          <w:color w:val="auto"/>
          <w:kern w:val="0"/>
          <w:sz w:val="24"/>
        </w:rPr>
        <w:t>我（</w:t>
      </w:r>
      <w:r>
        <w:rPr>
          <w:rFonts w:hint="eastAsia" w:ascii="宋体" w:hAnsi="宋体" w:cs="楷体_GB2312"/>
          <w:color w:val="auto"/>
          <w:kern w:val="0"/>
          <w:sz w:val="24"/>
          <w:u w:val="single"/>
        </w:rPr>
        <w:t xml:space="preserve"> 姓名 </w:t>
      </w:r>
      <w:r>
        <w:rPr>
          <w:rFonts w:hint="eastAsia" w:ascii="宋体" w:hAnsi="宋体" w:cs="楷体_GB2312"/>
          <w:color w:val="auto"/>
          <w:kern w:val="0"/>
          <w:sz w:val="24"/>
        </w:rPr>
        <w:t>）系（</w:t>
      </w:r>
      <w:r>
        <w:rPr>
          <w:rFonts w:hint="eastAsia" w:ascii="宋体" w:hAnsi="宋体" w:cs="楷体_GB2312"/>
          <w:color w:val="auto"/>
          <w:kern w:val="0"/>
          <w:sz w:val="24"/>
          <w:u w:val="single"/>
        </w:rPr>
        <w:t xml:space="preserve"> 供应商名称 </w:t>
      </w:r>
      <w:r>
        <w:rPr>
          <w:rFonts w:hint="eastAsia" w:ascii="宋体" w:hAnsi="宋体" w:cs="楷体_GB2312"/>
          <w:color w:val="auto"/>
          <w:kern w:val="0"/>
          <w:sz w:val="24"/>
        </w:rPr>
        <w:t>）的法定代表人，我公司自愿参加贵方组织的</w:t>
      </w:r>
      <w:r>
        <w:rPr>
          <w:rFonts w:hint="eastAsia" w:ascii="宋体" w:hAnsi="宋体" w:cs="楷体_GB2312"/>
          <w:color w:val="auto"/>
          <w:kern w:val="0"/>
          <w:sz w:val="24"/>
          <w:u w:val="single"/>
          <w:lang w:eastAsia="zh-CN"/>
        </w:rPr>
        <w:t>台州职业技术学院教师公寓三单元4、5、6层改造项目</w:t>
      </w:r>
      <w:r>
        <w:rPr>
          <w:rFonts w:hint="eastAsia" w:ascii="宋体" w:hAnsi="宋体" w:cs="楷体_GB2312"/>
          <w:color w:val="auto"/>
          <w:kern w:val="0"/>
          <w:sz w:val="24"/>
        </w:rPr>
        <w:t>（编号为</w:t>
      </w:r>
      <w:r>
        <w:rPr>
          <w:rFonts w:hint="eastAsia" w:ascii="宋体" w:hAnsi="宋体" w:cs="楷体_GB2312"/>
          <w:color w:val="auto"/>
          <w:kern w:val="0"/>
          <w:sz w:val="24"/>
          <w:u w:val="single"/>
          <w:lang w:eastAsia="zh-CN"/>
        </w:rPr>
        <w:t>ZJWS2025-JJ206</w:t>
      </w:r>
      <w:r>
        <w:rPr>
          <w:rFonts w:hint="eastAsia" w:ascii="宋体" w:hAnsi="宋体" w:cs="楷体_GB2312"/>
          <w:color w:val="auto"/>
          <w:kern w:val="0"/>
          <w:sz w:val="24"/>
        </w:rPr>
        <w:t>）的磋商，为此，我公司就本次磋商有关事项郑重声明如下：</w:t>
      </w:r>
    </w:p>
    <w:p w14:paraId="3E297872">
      <w:pPr>
        <w:numPr>
          <w:ilvl w:val="0"/>
          <w:numId w:val="7"/>
        </w:numPr>
        <w:snapToGrid w:val="0"/>
        <w:spacing w:before="156" w:beforeLines="50" w:after="50" w:line="288" w:lineRule="auto"/>
        <w:ind w:firstLine="480" w:firstLineChars="200"/>
        <w:rPr>
          <w:rFonts w:ascii="宋体" w:hAnsi="宋体" w:cs="楷体_GB2312"/>
          <w:b/>
          <w:color w:val="auto"/>
          <w:kern w:val="0"/>
          <w:sz w:val="24"/>
        </w:rPr>
      </w:pPr>
      <w:r>
        <w:rPr>
          <w:rFonts w:hint="eastAsia" w:ascii="宋体" w:hAnsi="宋体" w:cs="Tahoma"/>
          <w:color w:val="auto"/>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34EE4337">
      <w:pPr>
        <w:numPr>
          <w:ilvl w:val="0"/>
          <w:numId w:val="7"/>
        </w:numPr>
        <w:snapToGrid w:val="0"/>
        <w:spacing w:before="156" w:beforeLines="50" w:after="50" w:line="288" w:lineRule="auto"/>
        <w:ind w:firstLine="480" w:firstLineChars="200"/>
        <w:rPr>
          <w:rFonts w:ascii="宋体" w:hAnsi="宋体" w:cs="楷体_GB2312"/>
          <w:color w:val="auto"/>
          <w:kern w:val="0"/>
          <w:sz w:val="24"/>
        </w:rPr>
      </w:pPr>
      <w:r>
        <w:rPr>
          <w:rFonts w:hint="eastAsia" w:ascii="宋体" w:hAnsi="宋体" w:cs="楷体_GB2312"/>
          <w:color w:val="auto"/>
          <w:kern w:val="0"/>
          <w:sz w:val="24"/>
        </w:rPr>
        <w:t>我公司</w:t>
      </w:r>
      <w:r>
        <w:rPr>
          <w:rFonts w:ascii="宋体" w:hAnsi="宋体" w:cs="楷体_GB2312"/>
          <w:color w:val="auto"/>
          <w:kern w:val="0"/>
          <w:sz w:val="24"/>
        </w:rPr>
        <w:t>在参与</w:t>
      </w:r>
      <w:r>
        <w:rPr>
          <w:rFonts w:hint="eastAsia" w:ascii="宋体" w:hAnsi="宋体" w:cs="楷体_GB2312"/>
          <w:color w:val="auto"/>
          <w:kern w:val="0"/>
          <w:sz w:val="24"/>
        </w:rPr>
        <w:t>磋商</w:t>
      </w:r>
      <w:r>
        <w:rPr>
          <w:rFonts w:ascii="宋体" w:hAnsi="宋体" w:cs="楷体_GB2312"/>
          <w:color w:val="auto"/>
          <w:kern w:val="0"/>
          <w:sz w:val="24"/>
        </w:rPr>
        <w:t>前已</w:t>
      </w:r>
      <w:r>
        <w:rPr>
          <w:rFonts w:hint="eastAsia" w:ascii="宋体" w:hAnsi="宋体" w:cs="楷体_GB2312"/>
          <w:color w:val="auto"/>
          <w:kern w:val="0"/>
          <w:sz w:val="24"/>
        </w:rPr>
        <w:t>详细审查</w:t>
      </w:r>
      <w:r>
        <w:rPr>
          <w:rFonts w:ascii="宋体" w:hAnsi="宋体" w:cs="楷体_GB2312"/>
          <w:color w:val="auto"/>
          <w:kern w:val="0"/>
          <w:sz w:val="24"/>
        </w:rPr>
        <w:t>了</w:t>
      </w:r>
      <w:r>
        <w:rPr>
          <w:rFonts w:hint="eastAsia" w:ascii="宋体" w:hAnsi="宋体" w:cs="楷体_GB2312"/>
          <w:color w:val="auto"/>
          <w:kern w:val="0"/>
          <w:sz w:val="24"/>
        </w:rPr>
        <w:t>磋商采购</w:t>
      </w:r>
      <w:r>
        <w:rPr>
          <w:rFonts w:ascii="宋体" w:hAnsi="宋体" w:cs="楷体_GB2312"/>
          <w:color w:val="auto"/>
          <w:kern w:val="0"/>
          <w:sz w:val="24"/>
        </w:rPr>
        <w:t>文件和所有相关资料，我方完全明白并认为此</w:t>
      </w:r>
      <w:r>
        <w:rPr>
          <w:rFonts w:hint="eastAsia" w:ascii="宋体" w:hAnsi="宋体" w:cs="楷体_GB2312"/>
          <w:color w:val="auto"/>
          <w:kern w:val="0"/>
          <w:sz w:val="24"/>
        </w:rPr>
        <w:t>磋商采购</w:t>
      </w:r>
      <w:r>
        <w:rPr>
          <w:rFonts w:ascii="宋体" w:hAnsi="宋体" w:cs="楷体_GB2312"/>
          <w:color w:val="auto"/>
          <w:kern w:val="0"/>
          <w:sz w:val="24"/>
        </w:rPr>
        <w:t>文件没有倾向性，也没有存在排斥潜在</w:t>
      </w:r>
      <w:r>
        <w:rPr>
          <w:rFonts w:hint="eastAsia" w:ascii="宋体" w:hAnsi="宋体" w:cs="楷体_GB2312"/>
          <w:color w:val="auto"/>
          <w:kern w:val="0"/>
          <w:sz w:val="24"/>
        </w:rPr>
        <w:t>供应商</w:t>
      </w:r>
      <w:r>
        <w:rPr>
          <w:rFonts w:ascii="宋体" w:hAnsi="宋体" w:cs="楷体_GB2312"/>
          <w:color w:val="auto"/>
          <w:kern w:val="0"/>
          <w:sz w:val="24"/>
        </w:rPr>
        <w:t>的内容，我方同意</w:t>
      </w:r>
      <w:r>
        <w:rPr>
          <w:rFonts w:hint="eastAsia" w:ascii="宋体" w:hAnsi="宋体" w:cs="楷体_GB2312"/>
          <w:color w:val="auto"/>
          <w:kern w:val="0"/>
          <w:sz w:val="24"/>
        </w:rPr>
        <w:t>磋商采购</w:t>
      </w:r>
      <w:r>
        <w:rPr>
          <w:rFonts w:ascii="宋体" w:hAnsi="宋体" w:cs="楷体_GB2312"/>
          <w:color w:val="auto"/>
          <w:kern w:val="0"/>
          <w:sz w:val="24"/>
        </w:rPr>
        <w:t>文件的相关条款，放弃对</w:t>
      </w:r>
      <w:r>
        <w:rPr>
          <w:rFonts w:hint="eastAsia" w:ascii="宋体" w:hAnsi="宋体" w:cs="楷体_GB2312"/>
          <w:color w:val="auto"/>
          <w:kern w:val="0"/>
          <w:sz w:val="24"/>
        </w:rPr>
        <w:t>磋商采购</w:t>
      </w:r>
      <w:r>
        <w:rPr>
          <w:rFonts w:ascii="宋体" w:hAnsi="宋体" w:cs="楷体_GB2312"/>
          <w:color w:val="auto"/>
          <w:kern w:val="0"/>
          <w:sz w:val="24"/>
        </w:rPr>
        <w:t>文件提出误解和质疑的一切权</w:t>
      </w:r>
      <w:r>
        <w:rPr>
          <w:rFonts w:hint="eastAsia" w:ascii="宋体" w:hAnsi="宋体" w:cs="楷体_GB2312"/>
          <w:color w:val="auto"/>
          <w:kern w:val="0"/>
          <w:sz w:val="24"/>
        </w:rPr>
        <w:t>利。</w:t>
      </w:r>
    </w:p>
    <w:p w14:paraId="1CD68ED7">
      <w:pPr>
        <w:snapToGrid w:val="0"/>
        <w:spacing w:before="156" w:beforeLines="50" w:after="50" w:line="288" w:lineRule="auto"/>
        <w:ind w:firstLine="480" w:firstLineChars="200"/>
        <w:rPr>
          <w:rFonts w:ascii="宋体" w:hAnsi="宋体"/>
          <w:color w:val="auto"/>
          <w:sz w:val="24"/>
        </w:rPr>
      </w:pPr>
      <w:r>
        <w:rPr>
          <w:rFonts w:hint="eastAsia" w:ascii="宋体" w:hAnsi="宋体"/>
          <w:color w:val="auto"/>
          <w:sz w:val="24"/>
        </w:rPr>
        <w:t>3、我</w:t>
      </w:r>
      <w:r>
        <w:rPr>
          <w:rFonts w:hint="eastAsia" w:ascii="宋体" w:hAnsi="宋体" w:cs="方正书宋简体"/>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14:paraId="2539A887">
      <w:pPr>
        <w:snapToGrid w:val="0"/>
        <w:spacing w:before="156" w:beforeLines="50" w:after="50" w:line="288" w:lineRule="auto"/>
        <w:ind w:firstLine="480" w:firstLineChars="200"/>
        <w:rPr>
          <w:rFonts w:ascii="宋体" w:hAnsi="宋体"/>
          <w:color w:val="auto"/>
          <w:kern w:val="0"/>
          <w:sz w:val="24"/>
          <w:lang w:val="af-ZA"/>
        </w:rPr>
      </w:pPr>
      <w:r>
        <w:rPr>
          <w:rFonts w:hint="eastAsia" w:ascii="宋体" w:hAnsi="宋体"/>
          <w:color w:val="auto"/>
          <w:sz w:val="24"/>
        </w:rPr>
        <w:t>4、</w:t>
      </w:r>
      <w:r>
        <w:rPr>
          <w:rFonts w:hint="eastAsia" w:ascii="宋体" w:hAnsi="宋体" w:cs="楷体_GB2312"/>
          <w:color w:val="auto"/>
          <w:kern w:val="0"/>
          <w:sz w:val="24"/>
        </w:rPr>
        <w:t>我</w:t>
      </w:r>
      <w:r>
        <w:rPr>
          <w:rFonts w:hint="eastAsia" w:ascii="宋体" w:hAnsi="宋体" w:cs="方正书宋简体"/>
          <w:color w:val="auto"/>
          <w:kern w:val="0"/>
          <w:sz w:val="24"/>
          <w:lang w:val="zh-CN"/>
        </w:rPr>
        <w:t>公司</w:t>
      </w:r>
      <w:r>
        <w:rPr>
          <w:rFonts w:hint="eastAsia" w:ascii="宋体" w:hAnsi="宋体" w:cs="楷体_GB2312"/>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楷体_GB2312"/>
          <w:color w:val="auto"/>
          <w:kern w:val="0"/>
          <w:sz w:val="24"/>
        </w:rPr>
        <w:t>我</w:t>
      </w:r>
      <w:r>
        <w:rPr>
          <w:rFonts w:hint="eastAsia" w:ascii="宋体" w:hAnsi="宋体" w:cs="方正书宋简体"/>
          <w:color w:val="auto"/>
          <w:kern w:val="0"/>
          <w:sz w:val="24"/>
          <w:lang w:val="zh-CN"/>
        </w:rPr>
        <w:t>公司</w:t>
      </w:r>
      <w:r>
        <w:rPr>
          <w:rFonts w:hint="eastAsia" w:ascii="宋体" w:hAnsi="宋体"/>
          <w:color w:val="auto"/>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楷体_GB2312"/>
          <w:color w:val="auto"/>
          <w:kern w:val="0"/>
          <w:sz w:val="24"/>
          <w:lang w:val="af-ZA"/>
        </w:rPr>
        <w:t>我方</w:t>
      </w:r>
      <w:r>
        <w:rPr>
          <w:rFonts w:hint="eastAsia" w:ascii="宋体" w:hAnsi="宋体"/>
          <w:color w:val="auto"/>
          <w:kern w:val="0"/>
          <w:sz w:val="24"/>
          <w:lang w:val="af-ZA"/>
        </w:rPr>
        <w:t>承担。</w:t>
      </w:r>
      <w:r>
        <w:rPr>
          <w:rFonts w:hint="eastAsia" w:ascii="宋体" w:hAnsi="宋体" w:cs="楷体_GB2312"/>
          <w:color w:val="auto"/>
          <w:kern w:val="0"/>
          <w:sz w:val="24"/>
          <w:lang w:val="af-ZA"/>
        </w:rPr>
        <w:t>我方的</w:t>
      </w:r>
      <w:r>
        <w:rPr>
          <w:rFonts w:hint="eastAsia" w:ascii="宋体" w:hAnsi="宋体"/>
          <w:color w:val="auto"/>
          <w:kern w:val="0"/>
          <w:sz w:val="24"/>
          <w:lang w:val="af-ZA"/>
        </w:rPr>
        <w:t>总报价</w:t>
      </w:r>
      <w:r>
        <w:rPr>
          <w:rFonts w:hint="eastAsia" w:ascii="宋体" w:hAnsi="宋体" w:cs="楷体_GB2312"/>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14:paraId="7B8AC121">
      <w:pPr>
        <w:snapToGrid w:val="0"/>
        <w:spacing w:before="156" w:beforeLines="50" w:after="50" w:line="288" w:lineRule="auto"/>
        <w:ind w:firstLine="480" w:firstLineChars="200"/>
        <w:rPr>
          <w:rFonts w:ascii="宋体" w:hAnsi="宋体" w:cs="方正书宋简体"/>
          <w:color w:val="auto"/>
          <w:sz w:val="24"/>
        </w:rPr>
      </w:pPr>
      <w:r>
        <w:rPr>
          <w:rFonts w:hint="eastAsia" w:ascii="宋体" w:hAnsi="宋体" w:cs="楷体_GB2312"/>
          <w:color w:val="auto"/>
          <w:kern w:val="0"/>
          <w:sz w:val="24"/>
          <w:lang w:val="af-ZA"/>
        </w:rPr>
        <w:t>5、我</w:t>
      </w:r>
      <w:r>
        <w:rPr>
          <w:rFonts w:hint="eastAsia" w:ascii="宋体" w:hAnsi="宋体" w:cs="楷体_GB2312"/>
          <w:color w:val="auto"/>
          <w:kern w:val="0"/>
          <w:sz w:val="24"/>
          <w:lang w:val="zh-CN"/>
        </w:rPr>
        <w:t>公司</w:t>
      </w:r>
      <w:r>
        <w:rPr>
          <w:rFonts w:hint="eastAsia" w:ascii="宋体" w:hAnsi="宋体" w:cs="楷体_GB2312"/>
          <w:color w:val="auto"/>
          <w:kern w:val="0"/>
          <w:sz w:val="24"/>
          <w:lang w:val="af-ZA"/>
        </w:rPr>
        <w:t>严格履行政府采购合同，不降低合同约定的产品质量和服务，不擅自变更、中止、终止合同，或拒绝履行合同义务；</w:t>
      </w:r>
    </w:p>
    <w:p w14:paraId="041D8563">
      <w:pPr>
        <w:snapToGrid w:val="0"/>
        <w:spacing w:before="156" w:beforeLines="50" w:after="50" w:line="288" w:lineRule="auto"/>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方正书宋简体"/>
          <w:color w:val="auto"/>
          <w:kern w:val="0"/>
          <w:sz w:val="24"/>
          <w:lang w:val="zh-CN"/>
        </w:rPr>
        <w:t>公司</w:t>
      </w:r>
      <w:r>
        <w:rPr>
          <w:rFonts w:hint="eastAsia" w:ascii="宋体" w:hAnsi="宋体"/>
          <w:color w:val="auto"/>
          <w:sz w:val="24"/>
        </w:rPr>
        <w:t>愿意承担一切后果，并不再寻求任何旨在减轻或免除法律责任的辩解。</w:t>
      </w:r>
    </w:p>
    <w:p w14:paraId="25A54C91">
      <w:pPr>
        <w:adjustRightInd w:val="0"/>
        <w:snapToGrid w:val="0"/>
        <w:spacing w:line="360" w:lineRule="auto"/>
        <w:ind w:firstLine="480"/>
        <w:rPr>
          <w:rFonts w:ascii="宋体" w:hAnsi="宋体" w:cs="方正书宋简体"/>
          <w:color w:val="auto"/>
          <w:kern w:val="0"/>
          <w:sz w:val="24"/>
        </w:rPr>
      </w:pPr>
    </w:p>
    <w:p w14:paraId="689EE315">
      <w:pPr>
        <w:adjustRightInd w:val="0"/>
        <w:snapToGrid w:val="0"/>
        <w:spacing w:line="360" w:lineRule="auto"/>
        <w:ind w:firstLine="4680" w:firstLineChars="1950"/>
        <w:rPr>
          <w:rFonts w:ascii="宋体" w:hAnsi="宋体" w:cs="方正书宋简体"/>
          <w:color w:val="auto"/>
          <w:kern w:val="0"/>
          <w:sz w:val="24"/>
          <w:lang w:val="zh-CN"/>
        </w:rPr>
      </w:pPr>
      <w:r>
        <w:rPr>
          <w:rFonts w:hint="eastAsia" w:ascii="宋体" w:hAnsi="宋体" w:cs="方正书宋简体"/>
          <w:color w:val="auto"/>
          <w:kern w:val="0"/>
          <w:sz w:val="24"/>
          <w:lang w:val="zh-CN"/>
        </w:rPr>
        <w:t xml:space="preserve">    供应商名称(公章)：</w:t>
      </w:r>
    </w:p>
    <w:p w14:paraId="0DC4CF4D">
      <w:pPr>
        <w:adjustRightInd w:val="0"/>
        <w:snapToGrid w:val="0"/>
        <w:spacing w:line="360" w:lineRule="auto"/>
        <w:rPr>
          <w:rFonts w:ascii="宋体" w:hAnsi="宋体" w:cs="方正书宋简体"/>
          <w:color w:val="auto"/>
          <w:kern w:val="0"/>
          <w:sz w:val="24"/>
          <w:lang w:val="zh-CN"/>
        </w:rPr>
      </w:pPr>
      <w:r>
        <w:rPr>
          <w:rFonts w:hint="eastAsia" w:ascii="宋体" w:hAnsi="宋体" w:cs="方正书宋简体"/>
          <w:color w:val="auto"/>
          <w:kern w:val="0"/>
          <w:sz w:val="24"/>
          <w:lang w:val="zh-CN"/>
        </w:rPr>
        <w:t xml:space="preserve">                                   法定代表人或授权委托人(签章或签字)：</w:t>
      </w:r>
    </w:p>
    <w:p w14:paraId="28720026">
      <w:pPr>
        <w:adjustRightInd w:val="0"/>
        <w:snapToGrid w:val="0"/>
        <w:spacing w:line="360" w:lineRule="auto"/>
        <w:ind w:right="480"/>
        <w:jc w:val="center"/>
        <w:rPr>
          <w:rFonts w:ascii="宋体" w:hAnsi="宋体" w:cs="方正书宋简体"/>
          <w:color w:val="auto"/>
          <w:kern w:val="0"/>
          <w:sz w:val="24"/>
          <w:lang w:val="zh-CN"/>
        </w:rPr>
      </w:pPr>
      <w:r>
        <w:rPr>
          <w:rFonts w:hint="eastAsia" w:ascii="宋体" w:hAnsi="宋体" w:cs="方正书宋简体"/>
          <w:color w:val="auto"/>
          <w:kern w:val="0"/>
          <w:sz w:val="24"/>
          <w:lang w:val="zh-CN"/>
        </w:rPr>
        <w:t xml:space="preserve">                                  日期：年  月   日</w:t>
      </w:r>
    </w:p>
    <w:p w14:paraId="4FA4A7DC">
      <w:pPr>
        <w:adjustRightInd w:val="0"/>
        <w:snapToGrid w:val="0"/>
        <w:spacing w:line="360" w:lineRule="auto"/>
        <w:ind w:right="480"/>
        <w:jc w:val="center"/>
        <w:rPr>
          <w:rFonts w:ascii="宋体" w:hAnsi="宋体" w:cs="方正书宋简体"/>
          <w:color w:val="auto"/>
          <w:kern w:val="0"/>
          <w:sz w:val="24"/>
          <w:lang w:val="zh-CN"/>
        </w:rPr>
      </w:pPr>
    </w:p>
    <w:p w14:paraId="2BA98178">
      <w:pPr>
        <w:adjustRightInd w:val="0"/>
        <w:snapToGrid w:val="0"/>
        <w:spacing w:line="360" w:lineRule="auto"/>
        <w:ind w:right="480"/>
        <w:rPr>
          <w:rFonts w:ascii="宋体" w:hAnsi="宋体"/>
          <w:b/>
          <w:color w:val="auto"/>
          <w:sz w:val="30"/>
          <w:szCs w:val="30"/>
        </w:rPr>
      </w:pPr>
      <w:r>
        <w:rPr>
          <w:rFonts w:hint="eastAsia" w:ascii="宋体" w:hAnsi="宋体"/>
          <w:b/>
          <w:color w:val="auto"/>
          <w:sz w:val="28"/>
        </w:rPr>
        <w:t>附件3</w:t>
      </w:r>
    </w:p>
    <w:p w14:paraId="3E4D15FA">
      <w:pPr>
        <w:spacing w:line="360" w:lineRule="auto"/>
        <w:ind w:firstLine="321" w:firstLineChars="100"/>
        <w:jc w:val="center"/>
        <w:rPr>
          <w:rFonts w:ascii="宋体" w:hAnsi="宋体"/>
          <w:b/>
          <w:color w:val="auto"/>
          <w:sz w:val="32"/>
          <w:szCs w:val="32"/>
          <w:u w:val="single"/>
        </w:rPr>
      </w:pPr>
      <w:r>
        <w:rPr>
          <w:rFonts w:ascii="宋体" w:hAnsi="宋体"/>
          <w:b/>
          <w:color w:val="auto"/>
          <w:sz w:val="32"/>
          <w:szCs w:val="32"/>
        </w:rPr>
        <w:t>授权</w:t>
      </w:r>
      <w:r>
        <w:rPr>
          <w:rFonts w:hint="eastAsia" w:ascii="宋体" w:hAnsi="宋体"/>
          <w:b/>
          <w:color w:val="auto"/>
          <w:sz w:val="32"/>
          <w:szCs w:val="32"/>
        </w:rPr>
        <w:t>委托</w:t>
      </w:r>
      <w:r>
        <w:rPr>
          <w:rFonts w:ascii="宋体" w:hAnsi="宋体"/>
          <w:b/>
          <w:color w:val="auto"/>
          <w:sz w:val="32"/>
          <w:szCs w:val="32"/>
        </w:rPr>
        <w:t>书</w:t>
      </w:r>
    </w:p>
    <w:p w14:paraId="39788198">
      <w:pPr>
        <w:pStyle w:val="6"/>
        <w:spacing w:line="500" w:lineRule="exact"/>
        <w:rPr>
          <w:rFonts w:ascii="宋体" w:hAnsi="宋体" w:eastAsia="宋体"/>
          <w:b/>
          <w:color w:val="auto"/>
          <w:sz w:val="24"/>
        </w:rPr>
      </w:pPr>
      <w:r>
        <w:rPr>
          <w:rFonts w:ascii="宋体" w:hAnsi="宋体" w:eastAsia="宋体"/>
          <w:color w:val="auto"/>
          <w:sz w:val="24"/>
          <w:u w:val="single"/>
        </w:rPr>
        <w:t>浙江五石中正工程咨询有限公司</w:t>
      </w:r>
      <w:r>
        <w:rPr>
          <w:rFonts w:hint="eastAsia" w:ascii="宋体" w:hAnsi="宋体" w:eastAsia="宋体" w:cs="楷体_GB2312"/>
          <w:color w:val="auto"/>
          <w:kern w:val="0"/>
          <w:sz w:val="24"/>
          <w:u w:val="single"/>
        </w:rPr>
        <w:t>（采购代理机构名称）</w:t>
      </w:r>
      <w:r>
        <w:rPr>
          <w:rFonts w:ascii="宋体" w:hAnsi="宋体" w:eastAsia="宋体"/>
          <w:b/>
          <w:color w:val="auto"/>
          <w:sz w:val="24"/>
        </w:rPr>
        <w:t>：</w:t>
      </w:r>
    </w:p>
    <w:p w14:paraId="04964DFE">
      <w:pPr>
        <w:pStyle w:val="6"/>
        <w:spacing w:line="440" w:lineRule="atLeast"/>
        <w:ind w:left="240" w:hanging="240" w:hangingChars="100"/>
        <w:rPr>
          <w:rFonts w:ascii="宋体" w:hAnsi="宋体" w:eastAsia="宋体"/>
          <w:color w:val="auto"/>
          <w:sz w:val="24"/>
        </w:rPr>
      </w:pPr>
      <w:r>
        <w:rPr>
          <w:rFonts w:ascii="宋体" w:hAnsi="宋体" w:eastAsia="宋体"/>
          <w:color w:val="auto"/>
          <w:sz w:val="24"/>
        </w:rPr>
        <w:t xml:space="preserve">    </w:t>
      </w:r>
      <w:r>
        <w:rPr>
          <w:rFonts w:ascii="宋体" w:hAnsi="宋体" w:eastAsia="宋体"/>
          <w:color w:val="auto"/>
          <w:sz w:val="24"/>
          <w:u w:val="single"/>
        </w:rPr>
        <w:t xml:space="preserve">  （</w:t>
      </w:r>
      <w:r>
        <w:rPr>
          <w:rFonts w:hint="eastAsia" w:ascii="宋体" w:hAnsi="宋体" w:eastAsia="宋体"/>
          <w:color w:val="auto"/>
          <w:sz w:val="24"/>
          <w:u w:val="single"/>
        </w:rPr>
        <w:t>供应商</w:t>
      </w:r>
      <w:r>
        <w:rPr>
          <w:rFonts w:ascii="宋体" w:hAnsi="宋体" w:eastAsia="宋体"/>
          <w:color w:val="auto"/>
          <w:sz w:val="24"/>
          <w:u w:val="single"/>
        </w:rPr>
        <w:t xml:space="preserve">全称）  </w:t>
      </w:r>
      <w:r>
        <w:rPr>
          <w:rFonts w:ascii="宋体" w:hAnsi="宋体" w:eastAsia="宋体"/>
          <w:color w:val="auto"/>
          <w:sz w:val="24"/>
        </w:rPr>
        <w:t>法定代表人</w:t>
      </w:r>
      <w:r>
        <w:rPr>
          <w:rFonts w:hint="eastAsia" w:ascii="宋体" w:hAnsi="宋体" w:eastAsia="宋体" w:cs="Tahoma"/>
          <w:color w:val="auto"/>
          <w:sz w:val="24"/>
        </w:rPr>
        <w:t>（或营业执照中单位负责人）</w:t>
      </w:r>
      <w:r>
        <w:rPr>
          <w:rFonts w:ascii="宋体" w:hAnsi="宋体" w:eastAsia="宋体"/>
          <w:color w:val="auto"/>
          <w:sz w:val="24"/>
          <w:u w:val="single"/>
        </w:rPr>
        <w:tab/>
      </w:r>
      <w:r>
        <w:rPr>
          <w:rFonts w:ascii="宋体" w:hAnsi="宋体" w:eastAsia="宋体"/>
          <w:color w:val="auto"/>
          <w:sz w:val="24"/>
          <w:u w:val="single"/>
        </w:rPr>
        <w:t>（法定代表</w:t>
      </w:r>
      <w:r>
        <w:rPr>
          <w:rFonts w:hint="eastAsia" w:ascii="宋体" w:hAnsi="宋体" w:eastAsia="宋体"/>
          <w:color w:val="auto"/>
          <w:sz w:val="24"/>
          <w:u w:val="single"/>
        </w:rPr>
        <w:t>人</w:t>
      </w:r>
      <w:r>
        <w:rPr>
          <w:rFonts w:hint="eastAsia" w:ascii="宋体" w:hAnsi="宋体" w:eastAsia="宋体" w:cs="Tahoma"/>
          <w:color w:val="auto"/>
          <w:sz w:val="24"/>
          <w:u w:val="single"/>
        </w:rPr>
        <w:t>或营业执照中单位负责人</w:t>
      </w:r>
      <w:r>
        <w:rPr>
          <w:rFonts w:ascii="宋体" w:hAnsi="宋体" w:eastAsia="宋体"/>
          <w:color w:val="auto"/>
          <w:sz w:val="24"/>
          <w:u w:val="single"/>
        </w:rPr>
        <w:t xml:space="preserve">姓名） </w:t>
      </w:r>
      <w:r>
        <w:rPr>
          <w:rFonts w:ascii="宋体" w:hAnsi="宋体" w:eastAsia="宋体"/>
          <w:color w:val="auto"/>
          <w:sz w:val="24"/>
        </w:rPr>
        <w:t>授权</w:t>
      </w:r>
      <w:r>
        <w:rPr>
          <w:rFonts w:hint="eastAsia" w:ascii="宋体" w:hAnsi="宋体" w:eastAsia="宋体"/>
          <w:color w:val="auto"/>
          <w:sz w:val="24"/>
          <w:u w:val="single"/>
        </w:rPr>
        <w:t xml:space="preserve">   （全权代表</w:t>
      </w:r>
      <w:r>
        <w:rPr>
          <w:rFonts w:ascii="宋体" w:hAnsi="宋体" w:eastAsia="宋体"/>
          <w:color w:val="auto"/>
          <w:sz w:val="24"/>
          <w:u w:val="single"/>
        </w:rPr>
        <w:t>姓名</w:t>
      </w:r>
      <w:r>
        <w:rPr>
          <w:rFonts w:hint="eastAsia" w:ascii="宋体" w:hAnsi="宋体" w:eastAsia="宋体"/>
          <w:color w:val="auto"/>
          <w:sz w:val="24"/>
          <w:u w:val="single"/>
        </w:rPr>
        <w:t xml:space="preserve">） </w:t>
      </w:r>
      <w:r>
        <w:rPr>
          <w:rFonts w:ascii="宋体" w:hAnsi="宋体" w:eastAsia="宋体"/>
          <w:color w:val="auto"/>
          <w:sz w:val="24"/>
        </w:rPr>
        <w:t>为</w:t>
      </w:r>
      <w:r>
        <w:rPr>
          <w:rFonts w:hint="eastAsia" w:ascii="宋体" w:hAnsi="宋体" w:eastAsia="宋体"/>
          <w:color w:val="auto"/>
          <w:sz w:val="24"/>
        </w:rPr>
        <w:t>全权代表</w:t>
      </w:r>
      <w:r>
        <w:rPr>
          <w:rFonts w:ascii="宋体" w:hAnsi="宋体" w:eastAsia="宋体"/>
          <w:color w:val="auto"/>
          <w:sz w:val="24"/>
        </w:rPr>
        <w:t>，参加贵单位组织的</w:t>
      </w:r>
      <w:r>
        <w:rPr>
          <w:rFonts w:hint="eastAsia" w:ascii="宋体" w:hAnsi="宋体" w:eastAsia="宋体"/>
          <w:color w:val="auto"/>
          <w:sz w:val="24"/>
          <w:u w:val="single"/>
          <w:lang w:eastAsia="zh-CN"/>
        </w:rPr>
        <w:t>台州职业技术学院教师公寓三单元4、5、6层改造项目</w:t>
      </w:r>
      <w:r>
        <w:rPr>
          <w:rFonts w:ascii="宋体" w:hAnsi="宋体" w:eastAsia="宋体"/>
          <w:color w:val="auto"/>
          <w:sz w:val="24"/>
        </w:rPr>
        <w:t>的采购活动，并代表我方全权办理针对上述项目的磋商、签约等具体事务和签署相关文件。</w:t>
      </w:r>
      <w:r>
        <w:rPr>
          <w:rFonts w:hint="eastAsia" w:ascii="宋体" w:hAnsi="宋体" w:eastAsia="宋体"/>
          <w:color w:val="auto"/>
          <w:sz w:val="24"/>
        </w:rPr>
        <w:t>我方对全权代表的签字事项负全部责任。</w:t>
      </w:r>
    </w:p>
    <w:p w14:paraId="0B509F62">
      <w:pPr>
        <w:pStyle w:val="6"/>
        <w:spacing w:line="440" w:lineRule="atLeast"/>
        <w:ind w:left="139" w:leftChars="66" w:firstLine="480" w:firstLineChars="200"/>
        <w:rPr>
          <w:rFonts w:ascii="宋体" w:hAnsi="宋体" w:eastAsia="宋体"/>
          <w:color w:val="auto"/>
          <w:sz w:val="24"/>
        </w:rPr>
      </w:pPr>
      <w:r>
        <w:rPr>
          <w:rFonts w:hint="eastAsia" w:ascii="宋体" w:hAnsi="宋体" w:eastAsia="宋体"/>
          <w:color w:val="auto"/>
          <w:sz w:val="24"/>
        </w:rPr>
        <w:t>在撤销授权的书面通知以前，本授权书一直有效。全权代表在授权委托书有效期内签署的所有文件不因授权的撤销而失效。</w:t>
      </w:r>
    </w:p>
    <w:p w14:paraId="223A60F1">
      <w:pPr>
        <w:pStyle w:val="6"/>
        <w:spacing w:line="440" w:lineRule="atLeast"/>
        <w:ind w:left="139" w:leftChars="66" w:firstLine="480" w:firstLineChars="200"/>
        <w:rPr>
          <w:rFonts w:ascii="宋体" w:hAnsi="宋体" w:eastAsia="宋体"/>
          <w:color w:val="auto"/>
          <w:sz w:val="24"/>
        </w:rPr>
      </w:pPr>
      <w:r>
        <w:rPr>
          <w:rFonts w:hint="eastAsia" w:ascii="宋体" w:hAnsi="宋体" w:eastAsia="宋体"/>
          <w:color w:val="auto"/>
          <w:sz w:val="24"/>
        </w:rPr>
        <w:t>全权代表无转委托权，特此委托。</w:t>
      </w:r>
    </w:p>
    <w:p w14:paraId="58DC671A">
      <w:pPr>
        <w:spacing w:line="440" w:lineRule="atLeast"/>
        <w:rPr>
          <w:rFonts w:ascii="宋体" w:hAnsi="宋体"/>
          <w:color w:val="auto"/>
          <w:sz w:val="24"/>
        </w:rPr>
      </w:pPr>
    </w:p>
    <w:p w14:paraId="04823484">
      <w:pPr>
        <w:spacing w:line="440" w:lineRule="atLeast"/>
        <w:rPr>
          <w:rFonts w:ascii="宋体" w:hAnsi="宋体"/>
          <w:color w:val="auto"/>
          <w:sz w:val="24"/>
          <w:u w:val="single"/>
        </w:rPr>
      </w:pPr>
      <w:r>
        <w:rPr>
          <w:rFonts w:hint="eastAsia" w:ascii="宋体" w:hAnsi="宋体"/>
          <w:color w:val="auto"/>
          <w:sz w:val="24"/>
        </w:rPr>
        <w:t>法定代表人签字或签章：</w:t>
      </w:r>
      <w:r>
        <w:rPr>
          <w:rFonts w:hint="eastAsia" w:ascii="宋体" w:hAnsi="宋体"/>
          <w:color w:val="auto"/>
          <w:sz w:val="24"/>
          <w:u w:val="single"/>
        </w:rPr>
        <w:t xml:space="preserve"> </w:t>
      </w:r>
      <w:r>
        <w:rPr>
          <w:rFonts w:ascii="宋体" w:hAnsi="宋体"/>
          <w:color w:val="auto"/>
          <w:sz w:val="24"/>
          <w:u w:val="single"/>
        </w:rPr>
        <w:t xml:space="preserve">                   </w:t>
      </w:r>
    </w:p>
    <w:p w14:paraId="0E54E908">
      <w:pPr>
        <w:spacing w:line="440" w:lineRule="atLeast"/>
        <w:rPr>
          <w:rFonts w:ascii="宋体" w:hAnsi="宋体"/>
          <w:color w:val="auto"/>
          <w:sz w:val="24"/>
        </w:rPr>
      </w:pPr>
      <w:r>
        <w:rPr>
          <w:rFonts w:hint="eastAsia" w:ascii="宋体" w:hAnsi="宋体"/>
          <w:color w:val="auto"/>
          <w:sz w:val="24"/>
        </w:rPr>
        <w:t>供应商全称（公章）：</w:t>
      </w:r>
      <w:r>
        <w:rPr>
          <w:rFonts w:ascii="宋体" w:hAnsi="宋体"/>
          <w:color w:val="auto"/>
          <w:sz w:val="24"/>
          <w:u w:val="single"/>
        </w:rPr>
        <w:t xml:space="preserve">               </w:t>
      </w:r>
      <w:r>
        <w:rPr>
          <w:rFonts w:hint="eastAsia" w:ascii="宋体" w:hAnsi="宋体"/>
          <w:color w:val="auto"/>
          <w:sz w:val="24"/>
        </w:rPr>
        <w:t xml:space="preserve">             日期：</w:t>
      </w:r>
    </w:p>
    <w:p w14:paraId="48F437A4">
      <w:pPr>
        <w:spacing w:line="440" w:lineRule="atLeast"/>
        <w:rPr>
          <w:rFonts w:ascii="宋体" w:hAnsi="宋体"/>
          <w:color w:val="auto"/>
          <w:sz w:val="24"/>
        </w:rPr>
      </w:pPr>
    </w:p>
    <w:p w14:paraId="0F3D4DB2">
      <w:pPr>
        <w:spacing w:line="440" w:lineRule="atLeast"/>
        <w:rPr>
          <w:rFonts w:ascii="宋体" w:hAnsi="宋体"/>
          <w:b/>
          <w:color w:val="auto"/>
          <w:sz w:val="24"/>
        </w:rPr>
      </w:pPr>
      <w:r>
        <w:rPr>
          <w:rFonts w:hint="eastAsia" w:ascii="宋体" w:hAnsi="宋体"/>
          <w:b/>
          <w:color w:val="auto"/>
          <w:sz w:val="24"/>
        </w:rPr>
        <w:t>附：</w:t>
      </w:r>
    </w:p>
    <w:tbl>
      <w:tblPr>
        <w:tblStyle w:val="2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497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8A47FBF">
            <w:pPr>
              <w:spacing w:line="440" w:lineRule="atLeast"/>
              <w:rPr>
                <w:rFonts w:ascii="宋体" w:hAnsi="宋体"/>
                <w:b/>
                <w:color w:val="auto"/>
                <w:sz w:val="24"/>
              </w:rPr>
            </w:pPr>
          </w:p>
          <w:p w14:paraId="4FB3DF2A">
            <w:pPr>
              <w:spacing w:line="440" w:lineRule="atLeast"/>
              <w:ind w:firstLine="361" w:firstLineChars="150"/>
              <w:rPr>
                <w:rFonts w:ascii="宋体" w:hAnsi="宋体"/>
                <w:b/>
                <w:color w:val="auto"/>
                <w:sz w:val="24"/>
              </w:rPr>
            </w:pPr>
            <w:r>
              <w:rPr>
                <w:rFonts w:hint="eastAsia" w:ascii="宋体" w:hAnsi="宋体"/>
                <w:b/>
                <w:color w:val="auto"/>
                <w:sz w:val="24"/>
              </w:rPr>
              <w:t>法定代表身份证扫描件粘帖处</w:t>
            </w:r>
          </w:p>
        </w:tc>
      </w:tr>
    </w:tbl>
    <w:p w14:paraId="2B504E4C">
      <w:pPr>
        <w:spacing w:line="440" w:lineRule="atLeast"/>
        <w:rPr>
          <w:rFonts w:ascii="宋体" w:hAnsi="宋体"/>
          <w:color w:val="auto"/>
          <w:sz w:val="24"/>
        </w:rPr>
      </w:pPr>
      <w:r>
        <w:rPr>
          <w:rFonts w:hint="eastAsia" w:ascii="宋体" w:hAnsi="宋体"/>
          <w:color w:val="auto"/>
          <w:sz w:val="24"/>
        </w:rPr>
        <w:t xml:space="preserve">法定代表人姓名：                                 </w:t>
      </w:r>
    </w:p>
    <w:p w14:paraId="783A9AD4">
      <w:pPr>
        <w:spacing w:line="440" w:lineRule="atLeast"/>
        <w:rPr>
          <w:rFonts w:ascii="宋体" w:hAnsi="宋体"/>
          <w:color w:val="auto"/>
          <w:sz w:val="24"/>
        </w:rPr>
      </w:pPr>
      <w:r>
        <w:rPr>
          <w:rFonts w:hint="eastAsia" w:ascii="宋体" w:hAnsi="宋体"/>
          <w:color w:val="auto"/>
          <w:sz w:val="24"/>
        </w:rPr>
        <w:t>传真：</w:t>
      </w:r>
    </w:p>
    <w:p w14:paraId="3D7BC01B">
      <w:pPr>
        <w:spacing w:line="440" w:lineRule="atLeast"/>
        <w:rPr>
          <w:rFonts w:ascii="宋体" w:hAnsi="宋体"/>
          <w:color w:val="auto"/>
          <w:sz w:val="24"/>
        </w:rPr>
      </w:pPr>
      <w:r>
        <w:rPr>
          <w:rFonts w:hint="eastAsia" w:ascii="宋体" w:hAnsi="宋体"/>
          <w:color w:val="auto"/>
          <w:sz w:val="24"/>
        </w:rPr>
        <w:t>电话：</w:t>
      </w:r>
    </w:p>
    <w:p w14:paraId="5C02A6E1">
      <w:pPr>
        <w:spacing w:line="440" w:lineRule="atLeast"/>
        <w:rPr>
          <w:rFonts w:ascii="宋体" w:hAnsi="宋体"/>
          <w:color w:val="auto"/>
          <w:sz w:val="24"/>
        </w:rPr>
      </w:pPr>
      <w:r>
        <w:rPr>
          <w:rFonts w:hint="eastAsia" w:ascii="宋体" w:hAnsi="宋体"/>
          <w:color w:val="auto"/>
          <w:sz w:val="24"/>
        </w:rPr>
        <w:t>详细通讯地址：</w:t>
      </w:r>
    </w:p>
    <w:p w14:paraId="619BE3A6">
      <w:pPr>
        <w:spacing w:line="440" w:lineRule="atLeast"/>
        <w:rPr>
          <w:rFonts w:ascii="宋体" w:hAnsi="宋体"/>
          <w:color w:val="auto"/>
          <w:sz w:val="24"/>
        </w:rPr>
      </w:pPr>
      <w:r>
        <w:rPr>
          <w:rFonts w:hint="eastAsia" w:ascii="宋体" w:hAnsi="宋体"/>
          <w:color w:val="auto"/>
          <w:sz w:val="24"/>
        </w:rPr>
        <w:t>邮政编码：</w:t>
      </w:r>
    </w:p>
    <w:p w14:paraId="72C46F08">
      <w:pPr>
        <w:spacing w:line="440" w:lineRule="atLeast"/>
        <w:rPr>
          <w:rFonts w:ascii="宋体" w:hAnsi="宋体"/>
          <w:b/>
          <w:color w:val="auto"/>
          <w:sz w:val="24"/>
        </w:rPr>
      </w:pPr>
    </w:p>
    <w:tbl>
      <w:tblPr>
        <w:tblStyle w:val="2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4BE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D698079">
            <w:pPr>
              <w:spacing w:line="440" w:lineRule="atLeast"/>
              <w:rPr>
                <w:rFonts w:ascii="宋体" w:hAnsi="宋体"/>
                <w:b/>
                <w:color w:val="auto"/>
                <w:sz w:val="24"/>
              </w:rPr>
            </w:pPr>
          </w:p>
          <w:p w14:paraId="2E793591">
            <w:pPr>
              <w:spacing w:line="440" w:lineRule="atLeast"/>
              <w:ind w:firstLine="361" w:firstLineChars="150"/>
              <w:rPr>
                <w:rFonts w:ascii="宋体" w:hAnsi="宋体"/>
                <w:b/>
                <w:color w:val="auto"/>
                <w:sz w:val="24"/>
              </w:rPr>
            </w:pPr>
            <w:r>
              <w:rPr>
                <w:rFonts w:hint="eastAsia" w:ascii="宋体" w:hAnsi="宋体"/>
                <w:b/>
                <w:color w:val="auto"/>
                <w:sz w:val="24"/>
              </w:rPr>
              <w:t>全权代表身份证扫描件粘帖处</w:t>
            </w:r>
          </w:p>
        </w:tc>
      </w:tr>
    </w:tbl>
    <w:p w14:paraId="3FAE4E2D">
      <w:pPr>
        <w:spacing w:line="440" w:lineRule="atLeast"/>
        <w:rPr>
          <w:rFonts w:ascii="宋体" w:hAnsi="宋体"/>
          <w:color w:val="auto"/>
          <w:sz w:val="24"/>
        </w:rPr>
      </w:pPr>
      <w:r>
        <w:rPr>
          <w:rFonts w:hint="eastAsia" w:ascii="宋体" w:hAnsi="宋体"/>
          <w:color w:val="auto"/>
          <w:sz w:val="24"/>
        </w:rPr>
        <w:t xml:space="preserve">全权代表姓名：       </w:t>
      </w:r>
    </w:p>
    <w:p w14:paraId="4BF5FEF8">
      <w:pPr>
        <w:spacing w:line="440" w:lineRule="atLeast"/>
        <w:rPr>
          <w:rFonts w:ascii="宋体" w:hAnsi="宋体"/>
          <w:color w:val="auto"/>
          <w:sz w:val="24"/>
        </w:rPr>
      </w:pPr>
      <w:r>
        <w:rPr>
          <w:rFonts w:hint="eastAsia" w:ascii="宋体" w:hAnsi="宋体"/>
          <w:color w:val="auto"/>
          <w:sz w:val="24"/>
        </w:rPr>
        <w:t xml:space="preserve">职务：                           </w:t>
      </w:r>
    </w:p>
    <w:p w14:paraId="142CAB17">
      <w:pPr>
        <w:spacing w:line="440" w:lineRule="atLeast"/>
        <w:rPr>
          <w:rFonts w:ascii="宋体" w:hAnsi="宋体"/>
          <w:color w:val="auto"/>
          <w:sz w:val="24"/>
        </w:rPr>
      </w:pPr>
      <w:r>
        <w:rPr>
          <w:rFonts w:hint="eastAsia" w:ascii="宋体" w:hAnsi="宋体"/>
          <w:color w:val="auto"/>
          <w:sz w:val="24"/>
        </w:rPr>
        <w:t>邮箱：</w:t>
      </w:r>
    </w:p>
    <w:p w14:paraId="01837E0D">
      <w:pPr>
        <w:spacing w:line="440" w:lineRule="atLeast"/>
        <w:rPr>
          <w:rFonts w:ascii="宋体" w:hAnsi="宋体"/>
          <w:color w:val="auto"/>
          <w:sz w:val="24"/>
        </w:rPr>
      </w:pPr>
      <w:r>
        <w:rPr>
          <w:rFonts w:hint="eastAsia" w:ascii="宋体" w:hAnsi="宋体"/>
          <w:color w:val="auto"/>
          <w:sz w:val="24"/>
        </w:rPr>
        <w:t>电话：</w:t>
      </w:r>
    </w:p>
    <w:p w14:paraId="7504CE10">
      <w:pPr>
        <w:spacing w:line="440" w:lineRule="atLeast"/>
        <w:rPr>
          <w:rFonts w:ascii="宋体" w:hAnsi="宋体"/>
          <w:color w:val="auto"/>
          <w:sz w:val="24"/>
        </w:rPr>
      </w:pPr>
      <w:r>
        <w:rPr>
          <w:rFonts w:hint="eastAsia" w:ascii="宋体" w:hAnsi="宋体"/>
          <w:color w:val="auto"/>
          <w:sz w:val="24"/>
        </w:rPr>
        <w:t>详细通讯地址：</w:t>
      </w:r>
    </w:p>
    <w:p w14:paraId="4A31E81C">
      <w:pPr>
        <w:spacing w:line="440" w:lineRule="atLeast"/>
        <w:rPr>
          <w:rFonts w:ascii="宋体" w:hAnsi="宋体"/>
          <w:color w:val="auto"/>
          <w:sz w:val="24"/>
        </w:rPr>
      </w:pPr>
      <w:r>
        <w:rPr>
          <w:rFonts w:hint="eastAsia" w:ascii="宋体" w:hAnsi="宋体"/>
          <w:color w:val="auto"/>
          <w:sz w:val="24"/>
        </w:rPr>
        <w:t>邮政编码：</w:t>
      </w:r>
    </w:p>
    <w:p w14:paraId="606CC52A">
      <w:pPr>
        <w:pStyle w:val="6"/>
        <w:spacing w:line="500" w:lineRule="exact"/>
        <w:ind w:left="2"/>
        <w:rPr>
          <w:rFonts w:ascii="宋体" w:hAnsi="宋体" w:eastAsia="宋体"/>
          <w:b/>
          <w:color w:val="auto"/>
          <w:sz w:val="28"/>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b/>
          <w:color w:val="auto"/>
          <w:sz w:val="24"/>
        </w:rPr>
        <w:t>备注：手机号码和电子邮箱必须准确填写，开评标过程中须保持手机号码和电子邮箱畅通，随时进行项目开标情况通报及回执。</w:t>
      </w:r>
    </w:p>
    <w:p w14:paraId="6B9326D6">
      <w:pPr>
        <w:spacing w:line="360" w:lineRule="auto"/>
        <w:ind w:left="-2" w:hanging="2"/>
        <w:jc w:val="left"/>
        <w:rPr>
          <w:rFonts w:ascii="宋体" w:hAnsi="宋体"/>
          <w:b/>
          <w:color w:val="auto"/>
          <w:sz w:val="28"/>
        </w:rPr>
      </w:pPr>
      <w:r>
        <w:rPr>
          <w:rFonts w:hint="eastAsia" w:ascii="宋体" w:hAnsi="宋体"/>
          <w:b/>
          <w:color w:val="auto"/>
          <w:sz w:val="28"/>
        </w:rPr>
        <w:t>附件</w:t>
      </w:r>
      <w:r>
        <w:rPr>
          <w:rFonts w:hint="eastAsia" w:ascii="宋体" w:hAnsi="宋体"/>
          <w:b/>
          <w:color w:val="auto"/>
          <w:sz w:val="28"/>
          <w:lang w:val="en-US" w:eastAsia="zh-CN"/>
        </w:rPr>
        <w:t>4</w:t>
      </w:r>
    </w:p>
    <w:p w14:paraId="7ADA5E55">
      <w:pPr>
        <w:spacing w:line="360" w:lineRule="auto"/>
        <w:ind w:right="-110"/>
        <w:jc w:val="center"/>
        <w:rPr>
          <w:rFonts w:ascii="宋体" w:hAnsi="宋体"/>
          <w:b/>
          <w:color w:val="auto"/>
          <w:sz w:val="32"/>
          <w:szCs w:val="32"/>
        </w:rPr>
      </w:pPr>
      <w:r>
        <w:rPr>
          <w:rFonts w:hint="eastAsia" w:ascii="宋体" w:hAnsi="宋体"/>
          <w:b/>
          <w:color w:val="auto"/>
          <w:sz w:val="32"/>
          <w:szCs w:val="32"/>
        </w:rPr>
        <w:t>中小企业声明函</w:t>
      </w:r>
    </w:p>
    <w:p w14:paraId="74A26BAC">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本公司郑重声明，根据《政府采购促进中小企业发展管理办法》（财库﹝2020﹞46 号）的规定，本公司参加</w:t>
      </w:r>
      <w:r>
        <w:rPr>
          <w:rFonts w:hint="eastAsia" w:ascii="宋体" w:hAnsi="宋体" w:cs="宋体"/>
          <w:i/>
          <w:color w:val="auto"/>
          <w:kern w:val="0"/>
          <w:sz w:val="24"/>
          <w:u w:val="single"/>
        </w:rPr>
        <w:t>（单位名称）</w:t>
      </w:r>
      <w:r>
        <w:rPr>
          <w:rFonts w:hint="eastAsia" w:ascii="宋体" w:hAnsi="宋体" w:cs="宋体"/>
          <w:color w:val="auto"/>
          <w:kern w:val="0"/>
          <w:sz w:val="24"/>
        </w:rPr>
        <w:t>的</w:t>
      </w:r>
      <w:r>
        <w:rPr>
          <w:rFonts w:hint="eastAsia" w:ascii="宋体" w:hAnsi="宋体" w:cs="宋体"/>
          <w:i/>
          <w:color w:val="auto"/>
          <w:kern w:val="0"/>
          <w:sz w:val="24"/>
          <w:u w:val="single"/>
        </w:rPr>
        <w:t>（项目名称）</w:t>
      </w:r>
      <w:r>
        <w:rPr>
          <w:rFonts w:hint="eastAsia" w:ascii="宋体" w:hAnsi="宋体" w:cs="宋体"/>
          <w:color w:val="auto"/>
          <w:kern w:val="0"/>
          <w:sz w:val="24"/>
        </w:rPr>
        <w:t>采购活动，全部为符合政策要求的中小企业（或者：服务全部由符合政策要求的中小企业承接）。相关企业（含联合体中的中小企业、签订分包意向协议的中小企业）的具体情 况如下：</w:t>
      </w:r>
    </w:p>
    <w:p w14:paraId="53C99915">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1. </w:t>
      </w:r>
      <w:r>
        <w:rPr>
          <w:rFonts w:hint="eastAsia" w:ascii="宋体" w:hAnsi="宋体" w:cs="宋体"/>
          <w:i/>
          <w:color w:val="auto"/>
          <w:kern w:val="0"/>
          <w:sz w:val="24"/>
          <w:u w:val="single"/>
        </w:rPr>
        <w:t xml:space="preserve">（标的名称） </w:t>
      </w:r>
      <w:r>
        <w:rPr>
          <w:rFonts w:hint="eastAsia" w:ascii="宋体" w:hAnsi="宋体" w:cs="宋体"/>
          <w:color w:val="auto"/>
          <w:kern w:val="0"/>
          <w:sz w:val="24"/>
        </w:rPr>
        <w:t>，属于</w:t>
      </w:r>
      <w:r>
        <w:rPr>
          <w:rFonts w:hint="eastAsia" w:ascii="宋体" w:hAnsi="宋体" w:cs="宋体"/>
          <w:i/>
          <w:color w:val="auto"/>
          <w:kern w:val="0"/>
          <w:sz w:val="24"/>
          <w:u w:val="single"/>
        </w:rPr>
        <w:t>（采购文件中明确的所属行业）</w:t>
      </w:r>
      <w:r>
        <w:rPr>
          <w:rFonts w:hint="eastAsia" w:ascii="宋体" w:hAnsi="宋体" w:cs="宋体"/>
          <w:color w:val="auto"/>
          <w:kern w:val="0"/>
          <w:sz w:val="24"/>
        </w:rPr>
        <w:t>；承建（承接）企业为</w:t>
      </w:r>
      <w:r>
        <w:rPr>
          <w:rFonts w:hint="eastAsia" w:ascii="宋体" w:hAnsi="宋体" w:cs="宋体"/>
          <w:i/>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 xml:space="preserve">   </w:t>
      </w:r>
      <w:r>
        <w:rPr>
          <w:rFonts w:hint="eastAsia" w:ascii="宋体" w:hAnsi="宋体" w:cs="宋体"/>
          <w:color w:val="auto"/>
          <w:kern w:val="0"/>
          <w:sz w:val="24"/>
        </w:rPr>
        <w:t>人，营业收入为</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万元，资产总额为</w:t>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i/>
          <w:color w:val="auto"/>
          <w:kern w:val="0"/>
          <w:sz w:val="24"/>
          <w:u w:val="single"/>
        </w:rPr>
        <w:t>（中型企业、 小型企业、微型企业）</w:t>
      </w:r>
      <w:r>
        <w:rPr>
          <w:rFonts w:hint="eastAsia" w:ascii="宋体" w:hAnsi="宋体" w:cs="宋体"/>
          <w:color w:val="auto"/>
          <w:kern w:val="0"/>
          <w:sz w:val="24"/>
        </w:rPr>
        <w:t xml:space="preserve">； </w:t>
      </w:r>
    </w:p>
    <w:p w14:paraId="0B1FC215">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w:t>
      </w:r>
    </w:p>
    <w:p w14:paraId="13243E0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17FF882F">
      <w:pPr>
        <w:ind w:firstLine="420"/>
        <w:rPr>
          <w:rFonts w:ascii="宋体" w:hAnsi="宋体" w:cs="宋体"/>
          <w:color w:val="auto"/>
          <w:kern w:val="0"/>
          <w:szCs w:val="21"/>
        </w:rPr>
      </w:pPr>
      <w:r>
        <w:rPr>
          <w:rFonts w:hint="eastAsia" w:ascii="宋体" w:hAnsi="宋体" w:cs="宋体"/>
          <w:color w:val="auto"/>
          <w:kern w:val="0"/>
          <w:szCs w:val="21"/>
        </w:rPr>
        <w:t>注：从业人员、营业收入、资产总额填报上一年度数据，无上一年度数据的新成立企业可不填报。</w:t>
      </w:r>
    </w:p>
    <w:p w14:paraId="61C266F2">
      <w:pPr>
        <w:ind w:firstLine="420"/>
        <w:rPr>
          <w:rFonts w:ascii="Times New Roman" w:hAnsi="Times New Roman"/>
          <w:color w:val="auto"/>
          <w:szCs w:val="20"/>
        </w:rPr>
      </w:pPr>
    </w:p>
    <w:p w14:paraId="18E4D033">
      <w:pPr>
        <w:widowControl/>
        <w:spacing w:line="360" w:lineRule="auto"/>
        <w:jc w:val="center"/>
        <w:rPr>
          <w:rFonts w:ascii="宋体" w:hAnsi="宋体" w:cs="宋体"/>
          <w:color w:val="auto"/>
          <w:kern w:val="0"/>
          <w:sz w:val="24"/>
        </w:rPr>
      </w:pPr>
    </w:p>
    <w:p w14:paraId="0FCBAB67">
      <w:pPr>
        <w:widowControl/>
        <w:spacing w:line="360" w:lineRule="auto"/>
        <w:jc w:val="center"/>
        <w:rPr>
          <w:rFonts w:ascii="宋体" w:hAnsi="宋体" w:cs="宋体"/>
          <w:color w:val="auto"/>
          <w:sz w:val="24"/>
        </w:rPr>
      </w:pPr>
      <w:r>
        <w:rPr>
          <w:rFonts w:hint="eastAsia" w:ascii="宋体" w:hAnsi="宋体" w:cs="宋体"/>
          <w:color w:val="auto"/>
          <w:kern w:val="0"/>
          <w:sz w:val="24"/>
        </w:rPr>
        <w:t xml:space="preserve">                                企业名称（盖章）： </w:t>
      </w:r>
    </w:p>
    <w:p w14:paraId="0B6A0281">
      <w:pPr>
        <w:widowControl/>
        <w:spacing w:line="360" w:lineRule="auto"/>
        <w:jc w:val="center"/>
        <w:rPr>
          <w:rFonts w:ascii="宋体" w:hAnsi="宋体" w:cs="宋体"/>
          <w:color w:val="auto"/>
          <w:kern w:val="0"/>
          <w:sz w:val="24"/>
        </w:rPr>
      </w:pPr>
      <w:r>
        <w:rPr>
          <w:rFonts w:hint="eastAsia" w:ascii="宋体" w:hAnsi="宋体" w:cs="宋体"/>
          <w:color w:val="auto"/>
          <w:kern w:val="0"/>
          <w:sz w:val="24"/>
        </w:rPr>
        <w:t xml:space="preserve">                     日 期：</w:t>
      </w:r>
    </w:p>
    <w:p w14:paraId="73274881">
      <w:pPr>
        <w:rPr>
          <w:rFonts w:ascii="宋体" w:hAnsi="宋体" w:cs="宋体"/>
          <w:color w:val="auto"/>
          <w:kern w:val="0"/>
          <w:sz w:val="24"/>
        </w:rPr>
      </w:pPr>
      <w:r>
        <w:rPr>
          <w:rFonts w:hint="eastAsia" w:ascii="宋体" w:hAnsi="宋体" w:cs="宋体"/>
          <w:color w:val="auto"/>
          <w:kern w:val="0"/>
          <w:sz w:val="24"/>
        </w:rPr>
        <w:br w:type="page"/>
      </w:r>
    </w:p>
    <w:p w14:paraId="21130E29">
      <w:pPr>
        <w:pStyle w:val="65"/>
        <w:spacing w:line="360" w:lineRule="auto"/>
        <w:jc w:val="center"/>
        <w:rPr>
          <w:rFonts w:ascii="宋体" w:hAnsi="宋体" w:cs="宋体"/>
          <w:b/>
          <w:color w:val="auto"/>
          <w:sz w:val="32"/>
          <w:szCs w:val="32"/>
          <w:lang w:val="en-GB"/>
        </w:rPr>
      </w:pPr>
      <w:r>
        <w:rPr>
          <w:rFonts w:hint="eastAsia" w:ascii="宋体" w:hAnsi="宋体" w:cs="宋体"/>
          <w:b/>
          <w:color w:val="auto"/>
          <w:sz w:val="32"/>
          <w:szCs w:val="32"/>
          <w:lang w:val="en-GB"/>
        </w:rPr>
        <w:t>残疾人福利性单位声明函</w:t>
      </w:r>
    </w:p>
    <w:p w14:paraId="16A53499">
      <w:pPr>
        <w:pStyle w:val="7"/>
        <w:ind w:left="5250"/>
        <w:rPr>
          <w:rFonts w:ascii="宋体" w:hAnsi="宋体" w:eastAsia="宋体" w:cs="宋体"/>
          <w:color w:val="auto"/>
          <w:sz w:val="24"/>
          <w:szCs w:val="24"/>
          <w:lang w:val="en-GB"/>
        </w:rPr>
      </w:pPr>
    </w:p>
    <w:p w14:paraId="17F83597">
      <w:pPr>
        <w:spacing w:line="588" w:lineRule="exact"/>
        <w:ind w:firstLine="504" w:firstLineChars="200"/>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u w:val="single"/>
        </w:rPr>
        <w:t xml:space="preserve">           </w:t>
      </w:r>
      <w:r>
        <w:rPr>
          <w:rFonts w:hint="eastAsia" w:ascii="宋体" w:hAnsi="宋体" w:cs="宋体"/>
          <w:color w:val="auto"/>
          <w:spacing w:val="6"/>
          <w:sz w:val="24"/>
        </w:rPr>
        <w:t>单位的</w:t>
      </w:r>
    </w:p>
    <w:p w14:paraId="49EBF052">
      <w:pPr>
        <w:spacing w:line="588" w:lineRule="exact"/>
        <w:rPr>
          <w:rFonts w:ascii="宋体" w:hAnsi="宋体" w:cs="宋体"/>
          <w:color w:val="auto"/>
          <w:spacing w:val="6"/>
          <w:sz w:val="24"/>
        </w:rPr>
      </w:pPr>
      <w:r>
        <w:rPr>
          <w:rFonts w:hint="eastAsia" w:ascii="宋体" w:hAnsi="宋体" w:cs="宋体"/>
          <w:color w:val="auto"/>
          <w:spacing w:val="6"/>
          <w:sz w:val="24"/>
          <w:u w:val="single"/>
        </w:rPr>
        <w:t xml:space="preserve">           </w:t>
      </w:r>
      <w:r>
        <w:rPr>
          <w:rFonts w:hint="eastAsia" w:ascii="宋体" w:hAnsi="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5F39F75A">
      <w:pPr>
        <w:spacing w:line="588"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3F887220">
      <w:pPr>
        <w:tabs>
          <w:tab w:val="left" w:pos="4860"/>
        </w:tabs>
        <w:spacing w:line="588"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w:t>
      </w:r>
    </w:p>
    <w:p w14:paraId="28572C2F">
      <w:pPr>
        <w:widowControl/>
        <w:spacing w:line="360" w:lineRule="auto"/>
        <w:jc w:val="center"/>
        <w:rPr>
          <w:rFonts w:ascii="宋体" w:hAnsi="宋体" w:cs="宋体"/>
          <w:color w:val="auto"/>
          <w:sz w:val="24"/>
        </w:rPr>
      </w:pPr>
      <w:r>
        <w:rPr>
          <w:rFonts w:hint="eastAsia" w:ascii="宋体" w:hAnsi="宋体" w:cs="宋体"/>
          <w:color w:val="auto"/>
          <w:spacing w:val="6"/>
          <w:sz w:val="24"/>
        </w:rPr>
        <w:t xml:space="preserve">                              </w:t>
      </w:r>
      <w:r>
        <w:rPr>
          <w:rFonts w:hint="eastAsia" w:ascii="宋体" w:hAnsi="宋体" w:cs="宋体"/>
          <w:color w:val="auto"/>
          <w:kern w:val="0"/>
          <w:sz w:val="24"/>
        </w:rPr>
        <w:t xml:space="preserve">企业名称（盖章）： </w:t>
      </w:r>
    </w:p>
    <w:p w14:paraId="2EF55F1E">
      <w:pPr>
        <w:widowControl/>
        <w:spacing w:line="360" w:lineRule="auto"/>
        <w:jc w:val="center"/>
        <w:rPr>
          <w:rFonts w:ascii="宋体" w:hAnsi="宋体" w:cs="宋体"/>
          <w:color w:val="auto"/>
          <w:kern w:val="0"/>
          <w:sz w:val="24"/>
        </w:rPr>
      </w:pPr>
      <w:r>
        <w:rPr>
          <w:rFonts w:hint="eastAsia" w:ascii="宋体" w:hAnsi="宋体" w:cs="宋体"/>
          <w:color w:val="auto"/>
          <w:kern w:val="0"/>
          <w:sz w:val="24"/>
        </w:rPr>
        <w:t xml:space="preserve">                     日 期：</w:t>
      </w:r>
    </w:p>
    <w:p w14:paraId="227BF3E5">
      <w:pPr>
        <w:pStyle w:val="15"/>
        <w:rPr>
          <w:rFonts w:ascii="宋体" w:hAnsi="宋体" w:cs="宋体"/>
          <w:color w:val="auto"/>
        </w:rPr>
      </w:pPr>
    </w:p>
    <w:p w14:paraId="140D1405">
      <w:pPr>
        <w:rPr>
          <w:rFonts w:ascii="宋体" w:hAnsi="宋体" w:cs="宋体"/>
          <w:color w:val="auto"/>
        </w:rPr>
      </w:pPr>
    </w:p>
    <w:p w14:paraId="14729868">
      <w:pPr>
        <w:pStyle w:val="52"/>
        <w:shd w:val="clear" w:color="auto" w:fill="FFFFFF"/>
        <w:spacing w:before="0" w:beforeAutospacing="0" w:after="0" w:afterAutospacing="0" w:line="360" w:lineRule="auto"/>
        <w:ind w:firstLine="424" w:firstLineChars="177"/>
        <w:rPr>
          <w:rFonts w:ascii="宋体" w:hAnsi="宋体" w:cs="宋体"/>
          <w:color w:val="auto"/>
        </w:rPr>
      </w:pPr>
    </w:p>
    <w:p w14:paraId="2D688C2F">
      <w:pPr>
        <w:pStyle w:val="16"/>
        <w:ind w:firstLine="210"/>
        <w:rPr>
          <w:color w:val="auto"/>
        </w:rPr>
      </w:pPr>
    </w:p>
    <w:p w14:paraId="05167736">
      <w:pPr>
        <w:rPr>
          <w:rFonts w:hint="eastAsia" w:ascii="宋体" w:hAnsi="宋体"/>
          <w:b/>
          <w:color w:val="auto"/>
          <w:sz w:val="28"/>
        </w:rPr>
      </w:pPr>
      <w:r>
        <w:rPr>
          <w:rFonts w:hint="eastAsia" w:ascii="宋体" w:hAnsi="宋体"/>
          <w:b/>
          <w:color w:val="auto"/>
          <w:sz w:val="28"/>
        </w:rPr>
        <w:br w:type="page"/>
      </w:r>
    </w:p>
    <w:p w14:paraId="48307B8D">
      <w:pPr>
        <w:pStyle w:val="52"/>
        <w:shd w:val="clear" w:color="auto" w:fill="FFFFFF"/>
        <w:spacing w:before="0" w:beforeAutospacing="0" w:after="0" w:afterAutospacing="0" w:line="360" w:lineRule="auto"/>
        <w:rPr>
          <w:rFonts w:ascii="宋体" w:hAnsi="宋体"/>
          <w:b/>
          <w:color w:val="auto"/>
          <w:sz w:val="28"/>
        </w:rPr>
      </w:pPr>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 xml:space="preserve">       </w:t>
      </w:r>
    </w:p>
    <w:p w14:paraId="51271E8E">
      <w:pPr>
        <w:pStyle w:val="52"/>
        <w:shd w:val="clear" w:color="auto" w:fill="FFFFFF"/>
        <w:spacing w:before="0" w:beforeAutospacing="0" w:after="0" w:afterAutospacing="0" w:line="360" w:lineRule="auto"/>
        <w:jc w:val="center"/>
        <w:rPr>
          <w:rFonts w:ascii="宋体" w:hAnsi="宋体"/>
          <w:b/>
          <w:bCs/>
          <w:color w:val="auto"/>
          <w:spacing w:val="21"/>
          <w:sz w:val="32"/>
          <w:szCs w:val="32"/>
        </w:rPr>
      </w:pPr>
      <w:r>
        <w:rPr>
          <w:rFonts w:hint="eastAsia" w:ascii="宋体" w:hAnsi="宋体"/>
          <w:b/>
          <w:color w:val="auto"/>
          <w:sz w:val="32"/>
          <w:szCs w:val="32"/>
        </w:rPr>
        <w:t xml:space="preserve">  供应商</w:t>
      </w:r>
      <w:r>
        <w:rPr>
          <w:rFonts w:hint="eastAsia" w:ascii="宋体" w:hAnsi="宋体"/>
          <w:b/>
          <w:bCs/>
          <w:color w:val="auto"/>
          <w:spacing w:val="21"/>
          <w:sz w:val="32"/>
          <w:szCs w:val="32"/>
        </w:rPr>
        <w:t>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70D4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671369F7">
            <w:pPr>
              <w:pStyle w:val="52"/>
              <w:shd w:val="clear" w:color="auto" w:fill="FFFFFF"/>
              <w:spacing w:line="360" w:lineRule="auto"/>
              <w:rPr>
                <w:rFonts w:ascii="宋体" w:hAnsi="宋体"/>
                <w:bCs/>
                <w:color w:val="auto"/>
              </w:rPr>
            </w:pPr>
            <w:r>
              <w:rPr>
                <w:rFonts w:hint="eastAsia" w:ascii="宋体" w:hAnsi="宋体"/>
                <w:bCs/>
                <w:color w:val="auto"/>
                <w:spacing w:val="27"/>
              </w:rPr>
              <w:t>企业名称</w:t>
            </w:r>
          </w:p>
        </w:tc>
        <w:tc>
          <w:tcPr>
            <w:tcW w:w="3979" w:type="dxa"/>
            <w:gridSpan w:val="6"/>
          </w:tcPr>
          <w:p w14:paraId="74B3E615">
            <w:pPr>
              <w:pStyle w:val="52"/>
              <w:shd w:val="clear" w:color="auto" w:fill="FFFFFF"/>
              <w:spacing w:line="360" w:lineRule="auto"/>
              <w:rPr>
                <w:rFonts w:ascii="宋体" w:hAnsi="宋体"/>
                <w:bCs/>
                <w:color w:val="auto"/>
              </w:rPr>
            </w:pPr>
          </w:p>
        </w:tc>
        <w:tc>
          <w:tcPr>
            <w:tcW w:w="2001" w:type="dxa"/>
            <w:gridSpan w:val="3"/>
          </w:tcPr>
          <w:p w14:paraId="616D0F13">
            <w:pPr>
              <w:pStyle w:val="52"/>
              <w:shd w:val="clear" w:color="auto" w:fill="FFFFFF"/>
              <w:spacing w:line="360" w:lineRule="auto"/>
              <w:rPr>
                <w:rFonts w:ascii="宋体" w:hAnsi="宋体"/>
                <w:bCs/>
                <w:color w:val="auto"/>
              </w:rPr>
            </w:pPr>
            <w:r>
              <w:rPr>
                <w:rFonts w:hint="eastAsia" w:ascii="宋体" w:hAnsi="宋体"/>
                <w:bCs/>
                <w:color w:val="auto"/>
                <w:spacing w:val="16"/>
              </w:rPr>
              <w:t>法人代表</w:t>
            </w:r>
          </w:p>
        </w:tc>
        <w:tc>
          <w:tcPr>
            <w:tcW w:w="2151" w:type="dxa"/>
            <w:gridSpan w:val="2"/>
          </w:tcPr>
          <w:p w14:paraId="66320A94">
            <w:pPr>
              <w:pStyle w:val="52"/>
              <w:shd w:val="clear" w:color="auto" w:fill="FFFFFF"/>
              <w:spacing w:line="360" w:lineRule="auto"/>
              <w:rPr>
                <w:rFonts w:ascii="宋体" w:hAnsi="宋体"/>
                <w:bCs/>
                <w:color w:val="auto"/>
              </w:rPr>
            </w:pPr>
          </w:p>
        </w:tc>
      </w:tr>
      <w:tr w14:paraId="4EBC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531BA377">
            <w:pPr>
              <w:pStyle w:val="52"/>
              <w:shd w:val="clear" w:color="auto" w:fill="FFFFFF"/>
              <w:spacing w:line="360" w:lineRule="auto"/>
              <w:rPr>
                <w:rFonts w:ascii="宋体" w:hAnsi="宋体"/>
                <w:bCs/>
                <w:color w:val="auto"/>
                <w:spacing w:val="16"/>
              </w:rPr>
            </w:pPr>
            <w:r>
              <w:rPr>
                <w:rFonts w:hint="eastAsia" w:ascii="宋体" w:hAnsi="宋体"/>
                <w:bCs/>
                <w:color w:val="auto"/>
                <w:spacing w:val="27"/>
              </w:rPr>
              <w:t>地址</w:t>
            </w:r>
          </w:p>
        </w:tc>
        <w:tc>
          <w:tcPr>
            <w:tcW w:w="3979" w:type="dxa"/>
            <w:gridSpan w:val="6"/>
            <w:tcBorders>
              <w:bottom w:val="single" w:color="auto" w:sz="4" w:space="0"/>
            </w:tcBorders>
          </w:tcPr>
          <w:p w14:paraId="367D4E25">
            <w:pPr>
              <w:pStyle w:val="52"/>
              <w:shd w:val="clear" w:color="auto" w:fill="FFFFFF"/>
              <w:spacing w:line="360" w:lineRule="auto"/>
              <w:rPr>
                <w:rFonts w:ascii="宋体" w:hAnsi="宋体"/>
                <w:bCs/>
                <w:color w:val="auto"/>
                <w:spacing w:val="16"/>
              </w:rPr>
            </w:pPr>
          </w:p>
        </w:tc>
        <w:tc>
          <w:tcPr>
            <w:tcW w:w="2001" w:type="dxa"/>
            <w:gridSpan w:val="3"/>
          </w:tcPr>
          <w:p w14:paraId="415CDD4C">
            <w:pPr>
              <w:pStyle w:val="52"/>
              <w:shd w:val="clear" w:color="auto" w:fill="FFFFFF"/>
              <w:spacing w:line="360" w:lineRule="auto"/>
              <w:rPr>
                <w:rFonts w:ascii="宋体" w:hAnsi="宋体"/>
                <w:bCs/>
                <w:color w:val="auto"/>
                <w:spacing w:val="16"/>
              </w:rPr>
            </w:pPr>
            <w:r>
              <w:rPr>
                <w:rFonts w:hint="eastAsia" w:ascii="宋体" w:hAnsi="宋体"/>
                <w:bCs/>
                <w:color w:val="auto"/>
                <w:spacing w:val="16"/>
              </w:rPr>
              <w:t>企业性质</w:t>
            </w:r>
          </w:p>
        </w:tc>
        <w:tc>
          <w:tcPr>
            <w:tcW w:w="2151" w:type="dxa"/>
            <w:gridSpan w:val="2"/>
          </w:tcPr>
          <w:p w14:paraId="32DEBA73">
            <w:pPr>
              <w:pStyle w:val="52"/>
              <w:shd w:val="clear" w:color="auto" w:fill="FFFFFF"/>
              <w:spacing w:line="360" w:lineRule="auto"/>
              <w:rPr>
                <w:rFonts w:ascii="宋体" w:hAnsi="宋体"/>
                <w:bCs/>
                <w:color w:val="auto"/>
                <w:spacing w:val="16"/>
              </w:rPr>
            </w:pPr>
          </w:p>
        </w:tc>
      </w:tr>
      <w:tr w14:paraId="4BDF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37A7599E">
            <w:pPr>
              <w:pStyle w:val="52"/>
              <w:shd w:val="clear" w:color="auto" w:fill="FFFFFF"/>
              <w:spacing w:line="360" w:lineRule="auto"/>
              <w:rPr>
                <w:rFonts w:ascii="宋体" w:hAnsi="宋体"/>
                <w:bCs/>
                <w:color w:val="auto"/>
                <w:spacing w:val="16"/>
              </w:rPr>
            </w:pPr>
            <w:r>
              <w:rPr>
                <w:rFonts w:hint="eastAsia" w:ascii="宋体" w:hAnsi="宋体"/>
                <w:bCs/>
                <w:color w:val="auto"/>
                <w:spacing w:val="27"/>
              </w:rPr>
              <w:t>股东姓名</w:t>
            </w:r>
          </w:p>
        </w:tc>
        <w:tc>
          <w:tcPr>
            <w:tcW w:w="701" w:type="dxa"/>
            <w:tcBorders>
              <w:bottom w:val="single" w:color="auto" w:sz="4" w:space="0"/>
            </w:tcBorders>
          </w:tcPr>
          <w:p w14:paraId="2AEC34D4">
            <w:pPr>
              <w:pStyle w:val="52"/>
              <w:shd w:val="clear" w:color="auto" w:fill="FFFFFF"/>
              <w:spacing w:before="0" w:beforeAutospacing="0" w:after="0" w:afterAutospacing="0" w:line="360" w:lineRule="auto"/>
              <w:rPr>
                <w:rFonts w:ascii="宋体" w:hAnsi="宋体"/>
                <w:bCs/>
                <w:color w:val="auto"/>
                <w:spacing w:val="16"/>
              </w:rPr>
            </w:pPr>
          </w:p>
        </w:tc>
        <w:tc>
          <w:tcPr>
            <w:tcW w:w="910" w:type="dxa"/>
            <w:gridSpan w:val="2"/>
            <w:tcBorders>
              <w:bottom w:val="single" w:color="auto" w:sz="4" w:space="0"/>
            </w:tcBorders>
          </w:tcPr>
          <w:p w14:paraId="2BF7169C">
            <w:pPr>
              <w:pStyle w:val="52"/>
              <w:shd w:val="clear" w:color="auto" w:fill="FFFFFF"/>
              <w:spacing w:line="360" w:lineRule="auto"/>
              <w:rPr>
                <w:rFonts w:ascii="宋体" w:hAnsi="宋体"/>
                <w:bCs/>
                <w:color w:val="auto"/>
                <w:spacing w:val="16"/>
              </w:rPr>
            </w:pPr>
            <w:r>
              <w:rPr>
                <w:rFonts w:hint="eastAsia" w:ascii="宋体" w:hAnsi="宋体"/>
                <w:bCs/>
                <w:color w:val="auto"/>
                <w:spacing w:val="16"/>
              </w:rPr>
              <w:t>股权结构（%）</w:t>
            </w:r>
          </w:p>
        </w:tc>
        <w:tc>
          <w:tcPr>
            <w:tcW w:w="2368" w:type="dxa"/>
            <w:gridSpan w:val="3"/>
            <w:tcBorders>
              <w:bottom w:val="single" w:color="auto" w:sz="4" w:space="0"/>
            </w:tcBorders>
          </w:tcPr>
          <w:p w14:paraId="786EACF6">
            <w:pPr>
              <w:widowControl/>
              <w:spacing w:line="360" w:lineRule="auto"/>
              <w:jc w:val="left"/>
              <w:rPr>
                <w:rFonts w:ascii="宋体" w:hAnsi="宋体" w:cs="楷体_GB2312"/>
                <w:bCs/>
                <w:color w:val="auto"/>
                <w:spacing w:val="16"/>
                <w:kern w:val="0"/>
                <w:sz w:val="24"/>
              </w:rPr>
            </w:pPr>
          </w:p>
          <w:p w14:paraId="6A4F362D">
            <w:pPr>
              <w:pStyle w:val="52"/>
              <w:shd w:val="clear" w:color="auto" w:fill="FFFFFF"/>
              <w:spacing w:line="360" w:lineRule="auto"/>
              <w:rPr>
                <w:rFonts w:ascii="宋体" w:hAnsi="宋体"/>
                <w:bCs/>
                <w:color w:val="auto"/>
                <w:spacing w:val="16"/>
              </w:rPr>
            </w:pPr>
          </w:p>
        </w:tc>
        <w:tc>
          <w:tcPr>
            <w:tcW w:w="2001" w:type="dxa"/>
            <w:gridSpan w:val="3"/>
          </w:tcPr>
          <w:p w14:paraId="366DEBD4">
            <w:pPr>
              <w:pStyle w:val="52"/>
              <w:shd w:val="clear" w:color="auto" w:fill="FFFFFF"/>
              <w:spacing w:line="360" w:lineRule="auto"/>
              <w:ind w:left="107"/>
              <w:rPr>
                <w:rFonts w:ascii="宋体" w:hAnsi="宋体"/>
                <w:bCs/>
                <w:color w:val="auto"/>
                <w:spacing w:val="16"/>
              </w:rPr>
            </w:pPr>
            <w:r>
              <w:rPr>
                <w:rFonts w:hint="eastAsia" w:ascii="宋体" w:hAnsi="宋体"/>
                <w:bCs/>
                <w:color w:val="auto"/>
                <w:spacing w:val="16"/>
              </w:rPr>
              <w:t>股东关系</w:t>
            </w:r>
          </w:p>
        </w:tc>
        <w:tc>
          <w:tcPr>
            <w:tcW w:w="2151" w:type="dxa"/>
            <w:gridSpan w:val="2"/>
          </w:tcPr>
          <w:p w14:paraId="161666EA">
            <w:pPr>
              <w:pStyle w:val="52"/>
              <w:shd w:val="clear" w:color="auto" w:fill="FFFFFF"/>
              <w:spacing w:line="360" w:lineRule="auto"/>
              <w:ind w:left="107"/>
              <w:rPr>
                <w:rFonts w:ascii="宋体" w:hAnsi="宋体"/>
                <w:bCs/>
                <w:color w:val="auto"/>
                <w:spacing w:val="16"/>
              </w:rPr>
            </w:pPr>
          </w:p>
        </w:tc>
      </w:tr>
      <w:tr w14:paraId="67D1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78BDCC02">
            <w:pPr>
              <w:pStyle w:val="52"/>
              <w:shd w:val="clear" w:color="auto" w:fill="FFFFFF"/>
              <w:spacing w:line="360" w:lineRule="auto"/>
              <w:rPr>
                <w:rFonts w:ascii="宋体" w:hAnsi="宋体"/>
                <w:bCs/>
                <w:color w:val="auto"/>
                <w:spacing w:val="16"/>
              </w:rPr>
            </w:pPr>
            <w:r>
              <w:rPr>
                <w:rFonts w:hint="eastAsia" w:ascii="宋体" w:hAnsi="宋体"/>
                <w:bCs/>
                <w:color w:val="auto"/>
                <w:spacing w:val="12"/>
              </w:rPr>
              <w:t>联系人</w:t>
            </w:r>
            <w:r>
              <w:rPr>
                <w:rFonts w:hint="eastAsia" w:ascii="宋体" w:hAnsi="宋体"/>
                <w:bCs/>
                <w:color w:val="auto"/>
                <w:spacing w:val="27"/>
              </w:rPr>
              <w:t>姓名</w:t>
            </w:r>
          </w:p>
        </w:tc>
        <w:tc>
          <w:tcPr>
            <w:tcW w:w="701" w:type="dxa"/>
            <w:vMerge w:val="restart"/>
            <w:tcBorders>
              <w:top w:val="nil"/>
            </w:tcBorders>
          </w:tcPr>
          <w:p w14:paraId="31B53049">
            <w:pPr>
              <w:pStyle w:val="52"/>
              <w:shd w:val="clear" w:color="auto" w:fill="FFFFFF"/>
              <w:spacing w:line="360" w:lineRule="auto"/>
              <w:rPr>
                <w:rFonts w:ascii="宋体" w:hAnsi="宋体"/>
                <w:bCs/>
                <w:color w:val="auto"/>
                <w:spacing w:val="16"/>
              </w:rPr>
            </w:pPr>
          </w:p>
        </w:tc>
        <w:tc>
          <w:tcPr>
            <w:tcW w:w="910" w:type="dxa"/>
            <w:gridSpan w:val="2"/>
            <w:tcBorders>
              <w:top w:val="nil"/>
              <w:bottom w:val="single" w:color="auto" w:sz="4" w:space="0"/>
            </w:tcBorders>
          </w:tcPr>
          <w:p w14:paraId="27EE19C7">
            <w:pPr>
              <w:pStyle w:val="52"/>
              <w:shd w:val="clear" w:color="auto" w:fill="FFFFFF"/>
              <w:spacing w:line="360" w:lineRule="auto"/>
              <w:rPr>
                <w:rFonts w:ascii="宋体" w:hAnsi="宋体"/>
                <w:bCs/>
                <w:color w:val="auto"/>
                <w:spacing w:val="16"/>
              </w:rPr>
            </w:pPr>
            <w:r>
              <w:rPr>
                <w:rFonts w:hint="eastAsia" w:ascii="宋体" w:hAnsi="宋体"/>
                <w:bCs/>
                <w:color w:val="auto"/>
                <w:spacing w:val="16"/>
              </w:rPr>
              <w:t>固定电话</w:t>
            </w:r>
          </w:p>
        </w:tc>
        <w:tc>
          <w:tcPr>
            <w:tcW w:w="2368" w:type="dxa"/>
            <w:gridSpan w:val="3"/>
            <w:tcBorders>
              <w:top w:val="nil"/>
              <w:bottom w:val="single" w:color="auto" w:sz="4" w:space="0"/>
            </w:tcBorders>
          </w:tcPr>
          <w:p w14:paraId="1A436EA1">
            <w:pPr>
              <w:widowControl/>
              <w:spacing w:line="360" w:lineRule="auto"/>
              <w:jc w:val="left"/>
              <w:rPr>
                <w:rFonts w:ascii="宋体" w:hAnsi="宋体" w:cs="楷体_GB2312"/>
                <w:bCs/>
                <w:color w:val="auto"/>
                <w:spacing w:val="16"/>
                <w:kern w:val="0"/>
                <w:sz w:val="24"/>
              </w:rPr>
            </w:pPr>
          </w:p>
          <w:p w14:paraId="20FA1DA7">
            <w:pPr>
              <w:pStyle w:val="52"/>
              <w:shd w:val="clear" w:color="auto" w:fill="FFFFFF"/>
              <w:spacing w:line="360" w:lineRule="auto"/>
              <w:rPr>
                <w:rFonts w:ascii="宋体" w:hAnsi="宋体"/>
                <w:bCs/>
                <w:color w:val="auto"/>
                <w:spacing w:val="16"/>
              </w:rPr>
            </w:pPr>
          </w:p>
        </w:tc>
        <w:tc>
          <w:tcPr>
            <w:tcW w:w="2001" w:type="dxa"/>
            <w:gridSpan w:val="3"/>
            <w:vMerge w:val="restart"/>
          </w:tcPr>
          <w:p w14:paraId="19C242D2">
            <w:pPr>
              <w:pStyle w:val="52"/>
              <w:shd w:val="clear" w:color="auto" w:fill="FFFFFF"/>
              <w:spacing w:before="0" w:beforeAutospacing="0" w:after="0" w:afterAutospacing="0" w:line="360" w:lineRule="auto"/>
              <w:rPr>
                <w:rFonts w:ascii="宋体" w:hAnsi="宋体"/>
                <w:bCs/>
                <w:color w:val="auto"/>
                <w:spacing w:val="16"/>
              </w:rPr>
            </w:pPr>
            <w:r>
              <w:rPr>
                <w:rFonts w:hint="eastAsia" w:ascii="宋体" w:hAnsi="宋体"/>
                <w:bCs/>
                <w:color w:val="auto"/>
                <w:spacing w:val="16"/>
              </w:rPr>
              <w:t>传真</w:t>
            </w:r>
          </w:p>
        </w:tc>
        <w:tc>
          <w:tcPr>
            <w:tcW w:w="2151" w:type="dxa"/>
            <w:gridSpan w:val="2"/>
            <w:vMerge w:val="restart"/>
          </w:tcPr>
          <w:p w14:paraId="797F529A">
            <w:pPr>
              <w:pStyle w:val="52"/>
              <w:shd w:val="clear" w:color="auto" w:fill="FFFFFF"/>
              <w:spacing w:line="360" w:lineRule="auto"/>
              <w:rPr>
                <w:rFonts w:ascii="宋体" w:hAnsi="宋体"/>
                <w:bCs/>
                <w:color w:val="auto"/>
                <w:spacing w:val="16"/>
              </w:rPr>
            </w:pPr>
          </w:p>
        </w:tc>
      </w:tr>
      <w:tr w14:paraId="1E28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0D6C4689">
            <w:pPr>
              <w:pStyle w:val="52"/>
              <w:shd w:val="clear" w:color="auto" w:fill="FFFFFF"/>
              <w:spacing w:line="360" w:lineRule="auto"/>
              <w:ind w:left="107"/>
              <w:rPr>
                <w:rFonts w:ascii="宋体" w:hAnsi="宋体"/>
                <w:bCs/>
                <w:color w:val="auto"/>
              </w:rPr>
            </w:pPr>
          </w:p>
        </w:tc>
        <w:tc>
          <w:tcPr>
            <w:tcW w:w="701" w:type="dxa"/>
            <w:vMerge w:val="continue"/>
            <w:tcBorders>
              <w:bottom w:val="single" w:color="auto" w:sz="4" w:space="0"/>
            </w:tcBorders>
          </w:tcPr>
          <w:p w14:paraId="73A574A6">
            <w:pPr>
              <w:pStyle w:val="52"/>
              <w:shd w:val="clear" w:color="auto" w:fill="FFFFFF"/>
              <w:spacing w:line="360" w:lineRule="auto"/>
              <w:rPr>
                <w:rFonts w:ascii="宋体" w:hAnsi="宋体"/>
                <w:bCs/>
                <w:color w:val="auto"/>
                <w:spacing w:val="16"/>
              </w:rPr>
            </w:pPr>
          </w:p>
        </w:tc>
        <w:tc>
          <w:tcPr>
            <w:tcW w:w="910" w:type="dxa"/>
            <w:gridSpan w:val="2"/>
            <w:tcBorders>
              <w:bottom w:val="single" w:color="auto" w:sz="4" w:space="0"/>
            </w:tcBorders>
          </w:tcPr>
          <w:p w14:paraId="6C848517">
            <w:pPr>
              <w:pStyle w:val="52"/>
              <w:shd w:val="clear" w:color="auto" w:fill="FFFFFF"/>
              <w:spacing w:line="360" w:lineRule="auto"/>
              <w:rPr>
                <w:rFonts w:ascii="宋体" w:hAnsi="宋体"/>
                <w:bCs/>
                <w:color w:val="auto"/>
                <w:spacing w:val="16"/>
              </w:rPr>
            </w:pPr>
            <w:r>
              <w:rPr>
                <w:rFonts w:hint="eastAsia" w:ascii="宋体" w:hAnsi="宋体"/>
                <w:bCs/>
                <w:color w:val="auto"/>
                <w:spacing w:val="27"/>
              </w:rPr>
              <w:t>手机</w:t>
            </w:r>
          </w:p>
        </w:tc>
        <w:tc>
          <w:tcPr>
            <w:tcW w:w="2368" w:type="dxa"/>
            <w:gridSpan w:val="3"/>
            <w:tcBorders>
              <w:bottom w:val="single" w:color="auto" w:sz="4" w:space="0"/>
            </w:tcBorders>
          </w:tcPr>
          <w:p w14:paraId="3362873D">
            <w:pPr>
              <w:pStyle w:val="52"/>
              <w:shd w:val="clear" w:color="auto" w:fill="FFFFFF"/>
              <w:spacing w:line="360" w:lineRule="auto"/>
              <w:rPr>
                <w:rFonts w:ascii="宋体" w:hAnsi="宋体"/>
                <w:bCs/>
                <w:color w:val="auto"/>
                <w:spacing w:val="16"/>
              </w:rPr>
            </w:pPr>
          </w:p>
        </w:tc>
        <w:tc>
          <w:tcPr>
            <w:tcW w:w="2001" w:type="dxa"/>
            <w:gridSpan w:val="3"/>
            <w:vMerge w:val="continue"/>
            <w:tcBorders>
              <w:bottom w:val="single" w:color="auto" w:sz="4" w:space="0"/>
            </w:tcBorders>
          </w:tcPr>
          <w:p w14:paraId="57677E9F">
            <w:pPr>
              <w:pStyle w:val="52"/>
              <w:shd w:val="clear" w:color="auto" w:fill="FFFFFF"/>
              <w:spacing w:line="360" w:lineRule="auto"/>
              <w:rPr>
                <w:rFonts w:ascii="宋体" w:hAnsi="宋体"/>
                <w:bCs/>
                <w:color w:val="auto"/>
                <w:spacing w:val="16"/>
              </w:rPr>
            </w:pPr>
          </w:p>
        </w:tc>
        <w:tc>
          <w:tcPr>
            <w:tcW w:w="2151" w:type="dxa"/>
            <w:gridSpan w:val="2"/>
            <w:vMerge w:val="continue"/>
            <w:tcBorders>
              <w:bottom w:val="single" w:color="auto" w:sz="4" w:space="0"/>
            </w:tcBorders>
          </w:tcPr>
          <w:p w14:paraId="089EA922">
            <w:pPr>
              <w:pStyle w:val="52"/>
              <w:shd w:val="clear" w:color="auto" w:fill="FFFFFF"/>
              <w:spacing w:line="360" w:lineRule="auto"/>
              <w:rPr>
                <w:rFonts w:ascii="宋体" w:hAnsi="宋体"/>
                <w:bCs/>
                <w:color w:val="auto"/>
                <w:spacing w:val="16"/>
              </w:rPr>
            </w:pPr>
          </w:p>
        </w:tc>
      </w:tr>
      <w:tr w14:paraId="59FB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14:paraId="76851CBA">
            <w:pPr>
              <w:pStyle w:val="52"/>
              <w:shd w:val="clear" w:color="auto" w:fill="FFFFFF"/>
              <w:spacing w:line="360" w:lineRule="auto"/>
              <w:ind w:left="107"/>
              <w:rPr>
                <w:rFonts w:ascii="宋体" w:hAnsi="宋体"/>
                <w:bCs/>
                <w:color w:val="auto"/>
              </w:rPr>
            </w:pPr>
            <w:r>
              <w:rPr>
                <w:rFonts w:ascii="宋体" w:hAnsi="宋体"/>
                <w:bCs/>
                <w:color w:val="auto"/>
              </w:rPr>
              <w:t>1</w:t>
            </w:r>
            <w:r>
              <w:rPr>
                <w:rFonts w:hint="eastAsia" w:ascii="宋体" w:hAnsi="宋体"/>
                <w:bCs/>
                <w:color w:val="auto"/>
              </w:rPr>
              <w:t>.</w:t>
            </w:r>
          </w:p>
          <w:p w14:paraId="0F14CE26">
            <w:pPr>
              <w:pStyle w:val="52"/>
              <w:shd w:val="clear" w:color="auto" w:fill="FFFFFF"/>
              <w:spacing w:line="360" w:lineRule="auto"/>
              <w:ind w:left="107"/>
              <w:rPr>
                <w:rFonts w:ascii="宋体" w:hAnsi="宋体"/>
                <w:bCs/>
                <w:color w:val="auto"/>
              </w:rPr>
            </w:pPr>
            <w:r>
              <w:rPr>
                <w:rFonts w:hint="eastAsia" w:ascii="宋体" w:hAnsi="宋体"/>
                <w:bCs/>
                <w:color w:val="auto"/>
              </w:rPr>
              <w:t>企</w:t>
            </w:r>
          </w:p>
          <w:p w14:paraId="16FBFF7B">
            <w:pPr>
              <w:pStyle w:val="52"/>
              <w:shd w:val="clear" w:color="auto" w:fill="FFFFFF"/>
              <w:spacing w:line="360" w:lineRule="auto"/>
              <w:ind w:left="107"/>
              <w:rPr>
                <w:rFonts w:ascii="宋体" w:hAnsi="宋体"/>
                <w:bCs/>
                <w:color w:val="auto"/>
              </w:rPr>
            </w:pPr>
            <w:r>
              <w:rPr>
                <w:rFonts w:hint="eastAsia" w:ascii="宋体" w:hAnsi="宋体"/>
                <w:bCs/>
                <w:color w:val="auto"/>
              </w:rPr>
              <w:t>业</w:t>
            </w:r>
          </w:p>
          <w:p w14:paraId="0C567932">
            <w:pPr>
              <w:pStyle w:val="52"/>
              <w:shd w:val="clear" w:color="auto" w:fill="FFFFFF"/>
              <w:spacing w:line="360" w:lineRule="auto"/>
              <w:ind w:left="107"/>
              <w:rPr>
                <w:rFonts w:ascii="宋体" w:hAnsi="宋体"/>
                <w:bCs/>
                <w:color w:val="auto"/>
                <w:spacing w:val="27"/>
              </w:rPr>
            </w:pPr>
            <w:r>
              <w:rPr>
                <w:rFonts w:hint="eastAsia" w:ascii="宋体" w:hAnsi="宋体"/>
                <w:bCs/>
                <w:color w:val="auto"/>
                <w:spacing w:val="27"/>
              </w:rPr>
              <w:t>概</w:t>
            </w:r>
          </w:p>
          <w:p w14:paraId="7B793669">
            <w:pPr>
              <w:pStyle w:val="52"/>
              <w:shd w:val="clear" w:color="auto" w:fill="FFFFFF"/>
              <w:spacing w:line="360" w:lineRule="auto"/>
              <w:ind w:left="107"/>
              <w:rPr>
                <w:rFonts w:ascii="宋体" w:hAnsi="宋体"/>
                <w:bCs/>
                <w:color w:val="auto"/>
              </w:rPr>
            </w:pPr>
            <w:r>
              <w:rPr>
                <w:rFonts w:hint="eastAsia" w:ascii="宋体" w:hAnsi="宋体"/>
                <w:bCs/>
                <w:color w:val="auto"/>
                <w:spacing w:val="27"/>
              </w:rPr>
              <w:t>况</w:t>
            </w:r>
          </w:p>
        </w:tc>
        <w:tc>
          <w:tcPr>
            <w:tcW w:w="701" w:type="dxa"/>
            <w:tcBorders>
              <w:top w:val="single" w:color="auto" w:sz="4" w:space="0"/>
            </w:tcBorders>
          </w:tcPr>
          <w:p w14:paraId="5959302D">
            <w:pPr>
              <w:pStyle w:val="52"/>
              <w:shd w:val="clear" w:color="auto" w:fill="FFFFFF"/>
              <w:spacing w:line="360" w:lineRule="auto"/>
              <w:rPr>
                <w:rFonts w:ascii="宋体" w:hAnsi="宋体"/>
                <w:bCs/>
                <w:color w:val="auto"/>
                <w:spacing w:val="16"/>
              </w:rPr>
            </w:pPr>
            <w:r>
              <w:rPr>
                <w:rFonts w:hint="eastAsia" w:ascii="宋体" w:hAnsi="宋体"/>
                <w:bCs/>
                <w:color w:val="auto"/>
                <w:spacing w:val="16"/>
              </w:rPr>
              <w:t>职工人数</w:t>
            </w:r>
          </w:p>
        </w:tc>
        <w:tc>
          <w:tcPr>
            <w:tcW w:w="910" w:type="dxa"/>
            <w:gridSpan w:val="2"/>
            <w:tcBorders>
              <w:top w:val="single" w:color="auto" w:sz="4" w:space="0"/>
            </w:tcBorders>
          </w:tcPr>
          <w:p w14:paraId="536C3186">
            <w:pPr>
              <w:pStyle w:val="52"/>
              <w:shd w:val="clear" w:color="auto" w:fill="FFFFFF"/>
              <w:spacing w:line="360" w:lineRule="auto"/>
              <w:rPr>
                <w:rFonts w:ascii="宋体" w:hAnsi="宋体"/>
                <w:bCs/>
                <w:color w:val="auto"/>
                <w:spacing w:val="16"/>
              </w:rPr>
            </w:pPr>
          </w:p>
        </w:tc>
        <w:tc>
          <w:tcPr>
            <w:tcW w:w="1163" w:type="dxa"/>
            <w:tcBorders>
              <w:top w:val="single" w:color="auto" w:sz="4" w:space="0"/>
            </w:tcBorders>
          </w:tcPr>
          <w:p w14:paraId="29F5863D">
            <w:pPr>
              <w:pStyle w:val="52"/>
              <w:shd w:val="clear" w:color="auto" w:fill="FFFFFF"/>
              <w:spacing w:before="0" w:beforeAutospacing="0" w:after="0" w:afterAutospacing="0" w:line="360" w:lineRule="auto"/>
              <w:rPr>
                <w:rFonts w:ascii="宋体" w:hAnsi="宋体"/>
                <w:bCs/>
                <w:color w:val="auto"/>
              </w:rPr>
            </w:pPr>
            <w:r>
              <w:rPr>
                <w:rFonts w:hint="eastAsia" w:ascii="宋体" w:hAnsi="宋体"/>
                <w:bCs/>
                <w:color w:val="auto"/>
                <w:spacing w:val="18"/>
              </w:rPr>
              <w:t>具备大专以</w:t>
            </w:r>
            <w:r>
              <w:rPr>
                <w:rFonts w:hint="eastAsia" w:ascii="宋体" w:hAnsi="宋体"/>
                <w:bCs/>
                <w:color w:val="auto"/>
                <w:spacing w:val="12"/>
              </w:rPr>
              <w:t>上学历人数</w:t>
            </w:r>
          </w:p>
        </w:tc>
        <w:tc>
          <w:tcPr>
            <w:tcW w:w="1205" w:type="dxa"/>
            <w:gridSpan w:val="2"/>
            <w:tcBorders>
              <w:top w:val="single" w:color="auto" w:sz="4" w:space="0"/>
            </w:tcBorders>
          </w:tcPr>
          <w:p w14:paraId="06934072">
            <w:pPr>
              <w:widowControl/>
              <w:spacing w:line="360" w:lineRule="auto"/>
              <w:jc w:val="left"/>
              <w:rPr>
                <w:rFonts w:ascii="宋体" w:hAnsi="宋体" w:cs="楷体_GB2312"/>
                <w:bCs/>
                <w:color w:val="auto"/>
                <w:spacing w:val="16"/>
                <w:kern w:val="0"/>
                <w:sz w:val="24"/>
              </w:rPr>
            </w:pPr>
          </w:p>
          <w:p w14:paraId="3815162C">
            <w:pPr>
              <w:widowControl/>
              <w:spacing w:line="360" w:lineRule="auto"/>
              <w:jc w:val="left"/>
              <w:rPr>
                <w:rFonts w:ascii="宋体" w:hAnsi="宋体" w:cs="楷体_GB2312"/>
                <w:bCs/>
                <w:color w:val="auto"/>
                <w:spacing w:val="16"/>
                <w:kern w:val="0"/>
                <w:sz w:val="24"/>
              </w:rPr>
            </w:pPr>
          </w:p>
          <w:p w14:paraId="02C6F6BA">
            <w:pPr>
              <w:pStyle w:val="52"/>
              <w:shd w:val="clear" w:color="auto" w:fill="FFFFFF"/>
              <w:spacing w:line="360" w:lineRule="auto"/>
              <w:rPr>
                <w:rFonts w:ascii="宋体" w:hAnsi="宋体"/>
                <w:bCs/>
                <w:color w:val="auto"/>
                <w:spacing w:val="16"/>
              </w:rPr>
            </w:pPr>
          </w:p>
        </w:tc>
        <w:tc>
          <w:tcPr>
            <w:tcW w:w="2001" w:type="dxa"/>
            <w:gridSpan w:val="3"/>
            <w:tcBorders>
              <w:top w:val="single" w:color="auto" w:sz="4" w:space="0"/>
            </w:tcBorders>
          </w:tcPr>
          <w:p w14:paraId="7F52D23F">
            <w:pPr>
              <w:pStyle w:val="52"/>
              <w:shd w:val="clear" w:color="auto" w:fill="FFFFFF"/>
              <w:spacing w:line="360" w:lineRule="auto"/>
              <w:rPr>
                <w:rFonts w:ascii="宋体" w:hAnsi="宋体"/>
                <w:bCs/>
                <w:color w:val="auto"/>
                <w:spacing w:val="16"/>
              </w:rPr>
            </w:pPr>
            <w:r>
              <w:rPr>
                <w:rFonts w:hint="eastAsia" w:ascii="宋体" w:hAnsi="宋体"/>
                <w:bCs/>
                <w:color w:val="auto"/>
                <w:spacing w:val="65"/>
              </w:rPr>
              <w:t>国家授予技</w:t>
            </w:r>
            <w:r>
              <w:rPr>
                <w:rFonts w:hint="eastAsia" w:ascii="宋体" w:hAnsi="宋体"/>
                <w:bCs/>
                <w:color w:val="auto"/>
                <w:spacing w:val="12"/>
              </w:rPr>
              <w:t>术职称人数</w:t>
            </w:r>
          </w:p>
        </w:tc>
        <w:tc>
          <w:tcPr>
            <w:tcW w:w="2151" w:type="dxa"/>
            <w:gridSpan w:val="2"/>
            <w:tcBorders>
              <w:top w:val="single" w:color="auto" w:sz="4" w:space="0"/>
            </w:tcBorders>
          </w:tcPr>
          <w:p w14:paraId="6D7841FD">
            <w:pPr>
              <w:widowControl/>
              <w:spacing w:line="360" w:lineRule="auto"/>
              <w:jc w:val="left"/>
              <w:rPr>
                <w:rFonts w:ascii="宋体" w:hAnsi="宋体" w:cs="楷体_GB2312"/>
                <w:bCs/>
                <w:color w:val="auto"/>
                <w:spacing w:val="16"/>
                <w:kern w:val="0"/>
                <w:sz w:val="24"/>
              </w:rPr>
            </w:pPr>
          </w:p>
          <w:p w14:paraId="27F20C8A">
            <w:pPr>
              <w:pStyle w:val="52"/>
              <w:shd w:val="clear" w:color="auto" w:fill="FFFFFF"/>
              <w:spacing w:line="360" w:lineRule="auto"/>
              <w:rPr>
                <w:rFonts w:ascii="宋体" w:hAnsi="宋体"/>
                <w:bCs/>
                <w:color w:val="auto"/>
                <w:spacing w:val="16"/>
              </w:rPr>
            </w:pPr>
          </w:p>
        </w:tc>
      </w:tr>
      <w:tr w14:paraId="459D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141C5060">
            <w:pPr>
              <w:pStyle w:val="52"/>
              <w:shd w:val="clear" w:color="auto" w:fill="FFFFFF"/>
              <w:spacing w:line="360" w:lineRule="auto"/>
              <w:ind w:left="107"/>
              <w:rPr>
                <w:rFonts w:ascii="宋体" w:hAnsi="宋体"/>
                <w:bCs/>
                <w:color w:val="auto"/>
              </w:rPr>
            </w:pPr>
          </w:p>
        </w:tc>
        <w:tc>
          <w:tcPr>
            <w:tcW w:w="701" w:type="dxa"/>
          </w:tcPr>
          <w:p w14:paraId="252FEA58">
            <w:pPr>
              <w:pStyle w:val="52"/>
              <w:shd w:val="clear" w:color="auto" w:fill="FFFFFF"/>
              <w:spacing w:line="360" w:lineRule="auto"/>
              <w:rPr>
                <w:rFonts w:ascii="宋体" w:hAnsi="宋体"/>
                <w:bCs/>
                <w:color w:val="auto"/>
              </w:rPr>
            </w:pPr>
            <w:r>
              <w:rPr>
                <w:rFonts w:hint="eastAsia" w:ascii="宋体" w:hAnsi="宋体"/>
                <w:bCs/>
                <w:color w:val="auto"/>
                <w:spacing w:val="16"/>
              </w:rPr>
              <w:t>占地面积</w:t>
            </w:r>
          </w:p>
        </w:tc>
        <w:tc>
          <w:tcPr>
            <w:tcW w:w="910" w:type="dxa"/>
            <w:gridSpan w:val="2"/>
          </w:tcPr>
          <w:p w14:paraId="715DCF22">
            <w:pPr>
              <w:pStyle w:val="52"/>
              <w:shd w:val="clear" w:color="auto" w:fill="FFFFFF"/>
              <w:spacing w:line="360" w:lineRule="auto"/>
              <w:rPr>
                <w:rFonts w:ascii="宋体" w:hAnsi="宋体"/>
                <w:bCs/>
                <w:color w:val="auto"/>
              </w:rPr>
            </w:pPr>
          </w:p>
        </w:tc>
        <w:tc>
          <w:tcPr>
            <w:tcW w:w="1163" w:type="dxa"/>
          </w:tcPr>
          <w:p w14:paraId="64C73703">
            <w:pPr>
              <w:pStyle w:val="52"/>
              <w:shd w:val="clear" w:color="auto" w:fill="FFFFFF"/>
              <w:spacing w:line="360" w:lineRule="auto"/>
              <w:rPr>
                <w:rFonts w:ascii="宋体" w:hAnsi="宋体"/>
                <w:bCs/>
                <w:color w:val="auto"/>
              </w:rPr>
            </w:pPr>
            <w:r>
              <w:rPr>
                <w:rFonts w:hint="eastAsia" w:ascii="宋体" w:hAnsi="宋体"/>
                <w:bCs/>
                <w:color w:val="auto"/>
                <w:spacing w:val="16"/>
              </w:rPr>
              <w:t>建筑面积</w:t>
            </w:r>
          </w:p>
        </w:tc>
        <w:tc>
          <w:tcPr>
            <w:tcW w:w="1205" w:type="dxa"/>
            <w:gridSpan w:val="2"/>
          </w:tcPr>
          <w:p w14:paraId="21088FA9">
            <w:pPr>
              <w:pStyle w:val="52"/>
              <w:shd w:val="clear" w:color="auto" w:fill="FFFFFF"/>
              <w:spacing w:line="360" w:lineRule="auto"/>
              <w:ind w:firstLine="480" w:firstLineChars="200"/>
              <w:rPr>
                <w:rFonts w:ascii="宋体" w:hAnsi="宋体"/>
                <w:bCs/>
                <w:color w:val="auto"/>
              </w:rPr>
            </w:pPr>
            <w:r>
              <w:rPr>
                <w:rFonts w:hint="eastAsia" w:ascii="宋体" w:hAnsi="宋体"/>
                <w:bCs/>
                <w:color w:val="auto"/>
              </w:rPr>
              <w:t xml:space="preserve">平方米 </w:t>
            </w:r>
          </w:p>
          <w:p w14:paraId="6B3695A4">
            <w:pPr>
              <w:pStyle w:val="52"/>
              <w:shd w:val="clear" w:color="auto" w:fill="FFFFFF"/>
              <w:spacing w:line="360" w:lineRule="auto"/>
              <w:rPr>
                <w:rFonts w:ascii="宋体" w:hAnsi="宋体"/>
                <w:bCs/>
                <w:color w:val="auto"/>
              </w:rPr>
            </w:pPr>
            <w:r>
              <w:rPr>
                <w:rFonts w:hint="eastAsia" w:ascii="宋体" w:hAnsi="宋体"/>
                <w:bCs/>
                <w:color w:val="auto"/>
                <w:spacing w:val="16"/>
              </w:rPr>
              <w:t>□自有□租賃</w:t>
            </w:r>
          </w:p>
        </w:tc>
        <w:tc>
          <w:tcPr>
            <w:tcW w:w="2001" w:type="dxa"/>
            <w:gridSpan w:val="3"/>
          </w:tcPr>
          <w:p w14:paraId="72C26AF9">
            <w:pPr>
              <w:pStyle w:val="52"/>
              <w:shd w:val="clear" w:color="auto" w:fill="FFFFFF"/>
              <w:spacing w:line="360" w:lineRule="auto"/>
              <w:rPr>
                <w:rFonts w:ascii="宋体" w:hAnsi="宋体"/>
                <w:bCs/>
                <w:color w:val="auto"/>
              </w:rPr>
            </w:pPr>
            <w:r>
              <w:rPr>
                <w:rFonts w:hint="eastAsia" w:ascii="宋体" w:hAnsi="宋体"/>
                <w:bCs/>
                <w:color w:val="auto"/>
                <w:spacing w:val="16"/>
              </w:rPr>
              <w:t>生产经营场所及场所的设施与设备</w:t>
            </w:r>
          </w:p>
        </w:tc>
        <w:tc>
          <w:tcPr>
            <w:tcW w:w="2151" w:type="dxa"/>
            <w:gridSpan w:val="2"/>
          </w:tcPr>
          <w:p w14:paraId="69A0F8CE">
            <w:pPr>
              <w:pStyle w:val="52"/>
              <w:shd w:val="clear" w:color="auto" w:fill="FFFFFF"/>
              <w:spacing w:before="0" w:beforeAutospacing="0" w:after="0" w:afterAutospacing="0" w:line="360" w:lineRule="auto"/>
              <w:rPr>
                <w:rFonts w:ascii="宋体" w:hAnsi="宋体"/>
                <w:bCs/>
                <w:color w:val="auto"/>
                <w:spacing w:val="16"/>
              </w:rPr>
            </w:pPr>
          </w:p>
        </w:tc>
      </w:tr>
      <w:tr w14:paraId="3C70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4BBD6B67">
            <w:pPr>
              <w:pStyle w:val="52"/>
              <w:shd w:val="clear" w:color="auto" w:fill="FFFFFF"/>
              <w:spacing w:line="360" w:lineRule="auto"/>
              <w:ind w:left="107"/>
              <w:rPr>
                <w:rFonts w:ascii="宋体" w:hAnsi="宋体"/>
                <w:bCs/>
                <w:color w:val="auto"/>
              </w:rPr>
            </w:pPr>
          </w:p>
        </w:tc>
        <w:tc>
          <w:tcPr>
            <w:tcW w:w="701" w:type="dxa"/>
          </w:tcPr>
          <w:p w14:paraId="68DE00E4">
            <w:pPr>
              <w:pStyle w:val="52"/>
              <w:shd w:val="clear" w:color="auto" w:fill="FFFFFF"/>
              <w:spacing w:line="360" w:lineRule="auto"/>
              <w:ind w:left="2"/>
              <w:rPr>
                <w:rFonts w:ascii="宋体" w:hAnsi="宋体"/>
                <w:bCs/>
                <w:color w:val="auto"/>
                <w:spacing w:val="16"/>
              </w:rPr>
            </w:pPr>
            <w:r>
              <w:rPr>
                <w:rFonts w:hint="eastAsia" w:ascii="宋体" w:hAnsi="宋体"/>
                <w:bCs/>
                <w:color w:val="auto"/>
                <w:spacing w:val="16"/>
              </w:rPr>
              <w:t>注册资金</w:t>
            </w:r>
          </w:p>
        </w:tc>
        <w:tc>
          <w:tcPr>
            <w:tcW w:w="910" w:type="dxa"/>
            <w:gridSpan w:val="2"/>
          </w:tcPr>
          <w:p w14:paraId="43BACB02">
            <w:pPr>
              <w:pStyle w:val="52"/>
              <w:shd w:val="clear" w:color="auto" w:fill="FFFFFF"/>
              <w:spacing w:line="360" w:lineRule="auto"/>
              <w:ind w:left="2"/>
              <w:rPr>
                <w:rFonts w:ascii="宋体" w:hAnsi="宋体"/>
                <w:bCs/>
                <w:color w:val="auto"/>
              </w:rPr>
            </w:pPr>
          </w:p>
        </w:tc>
        <w:tc>
          <w:tcPr>
            <w:tcW w:w="1163" w:type="dxa"/>
          </w:tcPr>
          <w:p w14:paraId="49E93F66">
            <w:pPr>
              <w:pStyle w:val="52"/>
              <w:shd w:val="clear" w:color="auto" w:fill="FFFFFF"/>
              <w:spacing w:line="360" w:lineRule="auto"/>
              <w:ind w:left="107"/>
              <w:rPr>
                <w:rFonts w:ascii="宋体" w:hAnsi="宋体"/>
                <w:bCs/>
                <w:color w:val="auto"/>
              </w:rPr>
            </w:pPr>
            <w:r>
              <w:rPr>
                <w:rFonts w:hint="eastAsia" w:ascii="宋体" w:hAnsi="宋体"/>
                <w:bCs/>
                <w:color w:val="auto"/>
                <w:spacing w:val="16"/>
              </w:rPr>
              <w:t>注册发证</w:t>
            </w:r>
            <w:r>
              <w:rPr>
                <w:rFonts w:hint="eastAsia" w:ascii="宋体" w:hAnsi="宋体"/>
                <w:bCs/>
                <w:color w:val="auto"/>
                <w:spacing w:val="27"/>
              </w:rPr>
              <w:t>机关</w:t>
            </w:r>
          </w:p>
        </w:tc>
        <w:tc>
          <w:tcPr>
            <w:tcW w:w="3206" w:type="dxa"/>
            <w:gridSpan w:val="5"/>
          </w:tcPr>
          <w:p w14:paraId="32DEC98F">
            <w:pPr>
              <w:widowControl/>
              <w:spacing w:line="360" w:lineRule="auto"/>
              <w:jc w:val="left"/>
              <w:rPr>
                <w:rFonts w:ascii="宋体" w:hAnsi="宋体" w:cs="楷体_GB2312"/>
                <w:bCs/>
                <w:color w:val="auto"/>
                <w:kern w:val="0"/>
                <w:sz w:val="24"/>
              </w:rPr>
            </w:pPr>
          </w:p>
          <w:p w14:paraId="6A71E68A">
            <w:pPr>
              <w:pStyle w:val="52"/>
              <w:shd w:val="clear" w:color="auto" w:fill="FFFFFF"/>
              <w:spacing w:line="360" w:lineRule="auto"/>
              <w:ind w:left="107"/>
              <w:rPr>
                <w:rFonts w:ascii="宋体" w:hAnsi="宋体"/>
                <w:bCs/>
                <w:color w:val="auto"/>
              </w:rPr>
            </w:pPr>
          </w:p>
        </w:tc>
        <w:tc>
          <w:tcPr>
            <w:tcW w:w="1218" w:type="dxa"/>
          </w:tcPr>
          <w:p w14:paraId="54B3B552">
            <w:pPr>
              <w:pStyle w:val="52"/>
              <w:shd w:val="clear" w:color="auto" w:fill="FFFFFF"/>
              <w:spacing w:line="360" w:lineRule="auto"/>
              <w:ind w:left="107"/>
              <w:rPr>
                <w:rFonts w:ascii="宋体" w:hAnsi="宋体"/>
                <w:bCs/>
                <w:color w:val="auto"/>
              </w:rPr>
            </w:pPr>
            <w:r>
              <w:rPr>
                <w:rFonts w:hint="eastAsia" w:ascii="宋体" w:hAnsi="宋体"/>
                <w:bCs/>
                <w:color w:val="auto"/>
              </w:rPr>
              <w:t>公司成</w:t>
            </w:r>
            <w:r>
              <w:rPr>
                <w:rFonts w:hint="eastAsia" w:ascii="宋体" w:hAnsi="宋体"/>
                <w:bCs/>
                <w:color w:val="auto"/>
                <w:spacing w:val="12"/>
              </w:rPr>
              <w:t>立时间</w:t>
            </w:r>
          </w:p>
        </w:tc>
        <w:tc>
          <w:tcPr>
            <w:tcW w:w="933" w:type="dxa"/>
          </w:tcPr>
          <w:p w14:paraId="37F44D37">
            <w:pPr>
              <w:pStyle w:val="52"/>
              <w:shd w:val="clear" w:color="auto" w:fill="FFFFFF"/>
              <w:spacing w:line="360" w:lineRule="auto"/>
              <w:ind w:left="107"/>
              <w:rPr>
                <w:rFonts w:ascii="宋体" w:hAnsi="宋体"/>
                <w:bCs/>
                <w:color w:val="auto"/>
              </w:rPr>
            </w:pPr>
          </w:p>
        </w:tc>
      </w:tr>
      <w:tr w14:paraId="087D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6EDEE643">
            <w:pPr>
              <w:pStyle w:val="52"/>
              <w:shd w:val="clear" w:color="auto" w:fill="FFFFFF"/>
              <w:spacing w:line="360" w:lineRule="auto"/>
              <w:ind w:left="107"/>
              <w:rPr>
                <w:rFonts w:ascii="宋体" w:hAnsi="宋体"/>
                <w:bCs/>
                <w:color w:val="auto"/>
              </w:rPr>
            </w:pPr>
          </w:p>
        </w:tc>
        <w:tc>
          <w:tcPr>
            <w:tcW w:w="701" w:type="dxa"/>
          </w:tcPr>
          <w:p w14:paraId="711786ED">
            <w:pPr>
              <w:pStyle w:val="52"/>
              <w:shd w:val="clear" w:color="auto" w:fill="FFFFFF"/>
              <w:spacing w:line="360" w:lineRule="auto"/>
              <w:ind w:left="2"/>
              <w:rPr>
                <w:rFonts w:ascii="宋体" w:hAnsi="宋体"/>
                <w:bCs/>
                <w:color w:val="auto"/>
              </w:rPr>
            </w:pPr>
            <w:r>
              <w:rPr>
                <w:rFonts w:hint="eastAsia" w:ascii="宋体" w:hAnsi="宋体"/>
                <w:bCs/>
                <w:color w:val="auto"/>
              </w:rPr>
              <w:t>核准经营范围</w:t>
            </w:r>
          </w:p>
        </w:tc>
        <w:tc>
          <w:tcPr>
            <w:tcW w:w="7430" w:type="dxa"/>
            <w:gridSpan w:val="10"/>
          </w:tcPr>
          <w:p w14:paraId="3B63DBFA">
            <w:pPr>
              <w:pStyle w:val="52"/>
              <w:shd w:val="clear" w:color="auto" w:fill="FFFFFF"/>
              <w:spacing w:line="360" w:lineRule="auto"/>
              <w:ind w:left="107"/>
              <w:rPr>
                <w:rFonts w:ascii="宋体" w:hAnsi="宋体"/>
                <w:bCs/>
                <w:color w:val="auto"/>
              </w:rPr>
            </w:pPr>
          </w:p>
        </w:tc>
      </w:tr>
      <w:tr w14:paraId="6D44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462FACD0">
            <w:pPr>
              <w:pStyle w:val="52"/>
              <w:shd w:val="clear" w:color="auto" w:fill="FFFFFF"/>
              <w:spacing w:line="360" w:lineRule="auto"/>
              <w:ind w:left="107"/>
              <w:rPr>
                <w:rFonts w:ascii="宋体" w:hAnsi="宋体"/>
                <w:bCs/>
                <w:color w:val="auto"/>
              </w:rPr>
            </w:pPr>
          </w:p>
        </w:tc>
        <w:tc>
          <w:tcPr>
            <w:tcW w:w="8131" w:type="dxa"/>
            <w:gridSpan w:val="11"/>
          </w:tcPr>
          <w:p w14:paraId="2009A16A">
            <w:pPr>
              <w:pStyle w:val="52"/>
              <w:shd w:val="clear" w:color="auto" w:fill="FFFFFF"/>
              <w:spacing w:line="360" w:lineRule="auto"/>
              <w:rPr>
                <w:rFonts w:ascii="宋体" w:hAnsi="宋体"/>
                <w:bCs/>
                <w:color w:val="auto"/>
                <w:spacing w:val="13"/>
              </w:rPr>
            </w:pPr>
            <w:r>
              <w:rPr>
                <w:rFonts w:hint="eastAsia" w:ascii="宋体" w:hAnsi="宋体"/>
                <w:bCs/>
                <w:color w:val="auto"/>
                <w:spacing w:val="13"/>
              </w:rPr>
              <w:t>发展历程及主要荣誉：</w:t>
            </w:r>
          </w:p>
        </w:tc>
      </w:tr>
      <w:tr w14:paraId="3565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60C08CBD">
            <w:pPr>
              <w:pStyle w:val="52"/>
              <w:shd w:val="clear" w:color="auto" w:fill="FFFFFF"/>
              <w:spacing w:line="360" w:lineRule="auto"/>
              <w:ind w:left="107"/>
              <w:rPr>
                <w:rFonts w:ascii="宋体" w:hAnsi="宋体"/>
                <w:bCs/>
                <w:color w:val="auto"/>
              </w:rPr>
            </w:pPr>
            <w:r>
              <w:rPr>
                <w:rFonts w:ascii="宋体" w:hAnsi="宋体"/>
                <w:bCs/>
                <w:color w:val="auto"/>
              </w:rPr>
              <w:t>2</w:t>
            </w:r>
            <w:r>
              <w:rPr>
                <w:rFonts w:hint="eastAsia" w:ascii="宋体" w:hAnsi="宋体"/>
                <w:bCs/>
                <w:color w:val="auto"/>
              </w:rPr>
              <w:t>．</w:t>
            </w:r>
          </w:p>
          <w:p w14:paraId="2A8F52F6">
            <w:pPr>
              <w:pStyle w:val="52"/>
              <w:shd w:val="clear" w:color="auto" w:fill="FFFFFF"/>
              <w:spacing w:line="360" w:lineRule="auto"/>
              <w:ind w:left="107"/>
              <w:rPr>
                <w:rFonts w:ascii="宋体" w:hAnsi="宋体"/>
                <w:bCs/>
                <w:color w:val="auto"/>
                <w:spacing w:val="16"/>
              </w:rPr>
            </w:pPr>
            <w:r>
              <w:rPr>
                <w:rFonts w:hint="eastAsia" w:ascii="宋体" w:hAnsi="宋体"/>
                <w:bCs/>
                <w:color w:val="auto"/>
              </w:rPr>
              <w:t>企</w:t>
            </w:r>
            <w:r>
              <w:rPr>
                <w:rFonts w:hint="eastAsia" w:ascii="宋体" w:hAnsi="宋体"/>
                <w:bCs/>
                <w:color w:val="auto"/>
                <w:spacing w:val="12"/>
              </w:rPr>
              <w:t>业有关资质获证情况</w:t>
            </w:r>
          </w:p>
        </w:tc>
        <w:tc>
          <w:tcPr>
            <w:tcW w:w="1553" w:type="dxa"/>
            <w:gridSpan w:val="2"/>
            <w:vMerge w:val="restart"/>
          </w:tcPr>
          <w:p w14:paraId="68B30BE9">
            <w:pPr>
              <w:pStyle w:val="52"/>
              <w:shd w:val="clear" w:color="auto" w:fill="FFFFFF"/>
              <w:spacing w:before="0" w:beforeAutospacing="0" w:after="0" w:afterAutospacing="0" w:line="360" w:lineRule="auto"/>
              <w:rPr>
                <w:rFonts w:ascii="宋体" w:hAnsi="宋体"/>
                <w:bCs/>
                <w:color w:val="auto"/>
                <w:spacing w:val="16"/>
              </w:rPr>
            </w:pPr>
            <w:r>
              <w:rPr>
                <w:rFonts w:hint="eastAsia" w:ascii="宋体" w:hAnsi="宋体"/>
                <w:bCs/>
                <w:color w:val="auto"/>
                <w:spacing w:val="12"/>
              </w:rPr>
              <w:t>产品生产许可证情况</w:t>
            </w:r>
            <w:r>
              <w:rPr>
                <w:rFonts w:hint="eastAsia" w:ascii="宋体" w:hAnsi="宋体"/>
                <w:bCs/>
                <w:color w:val="auto"/>
                <w:spacing w:val="41"/>
              </w:rPr>
              <w:t>（对需获得生产许可证的</w:t>
            </w:r>
            <w:r>
              <w:rPr>
                <w:rFonts w:hint="eastAsia" w:ascii="宋体" w:hAnsi="宋体"/>
                <w:bCs/>
                <w:color w:val="auto"/>
                <w:spacing w:val="11"/>
              </w:rPr>
              <w:t>产品要填写此栏）</w:t>
            </w:r>
          </w:p>
        </w:tc>
        <w:tc>
          <w:tcPr>
            <w:tcW w:w="1333" w:type="dxa"/>
            <w:gridSpan w:val="3"/>
          </w:tcPr>
          <w:p w14:paraId="79CCACD0">
            <w:pPr>
              <w:pStyle w:val="52"/>
              <w:shd w:val="clear" w:color="auto" w:fill="FFFFFF"/>
              <w:spacing w:line="360" w:lineRule="auto"/>
              <w:ind w:right="-78" w:rightChars="-37"/>
              <w:rPr>
                <w:rFonts w:ascii="宋体" w:hAnsi="宋体"/>
                <w:bCs/>
                <w:color w:val="auto"/>
                <w:spacing w:val="16"/>
              </w:rPr>
            </w:pPr>
            <w:r>
              <w:rPr>
                <w:rFonts w:hint="eastAsia" w:ascii="宋体" w:hAnsi="宋体"/>
                <w:bCs/>
                <w:color w:val="auto"/>
                <w:spacing w:val="16"/>
              </w:rPr>
              <w:t>产品名称</w:t>
            </w:r>
          </w:p>
        </w:tc>
        <w:tc>
          <w:tcPr>
            <w:tcW w:w="1418" w:type="dxa"/>
            <w:gridSpan w:val="2"/>
          </w:tcPr>
          <w:p w14:paraId="140332CE">
            <w:pPr>
              <w:pStyle w:val="52"/>
              <w:shd w:val="clear" w:color="auto" w:fill="FFFFFF"/>
              <w:spacing w:before="0" w:beforeAutospacing="0" w:after="0" w:afterAutospacing="0" w:line="360" w:lineRule="auto"/>
              <w:rPr>
                <w:rFonts w:ascii="宋体" w:hAnsi="宋体"/>
                <w:bCs/>
                <w:color w:val="auto"/>
              </w:rPr>
            </w:pPr>
            <w:r>
              <w:rPr>
                <w:rFonts w:hint="eastAsia" w:ascii="宋体" w:hAnsi="宋体"/>
                <w:bCs/>
                <w:color w:val="auto"/>
                <w:spacing w:val="16"/>
              </w:rPr>
              <w:t>发证机关</w:t>
            </w:r>
          </w:p>
        </w:tc>
        <w:tc>
          <w:tcPr>
            <w:tcW w:w="1276" w:type="dxa"/>
          </w:tcPr>
          <w:p w14:paraId="0CA2DD10">
            <w:pPr>
              <w:pStyle w:val="52"/>
              <w:shd w:val="clear" w:color="auto" w:fill="FFFFFF"/>
              <w:spacing w:line="360" w:lineRule="auto"/>
              <w:jc w:val="center"/>
              <w:rPr>
                <w:rFonts w:ascii="宋体" w:hAnsi="宋体"/>
                <w:bCs/>
                <w:color w:val="auto"/>
              </w:rPr>
            </w:pPr>
            <w:r>
              <w:rPr>
                <w:rFonts w:hint="eastAsia" w:ascii="宋体" w:hAnsi="宋体"/>
                <w:bCs/>
                <w:color w:val="auto"/>
                <w:spacing w:val="27"/>
              </w:rPr>
              <w:t>编号</w:t>
            </w:r>
          </w:p>
        </w:tc>
        <w:tc>
          <w:tcPr>
            <w:tcW w:w="1618" w:type="dxa"/>
            <w:gridSpan w:val="2"/>
          </w:tcPr>
          <w:p w14:paraId="64175A60">
            <w:pPr>
              <w:pStyle w:val="52"/>
              <w:shd w:val="clear" w:color="auto" w:fill="FFFFFF"/>
              <w:spacing w:line="360" w:lineRule="auto"/>
              <w:jc w:val="center"/>
              <w:rPr>
                <w:rFonts w:ascii="宋体" w:hAnsi="宋体"/>
                <w:bCs/>
                <w:color w:val="auto"/>
              </w:rPr>
            </w:pPr>
            <w:r>
              <w:rPr>
                <w:rFonts w:hint="eastAsia" w:ascii="宋体" w:hAnsi="宋体"/>
                <w:bCs/>
                <w:color w:val="auto"/>
                <w:spacing w:val="16"/>
              </w:rPr>
              <w:t>发证时间</w:t>
            </w:r>
          </w:p>
        </w:tc>
        <w:tc>
          <w:tcPr>
            <w:tcW w:w="933" w:type="dxa"/>
          </w:tcPr>
          <w:p w14:paraId="6F78A92E">
            <w:pPr>
              <w:pStyle w:val="52"/>
              <w:shd w:val="clear" w:color="auto" w:fill="FFFFFF"/>
              <w:spacing w:before="0" w:beforeAutospacing="0" w:after="0" w:afterAutospacing="0" w:line="360" w:lineRule="auto"/>
              <w:jc w:val="center"/>
              <w:rPr>
                <w:rFonts w:ascii="宋体" w:hAnsi="宋体"/>
                <w:bCs/>
                <w:color w:val="auto"/>
              </w:rPr>
            </w:pPr>
            <w:r>
              <w:rPr>
                <w:rFonts w:hint="eastAsia" w:ascii="宋体" w:hAnsi="宋体"/>
                <w:bCs/>
                <w:color w:val="auto"/>
                <w:spacing w:val="27"/>
              </w:rPr>
              <w:t>期限</w:t>
            </w:r>
          </w:p>
        </w:tc>
      </w:tr>
      <w:tr w14:paraId="40D6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4EE2A7B4">
            <w:pPr>
              <w:pStyle w:val="52"/>
              <w:shd w:val="clear" w:color="auto" w:fill="FFFFFF"/>
              <w:spacing w:line="360" w:lineRule="auto"/>
              <w:ind w:left="107"/>
              <w:rPr>
                <w:rFonts w:ascii="宋体" w:hAnsi="宋体"/>
                <w:bCs/>
                <w:color w:val="auto"/>
              </w:rPr>
            </w:pPr>
          </w:p>
        </w:tc>
        <w:tc>
          <w:tcPr>
            <w:tcW w:w="1553" w:type="dxa"/>
            <w:gridSpan w:val="2"/>
            <w:vMerge w:val="continue"/>
          </w:tcPr>
          <w:p w14:paraId="76E2B81A">
            <w:pPr>
              <w:pStyle w:val="52"/>
              <w:shd w:val="clear" w:color="auto" w:fill="FFFFFF"/>
              <w:spacing w:line="360" w:lineRule="auto"/>
              <w:rPr>
                <w:rFonts w:ascii="宋体" w:hAnsi="宋体"/>
                <w:bCs/>
                <w:color w:val="auto"/>
              </w:rPr>
            </w:pPr>
          </w:p>
        </w:tc>
        <w:tc>
          <w:tcPr>
            <w:tcW w:w="1333" w:type="dxa"/>
            <w:gridSpan w:val="3"/>
          </w:tcPr>
          <w:p w14:paraId="744500CE">
            <w:pPr>
              <w:pStyle w:val="52"/>
              <w:shd w:val="clear" w:color="auto" w:fill="FFFFFF"/>
              <w:spacing w:line="360" w:lineRule="auto"/>
              <w:rPr>
                <w:rFonts w:ascii="宋体" w:hAnsi="宋体"/>
                <w:bCs/>
                <w:color w:val="auto"/>
              </w:rPr>
            </w:pPr>
          </w:p>
        </w:tc>
        <w:tc>
          <w:tcPr>
            <w:tcW w:w="1418" w:type="dxa"/>
            <w:gridSpan w:val="2"/>
          </w:tcPr>
          <w:p w14:paraId="58D90235">
            <w:pPr>
              <w:pStyle w:val="52"/>
              <w:shd w:val="clear" w:color="auto" w:fill="FFFFFF"/>
              <w:spacing w:line="360" w:lineRule="auto"/>
              <w:rPr>
                <w:rFonts w:ascii="宋体" w:hAnsi="宋体"/>
                <w:bCs/>
                <w:color w:val="auto"/>
              </w:rPr>
            </w:pPr>
          </w:p>
        </w:tc>
        <w:tc>
          <w:tcPr>
            <w:tcW w:w="1276" w:type="dxa"/>
          </w:tcPr>
          <w:p w14:paraId="66E49895">
            <w:pPr>
              <w:pStyle w:val="52"/>
              <w:shd w:val="clear" w:color="auto" w:fill="FFFFFF"/>
              <w:spacing w:line="360" w:lineRule="auto"/>
              <w:rPr>
                <w:rFonts w:ascii="宋体" w:hAnsi="宋体"/>
                <w:bCs/>
                <w:color w:val="auto"/>
              </w:rPr>
            </w:pPr>
          </w:p>
        </w:tc>
        <w:tc>
          <w:tcPr>
            <w:tcW w:w="2551" w:type="dxa"/>
            <w:gridSpan w:val="3"/>
          </w:tcPr>
          <w:p w14:paraId="62448AD7">
            <w:pPr>
              <w:pStyle w:val="52"/>
              <w:shd w:val="clear" w:color="auto" w:fill="FFFFFF"/>
              <w:spacing w:line="360" w:lineRule="auto"/>
              <w:rPr>
                <w:rFonts w:ascii="宋体" w:hAnsi="宋体"/>
                <w:bCs/>
                <w:color w:val="auto"/>
              </w:rPr>
            </w:pPr>
          </w:p>
        </w:tc>
      </w:tr>
      <w:tr w14:paraId="2C13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64E74A52">
            <w:pPr>
              <w:pStyle w:val="52"/>
              <w:shd w:val="clear" w:color="auto" w:fill="FFFFFF"/>
              <w:spacing w:line="360" w:lineRule="auto"/>
              <w:ind w:left="107"/>
              <w:rPr>
                <w:rFonts w:ascii="宋体" w:hAnsi="宋体"/>
                <w:bCs/>
                <w:color w:val="auto"/>
                <w:spacing w:val="16"/>
              </w:rPr>
            </w:pPr>
          </w:p>
        </w:tc>
        <w:tc>
          <w:tcPr>
            <w:tcW w:w="1553" w:type="dxa"/>
            <w:gridSpan w:val="2"/>
          </w:tcPr>
          <w:p w14:paraId="4105DFF7">
            <w:pPr>
              <w:pStyle w:val="52"/>
              <w:shd w:val="clear" w:color="auto" w:fill="FFFFFF"/>
              <w:spacing w:before="0" w:beforeAutospacing="0" w:after="0" w:afterAutospacing="0" w:line="360" w:lineRule="auto"/>
              <w:ind w:right="-107" w:rightChars="-51"/>
              <w:rPr>
                <w:rFonts w:ascii="宋体" w:hAnsi="宋体"/>
                <w:bCs/>
                <w:color w:val="auto"/>
                <w:spacing w:val="41"/>
              </w:rPr>
            </w:pPr>
            <w:r>
              <w:rPr>
                <w:rFonts w:hint="eastAsia" w:ascii="宋体" w:hAnsi="宋体"/>
                <w:bCs/>
                <w:color w:val="auto"/>
                <w:spacing w:val="41"/>
              </w:rPr>
              <w:t>企业通过质量体系、环保</w:t>
            </w:r>
            <w:r>
              <w:rPr>
                <w:rFonts w:hint="eastAsia" w:ascii="宋体" w:hAnsi="宋体"/>
                <w:bCs/>
                <w:color w:val="auto"/>
                <w:spacing w:val="11"/>
              </w:rPr>
              <w:t>体系、计量等认证情况</w:t>
            </w:r>
          </w:p>
        </w:tc>
        <w:tc>
          <w:tcPr>
            <w:tcW w:w="6578" w:type="dxa"/>
            <w:gridSpan w:val="9"/>
          </w:tcPr>
          <w:p w14:paraId="3FFFB6FD">
            <w:pPr>
              <w:pStyle w:val="52"/>
              <w:shd w:val="clear" w:color="auto" w:fill="FFFFFF"/>
              <w:spacing w:line="360" w:lineRule="auto"/>
              <w:rPr>
                <w:rFonts w:ascii="宋体" w:hAnsi="宋体"/>
                <w:bCs/>
                <w:color w:val="auto"/>
                <w:spacing w:val="16"/>
              </w:rPr>
            </w:pPr>
          </w:p>
        </w:tc>
      </w:tr>
      <w:tr w14:paraId="650C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6B13819C">
            <w:pPr>
              <w:pStyle w:val="52"/>
              <w:shd w:val="clear" w:color="auto" w:fill="FFFFFF"/>
              <w:spacing w:line="360" w:lineRule="auto"/>
              <w:ind w:left="107"/>
              <w:rPr>
                <w:rFonts w:ascii="宋体" w:hAnsi="宋体"/>
                <w:bCs/>
                <w:color w:val="auto"/>
                <w:spacing w:val="27"/>
              </w:rPr>
            </w:pPr>
          </w:p>
        </w:tc>
        <w:tc>
          <w:tcPr>
            <w:tcW w:w="1553" w:type="dxa"/>
            <w:gridSpan w:val="2"/>
          </w:tcPr>
          <w:p w14:paraId="412A4716">
            <w:pPr>
              <w:pStyle w:val="52"/>
              <w:shd w:val="clear" w:color="auto" w:fill="FFFFFF"/>
              <w:spacing w:line="360" w:lineRule="auto"/>
              <w:rPr>
                <w:rFonts w:ascii="宋体" w:hAnsi="宋体"/>
                <w:bCs/>
                <w:color w:val="auto"/>
                <w:spacing w:val="16"/>
              </w:rPr>
            </w:pPr>
            <w:r>
              <w:rPr>
                <w:rFonts w:hint="eastAsia" w:ascii="宋体" w:hAnsi="宋体"/>
                <w:bCs/>
                <w:color w:val="auto"/>
                <w:spacing w:val="10"/>
              </w:rPr>
              <w:t>企业获得专利情况</w:t>
            </w:r>
          </w:p>
        </w:tc>
        <w:tc>
          <w:tcPr>
            <w:tcW w:w="6578" w:type="dxa"/>
            <w:gridSpan w:val="9"/>
          </w:tcPr>
          <w:p w14:paraId="776A2168">
            <w:pPr>
              <w:pStyle w:val="52"/>
              <w:shd w:val="clear" w:color="auto" w:fill="FFFFFF"/>
              <w:spacing w:line="360" w:lineRule="auto"/>
              <w:rPr>
                <w:rFonts w:ascii="宋体" w:hAnsi="宋体"/>
                <w:bCs/>
                <w:color w:val="auto"/>
                <w:spacing w:val="16"/>
              </w:rPr>
            </w:pPr>
          </w:p>
        </w:tc>
      </w:tr>
    </w:tbl>
    <w:p w14:paraId="0E3637D8">
      <w:pPr>
        <w:pStyle w:val="52"/>
        <w:shd w:val="clear" w:color="auto" w:fill="FFFFFF"/>
        <w:spacing w:before="0" w:beforeAutospacing="0" w:after="0" w:afterAutospacing="0" w:line="360" w:lineRule="auto"/>
        <w:rPr>
          <w:rFonts w:ascii="宋体" w:hAnsi="宋体"/>
          <w:color w:val="auto"/>
        </w:rPr>
      </w:pPr>
    </w:p>
    <w:p w14:paraId="0D33F4AD">
      <w:pPr>
        <w:pStyle w:val="52"/>
        <w:shd w:val="clear" w:color="auto" w:fill="FFFFFF"/>
        <w:spacing w:before="0" w:beforeAutospacing="0" w:after="0" w:afterAutospacing="0" w:line="360" w:lineRule="auto"/>
        <w:rPr>
          <w:rFonts w:ascii="宋体" w:hAnsi="宋体"/>
          <w:b/>
          <w:color w:val="auto"/>
          <w:sz w:val="21"/>
          <w:szCs w:val="21"/>
        </w:rPr>
      </w:pPr>
      <w:r>
        <w:rPr>
          <w:rFonts w:hint="eastAsia" w:ascii="宋体" w:hAnsi="宋体"/>
          <w:b/>
          <w:color w:val="auto"/>
          <w:sz w:val="21"/>
          <w:szCs w:val="21"/>
        </w:rPr>
        <w:t>要求：</w:t>
      </w:r>
    </w:p>
    <w:p w14:paraId="500D0546">
      <w:pPr>
        <w:pStyle w:val="52"/>
        <w:shd w:val="clear" w:color="auto" w:fill="FFFFFF"/>
        <w:spacing w:before="0" w:beforeAutospacing="0" w:after="0" w:afterAutospacing="0" w:line="360" w:lineRule="auto"/>
        <w:ind w:firstLine="424" w:firstLineChars="202"/>
        <w:rPr>
          <w:rFonts w:ascii="宋体" w:hAnsi="宋体"/>
          <w:color w:val="auto"/>
        </w:rPr>
      </w:pPr>
      <w:r>
        <w:rPr>
          <w:rFonts w:hint="eastAsia" w:ascii="宋体" w:hAnsi="宋体"/>
          <w:color w:val="auto"/>
          <w:sz w:val="21"/>
          <w:szCs w:val="21"/>
        </w:rPr>
        <w:t>1.姓名栏必须将所有股东都统计在内，若非股份公司此行（第三行）无需填写；</w:t>
      </w:r>
    </w:p>
    <w:p w14:paraId="7FCFF1B4">
      <w:pPr>
        <w:rPr>
          <w:rFonts w:ascii="宋体" w:hAnsi="宋体"/>
          <w:color w:val="auto"/>
          <w:sz w:val="24"/>
        </w:rPr>
      </w:pPr>
    </w:p>
    <w:p w14:paraId="6434B68A">
      <w:pPr>
        <w:ind w:firstLine="424" w:firstLineChars="177"/>
        <w:rPr>
          <w:rFonts w:ascii="宋体" w:hAnsi="宋体"/>
          <w:color w:val="auto"/>
          <w:sz w:val="24"/>
          <w:u w:val="single"/>
        </w:rPr>
      </w:pPr>
      <w:r>
        <w:rPr>
          <w:rFonts w:hint="eastAsia" w:ascii="宋体" w:hAnsi="宋体"/>
          <w:color w:val="auto"/>
          <w:sz w:val="24"/>
        </w:rPr>
        <w:t>磋商供应商名称（公章）：</w:t>
      </w:r>
      <w:r>
        <w:rPr>
          <w:rFonts w:hint="eastAsia" w:ascii="宋体" w:hAnsi="宋体"/>
          <w:color w:val="auto"/>
          <w:sz w:val="24"/>
          <w:u w:val="single"/>
        </w:rPr>
        <w:t xml:space="preserve">                       </w:t>
      </w:r>
    </w:p>
    <w:p w14:paraId="50F15A91">
      <w:pPr>
        <w:ind w:left="420"/>
        <w:rPr>
          <w:rFonts w:ascii="宋体" w:hAnsi="宋体"/>
          <w:color w:val="auto"/>
          <w:sz w:val="24"/>
        </w:rPr>
      </w:pPr>
    </w:p>
    <w:p w14:paraId="56BC5596">
      <w:pPr>
        <w:ind w:firstLine="424" w:firstLineChars="177"/>
        <w:rPr>
          <w:rFonts w:ascii="宋体" w:hAnsi="宋体"/>
          <w:color w:val="auto"/>
          <w:sz w:val="24"/>
        </w:rPr>
      </w:pPr>
      <w:r>
        <w:rPr>
          <w:rFonts w:hint="eastAsia" w:ascii="宋体" w:hAnsi="宋体"/>
          <w:color w:val="auto"/>
          <w:sz w:val="24"/>
        </w:rPr>
        <w:t>磋商供应商代表签章或签字：</w:t>
      </w:r>
      <w:r>
        <w:rPr>
          <w:rFonts w:hint="eastAsia" w:ascii="宋体" w:hAnsi="宋体"/>
          <w:color w:val="auto"/>
          <w:sz w:val="24"/>
          <w:u w:val="single"/>
        </w:rPr>
        <w:t xml:space="preserve">                          </w:t>
      </w:r>
    </w:p>
    <w:p w14:paraId="1058F0B2">
      <w:pPr>
        <w:ind w:firstLine="435"/>
        <w:rPr>
          <w:rFonts w:ascii="宋体" w:hAnsi="宋体"/>
          <w:color w:val="auto"/>
          <w:sz w:val="24"/>
        </w:rPr>
      </w:pPr>
    </w:p>
    <w:p w14:paraId="7FB441B6">
      <w:pPr>
        <w:ind w:firstLine="424" w:firstLineChars="177"/>
        <w:rPr>
          <w:rFonts w:ascii="宋体" w:hAnsi="宋体"/>
          <w:color w:val="auto"/>
          <w:sz w:val="24"/>
          <w:u w:val="single"/>
        </w:rPr>
      </w:pPr>
      <w:r>
        <w:rPr>
          <w:rFonts w:hint="eastAsia" w:ascii="宋体" w:hAnsi="宋体"/>
          <w:color w:val="auto"/>
          <w:sz w:val="24"/>
        </w:rPr>
        <w:t>职        务：</w:t>
      </w:r>
      <w:r>
        <w:rPr>
          <w:rFonts w:hint="eastAsia" w:ascii="宋体" w:hAnsi="宋体"/>
          <w:color w:val="auto"/>
          <w:sz w:val="24"/>
          <w:u w:val="single"/>
        </w:rPr>
        <w:t xml:space="preserve">                             </w:t>
      </w:r>
    </w:p>
    <w:p w14:paraId="13EBDEEC">
      <w:pPr>
        <w:rPr>
          <w:rFonts w:ascii="宋体" w:hAnsi="宋体"/>
          <w:color w:val="auto"/>
          <w:sz w:val="24"/>
        </w:rPr>
      </w:pPr>
    </w:p>
    <w:p w14:paraId="60C52057">
      <w:pPr>
        <w:pStyle w:val="52"/>
        <w:shd w:val="clear" w:color="auto" w:fill="FFFFFF"/>
        <w:spacing w:before="0" w:beforeAutospacing="0" w:after="0" w:afterAutospacing="0"/>
        <w:ind w:firstLine="424" w:firstLineChars="177"/>
        <w:rPr>
          <w:rFonts w:ascii="宋体" w:hAnsi="宋体"/>
          <w:b/>
          <w:color w:val="auto"/>
          <w:sz w:val="28"/>
        </w:rPr>
      </w:pPr>
      <w:r>
        <w:rPr>
          <w:rFonts w:hint="eastAsia" w:ascii="宋体" w:hAnsi="宋体"/>
          <w:color w:val="auto"/>
        </w:rPr>
        <w:t>日        期：</w:t>
      </w:r>
      <w:r>
        <w:rPr>
          <w:rFonts w:hint="eastAsia" w:ascii="宋体" w:hAnsi="宋体"/>
          <w:color w:val="auto"/>
          <w:u w:val="single"/>
        </w:rPr>
        <w:t xml:space="preserve">                            </w:t>
      </w:r>
    </w:p>
    <w:p w14:paraId="7EAD57BF">
      <w:pPr>
        <w:rPr>
          <w:rFonts w:ascii="宋体" w:hAnsi="宋体"/>
          <w:b/>
          <w:color w:val="auto"/>
          <w:sz w:val="28"/>
        </w:rPr>
      </w:pPr>
      <w:r>
        <w:rPr>
          <w:rFonts w:hint="eastAsia" w:ascii="宋体" w:hAnsi="宋体"/>
          <w:b/>
          <w:color w:val="auto"/>
          <w:sz w:val="28"/>
        </w:rPr>
        <w:br w:type="page"/>
      </w:r>
    </w:p>
    <w:p w14:paraId="5A76801E">
      <w:pPr>
        <w:snapToGrid w:val="0"/>
        <w:spacing w:before="50" w:after="50" w:line="360" w:lineRule="auto"/>
        <w:rPr>
          <w:rFonts w:ascii="宋体" w:hAnsi="宋体"/>
          <w:b/>
          <w:color w:val="auto"/>
          <w:sz w:val="32"/>
          <w:szCs w:val="32"/>
        </w:rPr>
      </w:pPr>
      <w:r>
        <w:rPr>
          <w:rFonts w:hint="eastAsia" w:ascii="宋体" w:hAnsi="宋体"/>
          <w:b/>
          <w:color w:val="auto"/>
          <w:sz w:val="28"/>
        </w:rPr>
        <w:t>附件</w:t>
      </w:r>
      <w:r>
        <w:rPr>
          <w:rFonts w:hint="eastAsia" w:ascii="宋体" w:hAnsi="宋体"/>
          <w:b/>
          <w:color w:val="auto"/>
          <w:sz w:val="28"/>
          <w:lang w:val="en-US" w:eastAsia="zh-CN"/>
        </w:rPr>
        <w:t>6</w:t>
      </w:r>
    </w:p>
    <w:p w14:paraId="1CEF2E4E">
      <w:pPr>
        <w:snapToGrid w:val="0"/>
        <w:spacing w:before="156" w:beforeLines="50" w:after="50" w:line="360" w:lineRule="auto"/>
        <w:jc w:val="center"/>
        <w:rPr>
          <w:rFonts w:ascii="宋体" w:hAnsi="宋体"/>
          <w:b/>
          <w:color w:val="auto"/>
          <w:sz w:val="36"/>
          <w:szCs w:val="36"/>
        </w:rPr>
      </w:pPr>
      <w:r>
        <w:rPr>
          <w:rFonts w:hint="eastAsia" w:ascii="宋体" w:hAnsi="宋体"/>
          <w:b/>
          <w:color w:val="auto"/>
          <w:sz w:val="32"/>
          <w:szCs w:val="32"/>
        </w:rPr>
        <w:t>项目实施人员一览表</w:t>
      </w:r>
    </w:p>
    <w:p w14:paraId="3FE23575">
      <w:pPr>
        <w:snapToGrid w:val="0"/>
        <w:spacing w:before="156" w:beforeLines="50" w:after="50" w:line="360" w:lineRule="auto"/>
        <w:ind w:firstLine="2400" w:firstLineChars="1000"/>
        <w:rPr>
          <w:rFonts w:ascii="宋体" w:hAnsi="宋体"/>
          <w:color w:val="auto"/>
          <w:sz w:val="24"/>
        </w:rPr>
      </w:pPr>
      <w:r>
        <w:rPr>
          <w:rFonts w:hint="eastAsia" w:ascii="宋体" w:hAnsi="宋体"/>
          <w:color w:val="auto"/>
          <w:sz w:val="24"/>
        </w:rPr>
        <w:t>（主要从业人员及其技术资格）</w:t>
      </w:r>
    </w:p>
    <w:tbl>
      <w:tblPr>
        <w:tblStyle w:val="2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799"/>
        <w:gridCol w:w="1276"/>
        <w:gridCol w:w="1275"/>
        <w:gridCol w:w="1418"/>
        <w:gridCol w:w="2126"/>
      </w:tblGrid>
      <w:tr w14:paraId="50999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42573761">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750FBEF9">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1AFE1C34">
            <w:pPr>
              <w:snapToGrid w:val="0"/>
              <w:spacing w:before="156" w:beforeLines="50" w:after="50" w:line="360" w:lineRule="auto"/>
              <w:jc w:val="center"/>
              <w:rPr>
                <w:rFonts w:ascii="宋体" w:hAnsi="宋体"/>
                <w:b/>
                <w:color w:val="auto"/>
                <w:sz w:val="24"/>
                <w:szCs w:val="20"/>
              </w:rPr>
            </w:pPr>
            <w:r>
              <w:rPr>
                <w:rFonts w:ascii="宋体" w:hAnsi="宋体"/>
                <w:b/>
                <w:color w:val="auto"/>
                <w:sz w:val="24"/>
                <w:szCs w:val="20"/>
              </w:rPr>
              <w:t>拟任岗位</w:t>
            </w:r>
          </w:p>
        </w:tc>
        <w:tc>
          <w:tcPr>
            <w:tcW w:w="1276" w:type="dxa"/>
            <w:tcBorders>
              <w:top w:val="single" w:color="auto" w:sz="4" w:space="0"/>
              <w:left w:val="single" w:color="auto" w:sz="4" w:space="0"/>
              <w:bottom w:val="single" w:color="auto" w:sz="4" w:space="0"/>
              <w:right w:val="single" w:color="auto" w:sz="4" w:space="0"/>
            </w:tcBorders>
            <w:vAlign w:val="center"/>
          </w:tcPr>
          <w:p w14:paraId="74533E9C">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0F0FC214">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39088F9E">
            <w:pPr>
              <w:snapToGrid w:val="0"/>
              <w:spacing w:before="156" w:beforeLines="50" w:after="50" w:line="360" w:lineRule="auto"/>
              <w:jc w:val="center"/>
              <w:rPr>
                <w:rFonts w:ascii="宋体" w:hAnsi="宋体"/>
                <w:b/>
                <w:bCs/>
                <w:color w:val="auto"/>
                <w:sz w:val="24"/>
                <w:szCs w:val="20"/>
              </w:rPr>
            </w:pPr>
            <w:r>
              <w:rPr>
                <w:rFonts w:hint="eastAsia" w:ascii="宋体" w:hAnsi="宋体"/>
                <w:b/>
                <w:bCs/>
                <w:color w:val="auto"/>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F18D304">
            <w:pPr>
              <w:snapToGrid w:val="0"/>
              <w:spacing w:before="156" w:beforeLines="50" w:after="50" w:line="360" w:lineRule="auto"/>
              <w:jc w:val="center"/>
              <w:rPr>
                <w:rFonts w:ascii="宋体" w:hAnsi="宋体"/>
                <w:b/>
                <w:bCs/>
                <w:color w:val="auto"/>
                <w:sz w:val="24"/>
                <w:szCs w:val="20"/>
              </w:rPr>
            </w:pPr>
            <w:r>
              <w:rPr>
                <w:rFonts w:hint="eastAsia" w:ascii="宋体" w:hAnsi="宋体"/>
                <w:b/>
                <w:color w:val="auto"/>
                <w:sz w:val="24"/>
              </w:rPr>
              <w:t>劳动合同编号</w:t>
            </w:r>
          </w:p>
        </w:tc>
      </w:tr>
      <w:tr w14:paraId="26B26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69D152A">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266CE57B">
            <w:pPr>
              <w:snapToGrid w:val="0"/>
              <w:spacing w:before="156" w:beforeLines="50" w:after="50" w:line="360" w:lineRule="auto"/>
              <w:rPr>
                <w:rFonts w:ascii="宋体" w:hAnsi="宋体"/>
                <w:b/>
                <w:color w:val="auto"/>
                <w:kern w:val="44"/>
                <w:sz w:val="24"/>
                <w:szCs w:val="20"/>
              </w:rPr>
            </w:pPr>
          </w:p>
        </w:tc>
        <w:tc>
          <w:tcPr>
            <w:tcW w:w="1799" w:type="dxa"/>
            <w:tcBorders>
              <w:top w:val="single" w:color="auto" w:sz="4" w:space="0"/>
              <w:left w:val="single" w:color="auto" w:sz="4" w:space="0"/>
              <w:bottom w:val="single" w:color="auto" w:sz="4" w:space="0"/>
              <w:right w:val="single" w:color="auto" w:sz="4" w:space="0"/>
            </w:tcBorders>
          </w:tcPr>
          <w:p w14:paraId="461F8A32">
            <w:pPr>
              <w:snapToGrid w:val="0"/>
              <w:spacing w:before="156" w:beforeLines="50" w:after="50" w:line="360" w:lineRule="auto"/>
              <w:rPr>
                <w:rFonts w:ascii="宋体" w:hAnsi="宋体"/>
                <w:b/>
                <w:color w:val="auto"/>
                <w:kern w:val="44"/>
                <w:sz w:val="24"/>
                <w:szCs w:val="20"/>
              </w:rPr>
            </w:pPr>
            <w:r>
              <w:rPr>
                <w:rFonts w:ascii="宋体" w:hAnsi="宋体"/>
                <w:b/>
                <w:color w:val="auto"/>
                <w:kern w:val="44"/>
                <w:sz w:val="24"/>
                <w:szCs w:val="20"/>
              </w:rPr>
              <w:t>项目负责人</w:t>
            </w:r>
          </w:p>
        </w:tc>
        <w:tc>
          <w:tcPr>
            <w:tcW w:w="1276" w:type="dxa"/>
            <w:tcBorders>
              <w:top w:val="single" w:color="auto" w:sz="4" w:space="0"/>
              <w:left w:val="single" w:color="auto" w:sz="4" w:space="0"/>
              <w:bottom w:val="single" w:color="auto" w:sz="4" w:space="0"/>
              <w:right w:val="single" w:color="auto" w:sz="4" w:space="0"/>
            </w:tcBorders>
          </w:tcPr>
          <w:p w14:paraId="0052DF42">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2A65490">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36EECBCD">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4EC99DE4">
            <w:pPr>
              <w:snapToGrid w:val="0"/>
              <w:spacing w:before="156" w:beforeLines="50" w:after="50" w:line="360" w:lineRule="auto"/>
              <w:rPr>
                <w:rFonts w:ascii="宋体" w:hAnsi="宋体"/>
                <w:b/>
                <w:color w:val="auto"/>
                <w:kern w:val="44"/>
                <w:sz w:val="24"/>
                <w:szCs w:val="20"/>
              </w:rPr>
            </w:pPr>
          </w:p>
        </w:tc>
      </w:tr>
      <w:tr w14:paraId="4DB3C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7B41254">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23A78F7E">
            <w:pPr>
              <w:snapToGrid w:val="0"/>
              <w:spacing w:before="156" w:beforeLines="50" w:after="50" w:line="360" w:lineRule="auto"/>
              <w:rPr>
                <w:rFonts w:ascii="宋体" w:hAnsi="宋体"/>
                <w:b/>
                <w:color w:val="auto"/>
                <w:kern w:val="44"/>
                <w:sz w:val="24"/>
                <w:szCs w:val="20"/>
              </w:rPr>
            </w:pPr>
          </w:p>
        </w:tc>
        <w:tc>
          <w:tcPr>
            <w:tcW w:w="1799" w:type="dxa"/>
            <w:tcBorders>
              <w:top w:val="single" w:color="auto" w:sz="4" w:space="0"/>
              <w:left w:val="single" w:color="auto" w:sz="4" w:space="0"/>
              <w:bottom w:val="single" w:color="auto" w:sz="4" w:space="0"/>
              <w:right w:val="single" w:color="auto" w:sz="4" w:space="0"/>
            </w:tcBorders>
          </w:tcPr>
          <w:p w14:paraId="34194559">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5480EE30">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B94477">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79475858">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5402E9D5">
            <w:pPr>
              <w:snapToGrid w:val="0"/>
              <w:spacing w:before="156" w:beforeLines="50" w:after="50" w:line="360" w:lineRule="auto"/>
              <w:rPr>
                <w:rFonts w:ascii="宋体" w:hAnsi="宋体"/>
                <w:b/>
                <w:color w:val="auto"/>
                <w:kern w:val="44"/>
                <w:sz w:val="24"/>
                <w:szCs w:val="20"/>
              </w:rPr>
            </w:pPr>
          </w:p>
        </w:tc>
      </w:tr>
      <w:tr w14:paraId="6F1F4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E46EF07">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715771CF">
            <w:pPr>
              <w:snapToGrid w:val="0"/>
              <w:spacing w:before="156" w:beforeLines="50" w:after="50" w:line="360" w:lineRule="auto"/>
              <w:rPr>
                <w:rFonts w:ascii="宋体" w:hAnsi="宋体"/>
                <w:b/>
                <w:color w:val="auto"/>
                <w:kern w:val="44"/>
                <w:sz w:val="24"/>
                <w:szCs w:val="20"/>
              </w:rPr>
            </w:pPr>
          </w:p>
        </w:tc>
        <w:tc>
          <w:tcPr>
            <w:tcW w:w="1799" w:type="dxa"/>
            <w:tcBorders>
              <w:top w:val="single" w:color="auto" w:sz="4" w:space="0"/>
              <w:left w:val="single" w:color="auto" w:sz="4" w:space="0"/>
              <w:bottom w:val="single" w:color="auto" w:sz="4" w:space="0"/>
              <w:right w:val="single" w:color="auto" w:sz="4" w:space="0"/>
            </w:tcBorders>
          </w:tcPr>
          <w:p w14:paraId="1AFE0763">
            <w:pPr>
              <w:pStyle w:val="7"/>
              <w:snapToGrid w:val="0"/>
              <w:spacing w:before="156" w:beforeLines="50" w:after="50" w:line="360" w:lineRule="auto"/>
              <w:ind w:left="5250"/>
              <w:rPr>
                <w:rFonts w:ascii="宋体" w:hAnsi="宋体" w:eastAsia="宋体"/>
                <w:b/>
                <w:color w:val="auto"/>
                <w:kern w:val="44"/>
              </w:rPr>
            </w:pPr>
          </w:p>
        </w:tc>
        <w:tc>
          <w:tcPr>
            <w:tcW w:w="1276" w:type="dxa"/>
            <w:tcBorders>
              <w:top w:val="single" w:color="auto" w:sz="4" w:space="0"/>
              <w:left w:val="single" w:color="auto" w:sz="4" w:space="0"/>
              <w:bottom w:val="single" w:color="auto" w:sz="4" w:space="0"/>
              <w:right w:val="single" w:color="auto" w:sz="4" w:space="0"/>
            </w:tcBorders>
          </w:tcPr>
          <w:p w14:paraId="4DE0688F">
            <w:pPr>
              <w:pStyle w:val="7"/>
              <w:snapToGrid w:val="0"/>
              <w:spacing w:before="156" w:beforeLines="50" w:after="50" w:line="360" w:lineRule="auto"/>
              <w:ind w:left="5250"/>
              <w:rPr>
                <w:rFonts w:ascii="宋体" w:hAnsi="宋体" w:eastAsia="宋体"/>
                <w:b/>
                <w:color w:val="auto"/>
                <w:kern w:val="44"/>
              </w:rPr>
            </w:pPr>
          </w:p>
        </w:tc>
        <w:tc>
          <w:tcPr>
            <w:tcW w:w="1275" w:type="dxa"/>
            <w:tcBorders>
              <w:top w:val="single" w:color="auto" w:sz="4" w:space="0"/>
              <w:left w:val="single" w:color="auto" w:sz="4" w:space="0"/>
              <w:bottom w:val="single" w:color="auto" w:sz="4" w:space="0"/>
              <w:right w:val="single" w:color="auto" w:sz="4" w:space="0"/>
            </w:tcBorders>
          </w:tcPr>
          <w:p w14:paraId="4E6A4763">
            <w:pPr>
              <w:pStyle w:val="7"/>
              <w:spacing w:line="360" w:lineRule="auto"/>
              <w:ind w:left="5250"/>
              <w:rPr>
                <w:rFonts w:ascii="宋体" w:hAnsi="宋体" w:eastAsia="宋体"/>
                <w:color w:val="auto"/>
              </w:rPr>
            </w:pPr>
          </w:p>
        </w:tc>
        <w:tc>
          <w:tcPr>
            <w:tcW w:w="1418" w:type="dxa"/>
            <w:tcBorders>
              <w:top w:val="single" w:color="auto" w:sz="4" w:space="0"/>
              <w:left w:val="single" w:color="auto" w:sz="4" w:space="0"/>
              <w:bottom w:val="single" w:color="auto" w:sz="4" w:space="0"/>
              <w:right w:val="single" w:color="auto" w:sz="4" w:space="0"/>
            </w:tcBorders>
          </w:tcPr>
          <w:p w14:paraId="1742A67D">
            <w:pPr>
              <w:snapToGrid w:val="0"/>
              <w:spacing w:before="156" w:beforeLines="50" w:after="50" w:line="360" w:lineRule="auto"/>
              <w:rPr>
                <w:rFonts w:ascii="宋体" w:hAnsi="宋体"/>
                <w:color w:val="auto"/>
                <w:sz w:val="24"/>
                <w:szCs w:val="20"/>
              </w:rPr>
            </w:pPr>
          </w:p>
        </w:tc>
        <w:tc>
          <w:tcPr>
            <w:tcW w:w="2126" w:type="dxa"/>
            <w:tcBorders>
              <w:top w:val="single" w:color="auto" w:sz="4" w:space="0"/>
              <w:left w:val="single" w:color="auto" w:sz="4" w:space="0"/>
              <w:bottom w:val="single" w:color="auto" w:sz="4" w:space="0"/>
              <w:right w:val="single" w:color="auto" w:sz="4" w:space="0"/>
            </w:tcBorders>
          </w:tcPr>
          <w:p w14:paraId="0E76B133">
            <w:pPr>
              <w:snapToGrid w:val="0"/>
              <w:spacing w:before="156" w:beforeLines="50" w:after="50" w:line="360" w:lineRule="auto"/>
              <w:rPr>
                <w:rFonts w:ascii="宋体" w:hAnsi="宋体"/>
                <w:b/>
                <w:color w:val="auto"/>
                <w:kern w:val="44"/>
                <w:sz w:val="24"/>
                <w:szCs w:val="20"/>
              </w:rPr>
            </w:pPr>
          </w:p>
        </w:tc>
      </w:tr>
      <w:tr w14:paraId="7169A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E792DA3">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418F1E6F">
            <w:pPr>
              <w:snapToGrid w:val="0"/>
              <w:spacing w:before="156" w:beforeLines="50" w:after="50" w:line="360" w:lineRule="auto"/>
              <w:rPr>
                <w:rFonts w:ascii="宋体" w:hAnsi="宋体"/>
                <w:b/>
                <w:color w:val="auto"/>
                <w:kern w:val="44"/>
                <w:sz w:val="24"/>
                <w:szCs w:val="20"/>
              </w:rPr>
            </w:pPr>
          </w:p>
        </w:tc>
        <w:tc>
          <w:tcPr>
            <w:tcW w:w="1799" w:type="dxa"/>
            <w:tcBorders>
              <w:top w:val="single" w:color="auto" w:sz="4" w:space="0"/>
              <w:left w:val="single" w:color="auto" w:sz="4" w:space="0"/>
              <w:bottom w:val="single" w:color="auto" w:sz="4" w:space="0"/>
              <w:right w:val="single" w:color="auto" w:sz="4" w:space="0"/>
            </w:tcBorders>
          </w:tcPr>
          <w:p w14:paraId="79BE162B">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5C2F5DAE">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937025F">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02F9E45A">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350BF833">
            <w:pPr>
              <w:snapToGrid w:val="0"/>
              <w:spacing w:before="156" w:beforeLines="50" w:after="50" w:line="360" w:lineRule="auto"/>
              <w:rPr>
                <w:rFonts w:ascii="宋体" w:hAnsi="宋体"/>
                <w:b/>
                <w:color w:val="auto"/>
                <w:kern w:val="44"/>
                <w:sz w:val="24"/>
                <w:szCs w:val="20"/>
              </w:rPr>
            </w:pPr>
          </w:p>
        </w:tc>
      </w:tr>
      <w:tr w14:paraId="36E46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6DECB0C">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14:paraId="389ECF87">
            <w:pPr>
              <w:snapToGrid w:val="0"/>
              <w:spacing w:before="156" w:beforeLines="50" w:after="50" w:line="360" w:lineRule="auto"/>
              <w:rPr>
                <w:rFonts w:ascii="宋体" w:hAnsi="宋体"/>
                <w:b/>
                <w:color w:val="auto"/>
                <w:kern w:val="44"/>
                <w:sz w:val="24"/>
                <w:szCs w:val="20"/>
              </w:rPr>
            </w:pPr>
          </w:p>
        </w:tc>
        <w:tc>
          <w:tcPr>
            <w:tcW w:w="1799" w:type="dxa"/>
            <w:tcBorders>
              <w:top w:val="single" w:color="auto" w:sz="4" w:space="0"/>
              <w:left w:val="single" w:color="auto" w:sz="4" w:space="0"/>
              <w:bottom w:val="single" w:color="auto" w:sz="4" w:space="0"/>
              <w:right w:val="single" w:color="auto" w:sz="4" w:space="0"/>
            </w:tcBorders>
          </w:tcPr>
          <w:p w14:paraId="7172D3FA">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197EAC12">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2265FF4">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14:paraId="43E93940">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14:paraId="770FD616">
            <w:pPr>
              <w:snapToGrid w:val="0"/>
              <w:spacing w:before="156" w:beforeLines="50" w:after="50" w:line="360" w:lineRule="auto"/>
              <w:rPr>
                <w:rFonts w:ascii="宋体" w:hAnsi="宋体"/>
                <w:b/>
                <w:color w:val="auto"/>
                <w:kern w:val="44"/>
                <w:sz w:val="24"/>
                <w:szCs w:val="20"/>
              </w:rPr>
            </w:pPr>
          </w:p>
        </w:tc>
      </w:tr>
    </w:tbl>
    <w:p w14:paraId="10B99408">
      <w:pPr>
        <w:spacing w:line="360" w:lineRule="auto"/>
        <w:rPr>
          <w:rFonts w:ascii="宋体" w:hAnsi="宋体"/>
          <w:b/>
          <w:color w:val="auto"/>
          <w:szCs w:val="21"/>
        </w:rPr>
      </w:pPr>
      <w:r>
        <w:rPr>
          <w:rFonts w:hint="eastAsia" w:ascii="宋体" w:hAnsi="宋体"/>
          <w:b/>
          <w:color w:val="auto"/>
          <w:szCs w:val="21"/>
        </w:rPr>
        <w:t>要求：</w:t>
      </w:r>
    </w:p>
    <w:p w14:paraId="7E47D4FE">
      <w:pPr>
        <w:spacing w:line="360" w:lineRule="auto"/>
        <w:ind w:left="437"/>
        <w:rPr>
          <w:rFonts w:ascii="宋体" w:hAnsi="宋体"/>
          <w:color w:val="auto"/>
          <w:szCs w:val="21"/>
        </w:rPr>
      </w:pPr>
      <w:r>
        <w:rPr>
          <w:rFonts w:hint="eastAsia" w:ascii="宋体" w:hAnsi="宋体"/>
          <w:b/>
          <w:color w:val="auto"/>
          <w:szCs w:val="21"/>
        </w:rPr>
        <w:t>1.</w:t>
      </w:r>
      <w:r>
        <w:rPr>
          <w:rFonts w:hint="eastAsia" w:ascii="宋体" w:hAnsi="宋体"/>
          <w:color w:val="auto"/>
          <w:szCs w:val="21"/>
        </w:rPr>
        <w:t>在填写时，如本表格不适合供应商的实际情况，可根据本表格式自行划表填写。</w:t>
      </w:r>
    </w:p>
    <w:p w14:paraId="498E867C">
      <w:pPr>
        <w:pStyle w:val="49"/>
        <w:spacing w:line="360" w:lineRule="auto"/>
        <w:ind w:left="424" w:leftChars="202"/>
        <w:rPr>
          <w:rFonts w:ascii="宋体" w:hAnsi="宋体"/>
          <w:color w:val="auto"/>
          <w:szCs w:val="21"/>
        </w:rPr>
      </w:pPr>
      <w:r>
        <w:rPr>
          <w:rFonts w:hint="eastAsia" w:ascii="宋体" w:hAnsi="宋体"/>
          <w:color w:val="auto"/>
          <w:szCs w:val="21"/>
        </w:rPr>
        <w:t>2.附人员证书原件的扫描件；</w:t>
      </w:r>
    </w:p>
    <w:p w14:paraId="02128BFE">
      <w:pPr>
        <w:pStyle w:val="49"/>
        <w:spacing w:line="360" w:lineRule="auto"/>
        <w:ind w:left="424" w:hanging="424" w:hangingChars="202"/>
        <w:rPr>
          <w:rFonts w:ascii="宋体" w:hAnsi="宋体"/>
          <w:color w:val="auto"/>
          <w:szCs w:val="21"/>
        </w:rPr>
      </w:pPr>
      <w:r>
        <w:rPr>
          <w:rFonts w:hint="eastAsia" w:ascii="宋体" w:hAnsi="宋体"/>
          <w:color w:val="auto"/>
          <w:szCs w:val="21"/>
        </w:rPr>
        <w:t>　　3.出具上述人员在本单位服务的社保证明，按评标办法</w:t>
      </w:r>
      <w:r>
        <w:rPr>
          <w:rFonts w:ascii="宋体" w:hAnsi="宋体"/>
          <w:color w:val="auto"/>
          <w:szCs w:val="21"/>
        </w:rPr>
        <w:t>要求提供</w:t>
      </w:r>
      <w:r>
        <w:rPr>
          <w:rFonts w:hint="eastAsia" w:ascii="宋体" w:hAnsi="宋体"/>
          <w:color w:val="auto"/>
          <w:szCs w:val="21"/>
        </w:rPr>
        <w:t>。</w:t>
      </w:r>
    </w:p>
    <w:p w14:paraId="02A1F4CD">
      <w:pPr>
        <w:snapToGrid w:val="0"/>
        <w:spacing w:before="50" w:after="156" w:afterLines="50" w:line="360" w:lineRule="auto"/>
        <w:jc w:val="left"/>
        <w:rPr>
          <w:rFonts w:ascii="宋体" w:hAnsi="宋体"/>
          <w:color w:val="auto"/>
          <w:sz w:val="24"/>
          <w:szCs w:val="20"/>
        </w:rPr>
      </w:pPr>
    </w:p>
    <w:p w14:paraId="78807AF5">
      <w:pPr>
        <w:spacing w:line="360" w:lineRule="auto"/>
        <w:ind w:left="420"/>
        <w:rPr>
          <w:rFonts w:ascii="宋体" w:hAnsi="宋体"/>
          <w:color w:val="auto"/>
          <w:sz w:val="24"/>
          <w:u w:val="single"/>
        </w:rPr>
      </w:pPr>
      <w:r>
        <w:rPr>
          <w:rFonts w:hint="eastAsia" w:ascii="宋体" w:hAnsi="宋体"/>
          <w:color w:val="auto"/>
          <w:sz w:val="24"/>
        </w:rPr>
        <w:t>磋商供应商名称（公章）：</w:t>
      </w:r>
      <w:r>
        <w:rPr>
          <w:rFonts w:hint="eastAsia" w:ascii="宋体" w:hAnsi="宋体"/>
          <w:color w:val="auto"/>
          <w:sz w:val="24"/>
          <w:u w:val="single"/>
        </w:rPr>
        <w:t xml:space="preserve">                      </w:t>
      </w:r>
    </w:p>
    <w:p w14:paraId="5AA686EF">
      <w:pPr>
        <w:spacing w:line="360" w:lineRule="auto"/>
        <w:ind w:left="420"/>
        <w:rPr>
          <w:rFonts w:ascii="宋体" w:hAnsi="宋体"/>
          <w:color w:val="auto"/>
          <w:sz w:val="24"/>
        </w:rPr>
      </w:pPr>
      <w:r>
        <w:rPr>
          <w:rFonts w:hint="eastAsia" w:ascii="宋体" w:hAnsi="宋体"/>
          <w:color w:val="auto"/>
          <w:sz w:val="24"/>
        </w:rPr>
        <w:t xml:space="preserve"> </w:t>
      </w:r>
    </w:p>
    <w:p w14:paraId="17A48C79">
      <w:pPr>
        <w:spacing w:line="360" w:lineRule="auto"/>
        <w:ind w:firstLine="435"/>
        <w:rPr>
          <w:rFonts w:ascii="宋体" w:hAnsi="宋体"/>
          <w:color w:val="auto"/>
          <w:sz w:val="24"/>
        </w:rPr>
      </w:pPr>
      <w:r>
        <w:rPr>
          <w:rFonts w:hint="eastAsia" w:ascii="宋体" w:hAnsi="宋体"/>
          <w:color w:val="auto"/>
          <w:sz w:val="24"/>
        </w:rPr>
        <w:t>磋商供应商代表签章或签字：</w:t>
      </w:r>
      <w:r>
        <w:rPr>
          <w:rFonts w:hint="eastAsia" w:ascii="宋体" w:hAnsi="宋体"/>
          <w:color w:val="auto"/>
          <w:sz w:val="24"/>
          <w:u w:val="single"/>
        </w:rPr>
        <w:t xml:space="preserve">                          </w:t>
      </w:r>
    </w:p>
    <w:p w14:paraId="0C1D0F44">
      <w:pPr>
        <w:spacing w:line="360" w:lineRule="auto"/>
        <w:ind w:firstLine="435"/>
        <w:rPr>
          <w:rFonts w:ascii="宋体" w:hAnsi="宋体"/>
          <w:color w:val="auto"/>
          <w:sz w:val="24"/>
        </w:rPr>
      </w:pPr>
    </w:p>
    <w:p w14:paraId="70AE3506">
      <w:pPr>
        <w:spacing w:line="360" w:lineRule="auto"/>
        <w:ind w:firstLine="435"/>
        <w:rPr>
          <w:rFonts w:ascii="宋体" w:hAnsi="宋体"/>
          <w:color w:val="auto"/>
          <w:sz w:val="24"/>
        </w:rPr>
      </w:pPr>
      <w:r>
        <w:rPr>
          <w:rFonts w:hint="eastAsia" w:ascii="宋体" w:hAnsi="宋体"/>
          <w:color w:val="auto"/>
          <w:sz w:val="24"/>
        </w:rPr>
        <w:t>职        务：</w:t>
      </w:r>
      <w:r>
        <w:rPr>
          <w:rFonts w:hint="eastAsia" w:ascii="宋体" w:hAnsi="宋体"/>
          <w:color w:val="auto"/>
          <w:sz w:val="24"/>
          <w:u w:val="single"/>
        </w:rPr>
        <w:t xml:space="preserve">                            </w:t>
      </w:r>
    </w:p>
    <w:p w14:paraId="5032DF28">
      <w:pPr>
        <w:spacing w:line="360" w:lineRule="auto"/>
        <w:ind w:firstLine="435"/>
        <w:rPr>
          <w:rFonts w:ascii="宋体" w:hAnsi="宋体"/>
          <w:color w:val="auto"/>
          <w:sz w:val="24"/>
        </w:rPr>
      </w:pPr>
    </w:p>
    <w:p w14:paraId="7DFF9247">
      <w:pPr>
        <w:spacing w:line="360" w:lineRule="auto"/>
        <w:ind w:firstLine="435"/>
        <w:rPr>
          <w:rFonts w:ascii="宋体" w:hAnsi="宋体"/>
          <w:b/>
          <w:color w:val="auto"/>
          <w:sz w:val="28"/>
        </w:rPr>
      </w:pPr>
      <w:r>
        <w:rPr>
          <w:rFonts w:hint="eastAsia" w:ascii="宋体" w:hAnsi="宋体"/>
          <w:color w:val="auto"/>
          <w:sz w:val="24"/>
        </w:rPr>
        <w:t>日        期：</w:t>
      </w:r>
      <w:r>
        <w:rPr>
          <w:rFonts w:hint="eastAsia" w:ascii="宋体" w:hAnsi="宋体"/>
          <w:color w:val="auto"/>
          <w:sz w:val="24"/>
          <w:u w:val="single"/>
        </w:rPr>
        <w:t xml:space="preserve">                            </w:t>
      </w:r>
    </w:p>
    <w:p w14:paraId="23969B32">
      <w:pPr>
        <w:spacing w:line="360" w:lineRule="auto"/>
        <w:ind w:firstLine="993"/>
        <w:rPr>
          <w:rFonts w:ascii="宋体" w:hAnsi="宋体"/>
          <w:color w:val="auto"/>
          <w:sz w:val="24"/>
        </w:rPr>
      </w:pPr>
    </w:p>
    <w:p w14:paraId="3DD58B31">
      <w:pPr>
        <w:snapToGrid w:val="0"/>
        <w:spacing w:before="50" w:after="50" w:line="360" w:lineRule="auto"/>
        <w:rPr>
          <w:rFonts w:ascii="宋体" w:hAnsi="宋体"/>
          <w:b/>
          <w:color w:val="auto"/>
          <w:sz w:val="28"/>
        </w:rPr>
        <w:sectPr>
          <w:pgSz w:w="11906" w:h="16838"/>
          <w:pgMar w:top="1440" w:right="1800" w:bottom="1440" w:left="1800" w:header="851" w:footer="992" w:gutter="0"/>
          <w:pgNumType w:fmt="decimal"/>
          <w:cols w:space="720" w:num="1"/>
          <w:docGrid w:type="lines" w:linePitch="312" w:charSpace="0"/>
        </w:sectPr>
      </w:pPr>
    </w:p>
    <w:p w14:paraId="7CE2E7EA">
      <w:pPr>
        <w:snapToGrid w:val="0"/>
        <w:spacing w:before="50" w:after="50" w:line="360" w:lineRule="auto"/>
        <w:rPr>
          <w:rFonts w:hint="eastAsia" w:ascii="宋体" w:hAnsi="宋体" w:eastAsia="宋体"/>
          <w:b/>
          <w:color w:val="auto"/>
          <w:sz w:val="28"/>
          <w:lang w:eastAsia="zh-CN"/>
        </w:rPr>
      </w:pPr>
      <w:r>
        <w:rPr>
          <w:rFonts w:hint="eastAsia" w:ascii="宋体" w:hAnsi="宋体"/>
          <w:b/>
          <w:color w:val="auto"/>
          <w:sz w:val="28"/>
        </w:rPr>
        <w:t>附件</w:t>
      </w:r>
      <w:r>
        <w:rPr>
          <w:rFonts w:hint="eastAsia" w:ascii="宋体" w:hAnsi="宋体"/>
          <w:b/>
          <w:color w:val="auto"/>
          <w:sz w:val="28"/>
          <w:lang w:val="en-US" w:eastAsia="zh-CN"/>
        </w:rPr>
        <w:t>7</w:t>
      </w:r>
    </w:p>
    <w:p w14:paraId="59080B13">
      <w:pPr>
        <w:spacing w:line="360" w:lineRule="auto"/>
        <w:jc w:val="center"/>
        <w:rPr>
          <w:rFonts w:ascii="宋体" w:hAnsi="宋体"/>
          <w:b/>
          <w:color w:val="auto"/>
          <w:sz w:val="32"/>
          <w:szCs w:val="32"/>
        </w:rPr>
      </w:pPr>
      <w:r>
        <w:rPr>
          <w:rFonts w:hint="eastAsia" w:ascii="宋体" w:hAnsi="宋体"/>
          <w:b/>
          <w:color w:val="auto"/>
          <w:sz w:val="32"/>
          <w:szCs w:val="32"/>
        </w:rPr>
        <w:t>项目负责人简历表</w:t>
      </w:r>
    </w:p>
    <w:tbl>
      <w:tblPr>
        <w:tblStyle w:val="28"/>
        <w:tblW w:w="8345" w:type="dxa"/>
        <w:tblInd w:w="108" w:type="dxa"/>
        <w:tblLayout w:type="fixed"/>
        <w:tblCellMar>
          <w:top w:w="0" w:type="dxa"/>
          <w:left w:w="108" w:type="dxa"/>
          <w:bottom w:w="0" w:type="dxa"/>
          <w:right w:w="108" w:type="dxa"/>
        </w:tblCellMar>
      </w:tblPr>
      <w:tblGrid>
        <w:gridCol w:w="1083"/>
        <w:gridCol w:w="278"/>
        <w:gridCol w:w="661"/>
        <w:gridCol w:w="889"/>
        <w:gridCol w:w="1083"/>
        <w:gridCol w:w="1110"/>
        <w:gridCol w:w="929"/>
        <w:gridCol w:w="967"/>
        <w:gridCol w:w="1345"/>
      </w:tblGrid>
      <w:tr w14:paraId="2754086C">
        <w:tblPrEx>
          <w:tblCellMar>
            <w:top w:w="0" w:type="dxa"/>
            <w:left w:w="108" w:type="dxa"/>
            <w:bottom w:w="0" w:type="dxa"/>
            <w:right w:w="108" w:type="dxa"/>
          </w:tblCellMar>
        </w:tblPrEx>
        <w:trPr>
          <w:trHeight w:val="441" w:hRule="atLeast"/>
        </w:trPr>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7C0E9">
            <w:pPr>
              <w:widowControl/>
              <w:jc w:val="center"/>
              <w:rPr>
                <w:rFonts w:cs="宋体"/>
                <w:color w:val="auto"/>
                <w:kern w:val="0"/>
                <w:sz w:val="24"/>
              </w:rPr>
            </w:pPr>
            <w:r>
              <w:rPr>
                <w:rFonts w:hint="eastAsia" w:cs="宋体"/>
                <w:color w:val="auto"/>
                <w:kern w:val="0"/>
                <w:sz w:val="24"/>
              </w:rPr>
              <w:t>姓名</w:t>
            </w:r>
          </w:p>
        </w:tc>
        <w:tc>
          <w:tcPr>
            <w:tcW w:w="938" w:type="dxa"/>
            <w:gridSpan w:val="2"/>
            <w:tcBorders>
              <w:top w:val="single" w:color="000000" w:sz="4" w:space="0"/>
              <w:left w:val="nil"/>
              <w:bottom w:val="single" w:color="000000" w:sz="4" w:space="0"/>
              <w:right w:val="single" w:color="000000" w:sz="4" w:space="0"/>
            </w:tcBorders>
            <w:shd w:val="clear" w:color="auto" w:fill="FFFFFF"/>
            <w:vAlign w:val="center"/>
          </w:tcPr>
          <w:p w14:paraId="15E19EE7">
            <w:pPr>
              <w:widowControl/>
              <w:jc w:val="center"/>
              <w:rPr>
                <w:rFonts w:cs="宋体"/>
                <w:color w:val="auto"/>
                <w:kern w:val="0"/>
                <w:sz w:val="24"/>
              </w:rPr>
            </w:pPr>
            <w:r>
              <w:rPr>
                <w:rFonts w:hint="eastAsia" w:cs="宋体"/>
                <w:color w:val="auto"/>
                <w:kern w:val="0"/>
                <w:sz w:val="24"/>
              </w:rPr>
              <w:t>　</w:t>
            </w:r>
          </w:p>
        </w:tc>
        <w:tc>
          <w:tcPr>
            <w:tcW w:w="889" w:type="dxa"/>
            <w:tcBorders>
              <w:top w:val="single" w:color="000000" w:sz="4" w:space="0"/>
              <w:left w:val="nil"/>
              <w:bottom w:val="single" w:color="000000" w:sz="4" w:space="0"/>
              <w:right w:val="single" w:color="000000" w:sz="4" w:space="0"/>
            </w:tcBorders>
            <w:shd w:val="clear" w:color="auto" w:fill="FFFFFF"/>
            <w:vAlign w:val="center"/>
          </w:tcPr>
          <w:p w14:paraId="5183CCDC">
            <w:pPr>
              <w:widowControl/>
              <w:jc w:val="center"/>
              <w:rPr>
                <w:rFonts w:cs="宋体"/>
                <w:color w:val="auto"/>
                <w:kern w:val="0"/>
                <w:sz w:val="24"/>
              </w:rPr>
            </w:pPr>
            <w:r>
              <w:rPr>
                <w:rFonts w:hint="eastAsia" w:cs="宋体"/>
                <w:color w:val="auto"/>
                <w:kern w:val="0"/>
                <w:sz w:val="24"/>
              </w:rPr>
              <w:t>性别</w:t>
            </w:r>
          </w:p>
        </w:tc>
        <w:tc>
          <w:tcPr>
            <w:tcW w:w="1083" w:type="dxa"/>
            <w:tcBorders>
              <w:top w:val="single" w:color="000000" w:sz="4" w:space="0"/>
              <w:left w:val="nil"/>
              <w:bottom w:val="single" w:color="000000" w:sz="4" w:space="0"/>
              <w:right w:val="single" w:color="000000" w:sz="4" w:space="0"/>
            </w:tcBorders>
            <w:shd w:val="clear" w:color="auto" w:fill="FFFFFF"/>
            <w:vAlign w:val="center"/>
          </w:tcPr>
          <w:p w14:paraId="756320E3">
            <w:pPr>
              <w:widowControl/>
              <w:jc w:val="center"/>
              <w:rPr>
                <w:rFonts w:cs="宋体"/>
                <w:color w:val="auto"/>
                <w:kern w:val="0"/>
                <w:sz w:val="24"/>
              </w:rPr>
            </w:pPr>
            <w:r>
              <w:rPr>
                <w:rFonts w:hint="eastAsia" w:cs="宋体"/>
                <w:color w:val="auto"/>
                <w:kern w:val="0"/>
                <w:sz w:val="24"/>
              </w:rPr>
              <w:t>　</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02E40844">
            <w:pPr>
              <w:widowControl/>
              <w:jc w:val="center"/>
              <w:rPr>
                <w:rFonts w:cs="宋体"/>
                <w:color w:val="auto"/>
                <w:kern w:val="0"/>
                <w:sz w:val="24"/>
              </w:rPr>
            </w:pPr>
            <w:r>
              <w:rPr>
                <w:rFonts w:hint="eastAsia" w:cs="宋体"/>
                <w:color w:val="auto"/>
                <w:kern w:val="0"/>
                <w:sz w:val="24"/>
              </w:rPr>
              <w:t>年龄</w:t>
            </w:r>
          </w:p>
        </w:tc>
        <w:tc>
          <w:tcPr>
            <w:tcW w:w="928" w:type="dxa"/>
            <w:tcBorders>
              <w:top w:val="single" w:color="000000" w:sz="4" w:space="0"/>
              <w:left w:val="nil"/>
              <w:bottom w:val="single" w:color="000000" w:sz="4" w:space="0"/>
              <w:right w:val="single" w:color="000000" w:sz="4" w:space="0"/>
            </w:tcBorders>
            <w:shd w:val="clear" w:color="auto" w:fill="FFFFFF"/>
            <w:vAlign w:val="center"/>
          </w:tcPr>
          <w:p w14:paraId="344DF98B">
            <w:pPr>
              <w:widowControl/>
              <w:jc w:val="center"/>
              <w:rPr>
                <w:rFonts w:cs="宋体"/>
                <w:color w:val="auto"/>
                <w:kern w:val="0"/>
                <w:sz w:val="24"/>
              </w:rPr>
            </w:pPr>
            <w:r>
              <w:rPr>
                <w:rFonts w:hint="eastAsia" w:cs="宋体"/>
                <w:color w:val="auto"/>
                <w:kern w:val="0"/>
                <w:sz w:val="24"/>
              </w:rPr>
              <w:t>　</w:t>
            </w:r>
          </w:p>
        </w:tc>
        <w:tc>
          <w:tcPr>
            <w:tcW w:w="966" w:type="dxa"/>
            <w:tcBorders>
              <w:top w:val="single" w:color="000000" w:sz="4" w:space="0"/>
              <w:left w:val="nil"/>
              <w:bottom w:val="single" w:color="000000" w:sz="4" w:space="0"/>
              <w:right w:val="single" w:color="000000" w:sz="4" w:space="0"/>
            </w:tcBorders>
            <w:shd w:val="clear" w:color="auto" w:fill="FFFFFF"/>
            <w:vAlign w:val="center"/>
          </w:tcPr>
          <w:p w14:paraId="50A3005B">
            <w:pPr>
              <w:widowControl/>
              <w:jc w:val="center"/>
              <w:rPr>
                <w:rFonts w:cs="宋体"/>
                <w:color w:val="auto"/>
                <w:kern w:val="0"/>
                <w:sz w:val="24"/>
              </w:rPr>
            </w:pPr>
            <w:r>
              <w:rPr>
                <w:rFonts w:hint="eastAsia" w:cs="宋体"/>
                <w:color w:val="auto"/>
                <w:kern w:val="0"/>
                <w:sz w:val="24"/>
              </w:rPr>
              <w:t>专业</w:t>
            </w:r>
          </w:p>
        </w:tc>
        <w:tc>
          <w:tcPr>
            <w:tcW w:w="1345" w:type="dxa"/>
            <w:tcBorders>
              <w:top w:val="single" w:color="000000" w:sz="4" w:space="0"/>
              <w:left w:val="nil"/>
              <w:bottom w:val="single" w:color="000000" w:sz="4" w:space="0"/>
              <w:right w:val="single" w:color="000000" w:sz="4" w:space="0"/>
            </w:tcBorders>
            <w:shd w:val="clear" w:color="auto" w:fill="FFFFFF"/>
            <w:vAlign w:val="center"/>
          </w:tcPr>
          <w:p w14:paraId="3B4A8DEA">
            <w:pPr>
              <w:widowControl/>
              <w:jc w:val="center"/>
              <w:rPr>
                <w:rFonts w:cs="宋体"/>
                <w:color w:val="auto"/>
                <w:kern w:val="0"/>
                <w:sz w:val="24"/>
              </w:rPr>
            </w:pPr>
            <w:r>
              <w:rPr>
                <w:rFonts w:hint="eastAsia" w:cs="宋体"/>
                <w:color w:val="auto"/>
                <w:kern w:val="0"/>
                <w:sz w:val="24"/>
              </w:rPr>
              <w:t>　</w:t>
            </w:r>
          </w:p>
        </w:tc>
      </w:tr>
      <w:tr w14:paraId="5E4F48B1">
        <w:tblPrEx>
          <w:tblCellMar>
            <w:top w:w="0" w:type="dxa"/>
            <w:left w:w="108" w:type="dxa"/>
            <w:bottom w:w="0" w:type="dxa"/>
            <w:right w:w="108" w:type="dxa"/>
          </w:tblCellMar>
        </w:tblPrEx>
        <w:trPr>
          <w:trHeight w:val="454" w:hRule="atLeast"/>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F89F29">
            <w:pPr>
              <w:widowControl/>
              <w:jc w:val="center"/>
              <w:rPr>
                <w:rFonts w:cs="宋体"/>
                <w:color w:val="auto"/>
                <w:kern w:val="0"/>
                <w:sz w:val="24"/>
              </w:rPr>
            </w:pPr>
            <w:r>
              <w:rPr>
                <w:rFonts w:hint="eastAsia" w:cs="宋体"/>
                <w:color w:val="auto"/>
                <w:kern w:val="0"/>
                <w:sz w:val="24"/>
              </w:rPr>
              <w:t>资质等级</w:t>
            </w:r>
          </w:p>
        </w:tc>
        <w:tc>
          <w:tcPr>
            <w:tcW w:w="1550" w:type="dxa"/>
            <w:gridSpan w:val="2"/>
            <w:tcBorders>
              <w:top w:val="single" w:color="000000" w:sz="4" w:space="0"/>
              <w:left w:val="nil"/>
              <w:bottom w:val="single" w:color="000000" w:sz="4" w:space="0"/>
              <w:right w:val="single" w:color="000000" w:sz="4" w:space="0"/>
            </w:tcBorders>
            <w:shd w:val="clear" w:color="auto" w:fill="FFFFFF"/>
            <w:vAlign w:val="center"/>
          </w:tcPr>
          <w:p w14:paraId="56F85192">
            <w:pPr>
              <w:widowControl/>
              <w:jc w:val="center"/>
              <w:rPr>
                <w:rFonts w:cs="宋体"/>
                <w:color w:val="auto"/>
                <w:kern w:val="0"/>
                <w:sz w:val="24"/>
              </w:rPr>
            </w:pPr>
            <w:r>
              <w:rPr>
                <w:rFonts w:hint="eastAsia" w:cs="宋体"/>
                <w:color w:val="auto"/>
                <w:kern w:val="0"/>
                <w:sz w:val="24"/>
              </w:rPr>
              <w:t>　</w:t>
            </w:r>
          </w:p>
        </w:tc>
        <w:tc>
          <w:tcPr>
            <w:tcW w:w="1083" w:type="dxa"/>
            <w:tcBorders>
              <w:top w:val="nil"/>
              <w:left w:val="nil"/>
              <w:bottom w:val="single" w:color="000000" w:sz="4" w:space="0"/>
              <w:right w:val="single" w:color="000000" w:sz="4" w:space="0"/>
            </w:tcBorders>
            <w:shd w:val="clear" w:color="auto" w:fill="FFFFFF"/>
            <w:vAlign w:val="center"/>
          </w:tcPr>
          <w:p w14:paraId="5B3361B2">
            <w:pPr>
              <w:widowControl/>
              <w:jc w:val="center"/>
              <w:rPr>
                <w:rFonts w:cs="宋体"/>
                <w:color w:val="auto"/>
                <w:kern w:val="0"/>
                <w:sz w:val="24"/>
              </w:rPr>
            </w:pPr>
            <w:r>
              <w:rPr>
                <w:rFonts w:hint="eastAsia" w:cs="宋体"/>
                <w:color w:val="auto"/>
                <w:kern w:val="0"/>
                <w:sz w:val="24"/>
              </w:rPr>
              <w:t>职称</w:t>
            </w:r>
          </w:p>
        </w:tc>
        <w:tc>
          <w:tcPr>
            <w:tcW w:w="2039" w:type="dxa"/>
            <w:gridSpan w:val="2"/>
            <w:tcBorders>
              <w:top w:val="single" w:color="000000" w:sz="4" w:space="0"/>
              <w:left w:val="nil"/>
              <w:bottom w:val="single" w:color="000000" w:sz="4" w:space="0"/>
              <w:right w:val="single" w:color="000000" w:sz="4" w:space="0"/>
            </w:tcBorders>
            <w:shd w:val="clear" w:color="auto" w:fill="FFFFFF"/>
            <w:vAlign w:val="center"/>
          </w:tcPr>
          <w:p w14:paraId="3B087C24">
            <w:pPr>
              <w:widowControl/>
              <w:jc w:val="center"/>
              <w:rPr>
                <w:rFonts w:cs="宋体"/>
                <w:color w:val="auto"/>
                <w:kern w:val="0"/>
                <w:sz w:val="24"/>
              </w:rPr>
            </w:pPr>
            <w:r>
              <w:rPr>
                <w:rFonts w:hint="eastAsia" w:cs="宋体"/>
                <w:color w:val="auto"/>
                <w:kern w:val="0"/>
                <w:sz w:val="24"/>
              </w:rPr>
              <w:t>　</w:t>
            </w:r>
          </w:p>
        </w:tc>
        <w:tc>
          <w:tcPr>
            <w:tcW w:w="966" w:type="dxa"/>
            <w:tcBorders>
              <w:top w:val="nil"/>
              <w:left w:val="nil"/>
              <w:bottom w:val="single" w:color="000000" w:sz="4" w:space="0"/>
              <w:right w:val="single" w:color="000000" w:sz="4" w:space="0"/>
            </w:tcBorders>
            <w:shd w:val="clear" w:color="auto" w:fill="FFFFFF"/>
            <w:vAlign w:val="center"/>
          </w:tcPr>
          <w:p w14:paraId="552FA9DF">
            <w:pPr>
              <w:widowControl/>
              <w:jc w:val="center"/>
              <w:rPr>
                <w:rFonts w:cs="宋体"/>
                <w:color w:val="auto"/>
                <w:kern w:val="0"/>
                <w:sz w:val="24"/>
              </w:rPr>
            </w:pPr>
            <w:r>
              <w:rPr>
                <w:rFonts w:hint="eastAsia" w:cs="宋体"/>
                <w:color w:val="auto"/>
                <w:kern w:val="0"/>
                <w:sz w:val="24"/>
              </w:rPr>
              <w:t>学历</w:t>
            </w:r>
          </w:p>
        </w:tc>
        <w:tc>
          <w:tcPr>
            <w:tcW w:w="1345" w:type="dxa"/>
            <w:tcBorders>
              <w:top w:val="nil"/>
              <w:left w:val="nil"/>
              <w:bottom w:val="single" w:color="000000" w:sz="4" w:space="0"/>
              <w:right w:val="single" w:color="000000" w:sz="4" w:space="0"/>
            </w:tcBorders>
            <w:shd w:val="clear" w:color="auto" w:fill="FFFFFF"/>
            <w:vAlign w:val="center"/>
          </w:tcPr>
          <w:p w14:paraId="0355197B">
            <w:pPr>
              <w:widowControl/>
              <w:jc w:val="center"/>
              <w:rPr>
                <w:rFonts w:cs="宋体"/>
                <w:color w:val="auto"/>
                <w:kern w:val="0"/>
                <w:sz w:val="24"/>
              </w:rPr>
            </w:pPr>
            <w:r>
              <w:rPr>
                <w:rFonts w:hint="eastAsia" w:cs="宋体"/>
                <w:color w:val="auto"/>
                <w:kern w:val="0"/>
                <w:sz w:val="24"/>
              </w:rPr>
              <w:t>　</w:t>
            </w:r>
          </w:p>
        </w:tc>
      </w:tr>
      <w:tr w14:paraId="0C09B566">
        <w:tblPrEx>
          <w:tblCellMar>
            <w:top w:w="0" w:type="dxa"/>
            <w:left w:w="108" w:type="dxa"/>
            <w:bottom w:w="0" w:type="dxa"/>
            <w:right w:w="108" w:type="dxa"/>
          </w:tblCellMar>
        </w:tblPrEx>
        <w:trPr>
          <w:trHeight w:val="465" w:hRule="atLeast"/>
        </w:trPr>
        <w:tc>
          <w:tcPr>
            <w:tcW w:w="20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7587C6">
            <w:pPr>
              <w:widowControl/>
              <w:jc w:val="center"/>
              <w:rPr>
                <w:rFonts w:cs="宋体"/>
                <w:color w:val="auto"/>
                <w:kern w:val="0"/>
                <w:sz w:val="24"/>
              </w:rPr>
            </w:pPr>
            <w:r>
              <w:rPr>
                <w:rFonts w:hint="eastAsia" w:cs="宋体"/>
                <w:color w:val="auto"/>
                <w:kern w:val="0"/>
                <w:sz w:val="24"/>
              </w:rPr>
              <w:t>参加工作时间</w:t>
            </w:r>
          </w:p>
        </w:tc>
        <w:tc>
          <w:tcPr>
            <w:tcW w:w="1972" w:type="dxa"/>
            <w:gridSpan w:val="2"/>
            <w:tcBorders>
              <w:top w:val="single" w:color="000000" w:sz="4" w:space="0"/>
              <w:left w:val="nil"/>
              <w:bottom w:val="single" w:color="000000" w:sz="4" w:space="0"/>
              <w:right w:val="single" w:color="000000" w:sz="4" w:space="0"/>
            </w:tcBorders>
            <w:shd w:val="clear" w:color="auto" w:fill="FFFFFF"/>
            <w:vAlign w:val="center"/>
          </w:tcPr>
          <w:p w14:paraId="3EE39155">
            <w:pPr>
              <w:widowControl/>
              <w:ind w:leftChars="-137" w:hanging="288" w:hangingChars="120"/>
              <w:jc w:val="left"/>
              <w:rPr>
                <w:rFonts w:cs="宋体"/>
                <w:color w:val="auto"/>
                <w:kern w:val="0"/>
                <w:sz w:val="24"/>
              </w:rPr>
            </w:pPr>
            <w:r>
              <w:rPr>
                <w:rFonts w:hint="eastAsia" w:cs="宋体"/>
                <w:color w:val="auto"/>
                <w:kern w:val="0"/>
                <w:sz w:val="24"/>
              </w:rPr>
              <w:t>　</w:t>
            </w:r>
          </w:p>
        </w:tc>
        <w:tc>
          <w:tcPr>
            <w:tcW w:w="3006" w:type="dxa"/>
            <w:gridSpan w:val="3"/>
            <w:tcBorders>
              <w:top w:val="single" w:color="000000" w:sz="4" w:space="0"/>
              <w:left w:val="nil"/>
              <w:bottom w:val="single" w:color="000000" w:sz="4" w:space="0"/>
              <w:right w:val="single" w:color="000000" w:sz="4" w:space="0"/>
            </w:tcBorders>
            <w:shd w:val="clear" w:color="auto" w:fill="FFFFFF"/>
            <w:vAlign w:val="center"/>
          </w:tcPr>
          <w:p w14:paraId="501B85CF">
            <w:pPr>
              <w:widowControl/>
              <w:jc w:val="center"/>
              <w:rPr>
                <w:rFonts w:cs="宋体"/>
                <w:color w:val="auto"/>
                <w:kern w:val="0"/>
                <w:sz w:val="24"/>
              </w:rPr>
            </w:pPr>
            <w:r>
              <w:rPr>
                <w:rFonts w:hint="eastAsia" w:cs="宋体"/>
                <w:color w:val="auto"/>
                <w:kern w:val="0"/>
                <w:sz w:val="24"/>
              </w:rPr>
              <w:t>从事项目负责人年限</w:t>
            </w:r>
          </w:p>
        </w:tc>
        <w:tc>
          <w:tcPr>
            <w:tcW w:w="1345" w:type="dxa"/>
            <w:tcBorders>
              <w:top w:val="nil"/>
              <w:left w:val="nil"/>
              <w:bottom w:val="single" w:color="000000" w:sz="4" w:space="0"/>
              <w:right w:val="single" w:color="000000" w:sz="4" w:space="0"/>
            </w:tcBorders>
            <w:shd w:val="clear" w:color="auto" w:fill="FFFFFF"/>
            <w:vAlign w:val="center"/>
          </w:tcPr>
          <w:p w14:paraId="56E317E5">
            <w:pPr>
              <w:widowControl/>
              <w:jc w:val="left"/>
              <w:rPr>
                <w:rFonts w:cs="宋体"/>
                <w:color w:val="auto"/>
                <w:kern w:val="0"/>
                <w:sz w:val="24"/>
              </w:rPr>
            </w:pPr>
            <w:r>
              <w:rPr>
                <w:rFonts w:hint="eastAsia" w:cs="宋体"/>
                <w:color w:val="auto"/>
                <w:kern w:val="0"/>
                <w:sz w:val="24"/>
              </w:rPr>
              <w:t>　</w:t>
            </w:r>
          </w:p>
        </w:tc>
      </w:tr>
      <w:tr w14:paraId="6071DD3F">
        <w:tblPrEx>
          <w:tblCellMar>
            <w:top w:w="0" w:type="dxa"/>
            <w:left w:w="108" w:type="dxa"/>
            <w:bottom w:w="0" w:type="dxa"/>
            <w:right w:w="108" w:type="dxa"/>
          </w:tblCellMar>
        </w:tblPrEx>
        <w:trPr>
          <w:trHeight w:val="476" w:hRule="atLeast"/>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70E72F">
            <w:pPr>
              <w:widowControl/>
              <w:jc w:val="center"/>
              <w:rPr>
                <w:rFonts w:cs="宋体"/>
                <w:color w:val="auto"/>
                <w:kern w:val="0"/>
                <w:sz w:val="24"/>
              </w:rPr>
            </w:pPr>
            <w:r>
              <w:rPr>
                <w:rFonts w:hint="eastAsia" w:cs="宋体"/>
                <w:color w:val="auto"/>
                <w:kern w:val="0"/>
                <w:sz w:val="24"/>
              </w:rPr>
              <w:t>证书号</w:t>
            </w:r>
          </w:p>
        </w:tc>
        <w:tc>
          <w:tcPr>
            <w:tcW w:w="2633" w:type="dxa"/>
            <w:gridSpan w:val="3"/>
            <w:tcBorders>
              <w:top w:val="single" w:color="000000" w:sz="4" w:space="0"/>
              <w:left w:val="nil"/>
              <w:bottom w:val="single" w:color="000000" w:sz="4" w:space="0"/>
              <w:right w:val="single" w:color="000000" w:sz="4" w:space="0"/>
            </w:tcBorders>
            <w:shd w:val="clear" w:color="auto" w:fill="FFFFFF"/>
            <w:vAlign w:val="center"/>
          </w:tcPr>
          <w:p w14:paraId="6299E33C">
            <w:pPr>
              <w:widowControl/>
              <w:jc w:val="center"/>
              <w:rPr>
                <w:rFonts w:cs="宋体"/>
                <w:color w:val="auto"/>
                <w:kern w:val="0"/>
                <w:sz w:val="24"/>
              </w:rPr>
            </w:pPr>
            <w:r>
              <w:rPr>
                <w:rFonts w:hint="eastAsia" w:cs="宋体"/>
                <w:color w:val="auto"/>
                <w:kern w:val="0"/>
                <w:sz w:val="24"/>
              </w:rPr>
              <w:t>　</w:t>
            </w:r>
          </w:p>
        </w:tc>
        <w:tc>
          <w:tcPr>
            <w:tcW w:w="1110" w:type="dxa"/>
            <w:tcBorders>
              <w:top w:val="nil"/>
              <w:left w:val="nil"/>
              <w:bottom w:val="single" w:color="000000" w:sz="4" w:space="0"/>
              <w:right w:val="single" w:color="000000" w:sz="4" w:space="0"/>
            </w:tcBorders>
            <w:shd w:val="clear" w:color="auto" w:fill="FFFFFF"/>
            <w:vAlign w:val="center"/>
          </w:tcPr>
          <w:p w14:paraId="69C68294">
            <w:pPr>
              <w:widowControl/>
              <w:jc w:val="center"/>
              <w:rPr>
                <w:rFonts w:cs="宋体"/>
                <w:color w:val="auto"/>
                <w:kern w:val="0"/>
                <w:sz w:val="24"/>
              </w:rPr>
            </w:pPr>
            <w:r>
              <w:rPr>
                <w:rFonts w:hint="eastAsia" w:cs="宋体"/>
                <w:color w:val="auto"/>
                <w:kern w:val="0"/>
                <w:sz w:val="24"/>
              </w:rPr>
              <w:t>身份证</w:t>
            </w:r>
          </w:p>
        </w:tc>
        <w:tc>
          <w:tcPr>
            <w:tcW w:w="3240" w:type="dxa"/>
            <w:gridSpan w:val="3"/>
            <w:tcBorders>
              <w:top w:val="single" w:color="000000" w:sz="4" w:space="0"/>
              <w:left w:val="nil"/>
              <w:bottom w:val="single" w:color="000000" w:sz="4" w:space="0"/>
              <w:right w:val="single" w:color="000000" w:sz="4" w:space="0"/>
            </w:tcBorders>
            <w:shd w:val="clear" w:color="auto" w:fill="FFFFFF"/>
            <w:vAlign w:val="center"/>
          </w:tcPr>
          <w:p w14:paraId="35341D33">
            <w:pPr>
              <w:widowControl/>
              <w:jc w:val="center"/>
              <w:rPr>
                <w:rFonts w:cs="宋体"/>
                <w:color w:val="auto"/>
                <w:kern w:val="0"/>
                <w:sz w:val="24"/>
              </w:rPr>
            </w:pPr>
            <w:r>
              <w:rPr>
                <w:rFonts w:hint="eastAsia" w:cs="宋体"/>
                <w:color w:val="auto"/>
                <w:kern w:val="0"/>
                <w:sz w:val="24"/>
              </w:rPr>
              <w:t>　</w:t>
            </w:r>
          </w:p>
        </w:tc>
      </w:tr>
      <w:tr w14:paraId="683D7A55">
        <w:tblPrEx>
          <w:tblCellMar>
            <w:top w:w="0" w:type="dxa"/>
            <w:left w:w="108" w:type="dxa"/>
            <w:bottom w:w="0" w:type="dxa"/>
            <w:right w:w="108" w:type="dxa"/>
          </w:tblCellMar>
        </w:tblPrEx>
        <w:trPr>
          <w:trHeight w:val="6881" w:hRule="atLeast"/>
        </w:trPr>
        <w:tc>
          <w:tcPr>
            <w:tcW w:w="1083" w:type="dxa"/>
            <w:vMerge w:val="restart"/>
            <w:tcBorders>
              <w:top w:val="nil"/>
              <w:left w:val="single" w:color="000000" w:sz="4" w:space="0"/>
              <w:bottom w:val="single" w:color="000000" w:sz="4" w:space="0"/>
              <w:right w:val="single" w:color="000000" w:sz="4" w:space="0"/>
            </w:tcBorders>
            <w:shd w:val="clear" w:color="auto" w:fill="FFFFFF"/>
            <w:vAlign w:val="center"/>
          </w:tcPr>
          <w:p w14:paraId="316790EE">
            <w:pPr>
              <w:widowControl/>
              <w:jc w:val="center"/>
              <w:rPr>
                <w:rFonts w:cs="宋体"/>
                <w:color w:val="auto"/>
                <w:kern w:val="0"/>
                <w:sz w:val="24"/>
              </w:rPr>
            </w:pPr>
            <w:r>
              <w:rPr>
                <w:rFonts w:hint="eastAsia" w:cs="宋体"/>
                <w:color w:val="auto"/>
                <w:kern w:val="0"/>
                <w:sz w:val="24"/>
              </w:rPr>
              <w:t>简</w:t>
            </w:r>
          </w:p>
          <w:p w14:paraId="459E48B2">
            <w:pPr>
              <w:widowControl/>
              <w:jc w:val="center"/>
              <w:rPr>
                <w:rFonts w:cs="宋体"/>
                <w:color w:val="auto"/>
                <w:kern w:val="0"/>
                <w:sz w:val="24"/>
              </w:rPr>
            </w:pPr>
          </w:p>
          <w:p w14:paraId="1BB3261B">
            <w:pPr>
              <w:widowControl/>
              <w:jc w:val="center"/>
              <w:rPr>
                <w:rFonts w:cs="宋体"/>
                <w:color w:val="auto"/>
                <w:kern w:val="0"/>
                <w:sz w:val="24"/>
              </w:rPr>
            </w:pPr>
          </w:p>
          <w:p w14:paraId="2B5071B9">
            <w:pPr>
              <w:widowControl/>
              <w:jc w:val="center"/>
              <w:rPr>
                <w:rFonts w:cs="宋体"/>
                <w:color w:val="auto"/>
                <w:kern w:val="0"/>
                <w:sz w:val="24"/>
              </w:rPr>
            </w:pPr>
          </w:p>
          <w:p w14:paraId="077DC206">
            <w:pPr>
              <w:widowControl/>
              <w:jc w:val="center"/>
              <w:rPr>
                <w:rFonts w:cs="宋体"/>
                <w:color w:val="auto"/>
                <w:kern w:val="0"/>
                <w:sz w:val="24"/>
              </w:rPr>
            </w:pPr>
          </w:p>
          <w:p w14:paraId="22D5828C">
            <w:pPr>
              <w:widowControl/>
              <w:jc w:val="center"/>
              <w:rPr>
                <w:rFonts w:cs="宋体"/>
                <w:color w:val="auto"/>
                <w:kern w:val="0"/>
                <w:sz w:val="24"/>
              </w:rPr>
            </w:pPr>
          </w:p>
          <w:p w14:paraId="3AC3CBA8">
            <w:pPr>
              <w:widowControl/>
              <w:jc w:val="center"/>
              <w:rPr>
                <w:rFonts w:cs="宋体"/>
                <w:color w:val="auto"/>
                <w:kern w:val="0"/>
                <w:sz w:val="24"/>
              </w:rPr>
            </w:pPr>
            <w:r>
              <w:rPr>
                <w:rFonts w:hint="eastAsia" w:cs="宋体"/>
                <w:color w:val="auto"/>
                <w:kern w:val="0"/>
                <w:sz w:val="24"/>
              </w:rPr>
              <w:t>历</w:t>
            </w:r>
          </w:p>
        </w:tc>
        <w:tc>
          <w:tcPr>
            <w:tcW w:w="726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2C4F7F49">
            <w:pPr>
              <w:widowControl/>
              <w:jc w:val="left"/>
              <w:rPr>
                <w:rFonts w:cs="宋体"/>
                <w:color w:val="auto"/>
                <w:kern w:val="0"/>
                <w:sz w:val="24"/>
              </w:rPr>
            </w:pPr>
          </w:p>
        </w:tc>
      </w:tr>
      <w:tr w14:paraId="3A0FB71C">
        <w:tblPrEx>
          <w:tblCellMar>
            <w:top w:w="0" w:type="dxa"/>
            <w:left w:w="108" w:type="dxa"/>
            <w:bottom w:w="0" w:type="dxa"/>
            <w:right w:w="108" w:type="dxa"/>
          </w:tblCellMar>
        </w:tblPrEx>
        <w:trPr>
          <w:trHeight w:val="312" w:hRule="atLeast"/>
        </w:trPr>
        <w:tc>
          <w:tcPr>
            <w:tcW w:w="1083" w:type="dxa"/>
            <w:vMerge w:val="continue"/>
            <w:tcBorders>
              <w:top w:val="nil"/>
              <w:left w:val="single" w:color="000000" w:sz="4" w:space="0"/>
              <w:bottom w:val="single" w:color="000000" w:sz="4" w:space="0"/>
              <w:right w:val="single" w:color="000000" w:sz="4" w:space="0"/>
            </w:tcBorders>
            <w:vAlign w:val="center"/>
          </w:tcPr>
          <w:p w14:paraId="60592919">
            <w:pPr>
              <w:widowControl/>
              <w:jc w:val="left"/>
              <w:rPr>
                <w:rFonts w:cs="宋体"/>
                <w:color w:val="auto"/>
                <w:kern w:val="0"/>
                <w:sz w:val="22"/>
                <w:szCs w:val="22"/>
              </w:rPr>
            </w:pPr>
          </w:p>
        </w:tc>
        <w:tc>
          <w:tcPr>
            <w:tcW w:w="7262"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7CAA098B">
            <w:pPr>
              <w:widowControl/>
              <w:jc w:val="left"/>
              <w:rPr>
                <w:rFonts w:cs="宋体"/>
                <w:color w:val="auto"/>
                <w:kern w:val="0"/>
                <w:sz w:val="22"/>
                <w:szCs w:val="22"/>
              </w:rPr>
            </w:pPr>
          </w:p>
        </w:tc>
      </w:tr>
    </w:tbl>
    <w:p w14:paraId="36836861">
      <w:pPr>
        <w:ind w:firstLine="424" w:firstLineChars="177"/>
        <w:rPr>
          <w:rFonts w:ascii="宋体" w:hAnsi="宋体"/>
          <w:color w:val="auto"/>
          <w:sz w:val="24"/>
        </w:rPr>
      </w:pPr>
    </w:p>
    <w:p w14:paraId="643BF717">
      <w:pPr>
        <w:ind w:firstLine="424" w:firstLineChars="177"/>
        <w:rPr>
          <w:rFonts w:ascii="宋体" w:hAnsi="宋体"/>
          <w:color w:val="auto"/>
          <w:sz w:val="24"/>
          <w:u w:val="single"/>
        </w:rPr>
      </w:pPr>
      <w:r>
        <w:rPr>
          <w:rFonts w:hint="eastAsia" w:ascii="宋体" w:hAnsi="宋体"/>
          <w:color w:val="auto"/>
          <w:sz w:val="24"/>
        </w:rPr>
        <w:t>磋商供应商名称（公章）：</w:t>
      </w:r>
      <w:r>
        <w:rPr>
          <w:rFonts w:hint="eastAsia" w:ascii="宋体" w:hAnsi="宋体"/>
          <w:color w:val="auto"/>
          <w:sz w:val="24"/>
          <w:u w:val="single"/>
        </w:rPr>
        <w:t xml:space="preserve">                       </w:t>
      </w:r>
    </w:p>
    <w:p w14:paraId="57F42975">
      <w:pPr>
        <w:ind w:left="420"/>
        <w:rPr>
          <w:rFonts w:ascii="宋体" w:hAnsi="宋体"/>
          <w:color w:val="auto"/>
          <w:sz w:val="24"/>
        </w:rPr>
      </w:pPr>
    </w:p>
    <w:p w14:paraId="656DC090">
      <w:pPr>
        <w:ind w:firstLine="424" w:firstLineChars="177"/>
        <w:rPr>
          <w:rFonts w:ascii="宋体" w:hAnsi="宋体"/>
          <w:color w:val="auto"/>
          <w:sz w:val="24"/>
        </w:rPr>
      </w:pPr>
      <w:r>
        <w:rPr>
          <w:rFonts w:hint="eastAsia" w:ascii="宋体" w:hAnsi="宋体"/>
          <w:color w:val="auto"/>
          <w:sz w:val="24"/>
        </w:rPr>
        <w:t>磋商供应商代表签章或签字：</w:t>
      </w:r>
      <w:r>
        <w:rPr>
          <w:rFonts w:hint="eastAsia" w:ascii="宋体" w:hAnsi="宋体"/>
          <w:color w:val="auto"/>
          <w:sz w:val="24"/>
          <w:u w:val="single"/>
        </w:rPr>
        <w:t xml:space="preserve">                          </w:t>
      </w:r>
    </w:p>
    <w:p w14:paraId="6B329FDB">
      <w:pPr>
        <w:spacing w:line="360" w:lineRule="exact"/>
        <w:rPr>
          <w:rFonts w:ascii="宋体" w:hAnsi="宋体"/>
          <w:color w:val="auto"/>
          <w:sz w:val="24"/>
        </w:rPr>
      </w:pPr>
    </w:p>
    <w:p w14:paraId="36CB9D3C">
      <w:pPr>
        <w:spacing w:line="360" w:lineRule="auto"/>
        <w:ind w:left="42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3E86F020">
      <w:pPr>
        <w:spacing w:line="360" w:lineRule="auto"/>
        <w:rPr>
          <w:rFonts w:ascii="宋体" w:hAnsi="宋体"/>
          <w:color w:val="auto"/>
          <w:sz w:val="24"/>
        </w:rPr>
      </w:pPr>
    </w:p>
    <w:p w14:paraId="6B8F89F4">
      <w:pPr>
        <w:spacing w:line="360" w:lineRule="auto"/>
        <w:ind w:left="420"/>
        <w:rPr>
          <w:rFonts w:ascii="宋体" w:hAnsi="宋体"/>
          <w:color w:val="auto"/>
          <w:sz w:val="24"/>
        </w:rPr>
      </w:pPr>
    </w:p>
    <w:p w14:paraId="3E48646F">
      <w:pPr>
        <w:pStyle w:val="6"/>
        <w:adjustRightInd w:val="0"/>
        <w:snapToGrid w:val="0"/>
        <w:spacing w:line="360" w:lineRule="auto"/>
        <w:jc w:val="center"/>
        <w:rPr>
          <w:rFonts w:ascii="宋体" w:hAnsi="宋体" w:eastAsia="宋体"/>
          <w:b/>
          <w:color w:val="auto"/>
          <w:sz w:val="32"/>
          <w:szCs w:val="32"/>
        </w:rPr>
        <w:sectPr>
          <w:pgSz w:w="11906" w:h="16838"/>
          <w:pgMar w:top="1440" w:right="1800" w:bottom="1440" w:left="1800" w:header="851" w:footer="992" w:gutter="0"/>
          <w:pgNumType w:fmt="decimal"/>
          <w:cols w:space="720" w:num="1"/>
          <w:docGrid w:type="lines" w:linePitch="312" w:charSpace="0"/>
        </w:sectPr>
      </w:pPr>
    </w:p>
    <w:p w14:paraId="6C068BA7">
      <w:pPr>
        <w:ind w:right="-296" w:rightChars="-141"/>
        <w:jc w:val="left"/>
        <w:rPr>
          <w:rFonts w:hint="eastAsia" w:ascii="宋体" w:hAnsi="宋体" w:eastAsia="宋体"/>
          <w:b/>
          <w:color w:val="auto"/>
          <w:sz w:val="32"/>
          <w:szCs w:val="32"/>
          <w:lang w:eastAsia="zh-CN"/>
        </w:rPr>
      </w:pPr>
      <w:r>
        <w:rPr>
          <w:rFonts w:hint="eastAsia" w:ascii="宋体" w:hAnsi="宋体"/>
          <w:b/>
          <w:color w:val="auto"/>
          <w:sz w:val="32"/>
          <w:szCs w:val="32"/>
        </w:rPr>
        <w:t>附件</w:t>
      </w:r>
      <w:r>
        <w:rPr>
          <w:rFonts w:hint="eastAsia" w:ascii="宋体" w:hAnsi="宋体"/>
          <w:b/>
          <w:color w:val="auto"/>
          <w:sz w:val="32"/>
          <w:szCs w:val="32"/>
          <w:lang w:val="en-US" w:eastAsia="zh-CN"/>
        </w:rPr>
        <w:t>8</w:t>
      </w:r>
    </w:p>
    <w:p w14:paraId="5868D0C2">
      <w:pPr>
        <w:ind w:right="-296" w:rightChars="-141"/>
        <w:jc w:val="center"/>
        <w:rPr>
          <w:rFonts w:ascii="宋体" w:hAnsi="宋体"/>
          <w:bCs/>
          <w:color w:val="auto"/>
          <w:sz w:val="32"/>
          <w:szCs w:val="32"/>
        </w:rPr>
      </w:pPr>
      <w:r>
        <w:rPr>
          <w:rFonts w:hint="eastAsia" w:ascii="宋体" w:hAnsi="宋体"/>
          <w:bCs/>
          <w:color w:val="auto"/>
          <w:sz w:val="32"/>
          <w:szCs w:val="32"/>
        </w:rPr>
        <w:t>作业机械、设备一览表</w:t>
      </w:r>
    </w:p>
    <w:tbl>
      <w:tblPr>
        <w:tblStyle w:val="28"/>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767130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ED466">
            <w:pPr>
              <w:widowControl/>
              <w:jc w:val="center"/>
              <w:rPr>
                <w:rFonts w:cs="宋体"/>
                <w:color w:val="auto"/>
                <w:kern w:val="0"/>
                <w:sz w:val="22"/>
                <w:szCs w:val="22"/>
              </w:rPr>
            </w:pPr>
            <w:r>
              <w:rPr>
                <w:rFonts w:hint="eastAsia" w:cs="宋体"/>
                <w:color w:val="auto"/>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32BF6B4">
            <w:pPr>
              <w:widowControl/>
              <w:jc w:val="center"/>
              <w:rPr>
                <w:rFonts w:cs="宋体"/>
                <w:color w:val="auto"/>
                <w:kern w:val="0"/>
                <w:sz w:val="22"/>
                <w:szCs w:val="22"/>
              </w:rPr>
            </w:pPr>
            <w:r>
              <w:rPr>
                <w:rFonts w:hint="eastAsia" w:cs="宋体"/>
                <w:color w:val="auto"/>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6E1EF7C">
            <w:pPr>
              <w:widowControl/>
              <w:jc w:val="center"/>
              <w:rPr>
                <w:rFonts w:cs="宋体"/>
                <w:color w:val="auto"/>
                <w:kern w:val="0"/>
                <w:sz w:val="22"/>
                <w:szCs w:val="22"/>
              </w:rPr>
            </w:pPr>
            <w:r>
              <w:rPr>
                <w:rFonts w:hint="eastAsia" w:cs="宋体"/>
                <w:color w:val="auto"/>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2B2D5E0">
            <w:pPr>
              <w:widowControl/>
              <w:jc w:val="center"/>
              <w:rPr>
                <w:rFonts w:cs="宋体"/>
                <w:color w:val="auto"/>
                <w:kern w:val="0"/>
                <w:sz w:val="22"/>
                <w:szCs w:val="22"/>
              </w:rPr>
            </w:pPr>
            <w:r>
              <w:rPr>
                <w:rFonts w:hint="eastAsia" w:cs="宋体"/>
                <w:color w:val="auto"/>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687E64A">
            <w:pPr>
              <w:widowControl/>
              <w:jc w:val="center"/>
              <w:rPr>
                <w:rFonts w:cs="宋体"/>
                <w:color w:val="auto"/>
                <w:kern w:val="0"/>
                <w:sz w:val="22"/>
                <w:szCs w:val="22"/>
              </w:rPr>
            </w:pPr>
            <w:r>
              <w:rPr>
                <w:rFonts w:hint="eastAsia" w:cs="宋体"/>
                <w:color w:val="auto"/>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9E29291">
            <w:pPr>
              <w:widowControl/>
              <w:jc w:val="center"/>
              <w:rPr>
                <w:rFonts w:cs="宋体"/>
                <w:color w:val="auto"/>
                <w:kern w:val="0"/>
                <w:sz w:val="22"/>
                <w:szCs w:val="22"/>
              </w:rPr>
            </w:pPr>
            <w:r>
              <w:rPr>
                <w:rFonts w:hint="eastAsia" w:cs="宋体"/>
                <w:color w:val="auto"/>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A085A0C">
            <w:pPr>
              <w:widowControl/>
              <w:jc w:val="center"/>
              <w:rPr>
                <w:rFonts w:cs="宋体"/>
                <w:color w:val="auto"/>
                <w:kern w:val="0"/>
                <w:sz w:val="22"/>
                <w:szCs w:val="22"/>
              </w:rPr>
            </w:pPr>
            <w:r>
              <w:rPr>
                <w:rFonts w:hint="eastAsia" w:cs="宋体"/>
                <w:color w:val="auto"/>
                <w:kern w:val="0"/>
                <w:sz w:val="22"/>
                <w:szCs w:val="22"/>
              </w:rPr>
              <w:t>备注</w:t>
            </w:r>
          </w:p>
        </w:tc>
      </w:tr>
      <w:tr w14:paraId="0D702DF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5F1EB">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B20D9A6">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98D74CE">
            <w:pPr>
              <w:widowControl/>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094474A">
            <w:pPr>
              <w:widowControl/>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6BB1B8B">
            <w:pPr>
              <w:widowControl/>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AD400B4">
            <w:pPr>
              <w:widowControl/>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83873D5">
            <w:pPr>
              <w:widowControl/>
              <w:jc w:val="center"/>
              <w:rPr>
                <w:rFonts w:cs="宋体"/>
                <w:color w:val="auto"/>
                <w:kern w:val="0"/>
                <w:sz w:val="22"/>
                <w:szCs w:val="22"/>
              </w:rPr>
            </w:pPr>
          </w:p>
        </w:tc>
      </w:tr>
      <w:tr w14:paraId="5D8457D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724EB">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F96B1F0">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B5930F2">
            <w:pPr>
              <w:widowControl/>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2996C89">
            <w:pPr>
              <w:widowControl/>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D1903C7">
            <w:pPr>
              <w:widowControl/>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9B8913F">
            <w:pPr>
              <w:widowControl/>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29A8DEF">
            <w:pPr>
              <w:widowControl/>
              <w:jc w:val="center"/>
              <w:rPr>
                <w:rFonts w:cs="宋体"/>
                <w:color w:val="auto"/>
                <w:kern w:val="0"/>
                <w:sz w:val="22"/>
                <w:szCs w:val="22"/>
              </w:rPr>
            </w:pPr>
          </w:p>
        </w:tc>
      </w:tr>
      <w:tr w14:paraId="2602A70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BE014">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A18B4F5">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776AAC">
            <w:pPr>
              <w:widowControl/>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8A07C7F">
            <w:pPr>
              <w:widowControl/>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C9B1148">
            <w:pPr>
              <w:widowControl/>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2E4F1BE">
            <w:pPr>
              <w:widowControl/>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3119D90">
            <w:pPr>
              <w:widowControl/>
              <w:jc w:val="center"/>
              <w:rPr>
                <w:rFonts w:cs="宋体"/>
                <w:color w:val="auto"/>
                <w:kern w:val="0"/>
                <w:sz w:val="22"/>
                <w:szCs w:val="22"/>
              </w:rPr>
            </w:pPr>
          </w:p>
        </w:tc>
      </w:tr>
      <w:tr w14:paraId="3DC524C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8180F">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C0789E3">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19E2B3B">
            <w:pPr>
              <w:widowControl/>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8126D49">
            <w:pPr>
              <w:widowControl/>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02A3760">
            <w:pPr>
              <w:widowControl/>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A27BC5D">
            <w:pPr>
              <w:widowControl/>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DF3318C">
            <w:pPr>
              <w:widowControl/>
              <w:jc w:val="center"/>
              <w:rPr>
                <w:rFonts w:cs="宋体"/>
                <w:color w:val="auto"/>
                <w:kern w:val="0"/>
                <w:sz w:val="22"/>
                <w:szCs w:val="22"/>
              </w:rPr>
            </w:pPr>
          </w:p>
        </w:tc>
      </w:tr>
      <w:tr w14:paraId="02C46F7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52C7D">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56668A3">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F00BD57">
            <w:pPr>
              <w:widowControl/>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1E64209">
            <w:pPr>
              <w:widowControl/>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0EC6A1C">
            <w:pPr>
              <w:widowControl/>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9DD8A3D">
            <w:pPr>
              <w:widowControl/>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8107B42">
            <w:pPr>
              <w:widowControl/>
              <w:jc w:val="center"/>
              <w:rPr>
                <w:rFonts w:cs="宋体"/>
                <w:color w:val="auto"/>
                <w:kern w:val="0"/>
                <w:sz w:val="22"/>
                <w:szCs w:val="22"/>
              </w:rPr>
            </w:pPr>
          </w:p>
        </w:tc>
      </w:tr>
      <w:tr w14:paraId="0FF9DF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51C2">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CF8A30F">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AC5E142">
            <w:pPr>
              <w:widowControl/>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4DE7D93">
            <w:pPr>
              <w:widowControl/>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E12675F">
            <w:pPr>
              <w:widowControl/>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9809344">
            <w:pPr>
              <w:widowControl/>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0050C92">
            <w:pPr>
              <w:widowControl/>
              <w:jc w:val="center"/>
              <w:rPr>
                <w:rFonts w:cs="宋体"/>
                <w:color w:val="auto"/>
                <w:kern w:val="0"/>
                <w:sz w:val="22"/>
                <w:szCs w:val="22"/>
              </w:rPr>
            </w:pPr>
          </w:p>
        </w:tc>
      </w:tr>
      <w:tr w14:paraId="4489D28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40CA3">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9AFF803">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C37082D">
            <w:pPr>
              <w:widowControl/>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F347482">
            <w:pPr>
              <w:widowControl/>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528428C">
            <w:pPr>
              <w:widowControl/>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B094A2C">
            <w:pPr>
              <w:widowControl/>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20E019C">
            <w:pPr>
              <w:widowControl/>
              <w:jc w:val="center"/>
              <w:rPr>
                <w:rFonts w:cs="宋体"/>
                <w:color w:val="auto"/>
                <w:kern w:val="0"/>
                <w:sz w:val="22"/>
                <w:szCs w:val="22"/>
              </w:rPr>
            </w:pPr>
          </w:p>
        </w:tc>
      </w:tr>
      <w:tr w14:paraId="44D5228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BB20">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F93AC4F">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2ADC863">
            <w:pPr>
              <w:widowControl/>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50074C6">
            <w:pPr>
              <w:widowControl/>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8443BEE">
            <w:pPr>
              <w:widowControl/>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C328B77">
            <w:pPr>
              <w:widowControl/>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55AF747">
            <w:pPr>
              <w:widowControl/>
              <w:jc w:val="center"/>
              <w:rPr>
                <w:rFonts w:cs="宋体"/>
                <w:color w:val="auto"/>
                <w:kern w:val="0"/>
                <w:sz w:val="22"/>
                <w:szCs w:val="22"/>
              </w:rPr>
            </w:pPr>
          </w:p>
        </w:tc>
      </w:tr>
      <w:tr w14:paraId="20AFE00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E400">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BFA8438">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CB619DD">
            <w:pPr>
              <w:widowControl/>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EF66630">
            <w:pPr>
              <w:widowControl/>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5523328">
            <w:pPr>
              <w:widowControl/>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15D834C">
            <w:pPr>
              <w:widowControl/>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6FEC806">
            <w:pPr>
              <w:widowControl/>
              <w:jc w:val="center"/>
              <w:rPr>
                <w:rFonts w:cs="宋体"/>
                <w:color w:val="auto"/>
                <w:kern w:val="0"/>
                <w:sz w:val="22"/>
                <w:szCs w:val="22"/>
              </w:rPr>
            </w:pPr>
          </w:p>
        </w:tc>
      </w:tr>
      <w:tr w14:paraId="6FA0634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4EE77">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48A8448">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FCA5DB5">
            <w:pPr>
              <w:widowControl/>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C20D616">
            <w:pPr>
              <w:widowControl/>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A1BEAFD">
            <w:pPr>
              <w:widowControl/>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1D9F389">
            <w:pPr>
              <w:widowControl/>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4591B3C">
            <w:pPr>
              <w:widowControl/>
              <w:jc w:val="center"/>
              <w:rPr>
                <w:rFonts w:cs="宋体"/>
                <w:color w:val="auto"/>
                <w:kern w:val="0"/>
                <w:sz w:val="22"/>
                <w:szCs w:val="22"/>
              </w:rPr>
            </w:pPr>
          </w:p>
        </w:tc>
      </w:tr>
      <w:tr w14:paraId="22D2AB0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65FA">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86473C">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01183FD">
            <w:pPr>
              <w:widowControl/>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D1E134C">
            <w:pPr>
              <w:widowControl/>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D54D5EA">
            <w:pPr>
              <w:widowControl/>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56B919B">
            <w:pPr>
              <w:widowControl/>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C587084">
            <w:pPr>
              <w:widowControl/>
              <w:jc w:val="center"/>
              <w:rPr>
                <w:rFonts w:cs="宋体"/>
                <w:color w:val="auto"/>
                <w:kern w:val="0"/>
                <w:sz w:val="22"/>
                <w:szCs w:val="22"/>
              </w:rPr>
            </w:pPr>
          </w:p>
        </w:tc>
      </w:tr>
      <w:tr w14:paraId="3B1B034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B279A">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41DA415">
            <w:pPr>
              <w:widowControl/>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BB435C4">
            <w:pPr>
              <w:widowControl/>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CF9D45A">
            <w:pPr>
              <w:widowControl/>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2ED5F17">
            <w:pPr>
              <w:widowControl/>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274B8C5">
            <w:pPr>
              <w:widowControl/>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FF36EA2">
            <w:pPr>
              <w:widowControl/>
              <w:jc w:val="center"/>
              <w:rPr>
                <w:rFonts w:cs="宋体"/>
                <w:color w:val="auto"/>
                <w:kern w:val="0"/>
                <w:sz w:val="22"/>
                <w:szCs w:val="22"/>
              </w:rPr>
            </w:pPr>
          </w:p>
        </w:tc>
      </w:tr>
    </w:tbl>
    <w:p w14:paraId="4D366BDD">
      <w:pPr>
        <w:spacing w:line="320" w:lineRule="exact"/>
        <w:ind w:left="420"/>
        <w:rPr>
          <w:rFonts w:ascii="宋体" w:hAnsi="宋体"/>
          <w:color w:val="auto"/>
          <w:sz w:val="24"/>
        </w:rPr>
      </w:pPr>
    </w:p>
    <w:p w14:paraId="6BFD336B">
      <w:pPr>
        <w:spacing w:line="320" w:lineRule="exact"/>
        <w:ind w:left="420"/>
        <w:rPr>
          <w:rFonts w:ascii="宋体" w:hAnsi="宋体"/>
          <w:color w:val="auto"/>
          <w:sz w:val="24"/>
          <w:u w:val="single"/>
        </w:rPr>
      </w:pPr>
      <w:r>
        <w:rPr>
          <w:rFonts w:hint="eastAsia" w:ascii="宋体" w:hAnsi="宋体"/>
          <w:color w:val="auto"/>
          <w:sz w:val="24"/>
        </w:rPr>
        <w:t>投标人（盖章）：</w:t>
      </w:r>
      <w:r>
        <w:rPr>
          <w:rFonts w:hint="eastAsia" w:ascii="宋体" w:hAnsi="宋体"/>
          <w:color w:val="auto"/>
          <w:sz w:val="24"/>
          <w:u w:val="single"/>
        </w:rPr>
        <w:t xml:space="preserve">                     </w:t>
      </w:r>
    </w:p>
    <w:p w14:paraId="23EE41E2">
      <w:pPr>
        <w:spacing w:line="320" w:lineRule="exact"/>
        <w:ind w:left="420"/>
        <w:rPr>
          <w:rFonts w:ascii="宋体" w:hAnsi="宋体"/>
          <w:color w:val="auto"/>
          <w:sz w:val="24"/>
        </w:rPr>
      </w:pPr>
    </w:p>
    <w:p w14:paraId="0C885DB4">
      <w:pPr>
        <w:spacing w:line="320" w:lineRule="exact"/>
        <w:ind w:firstLine="435"/>
        <w:rPr>
          <w:rFonts w:ascii="宋体" w:hAnsi="宋体"/>
          <w:color w:val="auto"/>
          <w:sz w:val="24"/>
        </w:rPr>
      </w:pPr>
      <w:r>
        <w:rPr>
          <w:rFonts w:hint="eastAsia" w:ascii="宋体" w:hAnsi="宋体"/>
          <w:color w:val="auto"/>
          <w:sz w:val="24"/>
        </w:rPr>
        <w:t>法定代表人或授权委托人（签字或盖章）：</w:t>
      </w:r>
      <w:r>
        <w:rPr>
          <w:rFonts w:hint="eastAsia" w:ascii="宋体" w:hAnsi="宋体"/>
          <w:color w:val="auto"/>
          <w:sz w:val="24"/>
          <w:u w:val="single"/>
        </w:rPr>
        <w:t xml:space="preserve">                         </w:t>
      </w:r>
    </w:p>
    <w:p w14:paraId="7BC800EC">
      <w:pPr>
        <w:spacing w:line="320" w:lineRule="exact"/>
        <w:ind w:firstLine="435"/>
        <w:rPr>
          <w:rFonts w:ascii="宋体" w:hAnsi="宋体"/>
          <w:color w:val="auto"/>
          <w:sz w:val="24"/>
        </w:rPr>
      </w:pPr>
    </w:p>
    <w:p w14:paraId="08CB5FF2">
      <w:pPr>
        <w:spacing w:line="320" w:lineRule="exact"/>
        <w:ind w:firstLine="480" w:firstLineChars="200"/>
        <w:rPr>
          <w:rFonts w:ascii="宋体" w:hAnsi="宋体"/>
          <w:color w:val="auto"/>
        </w:rPr>
        <w:sectPr>
          <w:pgSz w:w="11906" w:h="16838"/>
          <w:pgMar w:top="1440" w:right="1800" w:bottom="1440" w:left="1800" w:header="851" w:footer="992" w:gutter="0"/>
          <w:pgNumType w:fmt="decimal"/>
          <w:cols w:space="720" w:num="1"/>
          <w:docGrid w:type="lines" w:linePitch="312" w:charSpace="0"/>
        </w:sectPr>
      </w:pPr>
      <w:r>
        <w:rPr>
          <w:rFonts w:hint="eastAsia" w:ascii="宋体" w:hAnsi="宋体"/>
          <w:color w:val="auto"/>
          <w:sz w:val="24"/>
        </w:rPr>
        <w:t>日        期：</w:t>
      </w:r>
      <w:r>
        <w:rPr>
          <w:rFonts w:hint="eastAsia" w:ascii="宋体" w:hAnsi="宋体"/>
          <w:color w:val="auto"/>
          <w:sz w:val="24"/>
          <w:u w:val="single"/>
        </w:rPr>
        <w:t xml:space="preserve">                             </w:t>
      </w:r>
    </w:p>
    <w:p w14:paraId="04CEB9E8">
      <w:pPr>
        <w:pStyle w:val="6"/>
        <w:adjustRightInd w:val="0"/>
        <w:snapToGrid w:val="0"/>
        <w:spacing w:line="360" w:lineRule="auto"/>
        <w:jc w:val="left"/>
        <w:rPr>
          <w:rFonts w:hint="eastAsia" w:ascii="宋体" w:hAnsi="宋体" w:eastAsia="宋体"/>
          <w:b/>
          <w:color w:val="auto"/>
          <w:sz w:val="32"/>
          <w:szCs w:val="32"/>
          <w:lang w:eastAsia="zh-CN"/>
        </w:rPr>
      </w:pPr>
      <w:r>
        <w:rPr>
          <w:rFonts w:ascii="宋体" w:hAnsi="宋体" w:eastAsia="宋体"/>
          <w:b/>
          <w:color w:val="auto"/>
          <w:sz w:val="32"/>
          <w:szCs w:val="32"/>
        </w:rPr>
        <w:t>附件</w:t>
      </w:r>
      <w:r>
        <w:rPr>
          <w:rFonts w:hint="eastAsia" w:ascii="宋体" w:hAnsi="宋体" w:eastAsia="宋体"/>
          <w:b/>
          <w:color w:val="auto"/>
          <w:sz w:val="32"/>
          <w:szCs w:val="32"/>
          <w:lang w:val="en-US" w:eastAsia="zh-CN"/>
        </w:rPr>
        <w:t>9</w:t>
      </w:r>
    </w:p>
    <w:p w14:paraId="5C88082F">
      <w:pPr>
        <w:autoSpaceDE w:val="0"/>
        <w:autoSpaceDN w:val="0"/>
        <w:adjustRightInd w:val="0"/>
        <w:snapToGrid w:val="0"/>
        <w:spacing w:line="288" w:lineRule="auto"/>
        <w:ind w:firstLine="361" w:firstLineChars="100"/>
        <w:jc w:val="center"/>
        <w:textAlignment w:val="bottom"/>
        <w:rPr>
          <w:rFonts w:ascii="宋体" w:hAnsi="宋体" w:cs="Arial"/>
          <w:b/>
          <w:bCs/>
          <w:color w:val="auto"/>
          <w:szCs w:val="21"/>
        </w:rPr>
      </w:pPr>
      <w:r>
        <w:rPr>
          <w:rFonts w:hint="eastAsia" w:ascii="黑体" w:hAnsi="宋体" w:eastAsia="黑体"/>
          <w:b/>
          <w:bCs/>
          <w:color w:val="auto"/>
          <w:sz w:val="36"/>
          <w:szCs w:val="22"/>
        </w:rPr>
        <w:t>投标品牌匹配一览表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685"/>
        <w:gridCol w:w="3690"/>
        <w:gridCol w:w="1403"/>
      </w:tblGrid>
      <w:tr w14:paraId="6275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53B968ED">
            <w:pPr>
              <w:spacing w:line="360" w:lineRule="auto"/>
              <w:rPr>
                <w:rFonts w:eastAsiaTheme="minorEastAsia"/>
                <w:color w:val="auto"/>
              </w:rPr>
            </w:pPr>
            <w:r>
              <w:rPr>
                <w:rFonts w:hint="eastAsia"/>
                <w:color w:val="auto"/>
              </w:rPr>
              <w:t>序号</w:t>
            </w:r>
          </w:p>
        </w:tc>
        <w:tc>
          <w:tcPr>
            <w:tcW w:w="2685" w:type="dxa"/>
          </w:tcPr>
          <w:p w14:paraId="01640112">
            <w:pPr>
              <w:spacing w:line="360" w:lineRule="auto"/>
              <w:jc w:val="center"/>
              <w:rPr>
                <w:rFonts w:eastAsiaTheme="minorEastAsia"/>
                <w:color w:val="auto"/>
              </w:rPr>
            </w:pPr>
            <w:r>
              <w:rPr>
                <w:rFonts w:hint="eastAsia"/>
                <w:color w:val="auto"/>
              </w:rPr>
              <w:t>材料名称</w:t>
            </w:r>
          </w:p>
        </w:tc>
        <w:tc>
          <w:tcPr>
            <w:tcW w:w="3690" w:type="dxa"/>
          </w:tcPr>
          <w:p w14:paraId="1053003B">
            <w:pPr>
              <w:spacing w:line="360" w:lineRule="auto"/>
              <w:jc w:val="center"/>
              <w:rPr>
                <w:rFonts w:eastAsiaTheme="minorEastAsia"/>
                <w:color w:val="auto"/>
              </w:rPr>
            </w:pPr>
            <w:r>
              <w:rPr>
                <w:rFonts w:hint="eastAsia"/>
                <w:color w:val="auto"/>
              </w:rPr>
              <w:t>备选品牌或厂家</w:t>
            </w:r>
          </w:p>
        </w:tc>
        <w:tc>
          <w:tcPr>
            <w:tcW w:w="1403" w:type="dxa"/>
          </w:tcPr>
          <w:p w14:paraId="4E2ABB2E">
            <w:pPr>
              <w:spacing w:line="360" w:lineRule="auto"/>
              <w:jc w:val="center"/>
              <w:rPr>
                <w:rFonts w:eastAsiaTheme="minorEastAsia"/>
                <w:color w:val="auto"/>
                <w:lang w:eastAsia="zh-Hans"/>
              </w:rPr>
            </w:pPr>
            <w:r>
              <w:rPr>
                <w:rFonts w:hint="eastAsia" w:eastAsiaTheme="minorEastAsia"/>
                <w:color w:val="auto"/>
                <w:lang w:eastAsia="zh-Hans"/>
              </w:rPr>
              <w:t>投标品牌</w:t>
            </w:r>
          </w:p>
        </w:tc>
      </w:tr>
      <w:tr w14:paraId="25E7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5A5037EC">
            <w:pPr>
              <w:spacing w:line="360" w:lineRule="auto"/>
              <w:jc w:val="center"/>
              <w:rPr>
                <w:rFonts w:eastAsiaTheme="minorEastAsia"/>
                <w:color w:val="auto"/>
              </w:rPr>
            </w:pPr>
            <w:r>
              <w:rPr>
                <w:rFonts w:hint="eastAsia"/>
                <w:color w:val="auto"/>
              </w:rPr>
              <w:t>1</w:t>
            </w:r>
          </w:p>
        </w:tc>
        <w:tc>
          <w:tcPr>
            <w:tcW w:w="2685" w:type="dxa"/>
          </w:tcPr>
          <w:p w14:paraId="33482706">
            <w:pPr>
              <w:spacing w:line="360" w:lineRule="auto"/>
              <w:jc w:val="left"/>
              <w:rPr>
                <w:rFonts w:eastAsiaTheme="minorEastAsia"/>
                <w:color w:val="auto"/>
              </w:rPr>
            </w:pPr>
          </w:p>
        </w:tc>
        <w:tc>
          <w:tcPr>
            <w:tcW w:w="3690" w:type="dxa"/>
          </w:tcPr>
          <w:p w14:paraId="7C656166">
            <w:pPr>
              <w:spacing w:line="360" w:lineRule="auto"/>
              <w:rPr>
                <w:rFonts w:eastAsiaTheme="minorEastAsia"/>
                <w:color w:val="auto"/>
              </w:rPr>
            </w:pPr>
          </w:p>
        </w:tc>
        <w:tc>
          <w:tcPr>
            <w:tcW w:w="1403" w:type="dxa"/>
          </w:tcPr>
          <w:p w14:paraId="4C94872D">
            <w:pPr>
              <w:spacing w:line="360" w:lineRule="auto"/>
              <w:rPr>
                <w:color w:val="auto"/>
              </w:rPr>
            </w:pPr>
          </w:p>
        </w:tc>
      </w:tr>
      <w:tr w14:paraId="7413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45FD8FA7">
            <w:pPr>
              <w:spacing w:line="360" w:lineRule="auto"/>
              <w:jc w:val="center"/>
              <w:rPr>
                <w:rFonts w:eastAsiaTheme="minorEastAsia"/>
                <w:color w:val="auto"/>
              </w:rPr>
            </w:pPr>
            <w:r>
              <w:rPr>
                <w:rFonts w:hint="eastAsia"/>
                <w:color w:val="auto"/>
              </w:rPr>
              <w:t>2</w:t>
            </w:r>
          </w:p>
        </w:tc>
        <w:tc>
          <w:tcPr>
            <w:tcW w:w="2685" w:type="dxa"/>
          </w:tcPr>
          <w:p w14:paraId="166ACEBB">
            <w:pPr>
              <w:spacing w:line="360" w:lineRule="auto"/>
              <w:jc w:val="left"/>
              <w:rPr>
                <w:rFonts w:eastAsiaTheme="minorEastAsia"/>
                <w:color w:val="auto"/>
              </w:rPr>
            </w:pPr>
          </w:p>
        </w:tc>
        <w:tc>
          <w:tcPr>
            <w:tcW w:w="3690" w:type="dxa"/>
          </w:tcPr>
          <w:p w14:paraId="0CDBB505">
            <w:pPr>
              <w:spacing w:line="360" w:lineRule="auto"/>
              <w:rPr>
                <w:rFonts w:eastAsiaTheme="minorEastAsia"/>
                <w:color w:val="auto"/>
              </w:rPr>
            </w:pPr>
          </w:p>
        </w:tc>
        <w:tc>
          <w:tcPr>
            <w:tcW w:w="1403" w:type="dxa"/>
          </w:tcPr>
          <w:p w14:paraId="31A4E4C7">
            <w:pPr>
              <w:spacing w:line="360" w:lineRule="auto"/>
              <w:rPr>
                <w:color w:val="auto"/>
              </w:rPr>
            </w:pPr>
          </w:p>
        </w:tc>
      </w:tr>
      <w:tr w14:paraId="4E32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5C7F2E9B">
            <w:pPr>
              <w:spacing w:line="360" w:lineRule="auto"/>
              <w:jc w:val="center"/>
              <w:rPr>
                <w:rFonts w:eastAsiaTheme="minorEastAsia"/>
                <w:color w:val="auto"/>
              </w:rPr>
            </w:pPr>
            <w:r>
              <w:rPr>
                <w:rFonts w:hint="eastAsia"/>
                <w:color w:val="auto"/>
              </w:rPr>
              <w:t>3</w:t>
            </w:r>
          </w:p>
        </w:tc>
        <w:tc>
          <w:tcPr>
            <w:tcW w:w="2685" w:type="dxa"/>
          </w:tcPr>
          <w:p w14:paraId="321CEAD7">
            <w:pPr>
              <w:spacing w:line="360" w:lineRule="auto"/>
              <w:jc w:val="left"/>
              <w:rPr>
                <w:rFonts w:eastAsiaTheme="minorEastAsia"/>
                <w:color w:val="auto"/>
              </w:rPr>
            </w:pPr>
          </w:p>
        </w:tc>
        <w:tc>
          <w:tcPr>
            <w:tcW w:w="3690" w:type="dxa"/>
          </w:tcPr>
          <w:p w14:paraId="2E903907">
            <w:pPr>
              <w:spacing w:line="360" w:lineRule="auto"/>
              <w:rPr>
                <w:rFonts w:eastAsiaTheme="minorEastAsia"/>
                <w:color w:val="auto"/>
              </w:rPr>
            </w:pPr>
          </w:p>
        </w:tc>
        <w:tc>
          <w:tcPr>
            <w:tcW w:w="1403" w:type="dxa"/>
          </w:tcPr>
          <w:p w14:paraId="023476C6">
            <w:pPr>
              <w:spacing w:line="360" w:lineRule="auto"/>
              <w:rPr>
                <w:color w:val="auto"/>
              </w:rPr>
            </w:pPr>
          </w:p>
        </w:tc>
      </w:tr>
      <w:tr w14:paraId="4218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4FCFBBAD">
            <w:pPr>
              <w:spacing w:line="360" w:lineRule="auto"/>
              <w:jc w:val="center"/>
              <w:rPr>
                <w:rFonts w:eastAsiaTheme="minorEastAsia"/>
                <w:color w:val="auto"/>
              </w:rPr>
            </w:pPr>
            <w:r>
              <w:rPr>
                <w:rFonts w:hint="eastAsia"/>
                <w:color w:val="auto"/>
              </w:rPr>
              <w:t>4</w:t>
            </w:r>
          </w:p>
        </w:tc>
        <w:tc>
          <w:tcPr>
            <w:tcW w:w="2685" w:type="dxa"/>
          </w:tcPr>
          <w:p w14:paraId="2E71D580">
            <w:pPr>
              <w:spacing w:line="360" w:lineRule="auto"/>
              <w:jc w:val="left"/>
              <w:rPr>
                <w:rFonts w:eastAsiaTheme="minorEastAsia"/>
                <w:color w:val="auto"/>
              </w:rPr>
            </w:pPr>
          </w:p>
        </w:tc>
        <w:tc>
          <w:tcPr>
            <w:tcW w:w="3690" w:type="dxa"/>
          </w:tcPr>
          <w:p w14:paraId="2872D2A5">
            <w:pPr>
              <w:spacing w:line="360" w:lineRule="auto"/>
              <w:rPr>
                <w:rFonts w:eastAsiaTheme="minorEastAsia"/>
                <w:color w:val="auto"/>
              </w:rPr>
            </w:pPr>
          </w:p>
        </w:tc>
        <w:tc>
          <w:tcPr>
            <w:tcW w:w="1403" w:type="dxa"/>
          </w:tcPr>
          <w:p w14:paraId="03F065C8">
            <w:pPr>
              <w:spacing w:line="360" w:lineRule="auto"/>
              <w:rPr>
                <w:color w:val="auto"/>
              </w:rPr>
            </w:pPr>
          </w:p>
        </w:tc>
      </w:tr>
      <w:tr w14:paraId="0A28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02AC455">
            <w:pPr>
              <w:spacing w:line="360" w:lineRule="auto"/>
              <w:jc w:val="center"/>
              <w:rPr>
                <w:rFonts w:eastAsiaTheme="minorEastAsia"/>
                <w:color w:val="auto"/>
              </w:rPr>
            </w:pPr>
            <w:r>
              <w:rPr>
                <w:rFonts w:hint="eastAsia"/>
                <w:color w:val="auto"/>
              </w:rPr>
              <w:t>5</w:t>
            </w:r>
          </w:p>
        </w:tc>
        <w:tc>
          <w:tcPr>
            <w:tcW w:w="2685" w:type="dxa"/>
          </w:tcPr>
          <w:p w14:paraId="7937C776">
            <w:pPr>
              <w:spacing w:line="360" w:lineRule="auto"/>
              <w:jc w:val="left"/>
              <w:rPr>
                <w:rFonts w:eastAsiaTheme="minorEastAsia"/>
                <w:color w:val="auto"/>
              </w:rPr>
            </w:pPr>
          </w:p>
        </w:tc>
        <w:tc>
          <w:tcPr>
            <w:tcW w:w="3690" w:type="dxa"/>
          </w:tcPr>
          <w:p w14:paraId="46E518E3">
            <w:pPr>
              <w:spacing w:line="360" w:lineRule="auto"/>
              <w:rPr>
                <w:rFonts w:eastAsiaTheme="minorEastAsia"/>
                <w:color w:val="auto"/>
              </w:rPr>
            </w:pPr>
          </w:p>
        </w:tc>
        <w:tc>
          <w:tcPr>
            <w:tcW w:w="1403" w:type="dxa"/>
          </w:tcPr>
          <w:p w14:paraId="256AD236">
            <w:pPr>
              <w:spacing w:line="360" w:lineRule="auto"/>
              <w:rPr>
                <w:color w:val="auto"/>
              </w:rPr>
            </w:pPr>
          </w:p>
        </w:tc>
      </w:tr>
      <w:tr w14:paraId="0F02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1827D0A">
            <w:pPr>
              <w:spacing w:line="360" w:lineRule="auto"/>
              <w:jc w:val="center"/>
              <w:rPr>
                <w:rFonts w:eastAsiaTheme="minorEastAsia"/>
                <w:color w:val="auto"/>
              </w:rPr>
            </w:pPr>
            <w:r>
              <w:rPr>
                <w:rFonts w:hint="eastAsia"/>
                <w:color w:val="auto"/>
              </w:rPr>
              <w:t>6</w:t>
            </w:r>
          </w:p>
        </w:tc>
        <w:tc>
          <w:tcPr>
            <w:tcW w:w="2685" w:type="dxa"/>
          </w:tcPr>
          <w:p w14:paraId="3D5AFF31">
            <w:pPr>
              <w:spacing w:line="360" w:lineRule="auto"/>
              <w:jc w:val="left"/>
              <w:rPr>
                <w:rFonts w:eastAsiaTheme="minorEastAsia"/>
                <w:color w:val="auto"/>
              </w:rPr>
            </w:pPr>
          </w:p>
        </w:tc>
        <w:tc>
          <w:tcPr>
            <w:tcW w:w="3690" w:type="dxa"/>
          </w:tcPr>
          <w:p w14:paraId="4B6D2C43">
            <w:pPr>
              <w:spacing w:line="360" w:lineRule="auto"/>
              <w:rPr>
                <w:rFonts w:eastAsiaTheme="minorEastAsia"/>
                <w:color w:val="auto"/>
              </w:rPr>
            </w:pPr>
          </w:p>
        </w:tc>
        <w:tc>
          <w:tcPr>
            <w:tcW w:w="1403" w:type="dxa"/>
          </w:tcPr>
          <w:p w14:paraId="6BE95992">
            <w:pPr>
              <w:spacing w:line="360" w:lineRule="auto"/>
              <w:rPr>
                <w:color w:val="auto"/>
              </w:rPr>
            </w:pPr>
          </w:p>
        </w:tc>
      </w:tr>
      <w:tr w14:paraId="2E01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F36CD3F">
            <w:pPr>
              <w:spacing w:line="360" w:lineRule="auto"/>
              <w:jc w:val="center"/>
              <w:rPr>
                <w:rFonts w:eastAsiaTheme="minorEastAsia"/>
                <w:color w:val="auto"/>
              </w:rPr>
            </w:pPr>
            <w:r>
              <w:rPr>
                <w:rFonts w:hint="eastAsia"/>
                <w:color w:val="auto"/>
              </w:rPr>
              <w:t>7</w:t>
            </w:r>
          </w:p>
        </w:tc>
        <w:tc>
          <w:tcPr>
            <w:tcW w:w="2685" w:type="dxa"/>
          </w:tcPr>
          <w:p w14:paraId="70CF9A03">
            <w:pPr>
              <w:spacing w:line="360" w:lineRule="auto"/>
              <w:jc w:val="left"/>
              <w:rPr>
                <w:rFonts w:eastAsiaTheme="minorEastAsia"/>
                <w:color w:val="auto"/>
              </w:rPr>
            </w:pPr>
          </w:p>
        </w:tc>
        <w:tc>
          <w:tcPr>
            <w:tcW w:w="3690" w:type="dxa"/>
          </w:tcPr>
          <w:p w14:paraId="3ECFB5BC">
            <w:pPr>
              <w:spacing w:line="360" w:lineRule="auto"/>
              <w:rPr>
                <w:rFonts w:eastAsiaTheme="minorEastAsia"/>
                <w:color w:val="auto"/>
              </w:rPr>
            </w:pPr>
          </w:p>
        </w:tc>
        <w:tc>
          <w:tcPr>
            <w:tcW w:w="1403" w:type="dxa"/>
          </w:tcPr>
          <w:p w14:paraId="0209079A">
            <w:pPr>
              <w:spacing w:line="360" w:lineRule="auto"/>
              <w:rPr>
                <w:color w:val="auto"/>
              </w:rPr>
            </w:pPr>
          </w:p>
        </w:tc>
      </w:tr>
      <w:tr w14:paraId="0CCE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589A6CDF">
            <w:pPr>
              <w:spacing w:line="360" w:lineRule="auto"/>
              <w:jc w:val="center"/>
              <w:rPr>
                <w:rFonts w:eastAsiaTheme="minorEastAsia"/>
                <w:color w:val="auto"/>
              </w:rPr>
            </w:pPr>
            <w:r>
              <w:rPr>
                <w:rFonts w:hint="eastAsia"/>
                <w:color w:val="auto"/>
              </w:rPr>
              <w:t>8</w:t>
            </w:r>
          </w:p>
        </w:tc>
        <w:tc>
          <w:tcPr>
            <w:tcW w:w="2685" w:type="dxa"/>
          </w:tcPr>
          <w:p w14:paraId="23EEDB82">
            <w:pPr>
              <w:spacing w:line="360" w:lineRule="auto"/>
              <w:jc w:val="left"/>
              <w:rPr>
                <w:rFonts w:eastAsiaTheme="minorEastAsia"/>
                <w:color w:val="auto"/>
              </w:rPr>
            </w:pPr>
          </w:p>
        </w:tc>
        <w:tc>
          <w:tcPr>
            <w:tcW w:w="3690" w:type="dxa"/>
          </w:tcPr>
          <w:p w14:paraId="63651892">
            <w:pPr>
              <w:spacing w:line="360" w:lineRule="auto"/>
              <w:rPr>
                <w:rFonts w:eastAsiaTheme="minorEastAsia"/>
                <w:color w:val="auto"/>
              </w:rPr>
            </w:pPr>
          </w:p>
        </w:tc>
        <w:tc>
          <w:tcPr>
            <w:tcW w:w="1403" w:type="dxa"/>
          </w:tcPr>
          <w:p w14:paraId="15C4DED0">
            <w:pPr>
              <w:spacing w:line="360" w:lineRule="auto"/>
              <w:rPr>
                <w:color w:val="auto"/>
              </w:rPr>
            </w:pPr>
          </w:p>
        </w:tc>
      </w:tr>
      <w:tr w14:paraId="12E3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0CB6C7B5">
            <w:pPr>
              <w:spacing w:line="360" w:lineRule="auto"/>
              <w:jc w:val="center"/>
              <w:rPr>
                <w:rFonts w:eastAsiaTheme="minorEastAsia"/>
                <w:color w:val="auto"/>
              </w:rPr>
            </w:pPr>
            <w:r>
              <w:rPr>
                <w:rFonts w:hint="eastAsia"/>
                <w:color w:val="auto"/>
              </w:rPr>
              <w:t>9</w:t>
            </w:r>
          </w:p>
        </w:tc>
        <w:tc>
          <w:tcPr>
            <w:tcW w:w="2685" w:type="dxa"/>
          </w:tcPr>
          <w:p w14:paraId="58021A04">
            <w:pPr>
              <w:spacing w:line="360" w:lineRule="auto"/>
              <w:jc w:val="left"/>
              <w:rPr>
                <w:rFonts w:eastAsiaTheme="minorEastAsia"/>
                <w:color w:val="auto"/>
              </w:rPr>
            </w:pPr>
          </w:p>
        </w:tc>
        <w:tc>
          <w:tcPr>
            <w:tcW w:w="3690" w:type="dxa"/>
          </w:tcPr>
          <w:p w14:paraId="1A154A24">
            <w:pPr>
              <w:spacing w:line="360" w:lineRule="auto"/>
              <w:rPr>
                <w:rFonts w:eastAsiaTheme="minorEastAsia"/>
                <w:color w:val="auto"/>
              </w:rPr>
            </w:pPr>
          </w:p>
        </w:tc>
        <w:tc>
          <w:tcPr>
            <w:tcW w:w="1403" w:type="dxa"/>
          </w:tcPr>
          <w:p w14:paraId="67AD9981">
            <w:pPr>
              <w:spacing w:line="360" w:lineRule="auto"/>
              <w:rPr>
                <w:color w:val="auto"/>
              </w:rPr>
            </w:pPr>
          </w:p>
        </w:tc>
      </w:tr>
      <w:tr w14:paraId="1404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082891EF">
            <w:pPr>
              <w:spacing w:line="360" w:lineRule="auto"/>
              <w:jc w:val="center"/>
              <w:rPr>
                <w:rFonts w:eastAsiaTheme="minorEastAsia"/>
                <w:color w:val="auto"/>
              </w:rPr>
            </w:pPr>
            <w:r>
              <w:rPr>
                <w:rFonts w:hint="eastAsia"/>
                <w:color w:val="auto"/>
              </w:rPr>
              <w:t>10</w:t>
            </w:r>
          </w:p>
        </w:tc>
        <w:tc>
          <w:tcPr>
            <w:tcW w:w="2685" w:type="dxa"/>
          </w:tcPr>
          <w:p w14:paraId="566650DA">
            <w:pPr>
              <w:spacing w:line="360" w:lineRule="auto"/>
              <w:jc w:val="left"/>
              <w:rPr>
                <w:rFonts w:eastAsiaTheme="minorEastAsia"/>
                <w:color w:val="auto"/>
              </w:rPr>
            </w:pPr>
          </w:p>
        </w:tc>
        <w:tc>
          <w:tcPr>
            <w:tcW w:w="3690" w:type="dxa"/>
          </w:tcPr>
          <w:p w14:paraId="79EB01B0">
            <w:pPr>
              <w:spacing w:line="360" w:lineRule="auto"/>
              <w:rPr>
                <w:rFonts w:eastAsiaTheme="minorEastAsia"/>
                <w:color w:val="auto"/>
              </w:rPr>
            </w:pPr>
          </w:p>
        </w:tc>
        <w:tc>
          <w:tcPr>
            <w:tcW w:w="1403" w:type="dxa"/>
          </w:tcPr>
          <w:p w14:paraId="09F1579A">
            <w:pPr>
              <w:spacing w:line="360" w:lineRule="auto"/>
              <w:rPr>
                <w:color w:val="auto"/>
              </w:rPr>
            </w:pPr>
          </w:p>
        </w:tc>
      </w:tr>
      <w:tr w14:paraId="191A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460A76C">
            <w:pPr>
              <w:spacing w:line="360" w:lineRule="auto"/>
              <w:jc w:val="center"/>
              <w:rPr>
                <w:rFonts w:eastAsiaTheme="minorEastAsia"/>
                <w:color w:val="auto"/>
              </w:rPr>
            </w:pPr>
            <w:r>
              <w:rPr>
                <w:rFonts w:hint="eastAsia"/>
                <w:color w:val="auto"/>
              </w:rPr>
              <w:t>11</w:t>
            </w:r>
          </w:p>
        </w:tc>
        <w:tc>
          <w:tcPr>
            <w:tcW w:w="2685" w:type="dxa"/>
          </w:tcPr>
          <w:p w14:paraId="59FFD8CF">
            <w:pPr>
              <w:spacing w:line="360" w:lineRule="auto"/>
              <w:jc w:val="left"/>
              <w:rPr>
                <w:rFonts w:eastAsiaTheme="minorEastAsia"/>
                <w:color w:val="auto"/>
              </w:rPr>
            </w:pPr>
          </w:p>
        </w:tc>
        <w:tc>
          <w:tcPr>
            <w:tcW w:w="3690" w:type="dxa"/>
          </w:tcPr>
          <w:p w14:paraId="2BCA8D96">
            <w:pPr>
              <w:spacing w:line="360" w:lineRule="auto"/>
              <w:rPr>
                <w:rFonts w:eastAsiaTheme="minorEastAsia"/>
                <w:color w:val="auto"/>
              </w:rPr>
            </w:pPr>
          </w:p>
        </w:tc>
        <w:tc>
          <w:tcPr>
            <w:tcW w:w="1403" w:type="dxa"/>
          </w:tcPr>
          <w:p w14:paraId="5D9EF266">
            <w:pPr>
              <w:spacing w:line="360" w:lineRule="auto"/>
              <w:rPr>
                <w:color w:val="auto"/>
              </w:rPr>
            </w:pPr>
          </w:p>
        </w:tc>
      </w:tr>
      <w:tr w14:paraId="454E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4DB51E9E">
            <w:pPr>
              <w:spacing w:line="360" w:lineRule="auto"/>
              <w:jc w:val="center"/>
              <w:rPr>
                <w:rFonts w:eastAsiaTheme="minorEastAsia"/>
                <w:color w:val="auto"/>
              </w:rPr>
            </w:pPr>
            <w:r>
              <w:rPr>
                <w:rFonts w:hint="eastAsia"/>
                <w:color w:val="auto"/>
              </w:rPr>
              <w:t>12</w:t>
            </w:r>
          </w:p>
        </w:tc>
        <w:tc>
          <w:tcPr>
            <w:tcW w:w="2685" w:type="dxa"/>
          </w:tcPr>
          <w:p w14:paraId="23FC315A">
            <w:pPr>
              <w:spacing w:line="360" w:lineRule="auto"/>
              <w:jc w:val="left"/>
              <w:rPr>
                <w:rFonts w:eastAsiaTheme="minorEastAsia"/>
                <w:color w:val="auto"/>
              </w:rPr>
            </w:pPr>
          </w:p>
        </w:tc>
        <w:tc>
          <w:tcPr>
            <w:tcW w:w="3690" w:type="dxa"/>
          </w:tcPr>
          <w:p w14:paraId="3690A454">
            <w:pPr>
              <w:spacing w:line="360" w:lineRule="auto"/>
              <w:rPr>
                <w:rFonts w:eastAsiaTheme="minorEastAsia"/>
                <w:color w:val="auto"/>
              </w:rPr>
            </w:pPr>
          </w:p>
        </w:tc>
        <w:tc>
          <w:tcPr>
            <w:tcW w:w="1403" w:type="dxa"/>
          </w:tcPr>
          <w:p w14:paraId="59A518C8">
            <w:pPr>
              <w:spacing w:line="360" w:lineRule="auto"/>
              <w:rPr>
                <w:color w:val="auto"/>
              </w:rPr>
            </w:pPr>
          </w:p>
        </w:tc>
      </w:tr>
      <w:tr w14:paraId="12B4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AC371DD">
            <w:pPr>
              <w:spacing w:line="360" w:lineRule="auto"/>
              <w:jc w:val="center"/>
              <w:rPr>
                <w:rFonts w:eastAsiaTheme="minorEastAsia"/>
                <w:color w:val="auto"/>
              </w:rPr>
            </w:pPr>
            <w:r>
              <w:rPr>
                <w:rFonts w:hint="eastAsia"/>
                <w:color w:val="auto"/>
              </w:rPr>
              <w:t>13</w:t>
            </w:r>
          </w:p>
        </w:tc>
        <w:tc>
          <w:tcPr>
            <w:tcW w:w="2685" w:type="dxa"/>
          </w:tcPr>
          <w:p w14:paraId="17604C21">
            <w:pPr>
              <w:spacing w:line="360" w:lineRule="auto"/>
              <w:jc w:val="left"/>
              <w:rPr>
                <w:rFonts w:eastAsiaTheme="minorEastAsia"/>
                <w:color w:val="auto"/>
              </w:rPr>
            </w:pPr>
          </w:p>
        </w:tc>
        <w:tc>
          <w:tcPr>
            <w:tcW w:w="3690" w:type="dxa"/>
          </w:tcPr>
          <w:p w14:paraId="563C4B65">
            <w:pPr>
              <w:spacing w:line="360" w:lineRule="auto"/>
              <w:rPr>
                <w:rFonts w:eastAsiaTheme="minorEastAsia"/>
                <w:color w:val="auto"/>
              </w:rPr>
            </w:pPr>
          </w:p>
        </w:tc>
        <w:tc>
          <w:tcPr>
            <w:tcW w:w="1403" w:type="dxa"/>
          </w:tcPr>
          <w:p w14:paraId="74A083D2">
            <w:pPr>
              <w:spacing w:line="360" w:lineRule="auto"/>
              <w:rPr>
                <w:color w:val="auto"/>
              </w:rPr>
            </w:pPr>
          </w:p>
        </w:tc>
      </w:tr>
      <w:tr w14:paraId="5AAA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7892587">
            <w:pPr>
              <w:spacing w:line="360" w:lineRule="auto"/>
              <w:jc w:val="center"/>
              <w:rPr>
                <w:rFonts w:eastAsiaTheme="minorEastAsia"/>
                <w:color w:val="auto"/>
              </w:rPr>
            </w:pPr>
            <w:r>
              <w:rPr>
                <w:rFonts w:hint="eastAsia"/>
                <w:color w:val="auto"/>
              </w:rPr>
              <w:t>14</w:t>
            </w:r>
          </w:p>
        </w:tc>
        <w:tc>
          <w:tcPr>
            <w:tcW w:w="2685" w:type="dxa"/>
          </w:tcPr>
          <w:p w14:paraId="782DC3C1">
            <w:pPr>
              <w:spacing w:line="360" w:lineRule="auto"/>
              <w:jc w:val="left"/>
              <w:rPr>
                <w:rFonts w:eastAsiaTheme="minorEastAsia"/>
                <w:color w:val="auto"/>
              </w:rPr>
            </w:pPr>
          </w:p>
        </w:tc>
        <w:tc>
          <w:tcPr>
            <w:tcW w:w="3690" w:type="dxa"/>
          </w:tcPr>
          <w:p w14:paraId="5CC6A1A6">
            <w:pPr>
              <w:spacing w:line="360" w:lineRule="auto"/>
              <w:rPr>
                <w:rFonts w:eastAsiaTheme="minorEastAsia"/>
                <w:color w:val="auto"/>
              </w:rPr>
            </w:pPr>
          </w:p>
        </w:tc>
        <w:tc>
          <w:tcPr>
            <w:tcW w:w="1403" w:type="dxa"/>
          </w:tcPr>
          <w:p w14:paraId="6D004D0C">
            <w:pPr>
              <w:spacing w:line="360" w:lineRule="auto"/>
              <w:rPr>
                <w:color w:val="auto"/>
              </w:rPr>
            </w:pPr>
          </w:p>
        </w:tc>
      </w:tr>
      <w:tr w14:paraId="42F8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20618C4A">
            <w:pPr>
              <w:spacing w:line="360" w:lineRule="auto"/>
              <w:jc w:val="center"/>
              <w:rPr>
                <w:rFonts w:eastAsiaTheme="minorEastAsia"/>
                <w:color w:val="auto"/>
              </w:rPr>
            </w:pPr>
            <w:r>
              <w:rPr>
                <w:rFonts w:hint="eastAsia"/>
                <w:color w:val="auto"/>
              </w:rPr>
              <w:t>15</w:t>
            </w:r>
          </w:p>
        </w:tc>
        <w:tc>
          <w:tcPr>
            <w:tcW w:w="2685" w:type="dxa"/>
          </w:tcPr>
          <w:p w14:paraId="751C121F">
            <w:pPr>
              <w:spacing w:line="360" w:lineRule="auto"/>
              <w:jc w:val="left"/>
              <w:rPr>
                <w:rFonts w:eastAsiaTheme="minorEastAsia"/>
                <w:color w:val="auto"/>
              </w:rPr>
            </w:pPr>
          </w:p>
        </w:tc>
        <w:tc>
          <w:tcPr>
            <w:tcW w:w="3690" w:type="dxa"/>
          </w:tcPr>
          <w:p w14:paraId="0338832A">
            <w:pPr>
              <w:spacing w:line="360" w:lineRule="auto"/>
              <w:rPr>
                <w:rFonts w:eastAsiaTheme="minorEastAsia"/>
                <w:color w:val="auto"/>
              </w:rPr>
            </w:pPr>
          </w:p>
        </w:tc>
        <w:tc>
          <w:tcPr>
            <w:tcW w:w="1403" w:type="dxa"/>
          </w:tcPr>
          <w:p w14:paraId="5FCB7EDA">
            <w:pPr>
              <w:spacing w:line="360" w:lineRule="auto"/>
              <w:rPr>
                <w:color w:val="auto"/>
              </w:rPr>
            </w:pPr>
          </w:p>
        </w:tc>
      </w:tr>
      <w:tr w14:paraId="46D5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C365717">
            <w:pPr>
              <w:spacing w:line="360" w:lineRule="auto"/>
              <w:jc w:val="center"/>
              <w:rPr>
                <w:rFonts w:eastAsiaTheme="minorEastAsia"/>
                <w:color w:val="auto"/>
              </w:rPr>
            </w:pPr>
            <w:r>
              <w:rPr>
                <w:rFonts w:hint="eastAsia"/>
                <w:color w:val="auto"/>
              </w:rPr>
              <w:t>16</w:t>
            </w:r>
          </w:p>
        </w:tc>
        <w:tc>
          <w:tcPr>
            <w:tcW w:w="2685" w:type="dxa"/>
          </w:tcPr>
          <w:p w14:paraId="3FFE00DA">
            <w:pPr>
              <w:spacing w:line="360" w:lineRule="auto"/>
              <w:jc w:val="left"/>
              <w:rPr>
                <w:rFonts w:eastAsiaTheme="minorEastAsia"/>
                <w:color w:val="auto"/>
              </w:rPr>
            </w:pPr>
          </w:p>
        </w:tc>
        <w:tc>
          <w:tcPr>
            <w:tcW w:w="3690" w:type="dxa"/>
          </w:tcPr>
          <w:p w14:paraId="51FF11FD">
            <w:pPr>
              <w:spacing w:line="360" w:lineRule="auto"/>
              <w:rPr>
                <w:rFonts w:eastAsiaTheme="minorEastAsia"/>
                <w:color w:val="auto"/>
              </w:rPr>
            </w:pPr>
          </w:p>
        </w:tc>
        <w:tc>
          <w:tcPr>
            <w:tcW w:w="1403" w:type="dxa"/>
          </w:tcPr>
          <w:p w14:paraId="07BA4D1C">
            <w:pPr>
              <w:spacing w:line="360" w:lineRule="auto"/>
              <w:rPr>
                <w:color w:val="auto"/>
              </w:rPr>
            </w:pPr>
          </w:p>
        </w:tc>
      </w:tr>
      <w:tr w14:paraId="6593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B1776DE">
            <w:pPr>
              <w:spacing w:line="360" w:lineRule="auto"/>
              <w:jc w:val="center"/>
              <w:rPr>
                <w:rFonts w:eastAsiaTheme="minorEastAsia"/>
                <w:color w:val="auto"/>
              </w:rPr>
            </w:pPr>
            <w:r>
              <w:rPr>
                <w:rFonts w:hint="eastAsia"/>
                <w:color w:val="auto"/>
              </w:rPr>
              <w:t>17</w:t>
            </w:r>
          </w:p>
        </w:tc>
        <w:tc>
          <w:tcPr>
            <w:tcW w:w="2685" w:type="dxa"/>
          </w:tcPr>
          <w:p w14:paraId="323A0FC7">
            <w:pPr>
              <w:spacing w:line="360" w:lineRule="auto"/>
              <w:jc w:val="left"/>
              <w:rPr>
                <w:color w:val="auto"/>
              </w:rPr>
            </w:pPr>
          </w:p>
        </w:tc>
        <w:tc>
          <w:tcPr>
            <w:tcW w:w="3690" w:type="dxa"/>
          </w:tcPr>
          <w:p w14:paraId="76DFBE38">
            <w:pPr>
              <w:spacing w:line="360" w:lineRule="auto"/>
              <w:rPr>
                <w:rFonts w:eastAsiaTheme="minorEastAsia"/>
                <w:color w:val="auto"/>
              </w:rPr>
            </w:pPr>
          </w:p>
        </w:tc>
        <w:tc>
          <w:tcPr>
            <w:tcW w:w="1403" w:type="dxa"/>
          </w:tcPr>
          <w:p w14:paraId="60721F38">
            <w:pPr>
              <w:spacing w:line="360" w:lineRule="auto"/>
              <w:rPr>
                <w:color w:val="auto"/>
              </w:rPr>
            </w:pPr>
          </w:p>
        </w:tc>
      </w:tr>
      <w:tr w14:paraId="0F2D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57995674">
            <w:pPr>
              <w:spacing w:line="360" w:lineRule="auto"/>
              <w:jc w:val="center"/>
              <w:rPr>
                <w:rFonts w:eastAsiaTheme="minorEastAsia"/>
                <w:color w:val="auto"/>
              </w:rPr>
            </w:pPr>
            <w:r>
              <w:rPr>
                <w:rFonts w:hint="eastAsia"/>
                <w:color w:val="auto"/>
              </w:rPr>
              <w:t>18</w:t>
            </w:r>
          </w:p>
        </w:tc>
        <w:tc>
          <w:tcPr>
            <w:tcW w:w="2685" w:type="dxa"/>
          </w:tcPr>
          <w:p w14:paraId="09F44F1F">
            <w:pPr>
              <w:spacing w:line="360" w:lineRule="auto"/>
              <w:jc w:val="left"/>
              <w:rPr>
                <w:rFonts w:eastAsiaTheme="minorEastAsia"/>
                <w:color w:val="auto"/>
              </w:rPr>
            </w:pPr>
          </w:p>
        </w:tc>
        <w:tc>
          <w:tcPr>
            <w:tcW w:w="3690" w:type="dxa"/>
          </w:tcPr>
          <w:p w14:paraId="4C665EF6">
            <w:pPr>
              <w:spacing w:line="360" w:lineRule="auto"/>
              <w:rPr>
                <w:rFonts w:eastAsiaTheme="minorEastAsia"/>
                <w:color w:val="auto"/>
              </w:rPr>
            </w:pPr>
          </w:p>
        </w:tc>
        <w:tc>
          <w:tcPr>
            <w:tcW w:w="1403" w:type="dxa"/>
          </w:tcPr>
          <w:p w14:paraId="6FE2D5CC">
            <w:pPr>
              <w:spacing w:line="360" w:lineRule="auto"/>
              <w:rPr>
                <w:color w:val="auto"/>
              </w:rPr>
            </w:pPr>
          </w:p>
        </w:tc>
      </w:tr>
      <w:tr w14:paraId="5EAF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053C4556">
            <w:pPr>
              <w:spacing w:line="360" w:lineRule="auto"/>
              <w:jc w:val="center"/>
              <w:rPr>
                <w:color w:val="auto"/>
              </w:rPr>
            </w:pPr>
            <w:r>
              <w:rPr>
                <w:rFonts w:hint="eastAsia"/>
                <w:color w:val="auto"/>
              </w:rPr>
              <w:t>19</w:t>
            </w:r>
          </w:p>
        </w:tc>
        <w:tc>
          <w:tcPr>
            <w:tcW w:w="2685" w:type="dxa"/>
          </w:tcPr>
          <w:p w14:paraId="3201EFA8">
            <w:pPr>
              <w:spacing w:line="360" w:lineRule="auto"/>
              <w:jc w:val="left"/>
              <w:rPr>
                <w:color w:val="auto"/>
              </w:rPr>
            </w:pPr>
          </w:p>
        </w:tc>
        <w:tc>
          <w:tcPr>
            <w:tcW w:w="3690" w:type="dxa"/>
          </w:tcPr>
          <w:p w14:paraId="53CD615A">
            <w:pPr>
              <w:spacing w:line="360" w:lineRule="auto"/>
              <w:rPr>
                <w:rFonts w:eastAsiaTheme="minorEastAsia"/>
                <w:color w:val="auto"/>
              </w:rPr>
            </w:pPr>
          </w:p>
        </w:tc>
        <w:tc>
          <w:tcPr>
            <w:tcW w:w="1403" w:type="dxa"/>
          </w:tcPr>
          <w:p w14:paraId="5B4312E2">
            <w:pPr>
              <w:spacing w:line="360" w:lineRule="auto"/>
              <w:rPr>
                <w:color w:val="auto"/>
              </w:rPr>
            </w:pPr>
          </w:p>
        </w:tc>
      </w:tr>
      <w:tr w14:paraId="13D9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C44CCEE">
            <w:pPr>
              <w:spacing w:line="360" w:lineRule="auto"/>
              <w:jc w:val="center"/>
              <w:rPr>
                <w:color w:val="auto"/>
              </w:rPr>
            </w:pPr>
            <w:r>
              <w:rPr>
                <w:rFonts w:hint="eastAsia"/>
                <w:color w:val="auto"/>
              </w:rPr>
              <w:t>20</w:t>
            </w:r>
          </w:p>
        </w:tc>
        <w:tc>
          <w:tcPr>
            <w:tcW w:w="2685" w:type="dxa"/>
          </w:tcPr>
          <w:p w14:paraId="690B222B">
            <w:pPr>
              <w:spacing w:line="360" w:lineRule="auto"/>
              <w:jc w:val="left"/>
              <w:rPr>
                <w:rFonts w:eastAsiaTheme="minorEastAsia"/>
                <w:color w:val="auto"/>
              </w:rPr>
            </w:pPr>
          </w:p>
        </w:tc>
        <w:tc>
          <w:tcPr>
            <w:tcW w:w="3690" w:type="dxa"/>
          </w:tcPr>
          <w:p w14:paraId="62C62DFB">
            <w:pPr>
              <w:spacing w:line="360" w:lineRule="auto"/>
              <w:rPr>
                <w:rFonts w:eastAsiaTheme="minorEastAsia"/>
                <w:color w:val="auto"/>
              </w:rPr>
            </w:pPr>
          </w:p>
        </w:tc>
        <w:tc>
          <w:tcPr>
            <w:tcW w:w="1403" w:type="dxa"/>
          </w:tcPr>
          <w:p w14:paraId="0C31804E">
            <w:pPr>
              <w:spacing w:line="360" w:lineRule="auto"/>
              <w:rPr>
                <w:color w:val="auto"/>
              </w:rPr>
            </w:pPr>
          </w:p>
        </w:tc>
      </w:tr>
      <w:tr w14:paraId="325D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1C1F89F">
            <w:pPr>
              <w:spacing w:line="360" w:lineRule="auto"/>
              <w:jc w:val="center"/>
              <w:rPr>
                <w:color w:val="auto"/>
              </w:rPr>
            </w:pPr>
            <w:r>
              <w:rPr>
                <w:rFonts w:hint="eastAsia"/>
                <w:color w:val="auto"/>
              </w:rPr>
              <w:t>21</w:t>
            </w:r>
          </w:p>
        </w:tc>
        <w:tc>
          <w:tcPr>
            <w:tcW w:w="2685" w:type="dxa"/>
          </w:tcPr>
          <w:p w14:paraId="51E9BED7">
            <w:pPr>
              <w:spacing w:line="360" w:lineRule="auto"/>
              <w:jc w:val="left"/>
              <w:rPr>
                <w:rFonts w:eastAsiaTheme="minorEastAsia"/>
                <w:color w:val="auto"/>
              </w:rPr>
            </w:pPr>
          </w:p>
        </w:tc>
        <w:tc>
          <w:tcPr>
            <w:tcW w:w="3690" w:type="dxa"/>
          </w:tcPr>
          <w:p w14:paraId="105D2455">
            <w:pPr>
              <w:spacing w:line="360" w:lineRule="auto"/>
              <w:rPr>
                <w:rFonts w:eastAsiaTheme="minorEastAsia"/>
                <w:color w:val="auto"/>
              </w:rPr>
            </w:pPr>
          </w:p>
        </w:tc>
        <w:tc>
          <w:tcPr>
            <w:tcW w:w="1403" w:type="dxa"/>
          </w:tcPr>
          <w:p w14:paraId="2407B17E">
            <w:pPr>
              <w:spacing w:line="360" w:lineRule="auto"/>
              <w:rPr>
                <w:color w:val="auto"/>
              </w:rPr>
            </w:pPr>
          </w:p>
        </w:tc>
      </w:tr>
      <w:tr w14:paraId="11CF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3E1D7165">
            <w:pPr>
              <w:spacing w:line="360" w:lineRule="auto"/>
              <w:jc w:val="center"/>
              <w:rPr>
                <w:color w:val="auto"/>
              </w:rPr>
            </w:pPr>
          </w:p>
        </w:tc>
        <w:tc>
          <w:tcPr>
            <w:tcW w:w="2685" w:type="dxa"/>
          </w:tcPr>
          <w:p w14:paraId="5C037E4F">
            <w:pPr>
              <w:spacing w:line="360" w:lineRule="auto"/>
              <w:rPr>
                <w:color w:val="auto"/>
              </w:rPr>
            </w:pPr>
          </w:p>
        </w:tc>
        <w:tc>
          <w:tcPr>
            <w:tcW w:w="3690" w:type="dxa"/>
          </w:tcPr>
          <w:p w14:paraId="323459A3">
            <w:pPr>
              <w:spacing w:line="360" w:lineRule="auto"/>
              <w:rPr>
                <w:color w:val="auto"/>
              </w:rPr>
            </w:pPr>
          </w:p>
        </w:tc>
        <w:tc>
          <w:tcPr>
            <w:tcW w:w="1403" w:type="dxa"/>
          </w:tcPr>
          <w:p w14:paraId="559EB68F">
            <w:pPr>
              <w:spacing w:line="360" w:lineRule="auto"/>
              <w:rPr>
                <w:color w:val="auto"/>
              </w:rPr>
            </w:pPr>
          </w:p>
        </w:tc>
      </w:tr>
      <w:tr w14:paraId="5D29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54E26ED1">
            <w:pPr>
              <w:spacing w:line="360" w:lineRule="auto"/>
              <w:jc w:val="center"/>
              <w:rPr>
                <w:color w:val="auto"/>
              </w:rPr>
            </w:pPr>
          </w:p>
        </w:tc>
        <w:tc>
          <w:tcPr>
            <w:tcW w:w="2685" w:type="dxa"/>
          </w:tcPr>
          <w:p w14:paraId="77AD637F">
            <w:pPr>
              <w:spacing w:line="360" w:lineRule="auto"/>
              <w:rPr>
                <w:color w:val="auto"/>
              </w:rPr>
            </w:pPr>
          </w:p>
        </w:tc>
        <w:tc>
          <w:tcPr>
            <w:tcW w:w="3690" w:type="dxa"/>
          </w:tcPr>
          <w:p w14:paraId="0BC619EC">
            <w:pPr>
              <w:spacing w:line="360" w:lineRule="auto"/>
              <w:rPr>
                <w:color w:val="auto"/>
              </w:rPr>
            </w:pPr>
          </w:p>
        </w:tc>
        <w:tc>
          <w:tcPr>
            <w:tcW w:w="1403" w:type="dxa"/>
          </w:tcPr>
          <w:p w14:paraId="3D840BC5">
            <w:pPr>
              <w:spacing w:line="360" w:lineRule="auto"/>
              <w:rPr>
                <w:color w:val="auto"/>
              </w:rPr>
            </w:pPr>
          </w:p>
        </w:tc>
      </w:tr>
    </w:tbl>
    <w:p w14:paraId="3981FD63">
      <w:pPr>
        <w:jc w:val="left"/>
        <w:rPr>
          <w:rFonts w:ascii="宋体" w:hAnsi="宋体" w:cs="Arial"/>
          <w:b/>
          <w:bCs/>
          <w:color w:val="auto"/>
          <w:szCs w:val="21"/>
        </w:rPr>
      </w:pPr>
      <w:r>
        <w:rPr>
          <w:rFonts w:hint="eastAsia" w:ascii="宋体" w:hAnsi="宋体" w:cs="Arial"/>
          <w:b/>
          <w:bCs/>
          <w:color w:val="auto"/>
          <w:szCs w:val="21"/>
        </w:rPr>
        <w:t>注：1、投标人在投标时应优先采用以上推荐品牌的品牌（明确其中一个），若选用推荐品牌以外的，替代产品品质不得低于推荐品牌产品档次，在评标过程中的设备选型及材料采用以评标委员会评定结果为准。</w:t>
      </w:r>
    </w:p>
    <w:p w14:paraId="072AB526">
      <w:pPr>
        <w:ind w:firstLine="424" w:firstLineChars="177"/>
        <w:rPr>
          <w:rFonts w:ascii="宋体" w:hAnsi="宋体"/>
          <w:color w:val="auto"/>
          <w:sz w:val="24"/>
        </w:rPr>
      </w:pPr>
    </w:p>
    <w:p w14:paraId="0A8DC185">
      <w:pPr>
        <w:ind w:firstLine="480" w:firstLineChars="200"/>
        <w:rPr>
          <w:rFonts w:ascii="宋体" w:hAnsi="宋体"/>
          <w:color w:val="auto"/>
          <w:sz w:val="24"/>
        </w:rPr>
      </w:pPr>
      <w:r>
        <w:rPr>
          <w:rFonts w:hint="eastAsia" w:ascii="宋体" w:hAnsi="宋体"/>
          <w:color w:val="auto"/>
          <w:sz w:val="24"/>
        </w:rPr>
        <w:t xml:space="preserve">磋商供应商名称（公章）：                       </w:t>
      </w:r>
    </w:p>
    <w:p w14:paraId="655F3F3C">
      <w:pPr>
        <w:ind w:firstLine="480" w:firstLineChars="200"/>
        <w:rPr>
          <w:rFonts w:ascii="宋体" w:hAnsi="宋体"/>
          <w:color w:val="auto"/>
          <w:sz w:val="24"/>
        </w:rPr>
      </w:pPr>
      <w:r>
        <w:rPr>
          <w:rFonts w:hint="eastAsia" w:ascii="宋体" w:hAnsi="宋体"/>
          <w:color w:val="auto"/>
          <w:sz w:val="24"/>
        </w:rPr>
        <w:t xml:space="preserve">磋商供应商代表签章或签字：                          </w:t>
      </w:r>
    </w:p>
    <w:p w14:paraId="1A212A4A">
      <w:pPr>
        <w:ind w:firstLine="480" w:firstLineChars="200"/>
        <w:rPr>
          <w:rFonts w:ascii="宋体" w:hAnsi="宋体"/>
          <w:color w:val="auto"/>
          <w:sz w:val="24"/>
        </w:rPr>
      </w:pPr>
      <w:r>
        <w:rPr>
          <w:rFonts w:hint="eastAsia" w:ascii="宋体" w:hAnsi="宋体"/>
          <w:color w:val="auto"/>
          <w:sz w:val="24"/>
        </w:rPr>
        <w:t xml:space="preserve">职        务：                             </w:t>
      </w:r>
    </w:p>
    <w:p w14:paraId="7AB40A13">
      <w:pPr>
        <w:ind w:firstLine="480" w:firstLineChars="200"/>
        <w:rPr>
          <w:rFonts w:ascii="宋体" w:hAnsi="宋体"/>
          <w:color w:val="auto"/>
          <w:sz w:val="24"/>
        </w:rPr>
      </w:pPr>
      <w:r>
        <w:rPr>
          <w:rFonts w:hint="eastAsia" w:ascii="宋体" w:hAnsi="宋体"/>
          <w:color w:val="auto"/>
          <w:sz w:val="24"/>
        </w:rPr>
        <w:t xml:space="preserve">日        期：                            </w:t>
      </w:r>
    </w:p>
    <w:p w14:paraId="5BAFC824">
      <w:pPr>
        <w:snapToGrid w:val="0"/>
        <w:spacing w:before="156" w:beforeLines="50" w:after="50" w:line="360" w:lineRule="auto"/>
        <w:rPr>
          <w:rFonts w:ascii="宋体" w:hAnsi="宋体"/>
          <w:b/>
          <w:color w:val="auto"/>
          <w:sz w:val="28"/>
        </w:rPr>
        <w:sectPr>
          <w:pgSz w:w="11906" w:h="16838"/>
          <w:pgMar w:top="1440" w:right="1800" w:bottom="1440" w:left="1800" w:header="851" w:footer="992" w:gutter="0"/>
          <w:pgNumType w:fmt="decimal"/>
          <w:cols w:space="720" w:num="1"/>
          <w:docGrid w:type="lines" w:linePitch="312" w:charSpace="0"/>
        </w:sectPr>
      </w:pPr>
    </w:p>
    <w:p w14:paraId="13B50C7D">
      <w:pPr>
        <w:snapToGrid w:val="0"/>
        <w:spacing w:before="156" w:beforeLines="50" w:after="50"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10</w:t>
      </w:r>
    </w:p>
    <w:p w14:paraId="360C8AFF">
      <w:pPr>
        <w:pStyle w:val="43"/>
        <w:spacing w:line="360" w:lineRule="auto"/>
        <w:jc w:val="center"/>
        <w:rPr>
          <w:rFonts w:ascii="宋体" w:hAnsi="宋体"/>
          <w:b/>
          <w:color w:val="auto"/>
          <w:sz w:val="32"/>
          <w:szCs w:val="32"/>
        </w:rPr>
      </w:pPr>
      <w:r>
        <w:rPr>
          <w:rFonts w:hint="eastAsia" w:ascii="宋体" w:hAnsi="宋体"/>
          <w:b/>
          <w:color w:val="auto"/>
          <w:sz w:val="32"/>
          <w:szCs w:val="32"/>
        </w:rPr>
        <w:t>证书一览表</w:t>
      </w:r>
    </w:p>
    <w:p w14:paraId="1814AEA1">
      <w:pPr>
        <w:pStyle w:val="43"/>
        <w:spacing w:line="360" w:lineRule="auto"/>
        <w:jc w:val="center"/>
        <w:rPr>
          <w:rFonts w:ascii="宋体" w:hAnsi="宋体" w:cs="Tahoma"/>
          <w:color w:val="auto"/>
          <w:sz w:val="28"/>
          <w:szCs w:val="28"/>
        </w:rPr>
      </w:pP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B80F0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51181775">
            <w:pPr>
              <w:pStyle w:val="43"/>
              <w:spacing w:line="360" w:lineRule="auto"/>
              <w:jc w:val="center"/>
              <w:rPr>
                <w:rFonts w:ascii="宋体" w:hAnsi="宋体" w:cs="Tahoma"/>
                <w:b/>
                <w:bCs/>
                <w:color w:val="auto"/>
                <w:sz w:val="24"/>
              </w:rPr>
            </w:pPr>
            <w:r>
              <w:rPr>
                <w:rFonts w:hint="eastAsia" w:ascii="宋体" w:hAnsi="宋体" w:cs="Tahoma"/>
                <w:b/>
                <w:bCs/>
                <w:color w:val="auto"/>
                <w:sz w:val="24"/>
              </w:rPr>
              <w:t>证书名称</w:t>
            </w:r>
          </w:p>
        </w:tc>
        <w:tc>
          <w:tcPr>
            <w:tcW w:w="2258" w:type="dxa"/>
            <w:tcBorders>
              <w:top w:val="single" w:color="auto" w:sz="4" w:space="0"/>
              <w:bottom w:val="single" w:color="auto" w:sz="4" w:space="0"/>
            </w:tcBorders>
          </w:tcPr>
          <w:p w14:paraId="35B65117">
            <w:pPr>
              <w:pStyle w:val="43"/>
              <w:spacing w:line="360" w:lineRule="auto"/>
              <w:jc w:val="center"/>
              <w:rPr>
                <w:rFonts w:ascii="宋体" w:hAnsi="宋体" w:cs="Tahoma"/>
                <w:b/>
                <w:bCs/>
                <w:color w:val="auto"/>
                <w:sz w:val="24"/>
              </w:rPr>
            </w:pPr>
            <w:r>
              <w:rPr>
                <w:rFonts w:hint="eastAsia" w:ascii="宋体" w:hAnsi="宋体" w:cs="Tahoma"/>
                <w:b/>
                <w:bCs/>
                <w:color w:val="auto"/>
                <w:sz w:val="24"/>
              </w:rPr>
              <w:t>发证单位</w:t>
            </w:r>
          </w:p>
        </w:tc>
        <w:tc>
          <w:tcPr>
            <w:tcW w:w="2260" w:type="dxa"/>
            <w:tcBorders>
              <w:top w:val="single" w:color="auto" w:sz="4" w:space="0"/>
              <w:bottom w:val="single" w:color="auto" w:sz="4" w:space="0"/>
            </w:tcBorders>
          </w:tcPr>
          <w:p w14:paraId="4544036C">
            <w:pPr>
              <w:pStyle w:val="43"/>
              <w:spacing w:line="360" w:lineRule="auto"/>
              <w:jc w:val="center"/>
              <w:rPr>
                <w:rFonts w:ascii="宋体" w:hAnsi="宋体" w:cs="Tahoma"/>
                <w:b/>
                <w:bCs/>
                <w:color w:val="auto"/>
                <w:sz w:val="24"/>
              </w:rPr>
            </w:pPr>
            <w:r>
              <w:rPr>
                <w:rFonts w:hint="eastAsia" w:ascii="宋体" w:hAnsi="宋体" w:cs="Tahoma"/>
                <w:b/>
                <w:bCs/>
                <w:color w:val="auto"/>
                <w:sz w:val="24"/>
              </w:rPr>
              <w:t>证书等级</w:t>
            </w:r>
          </w:p>
        </w:tc>
        <w:tc>
          <w:tcPr>
            <w:tcW w:w="2047" w:type="dxa"/>
            <w:tcBorders>
              <w:top w:val="single" w:color="auto" w:sz="4" w:space="0"/>
              <w:bottom w:val="single" w:color="auto" w:sz="4" w:space="0"/>
              <w:right w:val="single" w:color="auto" w:sz="4" w:space="0"/>
            </w:tcBorders>
          </w:tcPr>
          <w:p w14:paraId="520B43D9">
            <w:pPr>
              <w:pStyle w:val="43"/>
              <w:spacing w:line="360" w:lineRule="auto"/>
              <w:jc w:val="center"/>
              <w:rPr>
                <w:rFonts w:ascii="宋体" w:hAnsi="宋体" w:cs="Tahoma"/>
                <w:b/>
                <w:bCs/>
                <w:color w:val="auto"/>
                <w:sz w:val="24"/>
              </w:rPr>
            </w:pPr>
            <w:r>
              <w:rPr>
                <w:rFonts w:hint="eastAsia" w:ascii="宋体" w:hAnsi="宋体" w:cs="Tahoma"/>
                <w:b/>
                <w:bCs/>
                <w:color w:val="auto"/>
                <w:sz w:val="24"/>
              </w:rPr>
              <w:t>证书有效期</w:t>
            </w:r>
          </w:p>
        </w:tc>
      </w:tr>
      <w:tr w14:paraId="3456D8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21E98D8E">
            <w:pPr>
              <w:pStyle w:val="43"/>
              <w:spacing w:line="360" w:lineRule="auto"/>
              <w:jc w:val="center"/>
              <w:rPr>
                <w:rFonts w:ascii="宋体" w:hAnsi="宋体" w:cs="Tahoma"/>
                <w:color w:val="auto"/>
                <w:szCs w:val="21"/>
              </w:rPr>
            </w:pPr>
          </w:p>
        </w:tc>
        <w:tc>
          <w:tcPr>
            <w:tcW w:w="2258" w:type="dxa"/>
            <w:tcBorders>
              <w:top w:val="single" w:color="auto" w:sz="4" w:space="0"/>
            </w:tcBorders>
          </w:tcPr>
          <w:p w14:paraId="772F7489">
            <w:pPr>
              <w:pStyle w:val="43"/>
              <w:spacing w:line="360" w:lineRule="auto"/>
              <w:jc w:val="center"/>
              <w:rPr>
                <w:rFonts w:ascii="宋体" w:hAnsi="宋体" w:cs="Tahoma"/>
                <w:color w:val="auto"/>
                <w:szCs w:val="21"/>
              </w:rPr>
            </w:pPr>
          </w:p>
        </w:tc>
        <w:tc>
          <w:tcPr>
            <w:tcW w:w="2260" w:type="dxa"/>
            <w:tcBorders>
              <w:top w:val="single" w:color="auto" w:sz="4" w:space="0"/>
            </w:tcBorders>
          </w:tcPr>
          <w:p w14:paraId="73892D2F">
            <w:pPr>
              <w:pStyle w:val="43"/>
              <w:spacing w:line="360" w:lineRule="auto"/>
              <w:jc w:val="center"/>
              <w:rPr>
                <w:rFonts w:ascii="宋体" w:hAnsi="宋体" w:cs="Tahoma"/>
                <w:color w:val="auto"/>
                <w:szCs w:val="21"/>
              </w:rPr>
            </w:pPr>
          </w:p>
        </w:tc>
        <w:tc>
          <w:tcPr>
            <w:tcW w:w="2047" w:type="dxa"/>
            <w:tcBorders>
              <w:top w:val="single" w:color="auto" w:sz="4" w:space="0"/>
              <w:right w:val="single" w:color="auto" w:sz="4" w:space="0"/>
            </w:tcBorders>
          </w:tcPr>
          <w:p w14:paraId="4BF92AD1">
            <w:pPr>
              <w:pStyle w:val="43"/>
              <w:spacing w:line="360" w:lineRule="auto"/>
              <w:jc w:val="center"/>
              <w:rPr>
                <w:rFonts w:ascii="宋体" w:hAnsi="宋体" w:cs="Tahoma"/>
                <w:color w:val="auto"/>
                <w:szCs w:val="21"/>
              </w:rPr>
            </w:pPr>
          </w:p>
        </w:tc>
      </w:tr>
      <w:tr w14:paraId="0A2370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4B03A93">
            <w:pPr>
              <w:pStyle w:val="43"/>
              <w:spacing w:line="360" w:lineRule="auto"/>
              <w:jc w:val="center"/>
              <w:rPr>
                <w:rFonts w:ascii="宋体" w:hAnsi="宋体" w:cs="Tahoma"/>
                <w:color w:val="auto"/>
                <w:szCs w:val="21"/>
              </w:rPr>
            </w:pPr>
          </w:p>
        </w:tc>
        <w:tc>
          <w:tcPr>
            <w:tcW w:w="2258" w:type="dxa"/>
          </w:tcPr>
          <w:p w14:paraId="10C88EC1">
            <w:pPr>
              <w:pStyle w:val="43"/>
              <w:spacing w:line="360" w:lineRule="auto"/>
              <w:jc w:val="center"/>
              <w:rPr>
                <w:rFonts w:ascii="宋体" w:hAnsi="宋体" w:cs="Tahoma"/>
                <w:color w:val="auto"/>
                <w:szCs w:val="21"/>
              </w:rPr>
            </w:pPr>
          </w:p>
        </w:tc>
        <w:tc>
          <w:tcPr>
            <w:tcW w:w="2260" w:type="dxa"/>
          </w:tcPr>
          <w:p w14:paraId="402FA135">
            <w:pPr>
              <w:pStyle w:val="43"/>
              <w:spacing w:line="360" w:lineRule="auto"/>
              <w:jc w:val="center"/>
              <w:rPr>
                <w:rFonts w:ascii="宋体" w:hAnsi="宋体" w:cs="Tahoma"/>
                <w:color w:val="auto"/>
                <w:szCs w:val="21"/>
              </w:rPr>
            </w:pPr>
          </w:p>
        </w:tc>
        <w:tc>
          <w:tcPr>
            <w:tcW w:w="2047" w:type="dxa"/>
            <w:tcBorders>
              <w:right w:val="single" w:color="auto" w:sz="4" w:space="0"/>
            </w:tcBorders>
          </w:tcPr>
          <w:p w14:paraId="40B33C6F">
            <w:pPr>
              <w:pStyle w:val="43"/>
              <w:spacing w:line="360" w:lineRule="auto"/>
              <w:jc w:val="center"/>
              <w:rPr>
                <w:rFonts w:ascii="宋体" w:hAnsi="宋体" w:cs="Tahoma"/>
                <w:color w:val="auto"/>
                <w:szCs w:val="21"/>
              </w:rPr>
            </w:pPr>
          </w:p>
        </w:tc>
      </w:tr>
      <w:tr w14:paraId="26036A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7A55A92">
            <w:pPr>
              <w:pStyle w:val="43"/>
              <w:spacing w:line="360" w:lineRule="auto"/>
              <w:jc w:val="center"/>
              <w:rPr>
                <w:rFonts w:ascii="宋体" w:hAnsi="宋体" w:cs="Tahoma"/>
                <w:color w:val="auto"/>
                <w:szCs w:val="21"/>
              </w:rPr>
            </w:pPr>
          </w:p>
        </w:tc>
        <w:tc>
          <w:tcPr>
            <w:tcW w:w="2258" w:type="dxa"/>
          </w:tcPr>
          <w:p w14:paraId="1468552E">
            <w:pPr>
              <w:pStyle w:val="43"/>
              <w:spacing w:line="360" w:lineRule="auto"/>
              <w:jc w:val="center"/>
              <w:rPr>
                <w:rFonts w:ascii="宋体" w:hAnsi="宋体" w:cs="Tahoma"/>
                <w:color w:val="auto"/>
                <w:szCs w:val="21"/>
              </w:rPr>
            </w:pPr>
          </w:p>
        </w:tc>
        <w:tc>
          <w:tcPr>
            <w:tcW w:w="2260" w:type="dxa"/>
          </w:tcPr>
          <w:p w14:paraId="158A0CEF">
            <w:pPr>
              <w:pStyle w:val="43"/>
              <w:spacing w:line="360" w:lineRule="auto"/>
              <w:jc w:val="center"/>
              <w:rPr>
                <w:rFonts w:ascii="宋体" w:hAnsi="宋体" w:cs="Tahoma"/>
                <w:color w:val="auto"/>
                <w:szCs w:val="21"/>
              </w:rPr>
            </w:pPr>
          </w:p>
        </w:tc>
        <w:tc>
          <w:tcPr>
            <w:tcW w:w="2047" w:type="dxa"/>
            <w:tcBorders>
              <w:right w:val="single" w:color="auto" w:sz="4" w:space="0"/>
            </w:tcBorders>
          </w:tcPr>
          <w:p w14:paraId="19DD36D3">
            <w:pPr>
              <w:pStyle w:val="43"/>
              <w:spacing w:line="360" w:lineRule="auto"/>
              <w:jc w:val="center"/>
              <w:rPr>
                <w:rFonts w:ascii="宋体" w:hAnsi="宋体" w:cs="Tahoma"/>
                <w:color w:val="auto"/>
                <w:szCs w:val="21"/>
              </w:rPr>
            </w:pPr>
          </w:p>
        </w:tc>
      </w:tr>
      <w:tr w14:paraId="21311B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BB640E6">
            <w:pPr>
              <w:pStyle w:val="43"/>
              <w:spacing w:line="360" w:lineRule="auto"/>
              <w:jc w:val="center"/>
              <w:rPr>
                <w:rFonts w:ascii="宋体" w:hAnsi="宋体" w:cs="Tahoma"/>
                <w:color w:val="auto"/>
                <w:szCs w:val="21"/>
              </w:rPr>
            </w:pPr>
          </w:p>
        </w:tc>
        <w:tc>
          <w:tcPr>
            <w:tcW w:w="2258" w:type="dxa"/>
          </w:tcPr>
          <w:p w14:paraId="13165A23">
            <w:pPr>
              <w:pStyle w:val="43"/>
              <w:spacing w:line="360" w:lineRule="auto"/>
              <w:jc w:val="center"/>
              <w:rPr>
                <w:rFonts w:ascii="宋体" w:hAnsi="宋体" w:cs="Tahoma"/>
                <w:color w:val="auto"/>
                <w:szCs w:val="21"/>
              </w:rPr>
            </w:pPr>
          </w:p>
        </w:tc>
        <w:tc>
          <w:tcPr>
            <w:tcW w:w="2260" w:type="dxa"/>
          </w:tcPr>
          <w:p w14:paraId="18624D7E">
            <w:pPr>
              <w:pStyle w:val="43"/>
              <w:spacing w:line="360" w:lineRule="auto"/>
              <w:jc w:val="center"/>
              <w:rPr>
                <w:rFonts w:ascii="宋体" w:hAnsi="宋体" w:cs="Tahoma"/>
                <w:color w:val="auto"/>
                <w:szCs w:val="21"/>
              </w:rPr>
            </w:pPr>
          </w:p>
        </w:tc>
        <w:tc>
          <w:tcPr>
            <w:tcW w:w="2047" w:type="dxa"/>
            <w:tcBorders>
              <w:right w:val="single" w:color="auto" w:sz="4" w:space="0"/>
            </w:tcBorders>
          </w:tcPr>
          <w:p w14:paraId="6D385AC8">
            <w:pPr>
              <w:pStyle w:val="43"/>
              <w:spacing w:line="360" w:lineRule="auto"/>
              <w:jc w:val="center"/>
              <w:rPr>
                <w:rFonts w:ascii="宋体" w:hAnsi="宋体" w:cs="Tahoma"/>
                <w:color w:val="auto"/>
                <w:szCs w:val="21"/>
              </w:rPr>
            </w:pPr>
          </w:p>
        </w:tc>
      </w:tr>
      <w:tr w14:paraId="651185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63F345A">
            <w:pPr>
              <w:pStyle w:val="43"/>
              <w:spacing w:line="360" w:lineRule="auto"/>
              <w:jc w:val="center"/>
              <w:rPr>
                <w:rFonts w:ascii="宋体" w:hAnsi="宋体" w:cs="Tahoma"/>
                <w:color w:val="auto"/>
                <w:szCs w:val="21"/>
              </w:rPr>
            </w:pPr>
          </w:p>
        </w:tc>
        <w:tc>
          <w:tcPr>
            <w:tcW w:w="2258" w:type="dxa"/>
          </w:tcPr>
          <w:p w14:paraId="6FB0602B">
            <w:pPr>
              <w:pStyle w:val="43"/>
              <w:spacing w:line="360" w:lineRule="auto"/>
              <w:jc w:val="center"/>
              <w:rPr>
                <w:rFonts w:ascii="宋体" w:hAnsi="宋体" w:cs="Tahoma"/>
                <w:color w:val="auto"/>
                <w:szCs w:val="21"/>
              </w:rPr>
            </w:pPr>
          </w:p>
        </w:tc>
        <w:tc>
          <w:tcPr>
            <w:tcW w:w="2260" w:type="dxa"/>
          </w:tcPr>
          <w:p w14:paraId="23EE623F">
            <w:pPr>
              <w:pStyle w:val="43"/>
              <w:spacing w:line="360" w:lineRule="auto"/>
              <w:jc w:val="center"/>
              <w:rPr>
                <w:rFonts w:ascii="宋体" w:hAnsi="宋体" w:cs="Tahoma"/>
                <w:color w:val="auto"/>
                <w:szCs w:val="21"/>
              </w:rPr>
            </w:pPr>
          </w:p>
        </w:tc>
        <w:tc>
          <w:tcPr>
            <w:tcW w:w="2047" w:type="dxa"/>
            <w:tcBorders>
              <w:right w:val="single" w:color="auto" w:sz="4" w:space="0"/>
            </w:tcBorders>
          </w:tcPr>
          <w:p w14:paraId="37AB0358">
            <w:pPr>
              <w:pStyle w:val="43"/>
              <w:spacing w:line="360" w:lineRule="auto"/>
              <w:jc w:val="center"/>
              <w:rPr>
                <w:rFonts w:ascii="宋体" w:hAnsi="宋体" w:cs="Tahoma"/>
                <w:color w:val="auto"/>
                <w:szCs w:val="21"/>
              </w:rPr>
            </w:pPr>
          </w:p>
        </w:tc>
      </w:tr>
      <w:tr w14:paraId="2CF9A9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C69FF84">
            <w:pPr>
              <w:pStyle w:val="43"/>
              <w:spacing w:line="360" w:lineRule="auto"/>
              <w:jc w:val="center"/>
              <w:rPr>
                <w:rFonts w:ascii="宋体" w:hAnsi="宋体" w:cs="Tahoma"/>
                <w:color w:val="auto"/>
                <w:szCs w:val="21"/>
              </w:rPr>
            </w:pPr>
          </w:p>
        </w:tc>
        <w:tc>
          <w:tcPr>
            <w:tcW w:w="2258" w:type="dxa"/>
          </w:tcPr>
          <w:p w14:paraId="19834EE0">
            <w:pPr>
              <w:pStyle w:val="43"/>
              <w:spacing w:line="360" w:lineRule="auto"/>
              <w:jc w:val="center"/>
              <w:rPr>
                <w:rFonts w:ascii="宋体" w:hAnsi="宋体" w:cs="Tahoma"/>
                <w:color w:val="auto"/>
                <w:szCs w:val="21"/>
              </w:rPr>
            </w:pPr>
          </w:p>
        </w:tc>
        <w:tc>
          <w:tcPr>
            <w:tcW w:w="2260" w:type="dxa"/>
          </w:tcPr>
          <w:p w14:paraId="73D1C6B2">
            <w:pPr>
              <w:pStyle w:val="43"/>
              <w:spacing w:line="360" w:lineRule="auto"/>
              <w:jc w:val="center"/>
              <w:rPr>
                <w:rFonts w:ascii="宋体" w:hAnsi="宋体" w:cs="Tahoma"/>
                <w:color w:val="auto"/>
                <w:szCs w:val="21"/>
              </w:rPr>
            </w:pPr>
          </w:p>
        </w:tc>
        <w:tc>
          <w:tcPr>
            <w:tcW w:w="2047" w:type="dxa"/>
            <w:tcBorders>
              <w:right w:val="single" w:color="auto" w:sz="4" w:space="0"/>
            </w:tcBorders>
          </w:tcPr>
          <w:p w14:paraId="6B1F0BF2">
            <w:pPr>
              <w:pStyle w:val="43"/>
              <w:spacing w:line="360" w:lineRule="auto"/>
              <w:jc w:val="center"/>
              <w:rPr>
                <w:rFonts w:ascii="宋体" w:hAnsi="宋体" w:cs="Tahoma"/>
                <w:color w:val="auto"/>
                <w:szCs w:val="21"/>
              </w:rPr>
            </w:pPr>
          </w:p>
        </w:tc>
      </w:tr>
      <w:tr w14:paraId="5BD3F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17D3D68">
            <w:pPr>
              <w:pStyle w:val="43"/>
              <w:spacing w:line="360" w:lineRule="auto"/>
              <w:jc w:val="center"/>
              <w:rPr>
                <w:rFonts w:ascii="宋体" w:hAnsi="宋体" w:cs="Tahoma"/>
                <w:color w:val="auto"/>
                <w:szCs w:val="21"/>
              </w:rPr>
            </w:pPr>
          </w:p>
        </w:tc>
        <w:tc>
          <w:tcPr>
            <w:tcW w:w="2258" w:type="dxa"/>
            <w:tcBorders>
              <w:bottom w:val="single" w:color="auto" w:sz="4" w:space="0"/>
            </w:tcBorders>
          </w:tcPr>
          <w:p w14:paraId="75554D99">
            <w:pPr>
              <w:pStyle w:val="43"/>
              <w:spacing w:line="360" w:lineRule="auto"/>
              <w:jc w:val="center"/>
              <w:rPr>
                <w:rFonts w:ascii="宋体" w:hAnsi="宋体" w:cs="Tahoma"/>
                <w:color w:val="auto"/>
                <w:szCs w:val="21"/>
              </w:rPr>
            </w:pPr>
          </w:p>
        </w:tc>
        <w:tc>
          <w:tcPr>
            <w:tcW w:w="2260" w:type="dxa"/>
            <w:tcBorders>
              <w:bottom w:val="single" w:color="auto" w:sz="4" w:space="0"/>
            </w:tcBorders>
          </w:tcPr>
          <w:p w14:paraId="3FB0D956">
            <w:pPr>
              <w:pStyle w:val="43"/>
              <w:spacing w:line="360" w:lineRule="auto"/>
              <w:jc w:val="center"/>
              <w:rPr>
                <w:rFonts w:ascii="宋体" w:hAnsi="宋体" w:cs="Tahoma"/>
                <w:color w:val="auto"/>
                <w:szCs w:val="21"/>
              </w:rPr>
            </w:pPr>
          </w:p>
        </w:tc>
        <w:tc>
          <w:tcPr>
            <w:tcW w:w="2047" w:type="dxa"/>
            <w:tcBorders>
              <w:bottom w:val="single" w:color="auto" w:sz="4" w:space="0"/>
              <w:right w:val="single" w:color="auto" w:sz="4" w:space="0"/>
            </w:tcBorders>
          </w:tcPr>
          <w:p w14:paraId="3C99B603">
            <w:pPr>
              <w:pStyle w:val="43"/>
              <w:spacing w:line="360" w:lineRule="auto"/>
              <w:jc w:val="center"/>
              <w:rPr>
                <w:rFonts w:ascii="宋体" w:hAnsi="宋体" w:cs="Tahoma"/>
                <w:color w:val="auto"/>
                <w:szCs w:val="21"/>
              </w:rPr>
            </w:pPr>
          </w:p>
        </w:tc>
      </w:tr>
    </w:tbl>
    <w:p w14:paraId="5C889F10">
      <w:pPr>
        <w:pStyle w:val="43"/>
        <w:tabs>
          <w:tab w:val="left" w:pos="1050"/>
        </w:tabs>
        <w:spacing w:line="360" w:lineRule="auto"/>
        <w:rPr>
          <w:rFonts w:ascii="宋体" w:hAnsi="宋体"/>
          <w:color w:val="auto"/>
          <w:sz w:val="24"/>
        </w:rPr>
      </w:pPr>
    </w:p>
    <w:p w14:paraId="7BE47AFF">
      <w:pPr>
        <w:pStyle w:val="43"/>
        <w:tabs>
          <w:tab w:val="left" w:pos="1050"/>
        </w:tabs>
        <w:spacing w:line="360" w:lineRule="auto"/>
        <w:rPr>
          <w:rFonts w:ascii="宋体" w:hAnsi="宋体"/>
          <w:color w:val="auto"/>
          <w:szCs w:val="21"/>
        </w:rPr>
      </w:pPr>
      <w:r>
        <w:rPr>
          <w:rFonts w:hint="eastAsia" w:ascii="宋体" w:hAnsi="宋体"/>
          <w:b/>
          <w:color w:val="auto"/>
          <w:szCs w:val="21"/>
        </w:rPr>
        <w:t>要求：</w:t>
      </w:r>
    </w:p>
    <w:p w14:paraId="7AA108D1">
      <w:pPr>
        <w:pStyle w:val="43"/>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1.填写磋商供应商获得资质、认证或企业信誉证书。</w:t>
      </w:r>
    </w:p>
    <w:p w14:paraId="49AC3406">
      <w:pPr>
        <w:pStyle w:val="43"/>
        <w:tabs>
          <w:tab w:val="left" w:pos="1050"/>
        </w:tabs>
        <w:spacing w:line="360" w:lineRule="auto"/>
        <w:ind w:firstLine="424" w:firstLineChars="202"/>
        <w:rPr>
          <w:rFonts w:ascii="宋体" w:hAnsi="宋体"/>
          <w:color w:val="auto"/>
          <w:szCs w:val="21"/>
        </w:rPr>
      </w:pPr>
      <w:r>
        <w:rPr>
          <w:rFonts w:hint="eastAsia" w:ascii="宋体" w:hAnsi="宋体"/>
          <w:color w:val="auto"/>
          <w:szCs w:val="21"/>
        </w:rPr>
        <w:t>2.附所列证书原件的扫描件或其他证明材料。</w:t>
      </w:r>
    </w:p>
    <w:p w14:paraId="03D546E3">
      <w:pPr>
        <w:pStyle w:val="43"/>
        <w:tabs>
          <w:tab w:val="left" w:pos="1050"/>
        </w:tabs>
        <w:spacing w:line="360" w:lineRule="auto"/>
        <w:ind w:firstLine="424" w:firstLineChars="202"/>
        <w:rPr>
          <w:rFonts w:ascii="宋体" w:hAnsi="宋体"/>
          <w:color w:val="auto"/>
          <w:szCs w:val="21"/>
        </w:rPr>
      </w:pPr>
    </w:p>
    <w:p w14:paraId="5A74D70E">
      <w:pPr>
        <w:pStyle w:val="43"/>
        <w:tabs>
          <w:tab w:val="left" w:pos="1050"/>
        </w:tabs>
        <w:spacing w:line="360" w:lineRule="auto"/>
        <w:ind w:firstLine="720" w:firstLineChars="300"/>
        <w:rPr>
          <w:rFonts w:ascii="宋体" w:hAnsi="宋体"/>
          <w:color w:val="auto"/>
          <w:sz w:val="24"/>
        </w:rPr>
      </w:pPr>
    </w:p>
    <w:p w14:paraId="6FB9566E">
      <w:pPr>
        <w:pStyle w:val="43"/>
        <w:tabs>
          <w:tab w:val="left" w:pos="1050"/>
        </w:tabs>
        <w:spacing w:line="360" w:lineRule="auto"/>
        <w:ind w:firstLine="720" w:firstLineChars="300"/>
        <w:rPr>
          <w:rFonts w:ascii="宋体" w:hAnsi="宋体"/>
          <w:color w:val="auto"/>
          <w:sz w:val="24"/>
        </w:rPr>
      </w:pPr>
    </w:p>
    <w:p w14:paraId="5210D639">
      <w:pPr>
        <w:pStyle w:val="43"/>
        <w:tabs>
          <w:tab w:val="left" w:pos="1050"/>
        </w:tabs>
        <w:spacing w:line="360" w:lineRule="auto"/>
        <w:ind w:firstLine="720" w:firstLineChars="300"/>
        <w:rPr>
          <w:rFonts w:ascii="宋体" w:hAnsi="宋体"/>
          <w:color w:val="auto"/>
          <w:sz w:val="24"/>
        </w:rPr>
      </w:pPr>
    </w:p>
    <w:p w14:paraId="7B195BFB">
      <w:pPr>
        <w:spacing w:line="360" w:lineRule="auto"/>
        <w:ind w:firstLine="424" w:firstLineChars="177"/>
        <w:rPr>
          <w:rFonts w:ascii="宋体" w:hAnsi="宋体"/>
          <w:color w:val="auto"/>
          <w:sz w:val="24"/>
          <w:u w:val="single"/>
        </w:rPr>
      </w:pPr>
      <w:r>
        <w:rPr>
          <w:rFonts w:hint="eastAsia" w:ascii="宋体" w:hAnsi="宋体"/>
          <w:color w:val="auto"/>
          <w:sz w:val="24"/>
        </w:rPr>
        <w:t>磋商供应商名称（公章）：</w:t>
      </w:r>
      <w:r>
        <w:rPr>
          <w:rFonts w:hint="eastAsia" w:ascii="宋体" w:hAnsi="宋体"/>
          <w:color w:val="auto"/>
          <w:sz w:val="24"/>
          <w:u w:val="single"/>
        </w:rPr>
        <w:t xml:space="preserve">                       </w:t>
      </w:r>
    </w:p>
    <w:p w14:paraId="769902FA">
      <w:pPr>
        <w:spacing w:line="360" w:lineRule="auto"/>
        <w:ind w:left="420"/>
        <w:rPr>
          <w:rFonts w:ascii="宋体" w:hAnsi="宋体"/>
          <w:color w:val="auto"/>
          <w:sz w:val="24"/>
        </w:rPr>
      </w:pPr>
    </w:p>
    <w:p w14:paraId="1FDB2DFE">
      <w:pPr>
        <w:spacing w:line="360" w:lineRule="auto"/>
        <w:ind w:firstLine="424" w:firstLineChars="177"/>
        <w:rPr>
          <w:rFonts w:ascii="宋体" w:hAnsi="宋体"/>
          <w:color w:val="auto"/>
          <w:sz w:val="24"/>
        </w:rPr>
      </w:pPr>
      <w:r>
        <w:rPr>
          <w:rFonts w:hint="eastAsia" w:ascii="宋体" w:hAnsi="宋体"/>
          <w:color w:val="auto"/>
          <w:sz w:val="24"/>
        </w:rPr>
        <w:t>磋商供应商代表签章或签字：</w:t>
      </w:r>
      <w:r>
        <w:rPr>
          <w:rFonts w:hint="eastAsia" w:ascii="宋体" w:hAnsi="宋体"/>
          <w:color w:val="auto"/>
          <w:sz w:val="24"/>
          <w:u w:val="single"/>
        </w:rPr>
        <w:t xml:space="preserve">                          </w:t>
      </w:r>
    </w:p>
    <w:p w14:paraId="431CF1C3">
      <w:pPr>
        <w:spacing w:line="360" w:lineRule="auto"/>
        <w:ind w:firstLine="435"/>
        <w:rPr>
          <w:rFonts w:ascii="宋体" w:hAnsi="宋体"/>
          <w:color w:val="auto"/>
          <w:sz w:val="24"/>
        </w:rPr>
      </w:pPr>
    </w:p>
    <w:p w14:paraId="44A894EA">
      <w:pPr>
        <w:spacing w:line="360" w:lineRule="auto"/>
        <w:ind w:firstLine="424" w:firstLineChars="177"/>
        <w:rPr>
          <w:rFonts w:ascii="宋体" w:hAnsi="宋体"/>
          <w:color w:val="auto"/>
          <w:sz w:val="24"/>
          <w:u w:val="single"/>
        </w:rPr>
      </w:pPr>
      <w:r>
        <w:rPr>
          <w:rFonts w:hint="eastAsia" w:ascii="宋体" w:hAnsi="宋体"/>
          <w:color w:val="auto"/>
          <w:sz w:val="24"/>
        </w:rPr>
        <w:t>职        务：</w:t>
      </w:r>
      <w:r>
        <w:rPr>
          <w:rFonts w:hint="eastAsia" w:ascii="宋体" w:hAnsi="宋体"/>
          <w:color w:val="auto"/>
          <w:sz w:val="24"/>
          <w:u w:val="single"/>
        </w:rPr>
        <w:t xml:space="preserve">                             </w:t>
      </w:r>
    </w:p>
    <w:p w14:paraId="0E5307BC">
      <w:pPr>
        <w:spacing w:line="360" w:lineRule="auto"/>
        <w:rPr>
          <w:rFonts w:ascii="宋体" w:hAnsi="宋体"/>
          <w:color w:val="auto"/>
          <w:sz w:val="24"/>
        </w:rPr>
      </w:pPr>
    </w:p>
    <w:p w14:paraId="711C790D">
      <w:pPr>
        <w:pStyle w:val="52"/>
        <w:shd w:val="clear" w:color="auto" w:fill="FFFFFF"/>
        <w:spacing w:before="0" w:beforeAutospacing="0" w:after="0" w:afterAutospacing="0" w:line="360" w:lineRule="auto"/>
        <w:ind w:firstLine="424" w:firstLineChars="177"/>
        <w:rPr>
          <w:rFonts w:ascii="宋体" w:hAnsi="宋体"/>
          <w:b/>
          <w:bCs/>
          <w:color w:val="auto"/>
          <w:spacing w:val="11"/>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w:t>
      </w:r>
    </w:p>
    <w:p w14:paraId="42133860">
      <w:pPr>
        <w:spacing w:line="360" w:lineRule="auto"/>
        <w:rPr>
          <w:rFonts w:ascii="宋体" w:hAnsi="宋体"/>
          <w:b/>
          <w:color w:val="auto"/>
          <w:sz w:val="28"/>
        </w:rPr>
      </w:pPr>
    </w:p>
    <w:p w14:paraId="26BE66F2">
      <w:pPr>
        <w:spacing w:line="360" w:lineRule="auto"/>
        <w:rPr>
          <w:rFonts w:ascii="宋体" w:hAnsi="宋体"/>
          <w:b/>
          <w:color w:val="auto"/>
          <w:sz w:val="28"/>
        </w:rPr>
      </w:pPr>
    </w:p>
    <w:p w14:paraId="75F24596">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11</w:t>
      </w:r>
    </w:p>
    <w:p w14:paraId="6A0DBF7F">
      <w:pPr>
        <w:pStyle w:val="61"/>
        <w:spacing w:line="360" w:lineRule="auto"/>
        <w:jc w:val="center"/>
        <w:rPr>
          <w:rFonts w:ascii="宋体" w:hAnsi="宋体"/>
          <w:b/>
          <w:color w:val="auto"/>
          <w:sz w:val="32"/>
          <w:szCs w:val="32"/>
        </w:rPr>
      </w:pPr>
      <w:r>
        <w:rPr>
          <w:rFonts w:hint="eastAsia" w:ascii="宋体" w:hAnsi="宋体"/>
          <w:b/>
          <w:color w:val="auto"/>
          <w:sz w:val="32"/>
          <w:szCs w:val="32"/>
        </w:rPr>
        <w:t>类似项目实施情况一览表</w:t>
      </w:r>
    </w:p>
    <w:p w14:paraId="598AA33D">
      <w:pPr>
        <w:pStyle w:val="61"/>
        <w:spacing w:line="360" w:lineRule="auto"/>
        <w:jc w:val="center"/>
        <w:rPr>
          <w:rFonts w:ascii="宋体" w:hAnsi="宋体"/>
          <w:b/>
          <w:color w:val="auto"/>
          <w:sz w:val="28"/>
          <w:szCs w:val="28"/>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A734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5C89E63">
            <w:pPr>
              <w:pStyle w:val="61"/>
              <w:spacing w:line="360" w:lineRule="auto"/>
              <w:jc w:val="center"/>
              <w:rPr>
                <w:rFonts w:ascii="宋体" w:hAnsi="宋体" w:cs="Tahoma"/>
                <w:b/>
                <w:bCs/>
                <w:color w:val="auto"/>
                <w:sz w:val="24"/>
              </w:rPr>
            </w:pPr>
            <w:r>
              <w:rPr>
                <w:rFonts w:hint="eastAsia" w:ascii="宋体" w:hAnsi="宋体" w:cs="Tahoma"/>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40686EE">
            <w:pPr>
              <w:pStyle w:val="61"/>
              <w:spacing w:line="360" w:lineRule="auto"/>
              <w:jc w:val="center"/>
              <w:rPr>
                <w:rFonts w:ascii="宋体" w:hAnsi="宋体" w:cs="Tahoma"/>
                <w:b/>
                <w:bCs/>
                <w:color w:val="auto"/>
                <w:sz w:val="24"/>
              </w:rPr>
            </w:pPr>
            <w:r>
              <w:rPr>
                <w:rFonts w:hint="eastAsia" w:ascii="宋体" w:hAnsi="宋体" w:cs="Tahoma"/>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5635B89">
            <w:pPr>
              <w:pStyle w:val="61"/>
              <w:spacing w:line="360" w:lineRule="auto"/>
              <w:jc w:val="center"/>
              <w:rPr>
                <w:rFonts w:ascii="宋体" w:hAnsi="宋体" w:cs="Tahoma"/>
                <w:b/>
                <w:bCs/>
                <w:color w:val="auto"/>
                <w:sz w:val="24"/>
              </w:rPr>
            </w:pPr>
            <w:r>
              <w:rPr>
                <w:rFonts w:hint="eastAsia" w:ascii="宋体" w:hAnsi="宋体" w:cs="Tahoma"/>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5A20B5B">
            <w:pPr>
              <w:pStyle w:val="61"/>
              <w:spacing w:line="360" w:lineRule="auto"/>
              <w:jc w:val="center"/>
              <w:rPr>
                <w:rFonts w:ascii="宋体" w:hAnsi="宋体" w:cs="Tahoma"/>
                <w:b/>
                <w:bCs/>
                <w:color w:val="auto"/>
                <w:sz w:val="24"/>
              </w:rPr>
            </w:pPr>
            <w:r>
              <w:rPr>
                <w:rFonts w:hint="eastAsia" w:ascii="宋体" w:hAnsi="宋体" w:cs="Tahoma"/>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6F67AE71">
            <w:pPr>
              <w:pStyle w:val="61"/>
              <w:spacing w:line="360" w:lineRule="auto"/>
              <w:jc w:val="center"/>
              <w:rPr>
                <w:rFonts w:ascii="宋体" w:hAnsi="宋体" w:cs="Tahoma"/>
                <w:b/>
                <w:bCs/>
                <w:color w:val="auto"/>
                <w:sz w:val="24"/>
              </w:rPr>
            </w:pPr>
            <w:r>
              <w:rPr>
                <w:rFonts w:hint="eastAsia" w:ascii="宋体" w:hAnsi="宋体" w:cs="Tahoma"/>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5907DB3">
            <w:pPr>
              <w:pStyle w:val="61"/>
              <w:spacing w:line="360" w:lineRule="auto"/>
              <w:jc w:val="center"/>
              <w:rPr>
                <w:rFonts w:ascii="宋体" w:hAnsi="宋体" w:cs="Tahoma"/>
                <w:b/>
                <w:bCs/>
                <w:color w:val="auto"/>
                <w:sz w:val="24"/>
              </w:rPr>
            </w:pPr>
            <w:r>
              <w:rPr>
                <w:rFonts w:hint="eastAsia" w:ascii="宋体" w:hAnsi="宋体" w:cs="Tahoma"/>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639C687">
            <w:pPr>
              <w:pStyle w:val="61"/>
              <w:spacing w:line="360" w:lineRule="auto"/>
              <w:jc w:val="center"/>
              <w:rPr>
                <w:rFonts w:ascii="宋体" w:hAnsi="宋体" w:cs="Tahoma"/>
                <w:b/>
                <w:bCs/>
                <w:color w:val="auto"/>
                <w:sz w:val="24"/>
              </w:rPr>
            </w:pPr>
            <w:r>
              <w:rPr>
                <w:rFonts w:hint="eastAsia" w:ascii="宋体" w:hAnsi="宋体" w:cs="Tahoma"/>
                <w:b/>
                <w:bCs/>
                <w:color w:val="auto"/>
                <w:sz w:val="24"/>
              </w:rPr>
              <w:t>项目单位名称及其联系人电话</w:t>
            </w:r>
          </w:p>
        </w:tc>
      </w:tr>
      <w:tr w14:paraId="77F1A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656E506">
            <w:pPr>
              <w:pStyle w:val="61"/>
              <w:spacing w:line="360" w:lineRule="auto"/>
              <w:jc w:val="center"/>
              <w:rPr>
                <w:rFonts w:ascii="宋体" w:hAnsi="宋体" w:cs="Tahoma"/>
                <w:color w:val="auto"/>
                <w:sz w:val="24"/>
              </w:rPr>
            </w:pPr>
            <w:r>
              <w:rPr>
                <w:rFonts w:hint="eastAsia" w:ascii="宋体" w:hAnsi="宋体" w:cs="Tahoma"/>
                <w:color w:val="auto"/>
                <w:sz w:val="24"/>
              </w:rPr>
              <w:t>1</w:t>
            </w:r>
          </w:p>
        </w:tc>
        <w:tc>
          <w:tcPr>
            <w:tcW w:w="1293" w:type="dxa"/>
            <w:tcBorders>
              <w:top w:val="single" w:color="auto" w:sz="6" w:space="0"/>
              <w:left w:val="single" w:color="auto" w:sz="6" w:space="0"/>
              <w:bottom w:val="single" w:color="auto" w:sz="6" w:space="0"/>
              <w:right w:val="single" w:color="auto" w:sz="6" w:space="0"/>
            </w:tcBorders>
          </w:tcPr>
          <w:p w14:paraId="44DC6015">
            <w:pPr>
              <w:pStyle w:val="61"/>
              <w:spacing w:line="360" w:lineRule="auto"/>
              <w:rPr>
                <w:rFonts w:ascii="宋体" w:hAnsi="宋体" w:cs="Tahoma"/>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1B4091CE">
            <w:pPr>
              <w:pStyle w:val="61"/>
              <w:spacing w:line="360" w:lineRule="auto"/>
              <w:rPr>
                <w:rFonts w:ascii="宋体" w:hAnsi="宋体" w:cs="Tahom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BB291EF">
            <w:pPr>
              <w:pStyle w:val="61"/>
              <w:spacing w:line="360" w:lineRule="auto"/>
              <w:rPr>
                <w:rFonts w:ascii="宋体" w:hAnsi="宋体" w:cs="Tahoma"/>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48563503">
            <w:pPr>
              <w:pStyle w:val="61"/>
              <w:spacing w:line="360" w:lineRule="auto"/>
              <w:rPr>
                <w:rFonts w:ascii="宋体" w:hAnsi="宋体" w:cs="Tahoma"/>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01D4049B">
            <w:pPr>
              <w:pStyle w:val="61"/>
              <w:spacing w:line="360" w:lineRule="auto"/>
              <w:rPr>
                <w:rFonts w:ascii="宋体" w:hAnsi="宋体" w:cs="Tahoma"/>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7A948A44">
            <w:pPr>
              <w:pStyle w:val="61"/>
              <w:spacing w:line="360" w:lineRule="auto"/>
              <w:rPr>
                <w:rFonts w:ascii="宋体" w:hAnsi="宋体" w:cs="Tahoma"/>
                <w:color w:val="auto"/>
                <w:sz w:val="24"/>
              </w:rPr>
            </w:pPr>
          </w:p>
        </w:tc>
      </w:tr>
      <w:tr w14:paraId="78F5B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07A1B9C3">
            <w:pPr>
              <w:pStyle w:val="61"/>
              <w:spacing w:line="360" w:lineRule="auto"/>
              <w:jc w:val="center"/>
              <w:rPr>
                <w:rFonts w:ascii="宋体" w:hAnsi="宋体" w:cs="Tahoma"/>
                <w:color w:val="auto"/>
                <w:sz w:val="24"/>
              </w:rPr>
            </w:pPr>
            <w:r>
              <w:rPr>
                <w:rFonts w:hint="eastAsia" w:ascii="宋体" w:hAnsi="宋体" w:cs="Tahoma"/>
                <w:color w:val="auto"/>
                <w:sz w:val="24"/>
              </w:rPr>
              <w:t>2</w:t>
            </w:r>
          </w:p>
        </w:tc>
        <w:tc>
          <w:tcPr>
            <w:tcW w:w="1293" w:type="dxa"/>
            <w:tcBorders>
              <w:top w:val="single" w:color="auto" w:sz="6" w:space="0"/>
              <w:left w:val="single" w:color="auto" w:sz="6" w:space="0"/>
              <w:bottom w:val="single" w:color="auto" w:sz="6" w:space="0"/>
              <w:right w:val="single" w:color="auto" w:sz="6" w:space="0"/>
            </w:tcBorders>
          </w:tcPr>
          <w:p w14:paraId="0C0B0DD7">
            <w:pPr>
              <w:pStyle w:val="61"/>
              <w:spacing w:line="360" w:lineRule="auto"/>
              <w:rPr>
                <w:rFonts w:ascii="宋体" w:hAnsi="宋体" w:cs="Tahoma"/>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735449A0">
            <w:pPr>
              <w:pStyle w:val="61"/>
              <w:spacing w:line="360" w:lineRule="auto"/>
              <w:rPr>
                <w:rFonts w:ascii="宋体" w:hAnsi="宋体" w:cs="Tahom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FEDBF7F">
            <w:pPr>
              <w:pStyle w:val="61"/>
              <w:spacing w:line="360" w:lineRule="auto"/>
              <w:rPr>
                <w:rFonts w:ascii="宋体" w:hAnsi="宋体" w:cs="Tahoma"/>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2319B931">
            <w:pPr>
              <w:pStyle w:val="61"/>
              <w:spacing w:line="360" w:lineRule="auto"/>
              <w:rPr>
                <w:rFonts w:ascii="宋体" w:hAnsi="宋体" w:cs="Tahoma"/>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55B6C65F">
            <w:pPr>
              <w:pStyle w:val="61"/>
              <w:spacing w:line="360" w:lineRule="auto"/>
              <w:rPr>
                <w:rFonts w:ascii="宋体" w:hAnsi="宋体" w:cs="Tahoma"/>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5BBA6E31">
            <w:pPr>
              <w:pStyle w:val="61"/>
              <w:spacing w:line="360" w:lineRule="auto"/>
              <w:rPr>
                <w:rFonts w:ascii="宋体" w:hAnsi="宋体" w:cs="Tahoma"/>
                <w:color w:val="auto"/>
                <w:sz w:val="24"/>
              </w:rPr>
            </w:pPr>
          </w:p>
        </w:tc>
      </w:tr>
      <w:tr w14:paraId="1C9E3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4C7DB1B4">
            <w:pPr>
              <w:pStyle w:val="61"/>
              <w:spacing w:line="360" w:lineRule="auto"/>
              <w:jc w:val="center"/>
              <w:rPr>
                <w:rFonts w:ascii="宋体" w:hAnsi="宋体" w:cs="Tahoma"/>
                <w:color w:val="auto"/>
                <w:sz w:val="24"/>
              </w:rPr>
            </w:pPr>
            <w:r>
              <w:rPr>
                <w:rFonts w:hint="eastAsia" w:ascii="宋体" w:hAnsi="宋体" w:cs="Tahoma"/>
                <w:color w:val="auto"/>
                <w:sz w:val="24"/>
              </w:rPr>
              <w:t>3</w:t>
            </w:r>
          </w:p>
        </w:tc>
        <w:tc>
          <w:tcPr>
            <w:tcW w:w="1293" w:type="dxa"/>
            <w:tcBorders>
              <w:top w:val="single" w:color="auto" w:sz="6" w:space="0"/>
              <w:left w:val="single" w:color="auto" w:sz="6" w:space="0"/>
              <w:bottom w:val="single" w:color="auto" w:sz="6" w:space="0"/>
              <w:right w:val="single" w:color="auto" w:sz="6" w:space="0"/>
            </w:tcBorders>
          </w:tcPr>
          <w:p w14:paraId="4B2AD05D">
            <w:pPr>
              <w:pStyle w:val="61"/>
              <w:spacing w:line="360" w:lineRule="auto"/>
              <w:rPr>
                <w:rFonts w:ascii="宋体" w:hAnsi="宋体" w:cs="Tahoma"/>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5E427B25">
            <w:pPr>
              <w:pStyle w:val="61"/>
              <w:spacing w:line="360" w:lineRule="auto"/>
              <w:rPr>
                <w:rFonts w:ascii="宋体" w:hAnsi="宋体" w:cs="Tahom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AAF0443">
            <w:pPr>
              <w:pStyle w:val="61"/>
              <w:spacing w:line="360" w:lineRule="auto"/>
              <w:rPr>
                <w:rFonts w:ascii="宋体" w:hAnsi="宋体" w:cs="Tahoma"/>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0E32D70D">
            <w:pPr>
              <w:pStyle w:val="61"/>
              <w:spacing w:line="360" w:lineRule="auto"/>
              <w:rPr>
                <w:rFonts w:ascii="宋体" w:hAnsi="宋体" w:cs="Tahoma"/>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6460B1BA">
            <w:pPr>
              <w:pStyle w:val="61"/>
              <w:spacing w:line="360" w:lineRule="auto"/>
              <w:rPr>
                <w:rFonts w:ascii="宋体" w:hAnsi="宋体" w:cs="Tahoma"/>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086A4B25">
            <w:pPr>
              <w:pStyle w:val="61"/>
              <w:spacing w:line="360" w:lineRule="auto"/>
              <w:rPr>
                <w:rFonts w:ascii="宋体" w:hAnsi="宋体" w:cs="Tahoma"/>
                <w:color w:val="auto"/>
                <w:sz w:val="24"/>
              </w:rPr>
            </w:pPr>
          </w:p>
        </w:tc>
      </w:tr>
      <w:tr w14:paraId="47DDC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22F4924">
            <w:pPr>
              <w:pStyle w:val="61"/>
              <w:spacing w:line="360" w:lineRule="auto"/>
              <w:rPr>
                <w:rFonts w:ascii="宋体" w:hAnsi="宋体" w:cs="Tahoma"/>
                <w:color w:val="auto"/>
                <w:sz w:val="24"/>
              </w:rPr>
            </w:pPr>
            <w:r>
              <w:rPr>
                <w:rFonts w:hint="eastAsia" w:ascii="宋体" w:hAnsi="宋体" w:cs="Tahoma"/>
                <w:color w:val="auto"/>
                <w:sz w:val="24"/>
              </w:rPr>
              <w:t>…</w:t>
            </w:r>
          </w:p>
        </w:tc>
        <w:tc>
          <w:tcPr>
            <w:tcW w:w="1293" w:type="dxa"/>
            <w:tcBorders>
              <w:top w:val="single" w:color="auto" w:sz="6" w:space="0"/>
              <w:left w:val="single" w:color="auto" w:sz="6" w:space="0"/>
              <w:bottom w:val="single" w:color="auto" w:sz="6" w:space="0"/>
              <w:right w:val="single" w:color="auto" w:sz="6" w:space="0"/>
            </w:tcBorders>
          </w:tcPr>
          <w:p w14:paraId="6781434F">
            <w:pPr>
              <w:pStyle w:val="61"/>
              <w:spacing w:line="360" w:lineRule="auto"/>
              <w:rPr>
                <w:rFonts w:ascii="宋体" w:hAnsi="宋体" w:cs="Tahoma"/>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2B68486C">
            <w:pPr>
              <w:pStyle w:val="61"/>
              <w:spacing w:line="360" w:lineRule="auto"/>
              <w:rPr>
                <w:rFonts w:ascii="宋体" w:hAnsi="宋体" w:cs="Tahom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5F759FB">
            <w:pPr>
              <w:pStyle w:val="61"/>
              <w:spacing w:line="360" w:lineRule="auto"/>
              <w:rPr>
                <w:rFonts w:ascii="宋体" w:hAnsi="宋体" w:cs="Tahoma"/>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3C1509CC">
            <w:pPr>
              <w:pStyle w:val="61"/>
              <w:spacing w:line="360" w:lineRule="auto"/>
              <w:rPr>
                <w:rFonts w:ascii="宋体" w:hAnsi="宋体" w:cs="Tahoma"/>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4AFB1B76">
            <w:pPr>
              <w:pStyle w:val="61"/>
              <w:spacing w:line="360" w:lineRule="auto"/>
              <w:rPr>
                <w:rFonts w:ascii="宋体" w:hAnsi="宋体" w:cs="Tahoma"/>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5B188CF1">
            <w:pPr>
              <w:pStyle w:val="61"/>
              <w:spacing w:line="360" w:lineRule="auto"/>
              <w:rPr>
                <w:rFonts w:ascii="宋体" w:hAnsi="宋体" w:cs="Tahoma"/>
                <w:color w:val="auto"/>
                <w:sz w:val="24"/>
              </w:rPr>
            </w:pPr>
          </w:p>
        </w:tc>
      </w:tr>
      <w:tr w14:paraId="6DF32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848095D">
            <w:pPr>
              <w:pStyle w:val="61"/>
              <w:spacing w:line="360" w:lineRule="auto"/>
              <w:rPr>
                <w:rFonts w:ascii="宋体" w:hAnsi="宋体" w:cs="Tahoma"/>
                <w:color w:val="auto"/>
                <w:sz w:val="24"/>
              </w:rPr>
            </w:pPr>
          </w:p>
        </w:tc>
        <w:tc>
          <w:tcPr>
            <w:tcW w:w="1293" w:type="dxa"/>
            <w:tcBorders>
              <w:top w:val="single" w:color="auto" w:sz="6" w:space="0"/>
              <w:left w:val="single" w:color="auto" w:sz="6" w:space="0"/>
              <w:bottom w:val="single" w:color="auto" w:sz="6" w:space="0"/>
              <w:right w:val="single" w:color="auto" w:sz="6" w:space="0"/>
            </w:tcBorders>
          </w:tcPr>
          <w:p w14:paraId="2C180288">
            <w:pPr>
              <w:pStyle w:val="61"/>
              <w:spacing w:line="360" w:lineRule="auto"/>
              <w:rPr>
                <w:rFonts w:ascii="宋体" w:hAnsi="宋体" w:cs="Tahoma"/>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1D4618EB">
            <w:pPr>
              <w:pStyle w:val="61"/>
              <w:spacing w:line="360" w:lineRule="auto"/>
              <w:rPr>
                <w:rFonts w:ascii="宋体" w:hAnsi="宋体" w:cs="Tahom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E052B89">
            <w:pPr>
              <w:pStyle w:val="61"/>
              <w:spacing w:line="360" w:lineRule="auto"/>
              <w:rPr>
                <w:rFonts w:ascii="宋体" w:hAnsi="宋体" w:cs="Tahoma"/>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4BF94010">
            <w:pPr>
              <w:pStyle w:val="61"/>
              <w:spacing w:line="360" w:lineRule="auto"/>
              <w:rPr>
                <w:rFonts w:ascii="宋体" w:hAnsi="宋体" w:cs="Tahoma"/>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1E702BBA">
            <w:pPr>
              <w:pStyle w:val="61"/>
              <w:spacing w:line="360" w:lineRule="auto"/>
              <w:rPr>
                <w:rFonts w:ascii="宋体" w:hAnsi="宋体" w:cs="Tahoma"/>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12079204">
            <w:pPr>
              <w:pStyle w:val="61"/>
              <w:spacing w:line="360" w:lineRule="auto"/>
              <w:rPr>
                <w:rFonts w:ascii="宋体" w:hAnsi="宋体" w:cs="Tahoma"/>
                <w:color w:val="auto"/>
                <w:sz w:val="24"/>
              </w:rPr>
            </w:pPr>
          </w:p>
        </w:tc>
      </w:tr>
      <w:tr w14:paraId="7C251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2592AD7">
            <w:pPr>
              <w:pStyle w:val="61"/>
              <w:spacing w:line="360" w:lineRule="auto"/>
              <w:rPr>
                <w:rFonts w:ascii="宋体" w:hAnsi="宋体" w:cs="Tahoma"/>
                <w:color w:val="auto"/>
                <w:sz w:val="24"/>
              </w:rPr>
            </w:pPr>
          </w:p>
        </w:tc>
        <w:tc>
          <w:tcPr>
            <w:tcW w:w="1293" w:type="dxa"/>
            <w:tcBorders>
              <w:top w:val="single" w:color="auto" w:sz="6" w:space="0"/>
              <w:left w:val="single" w:color="auto" w:sz="6" w:space="0"/>
              <w:bottom w:val="single" w:color="auto" w:sz="6" w:space="0"/>
              <w:right w:val="single" w:color="auto" w:sz="6" w:space="0"/>
            </w:tcBorders>
          </w:tcPr>
          <w:p w14:paraId="70513270">
            <w:pPr>
              <w:pStyle w:val="61"/>
              <w:spacing w:line="360" w:lineRule="auto"/>
              <w:rPr>
                <w:rFonts w:ascii="宋体" w:hAnsi="宋体" w:cs="Tahoma"/>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6F8F432D">
            <w:pPr>
              <w:pStyle w:val="61"/>
              <w:spacing w:line="360" w:lineRule="auto"/>
              <w:rPr>
                <w:rFonts w:ascii="宋体" w:hAnsi="宋体" w:cs="Tahom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8CE6AE2">
            <w:pPr>
              <w:pStyle w:val="61"/>
              <w:spacing w:line="360" w:lineRule="auto"/>
              <w:rPr>
                <w:rFonts w:ascii="宋体" w:hAnsi="宋体" w:cs="Tahoma"/>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72957143">
            <w:pPr>
              <w:pStyle w:val="61"/>
              <w:spacing w:line="360" w:lineRule="auto"/>
              <w:rPr>
                <w:rFonts w:ascii="宋体" w:hAnsi="宋体" w:cs="Tahoma"/>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67485F28">
            <w:pPr>
              <w:pStyle w:val="61"/>
              <w:spacing w:line="360" w:lineRule="auto"/>
              <w:rPr>
                <w:rFonts w:ascii="宋体" w:hAnsi="宋体" w:cs="Tahoma"/>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01E60098">
            <w:pPr>
              <w:pStyle w:val="61"/>
              <w:spacing w:line="360" w:lineRule="auto"/>
              <w:rPr>
                <w:rFonts w:ascii="宋体" w:hAnsi="宋体" w:cs="Tahoma"/>
                <w:color w:val="auto"/>
                <w:sz w:val="24"/>
              </w:rPr>
            </w:pPr>
          </w:p>
        </w:tc>
      </w:tr>
      <w:tr w14:paraId="1AB1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779DD97">
            <w:pPr>
              <w:pStyle w:val="61"/>
              <w:spacing w:line="360" w:lineRule="auto"/>
              <w:rPr>
                <w:rFonts w:ascii="宋体" w:hAnsi="宋体" w:cs="Tahoma"/>
                <w:color w:val="auto"/>
                <w:sz w:val="24"/>
              </w:rPr>
            </w:pPr>
          </w:p>
        </w:tc>
        <w:tc>
          <w:tcPr>
            <w:tcW w:w="1293" w:type="dxa"/>
            <w:tcBorders>
              <w:top w:val="single" w:color="auto" w:sz="6" w:space="0"/>
              <w:left w:val="single" w:color="auto" w:sz="6" w:space="0"/>
              <w:bottom w:val="single" w:color="auto" w:sz="6" w:space="0"/>
              <w:right w:val="single" w:color="auto" w:sz="6" w:space="0"/>
            </w:tcBorders>
          </w:tcPr>
          <w:p w14:paraId="3DFE5F3B">
            <w:pPr>
              <w:pStyle w:val="61"/>
              <w:spacing w:line="360" w:lineRule="auto"/>
              <w:rPr>
                <w:rFonts w:ascii="宋体" w:hAnsi="宋体" w:cs="Tahoma"/>
                <w:color w:val="auto"/>
                <w:sz w:val="24"/>
              </w:rPr>
            </w:pPr>
          </w:p>
        </w:tc>
        <w:tc>
          <w:tcPr>
            <w:tcW w:w="1575" w:type="dxa"/>
            <w:tcBorders>
              <w:top w:val="single" w:color="auto" w:sz="6" w:space="0"/>
              <w:left w:val="single" w:color="auto" w:sz="6" w:space="0"/>
              <w:bottom w:val="single" w:color="auto" w:sz="6" w:space="0"/>
              <w:right w:val="single" w:color="auto" w:sz="6" w:space="0"/>
            </w:tcBorders>
          </w:tcPr>
          <w:p w14:paraId="0D819FB7">
            <w:pPr>
              <w:pStyle w:val="61"/>
              <w:spacing w:line="360" w:lineRule="auto"/>
              <w:rPr>
                <w:rFonts w:ascii="宋体" w:hAnsi="宋体" w:cs="Tahom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6A07DFB">
            <w:pPr>
              <w:pStyle w:val="61"/>
              <w:spacing w:line="360" w:lineRule="auto"/>
              <w:rPr>
                <w:rFonts w:ascii="宋体" w:hAnsi="宋体" w:cs="Tahoma"/>
                <w:color w:val="auto"/>
                <w:sz w:val="24"/>
              </w:rPr>
            </w:pPr>
          </w:p>
        </w:tc>
        <w:tc>
          <w:tcPr>
            <w:tcW w:w="1452" w:type="dxa"/>
            <w:tcBorders>
              <w:top w:val="single" w:color="auto" w:sz="6" w:space="0"/>
              <w:left w:val="single" w:color="auto" w:sz="6" w:space="0"/>
              <w:bottom w:val="single" w:color="auto" w:sz="6" w:space="0"/>
              <w:right w:val="single" w:color="auto" w:sz="6" w:space="0"/>
            </w:tcBorders>
          </w:tcPr>
          <w:p w14:paraId="48A9A513">
            <w:pPr>
              <w:pStyle w:val="61"/>
              <w:spacing w:line="360" w:lineRule="auto"/>
              <w:rPr>
                <w:rFonts w:ascii="宋体" w:hAnsi="宋体" w:cs="Tahoma"/>
                <w:color w:val="auto"/>
                <w:sz w:val="24"/>
              </w:rPr>
            </w:pPr>
          </w:p>
        </w:tc>
        <w:tc>
          <w:tcPr>
            <w:tcW w:w="1383" w:type="dxa"/>
            <w:tcBorders>
              <w:top w:val="single" w:color="auto" w:sz="6" w:space="0"/>
              <w:left w:val="single" w:color="auto" w:sz="6" w:space="0"/>
              <w:bottom w:val="single" w:color="auto" w:sz="6" w:space="0"/>
              <w:right w:val="single" w:color="auto" w:sz="6" w:space="0"/>
            </w:tcBorders>
          </w:tcPr>
          <w:p w14:paraId="7A711195">
            <w:pPr>
              <w:pStyle w:val="61"/>
              <w:spacing w:line="360" w:lineRule="auto"/>
              <w:rPr>
                <w:rFonts w:ascii="宋体" w:hAnsi="宋体" w:cs="Tahoma"/>
                <w:color w:val="auto"/>
                <w:sz w:val="24"/>
              </w:rPr>
            </w:pPr>
          </w:p>
        </w:tc>
        <w:tc>
          <w:tcPr>
            <w:tcW w:w="2037" w:type="dxa"/>
            <w:tcBorders>
              <w:top w:val="single" w:color="auto" w:sz="6" w:space="0"/>
              <w:left w:val="single" w:color="auto" w:sz="6" w:space="0"/>
              <w:bottom w:val="single" w:color="auto" w:sz="6" w:space="0"/>
              <w:right w:val="single" w:color="auto" w:sz="6" w:space="0"/>
            </w:tcBorders>
          </w:tcPr>
          <w:p w14:paraId="06D7F16F">
            <w:pPr>
              <w:pStyle w:val="61"/>
              <w:spacing w:line="360" w:lineRule="auto"/>
              <w:rPr>
                <w:rFonts w:ascii="宋体" w:hAnsi="宋体" w:cs="Tahoma"/>
                <w:color w:val="auto"/>
                <w:sz w:val="24"/>
              </w:rPr>
            </w:pPr>
          </w:p>
        </w:tc>
      </w:tr>
    </w:tbl>
    <w:p w14:paraId="3A854D00">
      <w:pPr>
        <w:autoSpaceDE w:val="0"/>
        <w:autoSpaceDN w:val="0"/>
        <w:adjustRightInd w:val="0"/>
        <w:spacing w:before="156" w:beforeLines="50" w:line="360" w:lineRule="auto"/>
        <w:rPr>
          <w:rFonts w:ascii="宋体" w:hAnsi="宋体" w:cs="Tahoma"/>
          <w:b/>
          <w:color w:val="auto"/>
          <w:szCs w:val="21"/>
        </w:rPr>
      </w:pPr>
      <w:r>
        <w:rPr>
          <w:rFonts w:hint="eastAsia" w:ascii="宋体" w:hAnsi="宋体" w:cs="Tahoma"/>
          <w:b/>
          <w:color w:val="auto"/>
          <w:szCs w:val="21"/>
        </w:rPr>
        <w:t>要求</w:t>
      </w:r>
      <w:r>
        <w:rPr>
          <w:rFonts w:ascii="宋体" w:hAnsi="宋体" w:cs="Tahoma"/>
          <w:b/>
          <w:color w:val="auto"/>
          <w:szCs w:val="21"/>
        </w:rPr>
        <w:t>：</w:t>
      </w:r>
    </w:p>
    <w:p w14:paraId="71E08399">
      <w:pPr>
        <w:autoSpaceDE w:val="0"/>
        <w:autoSpaceDN w:val="0"/>
        <w:adjustRightInd w:val="0"/>
        <w:spacing w:before="156" w:beforeLines="50" w:line="360" w:lineRule="auto"/>
        <w:ind w:firstLine="424" w:firstLineChars="202"/>
        <w:rPr>
          <w:rFonts w:ascii="宋体" w:hAnsi="宋体" w:cs="Tahoma"/>
          <w:b/>
          <w:color w:val="auto"/>
          <w:szCs w:val="21"/>
        </w:rPr>
      </w:pPr>
      <w:r>
        <w:rPr>
          <w:rFonts w:ascii="宋体" w:hAnsi="宋体" w:cs="Tahoma"/>
          <w:color w:val="auto"/>
          <w:szCs w:val="21"/>
        </w:rPr>
        <w:t>1</w:t>
      </w:r>
      <w:r>
        <w:rPr>
          <w:rFonts w:hint="eastAsia" w:ascii="宋体" w:hAnsi="宋体" w:cs="Tahoma"/>
          <w:color w:val="auto"/>
          <w:szCs w:val="21"/>
        </w:rPr>
        <w:t>.</w:t>
      </w:r>
      <w:r>
        <w:rPr>
          <w:rFonts w:ascii="宋体" w:hAnsi="宋体" w:cs="Tahoma"/>
          <w:color w:val="auto"/>
          <w:szCs w:val="21"/>
        </w:rPr>
        <w:t>业绩证明应提供证明材料</w:t>
      </w:r>
      <w:r>
        <w:rPr>
          <w:rFonts w:hint="eastAsia" w:ascii="宋体" w:hAnsi="宋体" w:cs="Tahoma"/>
          <w:color w:val="auto"/>
          <w:szCs w:val="21"/>
        </w:rPr>
        <w:t>原件的扫描件</w:t>
      </w:r>
      <w:r>
        <w:rPr>
          <w:rFonts w:ascii="宋体" w:hAnsi="宋体" w:cs="Tahoma"/>
          <w:color w:val="auto"/>
          <w:szCs w:val="21"/>
        </w:rPr>
        <w:t>（合同</w:t>
      </w:r>
      <w:r>
        <w:rPr>
          <w:rFonts w:hint="eastAsia" w:ascii="宋体" w:hAnsi="宋体" w:cs="Tahoma"/>
          <w:color w:val="auto"/>
          <w:szCs w:val="21"/>
        </w:rPr>
        <w:t>原件的扫描件可只提供首页、显示</w:t>
      </w:r>
      <w:r>
        <w:rPr>
          <w:rFonts w:ascii="宋体" w:hAnsi="宋体" w:cs="Tahoma"/>
          <w:color w:val="auto"/>
          <w:szCs w:val="21"/>
        </w:rPr>
        <w:t>项目特征规模页、</w:t>
      </w:r>
      <w:r>
        <w:rPr>
          <w:rFonts w:hint="eastAsia" w:ascii="宋体" w:hAnsi="宋体" w:cs="Tahoma"/>
          <w:color w:val="auto"/>
          <w:szCs w:val="21"/>
        </w:rPr>
        <w:t>含金额页、盖章页并加盖磋商供应商公章</w:t>
      </w:r>
      <w:r>
        <w:rPr>
          <w:rFonts w:ascii="宋体" w:hAnsi="宋体" w:cs="Tahoma"/>
          <w:color w:val="auto"/>
          <w:szCs w:val="21"/>
        </w:rPr>
        <w:t>）；</w:t>
      </w:r>
    </w:p>
    <w:p w14:paraId="0DCE1A1F">
      <w:pPr>
        <w:spacing w:line="360" w:lineRule="auto"/>
        <w:ind w:firstLine="424" w:firstLineChars="202"/>
        <w:jc w:val="left"/>
        <w:rPr>
          <w:rFonts w:ascii="宋体" w:hAnsi="宋体" w:cs="Tahoma"/>
          <w:color w:val="auto"/>
          <w:szCs w:val="21"/>
        </w:rPr>
      </w:pPr>
      <w:r>
        <w:rPr>
          <w:rFonts w:ascii="宋体" w:hAnsi="宋体" w:cs="Tahoma"/>
          <w:color w:val="auto"/>
          <w:szCs w:val="21"/>
        </w:rPr>
        <w:t>2</w:t>
      </w:r>
      <w:r>
        <w:rPr>
          <w:rFonts w:hint="eastAsia" w:ascii="宋体" w:hAnsi="宋体" w:cs="Tahoma"/>
          <w:color w:val="auto"/>
          <w:szCs w:val="21"/>
        </w:rPr>
        <w:t>.磋商供应商</w:t>
      </w:r>
      <w:r>
        <w:rPr>
          <w:rFonts w:ascii="宋体" w:hAnsi="宋体" w:cs="Tahoma"/>
          <w:color w:val="auto"/>
          <w:szCs w:val="21"/>
        </w:rPr>
        <w:t>可按此表格式复制</w:t>
      </w:r>
      <w:r>
        <w:rPr>
          <w:rFonts w:hint="eastAsia" w:ascii="宋体" w:hAnsi="宋体" w:cs="Tahoma"/>
          <w:color w:val="auto"/>
          <w:szCs w:val="21"/>
        </w:rPr>
        <w:t>。</w:t>
      </w:r>
    </w:p>
    <w:p w14:paraId="2FD1BEF5">
      <w:pPr>
        <w:spacing w:line="360" w:lineRule="auto"/>
        <w:rPr>
          <w:rFonts w:ascii="宋体" w:hAnsi="宋体"/>
          <w:color w:val="auto"/>
          <w:sz w:val="22"/>
          <w:szCs w:val="22"/>
        </w:rPr>
      </w:pPr>
    </w:p>
    <w:p w14:paraId="1DC2E738">
      <w:pPr>
        <w:spacing w:line="360" w:lineRule="auto"/>
        <w:rPr>
          <w:rFonts w:ascii="宋体" w:hAnsi="宋体"/>
          <w:color w:val="auto"/>
          <w:sz w:val="22"/>
          <w:szCs w:val="22"/>
        </w:rPr>
      </w:pPr>
    </w:p>
    <w:p w14:paraId="391745A4">
      <w:pPr>
        <w:spacing w:line="360" w:lineRule="auto"/>
        <w:ind w:left="420"/>
        <w:rPr>
          <w:rFonts w:ascii="宋体" w:hAnsi="宋体"/>
          <w:color w:val="auto"/>
          <w:sz w:val="24"/>
          <w:u w:val="single"/>
        </w:rPr>
      </w:pPr>
      <w:r>
        <w:rPr>
          <w:rFonts w:hint="eastAsia" w:ascii="宋体" w:hAnsi="宋体"/>
          <w:color w:val="auto"/>
          <w:sz w:val="24"/>
        </w:rPr>
        <w:t>磋商供应商名称（公章）：</w:t>
      </w:r>
      <w:r>
        <w:rPr>
          <w:rFonts w:hint="eastAsia" w:ascii="宋体" w:hAnsi="宋体"/>
          <w:color w:val="auto"/>
          <w:sz w:val="24"/>
          <w:u w:val="single"/>
        </w:rPr>
        <w:t xml:space="preserve">                       </w:t>
      </w:r>
    </w:p>
    <w:p w14:paraId="5D706609">
      <w:pPr>
        <w:spacing w:line="360" w:lineRule="auto"/>
        <w:ind w:left="420"/>
        <w:rPr>
          <w:rFonts w:ascii="宋体" w:hAnsi="宋体"/>
          <w:color w:val="auto"/>
          <w:sz w:val="24"/>
        </w:rPr>
      </w:pPr>
    </w:p>
    <w:p w14:paraId="63A93E76">
      <w:pPr>
        <w:spacing w:line="360" w:lineRule="auto"/>
        <w:ind w:firstLine="435"/>
        <w:rPr>
          <w:rFonts w:ascii="宋体" w:hAnsi="宋体"/>
          <w:color w:val="auto"/>
          <w:sz w:val="24"/>
        </w:rPr>
      </w:pPr>
      <w:r>
        <w:rPr>
          <w:rFonts w:hint="eastAsia" w:ascii="宋体" w:hAnsi="宋体"/>
          <w:color w:val="auto"/>
          <w:sz w:val="24"/>
        </w:rPr>
        <w:t>磋商供应商代表签章或签字：</w:t>
      </w:r>
      <w:r>
        <w:rPr>
          <w:rFonts w:hint="eastAsia" w:ascii="宋体" w:hAnsi="宋体"/>
          <w:color w:val="auto"/>
          <w:sz w:val="24"/>
          <w:u w:val="single"/>
        </w:rPr>
        <w:t xml:space="preserve">                          </w:t>
      </w:r>
    </w:p>
    <w:p w14:paraId="67288D6D">
      <w:pPr>
        <w:spacing w:line="360" w:lineRule="auto"/>
        <w:ind w:firstLine="435"/>
        <w:rPr>
          <w:rFonts w:ascii="宋体" w:hAnsi="宋体"/>
          <w:color w:val="auto"/>
          <w:sz w:val="24"/>
        </w:rPr>
      </w:pPr>
    </w:p>
    <w:p w14:paraId="3E611D87">
      <w:pPr>
        <w:spacing w:line="360" w:lineRule="auto"/>
        <w:ind w:firstLine="435"/>
        <w:rPr>
          <w:rFonts w:ascii="宋体" w:hAnsi="宋体"/>
          <w:color w:val="auto"/>
          <w:sz w:val="24"/>
          <w:u w:val="single"/>
        </w:rPr>
      </w:pPr>
      <w:r>
        <w:rPr>
          <w:rFonts w:hint="eastAsia" w:ascii="宋体" w:hAnsi="宋体"/>
          <w:color w:val="auto"/>
          <w:sz w:val="24"/>
        </w:rPr>
        <w:t>职        务：</w:t>
      </w:r>
      <w:r>
        <w:rPr>
          <w:rFonts w:hint="eastAsia" w:ascii="宋体" w:hAnsi="宋体"/>
          <w:color w:val="auto"/>
          <w:sz w:val="24"/>
          <w:u w:val="single"/>
        </w:rPr>
        <w:t xml:space="preserve">                             </w:t>
      </w:r>
    </w:p>
    <w:p w14:paraId="464A5DEB">
      <w:pPr>
        <w:spacing w:line="360" w:lineRule="auto"/>
        <w:rPr>
          <w:rFonts w:ascii="宋体" w:hAnsi="宋体"/>
          <w:color w:val="auto"/>
          <w:sz w:val="24"/>
        </w:rPr>
      </w:pPr>
    </w:p>
    <w:p w14:paraId="07B0F6DF">
      <w:pPr>
        <w:spacing w:line="360" w:lineRule="auto"/>
        <w:ind w:firstLine="435"/>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4B3D6050">
      <w:pPr>
        <w:jc w:val="center"/>
        <w:rPr>
          <w:rFonts w:ascii="宋体" w:hAnsi="宋体"/>
          <w:snapToGrid w:val="0"/>
          <w:color w:val="auto"/>
          <w:kern w:val="0"/>
          <w:sz w:val="24"/>
        </w:rPr>
      </w:pPr>
    </w:p>
    <w:p w14:paraId="454F60CA">
      <w:pPr>
        <w:tabs>
          <w:tab w:val="left" w:pos="2460"/>
        </w:tabs>
        <w:spacing w:line="360" w:lineRule="auto"/>
        <w:rPr>
          <w:rFonts w:ascii="宋体" w:hAnsi="宋体"/>
          <w:b/>
          <w:color w:val="auto"/>
          <w:sz w:val="30"/>
          <w:szCs w:val="30"/>
        </w:rPr>
      </w:pPr>
      <w:r>
        <w:rPr>
          <w:rFonts w:hint="eastAsia" w:ascii="宋体" w:hAnsi="宋体"/>
          <w:b/>
          <w:color w:val="auto"/>
          <w:sz w:val="28"/>
        </w:rPr>
        <w:t>附件</w:t>
      </w:r>
      <w:r>
        <w:rPr>
          <w:rFonts w:hint="eastAsia" w:ascii="宋体" w:hAnsi="宋体"/>
          <w:b/>
          <w:color w:val="auto"/>
          <w:sz w:val="28"/>
          <w:lang w:val="en-US" w:eastAsia="zh-CN"/>
        </w:rPr>
        <w:t>12</w:t>
      </w:r>
      <w:r>
        <w:rPr>
          <w:rFonts w:ascii="宋体" w:hAnsi="宋体"/>
          <w:b/>
          <w:color w:val="auto"/>
          <w:sz w:val="28"/>
        </w:rPr>
        <w:tab/>
      </w:r>
      <w:r>
        <w:rPr>
          <w:rFonts w:hint="eastAsia" w:ascii="宋体" w:hAnsi="宋体"/>
          <w:b/>
          <w:color w:val="auto"/>
          <w:sz w:val="30"/>
          <w:szCs w:val="30"/>
        </w:rPr>
        <w:t xml:space="preserve">                              </w:t>
      </w:r>
    </w:p>
    <w:p w14:paraId="42B79EA8">
      <w:pPr>
        <w:spacing w:line="360" w:lineRule="auto"/>
        <w:ind w:left="-2" w:hanging="2"/>
        <w:jc w:val="center"/>
        <w:rPr>
          <w:rFonts w:ascii="宋体" w:hAnsi="宋体"/>
          <w:b/>
          <w:color w:val="auto"/>
          <w:sz w:val="32"/>
          <w:szCs w:val="32"/>
        </w:rPr>
      </w:pPr>
      <w:r>
        <w:rPr>
          <w:rFonts w:hint="eastAsia" w:ascii="宋体" w:hAnsi="宋体"/>
          <w:b/>
          <w:color w:val="auto"/>
          <w:sz w:val="32"/>
          <w:szCs w:val="32"/>
        </w:rPr>
        <w:t>首次报价一览表</w:t>
      </w:r>
    </w:p>
    <w:p w14:paraId="50DE94DB">
      <w:pPr>
        <w:spacing w:line="360" w:lineRule="auto"/>
        <w:ind w:left="-2" w:hanging="2"/>
        <w:jc w:val="center"/>
        <w:rPr>
          <w:rFonts w:ascii="宋体" w:hAnsi="宋体"/>
          <w:b/>
          <w:color w:val="auto"/>
          <w:sz w:val="32"/>
          <w:szCs w:val="32"/>
        </w:rPr>
      </w:pPr>
    </w:p>
    <w:p w14:paraId="4D8121E3">
      <w:pPr>
        <w:pStyle w:val="6"/>
        <w:spacing w:line="320" w:lineRule="exact"/>
        <w:rPr>
          <w:rFonts w:ascii="宋体" w:hAnsi="宋体" w:eastAsia="宋体"/>
          <w:b/>
          <w:color w:val="auto"/>
          <w:sz w:val="24"/>
        </w:rPr>
      </w:pPr>
    </w:p>
    <w:p w14:paraId="3BECFDC2">
      <w:pPr>
        <w:pStyle w:val="6"/>
        <w:spacing w:line="320" w:lineRule="exact"/>
        <w:rPr>
          <w:rFonts w:ascii="宋体" w:hAnsi="宋体" w:eastAsia="宋体"/>
          <w:b/>
          <w:color w:val="auto"/>
          <w:sz w:val="24"/>
          <w:u w:val="single"/>
        </w:rPr>
      </w:pPr>
      <w:r>
        <w:rPr>
          <w:rFonts w:ascii="宋体" w:hAnsi="宋体" w:eastAsia="宋体"/>
          <w:b/>
          <w:color w:val="auto"/>
          <w:sz w:val="24"/>
        </w:rPr>
        <w:t>项目编号：</w:t>
      </w:r>
      <w:r>
        <w:rPr>
          <w:rFonts w:hint="eastAsia" w:ascii="宋体" w:hAnsi="宋体" w:eastAsia="宋体"/>
          <w:b/>
          <w:color w:val="auto"/>
          <w:sz w:val="24"/>
          <w:u w:val="single"/>
        </w:rPr>
        <w:t xml:space="preserve">               </w:t>
      </w:r>
    </w:p>
    <w:p w14:paraId="10B07D21">
      <w:pPr>
        <w:pStyle w:val="50"/>
        <w:spacing w:line="360" w:lineRule="auto"/>
        <w:ind w:right="480"/>
        <w:jc w:val="left"/>
        <w:rPr>
          <w:rFonts w:ascii="宋体" w:hAnsi="宋体"/>
          <w:color w:val="auto"/>
          <w:sz w:val="24"/>
        </w:rPr>
      </w:pPr>
      <w:r>
        <w:rPr>
          <w:rFonts w:ascii="宋体" w:hAnsi="宋体"/>
          <w:b/>
          <w:color w:val="auto"/>
          <w:sz w:val="24"/>
        </w:rPr>
        <w:t>项目名称：</w:t>
      </w:r>
      <w:r>
        <w:rPr>
          <w:rFonts w:hint="eastAsia" w:ascii="宋体" w:hAnsi="宋体"/>
          <w:b/>
          <w:color w:val="auto"/>
          <w:sz w:val="24"/>
          <w:u w:val="single"/>
        </w:rPr>
        <w:t xml:space="preserve">               </w:t>
      </w:r>
      <w:r>
        <w:rPr>
          <w:rFonts w:hint="eastAsia" w:ascii="宋体" w:hAnsi="宋体"/>
          <w:color w:val="auto"/>
          <w:sz w:val="24"/>
        </w:rPr>
        <w:t xml:space="preserve">                    [货币单位：人民币元]</w:t>
      </w:r>
    </w:p>
    <w:tbl>
      <w:tblPr>
        <w:tblStyle w:val="2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377004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09E7BA2">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362E3CDD">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7ABFD166">
            <w:pPr>
              <w:autoSpaceDE w:val="0"/>
              <w:autoSpaceDN w:val="0"/>
              <w:spacing w:line="450" w:lineRule="exact"/>
              <w:jc w:val="center"/>
              <w:textAlignment w:val="bottom"/>
              <w:rPr>
                <w:rFonts w:ascii="宋体" w:hAnsi="宋体"/>
                <w:color w:val="auto"/>
                <w:sz w:val="24"/>
              </w:rPr>
            </w:pPr>
          </w:p>
        </w:tc>
      </w:tr>
      <w:tr w14:paraId="7CE8657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1FDCCA23">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371FEFBC">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729AB6D5">
            <w:pPr>
              <w:autoSpaceDE w:val="0"/>
              <w:autoSpaceDN w:val="0"/>
              <w:spacing w:line="450" w:lineRule="exact"/>
              <w:jc w:val="center"/>
              <w:textAlignment w:val="bottom"/>
              <w:rPr>
                <w:rFonts w:ascii="宋体" w:hAnsi="宋体"/>
                <w:color w:val="auto"/>
                <w:sz w:val="24"/>
              </w:rPr>
            </w:pPr>
          </w:p>
        </w:tc>
      </w:tr>
    </w:tbl>
    <w:p w14:paraId="75DD0625">
      <w:pPr>
        <w:spacing w:line="360" w:lineRule="auto"/>
        <w:ind w:left="480"/>
        <w:rPr>
          <w:rFonts w:ascii="宋体" w:hAnsi="宋体"/>
          <w:b/>
          <w:color w:val="auto"/>
          <w:sz w:val="30"/>
        </w:rPr>
      </w:pPr>
    </w:p>
    <w:p w14:paraId="426D8598">
      <w:pPr>
        <w:spacing w:line="360" w:lineRule="auto"/>
        <w:rPr>
          <w:rFonts w:ascii="宋体" w:hAnsi="宋体"/>
          <w:color w:val="auto"/>
          <w:sz w:val="24"/>
        </w:rPr>
      </w:pPr>
      <w:r>
        <w:rPr>
          <w:rFonts w:hint="eastAsia" w:ascii="宋体" w:hAnsi="宋体"/>
          <w:b/>
          <w:color w:val="auto"/>
          <w:szCs w:val="21"/>
        </w:rPr>
        <w:t>填报要求：</w:t>
      </w:r>
    </w:p>
    <w:p w14:paraId="4DE7C6B0">
      <w:pPr>
        <w:pStyle w:val="5"/>
        <w:spacing w:line="360" w:lineRule="auto"/>
        <w:ind w:firstLineChars="200"/>
        <w:rPr>
          <w:rFonts w:ascii="宋体" w:hAnsi="宋体"/>
          <w:color w:val="auto"/>
          <w:kern w:val="0"/>
          <w:szCs w:val="21"/>
        </w:rPr>
      </w:pPr>
      <w:r>
        <w:rPr>
          <w:rFonts w:hint="eastAsia" w:ascii="宋体" w:hAnsi="宋体"/>
          <w:color w:val="auto"/>
          <w:kern w:val="0"/>
          <w:szCs w:val="21"/>
        </w:rPr>
        <w:t>1.总报价应当包含本项目采购内容中的所有工作开支。投标总报价应是竞争性磋商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以及本工程实际情况和自身的综合实力，竞报投标报价。</w:t>
      </w:r>
    </w:p>
    <w:p w14:paraId="58272E36">
      <w:pPr>
        <w:spacing w:line="360" w:lineRule="auto"/>
        <w:ind w:firstLine="420" w:firstLineChars="200"/>
        <w:rPr>
          <w:rFonts w:ascii="宋体" w:hAnsi="宋体"/>
          <w:color w:val="auto"/>
          <w:kern w:val="0"/>
          <w:szCs w:val="21"/>
        </w:rPr>
      </w:pPr>
      <w:r>
        <w:rPr>
          <w:rFonts w:hint="eastAsia" w:ascii="宋体" w:hAnsi="宋体"/>
          <w:color w:val="auto"/>
          <w:kern w:val="0"/>
          <w:szCs w:val="21"/>
        </w:rPr>
        <w:t>2.报价一经涂改，应在涂改处加盖单位公章，或者由法定代表人或全权代表签字或盖章，否则作无效标处理。</w:t>
      </w:r>
    </w:p>
    <w:p w14:paraId="556FE35F">
      <w:pPr>
        <w:spacing w:line="320" w:lineRule="exact"/>
        <w:ind w:left="420"/>
        <w:rPr>
          <w:rFonts w:ascii="宋体" w:hAnsi="宋体"/>
          <w:color w:val="auto"/>
          <w:sz w:val="24"/>
        </w:rPr>
      </w:pPr>
    </w:p>
    <w:p w14:paraId="746E23D9">
      <w:pPr>
        <w:spacing w:line="320" w:lineRule="exact"/>
        <w:ind w:left="420"/>
        <w:rPr>
          <w:rFonts w:ascii="宋体" w:hAnsi="宋体"/>
          <w:color w:val="auto"/>
          <w:sz w:val="24"/>
        </w:rPr>
      </w:pPr>
    </w:p>
    <w:p w14:paraId="44BCF478">
      <w:pPr>
        <w:spacing w:line="320" w:lineRule="exact"/>
        <w:ind w:left="420"/>
        <w:rPr>
          <w:rFonts w:ascii="宋体" w:hAnsi="宋体"/>
          <w:color w:val="auto"/>
          <w:sz w:val="24"/>
          <w:u w:val="single"/>
        </w:rPr>
      </w:pPr>
      <w:r>
        <w:rPr>
          <w:rFonts w:hint="eastAsia" w:ascii="宋体" w:hAnsi="宋体"/>
          <w:color w:val="auto"/>
          <w:sz w:val="24"/>
        </w:rPr>
        <w:t>磋商供应商名称（公章）：</w:t>
      </w:r>
      <w:r>
        <w:rPr>
          <w:rFonts w:hint="eastAsia" w:ascii="宋体" w:hAnsi="宋体"/>
          <w:color w:val="auto"/>
          <w:sz w:val="24"/>
          <w:u w:val="single"/>
        </w:rPr>
        <w:t xml:space="preserve">                     </w:t>
      </w:r>
    </w:p>
    <w:p w14:paraId="79892E72">
      <w:pPr>
        <w:spacing w:line="320" w:lineRule="exact"/>
        <w:ind w:left="420"/>
        <w:rPr>
          <w:rFonts w:ascii="宋体" w:hAnsi="宋体"/>
          <w:color w:val="auto"/>
          <w:sz w:val="24"/>
        </w:rPr>
      </w:pPr>
    </w:p>
    <w:p w14:paraId="3F0B287C">
      <w:pPr>
        <w:spacing w:line="320" w:lineRule="exact"/>
        <w:ind w:firstLine="435"/>
        <w:rPr>
          <w:rFonts w:ascii="宋体" w:hAnsi="宋体"/>
          <w:color w:val="auto"/>
          <w:sz w:val="24"/>
        </w:rPr>
      </w:pPr>
      <w:r>
        <w:rPr>
          <w:rFonts w:hint="eastAsia" w:ascii="宋体" w:hAnsi="宋体"/>
          <w:color w:val="auto"/>
          <w:sz w:val="24"/>
        </w:rPr>
        <w:t>磋商供应商代表签章或签字：</w:t>
      </w:r>
      <w:r>
        <w:rPr>
          <w:rFonts w:hint="eastAsia" w:ascii="宋体" w:hAnsi="宋体"/>
          <w:color w:val="auto"/>
          <w:sz w:val="24"/>
          <w:u w:val="single"/>
        </w:rPr>
        <w:t xml:space="preserve">                         </w:t>
      </w:r>
    </w:p>
    <w:p w14:paraId="5BB6E7F7">
      <w:pPr>
        <w:spacing w:line="320" w:lineRule="exact"/>
        <w:ind w:firstLine="435"/>
        <w:rPr>
          <w:rFonts w:ascii="宋体" w:hAnsi="宋体"/>
          <w:color w:val="auto"/>
          <w:sz w:val="24"/>
        </w:rPr>
      </w:pPr>
    </w:p>
    <w:p w14:paraId="595E0166">
      <w:pPr>
        <w:spacing w:line="320" w:lineRule="exact"/>
        <w:ind w:firstLine="435"/>
        <w:rPr>
          <w:rFonts w:ascii="宋体" w:hAnsi="宋体"/>
          <w:color w:val="auto"/>
          <w:sz w:val="24"/>
        </w:rPr>
      </w:pPr>
      <w:r>
        <w:rPr>
          <w:rFonts w:hint="eastAsia" w:ascii="宋体" w:hAnsi="宋体"/>
          <w:color w:val="auto"/>
          <w:sz w:val="24"/>
        </w:rPr>
        <w:t>职        务：</w:t>
      </w:r>
      <w:r>
        <w:rPr>
          <w:rFonts w:hint="eastAsia" w:ascii="宋体" w:hAnsi="宋体"/>
          <w:color w:val="auto"/>
          <w:sz w:val="24"/>
          <w:u w:val="single"/>
        </w:rPr>
        <w:t xml:space="preserve">                             </w:t>
      </w:r>
    </w:p>
    <w:p w14:paraId="4E0ECEC3">
      <w:pPr>
        <w:spacing w:line="320" w:lineRule="exact"/>
        <w:ind w:firstLine="435"/>
        <w:rPr>
          <w:rFonts w:ascii="宋体" w:hAnsi="宋体"/>
          <w:color w:val="auto"/>
          <w:sz w:val="24"/>
        </w:rPr>
      </w:pPr>
    </w:p>
    <w:p w14:paraId="38A6EFDB">
      <w:pPr>
        <w:spacing w:line="320" w:lineRule="exact"/>
        <w:ind w:firstLine="435"/>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105B2F8D">
      <w:pPr>
        <w:pStyle w:val="16"/>
        <w:ind w:firstLine="210"/>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80E5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39612">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539612">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6D3C">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DBBD0">
                          <w:pPr>
                            <w:pStyle w:val="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BDBBD0">
                    <w:pPr>
                      <w:pStyle w:val="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DE7A5">
    <w:pPr>
      <w:spacing w:line="20" w:lineRule="atLeast"/>
      <w:rPr>
        <w:rFonts w:hint="eastAsia" w:eastAsia="宋体"/>
        <w:b/>
        <w:color w:val="808080"/>
        <w:sz w:val="10"/>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01E98918"/>
    <w:multiLevelType w:val="singleLevel"/>
    <w:tmpl w:val="01E98918"/>
    <w:lvl w:ilvl="0" w:tentative="0">
      <w:start w:val="1"/>
      <w:numFmt w:val="decimal"/>
      <w:suff w:val="nothing"/>
      <w:lvlText w:val="%1．"/>
      <w:lvlJc w:val="left"/>
    </w:lvl>
  </w:abstractNum>
  <w:abstractNum w:abstractNumId="2">
    <w:nsid w:val="0E0C1C19"/>
    <w:multiLevelType w:val="multilevel"/>
    <w:tmpl w:val="0E0C1C19"/>
    <w:lvl w:ilvl="0" w:tentative="0">
      <w:start w:val="1"/>
      <w:numFmt w:val="lowerLetter"/>
      <w:suff w:val="nothing"/>
      <w:lvlText w:val="%1、"/>
      <w:lvlJc w:val="left"/>
      <w:pPr>
        <w:ind w:left="0" w:firstLine="0"/>
      </w:pPr>
      <w:rPr>
        <w:rFonts w:ascii="Times New Roman" w:hAnsi="Times New Roman" w:eastAsia="仿宋_GB2312"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71E06A1"/>
    <w:multiLevelType w:val="singleLevel"/>
    <w:tmpl w:val="471E06A1"/>
    <w:lvl w:ilvl="0" w:tentative="0">
      <w:start w:val="1"/>
      <w:numFmt w:val="japaneseCounting"/>
      <w:pStyle w:val="11"/>
      <w:lvlText w:val="%1、"/>
      <w:lvlJc w:val="left"/>
      <w:pPr>
        <w:tabs>
          <w:tab w:val="left" w:pos="960"/>
        </w:tabs>
        <w:ind w:left="960" w:hanging="600"/>
      </w:pPr>
      <w:rPr>
        <w:rFonts w:hint="eastAsia"/>
        <w:lang w:val="en-US"/>
      </w:rPr>
    </w:lvl>
  </w:abstractNum>
  <w:abstractNum w:abstractNumId="4">
    <w:nsid w:val="4969F691"/>
    <w:multiLevelType w:val="singleLevel"/>
    <w:tmpl w:val="4969F691"/>
    <w:lvl w:ilvl="0" w:tentative="0">
      <w:start w:val="2"/>
      <w:numFmt w:val="decimal"/>
      <w:suff w:val="nothing"/>
      <w:lvlText w:val="（%1）"/>
      <w:lvlJc w:val="left"/>
    </w:lvl>
  </w:abstractNum>
  <w:abstractNum w:abstractNumId="5">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C785F96"/>
    <w:multiLevelType w:val="singleLevel"/>
    <w:tmpl w:val="5C785F96"/>
    <w:lvl w:ilvl="0" w:tentative="0">
      <w:start w:val="2"/>
      <w:numFmt w:val="decimal"/>
      <w:suff w:val="nothing"/>
      <w:lvlText w:val="（%1）"/>
      <w:lvlJc w:val="left"/>
    </w:lvl>
  </w:abstractNum>
  <w:num w:numId="1">
    <w:abstractNumId w:val="3"/>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TQxNTQzNmMwZTE5YjQyNjM0N2NiOGE4ZmZiNGIifQ=="/>
  </w:docVars>
  <w:rsids>
    <w:rsidRoot w:val="00225CDE"/>
    <w:rsid w:val="00002FCA"/>
    <w:rsid w:val="00003136"/>
    <w:rsid w:val="000068E3"/>
    <w:rsid w:val="00007EDE"/>
    <w:rsid w:val="000113CF"/>
    <w:rsid w:val="00011993"/>
    <w:rsid w:val="00014706"/>
    <w:rsid w:val="00014981"/>
    <w:rsid w:val="00014A3D"/>
    <w:rsid w:val="00015FF4"/>
    <w:rsid w:val="0002114A"/>
    <w:rsid w:val="000238C2"/>
    <w:rsid w:val="000251CD"/>
    <w:rsid w:val="00033334"/>
    <w:rsid w:val="00033E53"/>
    <w:rsid w:val="00034FCB"/>
    <w:rsid w:val="00037264"/>
    <w:rsid w:val="00041FBE"/>
    <w:rsid w:val="00057F44"/>
    <w:rsid w:val="000618F0"/>
    <w:rsid w:val="000643FA"/>
    <w:rsid w:val="0007117D"/>
    <w:rsid w:val="00071E69"/>
    <w:rsid w:val="00075CEE"/>
    <w:rsid w:val="00076373"/>
    <w:rsid w:val="00077A92"/>
    <w:rsid w:val="00084D51"/>
    <w:rsid w:val="00086D8C"/>
    <w:rsid w:val="00092528"/>
    <w:rsid w:val="00093886"/>
    <w:rsid w:val="0009771D"/>
    <w:rsid w:val="000A1651"/>
    <w:rsid w:val="000A1947"/>
    <w:rsid w:val="000A3E87"/>
    <w:rsid w:val="000A5FE4"/>
    <w:rsid w:val="000A6575"/>
    <w:rsid w:val="000B736F"/>
    <w:rsid w:val="000C0B10"/>
    <w:rsid w:val="000C5B76"/>
    <w:rsid w:val="000C6D68"/>
    <w:rsid w:val="000D4371"/>
    <w:rsid w:val="000D43DA"/>
    <w:rsid w:val="000E308E"/>
    <w:rsid w:val="000E3830"/>
    <w:rsid w:val="000F2A3C"/>
    <w:rsid w:val="000F393B"/>
    <w:rsid w:val="000F7CAB"/>
    <w:rsid w:val="00104099"/>
    <w:rsid w:val="00104291"/>
    <w:rsid w:val="00104C65"/>
    <w:rsid w:val="0010589B"/>
    <w:rsid w:val="00111749"/>
    <w:rsid w:val="00111E1B"/>
    <w:rsid w:val="00112B03"/>
    <w:rsid w:val="00114E4B"/>
    <w:rsid w:val="001163A3"/>
    <w:rsid w:val="00116C9D"/>
    <w:rsid w:val="001224C6"/>
    <w:rsid w:val="00122D50"/>
    <w:rsid w:val="001230AB"/>
    <w:rsid w:val="0012356E"/>
    <w:rsid w:val="0013116D"/>
    <w:rsid w:val="001318A9"/>
    <w:rsid w:val="00131B16"/>
    <w:rsid w:val="001346F0"/>
    <w:rsid w:val="00134E23"/>
    <w:rsid w:val="0013792F"/>
    <w:rsid w:val="00140EC9"/>
    <w:rsid w:val="00142C82"/>
    <w:rsid w:val="001471D3"/>
    <w:rsid w:val="00147C0A"/>
    <w:rsid w:val="001501C0"/>
    <w:rsid w:val="00151661"/>
    <w:rsid w:val="001516AF"/>
    <w:rsid w:val="00151CF7"/>
    <w:rsid w:val="00153F10"/>
    <w:rsid w:val="00156091"/>
    <w:rsid w:val="001574E8"/>
    <w:rsid w:val="00161076"/>
    <w:rsid w:val="0016361A"/>
    <w:rsid w:val="00166951"/>
    <w:rsid w:val="00166D22"/>
    <w:rsid w:val="001707B1"/>
    <w:rsid w:val="00175B4D"/>
    <w:rsid w:val="001771E5"/>
    <w:rsid w:val="001778D7"/>
    <w:rsid w:val="00181F9E"/>
    <w:rsid w:val="001830C2"/>
    <w:rsid w:val="00190B97"/>
    <w:rsid w:val="00191356"/>
    <w:rsid w:val="0019183A"/>
    <w:rsid w:val="00196345"/>
    <w:rsid w:val="00196BAF"/>
    <w:rsid w:val="001A554A"/>
    <w:rsid w:val="001A6152"/>
    <w:rsid w:val="001B1EE3"/>
    <w:rsid w:val="001B22C4"/>
    <w:rsid w:val="001B2AA9"/>
    <w:rsid w:val="001B40C9"/>
    <w:rsid w:val="001D1DB2"/>
    <w:rsid w:val="001D3566"/>
    <w:rsid w:val="001D4467"/>
    <w:rsid w:val="001D53D7"/>
    <w:rsid w:val="001D7F0C"/>
    <w:rsid w:val="001E4207"/>
    <w:rsid w:val="001E66E4"/>
    <w:rsid w:val="001E738B"/>
    <w:rsid w:val="001E7EDC"/>
    <w:rsid w:val="001F00FE"/>
    <w:rsid w:val="0020305B"/>
    <w:rsid w:val="00204B47"/>
    <w:rsid w:val="00205663"/>
    <w:rsid w:val="00206D1D"/>
    <w:rsid w:val="00207A5A"/>
    <w:rsid w:val="0021077C"/>
    <w:rsid w:val="002116C9"/>
    <w:rsid w:val="00212144"/>
    <w:rsid w:val="0021231A"/>
    <w:rsid w:val="00214AF7"/>
    <w:rsid w:val="00216F12"/>
    <w:rsid w:val="00217E6D"/>
    <w:rsid w:val="00225CDE"/>
    <w:rsid w:val="00225EE4"/>
    <w:rsid w:val="002272C6"/>
    <w:rsid w:val="00231A93"/>
    <w:rsid w:val="00234C48"/>
    <w:rsid w:val="00236611"/>
    <w:rsid w:val="002414C8"/>
    <w:rsid w:val="00241EB4"/>
    <w:rsid w:val="00244E07"/>
    <w:rsid w:val="0024561C"/>
    <w:rsid w:val="00246F9E"/>
    <w:rsid w:val="0025079B"/>
    <w:rsid w:val="00252C30"/>
    <w:rsid w:val="00254AC0"/>
    <w:rsid w:val="00255016"/>
    <w:rsid w:val="00256CB0"/>
    <w:rsid w:val="00257A80"/>
    <w:rsid w:val="002600D1"/>
    <w:rsid w:val="00260934"/>
    <w:rsid w:val="0026109B"/>
    <w:rsid w:val="002635F8"/>
    <w:rsid w:val="00263B66"/>
    <w:rsid w:val="00264884"/>
    <w:rsid w:val="00270EB6"/>
    <w:rsid w:val="00271703"/>
    <w:rsid w:val="00273B2A"/>
    <w:rsid w:val="002760D9"/>
    <w:rsid w:val="0027713C"/>
    <w:rsid w:val="00287BAB"/>
    <w:rsid w:val="00291659"/>
    <w:rsid w:val="002947E2"/>
    <w:rsid w:val="00296AEA"/>
    <w:rsid w:val="002A18EC"/>
    <w:rsid w:val="002B08C7"/>
    <w:rsid w:val="002B1B9A"/>
    <w:rsid w:val="002B56C9"/>
    <w:rsid w:val="002C3AF4"/>
    <w:rsid w:val="002C52E5"/>
    <w:rsid w:val="002D0961"/>
    <w:rsid w:val="002D1599"/>
    <w:rsid w:val="002D26EF"/>
    <w:rsid w:val="002D3351"/>
    <w:rsid w:val="002D3C2B"/>
    <w:rsid w:val="002D47DD"/>
    <w:rsid w:val="002D4E9E"/>
    <w:rsid w:val="002E0695"/>
    <w:rsid w:val="002E12F2"/>
    <w:rsid w:val="002E1E8B"/>
    <w:rsid w:val="002E285F"/>
    <w:rsid w:val="002E3A67"/>
    <w:rsid w:val="002E4B72"/>
    <w:rsid w:val="002E665C"/>
    <w:rsid w:val="002F14B6"/>
    <w:rsid w:val="002F2E84"/>
    <w:rsid w:val="002F312F"/>
    <w:rsid w:val="002F34C8"/>
    <w:rsid w:val="002F384A"/>
    <w:rsid w:val="002F52DF"/>
    <w:rsid w:val="002F61FA"/>
    <w:rsid w:val="002F67C7"/>
    <w:rsid w:val="00301FF1"/>
    <w:rsid w:val="00302B3E"/>
    <w:rsid w:val="0030359F"/>
    <w:rsid w:val="0031041F"/>
    <w:rsid w:val="00314627"/>
    <w:rsid w:val="00314F2B"/>
    <w:rsid w:val="00317C2F"/>
    <w:rsid w:val="0032065E"/>
    <w:rsid w:val="003208FB"/>
    <w:rsid w:val="00321186"/>
    <w:rsid w:val="00321974"/>
    <w:rsid w:val="003261EA"/>
    <w:rsid w:val="00330157"/>
    <w:rsid w:val="0033046C"/>
    <w:rsid w:val="00330FCA"/>
    <w:rsid w:val="0033249C"/>
    <w:rsid w:val="0033564A"/>
    <w:rsid w:val="00336F8A"/>
    <w:rsid w:val="003430D2"/>
    <w:rsid w:val="003448C9"/>
    <w:rsid w:val="00347829"/>
    <w:rsid w:val="003505FE"/>
    <w:rsid w:val="0035233F"/>
    <w:rsid w:val="003556D8"/>
    <w:rsid w:val="003625A2"/>
    <w:rsid w:val="003644DD"/>
    <w:rsid w:val="003671A6"/>
    <w:rsid w:val="003672EE"/>
    <w:rsid w:val="003672F7"/>
    <w:rsid w:val="003709B9"/>
    <w:rsid w:val="00372507"/>
    <w:rsid w:val="00372E53"/>
    <w:rsid w:val="00374028"/>
    <w:rsid w:val="00374CB0"/>
    <w:rsid w:val="003769A9"/>
    <w:rsid w:val="00376C70"/>
    <w:rsid w:val="00377352"/>
    <w:rsid w:val="00380683"/>
    <w:rsid w:val="00381C5F"/>
    <w:rsid w:val="00386D57"/>
    <w:rsid w:val="00387546"/>
    <w:rsid w:val="003915F1"/>
    <w:rsid w:val="00397A50"/>
    <w:rsid w:val="003A53DD"/>
    <w:rsid w:val="003A739A"/>
    <w:rsid w:val="003A7970"/>
    <w:rsid w:val="003B04B4"/>
    <w:rsid w:val="003B7536"/>
    <w:rsid w:val="003C1BC4"/>
    <w:rsid w:val="003C6328"/>
    <w:rsid w:val="003C662E"/>
    <w:rsid w:val="003D06E7"/>
    <w:rsid w:val="003D22B7"/>
    <w:rsid w:val="003D3BED"/>
    <w:rsid w:val="003D5AA1"/>
    <w:rsid w:val="003D7521"/>
    <w:rsid w:val="003E1D65"/>
    <w:rsid w:val="003E4624"/>
    <w:rsid w:val="00405E5A"/>
    <w:rsid w:val="004125ED"/>
    <w:rsid w:val="0041416B"/>
    <w:rsid w:val="004147D9"/>
    <w:rsid w:val="00424ECB"/>
    <w:rsid w:val="004250B3"/>
    <w:rsid w:val="004270B4"/>
    <w:rsid w:val="004310DC"/>
    <w:rsid w:val="004370AB"/>
    <w:rsid w:val="0044224A"/>
    <w:rsid w:val="004426F5"/>
    <w:rsid w:val="00450129"/>
    <w:rsid w:val="0045227B"/>
    <w:rsid w:val="00452557"/>
    <w:rsid w:val="004542DD"/>
    <w:rsid w:val="00456F48"/>
    <w:rsid w:val="00457B04"/>
    <w:rsid w:val="00457CE6"/>
    <w:rsid w:val="0046059F"/>
    <w:rsid w:val="00465D93"/>
    <w:rsid w:val="004663F2"/>
    <w:rsid w:val="004677D3"/>
    <w:rsid w:val="00477523"/>
    <w:rsid w:val="00483F08"/>
    <w:rsid w:val="004916BA"/>
    <w:rsid w:val="004921ED"/>
    <w:rsid w:val="004932F9"/>
    <w:rsid w:val="004A025E"/>
    <w:rsid w:val="004A1381"/>
    <w:rsid w:val="004A2C45"/>
    <w:rsid w:val="004A4ACE"/>
    <w:rsid w:val="004B0C7C"/>
    <w:rsid w:val="004B30C4"/>
    <w:rsid w:val="004C537A"/>
    <w:rsid w:val="004C6BF3"/>
    <w:rsid w:val="004C6C06"/>
    <w:rsid w:val="004D0AB5"/>
    <w:rsid w:val="004D23EA"/>
    <w:rsid w:val="004D4442"/>
    <w:rsid w:val="004D4E7A"/>
    <w:rsid w:val="004E1B0E"/>
    <w:rsid w:val="004E2E89"/>
    <w:rsid w:val="004E3290"/>
    <w:rsid w:val="004E6103"/>
    <w:rsid w:val="004E6325"/>
    <w:rsid w:val="004F53F0"/>
    <w:rsid w:val="004F6293"/>
    <w:rsid w:val="004F6578"/>
    <w:rsid w:val="00501A03"/>
    <w:rsid w:val="00501A6D"/>
    <w:rsid w:val="00502A79"/>
    <w:rsid w:val="00505FB3"/>
    <w:rsid w:val="005078C0"/>
    <w:rsid w:val="0051052F"/>
    <w:rsid w:val="00512DC3"/>
    <w:rsid w:val="00514CCC"/>
    <w:rsid w:val="005256DD"/>
    <w:rsid w:val="0052619C"/>
    <w:rsid w:val="00527BD5"/>
    <w:rsid w:val="00530195"/>
    <w:rsid w:val="0053244F"/>
    <w:rsid w:val="005423FB"/>
    <w:rsid w:val="00551E5F"/>
    <w:rsid w:val="00562B0A"/>
    <w:rsid w:val="00563CD5"/>
    <w:rsid w:val="00566B89"/>
    <w:rsid w:val="00567E6E"/>
    <w:rsid w:val="00573BA3"/>
    <w:rsid w:val="00575738"/>
    <w:rsid w:val="00577110"/>
    <w:rsid w:val="0058022E"/>
    <w:rsid w:val="0058067C"/>
    <w:rsid w:val="00583337"/>
    <w:rsid w:val="00583793"/>
    <w:rsid w:val="00583898"/>
    <w:rsid w:val="00596B7C"/>
    <w:rsid w:val="005A3434"/>
    <w:rsid w:val="005A4133"/>
    <w:rsid w:val="005A5FA1"/>
    <w:rsid w:val="005B04A2"/>
    <w:rsid w:val="005B2CB7"/>
    <w:rsid w:val="005B3546"/>
    <w:rsid w:val="005B4F70"/>
    <w:rsid w:val="005B5F8B"/>
    <w:rsid w:val="005B7068"/>
    <w:rsid w:val="005C6F29"/>
    <w:rsid w:val="005D5351"/>
    <w:rsid w:val="005D7BE7"/>
    <w:rsid w:val="005E107B"/>
    <w:rsid w:val="005E440B"/>
    <w:rsid w:val="005E44AE"/>
    <w:rsid w:val="005E488C"/>
    <w:rsid w:val="005E7BDA"/>
    <w:rsid w:val="005F5F0B"/>
    <w:rsid w:val="005F673A"/>
    <w:rsid w:val="005F6A48"/>
    <w:rsid w:val="006060DE"/>
    <w:rsid w:val="00610CE1"/>
    <w:rsid w:val="00612386"/>
    <w:rsid w:val="006139C7"/>
    <w:rsid w:val="00617444"/>
    <w:rsid w:val="006261DB"/>
    <w:rsid w:val="00627192"/>
    <w:rsid w:val="00627531"/>
    <w:rsid w:val="00630380"/>
    <w:rsid w:val="00634A1C"/>
    <w:rsid w:val="006350F0"/>
    <w:rsid w:val="00635D0C"/>
    <w:rsid w:val="00637E20"/>
    <w:rsid w:val="00642C8C"/>
    <w:rsid w:val="006439F3"/>
    <w:rsid w:val="00644F81"/>
    <w:rsid w:val="006453E4"/>
    <w:rsid w:val="00645549"/>
    <w:rsid w:val="00645967"/>
    <w:rsid w:val="00645BD2"/>
    <w:rsid w:val="0064660D"/>
    <w:rsid w:val="006466BD"/>
    <w:rsid w:val="006475F2"/>
    <w:rsid w:val="006525B5"/>
    <w:rsid w:val="006616BF"/>
    <w:rsid w:val="00661F52"/>
    <w:rsid w:val="006624C3"/>
    <w:rsid w:val="00664A3A"/>
    <w:rsid w:val="006707D6"/>
    <w:rsid w:val="006714C1"/>
    <w:rsid w:val="00671A9F"/>
    <w:rsid w:val="006759BA"/>
    <w:rsid w:val="00675B75"/>
    <w:rsid w:val="00680BDB"/>
    <w:rsid w:val="006933A8"/>
    <w:rsid w:val="006946DC"/>
    <w:rsid w:val="00695E5C"/>
    <w:rsid w:val="00697352"/>
    <w:rsid w:val="006A1349"/>
    <w:rsid w:val="006A17F8"/>
    <w:rsid w:val="006A54BE"/>
    <w:rsid w:val="006C24F8"/>
    <w:rsid w:val="006C6130"/>
    <w:rsid w:val="006D14F1"/>
    <w:rsid w:val="006E6485"/>
    <w:rsid w:val="006F1EF4"/>
    <w:rsid w:val="006F1FF3"/>
    <w:rsid w:val="006F2265"/>
    <w:rsid w:val="00700A76"/>
    <w:rsid w:val="007106F0"/>
    <w:rsid w:val="00712B61"/>
    <w:rsid w:val="0071578B"/>
    <w:rsid w:val="0071617E"/>
    <w:rsid w:val="00717067"/>
    <w:rsid w:val="007172C4"/>
    <w:rsid w:val="007175C8"/>
    <w:rsid w:val="00721909"/>
    <w:rsid w:val="00721EC7"/>
    <w:rsid w:val="00730B7E"/>
    <w:rsid w:val="007313D6"/>
    <w:rsid w:val="00732E29"/>
    <w:rsid w:val="00733435"/>
    <w:rsid w:val="0073498A"/>
    <w:rsid w:val="00741407"/>
    <w:rsid w:val="00742509"/>
    <w:rsid w:val="00744A1A"/>
    <w:rsid w:val="00744D37"/>
    <w:rsid w:val="007459E9"/>
    <w:rsid w:val="00746409"/>
    <w:rsid w:val="00753022"/>
    <w:rsid w:val="00753C4C"/>
    <w:rsid w:val="0075462B"/>
    <w:rsid w:val="00755E00"/>
    <w:rsid w:val="00760EAE"/>
    <w:rsid w:val="007709FC"/>
    <w:rsid w:val="00770B44"/>
    <w:rsid w:val="00771A4A"/>
    <w:rsid w:val="0077324E"/>
    <w:rsid w:val="007822AB"/>
    <w:rsid w:val="00782F73"/>
    <w:rsid w:val="00783E80"/>
    <w:rsid w:val="007870A4"/>
    <w:rsid w:val="00787152"/>
    <w:rsid w:val="0079695C"/>
    <w:rsid w:val="00797397"/>
    <w:rsid w:val="007A2A90"/>
    <w:rsid w:val="007A4348"/>
    <w:rsid w:val="007A6B99"/>
    <w:rsid w:val="007B1D1F"/>
    <w:rsid w:val="007B689E"/>
    <w:rsid w:val="007D3652"/>
    <w:rsid w:val="007D54B5"/>
    <w:rsid w:val="007D7293"/>
    <w:rsid w:val="007E2766"/>
    <w:rsid w:val="007E53C3"/>
    <w:rsid w:val="007E6261"/>
    <w:rsid w:val="007F0DCD"/>
    <w:rsid w:val="007F333B"/>
    <w:rsid w:val="007F3F07"/>
    <w:rsid w:val="007F4149"/>
    <w:rsid w:val="007F5652"/>
    <w:rsid w:val="007F7985"/>
    <w:rsid w:val="00802792"/>
    <w:rsid w:val="00804A64"/>
    <w:rsid w:val="00804E94"/>
    <w:rsid w:val="00805C31"/>
    <w:rsid w:val="00805C45"/>
    <w:rsid w:val="00806CEB"/>
    <w:rsid w:val="00812347"/>
    <w:rsid w:val="00814AFC"/>
    <w:rsid w:val="0081595C"/>
    <w:rsid w:val="00821977"/>
    <w:rsid w:val="008224E1"/>
    <w:rsid w:val="00824806"/>
    <w:rsid w:val="00830090"/>
    <w:rsid w:val="008301EC"/>
    <w:rsid w:val="00836474"/>
    <w:rsid w:val="00840672"/>
    <w:rsid w:val="00841922"/>
    <w:rsid w:val="00842103"/>
    <w:rsid w:val="0084380A"/>
    <w:rsid w:val="00846498"/>
    <w:rsid w:val="008509FA"/>
    <w:rsid w:val="00856105"/>
    <w:rsid w:val="00862B90"/>
    <w:rsid w:val="008671B6"/>
    <w:rsid w:val="00871E4E"/>
    <w:rsid w:val="00872732"/>
    <w:rsid w:val="008734A3"/>
    <w:rsid w:val="0087659D"/>
    <w:rsid w:val="00880016"/>
    <w:rsid w:val="008833CA"/>
    <w:rsid w:val="00887312"/>
    <w:rsid w:val="008878C2"/>
    <w:rsid w:val="0089321C"/>
    <w:rsid w:val="0089362A"/>
    <w:rsid w:val="00893875"/>
    <w:rsid w:val="00894544"/>
    <w:rsid w:val="00895956"/>
    <w:rsid w:val="008A4C03"/>
    <w:rsid w:val="008A4D22"/>
    <w:rsid w:val="008A5E57"/>
    <w:rsid w:val="008B35B1"/>
    <w:rsid w:val="008B3853"/>
    <w:rsid w:val="008B7488"/>
    <w:rsid w:val="008B7D5E"/>
    <w:rsid w:val="008C2A6F"/>
    <w:rsid w:val="008C4C29"/>
    <w:rsid w:val="008D13CD"/>
    <w:rsid w:val="008D181F"/>
    <w:rsid w:val="008D4698"/>
    <w:rsid w:val="008D5A5C"/>
    <w:rsid w:val="008D65EE"/>
    <w:rsid w:val="008E148B"/>
    <w:rsid w:val="008E38E4"/>
    <w:rsid w:val="008F3150"/>
    <w:rsid w:val="008F3A7C"/>
    <w:rsid w:val="008F46E1"/>
    <w:rsid w:val="00900072"/>
    <w:rsid w:val="00900F60"/>
    <w:rsid w:val="009024EF"/>
    <w:rsid w:val="009038F5"/>
    <w:rsid w:val="00907900"/>
    <w:rsid w:val="009079AE"/>
    <w:rsid w:val="00910878"/>
    <w:rsid w:val="00914E27"/>
    <w:rsid w:val="009170B9"/>
    <w:rsid w:val="00917CB4"/>
    <w:rsid w:val="00917D80"/>
    <w:rsid w:val="00923F74"/>
    <w:rsid w:val="00927809"/>
    <w:rsid w:val="009303C2"/>
    <w:rsid w:val="009309B4"/>
    <w:rsid w:val="00930CE8"/>
    <w:rsid w:val="0093416F"/>
    <w:rsid w:val="00934FD8"/>
    <w:rsid w:val="00941B77"/>
    <w:rsid w:val="00943DEF"/>
    <w:rsid w:val="00953824"/>
    <w:rsid w:val="00953CD2"/>
    <w:rsid w:val="00955A0B"/>
    <w:rsid w:val="00957C45"/>
    <w:rsid w:val="00962F7F"/>
    <w:rsid w:val="0096328A"/>
    <w:rsid w:val="0097363B"/>
    <w:rsid w:val="009755FF"/>
    <w:rsid w:val="009763C4"/>
    <w:rsid w:val="00977516"/>
    <w:rsid w:val="009825CD"/>
    <w:rsid w:val="00984B2D"/>
    <w:rsid w:val="00984F88"/>
    <w:rsid w:val="009854D8"/>
    <w:rsid w:val="0098566F"/>
    <w:rsid w:val="00990C56"/>
    <w:rsid w:val="009958B2"/>
    <w:rsid w:val="009A15BD"/>
    <w:rsid w:val="009A3520"/>
    <w:rsid w:val="009A4312"/>
    <w:rsid w:val="009A5812"/>
    <w:rsid w:val="009A7B77"/>
    <w:rsid w:val="009B6216"/>
    <w:rsid w:val="009B65B9"/>
    <w:rsid w:val="009B6FE1"/>
    <w:rsid w:val="009C19EE"/>
    <w:rsid w:val="009C3BDA"/>
    <w:rsid w:val="009C3F1C"/>
    <w:rsid w:val="009C66B3"/>
    <w:rsid w:val="009C7F30"/>
    <w:rsid w:val="009D5772"/>
    <w:rsid w:val="009D5F20"/>
    <w:rsid w:val="009E265E"/>
    <w:rsid w:val="009E49FD"/>
    <w:rsid w:val="009E4C25"/>
    <w:rsid w:val="009F0D9E"/>
    <w:rsid w:val="009F33DA"/>
    <w:rsid w:val="009F66EB"/>
    <w:rsid w:val="009F7548"/>
    <w:rsid w:val="00A00C21"/>
    <w:rsid w:val="00A0753D"/>
    <w:rsid w:val="00A106EC"/>
    <w:rsid w:val="00A1730B"/>
    <w:rsid w:val="00A1732A"/>
    <w:rsid w:val="00A2177C"/>
    <w:rsid w:val="00A256A3"/>
    <w:rsid w:val="00A32591"/>
    <w:rsid w:val="00A3344B"/>
    <w:rsid w:val="00A342E2"/>
    <w:rsid w:val="00A3513F"/>
    <w:rsid w:val="00A360E1"/>
    <w:rsid w:val="00A3713E"/>
    <w:rsid w:val="00A42072"/>
    <w:rsid w:val="00A51F7A"/>
    <w:rsid w:val="00A525F7"/>
    <w:rsid w:val="00A53716"/>
    <w:rsid w:val="00A5441D"/>
    <w:rsid w:val="00A54EA5"/>
    <w:rsid w:val="00A570D7"/>
    <w:rsid w:val="00A649C9"/>
    <w:rsid w:val="00A677F0"/>
    <w:rsid w:val="00A76F60"/>
    <w:rsid w:val="00A835C3"/>
    <w:rsid w:val="00A85A5E"/>
    <w:rsid w:val="00A913AC"/>
    <w:rsid w:val="00A91D0D"/>
    <w:rsid w:val="00A924D4"/>
    <w:rsid w:val="00A93BF9"/>
    <w:rsid w:val="00A946BA"/>
    <w:rsid w:val="00AA7D94"/>
    <w:rsid w:val="00AB3E5C"/>
    <w:rsid w:val="00AC0342"/>
    <w:rsid w:val="00AC3C97"/>
    <w:rsid w:val="00AC4273"/>
    <w:rsid w:val="00AC6351"/>
    <w:rsid w:val="00AD6BE3"/>
    <w:rsid w:val="00AD70EF"/>
    <w:rsid w:val="00AE00E9"/>
    <w:rsid w:val="00AE046F"/>
    <w:rsid w:val="00AE24B1"/>
    <w:rsid w:val="00AE492D"/>
    <w:rsid w:val="00AE57D6"/>
    <w:rsid w:val="00AE76A7"/>
    <w:rsid w:val="00AE7F9B"/>
    <w:rsid w:val="00AF3190"/>
    <w:rsid w:val="00AF3BA8"/>
    <w:rsid w:val="00AF4390"/>
    <w:rsid w:val="00AF49C8"/>
    <w:rsid w:val="00AF7B2C"/>
    <w:rsid w:val="00B00F2F"/>
    <w:rsid w:val="00B010A1"/>
    <w:rsid w:val="00B0183B"/>
    <w:rsid w:val="00B02938"/>
    <w:rsid w:val="00B03A22"/>
    <w:rsid w:val="00B0540B"/>
    <w:rsid w:val="00B07879"/>
    <w:rsid w:val="00B12781"/>
    <w:rsid w:val="00B17A77"/>
    <w:rsid w:val="00B21C95"/>
    <w:rsid w:val="00B242D5"/>
    <w:rsid w:val="00B24809"/>
    <w:rsid w:val="00B25614"/>
    <w:rsid w:val="00B25F6A"/>
    <w:rsid w:val="00B26944"/>
    <w:rsid w:val="00B30032"/>
    <w:rsid w:val="00B301E9"/>
    <w:rsid w:val="00B30F4B"/>
    <w:rsid w:val="00B31023"/>
    <w:rsid w:val="00B3371A"/>
    <w:rsid w:val="00B4167D"/>
    <w:rsid w:val="00B445C7"/>
    <w:rsid w:val="00B47353"/>
    <w:rsid w:val="00B53457"/>
    <w:rsid w:val="00B562B5"/>
    <w:rsid w:val="00B60210"/>
    <w:rsid w:val="00B62DB0"/>
    <w:rsid w:val="00B65F14"/>
    <w:rsid w:val="00B66E6B"/>
    <w:rsid w:val="00B6702B"/>
    <w:rsid w:val="00B71D6C"/>
    <w:rsid w:val="00B71E7B"/>
    <w:rsid w:val="00B725B1"/>
    <w:rsid w:val="00B75202"/>
    <w:rsid w:val="00B81990"/>
    <w:rsid w:val="00B83443"/>
    <w:rsid w:val="00B846C1"/>
    <w:rsid w:val="00B876B8"/>
    <w:rsid w:val="00B949E7"/>
    <w:rsid w:val="00B97537"/>
    <w:rsid w:val="00B97748"/>
    <w:rsid w:val="00BA47A9"/>
    <w:rsid w:val="00BA74E1"/>
    <w:rsid w:val="00BA7F58"/>
    <w:rsid w:val="00BB3223"/>
    <w:rsid w:val="00BB5156"/>
    <w:rsid w:val="00BC0B69"/>
    <w:rsid w:val="00BC64BE"/>
    <w:rsid w:val="00BC7CBA"/>
    <w:rsid w:val="00BD09D8"/>
    <w:rsid w:val="00BD4B21"/>
    <w:rsid w:val="00BE0FA1"/>
    <w:rsid w:val="00BE1AF7"/>
    <w:rsid w:val="00BE2E9A"/>
    <w:rsid w:val="00BE3750"/>
    <w:rsid w:val="00BE40F4"/>
    <w:rsid w:val="00BE6831"/>
    <w:rsid w:val="00BF282A"/>
    <w:rsid w:val="00BF32E5"/>
    <w:rsid w:val="00BF7CD7"/>
    <w:rsid w:val="00BF7DC7"/>
    <w:rsid w:val="00C00B53"/>
    <w:rsid w:val="00C03BAA"/>
    <w:rsid w:val="00C04958"/>
    <w:rsid w:val="00C06BDF"/>
    <w:rsid w:val="00C103B2"/>
    <w:rsid w:val="00C124D0"/>
    <w:rsid w:val="00C149CA"/>
    <w:rsid w:val="00C152E9"/>
    <w:rsid w:val="00C15886"/>
    <w:rsid w:val="00C159A0"/>
    <w:rsid w:val="00C20A8F"/>
    <w:rsid w:val="00C22A36"/>
    <w:rsid w:val="00C23D1E"/>
    <w:rsid w:val="00C2586D"/>
    <w:rsid w:val="00C2789E"/>
    <w:rsid w:val="00C321B2"/>
    <w:rsid w:val="00C409AB"/>
    <w:rsid w:val="00C4711F"/>
    <w:rsid w:val="00C5451B"/>
    <w:rsid w:val="00C552DD"/>
    <w:rsid w:val="00C5673E"/>
    <w:rsid w:val="00C57291"/>
    <w:rsid w:val="00C61009"/>
    <w:rsid w:val="00C62AF2"/>
    <w:rsid w:val="00C63896"/>
    <w:rsid w:val="00C6410B"/>
    <w:rsid w:val="00C64A2E"/>
    <w:rsid w:val="00C65610"/>
    <w:rsid w:val="00C70900"/>
    <w:rsid w:val="00C72C84"/>
    <w:rsid w:val="00C737B9"/>
    <w:rsid w:val="00C77363"/>
    <w:rsid w:val="00C8151E"/>
    <w:rsid w:val="00C822D0"/>
    <w:rsid w:val="00C91468"/>
    <w:rsid w:val="00C923CF"/>
    <w:rsid w:val="00C94876"/>
    <w:rsid w:val="00C95B77"/>
    <w:rsid w:val="00CA3F62"/>
    <w:rsid w:val="00CA494B"/>
    <w:rsid w:val="00CB6812"/>
    <w:rsid w:val="00CC6FC0"/>
    <w:rsid w:val="00CD0500"/>
    <w:rsid w:val="00CD0CE2"/>
    <w:rsid w:val="00CD1B25"/>
    <w:rsid w:val="00CD20B8"/>
    <w:rsid w:val="00CD6A45"/>
    <w:rsid w:val="00CE29ED"/>
    <w:rsid w:val="00CE2A5B"/>
    <w:rsid w:val="00CE301F"/>
    <w:rsid w:val="00CF2EB6"/>
    <w:rsid w:val="00CF48C5"/>
    <w:rsid w:val="00CF5A31"/>
    <w:rsid w:val="00CF7383"/>
    <w:rsid w:val="00D0002C"/>
    <w:rsid w:val="00D011C5"/>
    <w:rsid w:val="00D0555E"/>
    <w:rsid w:val="00D074D4"/>
    <w:rsid w:val="00D1104A"/>
    <w:rsid w:val="00D12B8A"/>
    <w:rsid w:val="00D233B7"/>
    <w:rsid w:val="00D3454C"/>
    <w:rsid w:val="00D378D3"/>
    <w:rsid w:val="00D40C87"/>
    <w:rsid w:val="00D4244D"/>
    <w:rsid w:val="00D43841"/>
    <w:rsid w:val="00D453D0"/>
    <w:rsid w:val="00D56248"/>
    <w:rsid w:val="00D60CF4"/>
    <w:rsid w:val="00D6181F"/>
    <w:rsid w:val="00D61ECF"/>
    <w:rsid w:val="00D61FB4"/>
    <w:rsid w:val="00D64448"/>
    <w:rsid w:val="00D67704"/>
    <w:rsid w:val="00D71FD4"/>
    <w:rsid w:val="00D74708"/>
    <w:rsid w:val="00D81F57"/>
    <w:rsid w:val="00D83417"/>
    <w:rsid w:val="00D873CA"/>
    <w:rsid w:val="00D92C8A"/>
    <w:rsid w:val="00DA0165"/>
    <w:rsid w:val="00DA027C"/>
    <w:rsid w:val="00DA09ED"/>
    <w:rsid w:val="00DA18A2"/>
    <w:rsid w:val="00DA5346"/>
    <w:rsid w:val="00DA5722"/>
    <w:rsid w:val="00DA5B20"/>
    <w:rsid w:val="00DB38B9"/>
    <w:rsid w:val="00DB7244"/>
    <w:rsid w:val="00DC075A"/>
    <w:rsid w:val="00DC2AA9"/>
    <w:rsid w:val="00DC5836"/>
    <w:rsid w:val="00DD0861"/>
    <w:rsid w:val="00DD3A1A"/>
    <w:rsid w:val="00DD6107"/>
    <w:rsid w:val="00DE5758"/>
    <w:rsid w:val="00DE7AB1"/>
    <w:rsid w:val="00DF100A"/>
    <w:rsid w:val="00DF3B7F"/>
    <w:rsid w:val="00DF4D1E"/>
    <w:rsid w:val="00E0335D"/>
    <w:rsid w:val="00E0364C"/>
    <w:rsid w:val="00E04C3C"/>
    <w:rsid w:val="00E052FD"/>
    <w:rsid w:val="00E12C79"/>
    <w:rsid w:val="00E139C4"/>
    <w:rsid w:val="00E209D9"/>
    <w:rsid w:val="00E22E74"/>
    <w:rsid w:val="00E2391F"/>
    <w:rsid w:val="00E304E7"/>
    <w:rsid w:val="00E3305F"/>
    <w:rsid w:val="00E4200D"/>
    <w:rsid w:val="00E43868"/>
    <w:rsid w:val="00E563CF"/>
    <w:rsid w:val="00E57878"/>
    <w:rsid w:val="00E6388F"/>
    <w:rsid w:val="00E6434D"/>
    <w:rsid w:val="00E65B04"/>
    <w:rsid w:val="00E66F3C"/>
    <w:rsid w:val="00E778C0"/>
    <w:rsid w:val="00E80351"/>
    <w:rsid w:val="00E813E3"/>
    <w:rsid w:val="00E82196"/>
    <w:rsid w:val="00E84069"/>
    <w:rsid w:val="00E86174"/>
    <w:rsid w:val="00E93EC5"/>
    <w:rsid w:val="00E94D42"/>
    <w:rsid w:val="00E9598D"/>
    <w:rsid w:val="00EA057B"/>
    <w:rsid w:val="00EA1E5A"/>
    <w:rsid w:val="00EA3F96"/>
    <w:rsid w:val="00EA7801"/>
    <w:rsid w:val="00EA7DF9"/>
    <w:rsid w:val="00EB0686"/>
    <w:rsid w:val="00EB08CF"/>
    <w:rsid w:val="00EB0E64"/>
    <w:rsid w:val="00EB4D57"/>
    <w:rsid w:val="00EC0C0C"/>
    <w:rsid w:val="00EC3F20"/>
    <w:rsid w:val="00EC65A8"/>
    <w:rsid w:val="00EC66E7"/>
    <w:rsid w:val="00EC69FA"/>
    <w:rsid w:val="00EC6F52"/>
    <w:rsid w:val="00EC74A6"/>
    <w:rsid w:val="00ED6F36"/>
    <w:rsid w:val="00ED7569"/>
    <w:rsid w:val="00EE4173"/>
    <w:rsid w:val="00EF1820"/>
    <w:rsid w:val="00EF2FD6"/>
    <w:rsid w:val="00EF6123"/>
    <w:rsid w:val="00EF681C"/>
    <w:rsid w:val="00EF7202"/>
    <w:rsid w:val="00EF7678"/>
    <w:rsid w:val="00F03472"/>
    <w:rsid w:val="00F03998"/>
    <w:rsid w:val="00F06D0B"/>
    <w:rsid w:val="00F07551"/>
    <w:rsid w:val="00F11D21"/>
    <w:rsid w:val="00F11F82"/>
    <w:rsid w:val="00F129D0"/>
    <w:rsid w:val="00F13256"/>
    <w:rsid w:val="00F149CB"/>
    <w:rsid w:val="00F154C7"/>
    <w:rsid w:val="00F20EA7"/>
    <w:rsid w:val="00F22724"/>
    <w:rsid w:val="00F2694A"/>
    <w:rsid w:val="00F3086B"/>
    <w:rsid w:val="00F32356"/>
    <w:rsid w:val="00F34EF1"/>
    <w:rsid w:val="00F37745"/>
    <w:rsid w:val="00F47C6D"/>
    <w:rsid w:val="00F5706C"/>
    <w:rsid w:val="00F6139A"/>
    <w:rsid w:val="00F63A42"/>
    <w:rsid w:val="00F63DAA"/>
    <w:rsid w:val="00F63E20"/>
    <w:rsid w:val="00F667AF"/>
    <w:rsid w:val="00F66A2C"/>
    <w:rsid w:val="00F707E6"/>
    <w:rsid w:val="00F72390"/>
    <w:rsid w:val="00F726BF"/>
    <w:rsid w:val="00F742F7"/>
    <w:rsid w:val="00F74D10"/>
    <w:rsid w:val="00F80BF4"/>
    <w:rsid w:val="00F822A6"/>
    <w:rsid w:val="00F83408"/>
    <w:rsid w:val="00F835DD"/>
    <w:rsid w:val="00F85589"/>
    <w:rsid w:val="00F8580F"/>
    <w:rsid w:val="00F87601"/>
    <w:rsid w:val="00F90C98"/>
    <w:rsid w:val="00F96AC0"/>
    <w:rsid w:val="00FA0F97"/>
    <w:rsid w:val="00FA1C99"/>
    <w:rsid w:val="00FA2A40"/>
    <w:rsid w:val="00FB0CFD"/>
    <w:rsid w:val="00FB2EE4"/>
    <w:rsid w:val="00FB4140"/>
    <w:rsid w:val="00FB6BC3"/>
    <w:rsid w:val="00FB7FCD"/>
    <w:rsid w:val="00FC1BC1"/>
    <w:rsid w:val="00FC5200"/>
    <w:rsid w:val="00FC75D1"/>
    <w:rsid w:val="00FC7949"/>
    <w:rsid w:val="00FD2949"/>
    <w:rsid w:val="00FD3450"/>
    <w:rsid w:val="00FD723B"/>
    <w:rsid w:val="00FE4399"/>
    <w:rsid w:val="00FE4B5B"/>
    <w:rsid w:val="00FE518E"/>
    <w:rsid w:val="00FE5504"/>
    <w:rsid w:val="00FE65EB"/>
    <w:rsid w:val="01A33E9C"/>
    <w:rsid w:val="031F0BD0"/>
    <w:rsid w:val="04CD731B"/>
    <w:rsid w:val="07CA43AC"/>
    <w:rsid w:val="09681330"/>
    <w:rsid w:val="0A307C97"/>
    <w:rsid w:val="0AD92A42"/>
    <w:rsid w:val="0B6B1123"/>
    <w:rsid w:val="0D353973"/>
    <w:rsid w:val="0DE2468A"/>
    <w:rsid w:val="0E323572"/>
    <w:rsid w:val="0ECD0C9A"/>
    <w:rsid w:val="0F5170E2"/>
    <w:rsid w:val="0F895230"/>
    <w:rsid w:val="10225734"/>
    <w:rsid w:val="11B705A0"/>
    <w:rsid w:val="122F6C04"/>
    <w:rsid w:val="14132920"/>
    <w:rsid w:val="15B60AF1"/>
    <w:rsid w:val="15C77737"/>
    <w:rsid w:val="177F6C83"/>
    <w:rsid w:val="17AE8B7A"/>
    <w:rsid w:val="18B3029F"/>
    <w:rsid w:val="1A093C4A"/>
    <w:rsid w:val="1A1D3847"/>
    <w:rsid w:val="1AB737DE"/>
    <w:rsid w:val="1B3B1CB8"/>
    <w:rsid w:val="1D8F4C7F"/>
    <w:rsid w:val="1DE63703"/>
    <w:rsid w:val="2126054A"/>
    <w:rsid w:val="21302811"/>
    <w:rsid w:val="21B514D9"/>
    <w:rsid w:val="247F0D69"/>
    <w:rsid w:val="24CC0D68"/>
    <w:rsid w:val="257F739C"/>
    <w:rsid w:val="26684EB3"/>
    <w:rsid w:val="26B07180"/>
    <w:rsid w:val="273E1D47"/>
    <w:rsid w:val="28197E57"/>
    <w:rsid w:val="28945237"/>
    <w:rsid w:val="2A6F6A9F"/>
    <w:rsid w:val="2B48435D"/>
    <w:rsid w:val="2B74142C"/>
    <w:rsid w:val="2BD335AA"/>
    <w:rsid w:val="2C5A3F68"/>
    <w:rsid w:val="2C7442EC"/>
    <w:rsid w:val="2CC7637F"/>
    <w:rsid w:val="2CFF231F"/>
    <w:rsid w:val="2D091D10"/>
    <w:rsid w:val="2DED612C"/>
    <w:rsid w:val="2E9A0FAB"/>
    <w:rsid w:val="2EE330D8"/>
    <w:rsid w:val="310F6B93"/>
    <w:rsid w:val="32CF509C"/>
    <w:rsid w:val="332E2DC3"/>
    <w:rsid w:val="33D90C83"/>
    <w:rsid w:val="33EB4E73"/>
    <w:rsid w:val="35D151C8"/>
    <w:rsid w:val="36413C79"/>
    <w:rsid w:val="36BF1DD2"/>
    <w:rsid w:val="36CE1E68"/>
    <w:rsid w:val="38EE3222"/>
    <w:rsid w:val="38F9005C"/>
    <w:rsid w:val="3902576C"/>
    <w:rsid w:val="39137BCC"/>
    <w:rsid w:val="398F30CF"/>
    <w:rsid w:val="3A945BA3"/>
    <w:rsid w:val="3A9E08EB"/>
    <w:rsid w:val="3C3B6DA1"/>
    <w:rsid w:val="3CB91A62"/>
    <w:rsid w:val="3DAD103E"/>
    <w:rsid w:val="3EEF87B4"/>
    <w:rsid w:val="3F086869"/>
    <w:rsid w:val="3FAD63A0"/>
    <w:rsid w:val="3FEC61AE"/>
    <w:rsid w:val="40217801"/>
    <w:rsid w:val="43E80C33"/>
    <w:rsid w:val="44931544"/>
    <w:rsid w:val="458727AA"/>
    <w:rsid w:val="46BC37F2"/>
    <w:rsid w:val="47A1125B"/>
    <w:rsid w:val="47C26B93"/>
    <w:rsid w:val="48912B3E"/>
    <w:rsid w:val="49A117C5"/>
    <w:rsid w:val="4AD66569"/>
    <w:rsid w:val="4AF96FA1"/>
    <w:rsid w:val="4D1B4A9D"/>
    <w:rsid w:val="4DD101CC"/>
    <w:rsid w:val="4DF72F6D"/>
    <w:rsid w:val="4E2B34A0"/>
    <w:rsid w:val="4F0B668B"/>
    <w:rsid w:val="524E7AD5"/>
    <w:rsid w:val="525B269A"/>
    <w:rsid w:val="53F3145F"/>
    <w:rsid w:val="53FF1C7D"/>
    <w:rsid w:val="54AD6A7C"/>
    <w:rsid w:val="5536E78E"/>
    <w:rsid w:val="553D7E00"/>
    <w:rsid w:val="55C71E85"/>
    <w:rsid w:val="567608C6"/>
    <w:rsid w:val="5677F692"/>
    <w:rsid w:val="56AF6BFF"/>
    <w:rsid w:val="57280BE4"/>
    <w:rsid w:val="5B0C2013"/>
    <w:rsid w:val="5B265EB5"/>
    <w:rsid w:val="5BC562B5"/>
    <w:rsid w:val="5C932D4B"/>
    <w:rsid w:val="5CD01F00"/>
    <w:rsid w:val="5D0132A8"/>
    <w:rsid w:val="5DA52508"/>
    <w:rsid w:val="5DDB48DC"/>
    <w:rsid w:val="5E5218E8"/>
    <w:rsid w:val="5E9641CF"/>
    <w:rsid w:val="5EA3BDC9"/>
    <w:rsid w:val="5F0F6EAA"/>
    <w:rsid w:val="5F1918C8"/>
    <w:rsid w:val="5FDC3F39"/>
    <w:rsid w:val="604802FD"/>
    <w:rsid w:val="60EC7228"/>
    <w:rsid w:val="610042FE"/>
    <w:rsid w:val="617D178B"/>
    <w:rsid w:val="6322494F"/>
    <w:rsid w:val="635554EA"/>
    <w:rsid w:val="638044B2"/>
    <w:rsid w:val="63B60CD2"/>
    <w:rsid w:val="63C5CD29"/>
    <w:rsid w:val="65E33EAB"/>
    <w:rsid w:val="66AE605A"/>
    <w:rsid w:val="677F245B"/>
    <w:rsid w:val="6B053E23"/>
    <w:rsid w:val="6B1C7422"/>
    <w:rsid w:val="6BD62996"/>
    <w:rsid w:val="6BE95552"/>
    <w:rsid w:val="6C881A75"/>
    <w:rsid w:val="6D267305"/>
    <w:rsid w:val="6EAC3D4F"/>
    <w:rsid w:val="70BC7D8C"/>
    <w:rsid w:val="71F2536B"/>
    <w:rsid w:val="72DB3FC7"/>
    <w:rsid w:val="73A925A0"/>
    <w:rsid w:val="73FFDB8E"/>
    <w:rsid w:val="754E7067"/>
    <w:rsid w:val="76C92E49"/>
    <w:rsid w:val="76DE7E78"/>
    <w:rsid w:val="7707109B"/>
    <w:rsid w:val="78E51593"/>
    <w:rsid w:val="799139C7"/>
    <w:rsid w:val="7A0C4606"/>
    <w:rsid w:val="7B3927AA"/>
    <w:rsid w:val="7BB3231A"/>
    <w:rsid w:val="7BED7A99"/>
    <w:rsid w:val="7C6914E9"/>
    <w:rsid w:val="7C6B2FB3"/>
    <w:rsid w:val="7C731D5F"/>
    <w:rsid w:val="7C82671B"/>
    <w:rsid w:val="7CA207E3"/>
    <w:rsid w:val="7CAB2FF1"/>
    <w:rsid w:val="7D0A3F03"/>
    <w:rsid w:val="7DFCD3E9"/>
    <w:rsid w:val="7E6B29A9"/>
    <w:rsid w:val="7FDC78DE"/>
    <w:rsid w:val="7FFE9B62"/>
    <w:rsid w:val="A57A8278"/>
    <w:rsid w:val="B71E0BC5"/>
    <w:rsid w:val="BFCB5F96"/>
    <w:rsid w:val="C67B7EDF"/>
    <w:rsid w:val="DF3D114F"/>
    <w:rsid w:val="DFF51363"/>
    <w:rsid w:val="EEA1D8C3"/>
    <w:rsid w:val="EF5EA6A0"/>
    <w:rsid w:val="EFDAB76F"/>
    <w:rsid w:val="F7DEDA86"/>
    <w:rsid w:val="FBF4FB13"/>
    <w:rsid w:val="FCDBBC81"/>
    <w:rsid w:val="FFFDE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6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keepNext/>
      <w:keepLines/>
      <w:spacing w:before="260" w:after="260" w:line="360" w:lineRule="auto"/>
      <w:ind w:firstLine="602" w:firstLineChars="200"/>
      <w:outlineLvl w:val="2"/>
    </w:pPr>
    <w:rPr>
      <w:rFonts w:ascii="方正书宋简体" w:eastAsia="方正书宋简体"/>
      <w:b/>
      <w:bCs/>
      <w:sz w:val="30"/>
      <w:szCs w:val="20"/>
    </w:rPr>
  </w:style>
  <w:style w:type="paragraph" w:styleId="9">
    <w:name w:val="heading 4"/>
    <w:basedOn w:val="1"/>
    <w:next w:val="1"/>
    <w:qFormat/>
    <w:uiPriority w:val="0"/>
    <w:pPr>
      <w:keepNext/>
      <w:keepLines/>
      <w:spacing w:before="280" w:after="290" w:line="376" w:lineRule="auto"/>
      <w:outlineLvl w:val="3"/>
    </w:pPr>
    <w:rPr>
      <w:rFonts w:ascii="楷体_GB2312" w:hAnsi="楷体_GB2312" w:eastAsia="Cambria Math"/>
      <w:b/>
      <w:bCs/>
      <w:sz w:val="28"/>
      <w:szCs w:val="28"/>
    </w:rPr>
  </w:style>
  <w:style w:type="paragraph" w:styleId="10">
    <w:name w:val="heading 6"/>
    <w:basedOn w:val="1"/>
    <w:next w:val="1"/>
    <w:link w:val="40"/>
    <w:qFormat/>
    <w:uiPriority w:val="0"/>
    <w:pPr>
      <w:keepNext/>
      <w:keepLines/>
      <w:spacing w:before="240" w:after="64" w:line="320" w:lineRule="auto"/>
      <w:outlineLvl w:val="5"/>
    </w:pPr>
    <w:rPr>
      <w:rFonts w:ascii="Calibri Light" w:hAnsi="Calibri Light" w:eastAsia="楷体_GB2312"/>
      <w:b/>
      <w:bCs/>
      <w:sz w:val="24"/>
      <w:lang w:val="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6"/>
    <w:qFormat/>
    <w:uiPriority w:val="0"/>
    <w:pPr>
      <w:tabs>
        <w:tab w:val="center" w:pos="4153"/>
        <w:tab w:val="right" w:pos="8306"/>
      </w:tabs>
      <w:snapToGrid w:val="0"/>
      <w:jc w:val="left"/>
    </w:pPr>
    <w:rPr>
      <w:sz w:val="18"/>
      <w:szCs w:val="18"/>
      <w:lang w:val="zh-CN"/>
    </w:rPr>
  </w:style>
  <w:style w:type="paragraph" w:styleId="5">
    <w:name w:val="Normal Indent"/>
    <w:basedOn w:val="1"/>
    <w:next w:val="6"/>
    <w:link w:val="72"/>
    <w:qFormat/>
    <w:uiPriority w:val="0"/>
    <w:pPr>
      <w:ind w:firstLine="420"/>
    </w:pPr>
    <w:rPr>
      <w:szCs w:val="20"/>
    </w:rPr>
  </w:style>
  <w:style w:type="paragraph" w:styleId="6">
    <w:name w:val="Plain Text"/>
    <w:basedOn w:val="1"/>
    <w:next w:val="7"/>
    <w:link w:val="39"/>
    <w:qFormat/>
    <w:uiPriority w:val="0"/>
    <w:rPr>
      <w:rFonts w:ascii="楷体_GB2312" w:hAnsi="Courier New" w:eastAsia="楷体_GB2312"/>
    </w:rPr>
  </w:style>
  <w:style w:type="paragraph" w:styleId="7">
    <w:name w:val="Date"/>
    <w:basedOn w:val="1"/>
    <w:next w:val="1"/>
    <w:qFormat/>
    <w:uiPriority w:val="0"/>
    <w:pPr>
      <w:ind w:left="2500" w:leftChars="2500"/>
    </w:pPr>
    <w:rPr>
      <w:rFonts w:eastAsia="楷体_GB2312"/>
      <w:sz w:val="32"/>
      <w:szCs w:val="20"/>
    </w:rPr>
  </w:style>
  <w:style w:type="paragraph" w:styleId="11">
    <w:name w:val="List Number"/>
    <w:basedOn w:val="1"/>
    <w:qFormat/>
    <w:uiPriority w:val="0"/>
    <w:pPr>
      <w:widowControl/>
      <w:numPr>
        <w:ilvl w:val="0"/>
        <w:numId w:val="1"/>
      </w:numPr>
      <w:tabs>
        <w:tab w:val="left" w:pos="454"/>
        <w:tab w:val="left" w:pos="720"/>
        <w:tab w:val="left" w:pos="899"/>
      </w:tabs>
      <w:spacing w:after="50" w:afterLines="50"/>
      <w:ind w:left="454" w:hanging="284"/>
      <w:jc w:val="left"/>
    </w:pPr>
    <w:rPr>
      <w:kern w:val="0"/>
      <w:sz w:val="24"/>
      <w:szCs w:val="20"/>
    </w:rPr>
  </w:style>
  <w:style w:type="paragraph" w:styleId="12">
    <w:name w:val="caption"/>
    <w:basedOn w:val="1"/>
    <w:next w:val="1"/>
    <w:qFormat/>
    <w:uiPriority w:val="0"/>
    <w:pPr>
      <w:spacing w:before="152" w:after="160"/>
    </w:pPr>
    <w:rPr>
      <w:rFonts w:ascii="Tahoma" w:hAnsi="Tahoma" w:eastAsia="Cambria Math" w:cs="Tahoma"/>
      <w:sz w:val="20"/>
      <w:szCs w:val="20"/>
    </w:rPr>
  </w:style>
  <w:style w:type="paragraph" w:styleId="13">
    <w:name w:val="annotation text"/>
    <w:basedOn w:val="1"/>
    <w:link w:val="34"/>
    <w:qFormat/>
    <w:uiPriority w:val="0"/>
    <w:pPr>
      <w:jc w:val="left"/>
    </w:pPr>
    <w:rPr>
      <w:lang w:val="zh-CN"/>
    </w:rPr>
  </w:style>
  <w:style w:type="paragraph" w:styleId="14">
    <w:name w:val="Body Text 3"/>
    <w:basedOn w:val="1"/>
    <w:qFormat/>
    <w:uiPriority w:val="0"/>
    <w:pPr>
      <w:spacing w:after="120"/>
    </w:pPr>
    <w:rPr>
      <w:sz w:val="16"/>
      <w:szCs w:val="16"/>
    </w:rPr>
  </w:style>
  <w:style w:type="paragraph" w:styleId="15">
    <w:name w:val="Body Text"/>
    <w:basedOn w:val="1"/>
    <w:next w:val="16"/>
    <w:qFormat/>
    <w:uiPriority w:val="0"/>
    <w:pPr>
      <w:spacing w:after="120"/>
    </w:pPr>
  </w:style>
  <w:style w:type="paragraph" w:styleId="16">
    <w:name w:val="Body Text First Indent"/>
    <w:basedOn w:val="15"/>
    <w:next w:val="17"/>
    <w:qFormat/>
    <w:uiPriority w:val="0"/>
    <w:pPr>
      <w:spacing w:line="440" w:lineRule="exact"/>
      <w:ind w:firstLine="420" w:firstLineChars="100"/>
    </w:pPr>
  </w:style>
  <w:style w:type="paragraph" w:styleId="17">
    <w:name w:val="toc 6"/>
    <w:basedOn w:val="1"/>
    <w:next w:val="1"/>
    <w:unhideWhenUsed/>
    <w:qFormat/>
    <w:uiPriority w:val="39"/>
    <w:pPr>
      <w:ind w:left="2100" w:leftChars="1000"/>
    </w:pPr>
    <w:rPr>
      <w:szCs w:val="22"/>
    </w:rPr>
  </w:style>
  <w:style w:type="paragraph" w:styleId="18">
    <w:name w:val="Body Text Indent"/>
    <w:basedOn w:val="1"/>
    <w:next w:val="1"/>
    <w:link w:val="68"/>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楷体_GB2312"/>
      <w:color w:val="000000"/>
      <w:kern w:val="0"/>
      <w:sz w:val="24"/>
      <w:szCs w:val="20"/>
    </w:rPr>
  </w:style>
  <w:style w:type="paragraph" w:styleId="19">
    <w:name w:val="List 2"/>
    <w:basedOn w:val="1"/>
    <w:qFormat/>
    <w:uiPriority w:val="0"/>
    <w:pPr>
      <w:ind w:left="100" w:leftChars="200" w:hanging="200" w:hangingChars="200"/>
    </w:pPr>
  </w:style>
  <w:style w:type="paragraph" w:styleId="20">
    <w:name w:val="Body Text Indent 2"/>
    <w:basedOn w:val="1"/>
    <w:qFormat/>
    <w:uiPriority w:val="0"/>
    <w:pPr>
      <w:spacing w:after="120" w:line="480" w:lineRule="auto"/>
      <w:ind w:left="420" w:leftChars="200"/>
    </w:pPr>
  </w:style>
  <w:style w:type="paragraph" w:styleId="21">
    <w:name w:val="Balloon Text"/>
    <w:basedOn w:val="1"/>
    <w:link w:val="35"/>
    <w:qFormat/>
    <w:uiPriority w:val="0"/>
    <w:rPr>
      <w:sz w:val="18"/>
      <w:szCs w:val="18"/>
      <w:lang w:val="zh-CN"/>
    </w:rPr>
  </w:style>
  <w:style w:type="paragraph" w:styleId="22">
    <w:name w:val="header"/>
    <w:basedOn w:val="1"/>
    <w:link w:val="38"/>
    <w:qFormat/>
    <w:uiPriority w:val="0"/>
    <w:pPr>
      <w:pBdr>
        <w:bottom w:val="single" w:color="auto" w:sz="6" w:space="1"/>
      </w:pBdr>
      <w:tabs>
        <w:tab w:val="center" w:pos="4153"/>
        <w:tab w:val="right" w:pos="8306"/>
      </w:tabs>
      <w:snapToGrid w:val="0"/>
      <w:jc w:val="center"/>
    </w:pPr>
    <w:rPr>
      <w:sz w:val="18"/>
      <w:szCs w:val="18"/>
      <w:lang w:val="zh-CN"/>
    </w:rPr>
  </w:style>
  <w:style w:type="paragraph" w:styleId="23">
    <w:name w:val="List"/>
    <w:basedOn w:val="1"/>
    <w:qFormat/>
    <w:uiPriority w:val="0"/>
    <w:pPr>
      <w:ind w:left="200" w:hanging="200" w:hangingChars="200"/>
    </w:pPr>
    <w:rPr>
      <w:sz w:val="28"/>
    </w:rPr>
  </w:style>
  <w:style w:type="paragraph" w:styleId="24">
    <w:name w:val="Normal (Web)"/>
    <w:basedOn w:val="1"/>
    <w:qFormat/>
    <w:uiPriority w:val="0"/>
    <w:pPr>
      <w:widowControl/>
      <w:spacing w:before="100" w:beforeAutospacing="1" w:after="100" w:afterAutospacing="1"/>
      <w:jc w:val="left"/>
    </w:pPr>
    <w:rPr>
      <w:rFonts w:hint="eastAsia" w:ascii="楷体_GB2312" w:hAnsi="楷体_GB2312"/>
      <w:kern w:val="0"/>
      <w:sz w:val="24"/>
    </w:rPr>
  </w:style>
  <w:style w:type="paragraph" w:styleId="25">
    <w:name w:val="Title"/>
    <w:basedOn w:val="1"/>
    <w:next w:val="1"/>
    <w:qFormat/>
    <w:uiPriority w:val="0"/>
    <w:pPr>
      <w:spacing w:before="240" w:after="60"/>
      <w:jc w:val="center"/>
      <w:outlineLvl w:val="0"/>
    </w:pPr>
    <w:rPr>
      <w:rFonts w:ascii="Cambria" w:hAnsi="Cambria"/>
      <w:b/>
      <w:bCs/>
      <w:kern w:val="0"/>
      <w:sz w:val="32"/>
      <w:szCs w:val="32"/>
    </w:rPr>
  </w:style>
  <w:style w:type="paragraph" w:styleId="26">
    <w:name w:val="annotation subject"/>
    <w:basedOn w:val="13"/>
    <w:next w:val="13"/>
    <w:link w:val="37"/>
    <w:qFormat/>
    <w:uiPriority w:val="0"/>
    <w:rPr>
      <w:b/>
      <w:bCs/>
    </w:rPr>
  </w:style>
  <w:style w:type="paragraph" w:styleId="27">
    <w:name w:val="Body Text First Indent 2"/>
    <w:basedOn w:val="18"/>
    <w:next w:val="1"/>
    <w:link w:val="69"/>
    <w:qFormat/>
    <w:uiPriority w:val="0"/>
    <w:pPr>
      <w:autoSpaceDE/>
      <w:autoSpaceDN/>
      <w:adjustRightInd/>
      <w:spacing w:after="120" w:line="240" w:lineRule="auto"/>
      <w:ind w:left="420" w:leftChars="200" w:right="0" w:rightChars="0" w:firstLine="420" w:firstLineChars="200"/>
      <w:jc w:val="both"/>
    </w:pPr>
    <w:rPr>
      <w:rFonts w:ascii="Calibri"/>
      <w:color w:val="auto"/>
      <w:kern w:val="2"/>
      <w:sz w:val="21"/>
      <w:szCs w:val="24"/>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批注文字 Char"/>
    <w:link w:val="13"/>
    <w:qFormat/>
    <w:uiPriority w:val="0"/>
    <w:rPr>
      <w:kern w:val="2"/>
      <w:sz w:val="21"/>
      <w:szCs w:val="24"/>
    </w:rPr>
  </w:style>
  <w:style w:type="character" w:customStyle="1" w:styleId="35">
    <w:name w:val="批注框文本 Char"/>
    <w:link w:val="21"/>
    <w:qFormat/>
    <w:uiPriority w:val="0"/>
    <w:rPr>
      <w:kern w:val="2"/>
      <w:sz w:val="18"/>
      <w:szCs w:val="18"/>
    </w:rPr>
  </w:style>
  <w:style w:type="character" w:customStyle="1" w:styleId="36">
    <w:name w:val="页脚 Char"/>
    <w:link w:val="2"/>
    <w:qFormat/>
    <w:uiPriority w:val="0"/>
    <w:rPr>
      <w:kern w:val="2"/>
      <w:sz w:val="18"/>
      <w:szCs w:val="18"/>
    </w:rPr>
  </w:style>
  <w:style w:type="character" w:customStyle="1" w:styleId="37">
    <w:name w:val="批注主题 Char"/>
    <w:basedOn w:val="34"/>
    <w:link w:val="26"/>
    <w:qFormat/>
    <w:uiPriority w:val="0"/>
    <w:rPr>
      <w:kern w:val="2"/>
      <w:sz w:val="21"/>
      <w:szCs w:val="24"/>
    </w:rPr>
  </w:style>
  <w:style w:type="character" w:customStyle="1" w:styleId="38">
    <w:name w:val="页眉 Char"/>
    <w:link w:val="22"/>
    <w:qFormat/>
    <w:uiPriority w:val="0"/>
    <w:rPr>
      <w:kern w:val="2"/>
      <w:sz w:val="18"/>
      <w:szCs w:val="18"/>
    </w:rPr>
  </w:style>
  <w:style w:type="character" w:customStyle="1" w:styleId="39">
    <w:name w:val="纯文本 Char"/>
    <w:link w:val="6"/>
    <w:qFormat/>
    <w:uiPriority w:val="0"/>
    <w:rPr>
      <w:rFonts w:ascii="楷体_GB2312" w:hAnsi="Courier New" w:eastAsia="楷体_GB2312"/>
      <w:kern w:val="2"/>
      <w:sz w:val="21"/>
      <w:szCs w:val="24"/>
      <w:lang w:val="en-US" w:eastAsia="zh-CN" w:bidi="ar-SA"/>
    </w:rPr>
  </w:style>
  <w:style w:type="character" w:customStyle="1" w:styleId="40">
    <w:name w:val="标题 6 Char"/>
    <w:link w:val="10"/>
    <w:semiHidden/>
    <w:qFormat/>
    <w:uiPriority w:val="0"/>
    <w:rPr>
      <w:rFonts w:ascii="Calibri Light" w:hAnsi="Calibri Light" w:eastAsia="楷体_GB2312" w:cs="@方正书宋简体"/>
      <w:b/>
      <w:bCs/>
      <w:kern w:val="2"/>
      <w:sz w:val="24"/>
      <w:szCs w:val="24"/>
    </w:rPr>
  </w:style>
  <w:style w:type="paragraph" w:customStyle="1" w:styleId="41">
    <w:name w:val="目录 21"/>
    <w:basedOn w:val="1"/>
    <w:next w:val="1"/>
    <w:qFormat/>
    <w:uiPriority w:val="0"/>
    <w:pPr>
      <w:spacing w:line="360" w:lineRule="auto"/>
      <w:ind w:left="210" w:leftChars="100" w:firstLine="472" w:firstLineChars="196"/>
      <w:jc w:val="left"/>
    </w:pPr>
    <w:rPr>
      <w:rFonts w:ascii="楷体_GB2312" w:hAnsi="楷体_GB2312"/>
      <w:b/>
      <w:sz w:val="24"/>
    </w:rPr>
  </w:style>
  <w:style w:type="paragraph" w:customStyle="1" w:styleId="42">
    <w:name w:val="列出段落1"/>
    <w:basedOn w:val="1"/>
    <w:qFormat/>
    <w:uiPriority w:val="0"/>
    <w:pPr>
      <w:ind w:firstLine="420" w:firstLineChars="200"/>
    </w:pPr>
    <w:rPr>
      <w:kern w:val="0"/>
      <w:szCs w:val="20"/>
    </w:rPr>
  </w:style>
  <w:style w:type="paragraph" w:customStyle="1" w:styleId="43">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img"/>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45">
    <w:name w:val="列出段落2"/>
    <w:basedOn w:val="1"/>
    <w:qFormat/>
    <w:uiPriority w:val="34"/>
    <w:pPr>
      <w:ind w:firstLine="420" w:firstLineChars="200"/>
    </w:pPr>
    <w:rPr>
      <w:rFonts w:eastAsia="楷体_GB2312" w:cs="@方正书宋简体"/>
      <w:szCs w:val="22"/>
    </w:rPr>
  </w:style>
  <w:style w:type="paragraph" w:customStyle="1" w:styleId="46">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p0"/>
    <w:basedOn w:val="1"/>
    <w:qFormat/>
    <w:uiPriority w:val="0"/>
    <w:pPr>
      <w:widowControl/>
      <w:spacing w:line="365" w:lineRule="atLeast"/>
      <w:ind w:left="1"/>
    </w:pPr>
    <w:rPr>
      <w:kern w:val="0"/>
      <w:sz w:val="20"/>
      <w:szCs w:val="20"/>
    </w:rPr>
  </w:style>
  <w:style w:type="paragraph" w:customStyle="1" w:styleId="48">
    <w:name w:val="p18"/>
    <w:basedOn w:val="1"/>
    <w:qFormat/>
    <w:uiPriority w:val="99"/>
    <w:pPr>
      <w:widowControl/>
      <w:spacing w:line="748" w:lineRule="atLeast"/>
      <w:ind w:left="-527" w:firstLine="527"/>
    </w:pPr>
    <w:rPr>
      <w:rFonts w:ascii="楷体_GB2312" w:hAnsi="楷体_GB2312" w:cs="楷体_GB2312"/>
      <w:kern w:val="0"/>
      <w:sz w:val="24"/>
    </w:rPr>
  </w:style>
  <w:style w:type="paragraph" w:customStyle="1" w:styleId="49">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Char"/>
    <w:basedOn w:val="1"/>
    <w:qFormat/>
    <w:uiPriority w:val="0"/>
  </w:style>
  <w:style w:type="paragraph" w:customStyle="1" w:styleId="52">
    <w:name w:val="reader-word-layer"/>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53">
    <w:name w:val="正文_14"/>
    <w:qFormat/>
    <w:uiPriority w:val="0"/>
    <w:rPr>
      <w:rFonts w:ascii="Calibri" w:hAnsi="Calibri" w:eastAsia="宋体" w:cs="Times New Roman"/>
      <w:sz w:val="21"/>
      <w:lang w:val="en-US" w:eastAsia="zh-CN" w:bidi="ar-SA"/>
    </w:rPr>
  </w:style>
  <w:style w:type="paragraph" w:customStyle="1" w:styleId="5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5">
    <w:name w:val="Char1"/>
    <w:basedOn w:val="1"/>
    <w:qFormat/>
    <w:uiPriority w:val="0"/>
  </w:style>
  <w:style w:type="paragraph" w:customStyle="1" w:styleId="56">
    <w:name w:val="zw"/>
    <w:basedOn w:val="1"/>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5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8">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paragraph" w:customStyle="1" w:styleId="60">
    <w:name w:val="Table Paragraph"/>
    <w:basedOn w:val="1"/>
    <w:qFormat/>
    <w:uiPriority w:val="1"/>
    <w:rPr>
      <w:szCs w:val="20"/>
    </w:rPr>
  </w:style>
  <w:style w:type="paragraph" w:customStyle="1" w:styleId="61">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Char Char Char Char Char Char Char Char Char"/>
    <w:basedOn w:val="1"/>
    <w:qFormat/>
    <w:uiPriority w:val="0"/>
    <w:pPr>
      <w:widowControl/>
      <w:spacing w:after="160" w:line="240" w:lineRule="exact"/>
      <w:jc w:val="left"/>
    </w:pPr>
    <w:rPr>
      <w:rFonts w:ascii="Times New Roman" w:hAnsi="Times New Roman" w:eastAsia="Times New Roman"/>
      <w:kern w:val="0"/>
      <w:sz w:val="24"/>
      <w:szCs w:val="20"/>
    </w:rPr>
  </w:style>
  <w:style w:type="paragraph" w:styleId="63">
    <w:name w:val="List Paragraph"/>
    <w:basedOn w:val="1"/>
    <w:qFormat/>
    <w:uiPriority w:val="34"/>
    <w:pPr>
      <w:ind w:firstLine="420" w:firstLineChars="200"/>
    </w:pPr>
  </w:style>
  <w:style w:type="paragraph" w:customStyle="1" w:styleId="6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标题 2 Char"/>
    <w:basedOn w:val="30"/>
    <w:link w:val="4"/>
    <w:semiHidden/>
    <w:qFormat/>
    <w:uiPriority w:val="0"/>
    <w:rPr>
      <w:rFonts w:asciiTheme="majorHAnsi" w:hAnsiTheme="majorHAnsi" w:eastAsiaTheme="majorEastAsia" w:cstheme="majorBidi"/>
      <w:b/>
      <w:bCs/>
      <w:kern w:val="2"/>
      <w:sz w:val="32"/>
      <w:szCs w:val="32"/>
    </w:rPr>
  </w:style>
  <w:style w:type="character" w:customStyle="1" w:styleId="68">
    <w:name w:val="正文文本缩进 Char"/>
    <w:basedOn w:val="30"/>
    <w:link w:val="18"/>
    <w:qFormat/>
    <w:uiPriority w:val="0"/>
    <w:rPr>
      <w:rFonts w:ascii="楷体_GB2312"/>
      <w:color w:val="000000"/>
      <w:sz w:val="24"/>
    </w:rPr>
  </w:style>
  <w:style w:type="character" w:customStyle="1" w:styleId="69">
    <w:name w:val="正文首行缩进 2 Char"/>
    <w:basedOn w:val="68"/>
    <w:link w:val="27"/>
    <w:qFormat/>
    <w:uiPriority w:val="0"/>
    <w:rPr>
      <w:rFonts w:ascii="楷体_GB2312"/>
      <w:color w:val="000000"/>
      <w:kern w:val="2"/>
      <w:sz w:val="21"/>
      <w:szCs w:val="24"/>
    </w:rPr>
  </w:style>
  <w:style w:type="character" w:customStyle="1" w:styleId="70">
    <w:name w:val="标题 1 Char"/>
    <w:basedOn w:val="30"/>
    <w:link w:val="3"/>
    <w:qFormat/>
    <w:uiPriority w:val="0"/>
    <w:rPr>
      <w:b/>
      <w:bCs/>
      <w:kern w:val="44"/>
      <w:sz w:val="44"/>
      <w:szCs w:val="44"/>
    </w:rPr>
  </w:style>
  <w:style w:type="paragraph" w:customStyle="1" w:styleId="71">
    <w:name w:val="纯文本_0_1"/>
    <w:basedOn w:val="1"/>
    <w:qFormat/>
    <w:uiPriority w:val="0"/>
    <w:pPr>
      <w:widowControl/>
      <w:jc w:val="left"/>
    </w:pPr>
    <w:rPr>
      <w:rFonts w:ascii="宋体" w:hAnsi="Courier New" w:eastAsiaTheme="minorEastAsia" w:cstheme="minorBidi"/>
      <w:szCs w:val="21"/>
    </w:rPr>
  </w:style>
  <w:style w:type="character" w:customStyle="1" w:styleId="72">
    <w:name w:val="正文缩进 Char"/>
    <w:link w:val="5"/>
    <w:qFormat/>
    <w:uiPriority w:val="0"/>
    <w:rPr>
      <w:kern w:val="2"/>
      <w:sz w:val="21"/>
    </w:rPr>
  </w:style>
  <w:style w:type="paragraph" w:customStyle="1" w:styleId="73">
    <w:name w:val="表格文字"/>
    <w:basedOn w:val="1"/>
    <w:next w:val="15"/>
    <w:qFormat/>
    <w:uiPriority w:val="99"/>
    <w:pPr>
      <w:adjustRightInd w:val="0"/>
      <w:spacing w:line="420" w:lineRule="atLeast"/>
      <w:jc w:val="left"/>
      <w:textAlignment w:val="baseline"/>
    </w:pPr>
    <w:rPr>
      <w:kern w:val="0"/>
    </w:rPr>
  </w:style>
  <w:style w:type="character" w:customStyle="1" w:styleId="74">
    <w:name w:val="ca-141"/>
    <w:qFormat/>
    <w:uiPriority w:val="0"/>
    <w:rPr>
      <w:rFonts w:hint="eastAsia" w:ascii="宋体" w:hAnsi="宋体" w:eastAsia="宋体"/>
      <w:sz w:val="28"/>
      <w:szCs w:val="28"/>
    </w:rPr>
  </w:style>
  <w:style w:type="paragraph" w:customStyle="1" w:styleId="7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72</Pages>
  <Words>10957</Words>
  <Characters>11952</Characters>
  <Lines>377</Lines>
  <Paragraphs>106</Paragraphs>
  <TotalTime>37</TotalTime>
  <ScaleCrop>false</ScaleCrop>
  <LinksUpToDate>false</LinksUpToDate>
  <CharactersWithSpaces>12087</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2024-11-23T10:37:00Z</dcterms:created>
  <dc:creator>dell</dc:creator>
  <cp:lastModifiedBy>陆喵了个白。</cp:lastModifiedBy>
  <cp:lastPrinted>2020-12-01T07:45:00Z</cp:lastPrinted>
  <dcterms:modified xsi:type="dcterms:W3CDTF">2025-06-27T08:59:51Z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A229D5F16F7A4A30B64F0EDAFFB870ED_13</vt:lpwstr>
  </property>
</Properties>
</file>