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before="2880" w:beforeLines="1200" w:line="360" w:lineRule="auto"/>
        <w:jc w:val="center"/>
        <w:rPr>
          <w:rFonts w:hint="eastAsia" w:ascii="宋体" w:hAnsi="宋体" w:eastAsia="宋体" w:cs="宋体"/>
          <w:sz w:val="44"/>
          <w:szCs w:val="44"/>
          <w:lang w:eastAsia="zh-CN"/>
        </w:rPr>
      </w:pPr>
      <w:r>
        <w:rPr>
          <w:rFonts w:hint="eastAsia" w:ascii="宋体" w:hAnsi="宋体" w:cs="宋体"/>
          <w:sz w:val="44"/>
          <w:szCs w:val="44"/>
          <w:lang w:eastAsia="zh-CN"/>
        </w:rPr>
        <w:t>钱塘区城市桥梁动态称重系统项目</w:t>
      </w:r>
    </w:p>
    <w:p>
      <w:pPr>
        <w:adjustRightInd/>
        <w:spacing w:line="360" w:lineRule="auto"/>
        <w:jc w:val="center"/>
        <w:rPr>
          <w:rFonts w:ascii="宋体" w:hAnsi="宋体" w:cs="宋体"/>
          <w:sz w:val="44"/>
          <w:szCs w:val="44"/>
        </w:rPr>
      </w:pPr>
      <w:r>
        <w:rPr>
          <w:rFonts w:hint="eastAsia" w:ascii="宋体" w:hAnsi="宋体" w:cs="宋体"/>
          <w:sz w:val="44"/>
          <w:szCs w:val="44"/>
        </w:rPr>
        <w:t>招标文件</w:t>
      </w:r>
    </w:p>
    <w:p>
      <w:pPr>
        <w:adjustRightInd/>
        <w:spacing w:line="360" w:lineRule="auto"/>
        <w:jc w:val="center"/>
        <w:rPr>
          <w:rFonts w:ascii="宋体" w:hAnsi="宋体" w:cs="宋体"/>
          <w:b/>
          <w:sz w:val="24"/>
        </w:rPr>
      </w:pPr>
      <w:r>
        <w:rPr>
          <w:rFonts w:hint="eastAsia" w:ascii="宋体" w:hAnsi="宋体" w:cs="宋体"/>
          <w:b/>
          <w:sz w:val="24"/>
        </w:rPr>
        <w:t>（电子招投标）</w:t>
      </w:r>
    </w:p>
    <w:p>
      <w:pPr>
        <w:snapToGrid w:val="0"/>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编号:QTCG-GK-2024-004</w:t>
      </w:r>
    </w:p>
    <w:p>
      <w:pPr>
        <w:adjustRightInd/>
        <w:spacing w:line="360" w:lineRule="auto"/>
        <w:rPr>
          <w:rFonts w:ascii="宋体" w:hAnsi="宋体" w:cs="宋体"/>
          <w:sz w:val="28"/>
          <w:szCs w:val="28"/>
        </w:rPr>
      </w:pPr>
    </w:p>
    <w:p>
      <w:pPr>
        <w:spacing w:line="360" w:lineRule="auto"/>
        <w:jc w:val="center"/>
        <w:rPr>
          <w:rFonts w:ascii="宋体" w:hAnsi="宋体" w:cs="宋体"/>
          <w:b/>
          <w:sz w:val="28"/>
          <w:szCs w:val="28"/>
        </w:rPr>
      </w:pPr>
      <w:r>
        <w:rPr>
          <w:rFonts w:hint="eastAsia" w:ascii="宋体" w:hAnsi="宋体" w:cs="宋体"/>
          <w:b/>
          <w:sz w:val="28"/>
          <w:szCs w:val="28"/>
        </w:rPr>
        <w:t xml:space="preserve"> </w:t>
      </w:r>
    </w:p>
    <w:p>
      <w:pPr>
        <w:spacing w:line="360" w:lineRule="auto"/>
        <w:jc w:val="center"/>
        <w:rPr>
          <w:rFonts w:ascii="宋体" w:hAnsi="宋体" w:cs="宋体"/>
          <w:b/>
          <w:sz w:val="28"/>
          <w:szCs w:val="28"/>
        </w:rPr>
      </w:pPr>
    </w:p>
    <w:p>
      <w:pPr>
        <w:spacing w:line="360" w:lineRule="auto"/>
        <w:jc w:val="center"/>
        <w:rPr>
          <w:rFonts w:ascii="宋体" w:hAnsi="宋体" w:cs="宋体"/>
          <w:sz w:val="28"/>
          <w:szCs w:val="28"/>
        </w:rPr>
      </w:pPr>
    </w:p>
    <w:p>
      <w:pPr>
        <w:spacing w:line="360" w:lineRule="auto"/>
        <w:jc w:val="center"/>
        <w:rPr>
          <w:rFonts w:ascii="宋体" w:hAnsi="宋体" w:cs="宋体"/>
          <w:sz w:val="28"/>
          <w:szCs w:val="28"/>
        </w:rPr>
      </w:pPr>
    </w:p>
    <w:p>
      <w:pPr>
        <w:spacing w:line="360" w:lineRule="auto"/>
        <w:jc w:val="center"/>
        <w:rPr>
          <w:rFonts w:ascii="宋体" w:hAnsi="宋体" w:cs="宋体"/>
          <w:bCs/>
          <w:sz w:val="28"/>
          <w:szCs w:val="28"/>
        </w:rPr>
      </w:pPr>
      <w:r>
        <w:rPr>
          <w:rFonts w:hint="eastAsia" w:ascii="宋体" w:hAnsi="宋体" w:cs="宋体"/>
          <w:bCs/>
          <w:sz w:val="28"/>
          <w:szCs w:val="28"/>
        </w:rPr>
        <w:t>杭州市钱塘区综合行政执法局</w:t>
      </w:r>
    </w:p>
    <w:p>
      <w:pPr>
        <w:snapToGrid w:val="0"/>
        <w:spacing w:line="360" w:lineRule="auto"/>
        <w:jc w:val="center"/>
        <w:rPr>
          <w:rFonts w:ascii="宋体" w:hAnsi="宋体" w:cs="宋体"/>
          <w:bCs/>
          <w:color w:val="auto"/>
          <w:sz w:val="28"/>
          <w:szCs w:val="28"/>
          <w:highlight w:val="none"/>
        </w:rPr>
      </w:pPr>
      <w:r>
        <w:rPr>
          <w:rFonts w:hint="eastAsia" w:ascii="宋体" w:hAnsi="宋体" w:cs="宋体"/>
          <w:bCs/>
          <w:color w:val="auto"/>
          <w:sz w:val="28"/>
          <w:szCs w:val="28"/>
          <w:highlight w:val="none"/>
        </w:rPr>
        <w:t>浙江建友工程咨询有限公司</w:t>
      </w:r>
    </w:p>
    <w:p>
      <w:pPr>
        <w:snapToGrid w:val="0"/>
        <w:spacing w:line="360" w:lineRule="auto"/>
        <w:jc w:val="center"/>
        <w:rPr>
          <w:rFonts w:ascii="宋体" w:hAnsi="宋体" w:cs="宋体"/>
          <w:bCs/>
          <w:color w:val="auto"/>
          <w:sz w:val="28"/>
          <w:szCs w:val="28"/>
          <w:highlight w:val="none"/>
        </w:rPr>
      </w:pPr>
      <w:r>
        <w:rPr>
          <w:rFonts w:hint="eastAsia" w:ascii="宋体" w:hAnsi="宋体" w:cs="宋体"/>
          <w:bCs/>
          <w:color w:val="auto"/>
          <w:sz w:val="28"/>
          <w:szCs w:val="28"/>
          <w:highlight w:val="none"/>
        </w:rPr>
        <w:t>二〇二</w:t>
      </w:r>
      <w:r>
        <w:rPr>
          <w:rFonts w:hint="eastAsia" w:ascii="宋体" w:hAnsi="宋体" w:cs="宋体"/>
          <w:bCs/>
          <w:color w:val="auto"/>
          <w:sz w:val="28"/>
          <w:szCs w:val="28"/>
          <w:highlight w:val="none"/>
          <w:lang w:eastAsia="zh-CN"/>
        </w:rPr>
        <w:t>四</w:t>
      </w:r>
      <w:r>
        <w:rPr>
          <w:rFonts w:hint="eastAsia" w:ascii="宋体" w:hAnsi="宋体" w:cs="宋体"/>
          <w:bCs/>
          <w:color w:val="auto"/>
          <w:sz w:val="28"/>
          <w:szCs w:val="28"/>
          <w:highlight w:val="none"/>
        </w:rPr>
        <w:t>年</w:t>
      </w:r>
      <w:r>
        <w:rPr>
          <w:rFonts w:hint="eastAsia" w:ascii="宋体" w:hAnsi="宋体" w:cs="宋体"/>
          <w:bCs/>
          <w:color w:val="auto"/>
          <w:sz w:val="28"/>
          <w:szCs w:val="28"/>
          <w:highlight w:val="none"/>
          <w:lang w:eastAsia="zh-CN"/>
        </w:rPr>
        <w:t>一</w:t>
      </w:r>
      <w:r>
        <w:rPr>
          <w:rFonts w:hint="eastAsia" w:ascii="宋体" w:hAnsi="宋体" w:cs="宋体"/>
          <w:bCs/>
          <w:color w:val="auto"/>
          <w:sz w:val="28"/>
          <w:szCs w:val="28"/>
          <w:highlight w:val="none"/>
        </w:rPr>
        <w:t>月</w:t>
      </w:r>
      <w:r>
        <w:rPr>
          <w:rFonts w:hint="eastAsia" w:ascii="宋体" w:hAnsi="宋体" w:cs="宋体"/>
          <w:bCs/>
          <w:color w:val="auto"/>
          <w:sz w:val="28"/>
          <w:szCs w:val="28"/>
          <w:highlight w:val="none"/>
          <w:lang w:eastAsia="zh-CN"/>
        </w:rPr>
        <w:t>二十六</w:t>
      </w:r>
      <w:r>
        <w:rPr>
          <w:rFonts w:hint="eastAsia" w:ascii="宋体" w:hAnsi="宋体" w:cs="宋体"/>
          <w:bCs/>
          <w:color w:val="auto"/>
          <w:sz w:val="28"/>
          <w:szCs w:val="28"/>
          <w:highlight w:val="none"/>
        </w:rPr>
        <w:t>日</w:t>
      </w:r>
    </w:p>
    <w:p>
      <w:pPr>
        <w:spacing w:line="360" w:lineRule="auto"/>
        <w:jc w:val="center"/>
        <w:rPr>
          <w:rFonts w:ascii="宋体" w:hAnsi="宋体" w:cs="宋体"/>
          <w:sz w:val="28"/>
          <w:szCs w:val="28"/>
        </w:rPr>
      </w:pPr>
      <w:r>
        <w:rPr>
          <w:rFonts w:hint="eastAsia" w:ascii="宋体" w:hAnsi="宋体" w:cs="宋体"/>
          <w:sz w:val="28"/>
          <w:szCs w:val="28"/>
        </w:rPr>
        <w:br w:type="page"/>
      </w:r>
      <w:bookmarkStart w:id="0" w:name="_Hlt67893495"/>
      <w:bookmarkEnd w:id="0"/>
    </w:p>
    <w:p>
      <w:pPr>
        <w:spacing w:before="120" w:beforeLines="50" w:after="240" w:afterLines="100" w:line="360" w:lineRule="auto"/>
        <w:jc w:val="center"/>
        <w:rPr>
          <w:rFonts w:ascii="宋体" w:hAnsi="宋体" w:cs="宋体"/>
          <w:b/>
          <w:sz w:val="44"/>
          <w:szCs w:val="44"/>
        </w:rPr>
      </w:pPr>
      <w:r>
        <w:rPr>
          <w:rFonts w:hint="eastAsia" w:ascii="宋体" w:hAnsi="宋体" w:cs="宋体"/>
          <w:b/>
          <w:sz w:val="44"/>
          <w:szCs w:val="44"/>
        </w:rPr>
        <w:t>目  录</w:t>
      </w:r>
    </w:p>
    <w:p>
      <w:pPr>
        <w:pStyle w:val="43"/>
        <w:tabs>
          <w:tab w:val="right" w:leader="dot" w:pos="9070"/>
        </w:tabs>
        <w:spacing w:before="240" w:beforeLines="100" w:after="240" w:afterLines="100" w:line="360" w:lineRule="auto"/>
        <w:rPr>
          <w:rFonts w:ascii="宋体" w:hAnsi="宋体" w:cs="宋体"/>
          <w:sz w:val="36"/>
          <w:szCs w:val="36"/>
        </w:rPr>
      </w:pPr>
      <w:bookmarkStart w:id="1" w:name="_Hlt91233176"/>
      <w:bookmarkEnd w:id="1"/>
      <w:bookmarkStart w:id="2" w:name="_Toc91899869"/>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r>
        <w:fldChar w:fldCharType="begin"/>
      </w:r>
      <w:r>
        <w:instrText xml:space="preserve"> HYPERLINK \l "_Toc5973" </w:instrText>
      </w:r>
      <w:r>
        <w:fldChar w:fldCharType="separate"/>
      </w:r>
      <w:r>
        <w:rPr>
          <w:rFonts w:hint="eastAsia" w:ascii="宋体" w:hAnsi="宋体" w:cs="宋体"/>
          <w:sz w:val="36"/>
          <w:szCs w:val="36"/>
        </w:rPr>
        <w:t>第一部分 招标公告</w:t>
      </w:r>
      <w:r>
        <w:rPr>
          <w:rFonts w:hint="eastAsia" w:ascii="宋体" w:hAnsi="宋体" w:cs="宋体"/>
          <w:sz w:val="36"/>
          <w:szCs w:val="36"/>
        </w:rPr>
        <w:tab/>
      </w:r>
      <w:r>
        <w:rPr>
          <w:rFonts w:hint="eastAsia" w:ascii="宋体" w:hAnsi="宋体" w:cs="宋体"/>
          <w:sz w:val="36"/>
          <w:szCs w:val="36"/>
        </w:rPr>
        <w:fldChar w:fldCharType="begin"/>
      </w:r>
      <w:r>
        <w:rPr>
          <w:rFonts w:hint="eastAsia" w:ascii="宋体" w:hAnsi="宋体" w:cs="宋体"/>
          <w:sz w:val="36"/>
          <w:szCs w:val="36"/>
        </w:rPr>
        <w:instrText xml:space="preserve"> PAGEREF _Toc5973 \h </w:instrText>
      </w:r>
      <w:r>
        <w:rPr>
          <w:rFonts w:hint="eastAsia" w:ascii="宋体" w:hAnsi="宋体" w:cs="宋体"/>
          <w:sz w:val="36"/>
          <w:szCs w:val="36"/>
        </w:rPr>
        <w:fldChar w:fldCharType="separate"/>
      </w:r>
      <w:r>
        <w:rPr>
          <w:rFonts w:hint="eastAsia" w:ascii="宋体" w:hAnsi="宋体" w:cs="宋体"/>
          <w:sz w:val="36"/>
          <w:szCs w:val="36"/>
        </w:rPr>
        <w:t>3</w:t>
      </w:r>
      <w:r>
        <w:rPr>
          <w:rFonts w:hint="eastAsia" w:ascii="宋体" w:hAnsi="宋体" w:cs="宋体"/>
          <w:sz w:val="36"/>
          <w:szCs w:val="36"/>
        </w:rPr>
        <w:fldChar w:fldCharType="end"/>
      </w:r>
      <w:r>
        <w:rPr>
          <w:rFonts w:hint="eastAsia" w:ascii="宋体" w:hAnsi="宋体" w:cs="宋体"/>
          <w:sz w:val="36"/>
          <w:szCs w:val="36"/>
        </w:rPr>
        <w:fldChar w:fldCharType="end"/>
      </w:r>
    </w:p>
    <w:p>
      <w:pPr>
        <w:pStyle w:val="43"/>
        <w:tabs>
          <w:tab w:val="right" w:leader="dot" w:pos="9070"/>
        </w:tabs>
        <w:spacing w:before="240" w:beforeLines="100" w:after="240" w:afterLines="100" w:line="360" w:lineRule="auto"/>
        <w:rPr>
          <w:rFonts w:ascii="宋体" w:hAnsi="宋体" w:cs="宋体"/>
          <w:sz w:val="36"/>
          <w:szCs w:val="36"/>
        </w:rPr>
      </w:pPr>
      <w:r>
        <w:fldChar w:fldCharType="begin"/>
      </w:r>
      <w:r>
        <w:instrText xml:space="preserve"> HYPERLINK \l "_Toc9472" </w:instrText>
      </w:r>
      <w:r>
        <w:fldChar w:fldCharType="separate"/>
      </w:r>
      <w:r>
        <w:rPr>
          <w:rFonts w:hint="eastAsia" w:ascii="宋体" w:hAnsi="宋体" w:cs="宋体"/>
          <w:sz w:val="36"/>
          <w:szCs w:val="36"/>
        </w:rPr>
        <w:t>第二部分 投标人须知</w:t>
      </w:r>
      <w:r>
        <w:rPr>
          <w:rFonts w:hint="eastAsia" w:ascii="宋体" w:hAnsi="宋体" w:cs="宋体"/>
          <w:sz w:val="36"/>
          <w:szCs w:val="36"/>
        </w:rPr>
        <w:tab/>
      </w:r>
      <w:r>
        <w:rPr>
          <w:rFonts w:hint="eastAsia" w:ascii="宋体" w:hAnsi="宋体" w:cs="宋体"/>
          <w:sz w:val="36"/>
          <w:szCs w:val="36"/>
        </w:rPr>
        <w:fldChar w:fldCharType="begin"/>
      </w:r>
      <w:r>
        <w:rPr>
          <w:rFonts w:hint="eastAsia" w:ascii="宋体" w:hAnsi="宋体" w:cs="宋体"/>
          <w:sz w:val="36"/>
          <w:szCs w:val="36"/>
        </w:rPr>
        <w:instrText xml:space="preserve"> PAGEREF _Toc9472 \h </w:instrText>
      </w:r>
      <w:r>
        <w:rPr>
          <w:rFonts w:hint="eastAsia" w:ascii="宋体" w:hAnsi="宋体" w:cs="宋体"/>
          <w:sz w:val="36"/>
          <w:szCs w:val="36"/>
        </w:rPr>
        <w:fldChar w:fldCharType="separate"/>
      </w:r>
      <w:r>
        <w:rPr>
          <w:rFonts w:hint="eastAsia" w:ascii="宋体" w:hAnsi="宋体" w:cs="宋体"/>
          <w:sz w:val="36"/>
          <w:szCs w:val="36"/>
        </w:rPr>
        <w:t>8</w:t>
      </w:r>
      <w:r>
        <w:rPr>
          <w:rFonts w:hint="eastAsia" w:ascii="宋体" w:hAnsi="宋体" w:cs="宋体"/>
          <w:sz w:val="36"/>
          <w:szCs w:val="36"/>
        </w:rPr>
        <w:fldChar w:fldCharType="end"/>
      </w:r>
      <w:r>
        <w:rPr>
          <w:rFonts w:hint="eastAsia" w:ascii="宋体" w:hAnsi="宋体" w:cs="宋体"/>
          <w:sz w:val="36"/>
          <w:szCs w:val="36"/>
        </w:rPr>
        <w:fldChar w:fldCharType="end"/>
      </w:r>
    </w:p>
    <w:p>
      <w:pPr>
        <w:pStyle w:val="43"/>
        <w:tabs>
          <w:tab w:val="right" w:leader="dot" w:pos="9070"/>
        </w:tabs>
        <w:spacing w:before="240" w:beforeLines="100" w:after="240" w:afterLines="100" w:line="360" w:lineRule="auto"/>
        <w:rPr>
          <w:rFonts w:ascii="宋体" w:hAnsi="宋体" w:cs="宋体"/>
          <w:sz w:val="36"/>
          <w:szCs w:val="36"/>
        </w:rPr>
      </w:pPr>
      <w:r>
        <w:fldChar w:fldCharType="begin"/>
      </w:r>
      <w:r>
        <w:instrText xml:space="preserve"> HYPERLINK \l "_Toc8264" </w:instrText>
      </w:r>
      <w:r>
        <w:fldChar w:fldCharType="separate"/>
      </w:r>
      <w:r>
        <w:rPr>
          <w:rFonts w:hint="eastAsia" w:ascii="宋体" w:hAnsi="宋体" w:cs="宋体"/>
          <w:sz w:val="36"/>
          <w:szCs w:val="36"/>
        </w:rPr>
        <w:t>第三部分 采购需求</w:t>
      </w:r>
      <w:r>
        <w:rPr>
          <w:rFonts w:hint="eastAsia" w:ascii="宋体" w:hAnsi="宋体" w:cs="宋体"/>
          <w:sz w:val="36"/>
          <w:szCs w:val="36"/>
        </w:rPr>
        <w:tab/>
      </w:r>
      <w:r>
        <w:rPr>
          <w:rFonts w:hint="eastAsia" w:ascii="宋体" w:hAnsi="宋体" w:cs="宋体"/>
          <w:sz w:val="36"/>
          <w:szCs w:val="36"/>
        </w:rPr>
        <w:fldChar w:fldCharType="begin"/>
      </w:r>
      <w:r>
        <w:rPr>
          <w:rFonts w:hint="eastAsia" w:ascii="宋体" w:hAnsi="宋体" w:cs="宋体"/>
          <w:sz w:val="36"/>
          <w:szCs w:val="36"/>
        </w:rPr>
        <w:instrText xml:space="preserve"> PAGEREF _Toc8264 \h </w:instrText>
      </w:r>
      <w:r>
        <w:rPr>
          <w:rFonts w:hint="eastAsia" w:ascii="宋体" w:hAnsi="宋体" w:cs="宋体"/>
          <w:sz w:val="36"/>
          <w:szCs w:val="36"/>
        </w:rPr>
        <w:fldChar w:fldCharType="separate"/>
      </w:r>
      <w:r>
        <w:rPr>
          <w:rFonts w:hint="eastAsia" w:ascii="宋体" w:hAnsi="宋体" w:cs="宋体"/>
          <w:sz w:val="36"/>
          <w:szCs w:val="36"/>
        </w:rPr>
        <w:t>24</w:t>
      </w:r>
      <w:r>
        <w:rPr>
          <w:rFonts w:hint="eastAsia" w:ascii="宋体" w:hAnsi="宋体" w:cs="宋体"/>
          <w:sz w:val="36"/>
          <w:szCs w:val="36"/>
        </w:rPr>
        <w:fldChar w:fldCharType="end"/>
      </w:r>
      <w:r>
        <w:rPr>
          <w:rFonts w:hint="eastAsia" w:ascii="宋体" w:hAnsi="宋体" w:cs="宋体"/>
          <w:sz w:val="36"/>
          <w:szCs w:val="36"/>
        </w:rPr>
        <w:fldChar w:fldCharType="end"/>
      </w:r>
    </w:p>
    <w:p>
      <w:pPr>
        <w:pStyle w:val="43"/>
        <w:tabs>
          <w:tab w:val="right" w:leader="dot" w:pos="9070"/>
        </w:tabs>
        <w:spacing w:before="240" w:beforeLines="100" w:after="240" w:afterLines="100" w:line="360" w:lineRule="auto"/>
        <w:rPr>
          <w:rFonts w:ascii="宋体" w:hAnsi="宋体" w:cs="宋体"/>
          <w:sz w:val="36"/>
          <w:szCs w:val="36"/>
        </w:rPr>
      </w:pPr>
      <w:r>
        <w:fldChar w:fldCharType="begin"/>
      </w:r>
      <w:r>
        <w:instrText xml:space="preserve"> HYPERLINK \l "_Toc26313" </w:instrText>
      </w:r>
      <w:r>
        <w:fldChar w:fldCharType="separate"/>
      </w:r>
      <w:r>
        <w:rPr>
          <w:rFonts w:hint="eastAsia" w:ascii="宋体" w:hAnsi="宋体" w:cs="宋体"/>
          <w:sz w:val="36"/>
          <w:szCs w:val="36"/>
        </w:rPr>
        <w:t>第四部分 评标办法</w:t>
      </w:r>
      <w:r>
        <w:rPr>
          <w:rFonts w:hint="eastAsia" w:ascii="宋体" w:hAnsi="宋体" w:cs="宋体"/>
          <w:sz w:val="36"/>
          <w:szCs w:val="36"/>
        </w:rPr>
        <w:tab/>
      </w:r>
      <w:r>
        <w:rPr>
          <w:rFonts w:hint="eastAsia" w:ascii="宋体" w:hAnsi="宋体" w:cs="宋体"/>
          <w:sz w:val="36"/>
          <w:szCs w:val="36"/>
        </w:rPr>
        <w:fldChar w:fldCharType="begin"/>
      </w:r>
      <w:r>
        <w:rPr>
          <w:rFonts w:hint="eastAsia" w:ascii="宋体" w:hAnsi="宋体" w:cs="宋体"/>
          <w:sz w:val="36"/>
          <w:szCs w:val="36"/>
        </w:rPr>
        <w:instrText xml:space="preserve"> PAGEREF _Toc26313 \h </w:instrText>
      </w:r>
      <w:r>
        <w:rPr>
          <w:rFonts w:hint="eastAsia" w:ascii="宋体" w:hAnsi="宋体" w:cs="宋体"/>
          <w:sz w:val="36"/>
          <w:szCs w:val="36"/>
        </w:rPr>
        <w:fldChar w:fldCharType="separate"/>
      </w:r>
      <w:r>
        <w:rPr>
          <w:rFonts w:hint="eastAsia" w:ascii="宋体" w:hAnsi="宋体" w:cs="宋体"/>
          <w:sz w:val="36"/>
          <w:szCs w:val="36"/>
        </w:rPr>
        <w:t>45</w:t>
      </w:r>
      <w:r>
        <w:rPr>
          <w:rFonts w:hint="eastAsia" w:ascii="宋体" w:hAnsi="宋体" w:cs="宋体"/>
          <w:sz w:val="36"/>
          <w:szCs w:val="36"/>
        </w:rPr>
        <w:fldChar w:fldCharType="end"/>
      </w:r>
      <w:r>
        <w:rPr>
          <w:rFonts w:hint="eastAsia" w:ascii="宋体" w:hAnsi="宋体" w:cs="宋体"/>
          <w:sz w:val="36"/>
          <w:szCs w:val="36"/>
        </w:rPr>
        <w:fldChar w:fldCharType="end"/>
      </w:r>
    </w:p>
    <w:p>
      <w:pPr>
        <w:pStyle w:val="43"/>
        <w:tabs>
          <w:tab w:val="right" w:leader="dot" w:pos="9070"/>
        </w:tabs>
        <w:spacing w:before="240" w:beforeLines="100" w:after="240" w:afterLines="100" w:line="360" w:lineRule="auto"/>
        <w:rPr>
          <w:rFonts w:ascii="宋体" w:hAnsi="宋体" w:cs="宋体"/>
          <w:sz w:val="36"/>
          <w:szCs w:val="36"/>
        </w:rPr>
      </w:pPr>
      <w:r>
        <w:fldChar w:fldCharType="begin"/>
      </w:r>
      <w:r>
        <w:instrText xml:space="preserve"> HYPERLINK \l "_Toc5384" </w:instrText>
      </w:r>
      <w:r>
        <w:fldChar w:fldCharType="separate"/>
      </w:r>
      <w:r>
        <w:rPr>
          <w:rFonts w:hint="eastAsia" w:ascii="宋体" w:hAnsi="宋体" w:cs="宋体"/>
          <w:sz w:val="36"/>
          <w:szCs w:val="36"/>
        </w:rPr>
        <w:t>第五部分 拟签订的合同文本</w:t>
      </w:r>
      <w:r>
        <w:rPr>
          <w:rFonts w:hint="eastAsia" w:ascii="宋体" w:hAnsi="宋体" w:cs="宋体"/>
          <w:sz w:val="36"/>
          <w:szCs w:val="36"/>
        </w:rPr>
        <w:tab/>
      </w:r>
      <w:r>
        <w:rPr>
          <w:rFonts w:hint="eastAsia" w:ascii="宋体" w:hAnsi="宋体" w:cs="宋体"/>
          <w:sz w:val="36"/>
          <w:szCs w:val="36"/>
        </w:rPr>
        <w:fldChar w:fldCharType="begin"/>
      </w:r>
      <w:r>
        <w:rPr>
          <w:rFonts w:hint="eastAsia" w:ascii="宋体" w:hAnsi="宋体" w:cs="宋体"/>
          <w:sz w:val="36"/>
          <w:szCs w:val="36"/>
        </w:rPr>
        <w:instrText xml:space="preserve"> PAGEREF _Toc5384 \h </w:instrText>
      </w:r>
      <w:r>
        <w:rPr>
          <w:rFonts w:hint="eastAsia" w:ascii="宋体" w:hAnsi="宋体" w:cs="宋体"/>
          <w:sz w:val="36"/>
          <w:szCs w:val="36"/>
        </w:rPr>
        <w:fldChar w:fldCharType="separate"/>
      </w:r>
      <w:r>
        <w:rPr>
          <w:rFonts w:hint="eastAsia" w:ascii="宋体" w:hAnsi="宋体" w:cs="宋体"/>
          <w:sz w:val="36"/>
          <w:szCs w:val="36"/>
        </w:rPr>
        <w:t>52</w:t>
      </w:r>
      <w:r>
        <w:rPr>
          <w:rFonts w:hint="eastAsia" w:ascii="宋体" w:hAnsi="宋体" w:cs="宋体"/>
          <w:sz w:val="36"/>
          <w:szCs w:val="36"/>
        </w:rPr>
        <w:fldChar w:fldCharType="end"/>
      </w:r>
      <w:r>
        <w:rPr>
          <w:rFonts w:hint="eastAsia" w:ascii="宋体" w:hAnsi="宋体" w:cs="宋体"/>
          <w:sz w:val="36"/>
          <w:szCs w:val="36"/>
        </w:rPr>
        <w:fldChar w:fldCharType="end"/>
      </w:r>
    </w:p>
    <w:p>
      <w:pPr>
        <w:pStyle w:val="43"/>
        <w:tabs>
          <w:tab w:val="right" w:leader="dot" w:pos="9070"/>
        </w:tabs>
        <w:spacing w:before="240" w:beforeLines="100" w:after="240" w:afterLines="100" w:line="360" w:lineRule="auto"/>
        <w:rPr>
          <w:rFonts w:ascii="宋体" w:hAnsi="宋体" w:cs="宋体"/>
          <w:sz w:val="36"/>
          <w:szCs w:val="36"/>
        </w:rPr>
      </w:pPr>
      <w:r>
        <w:fldChar w:fldCharType="begin"/>
      </w:r>
      <w:r>
        <w:instrText xml:space="preserve"> HYPERLINK \l "_Toc31799" </w:instrText>
      </w:r>
      <w:r>
        <w:fldChar w:fldCharType="separate"/>
      </w:r>
      <w:r>
        <w:rPr>
          <w:rFonts w:hint="eastAsia" w:ascii="宋体" w:hAnsi="宋体" w:cs="宋体"/>
          <w:sz w:val="36"/>
          <w:szCs w:val="36"/>
        </w:rPr>
        <w:t>第六部分 应提交的有关格式范例</w:t>
      </w:r>
      <w:r>
        <w:rPr>
          <w:rFonts w:hint="eastAsia" w:ascii="宋体" w:hAnsi="宋体" w:cs="宋体"/>
          <w:sz w:val="36"/>
          <w:szCs w:val="36"/>
        </w:rPr>
        <w:tab/>
      </w:r>
      <w:r>
        <w:rPr>
          <w:rFonts w:hint="eastAsia" w:ascii="宋体" w:hAnsi="宋体" w:cs="宋体"/>
          <w:sz w:val="36"/>
          <w:szCs w:val="36"/>
        </w:rPr>
        <w:fldChar w:fldCharType="begin"/>
      </w:r>
      <w:r>
        <w:rPr>
          <w:rFonts w:hint="eastAsia" w:ascii="宋体" w:hAnsi="宋体" w:cs="宋体"/>
          <w:sz w:val="36"/>
          <w:szCs w:val="36"/>
        </w:rPr>
        <w:instrText xml:space="preserve"> PAGEREF _Toc31799 \h </w:instrText>
      </w:r>
      <w:r>
        <w:rPr>
          <w:rFonts w:hint="eastAsia" w:ascii="宋体" w:hAnsi="宋体" w:cs="宋体"/>
          <w:sz w:val="36"/>
          <w:szCs w:val="36"/>
        </w:rPr>
        <w:fldChar w:fldCharType="separate"/>
      </w:r>
      <w:r>
        <w:rPr>
          <w:rFonts w:hint="eastAsia" w:ascii="宋体" w:hAnsi="宋体" w:cs="宋体"/>
          <w:sz w:val="36"/>
          <w:szCs w:val="36"/>
        </w:rPr>
        <w:t>65</w:t>
      </w:r>
      <w:r>
        <w:rPr>
          <w:rFonts w:hint="eastAsia" w:ascii="宋体" w:hAnsi="宋体" w:cs="宋体"/>
          <w:sz w:val="36"/>
          <w:szCs w:val="36"/>
        </w:rPr>
        <w:fldChar w:fldCharType="end"/>
      </w:r>
      <w:r>
        <w:rPr>
          <w:rFonts w:hint="eastAsia" w:ascii="宋体" w:hAnsi="宋体" w:cs="宋体"/>
          <w:sz w:val="36"/>
          <w:szCs w:val="36"/>
        </w:rPr>
        <w:fldChar w:fldCharType="end"/>
      </w:r>
    </w:p>
    <w:p>
      <w:pPr>
        <w:pStyle w:val="43"/>
        <w:tabs>
          <w:tab w:val="right" w:leader="dot" w:pos="9070"/>
        </w:tabs>
      </w:pPr>
    </w:p>
    <w:p>
      <w:pPr>
        <w:spacing w:line="480" w:lineRule="auto"/>
        <w:ind w:firstLine="480" w:firstLineChars="229"/>
        <w:rPr>
          <w:rFonts w:ascii="宋体" w:hAnsi="宋体" w:cs="宋体"/>
          <w:sz w:val="28"/>
          <w:szCs w:val="28"/>
        </w:rPr>
      </w:pPr>
      <w:r>
        <w:rPr>
          <w:rFonts w:hint="eastAsia" w:ascii="宋体" w:hAnsi="宋体" w:cs="宋体"/>
          <w:szCs w:val="28"/>
        </w:rPr>
        <w:fldChar w:fldCharType="end"/>
      </w: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p>
      <w:pPr>
        <w:adjustRightInd/>
        <w:spacing w:line="360" w:lineRule="auto"/>
        <w:jc w:val="center"/>
        <w:outlineLvl w:val="0"/>
        <w:rPr>
          <w:rFonts w:ascii="宋体" w:hAnsi="宋体" w:cs="宋体"/>
          <w:b/>
          <w:sz w:val="24"/>
        </w:rPr>
      </w:pPr>
      <w:bookmarkStart w:id="3" w:name="第一部分"/>
      <w:r>
        <w:rPr>
          <w:rFonts w:hint="eastAsia" w:ascii="宋体" w:hAnsi="宋体" w:cs="宋体"/>
          <w:b/>
          <w:sz w:val="24"/>
        </w:rPr>
        <w:br w:type="page"/>
      </w:r>
      <w:bookmarkEnd w:id="2"/>
      <w:bookmarkEnd w:id="3"/>
      <w:bookmarkStart w:id="4" w:name="_Hlt74728647"/>
      <w:bookmarkEnd w:id="4"/>
      <w:bookmarkStart w:id="5" w:name="_Hlt74707423"/>
      <w:bookmarkEnd w:id="5"/>
      <w:bookmarkStart w:id="6" w:name="_Hlt74649545"/>
      <w:bookmarkEnd w:id="6"/>
      <w:bookmarkStart w:id="7" w:name="_Hlt74729822"/>
      <w:bookmarkEnd w:id="7"/>
      <w:bookmarkStart w:id="8" w:name="_Toc5973"/>
      <w:bookmarkStart w:id="9" w:name="第二部分"/>
      <w:bookmarkStart w:id="10" w:name="_Toc91899870"/>
      <w:bookmarkStart w:id="11" w:name="_Toc91899871"/>
      <w:r>
        <w:rPr>
          <w:rFonts w:hint="eastAsia" w:ascii="宋体" w:hAnsi="宋体" w:cs="宋体"/>
          <w:b/>
          <w:sz w:val="44"/>
          <w:szCs w:val="44"/>
        </w:rPr>
        <w:t>第一部分 招标公告</w:t>
      </w:r>
      <w:bookmarkEnd w:id="8"/>
    </w:p>
    <w:p>
      <w:pPr>
        <w:pBdr>
          <w:top w:val="single" w:color="auto" w:sz="4" w:space="1"/>
          <w:left w:val="single" w:color="auto" w:sz="4" w:space="4"/>
          <w:bottom w:val="single" w:color="auto" w:sz="4" w:space="2"/>
          <w:right w:val="single" w:color="auto" w:sz="4" w:space="4"/>
        </w:pBdr>
        <w:spacing w:line="360" w:lineRule="auto"/>
        <w:ind w:firstLine="482" w:firstLineChars="200"/>
        <w:rPr>
          <w:rFonts w:ascii="宋体" w:hAnsi="宋体" w:cs="宋体"/>
          <w:b/>
          <w:bCs/>
          <w:sz w:val="24"/>
        </w:rPr>
      </w:pPr>
      <w:r>
        <w:rPr>
          <w:rFonts w:hint="eastAsia" w:ascii="宋体" w:hAnsi="宋体" w:cs="宋体"/>
          <w:b/>
          <w:bCs/>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cs="宋体"/>
          <w:sz w:val="24"/>
          <w:highlight w:val="none"/>
          <w:u w:val="single"/>
        </w:rPr>
      </w:pPr>
      <w:r>
        <w:rPr>
          <w:rFonts w:hint="eastAsia" w:ascii="宋体" w:hAnsi="宋体" w:cs="宋体"/>
          <w:sz w:val="24"/>
          <w:u w:val="single"/>
          <w:lang w:eastAsia="zh-CN"/>
        </w:rPr>
        <w:t>钱塘区城市桥梁动态称重系统项目</w:t>
      </w:r>
      <w:r>
        <w:rPr>
          <w:rFonts w:hint="eastAsia" w:ascii="宋体" w:hAnsi="宋体" w:cs="宋体"/>
          <w:sz w:val="24"/>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hint="eastAsia" w:ascii="宋体" w:hAnsi="宋体" w:eastAsia="宋体" w:cs="宋体"/>
          <w:snapToGrid/>
          <w:kern w:val="2"/>
          <w:sz w:val="24"/>
          <w:szCs w:val="24"/>
          <w:highlight w:val="none"/>
        </w:rPr>
        <w:t>https://www.zcygov.cn/）获取（下载）招标文件，并于202</w:t>
      </w:r>
      <w:r>
        <w:rPr>
          <w:rStyle w:val="76"/>
          <w:rFonts w:hint="eastAsia" w:ascii="宋体" w:hAnsi="宋体" w:cs="宋体"/>
          <w:snapToGrid/>
          <w:kern w:val="2"/>
          <w:sz w:val="24"/>
          <w:szCs w:val="24"/>
          <w:highlight w:val="none"/>
          <w:lang w:val="en-US" w:eastAsia="zh-CN"/>
        </w:rPr>
        <w:t>4</w:t>
      </w:r>
      <w:r>
        <w:rPr>
          <w:rStyle w:val="76"/>
          <w:rFonts w:hint="eastAsia" w:ascii="宋体" w:hAnsi="宋体" w:eastAsia="宋体" w:cs="宋体"/>
          <w:snapToGrid/>
          <w:kern w:val="2"/>
          <w:sz w:val="24"/>
          <w:szCs w:val="24"/>
          <w:highlight w:val="none"/>
        </w:rPr>
        <w:t>年</w:t>
      </w:r>
      <w:r>
        <w:rPr>
          <w:rStyle w:val="76"/>
          <w:rFonts w:hint="eastAsia" w:ascii="宋体" w:hAnsi="宋体" w:cs="宋体"/>
          <w:snapToGrid/>
          <w:kern w:val="2"/>
          <w:sz w:val="24"/>
          <w:szCs w:val="24"/>
          <w:highlight w:val="none"/>
          <w:lang w:val="en-US" w:eastAsia="zh-CN"/>
        </w:rPr>
        <w:t>2</w:t>
      </w:r>
      <w:r>
        <w:rPr>
          <w:rStyle w:val="76"/>
          <w:rFonts w:hint="eastAsia" w:ascii="宋体" w:hAnsi="宋体" w:eastAsia="宋体" w:cs="宋体"/>
          <w:snapToGrid/>
          <w:kern w:val="2"/>
          <w:sz w:val="24"/>
          <w:szCs w:val="24"/>
          <w:highlight w:val="none"/>
        </w:rPr>
        <w:t>月</w:t>
      </w:r>
      <w:r>
        <w:rPr>
          <w:rStyle w:val="76"/>
          <w:rFonts w:hint="eastAsia" w:ascii="宋体" w:hAnsi="宋体" w:cs="宋体"/>
          <w:snapToGrid/>
          <w:kern w:val="2"/>
          <w:sz w:val="24"/>
          <w:szCs w:val="24"/>
          <w:highlight w:val="none"/>
          <w:lang w:val="en-US" w:eastAsia="zh-CN"/>
        </w:rPr>
        <w:t>20</w:t>
      </w:r>
      <w:r>
        <w:rPr>
          <w:rStyle w:val="76"/>
          <w:rFonts w:hint="eastAsia" w:ascii="宋体" w:hAnsi="宋体" w:eastAsia="宋体" w:cs="宋体"/>
          <w:snapToGrid/>
          <w:kern w:val="2"/>
          <w:sz w:val="24"/>
          <w:szCs w:val="24"/>
          <w:highlight w:val="none"/>
        </w:rPr>
        <w:t>日</w:t>
      </w:r>
      <w:r>
        <w:rPr>
          <w:rStyle w:val="76"/>
          <w:rFonts w:hint="eastAsia" w:ascii="宋体" w:hAnsi="宋体" w:cs="宋体"/>
          <w:snapToGrid/>
          <w:kern w:val="2"/>
          <w:sz w:val="24"/>
          <w:szCs w:val="24"/>
          <w:highlight w:val="none"/>
          <w:lang w:val="en-US" w:eastAsia="zh-CN"/>
        </w:rPr>
        <w:t>9</w:t>
      </w:r>
      <w:r>
        <w:rPr>
          <w:rStyle w:val="76"/>
          <w:rFonts w:hint="eastAsia" w:ascii="宋体" w:hAnsi="宋体" w:eastAsia="宋体" w:cs="宋体"/>
          <w:snapToGrid/>
          <w:kern w:val="2"/>
          <w:sz w:val="24"/>
          <w:szCs w:val="24"/>
          <w:highlight w:val="none"/>
        </w:rPr>
        <w:t>点</w:t>
      </w:r>
      <w:r>
        <w:rPr>
          <w:rStyle w:val="76"/>
          <w:rFonts w:hint="eastAsia" w:ascii="宋体" w:hAnsi="宋体" w:cs="宋体"/>
          <w:snapToGrid/>
          <w:kern w:val="2"/>
          <w:sz w:val="24"/>
          <w:szCs w:val="24"/>
          <w:highlight w:val="none"/>
          <w:lang w:val="en-US" w:eastAsia="zh-CN"/>
        </w:rPr>
        <w:t>30</w:t>
      </w:r>
      <w:r>
        <w:rPr>
          <w:rStyle w:val="76"/>
          <w:rFonts w:hint="eastAsia" w:ascii="宋体" w:hAnsi="宋体" w:eastAsia="宋体" w:cs="宋体"/>
          <w:snapToGrid/>
          <w:kern w:val="2"/>
          <w:sz w:val="24"/>
          <w:szCs w:val="24"/>
          <w:highlight w:val="none"/>
        </w:rPr>
        <w:t>分</w:t>
      </w:r>
      <w:r>
        <w:rPr>
          <w:rStyle w:val="76"/>
          <w:rFonts w:hint="eastAsia" w:ascii="宋体" w:hAnsi="宋体" w:eastAsia="宋体" w:cs="宋体"/>
          <w:bCs/>
          <w:snapToGrid/>
          <w:kern w:val="2"/>
          <w:sz w:val="24"/>
          <w:szCs w:val="24"/>
          <w:highlight w:val="none"/>
        </w:rPr>
        <w:t>00秒</w:t>
      </w:r>
      <w:r>
        <w:rPr>
          <w:rStyle w:val="76"/>
          <w:rFonts w:hint="eastAsia" w:ascii="宋体" w:hAnsi="宋体" w:eastAsia="宋体" w:cs="宋体"/>
          <w:bCs/>
          <w:snapToGrid/>
          <w:kern w:val="2"/>
          <w:sz w:val="24"/>
          <w:szCs w:val="24"/>
          <w:highlight w:val="none"/>
        </w:rPr>
        <w:fldChar w:fldCharType="end"/>
      </w:r>
      <w:r>
        <w:rPr>
          <w:rFonts w:hint="eastAsia" w:ascii="宋体" w:hAnsi="宋体" w:cs="宋体"/>
          <w:bCs/>
          <w:sz w:val="24"/>
          <w:highlight w:val="none"/>
        </w:rPr>
        <w:t>（北京时间）前</w:t>
      </w:r>
      <w:r>
        <w:rPr>
          <w:rFonts w:hint="eastAsia" w:ascii="宋体" w:hAnsi="宋体" w:cs="宋体"/>
          <w:sz w:val="24"/>
          <w:highlight w:val="none"/>
        </w:rPr>
        <w:t>递交（上传）投标文件。</w:t>
      </w:r>
    </w:p>
    <w:p>
      <w:pPr>
        <w:spacing w:line="360" w:lineRule="auto"/>
        <w:ind w:firstLine="482" w:firstLineChars="200"/>
        <w:rPr>
          <w:rFonts w:ascii="宋体" w:hAnsi="宋体" w:cs="宋体"/>
          <w:b/>
          <w:sz w:val="24"/>
          <w:highlight w:val="none"/>
        </w:rPr>
      </w:pPr>
      <w:r>
        <w:rPr>
          <w:rFonts w:hint="eastAsia" w:ascii="宋体" w:hAnsi="宋体" w:cs="宋体"/>
          <w:b/>
          <w:sz w:val="24"/>
        </w:rPr>
        <w:t>一、</w:t>
      </w:r>
      <w:r>
        <w:rPr>
          <w:rFonts w:hint="eastAsia" w:ascii="宋体" w:hAnsi="宋体" w:cs="宋体"/>
          <w:b/>
          <w:sz w:val="24"/>
          <w:highlight w:val="none"/>
        </w:rPr>
        <w:t xml:space="preserve">项目基本情况                                            </w:t>
      </w:r>
    </w:p>
    <w:p>
      <w:pPr>
        <w:spacing w:line="360" w:lineRule="auto"/>
        <w:ind w:firstLine="964" w:firstLineChars="400"/>
        <w:rPr>
          <w:rFonts w:ascii="宋体" w:hAnsi="宋体" w:cs="宋体"/>
          <w:sz w:val="24"/>
          <w:highlight w:val="none"/>
        </w:rPr>
      </w:pPr>
      <w:r>
        <w:rPr>
          <w:rFonts w:hint="eastAsia" w:ascii="宋体" w:hAnsi="宋体" w:cs="宋体"/>
          <w:b/>
          <w:sz w:val="24"/>
          <w:highlight w:val="none"/>
        </w:rPr>
        <w:t>项目编号：</w:t>
      </w:r>
      <w:r>
        <w:rPr>
          <w:rFonts w:hint="eastAsia" w:ascii="宋体" w:hAnsi="宋体" w:cs="宋体"/>
          <w:color w:val="auto"/>
          <w:sz w:val="24"/>
          <w:highlight w:val="none"/>
        </w:rPr>
        <w:t>QTCG-GK-2024-004</w:t>
      </w:r>
    </w:p>
    <w:p>
      <w:pPr>
        <w:spacing w:line="360" w:lineRule="auto"/>
        <w:ind w:firstLine="964" w:firstLineChars="400"/>
        <w:rPr>
          <w:rFonts w:hint="eastAsia" w:ascii="宋体" w:hAnsi="宋体" w:eastAsia="宋体" w:cs="宋体"/>
          <w:sz w:val="24"/>
          <w:highlight w:val="none"/>
          <w:lang w:eastAsia="zh-CN"/>
        </w:rPr>
      </w:pPr>
      <w:r>
        <w:rPr>
          <w:rFonts w:hint="eastAsia" w:ascii="宋体" w:hAnsi="宋体" w:cs="宋体"/>
          <w:b/>
          <w:sz w:val="24"/>
          <w:highlight w:val="none"/>
        </w:rPr>
        <w:t>项目名称：</w:t>
      </w:r>
      <w:r>
        <w:rPr>
          <w:rFonts w:hint="eastAsia" w:ascii="宋体" w:hAnsi="宋体" w:cs="宋体"/>
          <w:bCs/>
          <w:sz w:val="24"/>
          <w:highlight w:val="none"/>
          <w:lang w:eastAsia="zh-CN"/>
        </w:rPr>
        <w:t>钱塘区城市桥梁动态称重系统项目</w:t>
      </w:r>
    </w:p>
    <w:p>
      <w:pPr>
        <w:spacing w:line="360" w:lineRule="auto"/>
        <w:ind w:firstLine="964" w:firstLineChars="400"/>
        <w:rPr>
          <w:rFonts w:ascii="宋体" w:hAnsi="宋体" w:cs="宋体"/>
          <w:color w:val="0000FF"/>
          <w:sz w:val="24"/>
          <w:highlight w:val="none"/>
        </w:rPr>
      </w:pPr>
      <w:r>
        <w:rPr>
          <w:rFonts w:hint="eastAsia" w:ascii="宋体" w:hAnsi="宋体" w:cs="宋体"/>
          <w:b/>
          <w:sz w:val="24"/>
          <w:highlight w:val="none"/>
        </w:rPr>
        <w:t>预算金额（元）：</w:t>
      </w:r>
      <w:r>
        <w:rPr>
          <w:rFonts w:hint="eastAsia" w:ascii="宋体" w:hAnsi="宋体" w:cs="宋体"/>
          <w:bCs/>
          <w:sz w:val="24"/>
          <w:highlight w:val="none"/>
        </w:rPr>
        <w:t>3375300</w:t>
      </w:r>
    </w:p>
    <w:p>
      <w:pPr>
        <w:spacing w:line="360" w:lineRule="auto"/>
        <w:ind w:firstLine="964" w:firstLineChars="400"/>
        <w:rPr>
          <w:rFonts w:ascii="宋体" w:hAnsi="宋体" w:cs="宋体"/>
          <w:bCs/>
          <w:color w:val="0000FF"/>
          <w:sz w:val="24"/>
          <w:highlight w:val="none"/>
        </w:rPr>
      </w:pPr>
      <w:r>
        <w:rPr>
          <w:rFonts w:hint="eastAsia" w:ascii="宋体" w:hAnsi="宋体" w:cs="宋体"/>
          <w:b/>
          <w:sz w:val="24"/>
          <w:highlight w:val="none"/>
        </w:rPr>
        <w:t>最高限价（元）：</w:t>
      </w:r>
      <w:r>
        <w:rPr>
          <w:rFonts w:hint="eastAsia" w:ascii="宋体" w:hAnsi="宋体" w:cs="宋体"/>
          <w:bCs/>
          <w:sz w:val="24"/>
          <w:highlight w:val="none"/>
        </w:rPr>
        <w:t>3375300</w:t>
      </w:r>
    </w:p>
    <w:p>
      <w:pPr>
        <w:pStyle w:val="17"/>
        <w:spacing w:line="360" w:lineRule="auto"/>
        <w:ind w:firstLine="482" w:firstLineChars="200"/>
        <w:rPr>
          <w:rFonts w:hAnsi="宋体" w:cs="宋体"/>
          <w:bCs/>
          <w:snapToGrid/>
          <w:color w:val="auto"/>
          <w:kern w:val="2"/>
          <w:sz w:val="24"/>
          <w:szCs w:val="24"/>
          <w:highlight w:val="none"/>
        </w:rPr>
      </w:pPr>
      <w:r>
        <w:rPr>
          <w:rFonts w:hint="eastAsia" w:hAnsi="宋体" w:cs="宋体"/>
          <w:b/>
          <w:color w:val="auto"/>
          <w:sz w:val="24"/>
          <w:szCs w:val="24"/>
          <w:highlight w:val="none"/>
        </w:rPr>
        <w:t>采购需求：</w:t>
      </w:r>
      <w:r>
        <w:rPr>
          <w:rFonts w:hint="eastAsia" w:hAnsi="宋体" w:cs="宋体"/>
          <w:bCs/>
          <w:sz w:val="24"/>
          <w:szCs w:val="24"/>
          <w:highlight w:val="none"/>
          <w:lang w:eastAsia="zh-CN"/>
        </w:rPr>
        <w:t>钱塘区城市桥梁动态称重系统项目</w:t>
      </w:r>
      <w:r>
        <w:rPr>
          <w:rFonts w:hint="eastAsia" w:hAnsi="宋体" w:cs="宋体"/>
          <w:bCs/>
          <w:snapToGrid/>
          <w:color w:val="auto"/>
          <w:kern w:val="2"/>
          <w:sz w:val="24"/>
          <w:szCs w:val="24"/>
          <w:highlight w:val="none"/>
        </w:rPr>
        <w:t>主要内容：路段计划安装单向全车道车辆动态称重检测系统，同时增设上桥取证卡口，用于监测超限超载车辆过桥情况。</w:t>
      </w:r>
      <w:r>
        <w:rPr>
          <w:rFonts w:hint="eastAsia" w:hAnsi="宋体" w:cs="宋体"/>
          <w:snapToGrid/>
          <w:color w:val="auto"/>
          <w:kern w:val="2"/>
          <w:sz w:val="24"/>
          <w:szCs w:val="24"/>
          <w:highlight w:val="none"/>
        </w:rPr>
        <w:t>具体以招标文件第三部分采购需求为准，供应商可点击本公告下方“浏览采购文件”查看采购需求。</w:t>
      </w:r>
    </w:p>
    <w:p>
      <w:pPr>
        <w:spacing w:line="360" w:lineRule="auto"/>
        <w:ind w:firstLine="482" w:firstLineChars="200"/>
        <w:rPr>
          <w:rFonts w:ascii="宋体" w:hAnsi="宋体" w:cs="宋体"/>
          <w:b/>
          <w:sz w:val="24"/>
          <w:highlight w:val="none"/>
        </w:rPr>
      </w:pPr>
      <w:r>
        <w:rPr>
          <w:rFonts w:hint="eastAsia" w:ascii="宋体" w:hAnsi="宋体" w:cs="宋体"/>
          <w:b/>
          <w:sz w:val="24"/>
          <w:highlight w:val="none"/>
        </w:rPr>
        <w:t>合同履约期限：</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第一阶段：合同签订之日起</w:t>
      </w:r>
      <w:r>
        <w:rPr>
          <w:rFonts w:hint="eastAsia" w:ascii="宋体" w:hAnsi="宋体" w:cs="宋体"/>
          <w:b/>
          <w:bCs/>
          <w:sz w:val="24"/>
          <w:highlight w:val="none"/>
          <w:u w:val="single"/>
          <w:lang w:eastAsia="zh-CN"/>
        </w:rPr>
        <w:t>60个</w:t>
      </w:r>
      <w:r>
        <w:rPr>
          <w:rFonts w:hint="eastAsia" w:ascii="宋体" w:hAnsi="宋体" w:cs="宋体"/>
          <w:b/>
          <w:bCs/>
          <w:sz w:val="24"/>
          <w:highlight w:val="none"/>
        </w:rPr>
        <w:t>日历天</w:t>
      </w:r>
      <w:r>
        <w:rPr>
          <w:rFonts w:hint="eastAsia" w:ascii="宋体" w:hAnsi="宋体" w:cs="宋体"/>
          <w:sz w:val="24"/>
          <w:highlight w:val="none"/>
        </w:rPr>
        <w:t>内完成全部系统供货、安装</w:t>
      </w:r>
      <w:r>
        <w:rPr>
          <w:rFonts w:hint="eastAsia" w:ascii="宋体" w:hAnsi="宋体" w:cs="宋体"/>
          <w:bCs/>
          <w:sz w:val="24"/>
          <w:highlight w:val="none"/>
        </w:rPr>
        <w:t>和</w:t>
      </w:r>
      <w:r>
        <w:rPr>
          <w:rFonts w:hint="eastAsia" w:ascii="宋体" w:hAnsi="宋体" w:cs="宋体"/>
          <w:sz w:val="24"/>
          <w:highlight w:val="none"/>
        </w:rPr>
        <w:t>校准标定测试，初步验收通过后投入试运行（网络租赁开始）；</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第二阶段：试运行且正常运行</w:t>
      </w:r>
      <w:r>
        <w:rPr>
          <w:rFonts w:hint="eastAsia" w:ascii="宋体" w:hAnsi="宋体" w:cs="宋体"/>
          <w:b/>
          <w:bCs/>
          <w:sz w:val="24"/>
          <w:highlight w:val="none"/>
          <w:u w:val="single"/>
        </w:rPr>
        <w:t>100</w:t>
      </w:r>
      <w:r>
        <w:rPr>
          <w:rFonts w:hint="eastAsia" w:ascii="宋体" w:hAnsi="宋体" w:cs="宋体"/>
          <w:b/>
          <w:bCs/>
          <w:sz w:val="24"/>
          <w:highlight w:val="none"/>
        </w:rPr>
        <w:t>个日历天</w:t>
      </w:r>
      <w:r>
        <w:rPr>
          <w:rFonts w:hint="eastAsia" w:ascii="宋体" w:hAnsi="宋体" w:cs="宋体"/>
          <w:sz w:val="24"/>
          <w:highlight w:val="none"/>
        </w:rPr>
        <w:t>后进行第二阶段验收</w:t>
      </w:r>
      <w:r>
        <w:rPr>
          <w:rFonts w:hint="eastAsia" w:ascii="宋体" w:hAnsi="宋体" w:cs="宋体"/>
          <w:sz w:val="24"/>
          <w:highlight w:val="none"/>
          <w:lang w:eastAsia="zh-CN"/>
        </w:rPr>
        <w:t>（竣工验收）</w:t>
      </w:r>
    </w:p>
    <w:p>
      <w:pPr>
        <w:pStyle w:val="17"/>
        <w:spacing w:line="360" w:lineRule="auto"/>
        <w:ind w:firstLine="482" w:firstLineChars="200"/>
        <w:rPr>
          <w:rFonts w:hAnsi="宋体" w:cs="宋体"/>
          <w:color w:val="auto"/>
          <w:kern w:val="0"/>
          <w:sz w:val="24"/>
          <w:szCs w:val="24"/>
          <w:highlight w:val="none"/>
        </w:rPr>
      </w:pPr>
      <w:r>
        <w:rPr>
          <w:rFonts w:hint="eastAsia" w:hAnsi="宋体" w:cs="宋体"/>
          <w:b/>
          <w:color w:val="auto"/>
          <w:sz w:val="24"/>
          <w:szCs w:val="24"/>
          <w:highlight w:val="none"/>
        </w:rPr>
        <w:t>本项目接受联合体投标：</w:t>
      </w:r>
      <w:sdt>
        <w:sdtPr>
          <w:rPr>
            <w:rFonts w:hint="eastAsia" w:hAnsi="宋体" w:cs="宋体"/>
            <w:color w:val="auto"/>
            <w:kern w:val="0"/>
            <w:sz w:val="24"/>
            <w:szCs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szCs w:val="24"/>
            <w:highlight w:val="none"/>
          </w:rPr>
        </w:sdtEndPr>
        <w:sdtContent>
          <w:r>
            <w:rPr>
              <w:rFonts w:hint="eastAsia" w:hAnsi="宋体" w:cs="宋体"/>
              <w:color w:val="auto"/>
              <w:kern w:val="0"/>
              <w:sz w:val="24"/>
              <w:szCs w:val="24"/>
              <w:highlight w:val="none"/>
            </w:rPr>
            <w:sym w:font="Wingdings" w:char="F0FE"/>
          </w:r>
        </w:sdtContent>
      </w:sdt>
      <w:r>
        <w:rPr>
          <w:rFonts w:hint="eastAsia" w:hAnsi="宋体" w:cs="宋体"/>
          <w:b/>
          <w:color w:val="auto"/>
          <w:sz w:val="24"/>
          <w:szCs w:val="24"/>
          <w:highlight w:val="none"/>
        </w:rPr>
        <w:t>是</w:t>
      </w:r>
      <w:r>
        <w:rPr>
          <w:rFonts w:hint="eastAsia" w:hAnsi="宋体" w:cs="宋体"/>
          <w:b/>
          <w:snapToGrid/>
          <w:color w:val="auto"/>
          <w:kern w:val="2"/>
          <w:sz w:val="24"/>
          <w:szCs w:val="24"/>
          <w:highlight w:val="none"/>
        </w:rPr>
        <w:t>；</w:t>
      </w:r>
      <w:sdt>
        <w:sdtPr>
          <w:rPr>
            <w:rFonts w:hint="eastAsia" w:hAnsi="宋体" w:cs="宋体"/>
            <w:color w:val="auto"/>
            <w:kern w:val="0"/>
            <w:sz w:val="24"/>
            <w:szCs w:val="24"/>
            <w:highlight w:val="none"/>
          </w:rPr>
          <w:id w:val="-1"/>
          <w14:checkbox>
            <w14:checked w14:val="0"/>
            <w14:checkedState w14:val="00FE" w14:font="Wingdings"/>
            <w14:uncheckedState w14:val="2610" w14:font="MS Gothic"/>
          </w14:checkbox>
        </w:sdtPr>
        <w:sdtEndPr>
          <w:rPr>
            <w:rFonts w:hint="eastAsia" w:hAnsi="宋体" w:cs="宋体"/>
            <w:color w:val="auto"/>
            <w:kern w:val="0"/>
            <w:sz w:val="24"/>
            <w:szCs w:val="24"/>
            <w:highlight w:val="none"/>
          </w:rPr>
        </w:sdtEndPr>
        <w:sdtContent>
          <w:r>
            <w:rPr>
              <w:rFonts w:hint="eastAsia" w:hAnsi="宋体" w:cs="宋体"/>
              <w:color w:val="auto"/>
              <w:kern w:val="0"/>
              <w:sz w:val="24"/>
              <w:szCs w:val="24"/>
              <w:highlight w:val="none"/>
            </w:rPr>
            <w:t>☐</w:t>
          </w:r>
        </w:sdtContent>
      </w:sdt>
      <w:r>
        <w:rPr>
          <w:rFonts w:hint="eastAsia" w:hAnsi="宋体" w:cs="宋体"/>
          <w:b/>
          <w:color w:val="auto"/>
          <w:sz w:val="24"/>
          <w:szCs w:val="24"/>
          <w:highlight w:val="none"/>
        </w:rPr>
        <w:t>否</w:t>
      </w:r>
      <w:r>
        <w:rPr>
          <w:rFonts w:hint="eastAsia" w:hAnsi="宋体" w:cs="宋体"/>
          <w:color w:val="auto"/>
          <w:kern w:val="0"/>
          <w:sz w:val="24"/>
          <w:szCs w:val="24"/>
          <w:highlight w:val="none"/>
        </w:rPr>
        <w:t>。</w:t>
      </w:r>
    </w:p>
    <w:p>
      <w:pPr>
        <w:spacing w:line="360" w:lineRule="auto"/>
        <w:ind w:firstLine="482" w:firstLineChars="200"/>
        <w:rPr>
          <w:rFonts w:ascii="宋体" w:hAnsi="宋体" w:cs="宋体"/>
          <w:b/>
          <w:sz w:val="24"/>
          <w:highlight w:val="none"/>
        </w:rPr>
      </w:pPr>
      <w:r>
        <w:rPr>
          <w:rFonts w:hint="eastAsia" w:ascii="宋体" w:hAnsi="宋体" w:cs="宋体"/>
          <w:b/>
          <w:sz w:val="24"/>
          <w:highlight w:val="none"/>
        </w:rPr>
        <w:t>二、</w:t>
      </w:r>
      <w:bookmarkStart w:id="12" w:name="_Hlk101132948"/>
      <w:r>
        <w:rPr>
          <w:rFonts w:hint="eastAsia" w:ascii="宋体" w:hAnsi="宋体" w:cs="宋体"/>
          <w:b/>
          <w:sz w:val="24"/>
          <w:highlight w:val="none"/>
        </w:rPr>
        <w:t>申请人的资格要求</w:t>
      </w:r>
      <w:bookmarkEnd w:id="12"/>
      <w:r>
        <w:rPr>
          <w:rFonts w:hint="eastAsia" w:ascii="宋体" w:hAnsi="宋体" w:cs="宋体"/>
          <w:b/>
          <w:sz w:val="24"/>
          <w:highlight w:val="none"/>
        </w:rPr>
        <w:t>：</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highlight w:val="none"/>
        </w:rPr>
        <w:t>1.满足《中华人民共和国政府采购法》第二十二条规定；未被“信用中国”（www.creditchina.gov.cn)、中国政府采购网（www.ccgp.gov.cn）列入失</w:t>
      </w:r>
      <w:r>
        <w:rPr>
          <w:rFonts w:hint="eastAsia" w:ascii="宋体" w:hAnsi="宋体" w:cs="宋体"/>
          <w:snapToGrid w:val="0"/>
          <w:kern w:val="28"/>
          <w:sz w:val="24"/>
        </w:rPr>
        <w:t>信被执行人、重大税收违法案件当事人名单、政府采购严重违法失信行为记录名单；</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2.以联合体形式投标的，提供联合协议(本项目不接受联合体投标或者投标人不以联合体形式投标的，则不需要提供)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3.落实政府采购政策需满足的资格要求：</w:t>
      </w:r>
    </w:p>
    <w:p>
      <w:pPr>
        <w:spacing w:line="360" w:lineRule="auto"/>
        <w:ind w:firstLine="480" w:firstLineChars="200"/>
        <w:rPr>
          <w:rFonts w:ascii="宋体" w:hAnsi="宋体" w:cs="宋体"/>
          <w:sz w:val="24"/>
        </w:rPr>
      </w:pPr>
      <w:sdt>
        <w:sdtPr>
          <w:rPr>
            <w:rFonts w:hint="eastAsia" w:ascii="宋体" w:hAnsi="宋体" w:cs="宋体"/>
            <w:kern w:val="0"/>
            <w:sz w:val="24"/>
          </w:rPr>
          <w:id w:val="192861692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无</w:t>
      </w:r>
      <w:r>
        <w:rPr>
          <w:rFonts w:hint="eastAsia" w:ascii="宋体" w:hAnsi="宋体" w:cs="宋体"/>
          <w:snapToGrid w:val="0"/>
          <w:kern w:val="28"/>
          <w:sz w:val="24"/>
        </w:rPr>
        <w:t>（注：不得限制大中型企业与小微企业组成联合体参与投标）</w:t>
      </w:r>
      <w:r>
        <w:rPr>
          <w:rFonts w:hint="eastAsia" w:ascii="宋体" w:hAnsi="宋体" w:cs="宋体"/>
          <w:sz w:val="24"/>
        </w:rPr>
        <w:t>；</w:t>
      </w:r>
    </w:p>
    <w:p>
      <w:pPr>
        <w:spacing w:line="360" w:lineRule="auto"/>
        <w:ind w:firstLine="480" w:firstLineChars="200"/>
        <w:rPr>
          <w:rFonts w:ascii="宋体" w:hAnsi="宋体" w:cs="宋体"/>
          <w:sz w:val="24"/>
        </w:rPr>
      </w:pPr>
      <w:sdt>
        <w:sdtPr>
          <w:rPr>
            <w:rFonts w:hint="eastAsia" w:ascii="宋体" w:hAnsi="宋体" w:cs="宋体"/>
            <w:kern w:val="0"/>
            <w:sz w:val="24"/>
          </w:rPr>
          <w:id w:val="-1"/>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专</w:t>
      </w:r>
      <w:r>
        <w:rPr>
          <w:rFonts w:hint="eastAsia" w:ascii="宋体" w:hAnsi="宋体" w:cs="宋体"/>
          <w:sz w:val="24"/>
        </w:rPr>
        <w:t>门面向中小企业</w:t>
      </w:r>
    </w:p>
    <w:p>
      <w:pPr>
        <w:spacing w:line="360" w:lineRule="auto"/>
        <w:ind w:firstLine="480" w:firstLineChars="200"/>
        <w:rPr>
          <w:rFonts w:ascii="宋体" w:hAnsi="宋体" w:cs="宋体"/>
          <w:sz w:val="24"/>
          <w:u w:val="single"/>
        </w:rPr>
      </w:pPr>
      <w:sdt>
        <w:sdtPr>
          <w:rPr>
            <w:rFonts w:hint="eastAsia" w:ascii="宋体" w:hAnsi="宋体" w:cs="宋体"/>
            <w:kern w:val="0"/>
            <w:sz w:val="24"/>
          </w:rPr>
          <w:id w:val="-1"/>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货物全部由符合政策要求的中小企业制造，提供中小企业声明函；</w:t>
      </w:r>
    </w:p>
    <w:p>
      <w:pPr>
        <w:spacing w:line="360" w:lineRule="auto"/>
        <w:ind w:firstLine="480" w:firstLineChars="200"/>
        <w:rPr>
          <w:rFonts w:ascii="宋体" w:hAnsi="宋体" w:cs="宋体"/>
          <w:sz w:val="24"/>
        </w:rPr>
      </w:pPr>
      <w:sdt>
        <w:sdtPr>
          <w:rPr>
            <w:rFonts w:hint="eastAsia" w:ascii="宋体" w:hAnsi="宋体" w:cs="宋体"/>
            <w:kern w:val="0"/>
            <w:sz w:val="24"/>
          </w:rPr>
          <w:id w:val="-1"/>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sz w:val="24"/>
        </w:rPr>
        <w:t>货物全部由符合政策要求的小微企业制造，提供中小企业声明函；</w:t>
      </w:r>
    </w:p>
    <w:p>
      <w:pPr>
        <w:spacing w:line="360" w:lineRule="auto"/>
        <w:ind w:firstLine="480" w:firstLineChars="200"/>
        <w:rPr>
          <w:rFonts w:ascii="宋体" w:hAnsi="宋体" w:cs="宋体"/>
          <w:sz w:val="24"/>
        </w:rPr>
      </w:pPr>
      <w:sdt>
        <w:sdtPr>
          <w:rPr>
            <w:rFonts w:hint="eastAsia" w:ascii="宋体" w:hAnsi="宋体" w:cs="宋体"/>
            <w:kern w:val="0"/>
            <w:sz w:val="24"/>
          </w:rPr>
          <w:id w:val="-1"/>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bookmarkStart w:id="13" w:name="_Hlk101132524"/>
        </w:sdtContent>
      </w:sdt>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3"/>
    <w:p>
      <w:pPr>
        <w:spacing w:line="360" w:lineRule="auto"/>
        <w:ind w:firstLine="480" w:firstLineChars="200"/>
        <w:rPr>
          <w:rFonts w:ascii="宋体" w:hAnsi="宋体" w:cs="宋体"/>
          <w:sz w:val="24"/>
        </w:rPr>
      </w:pPr>
      <w:sdt>
        <w:sdtPr>
          <w:rPr>
            <w:rFonts w:hint="eastAsia" w:ascii="宋体" w:hAnsi="宋体" w:cs="宋体"/>
            <w:kern w:val="0"/>
            <w:sz w:val="24"/>
          </w:rPr>
          <w:id w:val="3463064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4.本项目的特定资格要求：无；</w:t>
      </w:r>
    </w:p>
    <w:p>
      <w:pPr>
        <w:snapToGrid w:val="0"/>
        <w:spacing w:line="360" w:lineRule="auto"/>
        <w:ind w:firstLine="480" w:firstLineChars="200"/>
        <w:rPr>
          <w:rFonts w:ascii="宋体" w:hAnsi="宋体" w:cs="宋体"/>
          <w:color w:val="auto"/>
          <w:sz w:val="24"/>
          <w:highlight w:val="none"/>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w:t>
      </w:r>
      <w:r>
        <w:rPr>
          <w:rFonts w:hint="eastAsia" w:ascii="宋体" w:hAnsi="宋体" w:cs="宋体"/>
          <w:color w:val="auto"/>
          <w:sz w:val="24"/>
          <w:highlight w:val="none"/>
        </w:rPr>
        <w:t>服务后不得再参加该采购项目的其他采购活动。</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供应商登录政采云平台https://www.zcygov.cn/在线申请获取采购文件（进入“项目采购”应用，在获取采购文件菜单中选择项目，申请获取采购文件）。</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0</w:t>
      </w:r>
      <w:r>
        <w:rPr>
          <w:rFonts w:hint="eastAsia" w:ascii="宋体" w:hAnsi="宋体" w:cs="宋体"/>
          <w:color w:val="auto"/>
          <w:sz w:val="24"/>
          <w:highlight w:val="none"/>
        </w:rPr>
        <w:tab/>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20</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20</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五、公告期限</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ind w:firstLine="482" w:firstLineChars="200"/>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宋体" w:hAnsi="宋体" w:cs="宋体"/>
          <w:sz w:val="24"/>
        </w:rPr>
      </w:pPr>
      <w:r>
        <w:rPr>
          <w:rFonts w:hint="eastAsia" w:ascii="宋体" w:hAnsi="宋体"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ind w:firstLine="482" w:firstLineChars="200"/>
        <w:rPr>
          <w:rFonts w:ascii="宋体" w:hAnsi="宋体" w:cs="宋体"/>
          <w:b/>
          <w:sz w:val="24"/>
        </w:rPr>
      </w:pPr>
      <w:r>
        <w:rPr>
          <w:rFonts w:hint="eastAsia" w:ascii="宋体" w:hAnsi="宋体" w:cs="宋体"/>
          <w:b/>
          <w:sz w:val="24"/>
        </w:rPr>
        <w:t>七、对本次采购提出询问、质疑、投诉，请按以下方式联系</w:t>
      </w:r>
    </w:p>
    <w:p>
      <w:pPr>
        <w:spacing w:line="360" w:lineRule="auto"/>
        <w:ind w:firstLine="480" w:firstLineChars="200"/>
        <w:rPr>
          <w:rFonts w:ascii="宋体" w:hAnsi="宋体" w:cs="宋体"/>
          <w:sz w:val="24"/>
        </w:rPr>
      </w:pPr>
      <w:r>
        <w:rPr>
          <w:rFonts w:hint="eastAsia" w:ascii="宋体" w:hAnsi="宋体" w:cs="宋体"/>
          <w:sz w:val="24"/>
        </w:rPr>
        <w:t>1.采购人信息</w:t>
      </w:r>
    </w:p>
    <w:p>
      <w:pPr>
        <w:spacing w:line="360" w:lineRule="auto"/>
        <w:ind w:firstLine="960" w:firstLineChars="400"/>
        <w:rPr>
          <w:rFonts w:ascii="宋体" w:hAnsi="宋体" w:cs="宋体"/>
          <w:sz w:val="24"/>
        </w:rPr>
      </w:pPr>
      <w:r>
        <w:rPr>
          <w:rFonts w:hint="eastAsia" w:ascii="宋体" w:hAnsi="宋体" w:cs="宋体"/>
          <w:sz w:val="24"/>
        </w:rPr>
        <w:t>名    称：杭州市钱塘区综合行政执法局</w:t>
      </w:r>
    </w:p>
    <w:p>
      <w:pPr>
        <w:spacing w:line="360" w:lineRule="auto"/>
        <w:ind w:firstLine="960" w:firstLineChars="400"/>
        <w:rPr>
          <w:rFonts w:ascii="宋体" w:hAnsi="宋体" w:cs="宋体"/>
          <w:sz w:val="24"/>
        </w:rPr>
      </w:pPr>
      <w:r>
        <w:rPr>
          <w:rFonts w:hint="eastAsia" w:ascii="宋体" w:hAnsi="宋体" w:cs="宋体"/>
          <w:sz w:val="24"/>
        </w:rPr>
        <w:t>地    址：杭州钱塘区松合路369号</w:t>
      </w:r>
    </w:p>
    <w:p>
      <w:pPr>
        <w:spacing w:line="360" w:lineRule="auto"/>
        <w:ind w:firstLine="960" w:firstLineChars="400"/>
        <w:rPr>
          <w:rFonts w:ascii="宋体" w:hAnsi="宋体" w:cs="宋体"/>
          <w:sz w:val="24"/>
        </w:rPr>
      </w:pPr>
      <w:r>
        <w:rPr>
          <w:rFonts w:hint="eastAsia" w:ascii="宋体" w:hAnsi="宋体" w:cs="宋体"/>
          <w:sz w:val="24"/>
        </w:rPr>
        <w:t xml:space="preserve">传    真： / </w:t>
      </w:r>
    </w:p>
    <w:p>
      <w:pPr>
        <w:spacing w:line="360" w:lineRule="auto"/>
        <w:ind w:firstLine="960" w:firstLineChars="400"/>
        <w:rPr>
          <w:rFonts w:ascii="宋体" w:hAnsi="宋体" w:cs="宋体"/>
          <w:sz w:val="24"/>
        </w:rPr>
      </w:pPr>
      <w:r>
        <w:rPr>
          <w:rFonts w:hint="eastAsia" w:ascii="宋体" w:hAnsi="宋体" w:cs="宋体"/>
          <w:sz w:val="24"/>
        </w:rPr>
        <w:t>项目联系人（询问）：俞工</w:t>
      </w:r>
    </w:p>
    <w:p>
      <w:pPr>
        <w:spacing w:line="360" w:lineRule="auto"/>
        <w:ind w:firstLine="960" w:firstLineChars="400"/>
        <w:rPr>
          <w:rFonts w:ascii="宋体" w:hAnsi="宋体" w:cs="宋体"/>
          <w:sz w:val="24"/>
        </w:rPr>
      </w:pPr>
      <w:r>
        <w:rPr>
          <w:rFonts w:hint="eastAsia" w:ascii="宋体" w:hAnsi="宋体" w:cs="宋体"/>
          <w:sz w:val="24"/>
        </w:rPr>
        <w:t>项目联系方式（询问）：18368025852</w:t>
      </w:r>
    </w:p>
    <w:p>
      <w:pPr>
        <w:spacing w:line="360" w:lineRule="auto"/>
        <w:ind w:firstLine="960" w:firstLineChars="400"/>
        <w:rPr>
          <w:rFonts w:ascii="宋体" w:hAnsi="宋体" w:cs="宋体"/>
          <w:sz w:val="24"/>
        </w:rPr>
      </w:pPr>
      <w:r>
        <w:rPr>
          <w:rFonts w:hint="eastAsia" w:ascii="宋体" w:hAnsi="宋体" w:cs="宋体"/>
          <w:sz w:val="24"/>
        </w:rPr>
        <w:t>质疑联系人：金工</w:t>
      </w:r>
    </w:p>
    <w:p>
      <w:pPr>
        <w:spacing w:line="360" w:lineRule="auto"/>
        <w:ind w:firstLine="960" w:firstLineChars="400"/>
        <w:rPr>
          <w:rFonts w:ascii="宋体" w:hAnsi="宋体" w:cs="宋体"/>
          <w:sz w:val="24"/>
        </w:rPr>
      </w:pPr>
      <w:r>
        <w:rPr>
          <w:rFonts w:hint="eastAsia" w:ascii="宋体" w:hAnsi="宋体" w:cs="宋体"/>
          <w:sz w:val="24"/>
        </w:rPr>
        <w:t>质疑联系方式：0571-86834522</w:t>
      </w:r>
    </w:p>
    <w:p>
      <w:pPr>
        <w:spacing w:line="360" w:lineRule="auto"/>
        <w:ind w:firstLine="480" w:firstLineChars="200"/>
        <w:rPr>
          <w:rFonts w:ascii="宋体" w:hAnsi="宋体" w:cs="宋体"/>
          <w:sz w:val="24"/>
        </w:rPr>
      </w:pPr>
      <w:r>
        <w:rPr>
          <w:rFonts w:hint="eastAsia" w:ascii="宋体" w:hAnsi="宋体" w:cs="宋体"/>
          <w:sz w:val="24"/>
        </w:rPr>
        <w:t>2.采购代理机构信息</w:t>
      </w:r>
    </w:p>
    <w:p>
      <w:pPr>
        <w:spacing w:line="360" w:lineRule="auto"/>
        <w:ind w:firstLine="960" w:firstLineChars="400"/>
        <w:rPr>
          <w:rFonts w:ascii="宋体" w:hAnsi="宋体" w:cs="宋体"/>
          <w:sz w:val="24"/>
        </w:rPr>
      </w:pPr>
      <w:r>
        <w:rPr>
          <w:rFonts w:hint="eastAsia" w:ascii="宋体" w:hAnsi="宋体" w:cs="宋体"/>
          <w:sz w:val="24"/>
        </w:rPr>
        <w:t>名    称：浙江建友工程咨询有限公司</w:t>
      </w:r>
    </w:p>
    <w:p>
      <w:pPr>
        <w:spacing w:line="360" w:lineRule="auto"/>
        <w:ind w:firstLine="960" w:firstLineChars="400"/>
        <w:rPr>
          <w:rFonts w:ascii="宋体" w:hAnsi="宋体" w:cs="宋体"/>
          <w:sz w:val="24"/>
        </w:rPr>
      </w:pPr>
      <w:r>
        <w:rPr>
          <w:rFonts w:hint="eastAsia" w:ascii="宋体" w:hAnsi="宋体" w:cs="宋体"/>
          <w:sz w:val="24"/>
        </w:rPr>
        <w:t>地    址：杭州市西湖区西港发展中心7幢</w:t>
      </w:r>
    </w:p>
    <w:p>
      <w:pPr>
        <w:spacing w:line="360" w:lineRule="auto"/>
        <w:ind w:firstLine="960" w:firstLineChars="400"/>
        <w:rPr>
          <w:rFonts w:ascii="宋体" w:hAnsi="宋体" w:cs="宋体"/>
          <w:sz w:val="24"/>
        </w:rPr>
      </w:pPr>
      <w:r>
        <w:rPr>
          <w:rFonts w:hint="eastAsia" w:ascii="宋体" w:hAnsi="宋体" w:cs="宋体"/>
          <w:sz w:val="24"/>
        </w:rPr>
        <w:t>传    真：0571-56075170</w:t>
      </w:r>
    </w:p>
    <w:p>
      <w:pPr>
        <w:spacing w:line="360" w:lineRule="auto"/>
        <w:ind w:firstLine="960" w:firstLineChars="400"/>
        <w:rPr>
          <w:rFonts w:ascii="宋体" w:hAnsi="宋体" w:cs="宋体"/>
          <w:sz w:val="24"/>
        </w:rPr>
      </w:pPr>
      <w:r>
        <w:rPr>
          <w:rFonts w:hint="eastAsia" w:ascii="宋体" w:hAnsi="宋体" w:cs="宋体"/>
          <w:sz w:val="24"/>
        </w:rPr>
        <w:t>项目联系人（询问）：舒工</w:t>
      </w:r>
    </w:p>
    <w:p>
      <w:pPr>
        <w:spacing w:line="360" w:lineRule="auto"/>
        <w:ind w:firstLine="960" w:firstLineChars="400"/>
        <w:rPr>
          <w:rFonts w:ascii="宋体" w:hAnsi="宋体" w:cs="宋体"/>
          <w:sz w:val="24"/>
        </w:rPr>
      </w:pPr>
      <w:r>
        <w:rPr>
          <w:rFonts w:hint="eastAsia" w:ascii="宋体" w:hAnsi="宋体" w:cs="宋体"/>
          <w:sz w:val="24"/>
        </w:rPr>
        <w:t>项目联系方式（询问）：18368830042</w:t>
      </w:r>
    </w:p>
    <w:p>
      <w:pPr>
        <w:spacing w:line="360" w:lineRule="auto"/>
        <w:ind w:firstLine="960" w:firstLineChars="400"/>
        <w:rPr>
          <w:rFonts w:ascii="宋体" w:hAnsi="宋体" w:cs="宋体"/>
          <w:sz w:val="24"/>
        </w:rPr>
      </w:pPr>
      <w:r>
        <w:rPr>
          <w:rFonts w:hint="eastAsia" w:ascii="宋体" w:hAnsi="宋体" w:cs="宋体"/>
          <w:sz w:val="24"/>
        </w:rPr>
        <w:t>质疑联系人：</w:t>
      </w:r>
      <w:r>
        <w:rPr>
          <w:rFonts w:hint="eastAsia" w:ascii="宋体" w:hAnsi="宋体" w:cs="宋体"/>
          <w:sz w:val="24"/>
          <w:lang w:eastAsia="zh-CN"/>
        </w:rPr>
        <w:t>董</w:t>
      </w:r>
      <w:bookmarkStart w:id="550" w:name="_GoBack"/>
      <w:bookmarkEnd w:id="550"/>
      <w:r>
        <w:rPr>
          <w:rFonts w:hint="eastAsia" w:ascii="宋体" w:hAnsi="宋体" w:cs="宋体"/>
          <w:sz w:val="24"/>
        </w:rPr>
        <w:t>工</w:t>
      </w:r>
    </w:p>
    <w:p>
      <w:pPr>
        <w:spacing w:line="360" w:lineRule="auto"/>
        <w:ind w:firstLine="960" w:firstLineChars="400"/>
        <w:rPr>
          <w:rFonts w:ascii="宋体" w:hAnsi="宋体" w:cs="宋体"/>
          <w:sz w:val="24"/>
        </w:rPr>
      </w:pPr>
      <w:r>
        <w:rPr>
          <w:rFonts w:hint="eastAsia" w:ascii="宋体" w:hAnsi="宋体" w:cs="宋体"/>
          <w:sz w:val="24"/>
        </w:rPr>
        <w:t>质疑联系方式：0571-56075179</w:t>
      </w:r>
    </w:p>
    <w:p>
      <w:pPr>
        <w:spacing w:line="360" w:lineRule="auto"/>
        <w:ind w:firstLine="480" w:firstLineChars="200"/>
        <w:rPr>
          <w:rFonts w:ascii="宋体" w:hAnsi="宋体" w:cs="宋体"/>
          <w:sz w:val="24"/>
        </w:rPr>
      </w:pPr>
      <w:r>
        <w:rPr>
          <w:rFonts w:hint="eastAsia" w:ascii="宋体" w:hAnsi="宋体" w:cs="宋体"/>
          <w:sz w:val="24"/>
        </w:rPr>
        <w:t xml:space="preserve">3.同级政府采购监督管理部门            </w:t>
      </w:r>
    </w:p>
    <w:p>
      <w:pPr>
        <w:spacing w:line="360" w:lineRule="auto"/>
        <w:ind w:firstLine="960" w:firstLineChars="400"/>
        <w:rPr>
          <w:rFonts w:ascii="宋体" w:hAnsi="宋体" w:cs="宋体"/>
          <w:sz w:val="24"/>
        </w:rPr>
      </w:pPr>
      <w:r>
        <w:rPr>
          <w:rFonts w:hint="eastAsia" w:ascii="宋体" w:hAnsi="宋体" w:cs="宋体"/>
          <w:sz w:val="24"/>
        </w:rPr>
        <w:t xml:space="preserve">名    称：杭州市财政局政府采购监管处、浙江省政府采购行政裁决服务中心（杭州） </w:t>
      </w:r>
    </w:p>
    <w:p>
      <w:pPr>
        <w:spacing w:line="360" w:lineRule="auto"/>
        <w:ind w:firstLine="960" w:firstLineChars="400"/>
        <w:rPr>
          <w:rFonts w:ascii="宋体" w:hAnsi="宋体" w:cs="宋体"/>
          <w:sz w:val="24"/>
        </w:rPr>
      </w:pPr>
      <w:r>
        <w:rPr>
          <w:rFonts w:hint="eastAsia" w:ascii="宋体" w:hAnsi="宋体" w:cs="宋体"/>
          <w:sz w:val="24"/>
        </w:rPr>
        <w:t>地    址：杭州市上城区四季青街道新业路市民之家G03办公室（快递仅限ems或顺丰）</w:t>
      </w:r>
    </w:p>
    <w:p>
      <w:pPr>
        <w:spacing w:line="360" w:lineRule="auto"/>
        <w:ind w:firstLine="960" w:firstLineChars="400"/>
        <w:rPr>
          <w:rFonts w:ascii="宋体" w:hAnsi="宋体" w:cs="宋体"/>
          <w:sz w:val="24"/>
        </w:rPr>
      </w:pPr>
      <w:r>
        <w:rPr>
          <w:rFonts w:hint="eastAsia" w:ascii="宋体" w:hAnsi="宋体" w:cs="宋体"/>
          <w:sz w:val="24"/>
        </w:rPr>
        <w:t>传    真：</w:t>
      </w:r>
    </w:p>
    <w:p>
      <w:pPr>
        <w:spacing w:line="360" w:lineRule="auto"/>
        <w:ind w:firstLine="960" w:firstLineChars="400"/>
        <w:rPr>
          <w:rFonts w:ascii="宋体" w:hAnsi="宋体" w:cs="宋体"/>
          <w:sz w:val="24"/>
        </w:rPr>
      </w:pPr>
      <w:r>
        <w:rPr>
          <w:rFonts w:hint="eastAsia" w:ascii="宋体" w:hAnsi="宋体" w:cs="宋体"/>
          <w:sz w:val="24"/>
        </w:rPr>
        <w:t>联 系 人：朱女士/王女士</w:t>
      </w:r>
    </w:p>
    <w:p>
      <w:pPr>
        <w:spacing w:line="360" w:lineRule="auto"/>
        <w:ind w:firstLine="960" w:firstLineChars="400"/>
        <w:rPr>
          <w:rFonts w:ascii="宋体" w:hAnsi="宋体" w:cs="宋体"/>
          <w:sz w:val="24"/>
        </w:rPr>
      </w:pPr>
      <w:r>
        <w:rPr>
          <w:rFonts w:hint="eastAsia" w:ascii="宋体" w:hAnsi="宋体" w:cs="宋体"/>
          <w:sz w:val="24"/>
        </w:rPr>
        <w:t>监督投诉电话：0571-85252453</w:t>
      </w:r>
    </w:p>
    <w:p>
      <w:pPr>
        <w:spacing w:line="360" w:lineRule="auto"/>
        <w:ind w:firstLine="960" w:firstLineChars="4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960" w:firstLineChars="400"/>
        <w:rPr>
          <w:rFonts w:ascii="宋体" w:hAnsi="宋体" w:cs="宋体"/>
          <w:sz w:val="24"/>
        </w:rPr>
      </w:pPr>
      <w:r>
        <w:rPr>
          <w:rFonts w:hint="eastAsia" w:ascii="宋体" w:hAnsi="宋体" w:cs="宋体"/>
          <w:sz w:val="24"/>
        </w:rPr>
        <w:t>CA问题联系电话（人工）：汇信CA 400-888-4636；天谷CA 400-087-8198。</w:t>
      </w:r>
    </w:p>
    <w:p>
      <w:pPr>
        <w:tabs>
          <w:tab w:val="left" w:pos="432"/>
        </w:tabs>
        <w:rPr>
          <w:rFonts w:ascii="宋体" w:hAnsi="宋体" w:cs="宋体"/>
          <w:snapToGrid w:val="0"/>
          <w:sz w:val="24"/>
        </w:rPr>
      </w:pPr>
      <w:r>
        <w:rPr>
          <w:rFonts w:hint="eastAsia" w:ascii="宋体" w:hAnsi="宋体" w:cs="宋体"/>
          <w:sz w:val="24"/>
        </w:rPr>
        <w:br w:type="page"/>
      </w:r>
    </w:p>
    <w:bookmarkEnd w:id="9"/>
    <w:p>
      <w:pPr>
        <w:numPr>
          <w:ilvl w:val="0"/>
          <w:numId w:val="1"/>
        </w:numPr>
        <w:adjustRightInd/>
        <w:spacing w:line="360" w:lineRule="auto"/>
        <w:jc w:val="center"/>
        <w:outlineLvl w:val="0"/>
        <w:rPr>
          <w:rFonts w:ascii="宋体" w:hAnsi="宋体" w:cs="宋体"/>
          <w:b/>
          <w:sz w:val="44"/>
          <w:szCs w:val="44"/>
        </w:rPr>
      </w:pPr>
      <w:r>
        <w:rPr>
          <w:rFonts w:hint="eastAsia" w:ascii="宋体" w:hAnsi="宋体" w:cs="宋体"/>
          <w:b/>
          <w:sz w:val="44"/>
          <w:szCs w:val="44"/>
        </w:rPr>
        <w:t xml:space="preserve"> </w:t>
      </w:r>
      <w:bookmarkStart w:id="14" w:name="_Toc9472"/>
      <w:r>
        <w:rPr>
          <w:rFonts w:hint="eastAsia" w:ascii="宋体" w:hAnsi="宋体" w:cs="宋体"/>
          <w:b/>
          <w:sz w:val="44"/>
          <w:szCs w:val="44"/>
        </w:rPr>
        <w:t>投标人须知</w:t>
      </w:r>
      <w:bookmarkEnd w:id="10"/>
      <w:bookmarkEnd w:id="14"/>
    </w:p>
    <w:p>
      <w:pPr>
        <w:adjustRightInd/>
        <w:spacing w:line="360" w:lineRule="auto"/>
        <w:jc w:val="center"/>
        <w:rPr>
          <w:rFonts w:ascii="宋体" w:hAnsi="宋体" w:cs="宋体"/>
          <w:b/>
          <w:sz w:val="28"/>
          <w:szCs w:val="28"/>
        </w:rPr>
      </w:pPr>
      <w:r>
        <w:rPr>
          <w:rFonts w:hint="eastAsia" w:ascii="宋体" w:hAnsi="宋体" w:cs="宋体"/>
          <w:b/>
          <w:sz w:val="28"/>
          <w:szCs w:val="28"/>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2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21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exact"/>
              <w:jc w:val="center"/>
              <w:rPr>
                <w:rFonts w:ascii="宋体" w:hAnsi="宋体" w:cs="宋体"/>
                <w:b/>
                <w:sz w:val="24"/>
              </w:rPr>
            </w:pPr>
            <w:r>
              <w:rPr>
                <w:rFonts w:hint="eastAsia" w:ascii="宋体" w:hAnsi="宋体" w:cs="宋体"/>
                <w:b/>
                <w:sz w:val="24"/>
              </w:rPr>
              <w:t>项目属性与核心产品</w:t>
            </w: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exact"/>
              <w:rPr>
                <w:rFonts w:ascii="宋体" w:hAnsi="宋体" w:cs="宋体"/>
                <w:sz w:val="24"/>
              </w:rPr>
            </w:pPr>
            <w:r>
              <w:rPr>
                <w:rFonts w:hint="eastAsia" w:ascii="宋体" w:hAnsi="宋体" w:cs="宋体"/>
                <w:sz w:val="24"/>
              </w:rPr>
              <w:t>货物类。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exact"/>
              <w:jc w:val="center"/>
              <w:rPr>
                <w:rFonts w:ascii="宋体" w:hAnsi="宋体" w:cs="宋体"/>
                <w:b/>
                <w:sz w:val="24"/>
                <w:highlight w:val="none"/>
              </w:rPr>
            </w:pPr>
            <w:r>
              <w:rPr>
                <w:rFonts w:hint="eastAsia" w:ascii="宋体" w:hAnsi="宋体" w:cs="宋体"/>
                <w:b/>
                <w:sz w:val="24"/>
                <w:highlight w:val="none"/>
              </w:rPr>
              <w:t>采购标的及其对应的中小企业划分标准所属行业</w:t>
            </w:r>
          </w:p>
        </w:tc>
        <w:tc>
          <w:tcPr>
            <w:tcW w:w="621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exact"/>
              <w:rPr>
                <w:rFonts w:ascii="宋体" w:hAnsi="宋体" w:cs="宋体"/>
                <w:sz w:val="24"/>
                <w:highlight w:val="none"/>
              </w:rPr>
            </w:pPr>
            <w:r>
              <w:rPr>
                <w:rFonts w:hint="eastAsia" w:ascii="宋体" w:hAnsi="宋体" w:cs="宋体"/>
                <w:kern w:val="0"/>
                <w:sz w:val="24"/>
                <w:highlight w:val="none"/>
              </w:rPr>
              <w:t>标的：</w:t>
            </w:r>
            <w:r>
              <w:rPr>
                <w:rFonts w:hint="eastAsia" w:ascii="宋体" w:hAnsi="宋体" w:cs="宋体"/>
                <w:kern w:val="0"/>
                <w:sz w:val="24"/>
                <w:highlight w:val="none"/>
                <w:u w:val="single"/>
              </w:rPr>
              <w:t xml:space="preserve"> </w:t>
            </w:r>
            <w:r>
              <w:rPr>
                <w:rFonts w:hint="eastAsia" w:ascii="宋体" w:hAnsi="宋体" w:cs="宋体"/>
                <w:kern w:val="0"/>
                <w:sz w:val="24"/>
                <w:highlight w:val="none"/>
                <w:u w:val="single"/>
                <w:lang w:eastAsia="zh-CN"/>
              </w:rPr>
              <w:t>钱塘区城市桥梁动态称重系统项目</w:t>
            </w:r>
            <w:r>
              <w:rPr>
                <w:rFonts w:hint="eastAsia" w:ascii="宋体" w:hAnsi="宋体" w:cs="宋体"/>
                <w:kern w:val="0"/>
                <w:sz w:val="24"/>
                <w:highlight w:val="none"/>
                <w:u w:val="single"/>
              </w:rPr>
              <w:t xml:space="preserve">  </w:t>
            </w:r>
            <w:r>
              <w:rPr>
                <w:rFonts w:hint="eastAsia" w:ascii="宋体" w:hAnsi="宋体" w:cs="宋体"/>
                <w:kern w:val="0"/>
                <w:sz w:val="24"/>
                <w:highlight w:val="none"/>
              </w:rPr>
              <w:t>，属于</w:t>
            </w:r>
            <w:r>
              <w:rPr>
                <w:rFonts w:hint="eastAsia" w:ascii="宋体" w:hAnsi="宋体" w:cs="宋体"/>
                <w:kern w:val="0"/>
                <w:sz w:val="24"/>
                <w:highlight w:val="none"/>
                <w:u w:val="single"/>
              </w:rPr>
              <w:t xml:space="preserve"> 工业（制造）   </w:t>
            </w:r>
            <w:r>
              <w:rPr>
                <w:rFonts w:hint="eastAsia" w:ascii="宋体" w:hAnsi="宋体" w:cs="宋体"/>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exact"/>
              <w:jc w:val="center"/>
              <w:rPr>
                <w:rFonts w:ascii="宋体" w:hAnsi="宋体" w:cs="宋体"/>
                <w:b/>
                <w:sz w:val="24"/>
              </w:rPr>
            </w:pPr>
            <w:r>
              <w:rPr>
                <w:rFonts w:hint="eastAsia" w:ascii="宋体" w:hAnsi="宋体" w:cs="宋体"/>
                <w:b/>
                <w:sz w:val="24"/>
              </w:rPr>
              <w:t>是否允许采购进口产品</w:t>
            </w: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exact"/>
              <w:rPr>
                <w:rFonts w:ascii="宋体" w:hAnsi="宋体" w:cs="宋体"/>
                <w:kern w:val="0"/>
                <w:sz w:val="24"/>
              </w:rPr>
            </w:pPr>
            <w:sdt>
              <w:sdtPr>
                <w:rPr>
                  <w:rFonts w:hint="eastAsia" w:ascii="宋体" w:hAnsi="宋体" w:cs="宋体"/>
                  <w:kern w:val="0"/>
                  <w:sz w:val="24"/>
                </w:rPr>
                <w:id w:val="-1"/>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exact"/>
              <w:rPr>
                <w:rFonts w:ascii="宋体" w:hAnsi="宋体" w:cs="宋体"/>
                <w:sz w:val="24"/>
              </w:rPr>
            </w:pPr>
            <w:sdt>
              <w:sdtPr>
                <w:rPr>
                  <w:rFonts w:hint="eastAsia" w:ascii="宋体" w:hAnsi="宋体" w:cs="宋体"/>
                  <w:kern w:val="0"/>
                  <w:sz w:val="24"/>
                </w:rPr>
                <w:id w:val="-1"/>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1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exact"/>
              <w:ind w:firstLine="482" w:firstLineChars="200"/>
              <w:rPr>
                <w:rFonts w:ascii="宋体" w:hAnsi="宋体" w:cs="宋体"/>
                <w:b/>
                <w:sz w:val="24"/>
              </w:rPr>
            </w:pPr>
            <w:r>
              <w:rPr>
                <w:rFonts w:hint="eastAsia" w:ascii="宋体" w:hAnsi="宋体" w:cs="宋体"/>
                <w:b/>
                <w:sz w:val="24"/>
              </w:rPr>
              <w:t>分包</w:t>
            </w: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exact"/>
              <w:rPr>
                <w:rFonts w:ascii="宋体" w:hAnsi="宋体" w:cs="宋体"/>
                <w:sz w:val="24"/>
              </w:rPr>
            </w:pPr>
            <w:sdt>
              <w:sdtPr>
                <w:rPr>
                  <w:rFonts w:hint="eastAsia" w:ascii="宋体" w:hAnsi="宋体" w:cs="宋体"/>
                  <w:kern w:val="0"/>
                  <w:sz w:val="24"/>
                </w:rPr>
                <w:id w:val="-1"/>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同意将非主体、非关键性的</w:t>
            </w:r>
            <w:r>
              <w:rPr>
                <w:rFonts w:hint="eastAsia" w:ascii="宋体" w:hAnsi="宋体" w:cs="宋体"/>
                <w:sz w:val="24"/>
                <w:u w:val="single"/>
              </w:rPr>
              <w:t xml:space="preserve">  劳务  </w:t>
            </w:r>
            <w:r>
              <w:rPr>
                <w:rFonts w:hint="eastAsia" w:ascii="宋体" w:hAnsi="宋体" w:cs="宋体"/>
                <w:sz w:val="24"/>
              </w:rPr>
              <w:t>工作分包。</w:t>
            </w:r>
          </w:p>
          <w:p>
            <w:pPr>
              <w:spacing w:line="360" w:lineRule="exact"/>
              <w:rPr>
                <w:rFonts w:ascii="宋体" w:hAnsi="宋体" w:cs="宋体"/>
                <w:sz w:val="24"/>
              </w:rPr>
            </w:pPr>
            <w:sdt>
              <w:sdtPr>
                <w:rPr>
                  <w:rFonts w:hint="eastAsia" w:ascii="宋体" w:hAnsi="宋体" w:cs="宋体"/>
                  <w:kern w:val="0"/>
                  <w:sz w:val="24"/>
                </w:rPr>
                <w:id w:val="-1"/>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pPr>
              <w:spacing w:line="360" w:lineRule="exact"/>
              <w:rPr>
                <w:rFonts w:ascii="宋体" w:hAnsi="宋体" w:cs="宋体"/>
                <w:sz w:val="24"/>
              </w:rPr>
            </w:pPr>
            <w:r>
              <w:rPr>
                <w:rFonts w:hint="eastAsia" w:ascii="宋体" w:hAnsi="宋体" w:cs="宋体"/>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5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exact"/>
              <w:jc w:val="center"/>
              <w:rPr>
                <w:rFonts w:ascii="宋体" w:hAnsi="宋体" w:cs="宋体"/>
                <w:b/>
                <w:sz w:val="24"/>
              </w:rPr>
            </w:pPr>
            <w:r>
              <w:rPr>
                <w:rFonts w:hint="eastAsia" w:ascii="宋体" w:hAnsi="宋体" w:cs="宋体"/>
                <w:b/>
                <w:sz w:val="24"/>
              </w:rPr>
              <w:t>开标前答疑会或现场考察</w:t>
            </w: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exact"/>
              <w:rPr>
                <w:rFonts w:ascii="宋体" w:hAnsi="宋体" w:cs="宋体"/>
                <w:sz w:val="24"/>
              </w:rPr>
            </w:pPr>
            <w:sdt>
              <w:sdtPr>
                <w:rPr>
                  <w:rFonts w:hint="eastAsia" w:ascii="宋体" w:hAnsi="宋体" w:cs="宋体"/>
                  <w:kern w:val="0"/>
                  <w:sz w:val="24"/>
                </w:rPr>
                <w:id w:val="-1"/>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不组织。</w:t>
            </w:r>
          </w:p>
          <w:p>
            <w:pPr>
              <w:spacing w:line="360" w:lineRule="exact"/>
              <w:rPr>
                <w:rFonts w:ascii="宋体" w:hAnsi="宋体" w:cs="宋体"/>
                <w:sz w:val="24"/>
              </w:rPr>
            </w:pPr>
            <w:sdt>
              <w:sdtPr>
                <w:rPr>
                  <w:rFonts w:hint="eastAsia" w:ascii="宋体" w:hAnsi="宋体" w:cs="宋体"/>
                  <w:kern w:val="0"/>
                  <w:sz w:val="24"/>
                </w:rPr>
                <w:id w:val="-1"/>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exact"/>
              <w:jc w:val="center"/>
              <w:rPr>
                <w:rFonts w:ascii="宋体" w:hAnsi="宋体" w:cs="宋体"/>
                <w:b/>
                <w:sz w:val="24"/>
              </w:rPr>
            </w:pPr>
            <w:r>
              <w:rPr>
                <w:rFonts w:hint="eastAsia" w:ascii="宋体" w:hAnsi="宋体" w:cs="宋体"/>
                <w:b/>
                <w:sz w:val="24"/>
              </w:rPr>
              <w:t>样品提供</w:t>
            </w: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exact"/>
              <w:rPr>
                <w:rFonts w:ascii="宋体" w:hAnsi="宋体" w:cs="宋体"/>
                <w:sz w:val="24"/>
              </w:rPr>
            </w:pPr>
            <w:sdt>
              <w:sdtPr>
                <w:rPr>
                  <w:rFonts w:hint="eastAsia" w:ascii="宋体" w:hAnsi="宋体" w:cs="宋体"/>
                  <w:kern w:val="0"/>
                  <w:sz w:val="24"/>
                </w:rPr>
                <w:id w:val="-1"/>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不要求提供。</w:t>
            </w:r>
          </w:p>
          <w:p>
            <w:pPr>
              <w:spacing w:line="360" w:lineRule="exact"/>
              <w:rPr>
                <w:rFonts w:ascii="宋体" w:hAnsi="宋体" w:cs="宋体"/>
                <w:kern w:val="0"/>
                <w:sz w:val="24"/>
              </w:rPr>
            </w:pPr>
            <w:sdt>
              <w:sdtPr>
                <w:rPr>
                  <w:rFonts w:hint="eastAsia" w:ascii="宋体" w:hAnsi="宋体" w:cs="宋体"/>
                  <w:kern w:val="0"/>
                  <w:sz w:val="24"/>
                </w:rPr>
                <w:id w:val="10268319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B要求提供，</w:t>
            </w:r>
          </w:p>
          <w:p>
            <w:pPr>
              <w:spacing w:line="360" w:lineRule="exact"/>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pPr>
              <w:spacing w:line="360" w:lineRule="exact"/>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pPr>
              <w:spacing w:line="360" w:lineRule="exact"/>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360" w:lineRule="exact"/>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pPr>
              <w:spacing w:line="360" w:lineRule="exact"/>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pPr>
              <w:spacing w:line="360" w:lineRule="exact"/>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exact"/>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20（编制时可根据项目情况进行调整）</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3（编制时可根据项目情况进行调整）</w:t>
            </w:r>
            <w:r>
              <w:rPr>
                <w:rFonts w:hint="eastAsia" w:ascii="宋体" w:hAnsi="宋体" w:cs="宋体"/>
                <w:kern w:val="0"/>
                <w:sz w:val="24"/>
              </w:rPr>
              <w:t>人。讲解演示结束后按要求解答评标委员会提问。</w:t>
            </w:r>
          </w:p>
          <w:p>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color w:val="FF0000"/>
                <w:sz w:val="24"/>
                <w:u w:val="single"/>
              </w:rPr>
              <w:t xml:space="preserve">     </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217"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 w:val="24"/>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217"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21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sz w:val="24"/>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21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58"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w:t>
            </w:r>
          </w:p>
          <w:p>
            <w:pPr>
              <w:snapToGrid w:val="0"/>
              <w:spacing w:line="360" w:lineRule="auto"/>
              <w:jc w:val="center"/>
              <w:rPr>
                <w:rFonts w:ascii="宋体" w:hAnsi="宋体" w:cs="宋体"/>
                <w:b/>
                <w:sz w:val="24"/>
              </w:rPr>
            </w:pPr>
            <w:r>
              <w:rPr>
                <w:rFonts w:hint="eastAsia" w:ascii="宋体" w:hAnsi="宋体" w:cs="宋体"/>
                <w:b/>
                <w:sz w:val="24"/>
              </w:rPr>
              <w:t>融资</w:t>
            </w:r>
          </w:p>
        </w:tc>
        <w:tc>
          <w:tcPr>
            <w:tcW w:w="6217"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备份投标文件送达地点和签收人员</w:t>
            </w:r>
          </w:p>
        </w:tc>
        <w:tc>
          <w:tcPr>
            <w:tcW w:w="6217"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Ansi="宋体" w:cs="宋体"/>
                <w:kern w:val="28"/>
                <w:sz w:val="24"/>
                <w:szCs w:val="24"/>
              </w:rPr>
            </w:pPr>
            <w:r>
              <w:rPr>
                <w:rFonts w:hint="eastAsia" w:hAnsi="宋体" w:cs="宋体"/>
                <w:kern w:val="28"/>
                <w:sz w:val="24"/>
                <w:szCs w:val="24"/>
              </w:rPr>
              <w:t>备份投标文件送达地点：杭州市西湖区振华路西港发展中心7幢7楼；备份投标文件签收人员联系电话：舒工，</w:t>
            </w:r>
            <w:r>
              <w:rPr>
                <w:rFonts w:hint="eastAsia" w:hAnsi="宋体" w:cs="宋体"/>
                <w:sz w:val="24"/>
                <w:szCs w:val="24"/>
              </w:rPr>
              <w:t>18368830042。</w:t>
            </w:r>
            <w:r>
              <w:rPr>
                <w:rFonts w:hint="eastAsia" w:hAnsi="宋体" w:cs="宋体"/>
                <w:b/>
                <w:sz w:val="24"/>
                <w:szCs w:val="24"/>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代理服务费</w:t>
            </w: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highlight w:val="none"/>
              </w:rPr>
            </w:pPr>
            <w:r>
              <w:rPr>
                <w:rFonts w:hint="eastAsia" w:ascii="宋体" w:hAnsi="宋体" w:cs="宋体"/>
                <w:snapToGrid w:val="0"/>
                <w:kern w:val="28"/>
                <w:sz w:val="24"/>
                <w:highlight w:val="none"/>
              </w:rPr>
              <w:t>1、代理费用由中标人支付。</w:t>
            </w:r>
          </w:p>
          <w:p>
            <w:pPr>
              <w:spacing w:line="360" w:lineRule="auto"/>
              <w:rPr>
                <w:rFonts w:ascii="宋体" w:hAnsi="宋体" w:cs="宋体"/>
                <w:kern w:val="28"/>
                <w:sz w:val="24"/>
                <w:highlight w:val="none"/>
              </w:rPr>
            </w:pPr>
            <w:r>
              <w:rPr>
                <w:rFonts w:hint="eastAsia" w:ascii="宋体" w:hAnsi="宋体" w:cs="宋体"/>
                <w:snapToGrid w:val="0"/>
                <w:kern w:val="28"/>
                <w:sz w:val="24"/>
                <w:highlight w:val="none"/>
              </w:rPr>
              <w:t>2、收费标准：代理费收费标准参照《招标代理服务收费管理暂行办法》（计价格[2002]1980号）收费标准的25%计取，以成交价为基数。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14</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特别说明</w:t>
            </w: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217"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sdt>
              <w:sdtPr>
                <w:rPr>
                  <w:rFonts w:hint="eastAsia" w:ascii="宋体" w:hAnsi="宋体" w:cs="宋体"/>
                  <w:kern w:val="0"/>
                  <w:sz w:val="24"/>
                </w:rPr>
                <w:id w:val="-1"/>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sdt>
              <w:sdtPr>
                <w:rPr>
                  <w:rFonts w:hint="eastAsia" w:ascii="宋体" w:hAnsi="宋体" w:cs="宋体"/>
                  <w:kern w:val="0"/>
                  <w:sz w:val="24"/>
                </w:rPr>
                <w:id w:val="10525701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bl>
    <w:p>
      <w:pPr>
        <w:snapToGrid w:val="0"/>
        <w:spacing w:line="360" w:lineRule="auto"/>
        <w:jc w:val="center"/>
        <w:rPr>
          <w:rFonts w:ascii="宋体" w:hAnsi="宋体" w:cs="宋体"/>
          <w:b/>
          <w:sz w:val="24"/>
        </w:rPr>
      </w:pPr>
    </w:p>
    <w:bookmarkEnd w:id="11"/>
    <w:p>
      <w:pPr>
        <w:adjustRightInd/>
        <w:spacing w:line="360" w:lineRule="auto"/>
        <w:jc w:val="center"/>
        <w:outlineLvl w:val="1"/>
        <w:rPr>
          <w:rFonts w:ascii="宋体" w:hAnsi="宋体" w:cs="宋体"/>
          <w:b/>
          <w:sz w:val="24"/>
        </w:rPr>
      </w:pPr>
      <w:bookmarkStart w:id="15" w:name="_Toc164416483"/>
      <w:bookmarkStart w:id="16" w:name="第三部分"/>
      <w:r>
        <w:rPr>
          <w:rFonts w:hint="eastAsia" w:ascii="宋体" w:hAnsi="宋体" w:cs="宋体"/>
          <w:b/>
          <w:sz w:val="24"/>
        </w:rPr>
        <w:t>一、总则</w:t>
      </w:r>
    </w:p>
    <w:p>
      <w:pPr>
        <w:snapToGrid w:val="0"/>
        <w:spacing w:line="360" w:lineRule="auto"/>
        <w:jc w:val="left"/>
        <w:rPr>
          <w:rFonts w:ascii="宋体" w:hAnsi="宋体" w:cs="宋体"/>
          <w:b/>
          <w:sz w:val="24"/>
        </w:rPr>
      </w:pPr>
      <w:r>
        <w:rPr>
          <w:rFonts w:hint="eastAsia" w:ascii="宋体" w:hAnsi="宋体" w:cs="宋体"/>
          <w:b/>
          <w:sz w:val="24"/>
        </w:rPr>
        <w:t>1.适用范围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rPr>
          <w:rFonts w:ascii="宋体" w:hAnsi="宋体" w:cs="宋体"/>
          <w:b/>
          <w:sz w:val="24"/>
        </w:rPr>
      </w:pPr>
      <w:r>
        <w:rPr>
          <w:rFonts w:hint="eastAsia" w:ascii="宋体" w:hAnsi="宋体" w:cs="宋体"/>
          <w:b/>
          <w:sz w:val="24"/>
        </w:rPr>
        <w:t>2.定义</w:t>
      </w:r>
    </w:p>
    <w:p>
      <w:pPr>
        <w:spacing w:line="360" w:lineRule="auto"/>
        <w:ind w:firstLine="480" w:firstLineChars="200"/>
        <w:rPr>
          <w:rFonts w:ascii="宋体" w:hAnsi="宋体" w:cs="宋体"/>
          <w:sz w:val="24"/>
        </w:rPr>
      </w:pPr>
      <w:r>
        <w:rPr>
          <w:rFonts w:hint="eastAsia" w:ascii="宋体" w:hAnsi="宋体" w:cs="宋体"/>
          <w:sz w:val="24"/>
        </w:rPr>
        <w:t>2.1“采购人”系指招标公告中载明的本项目的采购人。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2.2“采购代理机构”系指招标公告中载明的本项目的采购代理机构。</w:t>
      </w:r>
    </w:p>
    <w:p>
      <w:pPr>
        <w:spacing w:line="360" w:lineRule="auto"/>
        <w:ind w:firstLine="480" w:firstLineChars="200"/>
        <w:rPr>
          <w:rFonts w:ascii="宋体" w:hAnsi="宋体" w:cs="宋体"/>
          <w:sz w:val="24"/>
        </w:rPr>
      </w:pPr>
      <w:r>
        <w:rPr>
          <w:rFonts w:hint="eastAsia" w:ascii="宋体" w:hAnsi="宋体" w:cs="宋体"/>
          <w:sz w:val="24"/>
        </w:rPr>
        <w:t>2.3“投标人”系指是指响应招标、参加投标竞争的法人、其他组织或者自然人。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”系指不适用本项目的要求。</w:t>
      </w:r>
    </w:p>
    <w:p>
      <w:pPr>
        <w:spacing w:line="360" w:lineRule="auto"/>
        <w:rPr>
          <w:rFonts w:ascii="宋体" w:hAnsi="宋体" w:cs="宋体"/>
          <w:b/>
          <w:sz w:val="24"/>
        </w:rPr>
      </w:pPr>
      <w:r>
        <w:rPr>
          <w:rFonts w:hint="eastAsia" w:ascii="宋体" w:hAnsi="宋体" w:cs="宋体"/>
          <w:b/>
          <w:sz w:val="24"/>
        </w:rPr>
        <w:t>3.采购项目需要落实的政府采购政策</w:t>
      </w:r>
    </w:p>
    <w:p>
      <w:pPr>
        <w:spacing w:line="360" w:lineRule="auto"/>
        <w:ind w:firstLine="480" w:firstLineChars="2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7" w:name="_Hlk107568539"/>
      <w:r>
        <w:rPr>
          <w:rFonts w:hint="eastAsia" w:ascii="宋体" w:hAnsi="宋体" w:cs="宋体"/>
          <w:sz w:val="24"/>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sz w:val="24"/>
        </w:rPr>
      </w:pPr>
      <w:r>
        <w:rPr>
          <w:rFonts w:hint="eastAsia" w:ascii="宋体" w:hAnsi="宋体" w:cs="宋体"/>
          <w:sz w:val="24"/>
        </w:rPr>
        <w:t>3.2.4鼓励供应商在参加政府采购过程中开展绿色设计、选择绿色材料、打造绿色制造工艺、开展绿色运输、做好废弃产品回收处理，实现产品全周期的绿色环保。鼓励采购单位对其提高预付款比例、免收履约保证金。</w:t>
      </w:r>
      <w:bookmarkEnd w:id="17"/>
    </w:p>
    <w:p>
      <w:pPr>
        <w:spacing w:line="360" w:lineRule="auto"/>
        <w:ind w:firstLine="480" w:firstLineChars="2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hint="eastAsia"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18" w:name="_Hlk101132181"/>
      <w:r>
        <w:rPr>
          <w:rFonts w:hint="eastAsia" w:ascii="宋体" w:hAnsi="宋体" w:cs="宋体"/>
          <w:sz w:val="24"/>
        </w:rPr>
        <w:t>联合协议或者分包意向协议约定小微企业的合同份额占到合同总金额30%以上的</w:t>
      </w:r>
      <w:bookmarkEnd w:id="18"/>
      <w:r>
        <w:rPr>
          <w:rFonts w:hint="eastAsia" w:ascii="宋体" w:hAnsi="宋体" w:cs="宋体"/>
          <w:sz w:val="24"/>
        </w:rPr>
        <w:t>，对联合体或者大中型企业的报价给予4%-6%的扣除，用扣除后的价格参加评审。组成联合体或者接受分包的小微企业与联合体内其他企业、分包企业之间存在直接控股、管理关系的，不享受价格扣除优惠政策。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ind w:firstLine="480" w:firstLineChars="200"/>
        <w:rPr>
          <w:rFonts w:ascii="宋体" w:hAnsi="宋体" w:cs="宋体"/>
          <w:sz w:val="24"/>
        </w:rPr>
      </w:pPr>
      <w:r>
        <w:rPr>
          <w:rFonts w:hint="eastAsia" w:ascii="宋体" w:hAnsi="宋体" w:cs="宋体"/>
          <w:sz w:val="24"/>
        </w:rPr>
        <w:t>3.4.3采购人应当贯彻落实知识产权保护相关法律法规，应当采购使用正版软件。</w:t>
      </w:r>
    </w:p>
    <w:p>
      <w:pPr>
        <w:spacing w:line="360" w:lineRule="auto"/>
        <w:ind w:firstLine="480" w:firstLineChars="200"/>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480" w:firstLineChars="2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4.询问、质疑、投诉</w:t>
      </w:r>
      <w:r>
        <w:rPr>
          <w:rFonts w:hint="eastAsia" w:ascii="宋体" w:hAnsi="宋体" w:cs="宋体"/>
          <w:sz w:val="24"/>
        </w:rPr>
        <w:t>、</w:t>
      </w:r>
      <w:r>
        <w:rPr>
          <w:rFonts w:hint="eastAsia" w:ascii="宋体" w:hAnsi="宋体" w:cs="宋体"/>
          <w:b/>
          <w:bCs/>
          <w:sz w:val="24"/>
        </w:rPr>
        <w:t>补偿救济</w:t>
      </w:r>
    </w:p>
    <w:p>
      <w:pPr>
        <w:pStyle w:val="888"/>
        <w:shd w:val="clear" w:color="auto" w:fill="FFFFFF"/>
        <w:snapToGrid w:val="0"/>
        <w:spacing w:after="240" w:afterAutospacing="0" w:line="360" w:lineRule="auto"/>
        <w:ind w:firstLine="480" w:firstLineChars="200"/>
        <w:contextualSpacing/>
        <w:rPr>
          <w:lang w:val="zh-CN"/>
        </w:rPr>
      </w:pPr>
      <w:r>
        <w:rPr>
          <w:rFonts w:hint="eastAsia"/>
          <w:lang w:val="zh-CN"/>
        </w:rPr>
        <w:t>4.1在线询问、质疑、投诉</w:t>
      </w:r>
    </w:p>
    <w:p>
      <w:pPr>
        <w:pStyle w:val="888"/>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4.2供应商询问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4.3供应商质疑</w:t>
      </w:r>
    </w:p>
    <w:p>
      <w:pPr>
        <w:pStyle w:val="33"/>
        <w:spacing w:line="360" w:lineRule="auto"/>
        <w:ind w:firstLine="480" w:firstLineChars="200"/>
        <w:rPr>
          <w:rFonts w:hAnsi="宋体" w:cs="宋体"/>
          <w:sz w:val="24"/>
          <w:szCs w:val="24"/>
        </w:rPr>
      </w:pPr>
      <w:r>
        <w:rPr>
          <w:rFonts w:hint="eastAsia" w:hAnsi="宋体" w:cs="宋体"/>
          <w:kern w:val="0"/>
          <w:sz w:val="24"/>
          <w:szCs w:val="24"/>
          <w:lang w:val="zh-CN"/>
        </w:rPr>
        <w:t>4.3</w:t>
      </w:r>
      <w:r>
        <w:rPr>
          <w:rFonts w:hint="eastAsia" w:hAnsi="宋体" w:cs="宋体"/>
          <w:sz w:val="24"/>
          <w:szCs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sz w:val="24"/>
          <w:szCs w:val="24"/>
        </w:rPr>
      </w:pPr>
      <w:r>
        <w:rPr>
          <w:rFonts w:hint="eastAsia" w:hAnsi="宋体" w:cs="宋体"/>
          <w:kern w:val="0"/>
          <w:sz w:val="24"/>
          <w:szCs w:val="24"/>
          <w:lang w:val="zh-CN"/>
        </w:rPr>
        <w:t>4.3</w:t>
      </w:r>
      <w:r>
        <w:rPr>
          <w:rFonts w:hint="eastAsia" w:hAnsi="宋体" w:cs="宋体"/>
          <w:sz w:val="24"/>
          <w:szCs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7"/>
        <w:spacing w:line="360" w:lineRule="auto"/>
        <w:ind w:firstLine="480" w:firstLineChars="200"/>
        <w:rPr>
          <w:rFonts w:hAnsi="宋体" w:cs="宋体"/>
          <w:snapToGrid/>
          <w:color w:val="auto"/>
          <w:kern w:val="2"/>
          <w:sz w:val="24"/>
          <w:szCs w:val="24"/>
        </w:rPr>
      </w:pPr>
      <w:r>
        <w:rPr>
          <w:rFonts w:hint="eastAsia" w:hAnsi="宋体" w:cs="宋体"/>
          <w:snapToGrid/>
          <w:color w:val="auto"/>
          <w:kern w:val="2"/>
          <w:sz w:val="24"/>
          <w:szCs w:val="24"/>
        </w:rPr>
        <w:t>4.3.2.1对招标文件提出质疑的，质疑期限为供应商获得招标文件之日或者招标文件公告期限届满之日起计算。</w:t>
      </w:r>
    </w:p>
    <w:p>
      <w:pPr>
        <w:pStyle w:val="33"/>
        <w:spacing w:line="360" w:lineRule="auto"/>
        <w:ind w:left="479" w:leftChars="228"/>
        <w:rPr>
          <w:rFonts w:hAnsi="宋体" w:cs="宋体"/>
          <w:sz w:val="24"/>
          <w:szCs w:val="24"/>
        </w:rPr>
      </w:pPr>
      <w:r>
        <w:rPr>
          <w:rFonts w:hint="eastAsia" w:hAnsi="宋体" w:cs="宋体"/>
          <w:sz w:val="24"/>
          <w:szCs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Ansi="宋体" w:cs="宋体"/>
          <w:kern w:val="0"/>
          <w:sz w:val="24"/>
          <w:szCs w:val="24"/>
          <w:lang w:val="zh-CN"/>
        </w:rPr>
      </w:pPr>
      <w:r>
        <w:rPr>
          <w:rFonts w:hint="eastAsia" w:hAnsi="宋体" w:cs="宋体"/>
          <w:kern w:val="0"/>
          <w:sz w:val="24"/>
          <w:szCs w:val="24"/>
          <w:lang w:val="zh-CN"/>
        </w:rPr>
        <w:t>4.3.3</w:t>
      </w:r>
      <w:r>
        <w:rPr>
          <w:rFonts w:hint="eastAsia" w:hAnsi="宋体" w:cs="宋体"/>
          <w:sz w:val="24"/>
          <w:szCs w:val="24"/>
        </w:rPr>
        <w:t>供应商提出质疑应当提交质疑函和必要的证明材料。质疑函应当包括下列内容：</w:t>
      </w:r>
    </w:p>
    <w:p>
      <w:pPr>
        <w:pStyle w:val="33"/>
        <w:spacing w:line="360" w:lineRule="auto"/>
        <w:ind w:firstLine="480" w:firstLineChars="200"/>
        <w:rPr>
          <w:rFonts w:hAnsi="宋体" w:cs="宋体"/>
          <w:kern w:val="0"/>
          <w:sz w:val="24"/>
          <w:szCs w:val="24"/>
          <w:lang w:val="zh-CN"/>
        </w:rPr>
      </w:pPr>
      <w:r>
        <w:rPr>
          <w:rFonts w:hint="eastAsia" w:hAnsi="宋体" w:cs="宋体"/>
          <w:kern w:val="0"/>
          <w:sz w:val="24"/>
          <w:szCs w:val="24"/>
          <w:lang w:val="zh-CN"/>
        </w:rPr>
        <w:t>4.3.3.1供应商的姓名或者名称、地址、邮编、联系人及联系电话；</w:t>
      </w:r>
    </w:p>
    <w:p>
      <w:pPr>
        <w:pStyle w:val="33"/>
        <w:spacing w:line="360" w:lineRule="auto"/>
        <w:ind w:firstLine="480" w:firstLineChars="200"/>
        <w:rPr>
          <w:rFonts w:hAnsi="宋体" w:cs="宋体"/>
          <w:kern w:val="0"/>
          <w:sz w:val="24"/>
          <w:szCs w:val="24"/>
          <w:lang w:val="zh-CN"/>
        </w:rPr>
      </w:pPr>
      <w:r>
        <w:rPr>
          <w:rFonts w:hint="eastAsia" w:hAnsi="宋体" w:cs="宋体"/>
          <w:kern w:val="0"/>
          <w:sz w:val="24"/>
          <w:szCs w:val="24"/>
          <w:lang w:val="zh-CN"/>
        </w:rPr>
        <w:t>4.3.3.2质疑项目的名称、编号；</w:t>
      </w:r>
    </w:p>
    <w:p>
      <w:pPr>
        <w:pStyle w:val="33"/>
        <w:spacing w:line="360" w:lineRule="auto"/>
        <w:ind w:firstLine="480" w:firstLineChars="200"/>
        <w:rPr>
          <w:rFonts w:hAnsi="宋体" w:cs="宋体"/>
          <w:kern w:val="0"/>
          <w:sz w:val="24"/>
          <w:szCs w:val="24"/>
          <w:lang w:val="zh-CN"/>
        </w:rPr>
      </w:pPr>
      <w:r>
        <w:rPr>
          <w:rFonts w:hint="eastAsia" w:hAnsi="宋体" w:cs="宋体"/>
          <w:kern w:val="0"/>
          <w:sz w:val="24"/>
          <w:szCs w:val="24"/>
          <w:lang w:val="zh-CN"/>
        </w:rPr>
        <w:t>4.3.3.3具体、明确的质疑事项和与质疑事项相关的请求；</w:t>
      </w:r>
    </w:p>
    <w:p>
      <w:pPr>
        <w:pStyle w:val="33"/>
        <w:spacing w:line="360" w:lineRule="auto"/>
        <w:ind w:firstLine="480" w:firstLineChars="200"/>
        <w:rPr>
          <w:rFonts w:hAnsi="宋体" w:cs="宋体"/>
          <w:kern w:val="0"/>
          <w:sz w:val="24"/>
          <w:szCs w:val="24"/>
          <w:lang w:val="zh-CN"/>
        </w:rPr>
      </w:pPr>
      <w:r>
        <w:rPr>
          <w:rFonts w:hint="eastAsia" w:hAnsi="宋体" w:cs="宋体"/>
          <w:kern w:val="0"/>
          <w:sz w:val="24"/>
          <w:szCs w:val="24"/>
          <w:lang w:val="zh-CN"/>
        </w:rPr>
        <w:t>4.3.3.4事实依据；</w:t>
      </w:r>
    </w:p>
    <w:p>
      <w:pPr>
        <w:pStyle w:val="33"/>
        <w:spacing w:line="360" w:lineRule="auto"/>
        <w:ind w:firstLine="480" w:firstLineChars="200"/>
        <w:rPr>
          <w:rFonts w:hAnsi="宋体" w:cs="宋体"/>
          <w:kern w:val="0"/>
          <w:sz w:val="24"/>
          <w:szCs w:val="24"/>
          <w:lang w:val="zh-CN"/>
        </w:rPr>
      </w:pPr>
      <w:r>
        <w:rPr>
          <w:rFonts w:hint="eastAsia" w:hAnsi="宋体" w:cs="宋体"/>
          <w:kern w:val="0"/>
          <w:sz w:val="24"/>
          <w:szCs w:val="24"/>
          <w:lang w:val="zh-CN"/>
        </w:rPr>
        <w:t>4.3.3.5必要的法律依据；</w:t>
      </w:r>
    </w:p>
    <w:p>
      <w:pPr>
        <w:pStyle w:val="33"/>
        <w:spacing w:line="360" w:lineRule="auto"/>
        <w:ind w:firstLine="480" w:firstLineChars="200"/>
        <w:rPr>
          <w:rFonts w:hAnsi="宋体" w:cs="宋体"/>
          <w:kern w:val="0"/>
          <w:sz w:val="24"/>
          <w:szCs w:val="24"/>
          <w:lang w:val="zh-CN"/>
        </w:rPr>
      </w:pPr>
      <w:r>
        <w:rPr>
          <w:rFonts w:hint="eastAsia" w:hAnsi="宋体" w:cs="宋体"/>
          <w:kern w:val="0"/>
          <w:sz w:val="24"/>
          <w:szCs w:val="24"/>
          <w:lang w:val="zh-CN"/>
        </w:rPr>
        <w:t>4.3.3.6提出质疑的日期。</w:t>
      </w:r>
    </w:p>
    <w:p>
      <w:pPr>
        <w:pStyle w:val="888"/>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360" w:lineRule="auto"/>
        <w:ind w:firstLine="400"/>
        <w:contextualSpacing/>
      </w:pPr>
      <w:r>
        <w:rPr>
          <w:rFonts w:hint="eastAsia"/>
        </w:rPr>
        <w:t>质疑函范本及制作说明详见附件2。</w:t>
      </w:r>
    </w:p>
    <w:p>
      <w:pPr>
        <w:pStyle w:val="888"/>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pPr>
        <w:pStyle w:val="888"/>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pPr>
        <w:pStyle w:val="888"/>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pPr>
        <w:pStyle w:val="888"/>
        <w:shd w:val="clear" w:color="auto" w:fill="FFFFFF"/>
        <w:snapToGrid w:val="0"/>
        <w:spacing w:after="240" w:afterAutospacing="0" w:line="360" w:lineRule="auto"/>
        <w:ind w:firstLine="480" w:firstLineChars="2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pPr>
        <w:pStyle w:val="888"/>
        <w:shd w:val="clear" w:color="auto" w:fill="FFFFFF"/>
        <w:snapToGrid w:val="0"/>
        <w:spacing w:after="240" w:afterAutospacing="0" w:line="360" w:lineRule="auto"/>
        <w:ind w:firstLine="480" w:firstLineChars="2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pPr>
        <w:pStyle w:val="888"/>
        <w:shd w:val="clear" w:color="auto" w:fill="FFFFFF"/>
        <w:snapToGrid w:val="0"/>
        <w:spacing w:after="240" w:afterAutospacing="0" w:line="360" w:lineRule="auto"/>
        <w:ind w:firstLine="480" w:firstLineChars="200"/>
        <w:contextualSpacing/>
      </w:pPr>
      <w:r>
        <w:rPr>
          <w:rFonts w:hint="eastAsia"/>
        </w:rPr>
        <w:t>4.4.3供应商投诉应当有明确的请求和必要的证明材料。</w:t>
      </w:r>
    </w:p>
    <w:p>
      <w:pPr>
        <w:pStyle w:val="888"/>
        <w:shd w:val="clear" w:color="auto" w:fill="FFFFFF"/>
        <w:snapToGrid w:val="0"/>
        <w:spacing w:after="240" w:afterAutospacing="0" w:line="360" w:lineRule="auto"/>
        <w:ind w:firstLine="480" w:firstLineChars="200"/>
        <w:contextualSpacing/>
      </w:pPr>
      <w:r>
        <w:rPr>
          <w:rFonts w:hint="eastAsia"/>
        </w:rPr>
        <w:t>4.4.4 以联合体形式参加政府采购活动的，其投诉应当由组成联合体的所有供应商共同提出。</w:t>
      </w:r>
    </w:p>
    <w:p>
      <w:pPr>
        <w:pStyle w:val="888"/>
        <w:shd w:val="clear" w:color="auto" w:fill="FFFFFF"/>
        <w:snapToGrid w:val="0"/>
        <w:spacing w:after="240" w:afterAutospacing="0" w:line="360" w:lineRule="auto"/>
        <w:ind w:firstLine="480" w:firstLineChars="200"/>
        <w:contextualSpacing/>
      </w:pPr>
      <w:r>
        <w:rPr>
          <w:rFonts w:hint="eastAsia"/>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8"/>
        <w:shd w:val="clear" w:color="auto" w:fill="FFFFFF"/>
        <w:snapToGrid w:val="0"/>
        <w:spacing w:before="0" w:beforeAutospacing="0" w:after="0" w:afterAutospacing="0" w:line="360" w:lineRule="auto"/>
        <w:ind w:firstLine="480" w:firstLineChars="200"/>
        <w:contextualSpacing/>
      </w:pPr>
      <w:r>
        <w:rPr>
          <w:rFonts w:hint="eastAsia"/>
        </w:rPr>
        <w:t>4.5补偿救济</w:t>
      </w:r>
    </w:p>
    <w:p>
      <w:pPr>
        <w:pStyle w:val="888"/>
        <w:shd w:val="clear" w:color="auto" w:fill="FFFFFF"/>
        <w:snapToGrid w:val="0"/>
        <w:spacing w:after="240" w:afterAutospacing="0" w:line="360" w:lineRule="auto"/>
        <w:ind w:firstLine="480" w:firstLineChars="200"/>
        <w:contextualSpacing/>
      </w:pPr>
      <w:r>
        <w:rPr>
          <w:rFonts w:hint="eastAsia"/>
        </w:rPr>
        <w:t>采购人（行政机关）因政策变化、规划调整而不履行政府采购合同的，供应商可依据《杭州市涉企补偿救济实施办法（试行）》向采购人（行政机关）提起补偿申请。</w:t>
      </w:r>
    </w:p>
    <w:p>
      <w:pPr>
        <w:pStyle w:val="888"/>
        <w:shd w:val="clear" w:color="auto" w:fill="FFFFFF"/>
        <w:snapToGrid w:val="0"/>
        <w:spacing w:after="240" w:afterAutospacing="0" w:line="360" w:lineRule="auto"/>
        <w:ind w:firstLine="480" w:firstLineChars="200"/>
        <w:contextualSpacing/>
      </w:pPr>
      <w:r>
        <w:rPr>
          <w:rFonts w:hint="eastAsia"/>
        </w:rPr>
        <w:t>投诉书范本及制作说明详见附件3。</w:t>
      </w:r>
    </w:p>
    <w:p>
      <w:pPr>
        <w:adjustRightInd/>
        <w:spacing w:line="360" w:lineRule="auto"/>
        <w:jc w:val="center"/>
        <w:outlineLvl w:val="1"/>
        <w:rPr>
          <w:rFonts w:ascii="宋体" w:hAnsi="宋体" w:cs="宋体"/>
          <w:b/>
          <w:sz w:val="24"/>
        </w:rPr>
      </w:pPr>
      <w:r>
        <w:rPr>
          <w:rFonts w:hint="eastAsia" w:ascii="宋体" w:hAnsi="宋体" w:cs="宋体"/>
          <w:b/>
          <w:sz w:val="24"/>
        </w:rPr>
        <w:t>二、招标文件的构成、澄清、修改</w:t>
      </w:r>
    </w:p>
    <w:p>
      <w:pPr>
        <w:pStyle w:val="33"/>
        <w:spacing w:line="360" w:lineRule="auto"/>
        <w:rPr>
          <w:rFonts w:hAnsi="宋体" w:cs="宋体"/>
          <w:b/>
          <w:sz w:val="24"/>
          <w:szCs w:val="24"/>
        </w:rPr>
      </w:pPr>
      <w:r>
        <w:rPr>
          <w:rFonts w:hint="eastAsia" w:hAnsi="宋体" w:cs="宋体"/>
          <w:b/>
          <w:sz w:val="24"/>
          <w:szCs w:val="24"/>
        </w:rPr>
        <w:t>5．招标文件的构成</w:t>
      </w:r>
    </w:p>
    <w:p>
      <w:pPr>
        <w:pStyle w:val="33"/>
        <w:spacing w:line="360" w:lineRule="auto"/>
        <w:ind w:firstLine="480" w:firstLineChars="200"/>
        <w:rPr>
          <w:rFonts w:hAnsi="宋体" w:cs="宋体"/>
          <w:sz w:val="24"/>
          <w:szCs w:val="24"/>
        </w:rPr>
      </w:pPr>
      <w:r>
        <w:rPr>
          <w:rFonts w:hint="eastAsia" w:hAnsi="宋体" w:cs="宋体"/>
          <w:sz w:val="24"/>
          <w:szCs w:val="24"/>
        </w:rPr>
        <w:t>5.1招标文件包括下列文件及附件：</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5.1.6应提交的有关格式范例。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3"/>
        <w:spacing w:line="360" w:lineRule="auto"/>
        <w:rPr>
          <w:rFonts w:hAnsi="宋体" w:cs="宋体"/>
          <w:b/>
          <w:sz w:val="24"/>
          <w:szCs w:val="24"/>
        </w:rPr>
      </w:pPr>
      <w:r>
        <w:rPr>
          <w:rFonts w:hint="eastAsia" w:hAnsi="宋体" w:cs="宋体"/>
          <w:b/>
          <w:sz w:val="24"/>
          <w:szCs w:val="24"/>
        </w:rPr>
        <w:t>6.招标文件的澄清、修改</w:t>
      </w:r>
    </w:p>
    <w:p>
      <w:pPr>
        <w:pStyle w:val="130"/>
        <w:snapToGrid w:val="0"/>
        <w:spacing w:before="0"/>
        <w:ind w:firstLine="480"/>
        <w:rPr>
          <w:rFonts w:ascii="宋体" w:hAnsi="宋体" w:cs="宋体"/>
          <w:szCs w:val="24"/>
        </w:rPr>
      </w:pPr>
      <w:r>
        <w:rPr>
          <w:rFonts w:hint="eastAsia" w:ascii="宋体" w:hAnsi="宋体" w:cs="宋体"/>
          <w:szCs w:val="24"/>
        </w:rPr>
        <w:t>6.1已获取招标文件的潜在投标人，若有问题需要澄清，应于投标截止时间前，以书面形式向采购代理机构提出。</w:t>
      </w:r>
    </w:p>
    <w:p>
      <w:pPr>
        <w:pStyle w:val="130"/>
        <w:snapToGrid w:val="0"/>
        <w:spacing w:before="0"/>
        <w:ind w:firstLine="480"/>
        <w:rPr>
          <w:rFonts w:ascii="宋体" w:hAnsi="宋体" w:cs="宋体"/>
          <w:szCs w:val="24"/>
        </w:rPr>
      </w:pPr>
      <w:r>
        <w:rPr>
          <w:rFonts w:hint="eastAsia" w:ascii="宋体" w:hAnsi="宋体" w:cs="宋体"/>
          <w:szCs w:val="24"/>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jc w:val="center"/>
        <w:outlineLvl w:val="1"/>
        <w:rPr>
          <w:rFonts w:hAnsi="宋体" w:cs="宋体"/>
          <w:b/>
          <w:szCs w:val="24"/>
        </w:rPr>
      </w:pPr>
      <w:r>
        <w:rPr>
          <w:rFonts w:hint="eastAsia" w:hAnsi="宋体" w:cs="宋体"/>
          <w:b/>
          <w:szCs w:val="24"/>
        </w:rPr>
        <w:t>三、投标</w:t>
      </w:r>
    </w:p>
    <w:p>
      <w:pPr>
        <w:pStyle w:val="33"/>
        <w:spacing w:line="360" w:lineRule="auto"/>
        <w:rPr>
          <w:rFonts w:hAnsi="宋体" w:cs="宋体"/>
          <w:b/>
          <w:sz w:val="24"/>
          <w:szCs w:val="24"/>
        </w:rPr>
      </w:pPr>
      <w:r>
        <w:rPr>
          <w:rFonts w:hint="eastAsia" w:hAnsi="宋体" w:cs="宋体"/>
          <w:b/>
          <w:sz w:val="24"/>
          <w:szCs w:val="24"/>
        </w:rPr>
        <w:t>7.招标文件的获取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3"/>
        <w:spacing w:line="360" w:lineRule="auto"/>
        <w:rPr>
          <w:rFonts w:hAnsi="宋体" w:cs="宋体"/>
          <w:b/>
          <w:sz w:val="24"/>
          <w:szCs w:val="24"/>
        </w:rPr>
      </w:pPr>
      <w:r>
        <w:rPr>
          <w:rFonts w:hint="eastAsia" w:hAnsi="宋体" w:cs="宋体"/>
          <w:b/>
          <w:sz w:val="24"/>
          <w:szCs w:val="24"/>
        </w:rPr>
        <w:t>8.开标前答疑会或现场考察</w:t>
      </w:r>
    </w:p>
    <w:p>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sz w:val="24"/>
          <w:szCs w:val="24"/>
        </w:rPr>
      </w:pPr>
      <w:r>
        <w:rPr>
          <w:rFonts w:hint="eastAsia" w:hAnsi="宋体" w:cs="宋体"/>
          <w:b/>
          <w:kern w:val="28"/>
          <w:sz w:val="24"/>
          <w:szCs w:val="24"/>
        </w:rPr>
        <w:t>9.投标保证金</w:t>
      </w:r>
    </w:p>
    <w:p>
      <w:pPr>
        <w:pStyle w:val="17"/>
        <w:spacing w:line="360" w:lineRule="auto"/>
        <w:ind w:firstLine="470" w:firstLineChars="196"/>
        <w:rPr>
          <w:rFonts w:hAnsi="宋体" w:cs="宋体"/>
          <w:color w:val="auto"/>
          <w:sz w:val="24"/>
          <w:szCs w:val="24"/>
        </w:rPr>
      </w:pPr>
      <w:r>
        <w:rPr>
          <w:rFonts w:hint="eastAsia" w:hAnsi="宋体" w:cs="宋体"/>
          <w:color w:val="auto"/>
          <w:sz w:val="24"/>
          <w:szCs w:val="24"/>
        </w:rPr>
        <w:t>本项目不需缴纳投标保证金。</w:t>
      </w:r>
    </w:p>
    <w:p>
      <w:pPr>
        <w:pStyle w:val="33"/>
        <w:spacing w:line="360" w:lineRule="auto"/>
        <w:rPr>
          <w:rFonts w:hAnsi="宋体" w:cs="宋体"/>
          <w:b/>
          <w:sz w:val="24"/>
          <w:szCs w:val="24"/>
        </w:rPr>
      </w:pPr>
      <w:r>
        <w:rPr>
          <w:rFonts w:hint="eastAsia" w:hAnsi="宋体" w:cs="宋体"/>
          <w:b/>
          <w:sz w:val="24"/>
          <w:szCs w:val="24"/>
        </w:rPr>
        <w:t>10.投标文件的语言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3"/>
        <w:spacing w:line="360" w:lineRule="auto"/>
        <w:rPr>
          <w:rFonts w:hAnsi="宋体" w:cs="宋体"/>
          <w:b/>
          <w:sz w:val="24"/>
          <w:szCs w:val="24"/>
        </w:rPr>
      </w:pPr>
      <w:r>
        <w:rPr>
          <w:rFonts w:hint="eastAsia" w:hAnsi="宋体" w:cs="宋体"/>
          <w:b/>
          <w:sz w:val="24"/>
          <w:szCs w:val="24"/>
        </w:rPr>
        <w:t>11.投标文件的组成</w:t>
      </w:r>
    </w:p>
    <w:p>
      <w:pPr>
        <w:snapToGrid w:val="0"/>
        <w:spacing w:line="360" w:lineRule="auto"/>
        <w:ind w:firstLine="482" w:firstLineChars="200"/>
        <w:rPr>
          <w:rFonts w:ascii="宋体" w:hAnsi="宋体" w:cs="宋体"/>
          <w:sz w:val="24"/>
        </w:rPr>
      </w:pPr>
      <w:r>
        <w:rPr>
          <w:rFonts w:hint="eastAsia" w:ascii="宋体" w:hAnsi="宋体" w:cs="宋体"/>
          <w:b/>
          <w:bCs/>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11.1.2</w:t>
      </w:r>
      <w:bookmarkStart w:id="19" w:name="_Hlk101259339"/>
      <w:r>
        <w:rPr>
          <w:rFonts w:hint="eastAsia" w:ascii="宋体" w:hAnsi="宋体" w:cs="宋体"/>
          <w:snapToGrid w:val="0"/>
          <w:kern w:val="28"/>
          <w:sz w:val="24"/>
        </w:rPr>
        <w:t>联合协议</w:t>
      </w:r>
      <w:bookmarkEnd w:id="19"/>
      <w:r>
        <w:rPr>
          <w:rFonts w:hint="eastAsia" w:ascii="宋体" w:hAnsi="宋体" w:cs="宋体"/>
          <w:snapToGrid w:val="0"/>
          <w:kern w:val="28"/>
          <w:sz w:val="24"/>
        </w:rPr>
        <w:t>（如果有)；</w:t>
      </w:r>
    </w:p>
    <w:p>
      <w:pPr>
        <w:snapToGrid w:val="0"/>
        <w:spacing w:line="360" w:lineRule="auto"/>
        <w:ind w:firstLine="960" w:firstLineChars="400"/>
        <w:rPr>
          <w:rFonts w:ascii="宋体" w:hAnsi="宋体" w:cs="宋体"/>
          <w:sz w:val="24"/>
        </w:rPr>
      </w:pPr>
      <w:r>
        <w:rPr>
          <w:rFonts w:hint="eastAsia" w:ascii="宋体" w:hAnsi="宋体" w:cs="宋体"/>
          <w:sz w:val="24"/>
        </w:rPr>
        <w:t>11.1.3落实政府采购政策需满足的资格要求</w:t>
      </w:r>
      <w:r>
        <w:rPr>
          <w:rFonts w:hint="eastAsia" w:ascii="宋体" w:hAnsi="宋体" w:cs="宋体"/>
          <w:snapToGrid w:val="0"/>
          <w:kern w:val="28"/>
          <w:sz w:val="24"/>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11.1.4本项目的特定资格要求</w:t>
      </w:r>
      <w:r>
        <w:rPr>
          <w:rFonts w:hint="eastAsia" w:ascii="宋体" w:hAnsi="宋体" w:cs="宋体"/>
          <w:snapToGrid w:val="0"/>
          <w:kern w:val="28"/>
          <w:sz w:val="24"/>
        </w:rPr>
        <w:t>（如果有)</w:t>
      </w:r>
      <w:r>
        <w:rPr>
          <w:rFonts w:hint="eastAsia" w:ascii="宋体" w:hAnsi="宋体" w:cs="宋体"/>
          <w:sz w:val="24"/>
        </w:rPr>
        <w:t>。</w:t>
      </w:r>
    </w:p>
    <w:p>
      <w:pPr>
        <w:snapToGrid w:val="0"/>
        <w:spacing w:line="360" w:lineRule="auto"/>
        <w:ind w:firstLine="482" w:firstLineChars="200"/>
        <w:rPr>
          <w:rFonts w:ascii="宋体" w:hAnsi="宋体" w:cs="宋体"/>
          <w:b/>
          <w:bCs/>
          <w:sz w:val="24"/>
          <w:lang w:val="zh-CN"/>
        </w:rPr>
      </w:pPr>
      <w:r>
        <w:rPr>
          <w:rFonts w:hint="eastAsia" w:ascii="宋体" w:hAnsi="宋体" w:cs="宋体"/>
          <w:b/>
          <w:bCs/>
          <w:sz w:val="24"/>
          <w:lang w:val="zh-CN"/>
        </w:rPr>
        <w:t>11.</w:t>
      </w:r>
      <w:r>
        <w:rPr>
          <w:rFonts w:hint="eastAsia" w:ascii="宋体" w:hAnsi="宋体" w:cs="宋体"/>
          <w:b/>
          <w:bCs/>
          <w:sz w:val="24"/>
        </w:rPr>
        <w:t>2商务技术</w:t>
      </w:r>
      <w:r>
        <w:rPr>
          <w:rFonts w:hint="eastAsia" w:ascii="宋体" w:hAnsi="宋体" w:cs="宋体"/>
          <w:b/>
          <w:bCs/>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11.2.3分包意向协议</w:t>
      </w:r>
      <w:r>
        <w:rPr>
          <w:rFonts w:hint="eastAsia" w:ascii="宋体" w:hAnsi="宋体" w:cs="宋体"/>
          <w:snapToGrid w:val="0"/>
          <w:kern w:val="28"/>
          <w:sz w:val="24"/>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11.2.4符合性审查资料；</w:t>
      </w:r>
    </w:p>
    <w:p>
      <w:pPr>
        <w:snapToGrid w:val="0"/>
        <w:spacing w:line="360" w:lineRule="auto"/>
        <w:ind w:firstLine="960" w:firstLineChars="400"/>
        <w:rPr>
          <w:rFonts w:ascii="宋体" w:hAnsi="宋体" w:cs="宋体"/>
          <w:sz w:val="24"/>
        </w:rPr>
      </w:pPr>
      <w:r>
        <w:rPr>
          <w:rFonts w:hint="eastAsia" w:ascii="宋体" w:hAnsi="宋体" w:cs="宋体"/>
          <w:sz w:val="24"/>
        </w:rPr>
        <w:t>11.2.5评标标准相应的商务技术资料；</w:t>
      </w:r>
    </w:p>
    <w:p>
      <w:pPr>
        <w:snapToGrid w:val="0"/>
        <w:spacing w:line="360" w:lineRule="auto"/>
        <w:ind w:firstLine="960" w:firstLineChars="400"/>
        <w:rPr>
          <w:rFonts w:ascii="宋体" w:hAnsi="宋体" w:cs="宋体"/>
          <w:sz w:val="24"/>
        </w:rPr>
      </w:pPr>
      <w:r>
        <w:rPr>
          <w:rFonts w:hint="eastAsia" w:ascii="宋体" w:hAnsi="宋体" w:cs="宋体"/>
          <w:sz w:val="24"/>
        </w:rPr>
        <w:t>11.2.6投标标的清单；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11.2.7商务技术偏离表；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2" w:firstLineChars="200"/>
        <w:rPr>
          <w:rFonts w:ascii="宋体" w:hAnsi="宋体" w:cs="宋体"/>
          <w:sz w:val="24"/>
          <w:u w:val="single"/>
          <w:lang w:val="zh-CN"/>
        </w:rPr>
      </w:pPr>
      <w:r>
        <w:rPr>
          <w:rFonts w:hint="eastAsia" w:ascii="宋体" w:hAnsi="宋体" w:cs="宋体"/>
          <w:b/>
          <w:bCs/>
          <w:kern w:val="0"/>
          <w:sz w:val="24"/>
          <w:lang w:val="zh-CN"/>
        </w:rPr>
        <w:t>11.</w:t>
      </w:r>
      <w:r>
        <w:rPr>
          <w:rFonts w:hint="eastAsia" w:ascii="宋体" w:hAnsi="宋体" w:cs="宋体"/>
          <w:b/>
          <w:bCs/>
          <w:kern w:val="0"/>
          <w:sz w:val="24"/>
        </w:rPr>
        <w:t>3</w:t>
      </w:r>
      <w:r>
        <w:rPr>
          <w:rFonts w:hint="eastAsia" w:ascii="宋体" w:hAnsi="宋体" w:cs="宋体"/>
          <w:b/>
          <w:sz w:val="24"/>
        </w:rPr>
        <w:t>报价文件：</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pStyle w:val="79"/>
        <w:adjustRightInd w:val="0"/>
        <w:spacing w:line="360" w:lineRule="auto"/>
        <w:ind w:firstLine="960" w:firstLineChars="400"/>
        <w:rPr>
          <w:rFonts w:ascii="宋体" w:hAnsi="宋体" w:eastAsia="宋体" w:cs="宋体"/>
          <w:sz w:val="24"/>
          <w:szCs w:val="24"/>
        </w:rPr>
      </w:pPr>
      <w:r>
        <w:rPr>
          <w:rFonts w:hint="eastAsia" w:ascii="宋体" w:hAnsi="宋体" w:eastAsia="宋体" w:cs="宋体"/>
          <w:sz w:val="24"/>
          <w:szCs w:val="24"/>
          <w:lang w:val="en-US"/>
        </w:rPr>
        <w:t>11.3.2报价情况说明（如供应商报价低于项目预算50%的，应当提交本文档，详细阐述不影响产品质量或者诚信履约的具体原因）；</w:t>
      </w:r>
    </w:p>
    <w:p>
      <w:pPr>
        <w:snapToGrid w:val="0"/>
        <w:spacing w:line="360" w:lineRule="auto"/>
        <w:ind w:firstLine="960" w:firstLineChars="400"/>
        <w:rPr>
          <w:rFonts w:ascii="宋体" w:hAnsi="宋体" w:cs="宋体"/>
          <w:sz w:val="24"/>
        </w:rPr>
      </w:pPr>
      <w:r>
        <w:rPr>
          <w:rFonts w:hint="eastAsia" w:ascii="宋体" w:hAnsi="宋体" w:cs="宋体"/>
          <w:sz w:val="24"/>
        </w:rPr>
        <w:t>11.3.3中小企业声明函。</w:t>
      </w:r>
    </w:p>
    <w:p>
      <w:pPr>
        <w:spacing w:line="360" w:lineRule="auto"/>
        <w:ind w:firstLine="482" w:firstLineChars="2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482" w:firstLineChars="200"/>
        <w:rPr>
          <w:rFonts w:ascii="宋体" w:hAnsi="宋体" w:cs="宋体"/>
          <w:b/>
          <w:sz w:val="24"/>
        </w:rPr>
      </w:pPr>
      <w:r>
        <w:rPr>
          <w:rFonts w:hint="eastAsia" w:ascii="宋体" w:hAnsi="宋体" w:cs="宋体"/>
          <w:b/>
          <w:sz w:val="24"/>
        </w:rPr>
        <w:t>投标人提供虚假材料投标的，投标无效。</w:t>
      </w:r>
    </w:p>
    <w:p>
      <w:pPr>
        <w:spacing w:line="360" w:lineRule="auto"/>
        <w:ind w:firstLine="480" w:firstLineChars="200"/>
        <w:rPr>
          <w:rFonts w:ascii="宋体" w:hAnsi="宋体" w:cs="宋体"/>
          <w:sz w:val="24"/>
        </w:rPr>
      </w:pPr>
      <w:r>
        <w:rPr>
          <w:rFonts w:hint="eastAsia" w:ascii="宋体" w:hAnsi="宋体" w:cs="宋体"/>
          <w:sz w:val="24"/>
          <w:shd w:val="clear" w:color="auto" w:fill="FFFFFF"/>
        </w:rPr>
        <w:t>投标人应对投标文件中材料的真实性、合法性负责。</w:t>
      </w:r>
    </w:p>
    <w:p>
      <w:pPr>
        <w:spacing w:line="360" w:lineRule="auto"/>
        <w:rPr>
          <w:rFonts w:ascii="宋体" w:hAnsi="宋体" w:cs="宋体"/>
          <w:b/>
          <w:bCs/>
          <w:kern w:val="0"/>
          <w:sz w:val="24"/>
          <w:lang w:val="zh-CN"/>
        </w:rPr>
      </w:pPr>
      <w:r>
        <w:rPr>
          <w:rFonts w:hint="eastAsia" w:ascii="宋体" w:hAnsi="宋体" w:cs="宋体"/>
          <w:b/>
          <w:bCs/>
          <w:kern w:val="0"/>
          <w:sz w:val="24"/>
          <w:lang w:val="zh-CN"/>
        </w:rPr>
        <w:t>12.投标文件的编制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30"/>
        <w:snapToGrid w:val="0"/>
        <w:spacing w:before="0"/>
        <w:ind w:firstLine="480"/>
        <w:rPr>
          <w:rFonts w:ascii="宋体" w:hAnsi="宋体" w:cs="宋体"/>
          <w:b/>
          <w:szCs w:val="24"/>
        </w:rPr>
      </w:pPr>
      <w:r>
        <w:rPr>
          <w:rFonts w:hint="eastAsia" w:ascii="宋体" w:hAnsi="宋体" w:cs="宋体"/>
          <w:szCs w:val="24"/>
        </w:rPr>
        <w:t>13.1投标文件按照招标文件第六部分格式要求进行签署、盖章。</w:t>
      </w:r>
      <w:r>
        <w:rPr>
          <w:rFonts w:hint="eastAsia" w:ascii="宋体" w:hAnsi="宋体" w:cs="宋体"/>
          <w:b/>
          <w:szCs w:val="24"/>
        </w:rPr>
        <w:t>▲投标人的投标文件未按照招标文件要求签署、盖章的，其投标无效</w:t>
      </w:r>
      <w:r>
        <w:rPr>
          <w:rFonts w:hint="eastAsia" w:ascii="宋体" w:hAnsi="宋体" w:cs="宋体"/>
          <w:szCs w:val="24"/>
        </w:rPr>
        <w:t>。</w:t>
      </w:r>
    </w:p>
    <w:p>
      <w:pPr>
        <w:pStyle w:val="130"/>
        <w:spacing w:before="0"/>
        <w:ind w:firstLine="480"/>
        <w:rPr>
          <w:rFonts w:ascii="宋体" w:hAnsi="宋体" w:cs="宋体"/>
          <w:szCs w:val="24"/>
        </w:rPr>
      </w:pPr>
      <w:r>
        <w:rPr>
          <w:rFonts w:hint="eastAsia" w:ascii="宋体" w:hAnsi="宋体" w:cs="宋体"/>
          <w:szCs w:val="24"/>
        </w:rPr>
        <w:t>13.2为确保网上操作合法、有效和安全，投标人应当在投标截止时间前完成在“政府采购云平台”的身份认证，确保在电子投标过程中能够对相关数据电文进行加密和使用电子签名。</w:t>
      </w:r>
    </w:p>
    <w:p>
      <w:pPr>
        <w:pStyle w:val="130"/>
        <w:spacing w:before="0"/>
        <w:ind w:firstLine="480"/>
        <w:rPr>
          <w:rFonts w:ascii="宋体" w:hAnsi="宋体" w:cs="宋体"/>
          <w:szCs w:val="24"/>
        </w:rPr>
      </w:pPr>
      <w:r>
        <w:rPr>
          <w:rFonts w:hint="eastAsia" w:ascii="宋体" w:hAnsi="宋体" w:cs="宋体"/>
          <w:szCs w:val="24"/>
        </w:rPr>
        <w:t>13.3招标文件对投标文件签署、盖章的要求适用于电子签名。</w:t>
      </w:r>
    </w:p>
    <w:p>
      <w:pPr>
        <w:pStyle w:val="130"/>
        <w:spacing w:before="0"/>
        <w:ind w:firstLine="0" w:firstLineChars="0"/>
        <w:rPr>
          <w:rFonts w:ascii="宋体" w:hAnsi="宋体" w:cs="宋体"/>
          <w:b/>
          <w:bCs/>
          <w:szCs w:val="24"/>
        </w:rPr>
      </w:pPr>
      <w:r>
        <w:rPr>
          <w:rFonts w:hint="eastAsia" w:ascii="宋体" w:hAnsi="宋体" w:cs="宋体"/>
          <w:b/>
          <w:bCs/>
          <w:szCs w:val="24"/>
        </w:rPr>
        <w:t>14.投标文件的提交、补充、修改、撤回</w:t>
      </w:r>
    </w:p>
    <w:p>
      <w:pPr>
        <w:pStyle w:val="130"/>
        <w:spacing w:before="0"/>
        <w:ind w:firstLine="480"/>
        <w:rPr>
          <w:rFonts w:ascii="宋体" w:hAnsi="宋体" w:cs="宋体"/>
          <w:szCs w:val="24"/>
        </w:rPr>
      </w:pPr>
      <w:r>
        <w:rPr>
          <w:rFonts w:hint="eastAsia" w:ascii="宋体" w:hAnsi="宋体" w:cs="宋体"/>
          <w:szCs w:val="24"/>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pPr>
        <w:pStyle w:val="33"/>
        <w:spacing w:line="360" w:lineRule="auto"/>
        <w:rPr>
          <w:rFonts w:hAnsi="宋体" w:cs="宋体"/>
          <w:b/>
          <w:sz w:val="24"/>
          <w:szCs w:val="24"/>
        </w:rPr>
      </w:pPr>
      <w:r>
        <w:rPr>
          <w:rFonts w:hint="eastAsia" w:hAnsi="宋体" w:cs="宋体"/>
          <w:b/>
          <w:sz w:val="24"/>
          <w:szCs w:val="24"/>
        </w:rPr>
        <w:t>15.备份投标文件</w:t>
      </w:r>
    </w:p>
    <w:p>
      <w:pPr>
        <w:pStyle w:val="33"/>
        <w:spacing w:line="360" w:lineRule="auto"/>
        <w:ind w:firstLine="360" w:firstLineChars="150"/>
        <w:rPr>
          <w:rFonts w:hAnsi="宋体" w:cs="宋体"/>
          <w:b/>
          <w:sz w:val="24"/>
          <w:szCs w:val="24"/>
        </w:rPr>
      </w:pPr>
      <w:r>
        <w:rPr>
          <w:rFonts w:hint="eastAsia" w:hAnsi="宋体" w:cs="宋体"/>
          <w:sz w:val="24"/>
          <w:szCs w:val="24"/>
        </w:rPr>
        <w:t>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szCs w:val="24"/>
        </w:rPr>
        <w:t>不符合上述制作、存储、密封规定的备份投标文件将被视为无效或者被拒绝接收。</w:t>
      </w:r>
    </w:p>
    <w:p>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30"/>
        <w:spacing w:before="0"/>
        <w:ind w:firstLine="0" w:firstLineChars="0"/>
        <w:rPr>
          <w:rFonts w:ascii="宋体" w:hAnsi="宋体" w:cs="宋体"/>
          <w:b/>
          <w:szCs w:val="24"/>
        </w:rPr>
      </w:pPr>
      <w:r>
        <w:rPr>
          <w:rFonts w:hint="eastAsia" w:ascii="宋体" w:hAnsi="宋体" w:cs="宋体"/>
          <w:b/>
          <w:szCs w:val="24"/>
        </w:rPr>
        <w:t>16.投标文件的无效处理</w:t>
      </w:r>
    </w:p>
    <w:p>
      <w:pPr>
        <w:pStyle w:val="25"/>
        <w:spacing w:line="360" w:lineRule="auto"/>
        <w:ind w:firstLine="360" w:firstLineChars="150"/>
        <w:rPr>
          <w:rFonts w:cs="宋体"/>
        </w:rPr>
      </w:pPr>
      <w:r>
        <w:rPr>
          <w:rFonts w:hint="eastAsia" w:cs="宋体"/>
        </w:rPr>
        <w:t>有招标文件第四部分4.2规定的情形之一的，投标无效：</w:t>
      </w:r>
    </w:p>
    <w:p>
      <w:pPr>
        <w:pStyle w:val="130"/>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rPr>
      </w:pPr>
      <w:r>
        <w:rPr>
          <w:rFonts w:hint="eastAsia" w:ascii="宋体" w:hAnsi="宋体" w:cs="宋体"/>
          <w:sz w:val="24"/>
        </w:rPr>
        <w:t>17.1投标有效期为从提交投标文件的截止之日起90天。▲</w:t>
      </w:r>
      <w:r>
        <w:rPr>
          <w:rFonts w:hint="eastAsia" w:ascii="宋体" w:hAnsi="宋体" w:cs="宋体"/>
          <w:b/>
          <w:sz w:val="24"/>
        </w:rPr>
        <w:t>投标人的投标文件中承诺的投标有效期少于招标文件中载明的投标有效期的，投标无效。</w:t>
      </w:r>
    </w:p>
    <w:p>
      <w:pPr>
        <w:pStyle w:val="130"/>
        <w:spacing w:before="0"/>
        <w:ind w:firstLine="480"/>
        <w:rPr>
          <w:rFonts w:ascii="宋体" w:hAnsi="宋体" w:cs="宋体"/>
          <w:szCs w:val="24"/>
        </w:rPr>
      </w:pPr>
      <w:r>
        <w:rPr>
          <w:rFonts w:hint="eastAsia" w:ascii="宋体" w:hAnsi="宋体" w:cs="宋体"/>
          <w:szCs w:val="24"/>
        </w:rPr>
        <w:t>17.2投标文件合格投递后，自投标截止日期起，在投标有效期内有效。</w:t>
      </w:r>
    </w:p>
    <w:p>
      <w:pPr>
        <w:pStyle w:val="130"/>
        <w:spacing w:before="0"/>
        <w:ind w:firstLine="480"/>
        <w:rPr>
          <w:rFonts w:ascii="宋体" w:hAnsi="宋体" w:cs="宋体"/>
          <w:szCs w:val="24"/>
        </w:rPr>
      </w:pPr>
      <w:r>
        <w:rPr>
          <w:rFonts w:hint="eastAsia" w:ascii="宋体" w:hAnsi="宋体" w:cs="宋体"/>
          <w:szCs w:val="24"/>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ind w:firstLine="0" w:firstLineChars="0"/>
        <w:jc w:val="center"/>
        <w:outlineLvl w:val="1"/>
        <w:rPr>
          <w:rFonts w:ascii="宋体" w:hAnsi="宋体" w:cs="宋体"/>
          <w:b/>
          <w:szCs w:val="24"/>
        </w:rPr>
      </w:pPr>
      <w:r>
        <w:rPr>
          <w:rFonts w:hint="eastAsia" w:ascii="宋体" w:hAnsi="宋体" w:cs="宋体"/>
          <w:b/>
          <w:szCs w:val="24"/>
        </w:rPr>
        <w:t>四、开标、资格审查与信用信息查询</w:t>
      </w:r>
    </w:p>
    <w:p>
      <w:pPr>
        <w:pStyle w:val="556"/>
        <w:spacing w:before="0" w:line="360" w:lineRule="auto"/>
        <w:ind w:left="0" w:firstLine="241" w:firstLineChars="100"/>
        <w:contextualSpacing/>
        <w:rPr>
          <w:rFonts w:ascii="宋体" w:hAnsi="宋体" w:cs="宋体"/>
          <w:sz w:val="24"/>
          <w:szCs w:val="24"/>
        </w:rPr>
      </w:pPr>
      <w:r>
        <w:rPr>
          <w:rFonts w:hint="eastAsia" w:ascii="宋体" w:hAnsi="宋体" w:cs="宋体"/>
          <w:b/>
          <w:sz w:val="24"/>
          <w:szCs w:val="24"/>
        </w:rPr>
        <w:t>18.开标</w:t>
      </w:r>
    </w:p>
    <w:p>
      <w:pPr>
        <w:pStyle w:val="556"/>
        <w:spacing w:before="0" w:line="360" w:lineRule="auto"/>
        <w:ind w:left="0" w:firstLine="480" w:firstLineChars="200"/>
        <w:contextualSpacing/>
        <w:rPr>
          <w:rFonts w:ascii="宋体" w:hAnsi="宋体" w:cs="宋体"/>
          <w:sz w:val="24"/>
          <w:szCs w:val="24"/>
        </w:rPr>
      </w:pPr>
      <w:r>
        <w:rPr>
          <w:rFonts w:hint="eastAsia" w:ascii="宋体" w:hAnsi="宋体" w:cs="宋体"/>
          <w:sz w:val="24"/>
          <w:szCs w:val="24"/>
        </w:rPr>
        <w:t>18.1采购代理机构按照招标文件规定的时间通过电子交易平台组织开标，所有投标人均应当准时在线参加。投标人不足3家的，不得开标。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ascii="宋体" w:hAnsi="宋体" w:cs="宋体"/>
          <w:sz w:val="24"/>
          <w:szCs w:val="24"/>
        </w:rPr>
      </w:pPr>
      <w:r>
        <w:rPr>
          <w:rFonts w:hint="eastAsia" w:ascii="宋体" w:hAnsi="宋体" w:cs="宋体"/>
          <w:sz w:val="24"/>
          <w:szCs w:val="24"/>
        </w:rPr>
        <w:t>　18.2开标时，电子交易平台按开标时间自动提取所有投标文件。采购代理机构依托电子交易平台发起开始解密指令，投标人按照平台提示和招标文件的规定在半小时内完成在线解密。</w:t>
      </w:r>
    </w:p>
    <w:p>
      <w:pPr>
        <w:pStyle w:val="556"/>
        <w:spacing w:before="0" w:line="360" w:lineRule="auto"/>
        <w:ind w:left="0" w:firstLine="240" w:firstLineChars="100"/>
        <w:contextualSpacing/>
        <w:rPr>
          <w:rFonts w:ascii="宋体" w:hAnsi="宋体" w:cs="宋体"/>
          <w:b/>
          <w:sz w:val="24"/>
          <w:szCs w:val="24"/>
        </w:rPr>
      </w:pPr>
      <w:r>
        <w:rPr>
          <w:rFonts w:hint="eastAsia" w:ascii="宋体" w:hAnsi="宋体" w:cs="宋体"/>
          <w:sz w:val="24"/>
          <w:szCs w:val="24"/>
        </w:rPr>
        <w:t>　18.3</w:t>
      </w:r>
      <w:r>
        <w:rPr>
          <w:rFonts w:hint="eastAsia" w:ascii="宋体" w:hAnsi="宋体" w:cs="宋体"/>
          <w:b/>
          <w:sz w:val="24"/>
          <w:szCs w:val="24"/>
        </w:rPr>
        <w:t>投标文件未按时解密，投标人提供了备份投标文件的，以备份投标文件作为依据，否则视为投标文件撤回。投标文件已按时解密的，备份投标文件自动失效。</w:t>
      </w:r>
    </w:p>
    <w:p>
      <w:pPr>
        <w:widowControl/>
        <w:spacing w:line="360" w:lineRule="auto"/>
        <w:jc w:val="left"/>
        <w:rPr>
          <w:rFonts w:ascii="宋体" w:hAnsi="宋体" w:cs="宋体"/>
          <w:b/>
          <w:sz w:val="24"/>
        </w:rPr>
      </w:pPr>
      <w:r>
        <w:rPr>
          <w:rFonts w:hint="eastAsia" w:ascii="宋体" w:hAnsi="宋体" w:cs="宋体"/>
          <w:b/>
          <w:sz w:val="24"/>
        </w:rPr>
        <w:t>　19、资格审查</w:t>
      </w:r>
    </w:p>
    <w:p>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pPr>
        <w:pStyle w:val="130"/>
        <w:spacing w:before="0"/>
        <w:ind w:firstLine="480"/>
        <w:rPr>
          <w:rFonts w:ascii="宋体" w:hAnsi="宋体" w:cs="宋体"/>
          <w:szCs w:val="24"/>
        </w:rPr>
      </w:pPr>
      <w:r>
        <w:rPr>
          <w:rFonts w:hint="eastAsia" w:ascii="宋体" w:hAnsi="宋体" w:cs="宋体"/>
          <w:kern w:val="0"/>
          <w:szCs w:val="24"/>
        </w:rPr>
        <w:t>19.2投标人未按照招标文件要求提供与</w:t>
      </w:r>
      <w:r>
        <w:rPr>
          <w:rFonts w:hint="eastAsia" w:ascii="宋体" w:hAnsi="宋体" w:cs="宋体"/>
          <w:szCs w:val="24"/>
        </w:rPr>
        <w:t>资格条件相应的</w:t>
      </w:r>
      <w:r>
        <w:rPr>
          <w:rFonts w:hint="eastAsia" w:ascii="宋体" w:hAnsi="宋体" w:cs="宋体"/>
          <w:kern w:val="0"/>
          <w:szCs w:val="24"/>
        </w:rPr>
        <w:t>有效资格证明材料的，视为</w:t>
      </w:r>
      <w:r>
        <w:rPr>
          <w:rFonts w:hint="eastAsia" w:ascii="宋体" w:hAnsi="宋体" w:cs="宋体"/>
          <w:szCs w:val="24"/>
        </w:rPr>
        <w:t>投标人不具备招标文件中规定的资格要求，其投标无效。</w:t>
      </w:r>
    </w:p>
    <w:p>
      <w:pPr>
        <w:pStyle w:val="130"/>
        <w:spacing w:before="0"/>
        <w:ind w:firstLine="480"/>
        <w:rPr>
          <w:rFonts w:ascii="宋体" w:hAnsi="宋体" w:cs="宋体"/>
          <w:szCs w:val="24"/>
        </w:rPr>
      </w:pPr>
      <w:r>
        <w:rPr>
          <w:rFonts w:hint="eastAsia" w:ascii="宋体" w:hAnsi="宋体" w:cs="宋体"/>
          <w:kern w:val="0"/>
          <w:szCs w:val="24"/>
        </w:rPr>
        <w:t>19.</w:t>
      </w:r>
      <w:r>
        <w:rPr>
          <w:rFonts w:hint="eastAsia" w:ascii="宋体" w:hAnsi="宋体" w:cs="宋体"/>
          <w:szCs w:val="24"/>
        </w:rPr>
        <w:t>3对未通过资格审查的投标人，采购人或采购代理机构告知其未通过的原因。</w:t>
      </w:r>
    </w:p>
    <w:p>
      <w:pPr>
        <w:pStyle w:val="130"/>
        <w:snapToGrid w:val="0"/>
        <w:spacing w:before="0"/>
        <w:ind w:firstLine="480"/>
        <w:rPr>
          <w:rFonts w:ascii="宋体" w:hAnsi="宋体" w:cs="宋体"/>
          <w:szCs w:val="24"/>
        </w:rPr>
      </w:pPr>
      <w:r>
        <w:rPr>
          <w:rFonts w:hint="eastAsia" w:ascii="宋体" w:hAnsi="宋体" w:cs="宋体"/>
          <w:kern w:val="0"/>
          <w:szCs w:val="24"/>
        </w:rPr>
        <w:t>19.</w:t>
      </w:r>
      <w:r>
        <w:rPr>
          <w:rFonts w:hint="eastAsia" w:ascii="宋体" w:hAnsi="宋体" w:cs="宋体"/>
          <w:szCs w:val="24"/>
        </w:rPr>
        <w:t>4合格投标人不足3家的，不再评标。</w:t>
      </w:r>
    </w:p>
    <w:p>
      <w:pPr>
        <w:pStyle w:val="130"/>
        <w:snapToGrid w:val="0"/>
        <w:spacing w:before="0"/>
        <w:ind w:firstLine="480"/>
        <w:rPr>
          <w:rFonts w:ascii="宋体" w:hAnsi="宋体" w:cs="宋体"/>
          <w:szCs w:val="24"/>
        </w:rPr>
      </w:pPr>
      <w:r>
        <w:rPr>
          <w:rFonts w:hint="eastAsia" w:ascii="宋体" w:hAnsi="宋体" w:cs="宋体"/>
          <w:kern w:val="0"/>
          <w:szCs w:val="24"/>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130"/>
        <w:spacing w:before="0"/>
        <w:ind w:firstLine="0" w:firstLineChars="0"/>
        <w:rPr>
          <w:rFonts w:ascii="宋体" w:hAnsi="宋体" w:cs="宋体"/>
          <w:b/>
          <w:szCs w:val="24"/>
        </w:rPr>
      </w:pPr>
      <w:r>
        <w:rPr>
          <w:rFonts w:hint="eastAsia" w:ascii="宋体" w:hAnsi="宋体" w:cs="宋体"/>
          <w:b/>
          <w:szCs w:val="24"/>
        </w:rPr>
        <w:t>20、信用信息查询</w:t>
      </w:r>
    </w:p>
    <w:p>
      <w:pPr>
        <w:pStyle w:val="130"/>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20.1信用信息查询渠道及截止时间：采购代理机构将在资格审查时通过“信用中国”网站(www.creditchina.gov.cn)、中国政府采购网(www.ccgp.gov.cn)渠道查询投标人接受资格审查时的信用记录。</w:t>
      </w:r>
    </w:p>
    <w:p>
      <w:pPr>
        <w:pStyle w:val="130"/>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30"/>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30"/>
        <w:spacing w:before="0"/>
        <w:ind w:firstLine="480"/>
        <w:rPr>
          <w:rFonts w:ascii="宋体" w:hAnsi="宋体" w:cs="宋体"/>
          <w:szCs w:val="24"/>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szCs w:val="24"/>
        </w:rPr>
        <w:t>。</w:t>
      </w:r>
    </w:p>
    <w:p>
      <w:pPr>
        <w:snapToGrid w:val="0"/>
        <w:spacing w:line="360" w:lineRule="auto"/>
        <w:jc w:val="center"/>
        <w:outlineLvl w:val="1"/>
        <w:rPr>
          <w:rFonts w:ascii="宋体" w:hAnsi="宋体" w:cs="宋体"/>
          <w:b/>
          <w:sz w:val="24"/>
        </w:rPr>
      </w:pPr>
      <w:r>
        <w:rPr>
          <w:rFonts w:hint="eastAsia" w:ascii="宋体" w:hAnsi="宋体" w:cs="宋体"/>
          <w:b/>
          <w:sz w:val="24"/>
        </w:rPr>
        <w:t>五、评标</w:t>
      </w:r>
    </w:p>
    <w:p>
      <w:pPr>
        <w:spacing w:line="360" w:lineRule="auto"/>
        <w:rPr>
          <w:rFonts w:ascii="宋体" w:hAnsi="宋体" w:cs="宋体"/>
          <w:b/>
          <w:sz w:val="24"/>
        </w:rPr>
      </w:pPr>
      <w:bookmarkStart w:id="20" w:name="_Toc91899903"/>
      <w:r>
        <w:rPr>
          <w:rFonts w:hint="eastAsia" w:ascii="宋体" w:hAnsi="宋体" w:cs="宋体"/>
          <w:b/>
          <w:sz w:val="24"/>
        </w:rPr>
        <w:t>21.</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napToGrid w:val="0"/>
        <w:spacing w:line="360" w:lineRule="auto"/>
        <w:jc w:val="center"/>
        <w:outlineLvl w:val="1"/>
        <w:rPr>
          <w:rFonts w:ascii="宋体" w:hAnsi="宋体" w:cs="宋体"/>
          <w:b/>
          <w:sz w:val="24"/>
        </w:rPr>
      </w:pPr>
      <w:r>
        <w:rPr>
          <w:rFonts w:hint="eastAsia" w:ascii="宋体" w:hAnsi="宋体" w:cs="宋体"/>
          <w:b/>
          <w:sz w:val="24"/>
        </w:rPr>
        <w:t>六、定 标</w:t>
      </w:r>
    </w:p>
    <w:p>
      <w:pPr>
        <w:pStyle w:val="25"/>
        <w:spacing w:line="360" w:lineRule="auto"/>
        <w:ind w:left="479" w:hanging="479" w:hangingChars="199"/>
        <w:rPr>
          <w:rFonts w:cs="宋体"/>
          <w:b/>
        </w:rPr>
      </w:pPr>
      <w:r>
        <w:rPr>
          <w:rFonts w:hint="eastAsia" w:cs="宋体"/>
          <w:b/>
        </w:rPr>
        <w:t>22.确定中标供应商</w:t>
      </w:r>
    </w:p>
    <w:p>
      <w:pPr>
        <w:pStyle w:val="130"/>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pPr>
        <w:pStyle w:val="130"/>
        <w:snapToGrid w:val="0"/>
        <w:spacing w:before="0"/>
        <w:ind w:firstLine="0" w:firstLineChars="0"/>
        <w:rPr>
          <w:rFonts w:ascii="宋体" w:hAnsi="宋体" w:cs="宋体"/>
          <w:b/>
          <w:szCs w:val="24"/>
        </w:rPr>
      </w:pPr>
      <w:r>
        <w:rPr>
          <w:rFonts w:hint="eastAsia" w:ascii="宋体" w:hAnsi="宋体" w:cs="宋体"/>
          <w:b/>
          <w:szCs w:val="24"/>
        </w:rPr>
        <w:t>23.中标通知与中标结果公告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pStyle w:val="130"/>
        <w:snapToGrid w:val="0"/>
        <w:spacing w:before="0"/>
        <w:ind w:firstLine="480"/>
        <w:rPr>
          <w:rStyle w:val="78"/>
          <w:rFonts w:ascii="宋体" w:hAnsi="宋体" w:cs="宋体"/>
          <w:sz w:val="24"/>
          <w:szCs w:val="24"/>
        </w:rPr>
      </w:pPr>
      <w:r>
        <w:rPr>
          <w:rFonts w:hint="eastAsia" w:ascii="宋体" w:hAnsi="宋体" w:cs="宋体"/>
          <w:bCs/>
          <w:szCs w:val="24"/>
        </w:rPr>
        <w:t>23.4由于中标、成交供应商原因导致重新采购的，应当承担支付代理费和专家评审费等费用在内的赔偿责任。</w:t>
      </w:r>
    </w:p>
    <w:p>
      <w:pPr>
        <w:snapToGrid w:val="0"/>
        <w:spacing w:line="360" w:lineRule="auto"/>
        <w:ind w:left="120" w:leftChars="57" w:firstLine="361" w:firstLineChars="150"/>
        <w:jc w:val="center"/>
        <w:outlineLvl w:val="1"/>
        <w:rPr>
          <w:rFonts w:ascii="宋体" w:hAnsi="宋体" w:cs="宋体"/>
          <w:b/>
          <w:sz w:val="24"/>
        </w:rPr>
      </w:pPr>
      <w:r>
        <w:rPr>
          <w:rFonts w:hint="eastAsia" w:ascii="宋体" w:hAnsi="宋体" w:cs="宋体"/>
          <w:b/>
          <w:sz w:val="24"/>
        </w:rPr>
        <w:t>七、合同授予</w:t>
      </w:r>
    </w:p>
    <w:p>
      <w:pPr>
        <w:pStyle w:val="25"/>
        <w:spacing w:line="360" w:lineRule="auto"/>
        <w:ind w:left="479" w:hanging="479" w:hangingChars="199"/>
        <w:rPr>
          <w:rFonts w:cs="宋体"/>
          <w:b/>
        </w:rPr>
      </w:pPr>
      <w:r>
        <w:rPr>
          <w:rFonts w:hint="eastAsia" w:cs="宋体"/>
          <w:b/>
        </w:rPr>
        <w:t>24.</w:t>
      </w:r>
      <w:r>
        <w:rPr>
          <w:rFonts w:hint="eastAsia" w:cs="宋体"/>
          <w:bCs/>
        </w:rPr>
        <w:t>合同主要条款详见第五部分拟签订的合同文本。</w:t>
      </w:r>
    </w:p>
    <w:p>
      <w:pPr>
        <w:pStyle w:val="25"/>
        <w:spacing w:line="360" w:lineRule="auto"/>
        <w:ind w:left="479" w:hanging="479" w:hangingChars="199"/>
        <w:rPr>
          <w:rFonts w:cs="宋体"/>
          <w:b/>
        </w:rPr>
      </w:pPr>
      <w:r>
        <w:rPr>
          <w:rFonts w:hint="eastAsia" w:cs="宋体"/>
          <w:b/>
        </w:rPr>
        <w:t>25.合同的签订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ind w:firstLine="480"/>
        <w:rPr>
          <w:rFonts w:ascii="宋体" w:hAnsi="宋体" w:cs="宋体"/>
          <w:kern w:val="0"/>
          <w:szCs w:val="24"/>
        </w:rPr>
      </w:pPr>
      <w:r>
        <w:rPr>
          <w:rFonts w:hint="eastAsia" w:ascii="宋体" w:hAnsi="宋体" w:cs="宋体"/>
          <w:kern w:val="0"/>
          <w:szCs w:val="24"/>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ind w:firstLine="480"/>
        <w:rPr>
          <w:rFonts w:ascii="宋体" w:hAnsi="宋体" w:cs="宋体"/>
          <w:szCs w:val="24"/>
        </w:rPr>
      </w:pPr>
      <w:r>
        <w:rPr>
          <w:rFonts w:hint="eastAsia" w:ascii="宋体" w:hAnsi="宋体" w:cs="宋体"/>
          <w:szCs w:val="24"/>
        </w:rPr>
        <w:t>25.3如签订合同并生效后，供应商无故拒绝或延期，除按照合同条款处理外，列入不良行为记录一次，并给予通报。</w:t>
      </w:r>
    </w:p>
    <w:p>
      <w:pPr>
        <w:pStyle w:val="130"/>
        <w:snapToGrid w:val="0"/>
        <w:spacing w:before="0"/>
        <w:ind w:firstLine="480"/>
        <w:rPr>
          <w:rFonts w:ascii="宋体" w:hAnsi="宋体" w:cs="宋体"/>
          <w:szCs w:val="24"/>
        </w:rPr>
      </w:pPr>
      <w:r>
        <w:rPr>
          <w:rFonts w:hint="eastAsia" w:ascii="宋体" w:hAnsi="宋体" w:cs="宋体"/>
          <w:szCs w:val="24"/>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ind w:firstLine="480"/>
        <w:rPr>
          <w:rFonts w:ascii="宋体" w:hAnsi="宋体" w:cs="宋体"/>
          <w:szCs w:val="24"/>
        </w:rPr>
      </w:pPr>
      <w:r>
        <w:rPr>
          <w:rFonts w:hint="eastAsia" w:ascii="宋体" w:hAnsi="宋体" w:cs="宋体"/>
          <w:szCs w:val="24"/>
        </w:rPr>
        <w:t>25.5采购合同由采购人与中标供应商根据招标文件、投标文件等内容通过政府采购电子交易平台在线签订，自动备案。</w:t>
      </w:r>
    </w:p>
    <w:p>
      <w:pPr>
        <w:pStyle w:val="25"/>
        <w:spacing w:line="360" w:lineRule="auto"/>
        <w:ind w:left="479" w:hanging="479" w:hangingChars="199"/>
        <w:rPr>
          <w:rFonts w:cs="宋体"/>
          <w:b/>
        </w:rPr>
      </w:pPr>
      <w:r>
        <w:rPr>
          <w:rFonts w:hint="eastAsia" w:cs="宋体"/>
          <w:b/>
        </w:rPr>
        <w:t>26.履约保证金</w:t>
      </w:r>
    </w:p>
    <w:p>
      <w:pPr>
        <w:tabs>
          <w:tab w:val="left" w:pos="0"/>
        </w:tabs>
        <w:spacing w:line="360" w:lineRule="auto"/>
        <w:ind w:firstLine="482"/>
        <w:rPr>
          <w:rFonts w:ascii="宋体" w:hAnsi="宋体" w:cs="宋体"/>
          <w:kern w:val="0"/>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w:t>
      </w:r>
      <w:r>
        <w:rPr>
          <w:rFonts w:hint="eastAsia" w:ascii="宋体" w:hAnsi="宋体" w:cs="宋体"/>
          <w:kern w:val="0"/>
          <w:sz w:val="24"/>
        </w:rPr>
        <w:t>律规定承担相应的赔偿责任。</w:t>
      </w:r>
    </w:p>
    <w:p>
      <w:pPr>
        <w:tabs>
          <w:tab w:val="left" w:pos="0"/>
        </w:tabs>
        <w:spacing w:line="360" w:lineRule="auto"/>
        <w:ind w:firstLine="482"/>
        <w:rPr>
          <w:rFonts w:ascii="宋体" w:hAnsi="宋体" w:cs="宋体"/>
          <w:kern w:val="0"/>
          <w:sz w:val="24"/>
        </w:rPr>
      </w:pPr>
      <w:r>
        <w:rPr>
          <w:rFonts w:hint="eastAsia" w:ascii="宋体" w:hAnsi="宋体" w:cs="宋体"/>
          <w:kern w:val="0"/>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432"/>
        </w:tabs>
        <w:spacing w:line="360" w:lineRule="auto"/>
        <w:rPr>
          <w:rFonts w:ascii="宋体" w:hAnsi="宋体" w:cs="宋体"/>
          <w:sz w:val="24"/>
        </w:rPr>
      </w:pPr>
      <w:r>
        <w:rPr>
          <w:rFonts w:hint="eastAsia" w:ascii="宋体" w:hAnsi="宋体" w:cs="宋体"/>
          <w:b/>
          <w:bCs/>
          <w:sz w:val="24"/>
        </w:rPr>
        <w:t>27.预付款</w:t>
      </w:r>
    </w:p>
    <w:p>
      <w:pPr>
        <w:adjustRightInd/>
        <w:spacing w:line="360" w:lineRule="auto"/>
        <w:ind w:firstLine="480" w:firstLineChars="200"/>
        <w:rPr>
          <w:rFonts w:ascii="宋体" w:hAnsi="宋体" w:cs="宋体"/>
          <w:sz w:val="24"/>
        </w:rPr>
      </w:pPr>
      <w:r>
        <w:rPr>
          <w:rFonts w:hint="eastAsia" w:ascii="宋体" w:hAnsi="宋体" w:cs="宋体"/>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adjustRightInd/>
        <w:spacing w:line="360" w:lineRule="auto"/>
        <w:jc w:val="center"/>
        <w:outlineLvl w:val="1"/>
        <w:rPr>
          <w:rFonts w:ascii="宋体" w:hAnsi="宋体" w:cs="宋体"/>
          <w:b/>
          <w:sz w:val="24"/>
        </w:rPr>
      </w:pPr>
      <w:r>
        <w:rPr>
          <w:rFonts w:hint="eastAsia" w:ascii="宋体" w:hAnsi="宋体" w:cs="宋体"/>
          <w:b/>
          <w:sz w:val="24"/>
        </w:rPr>
        <w:t>八、电子交易活动的中止</w:t>
      </w:r>
    </w:p>
    <w:p>
      <w:pPr>
        <w:pStyle w:val="130"/>
        <w:snapToGrid w:val="0"/>
        <w:spacing w:before="0"/>
        <w:ind w:firstLine="0" w:firstLineChars="0"/>
        <w:rPr>
          <w:rFonts w:ascii="宋体" w:hAnsi="宋体" w:cs="宋体"/>
          <w:szCs w:val="24"/>
        </w:rPr>
      </w:pPr>
      <w:r>
        <w:rPr>
          <w:rFonts w:hint="eastAsia" w:ascii="宋体" w:hAnsi="宋体" w:cs="宋体"/>
          <w:b/>
          <w:bCs/>
          <w:szCs w:val="24"/>
        </w:rPr>
        <w:t>28</w:t>
      </w:r>
      <w:r>
        <w:rPr>
          <w:rFonts w:hint="eastAsia" w:ascii="宋体" w:hAnsi="宋体" w:cs="宋体"/>
          <w:b/>
          <w:szCs w:val="24"/>
        </w:rPr>
        <w:t>.电子交易活动的中止。</w:t>
      </w:r>
      <w:r>
        <w:rPr>
          <w:rFonts w:hint="eastAsia" w:ascii="宋体" w:hAnsi="宋体" w:cs="宋体"/>
          <w:szCs w:val="24"/>
        </w:rPr>
        <w:t>采购过程中出现以下情形，导致电子交易平台无法正常运行，或者无法保证电子交易的公平、公正和安全时，采购代理机构可中止电子交易活动：</w:t>
      </w:r>
    </w:p>
    <w:p>
      <w:pPr>
        <w:pStyle w:val="130"/>
        <w:snapToGrid w:val="0"/>
        <w:spacing w:before="0"/>
        <w:ind w:firstLine="480"/>
        <w:rPr>
          <w:rFonts w:ascii="宋体" w:hAnsi="宋体" w:cs="宋体"/>
          <w:szCs w:val="24"/>
        </w:rPr>
      </w:pPr>
      <w:r>
        <w:rPr>
          <w:rFonts w:hint="eastAsia" w:ascii="宋体" w:hAnsi="宋体" w:cs="宋体"/>
          <w:szCs w:val="24"/>
        </w:rPr>
        <w:t xml:space="preserve">28.1电子交易平台发生故障而无法登录访问的； </w:t>
      </w:r>
    </w:p>
    <w:p>
      <w:pPr>
        <w:pStyle w:val="130"/>
        <w:snapToGrid w:val="0"/>
        <w:spacing w:before="0"/>
        <w:ind w:firstLine="480"/>
        <w:rPr>
          <w:rFonts w:ascii="宋体" w:hAnsi="宋体" w:cs="宋体"/>
          <w:szCs w:val="24"/>
        </w:rPr>
      </w:pPr>
      <w:r>
        <w:rPr>
          <w:rFonts w:hint="eastAsia" w:ascii="宋体" w:hAnsi="宋体" w:cs="宋体"/>
          <w:szCs w:val="24"/>
        </w:rPr>
        <w:t>28.2电子交易平台应用或数据库出现错误，不能进行正常操作的；</w:t>
      </w:r>
    </w:p>
    <w:p>
      <w:pPr>
        <w:pStyle w:val="130"/>
        <w:snapToGrid w:val="0"/>
        <w:spacing w:before="0"/>
        <w:ind w:firstLine="480"/>
        <w:rPr>
          <w:rFonts w:ascii="宋体" w:hAnsi="宋体" w:cs="宋体"/>
          <w:szCs w:val="24"/>
        </w:rPr>
      </w:pPr>
      <w:r>
        <w:rPr>
          <w:rFonts w:hint="eastAsia" w:ascii="宋体" w:hAnsi="宋体" w:cs="宋体"/>
          <w:szCs w:val="24"/>
        </w:rPr>
        <w:t>28.3电子交易平台发现严重安全漏洞，有潜在泄密危险的；</w:t>
      </w:r>
    </w:p>
    <w:p>
      <w:pPr>
        <w:pStyle w:val="130"/>
        <w:snapToGrid w:val="0"/>
        <w:spacing w:before="0"/>
        <w:ind w:firstLine="480"/>
        <w:rPr>
          <w:rFonts w:ascii="宋体" w:hAnsi="宋体" w:cs="宋体"/>
          <w:szCs w:val="24"/>
        </w:rPr>
      </w:pPr>
      <w:r>
        <w:rPr>
          <w:rFonts w:hint="eastAsia" w:ascii="宋体" w:hAnsi="宋体" w:cs="宋体"/>
          <w:szCs w:val="24"/>
        </w:rPr>
        <w:t xml:space="preserve">28.4病毒发作导致不能进行正常操作的； </w:t>
      </w:r>
    </w:p>
    <w:p>
      <w:pPr>
        <w:pStyle w:val="130"/>
        <w:snapToGrid w:val="0"/>
        <w:spacing w:before="0"/>
        <w:ind w:firstLine="480"/>
        <w:rPr>
          <w:rFonts w:ascii="宋体" w:hAnsi="宋体" w:cs="宋体"/>
          <w:szCs w:val="24"/>
        </w:rPr>
      </w:pPr>
      <w:r>
        <w:rPr>
          <w:rFonts w:hint="eastAsia" w:ascii="宋体" w:hAnsi="宋体" w:cs="宋体"/>
          <w:szCs w:val="24"/>
        </w:rPr>
        <w:t>28.5其他无法保证电子交易的公平、公正和安全的情况。</w:t>
      </w:r>
    </w:p>
    <w:p>
      <w:pPr>
        <w:pStyle w:val="130"/>
        <w:snapToGrid w:val="0"/>
        <w:spacing w:before="0"/>
        <w:ind w:firstLine="0" w:firstLineChars="0"/>
        <w:rPr>
          <w:rFonts w:ascii="宋体" w:hAnsi="宋体" w:cs="宋体"/>
          <w:szCs w:val="24"/>
        </w:rPr>
      </w:pPr>
      <w:r>
        <w:rPr>
          <w:rFonts w:hint="eastAsia" w:ascii="宋体" w:hAnsi="宋体" w:cs="宋体"/>
          <w:b/>
          <w:bCs/>
          <w:szCs w:val="24"/>
        </w:rPr>
        <w:t>29.</w:t>
      </w:r>
      <w:r>
        <w:rPr>
          <w:rFonts w:hint="eastAsia" w:ascii="宋体" w:hAnsi="宋体" w:cs="宋体"/>
          <w:szCs w:val="24"/>
        </w:rPr>
        <w:t>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jc w:val="center"/>
        <w:outlineLvl w:val="1"/>
        <w:rPr>
          <w:rFonts w:ascii="宋体" w:hAnsi="宋体" w:cs="宋体"/>
          <w:b/>
          <w:sz w:val="24"/>
        </w:rPr>
      </w:pPr>
      <w:r>
        <w:rPr>
          <w:rFonts w:hint="eastAsia" w:ascii="宋体" w:hAnsi="宋体" w:cs="宋体"/>
          <w:b/>
          <w:sz w:val="24"/>
        </w:rPr>
        <w:t>九、验收</w:t>
      </w:r>
    </w:p>
    <w:p>
      <w:pPr>
        <w:pStyle w:val="25"/>
        <w:spacing w:line="360" w:lineRule="auto"/>
        <w:ind w:firstLine="0" w:firstLineChars="0"/>
        <w:rPr>
          <w:rFonts w:cs="宋体"/>
          <w:b/>
        </w:rPr>
      </w:pPr>
      <w:r>
        <w:rPr>
          <w:rFonts w:hint="eastAsia" w:cs="宋体"/>
          <w:b/>
        </w:rPr>
        <w:t>30.验收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20"/>
      <w:bookmarkStart w:id="21" w:name="_Hlt75236290"/>
      <w:bookmarkEnd w:id="21"/>
      <w:bookmarkStart w:id="22" w:name="_Hlt75236101"/>
      <w:bookmarkEnd w:id="22"/>
      <w:bookmarkStart w:id="23" w:name="_Hlt68057669"/>
      <w:bookmarkEnd w:id="23"/>
      <w:bookmarkStart w:id="24" w:name="_Hlt68072998"/>
      <w:bookmarkEnd w:id="24"/>
      <w:bookmarkStart w:id="25" w:name="_Hlt74729768"/>
      <w:bookmarkEnd w:id="25"/>
      <w:bookmarkStart w:id="26" w:name="_Hlt68072990"/>
      <w:bookmarkEnd w:id="26"/>
      <w:bookmarkStart w:id="27" w:name="_Hlt74707468"/>
      <w:bookmarkEnd w:id="27"/>
      <w:bookmarkStart w:id="28" w:name="_Hlt74714665"/>
      <w:bookmarkEnd w:id="28"/>
      <w:bookmarkStart w:id="29" w:name="_Hlt68073093"/>
      <w:bookmarkEnd w:id="29"/>
      <w:bookmarkStart w:id="30" w:name="_Hlt68403820"/>
      <w:bookmarkEnd w:id="30"/>
      <w:bookmarkStart w:id="31" w:name="_Hlt74730295"/>
      <w:bookmarkEnd w:id="31"/>
      <w:bookmarkStart w:id="32" w:name="_Hlt75236011"/>
      <w:bookmarkEnd w:id="32"/>
    </w:p>
    <w:p>
      <w:pPr>
        <w:tabs>
          <w:tab w:val="left" w:pos="0"/>
        </w:tabs>
        <w:spacing w:line="360" w:lineRule="auto"/>
        <w:ind w:firstLine="480"/>
        <w:rPr>
          <w:rFonts w:ascii="宋体" w:hAnsi="宋体" w:cs="宋体"/>
          <w:kern w:val="0"/>
          <w:sz w:val="24"/>
        </w:rPr>
      </w:pPr>
      <w:r>
        <w:rPr>
          <w:rFonts w:hint="eastAsia" w:ascii="宋体" w:hAnsi="宋体" w:cs="宋体"/>
          <w:kern w:val="0"/>
          <w:sz w:val="24"/>
        </w:rPr>
        <w:t>30.5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pPr>
        <w:pStyle w:val="79"/>
        <w:ind w:firstLine="480"/>
        <w:rPr>
          <w:rFonts w:ascii="宋体" w:hAnsi="宋体" w:eastAsia="宋体" w:cs="宋体"/>
          <w:sz w:val="24"/>
          <w:szCs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5"/>
    <w:bookmarkEnd w:id="16"/>
    <w:p>
      <w:pPr>
        <w:spacing w:line="360" w:lineRule="auto"/>
        <w:jc w:val="center"/>
        <w:outlineLvl w:val="0"/>
        <w:rPr>
          <w:rFonts w:ascii="宋体" w:hAnsi="宋体" w:cs="宋体"/>
          <w:b/>
          <w:sz w:val="44"/>
          <w:szCs w:val="44"/>
        </w:rPr>
      </w:pPr>
      <w:bookmarkStart w:id="33" w:name="_Toc8264"/>
      <w:bookmarkStart w:id="34" w:name="第四部分"/>
      <w:r>
        <w:rPr>
          <w:rFonts w:hint="eastAsia" w:ascii="宋体" w:hAnsi="宋体" w:cs="宋体"/>
          <w:b/>
          <w:sz w:val="44"/>
          <w:szCs w:val="44"/>
        </w:rPr>
        <w:t>第三部分 采购需求</w:t>
      </w:r>
      <w:bookmarkEnd w:id="33"/>
    </w:p>
    <w:p>
      <w:pPr>
        <w:widowControl/>
        <w:tabs>
          <w:tab w:val="left" w:pos="432"/>
        </w:tabs>
        <w:adjustRightInd/>
        <w:spacing w:line="360" w:lineRule="auto"/>
        <w:jc w:val="left"/>
        <w:rPr>
          <w:rFonts w:ascii="宋体" w:hAnsi="宋体" w:cs="宋体"/>
          <w:b/>
          <w:bCs/>
          <w:sz w:val="28"/>
          <w:szCs w:val="28"/>
        </w:rPr>
      </w:pPr>
      <w:bookmarkStart w:id="35" w:name="_bookmark5"/>
      <w:bookmarkEnd w:id="35"/>
      <w:r>
        <w:rPr>
          <w:rFonts w:hint="eastAsia" w:ascii="宋体" w:hAnsi="宋体" w:cs="宋体"/>
          <w:b/>
          <w:bCs/>
          <w:kern w:val="0"/>
          <w:sz w:val="28"/>
          <w:szCs w:val="28"/>
        </w:rPr>
        <w:t>1.</w:t>
      </w:r>
      <w:bookmarkStart w:id="36" w:name="_Toc450836940"/>
      <w:bookmarkStart w:id="37" w:name="_Toc450552575"/>
      <w:bookmarkStart w:id="38" w:name="_Toc408581371"/>
      <w:bookmarkStart w:id="39" w:name="_Toc475304378"/>
      <w:bookmarkStart w:id="40" w:name="_Toc410746561"/>
      <w:bookmarkStart w:id="41" w:name="_Toc40355417"/>
      <w:bookmarkStart w:id="42" w:name="_Toc100840614"/>
      <w:bookmarkStart w:id="43" w:name="_Toc105421719"/>
      <w:r>
        <w:rPr>
          <w:rFonts w:hint="eastAsia" w:ascii="宋体" w:hAnsi="宋体" w:cs="宋体"/>
          <w:b/>
          <w:bCs/>
          <w:sz w:val="28"/>
          <w:szCs w:val="28"/>
        </w:rPr>
        <w:t>项目</w:t>
      </w:r>
      <w:bookmarkEnd w:id="36"/>
      <w:bookmarkEnd w:id="37"/>
      <w:bookmarkEnd w:id="38"/>
      <w:bookmarkEnd w:id="39"/>
      <w:bookmarkEnd w:id="40"/>
      <w:bookmarkEnd w:id="41"/>
      <w:r>
        <w:rPr>
          <w:rFonts w:hint="eastAsia" w:ascii="宋体" w:hAnsi="宋体" w:cs="宋体"/>
          <w:b/>
          <w:bCs/>
          <w:sz w:val="28"/>
          <w:szCs w:val="28"/>
        </w:rPr>
        <w:t>背景</w:t>
      </w:r>
      <w:bookmarkEnd w:id="42"/>
      <w:bookmarkEnd w:id="43"/>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随着我国经济的快速发展，交通运输在国民经济中发挥着越来越重要的作用。高速公路和城市道路的车流量与日俱增，随之而来的货车超载现象屡见不鲜，对公路、城市道路和桥梁隧道造成了严重的损害。有关研究表明，载重量超限一倍的车辆通过一次对路面损害相当于标准载重车辆连续通过16次，则公路设计标准需提高6倍多。而行驶于公路的车辆如果轴重超过30%，公路使用寿命就会缩短56%。针对重要桥梁隧道建立的结构健康监测系统的主要目的就是为了掌握结构在运营期间的荷载作用和结构响应状态，以便及时调整桥隧结构的运营管理策略，保障结构运行的安全。</w:t>
      </w:r>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长时间的超载超限对桥梁及隧道的安全、正常运行造成了不小的压力，也给设施养管工作造成较大的经济负担。</w:t>
      </w:r>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为有效解决超限车辆违规过桥及过隧道问题，不断加大城市桥梁安全运行的保障力度，经过前期充分调研，杭州市城管市政部门要求各区积极落实市委市政府有关工作部署，推广桥梁动态称重系统的建设。</w:t>
      </w:r>
    </w:p>
    <w:p>
      <w:pPr>
        <w:keepLines/>
        <w:spacing w:line="360" w:lineRule="auto"/>
        <w:contextualSpacing/>
        <w:jc w:val="left"/>
        <w:rPr>
          <w:rFonts w:ascii="宋体" w:hAnsi="宋体" w:cs="宋体"/>
          <w:b/>
          <w:bCs/>
          <w:kern w:val="0"/>
          <w:sz w:val="28"/>
          <w:szCs w:val="28"/>
        </w:rPr>
      </w:pPr>
      <w:r>
        <w:rPr>
          <w:rFonts w:hint="eastAsia" w:ascii="宋体" w:hAnsi="宋体" w:cs="宋体"/>
          <w:b/>
          <w:bCs/>
          <w:kern w:val="0"/>
          <w:sz w:val="28"/>
          <w:szCs w:val="28"/>
        </w:rPr>
        <w:t>2.建设点位及配置方案</w:t>
      </w:r>
    </w:p>
    <w:p>
      <w:pPr>
        <w:snapToGrid w:val="0"/>
        <w:spacing w:line="360" w:lineRule="auto"/>
        <w:ind w:firstLine="482" w:firstLineChars="200"/>
        <w:textAlignment w:val="baseline"/>
        <w:rPr>
          <w:rFonts w:ascii="宋体" w:hAnsi="宋体" w:cs="宋体"/>
          <w:bCs/>
          <w:sz w:val="24"/>
        </w:rPr>
      </w:pPr>
      <w:r>
        <w:rPr>
          <w:rFonts w:hint="eastAsia" w:ascii="宋体" w:hAnsi="宋体" w:cs="宋体"/>
          <w:b/>
          <w:bCs/>
          <w:sz w:val="24"/>
        </w:rPr>
        <w:t>2.1点位介绍：</w:t>
      </w:r>
      <w:r>
        <w:rPr>
          <w:rFonts w:hint="eastAsia" w:ascii="宋体" w:hAnsi="宋体" w:cs="宋体"/>
          <w:bCs/>
          <w:sz w:val="24"/>
        </w:rPr>
        <w:t>根据“杭州市城市运行专业安全生产委员会办公室文件《关于下达杭州市城市桥梁车辆动态称重系统建设任务的通知》（杭城专委办【2022】4号），经过前期现场实地考察，拟选定钱塘区以下二个建设点位：</w:t>
      </w:r>
    </w:p>
    <w:p>
      <w:pPr>
        <w:snapToGrid w:val="0"/>
        <w:spacing w:line="360" w:lineRule="auto"/>
        <w:ind w:firstLine="482" w:firstLineChars="200"/>
        <w:textAlignment w:val="baseline"/>
        <w:rPr>
          <w:rFonts w:ascii="宋体" w:hAnsi="宋体" w:cs="宋体"/>
          <w:b/>
          <w:sz w:val="24"/>
        </w:rPr>
      </w:pPr>
      <w:r>
        <w:rPr>
          <w:rFonts w:hint="eastAsia" w:ascii="宋体" w:hAnsi="宋体" w:cs="宋体"/>
          <w:b/>
          <w:sz w:val="24"/>
        </w:rPr>
        <w:t>建设地点1：上城区与钱塘区交界处德胜东路月雅河桥段</w:t>
      </w:r>
    </w:p>
    <w:p>
      <w:pPr>
        <w:pStyle w:val="61"/>
        <w:ind w:left="0" w:leftChars="0" w:firstLine="0" w:firstLineChars="0"/>
        <w:jc w:val="center"/>
        <w:rPr>
          <w:rFonts w:cs="宋体"/>
          <w:sz w:val="24"/>
        </w:rPr>
      </w:pPr>
      <w:r>
        <w:rPr>
          <w:rFonts w:hint="eastAsia" w:cs="宋体"/>
          <w:sz w:val="24"/>
        </w:rPr>
        <w:drawing>
          <wp:inline distT="0" distB="0" distL="0" distR="0">
            <wp:extent cx="3801745" cy="2879725"/>
            <wp:effectExtent l="0" t="0" r="8255"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01745" cy="2879725"/>
                    </a:xfrm>
                    <a:prstGeom prst="rect">
                      <a:avLst/>
                    </a:prstGeom>
                    <a:noFill/>
                  </pic:spPr>
                </pic:pic>
              </a:graphicData>
            </a:graphic>
          </wp:inline>
        </w:drawing>
      </w:r>
    </w:p>
    <w:p>
      <w:pPr>
        <w:pStyle w:val="61"/>
        <w:ind w:left="0" w:leftChars="0" w:firstLine="0" w:firstLineChars="0"/>
        <w:jc w:val="center"/>
        <w:rPr>
          <w:rFonts w:cs="宋体"/>
          <w:sz w:val="24"/>
        </w:rPr>
      </w:pPr>
      <w:r>
        <w:rPr>
          <w:rFonts w:hint="eastAsia" w:cs="宋体"/>
          <w:sz w:val="24"/>
        </w:rPr>
        <w:drawing>
          <wp:inline distT="0" distB="0" distL="0" distR="0">
            <wp:extent cx="3839845" cy="2879725"/>
            <wp:effectExtent l="0" t="0" r="825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39845" cy="2879725"/>
                    </a:xfrm>
                    <a:prstGeom prst="rect">
                      <a:avLst/>
                    </a:prstGeom>
                    <a:noFill/>
                  </pic:spPr>
                </pic:pic>
              </a:graphicData>
            </a:graphic>
          </wp:inline>
        </w:drawing>
      </w:r>
    </w:p>
    <w:p>
      <w:pPr>
        <w:snapToGrid w:val="0"/>
        <w:spacing w:line="360" w:lineRule="auto"/>
        <w:ind w:firstLine="482" w:firstLineChars="200"/>
        <w:textAlignment w:val="baseline"/>
        <w:rPr>
          <w:rFonts w:ascii="宋体" w:hAnsi="宋体" w:cs="宋体"/>
          <w:b/>
          <w:sz w:val="24"/>
        </w:rPr>
      </w:pPr>
      <w:r>
        <w:rPr>
          <w:rFonts w:hint="eastAsia" w:ascii="宋体" w:hAnsi="宋体" w:cs="宋体"/>
          <w:b/>
          <w:sz w:val="24"/>
        </w:rPr>
        <w:t>建设地点2：钱塘区与海宁交界处文海北路路段</w:t>
      </w:r>
    </w:p>
    <w:p>
      <w:pPr>
        <w:spacing w:line="360" w:lineRule="auto"/>
        <w:jc w:val="center"/>
      </w:pPr>
      <w:r>
        <w:drawing>
          <wp:inline distT="0" distB="0" distL="114300" distR="114300">
            <wp:extent cx="3843020" cy="2879725"/>
            <wp:effectExtent l="0" t="0" r="508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3843020" cy="2879725"/>
                    </a:xfrm>
                    <a:prstGeom prst="rect">
                      <a:avLst/>
                    </a:prstGeom>
                    <a:noFill/>
                    <a:ln>
                      <a:noFill/>
                    </a:ln>
                  </pic:spPr>
                </pic:pic>
              </a:graphicData>
            </a:graphic>
          </wp:inline>
        </w:drawing>
      </w:r>
    </w:p>
    <w:p>
      <w:pPr>
        <w:numPr>
          <w:ilvl w:val="1"/>
          <w:numId w:val="0"/>
        </w:numPr>
        <w:tabs>
          <w:tab w:val="left" w:pos="432"/>
        </w:tabs>
        <w:spacing w:line="360" w:lineRule="auto"/>
        <w:jc w:val="center"/>
        <w:rPr>
          <w:rFonts w:ascii="宋体" w:hAnsi="宋体" w:cs="宋体"/>
          <w:sz w:val="24"/>
        </w:rPr>
      </w:pPr>
      <w:bookmarkStart w:id="44" w:name="_Toc101190873"/>
      <w:r>
        <w:drawing>
          <wp:inline distT="0" distB="0" distL="114300" distR="114300">
            <wp:extent cx="3834130" cy="2879725"/>
            <wp:effectExtent l="0" t="0" r="1397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tretch>
                      <a:fillRect/>
                    </a:stretch>
                  </pic:blipFill>
                  <pic:spPr>
                    <a:xfrm>
                      <a:off x="0" y="0"/>
                      <a:ext cx="3834130" cy="2879725"/>
                    </a:xfrm>
                    <a:prstGeom prst="rect">
                      <a:avLst/>
                    </a:prstGeom>
                    <a:noFill/>
                    <a:ln>
                      <a:noFill/>
                    </a:ln>
                  </pic:spPr>
                </pic:pic>
              </a:graphicData>
            </a:graphic>
          </wp:inline>
        </w:drawing>
      </w:r>
    </w:p>
    <w:p>
      <w:pPr>
        <w:rPr>
          <w:rFonts w:ascii="宋体" w:hAnsi="宋体" w:cs="宋体"/>
          <w:sz w:val="24"/>
        </w:rPr>
      </w:pPr>
      <w:r>
        <w:rPr>
          <w:rFonts w:hint="eastAsia" w:ascii="宋体" w:hAnsi="宋体" w:cs="宋体"/>
          <w:sz w:val="24"/>
        </w:rPr>
        <w:br w:type="page"/>
      </w:r>
    </w:p>
    <w:p>
      <w:pPr>
        <w:numPr>
          <w:ilvl w:val="1"/>
          <w:numId w:val="0"/>
        </w:numPr>
        <w:tabs>
          <w:tab w:val="left" w:pos="432"/>
        </w:tabs>
        <w:spacing w:line="360" w:lineRule="auto"/>
        <w:ind w:firstLine="482" w:firstLineChars="200"/>
        <w:rPr>
          <w:rFonts w:ascii="宋体" w:hAnsi="宋体" w:cs="宋体"/>
          <w:b/>
          <w:bCs/>
          <w:sz w:val="24"/>
        </w:rPr>
      </w:pPr>
      <w:r>
        <w:rPr>
          <w:rFonts w:hint="eastAsia" w:ascii="宋体" w:hAnsi="宋体" w:cs="宋体"/>
          <w:b/>
          <w:bCs/>
          <w:sz w:val="24"/>
        </w:rPr>
        <w:t>2.2建设内容</w:t>
      </w:r>
      <w:bookmarkEnd w:id="44"/>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建设城市桥梁车辆动态称重系统设置，德胜东路月雅河桥段为3车道，下沙与海宁交界处文海北路路段为3车道，均为单向。</w:t>
      </w:r>
    </w:p>
    <w:p>
      <w:pPr>
        <w:snapToGrid w:val="0"/>
        <w:spacing w:line="360" w:lineRule="auto"/>
        <w:ind w:firstLine="482" w:firstLineChars="200"/>
        <w:textAlignment w:val="baseline"/>
        <w:rPr>
          <w:rFonts w:ascii="宋体" w:hAnsi="宋体" w:cs="宋体"/>
          <w:b/>
          <w:sz w:val="24"/>
        </w:rPr>
      </w:pPr>
      <w:r>
        <w:rPr>
          <w:rFonts w:hint="eastAsia" w:ascii="宋体" w:hAnsi="宋体" w:cs="宋体"/>
          <w:b/>
          <w:sz w:val="24"/>
        </w:rPr>
        <w:t>建设地点1：上城区与钱塘区交界处德胜东路月雅河桥段，</w:t>
      </w:r>
      <w:r>
        <w:rPr>
          <w:rFonts w:hint="eastAsia" w:ascii="宋体" w:hAnsi="宋体" w:cs="宋体"/>
          <w:bCs/>
          <w:sz w:val="24"/>
        </w:rPr>
        <w:t>位于上城区与钱塘区交界。</w:t>
      </w:r>
    </w:p>
    <w:tbl>
      <w:tblPr>
        <w:tblStyle w:val="63"/>
        <w:tblW w:w="102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3" w:type="dxa"/>
          </w:tcPr>
          <w:p>
            <w:pPr>
              <w:pStyle w:val="2"/>
              <w:ind w:firstLine="480" w:firstLineChars="200"/>
              <w:rPr>
                <w:rFonts w:hAnsi="宋体" w:cs="宋体"/>
                <w:szCs w:val="24"/>
              </w:rPr>
            </w:pPr>
            <w:r>
              <w:drawing>
                <wp:inline distT="0" distB="0" distL="0" distR="0">
                  <wp:extent cx="4638675" cy="3747135"/>
                  <wp:effectExtent l="0" t="0" r="952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4675804" cy="3777199"/>
                          </a:xfrm>
                          <a:prstGeom prst="rect">
                            <a:avLst/>
                          </a:prstGeom>
                        </pic:spPr>
                      </pic:pic>
                    </a:graphicData>
                  </a:graphic>
                </wp:inline>
              </w:drawing>
            </w:r>
          </w:p>
        </w:tc>
      </w:tr>
    </w:tbl>
    <w:p>
      <w:pPr>
        <w:pStyle w:val="2"/>
        <w:spacing w:before="240" w:beforeLines="100" w:after="240" w:afterLines="100"/>
        <w:ind w:firstLine="482" w:firstLineChars="200"/>
        <w:rPr>
          <w:rFonts w:hAnsi="宋体" w:cs="宋体"/>
          <w:bCs/>
          <w:szCs w:val="24"/>
        </w:rPr>
      </w:pPr>
      <w:r>
        <w:rPr>
          <w:rFonts w:hint="eastAsia" w:hAnsi="宋体" w:cs="宋体"/>
          <w:b/>
          <w:szCs w:val="24"/>
        </w:rPr>
        <w:t>建设地点2：钱塘区与海宁市交界处文海北路路段，</w:t>
      </w:r>
      <w:r>
        <w:rPr>
          <w:rFonts w:hint="eastAsia" w:hAnsi="宋体" w:cs="宋体"/>
          <w:bCs/>
          <w:szCs w:val="24"/>
        </w:rPr>
        <w:t>位于钱塘区与海宁市交界处。</w:t>
      </w:r>
    </w:p>
    <w:p>
      <w:pPr>
        <w:pStyle w:val="2"/>
        <w:ind w:firstLine="480" w:firstLineChars="200"/>
        <w:rPr>
          <w:rFonts w:hAnsi="宋体" w:cs="宋体"/>
          <w:szCs w:val="24"/>
        </w:rPr>
      </w:pPr>
      <w:r>
        <w:drawing>
          <wp:inline distT="0" distB="0" distL="0" distR="0">
            <wp:extent cx="5347970" cy="3573145"/>
            <wp:effectExtent l="0" t="0" r="508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stretch>
                      <a:fillRect/>
                    </a:stretch>
                  </pic:blipFill>
                  <pic:spPr>
                    <a:xfrm>
                      <a:off x="0" y="0"/>
                      <a:ext cx="5366388" cy="3585736"/>
                    </a:xfrm>
                    <a:prstGeom prst="rect">
                      <a:avLst/>
                    </a:prstGeom>
                  </pic:spPr>
                </pic:pic>
              </a:graphicData>
            </a:graphic>
          </wp:inline>
        </w:drawing>
      </w:r>
    </w:p>
    <w:p>
      <w:pPr>
        <w:pStyle w:val="2"/>
        <w:ind w:firstLine="480" w:firstLineChars="200"/>
        <w:rPr>
          <w:rFonts w:hAnsi="宋体" w:cs="宋体"/>
          <w:bCs/>
          <w:szCs w:val="24"/>
        </w:rPr>
      </w:pPr>
    </w:p>
    <w:p>
      <w:pPr>
        <w:pStyle w:val="2"/>
        <w:ind w:firstLine="480" w:firstLineChars="200"/>
        <w:rPr>
          <w:rFonts w:hAnsi="宋体" w:cs="宋体"/>
          <w:bCs/>
          <w:szCs w:val="24"/>
        </w:rPr>
      </w:pPr>
      <w:r>
        <w:rPr>
          <w:rFonts w:hint="eastAsia" w:hAnsi="宋体" w:cs="宋体"/>
          <w:bCs/>
          <w:szCs w:val="24"/>
        </w:rPr>
        <w:t>建设项目存在以下问题需注意：</w:t>
      </w:r>
    </w:p>
    <w:p>
      <w:pPr>
        <w:pStyle w:val="2"/>
        <w:ind w:firstLine="480" w:firstLineChars="200"/>
        <w:rPr>
          <w:rFonts w:hAnsi="宋体" w:cs="宋体"/>
          <w:bCs/>
          <w:szCs w:val="24"/>
        </w:rPr>
      </w:pPr>
      <w:r>
        <w:rPr>
          <w:rFonts w:hint="eastAsia" w:hAnsi="宋体" w:cs="宋体"/>
          <w:bCs/>
          <w:szCs w:val="24"/>
        </w:rPr>
        <w:t>德胜东路月雅河桥点位位于上城区与钱塘区交接处，部分地磅秤重指示牌需设立在上城区范围内。</w:t>
      </w:r>
    </w:p>
    <w:p>
      <w:pPr>
        <w:pStyle w:val="2"/>
        <w:ind w:firstLine="480" w:firstLineChars="200"/>
        <w:rPr>
          <w:rFonts w:hAnsi="宋体" w:cs="宋体"/>
          <w:bCs/>
          <w:szCs w:val="24"/>
        </w:rPr>
      </w:pPr>
      <w:r>
        <w:rPr>
          <w:rFonts w:hint="eastAsia" w:hAnsi="宋体" w:cs="宋体"/>
          <w:bCs/>
          <w:szCs w:val="24"/>
        </w:rPr>
        <w:t>钱塘区与海宁市交界处文海北路路段，部分地磅秤重指示牌需设立在海宁范围内。</w:t>
      </w:r>
    </w:p>
    <w:p>
      <w:pPr>
        <w:spacing w:line="360" w:lineRule="auto"/>
        <w:rPr>
          <w:rFonts w:ascii="宋体" w:hAnsi="宋体" w:cs="宋体"/>
          <w:b/>
          <w:bCs/>
          <w:kern w:val="0"/>
          <w:sz w:val="28"/>
          <w:szCs w:val="28"/>
        </w:rPr>
      </w:pPr>
      <w:r>
        <w:rPr>
          <w:rFonts w:hint="eastAsia" w:ascii="宋体" w:hAnsi="宋体" w:cs="宋体"/>
          <w:b/>
          <w:bCs/>
          <w:kern w:val="0"/>
          <w:sz w:val="28"/>
          <w:szCs w:val="28"/>
        </w:rPr>
        <w:t>3.技术要求及其他</w:t>
      </w:r>
    </w:p>
    <w:p>
      <w:pPr>
        <w:tabs>
          <w:tab w:val="left" w:pos="900"/>
        </w:tabs>
        <w:spacing w:line="360" w:lineRule="auto"/>
        <w:ind w:firstLine="480" w:firstLineChars="200"/>
        <w:rPr>
          <w:rFonts w:ascii="宋体" w:hAnsi="宋体"/>
          <w:sz w:val="24"/>
        </w:rPr>
      </w:pPr>
      <w:r>
        <w:rPr>
          <w:rFonts w:hint="eastAsia" w:ascii="宋体" w:hAnsi="宋体"/>
          <w:sz w:val="24"/>
        </w:rPr>
        <w:t>3.1总体</w:t>
      </w:r>
      <w:r>
        <w:rPr>
          <w:rFonts w:ascii="宋体" w:hAnsi="宋体"/>
          <w:sz w:val="24"/>
        </w:rPr>
        <w:t>要求</w:t>
      </w:r>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建立以计算机网络为依托，对车辆违法超限运输行为自动监测的超限高速精检系统，实现24小时货运车辆运输监控，形成有力威慑，着力解决治超工作人员不足、取证困难、治超安全三大问题，降低车辆运输超限率。</w:t>
      </w:r>
    </w:p>
    <w:p>
      <w:pPr>
        <w:spacing w:line="360" w:lineRule="auto"/>
        <w:ind w:firstLine="480" w:firstLineChars="200"/>
        <w:rPr>
          <w:rFonts w:ascii="宋体" w:hAnsi="宋体"/>
          <w:sz w:val="24"/>
        </w:rPr>
      </w:pPr>
      <w:bookmarkStart w:id="45" w:name="_Toc101190883"/>
      <w:r>
        <w:rPr>
          <w:rFonts w:ascii="宋体" w:hAnsi="宋体"/>
          <w:sz w:val="24"/>
        </w:rPr>
        <w:t>3.2</w:t>
      </w:r>
      <w:r>
        <w:rPr>
          <w:rFonts w:hint="eastAsia" w:ascii="宋体" w:hAnsi="宋体"/>
          <w:sz w:val="24"/>
        </w:rPr>
        <w:t>非现场检测</w:t>
      </w:r>
      <w:bookmarkEnd w:id="45"/>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利用非现场检测设备获取车货总重、车辆轴数、速度、轴重数据；</w:t>
      </w:r>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利用车辆号牌识别系统（即抓拍设施 ）获取车辆牌照信息并识别牌号；</w:t>
      </w:r>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并将车牌和超限信息迅速传到LED屏上显示，及时告知车辆驾驶人员。</w:t>
      </w:r>
    </w:p>
    <w:p>
      <w:pPr>
        <w:spacing w:line="360" w:lineRule="auto"/>
        <w:ind w:firstLine="480" w:firstLineChars="200"/>
        <w:rPr>
          <w:rFonts w:ascii="宋体" w:hAnsi="宋体"/>
          <w:sz w:val="24"/>
        </w:rPr>
      </w:pPr>
      <w:bookmarkStart w:id="46" w:name="_Toc101190884"/>
      <w:r>
        <w:rPr>
          <w:rFonts w:ascii="宋体" w:hAnsi="宋体"/>
          <w:sz w:val="24"/>
        </w:rPr>
        <w:t>3.</w:t>
      </w:r>
      <w:r>
        <w:rPr>
          <w:rFonts w:hint="eastAsia" w:ascii="宋体" w:hAnsi="宋体"/>
          <w:sz w:val="24"/>
        </w:rPr>
        <w:t>3称重准确度</w:t>
      </w:r>
      <w:bookmarkEnd w:id="46"/>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能够在不停车、不减速、不以特定速度及特定车道行驶的前提下及时准确地测得车辆轴数、轴重、车货总重、牌照、速度等信息。</w:t>
      </w:r>
    </w:p>
    <w:p>
      <w:pPr>
        <w:spacing w:line="360" w:lineRule="auto"/>
        <w:ind w:firstLine="480" w:firstLineChars="200"/>
        <w:rPr>
          <w:rFonts w:ascii="宋体" w:hAnsi="宋体"/>
          <w:sz w:val="24"/>
        </w:rPr>
      </w:pPr>
      <w:bookmarkStart w:id="47" w:name="_Toc101190885"/>
      <w:r>
        <w:rPr>
          <w:rFonts w:ascii="宋体" w:hAnsi="宋体"/>
          <w:sz w:val="24"/>
        </w:rPr>
        <w:t>3.</w:t>
      </w:r>
      <w:r>
        <w:rPr>
          <w:rFonts w:hint="eastAsia" w:ascii="宋体" w:hAnsi="宋体"/>
          <w:sz w:val="24"/>
        </w:rPr>
        <w:t>4称重速度适应性</w:t>
      </w:r>
      <w:bookmarkEnd w:id="47"/>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为逃避动态称重系统的检测，超限违法车辆往往会采用蹲称（即长时间停在称重承载器上不动），超低速过衡、高速冲岗等行为作弊，投标产品针对以下行为均能准确检测，有相关材料提供证明：</w:t>
      </w:r>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1）能够在车辆静止在承载器上时准确称重，即具备静态称重能力；</w:t>
      </w:r>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2）能够在车辆超低速过衡或走走停停的情况下准确称重，即动态称重最低检测车速应为0.5km/h；</w:t>
      </w:r>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3）能够在车辆高速通过时准确称重，即动态称重最高检测速度达到80km/h；</w:t>
      </w:r>
    </w:p>
    <w:p>
      <w:pPr>
        <w:spacing w:line="360" w:lineRule="auto"/>
        <w:ind w:firstLine="480" w:firstLineChars="200"/>
        <w:rPr>
          <w:rFonts w:ascii="宋体" w:hAnsi="宋体"/>
          <w:sz w:val="24"/>
        </w:rPr>
      </w:pPr>
      <w:bookmarkStart w:id="48" w:name="_Toc101190886"/>
      <w:r>
        <w:rPr>
          <w:rFonts w:ascii="宋体" w:hAnsi="宋体"/>
          <w:sz w:val="24"/>
        </w:rPr>
        <w:t>3.</w:t>
      </w:r>
      <w:r>
        <w:rPr>
          <w:rFonts w:hint="eastAsia" w:ascii="宋体" w:hAnsi="宋体"/>
          <w:sz w:val="24"/>
        </w:rPr>
        <w:t>5全幅路面无缝检测</w:t>
      </w:r>
      <w:bookmarkEnd w:id="48"/>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公路车辆正常行驶中，跨车道行驶或压着车道线行驶是很普遍的情况。而超限车辆为逃避检测，更是会刻意采用低速溜边、压传感器接缝行驶的方式，让一部分轮胎离开称重承载器，使得数据不准以达到逃避检测的目的。称重设备能够对跨车道行驶车辆和压线行驶车辆能准确称重，误差不超过±5%，可提供相关证明材料。</w:t>
      </w:r>
    </w:p>
    <w:p>
      <w:pPr>
        <w:spacing w:line="360" w:lineRule="auto"/>
        <w:ind w:firstLine="480" w:firstLineChars="200"/>
        <w:rPr>
          <w:rFonts w:ascii="宋体" w:hAnsi="宋体"/>
          <w:sz w:val="24"/>
        </w:rPr>
      </w:pPr>
      <w:bookmarkStart w:id="49" w:name="_Toc101190887"/>
      <w:r>
        <w:rPr>
          <w:rFonts w:ascii="宋体" w:hAnsi="宋体"/>
          <w:sz w:val="24"/>
        </w:rPr>
        <w:t>3.</w:t>
      </w:r>
      <w:r>
        <w:rPr>
          <w:rFonts w:hint="eastAsia" w:ascii="宋体" w:hAnsi="宋体"/>
          <w:sz w:val="24"/>
        </w:rPr>
        <w:t>6单轴称量能力</w:t>
      </w:r>
      <w:bookmarkEnd w:id="49"/>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随着汽车改装技术和材料性能的发展，车辆超限能力也随之提高，4轴超100吨、6轴超150吨的恶性超限车辆也时有出现，此类车辆后轴轴重往往超过30吨，对路面桥梁的破坏力极大，而传统动态汽车衡最大秤量仅30吨，无法准确称量此类车辆。单轴秤量能力能够达到40吨。</w:t>
      </w:r>
    </w:p>
    <w:p>
      <w:pPr>
        <w:spacing w:line="360" w:lineRule="auto"/>
        <w:ind w:firstLine="480" w:firstLineChars="200"/>
        <w:rPr>
          <w:rFonts w:ascii="宋体" w:hAnsi="宋体"/>
          <w:sz w:val="24"/>
        </w:rPr>
      </w:pPr>
      <w:bookmarkStart w:id="50" w:name="_Toc101190888"/>
      <w:r>
        <w:rPr>
          <w:rFonts w:ascii="宋体" w:hAnsi="宋体"/>
          <w:sz w:val="24"/>
        </w:rPr>
        <w:t>3.</w:t>
      </w:r>
      <w:r>
        <w:rPr>
          <w:rFonts w:hint="eastAsia" w:ascii="宋体" w:hAnsi="宋体"/>
          <w:sz w:val="24"/>
        </w:rPr>
        <w:t>7检测数据传输</w:t>
      </w:r>
      <w:bookmarkEnd w:id="50"/>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将获取的车货总重、车辆轴数、现场照片、车辆牌照等相关信息通过现场处理后，利用运营商网络传输至后台数据服务器，执法大队人员可通过内部网络掌握车辆的通行情况。</w:t>
      </w:r>
      <w:bookmarkStart w:id="51" w:name="_Toc101190889"/>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8现场检测数据管理应用</w:t>
      </w:r>
      <w:bookmarkEnd w:id="51"/>
    </w:p>
    <w:p>
      <w:pPr>
        <w:snapToGrid w:val="0"/>
        <w:spacing w:line="360" w:lineRule="auto"/>
        <w:ind w:firstLine="480" w:firstLineChars="200"/>
        <w:textAlignment w:val="baseline"/>
        <w:rPr>
          <w:rFonts w:ascii="宋体" w:hAnsi="宋体" w:cs="宋体"/>
          <w:bCs/>
          <w:sz w:val="24"/>
        </w:rPr>
      </w:pPr>
      <w:r>
        <w:rPr>
          <w:rFonts w:hint="eastAsia" w:ascii="宋体" w:hAnsi="宋体" w:cs="宋体"/>
          <w:bCs/>
          <w:sz w:val="24"/>
        </w:rPr>
        <w:t>数据平台系统可以完成采集、运算、控制、显示、报警、存储等功能要求，减少人员位置限制，促进治超工作第一时间办理，同时系统能够基于各个站点上报的车辆数据进行数据分析，为公路管理者决策提供支持。</w:t>
      </w:r>
    </w:p>
    <w:p>
      <w:pPr>
        <w:keepNext/>
        <w:keepLines/>
        <w:numPr>
          <w:ilvl w:val="1"/>
          <w:numId w:val="0"/>
        </w:numPr>
        <w:spacing w:line="360" w:lineRule="auto"/>
        <w:ind w:firstLine="482" w:firstLineChars="200"/>
        <w:textAlignment w:val="baseline"/>
        <w:rPr>
          <w:rFonts w:ascii="宋体" w:hAnsi="宋体"/>
          <w:b/>
          <w:sz w:val="24"/>
        </w:rPr>
      </w:pPr>
      <w:r>
        <w:rPr>
          <w:rFonts w:ascii="宋体" w:hAnsi="宋体"/>
          <w:b/>
          <w:sz w:val="24"/>
        </w:rPr>
        <w:t>3.</w:t>
      </w:r>
      <w:r>
        <w:rPr>
          <w:rFonts w:hint="eastAsia" w:ascii="宋体" w:hAnsi="宋体"/>
          <w:b/>
          <w:sz w:val="24"/>
        </w:rPr>
        <w:t>9系统主要设备参数</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3.9.1称重平板主体</w:t>
      </w:r>
    </w:p>
    <w:p>
      <w:pPr>
        <w:snapToGrid w:val="0"/>
        <w:spacing w:line="360" w:lineRule="auto"/>
        <w:ind w:firstLine="480" w:firstLineChars="200"/>
        <w:rPr>
          <w:rFonts w:ascii="宋体" w:hAnsi="宋体" w:cs="宋体"/>
          <w:bCs/>
          <w:sz w:val="24"/>
        </w:rPr>
      </w:pPr>
      <w:r>
        <w:rPr>
          <w:rFonts w:hint="eastAsia" w:ascii="宋体" w:hAnsi="宋体" w:cs="宋体"/>
          <w:bCs/>
          <w:sz w:val="24"/>
        </w:rPr>
        <w:t>车辆称重车速速度0.5至80km/h；</w:t>
      </w:r>
    </w:p>
    <w:p>
      <w:pPr>
        <w:snapToGrid w:val="0"/>
        <w:spacing w:line="360" w:lineRule="auto"/>
        <w:ind w:firstLine="480" w:firstLineChars="200"/>
        <w:rPr>
          <w:rFonts w:ascii="宋体" w:hAnsi="宋体" w:cs="宋体"/>
          <w:bCs/>
          <w:sz w:val="24"/>
        </w:rPr>
      </w:pPr>
      <w:r>
        <w:rPr>
          <w:rFonts w:hint="eastAsia" w:ascii="宋体" w:hAnsi="宋体" w:cs="宋体"/>
          <w:bCs/>
          <w:sz w:val="24"/>
        </w:rPr>
        <w:t>首次检定最大允许误差±2.50％，使用中检验最大允许误差±5.00％；</w:t>
      </w:r>
    </w:p>
    <w:p>
      <w:pPr>
        <w:snapToGrid w:val="0"/>
        <w:spacing w:line="360" w:lineRule="auto"/>
        <w:ind w:firstLine="480" w:firstLineChars="200"/>
        <w:rPr>
          <w:rFonts w:ascii="宋体" w:hAnsi="宋体" w:cs="宋体"/>
          <w:bCs/>
          <w:sz w:val="24"/>
        </w:rPr>
      </w:pPr>
      <w:r>
        <w:rPr>
          <w:rFonts w:hint="eastAsia" w:ascii="宋体" w:hAnsi="宋体" w:cs="宋体"/>
          <w:bCs/>
          <w:sz w:val="24"/>
        </w:rPr>
        <w:t>称重台与公路路面一体化安装方式不影响车辆通行；</w:t>
      </w:r>
    </w:p>
    <w:p>
      <w:pPr>
        <w:snapToGrid w:val="0"/>
        <w:spacing w:line="360" w:lineRule="auto"/>
        <w:ind w:firstLine="480" w:firstLineChars="200"/>
        <w:rPr>
          <w:rFonts w:ascii="宋体" w:hAnsi="宋体" w:cs="宋体"/>
          <w:bCs/>
          <w:sz w:val="24"/>
        </w:rPr>
      </w:pPr>
      <w:r>
        <w:rPr>
          <w:rFonts w:hint="eastAsia" w:ascii="宋体" w:hAnsi="宋体" w:cs="宋体"/>
          <w:bCs/>
          <w:sz w:val="24"/>
        </w:rPr>
        <w:t>台板工作温度-40℃～+85℃；</w:t>
      </w:r>
    </w:p>
    <w:p>
      <w:pPr>
        <w:snapToGrid w:val="0"/>
        <w:spacing w:line="360" w:lineRule="auto"/>
        <w:ind w:firstLine="480" w:firstLineChars="200"/>
        <w:rPr>
          <w:rFonts w:ascii="宋体" w:hAnsi="宋体" w:cs="宋体"/>
          <w:bCs/>
          <w:sz w:val="24"/>
        </w:rPr>
      </w:pPr>
      <w:r>
        <w:rPr>
          <w:rFonts w:hint="eastAsia" w:ascii="宋体" w:hAnsi="宋体" w:cs="宋体"/>
          <w:bCs/>
          <w:sz w:val="24"/>
        </w:rPr>
        <w:t>工作环境湿度小于95％；</w:t>
      </w:r>
    </w:p>
    <w:p>
      <w:pPr>
        <w:snapToGrid w:val="0"/>
        <w:spacing w:line="360" w:lineRule="auto"/>
        <w:ind w:firstLine="480" w:firstLineChars="200"/>
        <w:rPr>
          <w:rFonts w:ascii="宋体" w:hAnsi="宋体" w:cs="宋体"/>
          <w:bCs/>
          <w:sz w:val="24"/>
        </w:rPr>
      </w:pPr>
      <w:r>
        <w:rPr>
          <w:rFonts w:hint="eastAsia" w:ascii="宋体" w:hAnsi="宋体" w:cs="宋体"/>
          <w:bCs/>
          <w:sz w:val="24"/>
        </w:rPr>
        <w:t>整体式结构，承载面板同测力结构部分完全固化，无活动构件；</w:t>
      </w:r>
    </w:p>
    <w:p>
      <w:pPr>
        <w:snapToGrid w:val="0"/>
        <w:spacing w:line="360" w:lineRule="auto"/>
        <w:ind w:firstLine="480" w:firstLineChars="200"/>
        <w:rPr>
          <w:rFonts w:ascii="宋体" w:hAnsi="宋体" w:cs="宋体"/>
          <w:bCs/>
          <w:sz w:val="24"/>
        </w:rPr>
      </w:pPr>
      <w:r>
        <w:rPr>
          <w:rFonts w:hint="eastAsia" w:ascii="宋体" w:hAnsi="宋体" w:cs="宋体"/>
          <w:bCs/>
          <w:sz w:val="24"/>
        </w:rPr>
        <w:t>称重台面可按道路实际宽度定制，覆盖整个检测道路横断面，无检测死角；</w:t>
      </w:r>
    </w:p>
    <w:p>
      <w:pPr>
        <w:snapToGrid w:val="0"/>
        <w:spacing w:line="360" w:lineRule="auto"/>
        <w:ind w:firstLine="480" w:firstLineChars="200"/>
        <w:rPr>
          <w:rFonts w:ascii="宋体" w:hAnsi="宋体" w:cs="宋体"/>
          <w:bCs/>
          <w:sz w:val="24"/>
        </w:rPr>
      </w:pPr>
      <w:r>
        <w:rPr>
          <w:rFonts w:hint="eastAsia" w:ascii="宋体" w:hAnsi="宋体" w:cs="宋体"/>
          <w:bCs/>
          <w:sz w:val="24"/>
        </w:rPr>
        <w:t>相邻台面之间采用“无缝”拼接技术，保证车辆在碾压台面接缝行驶时也可准确检测；</w:t>
      </w:r>
    </w:p>
    <w:p>
      <w:pPr>
        <w:snapToGrid w:val="0"/>
        <w:spacing w:line="360" w:lineRule="auto"/>
        <w:ind w:firstLine="480" w:firstLineChars="200"/>
        <w:rPr>
          <w:rFonts w:ascii="宋体" w:hAnsi="宋体" w:cs="宋体"/>
          <w:bCs/>
          <w:sz w:val="24"/>
        </w:rPr>
      </w:pPr>
      <w:r>
        <w:rPr>
          <w:rFonts w:hint="eastAsia" w:ascii="宋体" w:hAnsi="宋体" w:cs="宋体"/>
          <w:bCs/>
          <w:sz w:val="24"/>
        </w:rPr>
        <w:t>在允许轴重下车辆总重量不限；</w:t>
      </w:r>
    </w:p>
    <w:p>
      <w:pPr>
        <w:snapToGrid w:val="0"/>
        <w:spacing w:line="360" w:lineRule="auto"/>
        <w:ind w:firstLine="480" w:firstLineChars="200"/>
        <w:rPr>
          <w:rFonts w:ascii="宋体" w:hAnsi="宋体" w:cs="宋体"/>
          <w:bCs/>
          <w:sz w:val="24"/>
        </w:rPr>
      </w:pPr>
      <w:r>
        <w:rPr>
          <w:rFonts w:hint="eastAsia" w:ascii="宋体" w:hAnsi="宋体" w:cs="宋体"/>
          <w:bCs/>
          <w:sz w:val="24"/>
        </w:rPr>
        <w:t>可按照车道宽度定制。</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3.9.2称重传感器</w:t>
      </w:r>
    </w:p>
    <w:p>
      <w:pPr>
        <w:snapToGrid w:val="0"/>
        <w:spacing w:line="360" w:lineRule="auto"/>
        <w:ind w:firstLine="480" w:firstLineChars="200"/>
        <w:rPr>
          <w:rFonts w:ascii="宋体" w:hAnsi="宋体" w:cs="宋体"/>
          <w:bCs/>
          <w:sz w:val="24"/>
        </w:rPr>
      </w:pPr>
      <w:r>
        <w:rPr>
          <w:rFonts w:hint="eastAsia" w:ascii="宋体" w:hAnsi="宋体" w:cs="宋体"/>
          <w:bCs/>
          <w:sz w:val="24"/>
        </w:rPr>
        <w:t>电阻应变式传感器；</w:t>
      </w:r>
    </w:p>
    <w:p>
      <w:pPr>
        <w:snapToGrid w:val="0"/>
        <w:spacing w:line="360" w:lineRule="auto"/>
        <w:ind w:firstLine="480" w:firstLineChars="200"/>
        <w:rPr>
          <w:rFonts w:ascii="宋体" w:hAnsi="宋体" w:cs="宋体"/>
          <w:bCs/>
          <w:sz w:val="24"/>
        </w:rPr>
      </w:pPr>
      <w:r>
        <w:rPr>
          <w:rFonts w:hint="eastAsia" w:ascii="宋体" w:hAnsi="宋体" w:cs="宋体"/>
          <w:bCs/>
          <w:sz w:val="24"/>
        </w:rPr>
        <w:t>合金钢外壳材质；</w:t>
      </w:r>
    </w:p>
    <w:p>
      <w:pPr>
        <w:snapToGrid w:val="0"/>
        <w:spacing w:line="360" w:lineRule="auto"/>
        <w:ind w:firstLine="480" w:firstLineChars="200"/>
        <w:rPr>
          <w:rFonts w:ascii="宋体" w:hAnsi="宋体" w:cs="宋体"/>
          <w:bCs/>
          <w:sz w:val="24"/>
        </w:rPr>
      </w:pPr>
      <w:r>
        <w:rPr>
          <w:rFonts w:hint="eastAsia" w:ascii="宋体" w:hAnsi="宋体" w:cs="宋体"/>
          <w:bCs/>
          <w:sz w:val="24"/>
        </w:rPr>
        <w:t>防护等级IP68；</w:t>
      </w:r>
    </w:p>
    <w:p>
      <w:pPr>
        <w:snapToGrid w:val="0"/>
        <w:spacing w:line="360" w:lineRule="auto"/>
        <w:ind w:firstLine="480" w:firstLineChars="200"/>
        <w:rPr>
          <w:rFonts w:ascii="宋体" w:hAnsi="宋体" w:cs="宋体"/>
          <w:bCs/>
          <w:sz w:val="24"/>
        </w:rPr>
      </w:pPr>
      <w:r>
        <w:rPr>
          <w:rFonts w:hint="eastAsia" w:ascii="宋体" w:hAnsi="宋体" w:cs="宋体"/>
          <w:bCs/>
          <w:sz w:val="24"/>
        </w:rPr>
        <w:t>绝缘等级＞5000MΩ（50 VDC）；</w:t>
      </w:r>
    </w:p>
    <w:p>
      <w:pPr>
        <w:snapToGrid w:val="0"/>
        <w:spacing w:line="360" w:lineRule="auto"/>
        <w:ind w:firstLine="480" w:firstLineChars="200"/>
        <w:rPr>
          <w:rFonts w:ascii="宋体" w:hAnsi="宋体" w:cs="宋体"/>
          <w:bCs/>
          <w:sz w:val="24"/>
        </w:rPr>
      </w:pPr>
      <w:r>
        <w:rPr>
          <w:rFonts w:hint="eastAsia" w:ascii="宋体" w:hAnsi="宋体" w:cs="宋体"/>
          <w:bCs/>
          <w:sz w:val="24"/>
        </w:rPr>
        <w:t>灵敏度大于1.5mv/v；</w:t>
      </w:r>
    </w:p>
    <w:p>
      <w:pPr>
        <w:snapToGrid w:val="0"/>
        <w:spacing w:line="360" w:lineRule="auto"/>
        <w:ind w:firstLine="480" w:firstLineChars="200"/>
        <w:rPr>
          <w:rFonts w:ascii="宋体" w:hAnsi="宋体" w:cs="宋体"/>
          <w:bCs/>
          <w:sz w:val="24"/>
        </w:rPr>
      </w:pPr>
      <w:r>
        <w:rPr>
          <w:rFonts w:hint="eastAsia" w:ascii="宋体" w:hAnsi="宋体" w:cs="宋体"/>
          <w:bCs/>
          <w:sz w:val="24"/>
        </w:rPr>
        <w:t>工作温度范围-35℃～65℃。</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3.9.3称重数据处理单元</w:t>
      </w:r>
    </w:p>
    <w:p>
      <w:pPr>
        <w:snapToGrid w:val="0"/>
        <w:spacing w:line="360" w:lineRule="auto"/>
        <w:ind w:firstLine="480" w:firstLineChars="200"/>
        <w:rPr>
          <w:rFonts w:ascii="宋体" w:hAnsi="宋体" w:cs="宋体"/>
          <w:bCs/>
          <w:sz w:val="24"/>
        </w:rPr>
      </w:pPr>
      <w:r>
        <w:rPr>
          <w:rFonts w:hint="eastAsia" w:ascii="宋体" w:hAnsi="宋体" w:cs="宋体"/>
          <w:bCs/>
          <w:sz w:val="24"/>
        </w:rPr>
        <w:t>跨道检测型AD转换，数据采集，轴数识别</w:t>
      </w:r>
    </w:p>
    <w:p>
      <w:pPr>
        <w:snapToGrid w:val="0"/>
        <w:spacing w:line="360" w:lineRule="auto"/>
        <w:ind w:firstLine="480" w:firstLineChars="200"/>
        <w:rPr>
          <w:rFonts w:ascii="宋体" w:hAnsi="宋体" w:cs="宋体"/>
          <w:bCs/>
          <w:sz w:val="24"/>
        </w:rPr>
      </w:pPr>
      <w:r>
        <w:rPr>
          <w:rFonts w:hint="eastAsia" w:ascii="宋体" w:hAnsi="宋体" w:cs="宋体"/>
          <w:bCs/>
          <w:sz w:val="24"/>
        </w:rPr>
        <w:t>8路同步采样模拟输入，采样率≥248kS/s的;</w:t>
      </w:r>
    </w:p>
    <w:p>
      <w:pPr>
        <w:snapToGrid w:val="0"/>
        <w:spacing w:line="360" w:lineRule="auto"/>
        <w:ind w:firstLine="480" w:firstLineChars="200"/>
        <w:rPr>
          <w:rFonts w:ascii="宋体" w:hAnsi="宋体" w:cs="宋体"/>
          <w:bCs/>
          <w:sz w:val="24"/>
        </w:rPr>
      </w:pPr>
      <w:r>
        <w:rPr>
          <w:rFonts w:hint="eastAsia" w:ascii="宋体" w:hAnsi="宋体" w:cs="宋体"/>
          <w:bCs/>
          <w:sz w:val="24"/>
        </w:rPr>
        <w:t>24位分辨率，ADC具有114dB动态范围;</w:t>
      </w:r>
    </w:p>
    <w:p>
      <w:pPr>
        <w:snapToGrid w:val="0"/>
        <w:spacing w:line="360" w:lineRule="auto"/>
        <w:ind w:firstLine="480" w:firstLineChars="200"/>
        <w:rPr>
          <w:rFonts w:ascii="宋体" w:hAnsi="宋体" w:cs="宋体"/>
          <w:bCs/>
          <w:sz w:val="24"/>
        </w:rPr>
      </w:pPr>
      <w:r>
        <w:rPr>
          <w:rFonts w:hint="eastAsia" w:ascii="宋体" w:hAnsi="宋体" w:cs="宋体"/>
          <w:bCs/>
          <w:sz w:val="24"/>
        </w:rPr>
        <w:t>输入信号的范围从±1V至10V时，可设置2种增益设置，≥+20dB;</w:t>
      </w:r>
    </w:p>
    <w:p>
      <w:pPr>
        <w:snapToGrid w:val="0"/>
        <w:spacing w:line="360" w:lineRule="auto"/>
        <w:ind w:firstLine="480" w:firstLineChars="200"/>
        <w:rPr>
          <w:rFonts w:ascii="宋体" w:hAnsi="宋体" w:cs="宋体"/>
          <w:bCs/>
          <w:sz w:val="24"/>
        </w:rPr>
      </w:pPr>
      <w:r>
        <w:rPr>
          <w:rFonts w:hint="eastAsia" w:ascii="宋体" w:hAnsi="宋体" w:cs="宋体"/>
          <w:bCs/>
          <w:sz w:val="24"/>
        </w:rPr>
        <w:t>交流/直流可选;</w:t>
      </w:r>
    </w:p>
    <w:p>
      <w:pPr>
        <w:snapToGrid w:val="0"/>
        <w:spacing w:line="360" w:lineRule="auto"/>
        <w:ind w:firstLine="480" w:firstLineChars="200"/>
        <w:rPr>
          <w:rFonts w:ascii="宋体" w:hAnsi="宋体" w:cs="宋体"/>
          <w:bCs/>
          <w:sz w:val="24"/>
        </w:rPr>
      </w:pPr>
      <w:r>
        <w:rPr>
          <w:rFonts w:hint="eastAsia" w:ascii="宋体" w:hAnsi="宋体" w:cs="宋体"/>
          <w:bCs/>
          <w:sz w:val="24"/>
        </w:rPr>
        <w:t>8路通道提供的通道密度适宜大多数NVH;</w:t>
      </w:r>
    </w:p>
    <w:p>
      <w:pPr>
        <w:snapToGrid w:val="0"/>
        <w:spacing w:line="360" w:lineRule="auto"/>
        <w:ind w:firstLine="480" w:firstLineChars="200"/>
        <w:rPr>
          <w:rFonts w:ascii="宋体" w:hAnsi="宋体" w:cs="宋体"/>
          <w:bCs/>
          <w:sz w:val="24"/>
        </w:rPr>
      </w:pPr>
      <w:r>
        <w:rPr>
          <w:rFonts w:hint="eastAsia" w:ascii="宋体" w:hAnsi="宋体" w:cs="宋体"/>
          <w:bCs/>
          <w:sz w:val="24"/>
        </w:rPr>
        <w:t>高可靠性；</w:t>
      </w:r>
    </w:p>
    <w:p>
      <w:pPr>
        <w:snapToGrid w:val="0"/>
        <w:spacing w:line="360" w:lineRule="auto"/>
        <w:ind w:firstLine="480" w:firstLineChars="200"/>
        <w:rPr>
          <w:rFonts w:ascii="宋体" w:hAnsi="宋体" w:cs="宋体"/>
          <w:bCs/>
          <w:sz w:val="24"/>
        </w:rPr>
      </w:pPr>
      <w:r>
        <w:rPr>
          <w:rFonts w:hint="eastAsia" w:ascii="宋体" w:hAnsi="宋体" w:cs="宋体"/>
          <w:bCs/>
          <w:sz w:val="24"/>
        </w:rPr>
        <w:t>集成动态车辆运行判别数据模型。</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3.9.4车辆动态称重检测系统</w:t>
      </w:r>
    </w:p>
    <w:p>
      <w:pPr>
        <w:snapToGrid w:val="0"/>
        <w:spacing w:line="360" w:lineRule="auto"/>
        <w:ind w:firstLine="480" w:firstLineChars="200"/>
        <w:rPr>
          <w:rFonts w:ascii="宋体" w:hAnsi="宋体" w:cs="宋体"/>
          <w:bCs/>
          <w:sz w:val="24"/>
        </w:rPr>
      </w:pPr>
      <w:r>
        <w:rPr>
          <w:rFonts w:hint="eastAsia" w:ascii="宋体" w:hAnsi="宋体" w:cs="宋体"/>
          <w:bCs/>
          <w:sz w:val="24"/>
        </w:rPr>
        <w:t>车辆通过自动分车，准确判断车辆轴数；</w:t>
      </w:r>
    </w:p>
    <w:p>
      <w:pPr>
        <w:snapToGrid w:val="0"/>
        <w:spacing w:line="360" w:lineRule="auto"/>
        <w:ind w:firstLine="480" w:firstLineChars="200"/>
        <w:rPr>
          <w:rFonts w:ascii="宋体" w:hAnsi="宋体" w:cs="宋体"/>
          <w:bCs/>
          <w:sz w:val="24"/>
        </w:rPr>
      </w:pPr>
      <w:r>
        <w:rPr>
          <w:rFonts w:hint="eastAsia" w:ascii="宋体" w:hAnsi="宋体" w:cs="宋体"/>
          <w:bCs/>
          <w:sz w:val="24"/>
        </w:rPr>
        <w:t>全速度段称重满足动态衡器5级标准；</w:t>
      </w:r>
    </w:p>
    <w:p>
      <w:pPr>
        <w:snapToGrid w:val="0"/>
        <w:spacing w:line="360" w:lineRule="auto"/>
        <w:ind w:firstLine="480" w:firstLineChars="200"/>
        <w:rPr>
          <w:rFonts w:ascii="宋体" w:hAnsi="宋体" w:cs="宋体"/>
          <w:bCs/>
          <w:sz w:val="24"/>
        </w:rPr>
      </w:pPr>
      <w:r>
        <w:rPr>
          <w:rFonts w:hint="eastAsia" w:ascii="宋体" w:hAnsi="宋体" w:cs="宋体"/>
          <w:bCs/>
          <w:sz w:val="24"/>
        </w:rPr>
        <w:t>自动匹配车辆重量数据和车牌、抓拍数据，形成完整检测数据；</w:t>
      </w:r>
    </w:p>
    <w:p>
      <w:pPr>
        <w:snapToGrid w:val="0"/>
        <w:spacing w:line="360" w:lineRule="auto"/>
        <w:ind w:firstLine="480" w:firstLineChars="200"/>
        <w:rPr>
          <w:rFonts w:ascii="宋体" w:hAnsi="宋体" w:cs="宋体"/>
          <w:bCs/>
          <w:sz w:val="24"/>
        </w:rPr>
      </w:pPr>
      <w:r>
        <w:rPr>
          <w:rFonts w:hint="eastAsia" w:ascii="宋体" w:hAnsi="宋体" w:cs="宋体"/>
          <w:bCs/>
          <w:sz w:val="24"/>
        </w:rPr>
        <w:t>自动上传检测数据。</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3.9.5车辆特殊过衡行驶行为智能识别系统</w:t>
      </w:r>
    </w:p>
    <w:p>
      <w:pPr>
        <w:snapToGrid w:val="0"/>
        <w:spacing w:line="360" w:lineRule="auto"/>
        <w:ind w:firstLine="480" w:firstLineChars="200"/>
        <w:rPr>
          <w:rFonts w:ascii="宋体" w:hAnsi="宋体" w:cs="宋体"/>
          <w:bCs/>
          <w:sz w:val="24"/>
        </w:rPr>
      </w:pPr>
      <w:r>
        <w:rPr>
          <w:rFonts w:hint="eastAsia" w:ascii="宋体" w:hAnsi="宋体" w:cs="宋体"/>
          <w:bCs/>
          <w:sz w:val="24"/>
        </w:rPr>
        <w:t>软件用来判别公路车辆特殊过衡状态行驶行为；</w:t>
      </w:r>
    </w:p>
    <w:p>
      <w:pPr>
        <w:snapToGrid w:val="0"/>
        <w:spacing w:line="360" w:lineRule="auto"/>
        <w:ind w:firstLine="480" w:firstLineChars="200"/>
        <w:rPr>
          <w:rFonts w:ascii="宋体" w:hAnsi="宋体" w:cs="宋体"/>
          <w:bCs/>
          <w:sz w:val="24"/>
        </w:rPr>
      </w:pPr>
      <w:r>
        <w:rPr>
          <w:rFonts w:hint="eastAsia" w:ascii="宋体" w:hAnsi="宋体" w:cs="宋体"/>
          <w:bCs/>
          <w:sz w:val="24"/>
        </w:rPr>
        <w:t>自动判断正向、逆向行驶行为，准确定义行驶方向和车道；</w:t>
      </w:r>
    </w:p>
    <w:p>
      <w:pPr>
        <w:snapToGrid w:val="0"/>
        <w:spacing w:line="360" w:lineRule="auto"/>
        <w:ind w:firstLine="480" w:firstLineChars="200"/>
        <w:rPr>
          <w:rFonts w:ascii="宋体" w:hAnsi="宋体" w:cs="宋体"/>
          <w:bCs/>
          <w:sz w:val="24"/>
        </w:rPr>
      </w:pPr>
      <w:r>
        <w:rPr>
          <w:rFonts w:hint="eastAsia" w:ascii="宋体" w:hAnsi="宋体" w:cs="宋体"/>
          <w:bCs/>
          <w:sz w:val="24"/>
        </w:rPr>
        <w:t>自动判断单车跨道模块，压缝行驶行为，准确合并车辆数据；</w:t>
      </w:r>
    </w:p>
    <w:p>
      <w:pPr>
        <w:snapToGrid w:val="0"/>
        <w:spacing w:line="360" w:lineRule="auto"/>
        <w:ind w:firstLine="480" w:firstLineChars="200"/>
        <w:rPr>
          <w:rFonts w:ascii="宋体" w:hAnsi="宋体" w:cs="宋体"/>
          <w:bCs/>
          <w:sz w:val="24"/>
        </w:rPr>
      </w:pPr>
      <w:r>
        <w:rPr>
          <w:rFonts w:hint="eastAsia" w:ascii="宋体" w:hAnsi="宋体" w:cs="宋体"/>
          <w:bCs/>
          <w:sz w:val="24"/>
        </w:rPr>
        <w:t>加强反作弊能力，自动判断超低速、走走停停行为，保证车辆判断不断轴。</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3.9.6现场工控机</w:t>
      </w:r>
    </w:p>
    <w:p>
      <w:pPr>
        <w:snapToGrid w:val="0"/>
        <w:spacing w:line="360" w:lineRule="auto"/>
        <w:ind w:firstLine="480" w:firstLineChars="200"/>
        <w:rPr>
          <w:rFonts w:hint="eastAsia" w:ascii="宋体" w:hAnsi="宋体" w:cs="宋体"/>
          <w:bCs/>
          <w:sz w:val="24"/>
        </w:rPr>
      </w:pPr>
      <w:r>
        <w:rPr>
          <w:rFonts w:hint="eastAsia" w:ascii="宋体" w:hAnsi="宋体" w:cs="宋体"/>
          <w:bCs/>
          <w:sz w:val="24"/>
        </w:rPr>
        <w:t>特殊定制称重仪表；处理器：Intel I7；内存：8G；硬件部分：19”标准机架，4U；双硬盘：500G/7200转+120G固态硬盘；网络：10/100M/1000M自适应网卡×2；软件部分：操作系统：WindowsXP/7；全天候连续工作；断电后来电自动开机并自动加载监控系统。</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3.9.7现场控制机柜</w:t>
      </w:r>
    </w:p>
    <w:p>
      <w:pPr>
        <w:snapToGrid w:val="0"/>
        <w:spacing w:line="360" w:lineRule="auto"/>
        <w:ind w:firstLine="480" w:firstLineChars="200"/>
        <w:rPr>
          <w:rFonts w:ascii="宋体" w:hAnsi="宋体" w:cs="宋体"/>
          <w:bCs/>
          <w:sz w:val="24"/>
        </w:rPr>
      </w:pPr>
      <w:r>
        <w:rPr>
          <w:rFonts w:hint="eastAsia" w:ascii="宋体" w:hAnsi="宋体" w:cs="宋体"/>
          <w:bCs/>
          <w:sz w:val="24"/>
        </w:rPr>
        <w:t>控制柜箱体厚度为≥2mm的冷轧板，使用防盗锁；</w:t>
      </w:r>
    </w:p>
    <w:p>
      <w:pPr>
        <w:snapToGrid w:val="0"/>
        <w:spacing w:line="360" w:lineRule="auto"/>
        <w:ind w:firstLine="480" w:firstLineChars="200"/>
        <w:rPr>
          <w:rFonts w:ascii="宋体" w:hAnsi="宋体" w:cs="宋体"/>
          <w:bCs/>
          <w:sz w:val="24"/>
        </w:rPr>
      </w:pPr>
      <w:r>
        <w:rPr>
          <w:rFonts w:hint="eastAsia" w:ascii="宋体" w:hAnsi="宋体" w:cs="宋体"/>
          <w:bCs/>
          <w:sz w:val="24"/>
        </w:rPr>
        <w:t>机柜规格600*700*1</w:t>
      </w:r>
      <w:r>
        <w:rPr>
          <w:rFonts w:ascii="宋体" w:hAnsi="宋体" w:cs="宋体"/>
          <w:bCs/>
          <w:sz w:val="24"/>
        </w:rPr>
        <w:t>9</w:t>
      </w:r>
      <w:r>
        <w:rPr>
          <w:rFonts w:hint="eastAsia" w:ascii="宋体" w:hAnsi="宋体" w:cs="宋体"/>
          <w:bCs/>
          <w:sz w:val="24"/>
        </w:rPr>
        <w:t>00；</w:t>
      </w:r>
    </w:p>
    <w:p>
      <w:pPr>
        <w:snapToGrid w:val="0"/>
        <w:spacing w:line="360" w:lineRule="auto"/>
        <w:ind w:firstLine="480" w:firstLineChars="200"/>
        <w:rPr>
          <w:rFonts w:ascii="宋体" w:hAnsi="宋体" w:cs="宋体"/>
          <w:bCs/>
          <w:sz w:val="24"/>
        </w:rPr>
      </w:pPr>
      <w:r>
        <w:rPr>
          <w:rFonts w:hint="eastAsia" w:ascii="宋体" w:hAnsi="宋体" w:cs="宋体"/>
          <w:bCs/>
          <w:sz w:val="24"/>
        </w:rPr>
        <w:t>带制冷设备；</w:t>
      </w:r>
    </w:p>
    <w:p>
      <w:pPr>
        <w:snapToGrid w:val="0"/>
        <w:spacing w:line="360" w:lineRule="auto"/>
        <w:ind w:firstLine="480" w:firstLineChars="200"/>
        <w:rPr>
          <w:rFonts w:ascii="宋体" w:hAnsi="宋体" w:cs="宋体"/>
          <w:bCs/>
          <w:sz w:val="24"/>
        </w:rPr>
      </w:pPr>
      <w:r>
        <w:rPr>
          <w:rFonts w:hint="eastAsia" w:ascii="宋体" w:hAnsi="宋体" w:cs="宋体"/>
          <w:bCs/>
          <w:sz w:val="24"/>
        </w:rPr>
        <w:t>控制柜采用落地安装，落地时基础墩台高度不小于30cm；</w:t>
      </w:r>
    </w:p>
    <w:p>
      <w:pPr>
        <w:snapToGrid w:val="0"/>
        <w:spacing w:line="360" w:lineRule="auto"/>
        <w:ind w:firstLine="480" w:firstLineChars="200"/>
        <w:rPr>
          <w:rFonts w:ascii="宋体" w:hAnsi="宋体" w:cs="宋体"/>
          <w:bCs/>
          <w:sz w:val="24"/>
        </w:rPr>
      </w:pPr>
      <w:r>
        <w:rPr>
          <w:rFonts w:hint="eastAsia" w:ascii="宋体" w:hAnsi="宋体" w:cs="宋体"/>
          <w:bCs/>
          <w:sz w:val="24"/>
        </w:rPr>
        <w:t>使用寿命大于l0年；</w:t>
      </w:r>
    </w:p>
    <w:p>
      <w:pPr>
        <w:snapToGrid w:val="0"/>
        <w:spacing w:line="360" w:lineRule="auto"/>
        <w:ind w:firstLine="480" w:firstLineChars="200"/>
        <w:rPr>
          <w:rFonts w:ascii="宋体" w:hAnsi="宋体" w:cs="宋体"/>
          <w:bCs/>
          <w:sz w:val="24"/>
        </w:rPr>
      </w:pPr>
      <w:r>
        <w:rPr>
          <w:rFonts w:hint="eastAsia" w:ascii="宋体" w:hAnsi="宋体" w:cs="宋体"/>
          <w:bCs/>
          <w:sz w:val="24"/>
        </w:rPr>
        <w:t>相对湿度：0～95％R.H；</w:t>
      </w:r>
    </w:p>
    <w:p>
      <w:pPr>
        <w:snapToGrid w:val="0"/>
        <w:spacing w:line="360" w:lineRule="auto"/>
        <w:ind w:firstLine="480" w:firstLineChars="200"/>
        <w:rPr>
          <w:rFonts w:ascii="宋体" w:hAnsi="宋体" w:cs="宋体"/>
          <w:bCs/>
          <w:sz w:val="24"/>
        </w:rPr>
      </w:pPr>
      <w:r>
        <w:rPr>
          <w:rFonts w:hint="eastAsia" w:ascii="宋体" w:hAnsi="宋体" w:cs="宋体"/>
          <w:bCs/>
          <w:sz w:val="24"/>
        </w:rPr>
        <w:t>工作温度：-30℃～+60℃。</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3.9.8车检线圈</w:t>
      </w:r>
    </w:p>
    <w:p>
      <w:pPr>
        <w:snapToGrid w:val="0"/>
        <w:spacing w:line="360" w:lineRule="auto"/>
        <w:ind w:firstLine="480" w:firstLineChars="200"/>
        <w:rPr>
          <w:rFonts w:ascii="宋体" w:hAnsi="宋体" w:cs="宋体"/>
          <w:bCs/>
          <w:sz w:val="24"/>
        </w:rPr>
      </w:pPr>
      <w:r>
        <w:rPr>
          <w:rFonts w:hint="eastAsia" w:ascii="宋体" w:hAnsi="宋体" w:cs="宋体"/>
          <w:bCs/>
          <w:sz w:val="24"/>
        </w:rPr>
        <w:t>专用地感线圈电缆，具有耐磨、防水、耐寒、耐油耐汽油混合物，不易燃烧，不易老化，环保等特点；</w:t>
      </w:r>
    </w:p>
    <w:p>
      <w:pPr>
        <w:snapToGrid w:val="0"/>
        <w:spacing w:line="360" w:lineRule="auto"/>
        <w:ind w:firstLine="480" w:firstLineChars="200"/>
        <w:rPr>
          <w:rFonts w:ascii="宋体" w:hAnsi="宋体" w:cs="宋体"/>
          <w:bCs/>
          <w:sz w:val="24"/>
        </w:rPr>
      </w:pPr>
      <w:r>
        <w:rPr>
          <w:rFonts w:hint="eastAsia" w:ascii="宋体" w:hAnsi="宋体" w:cs="宋体"/>
          <w:bCs/>
          <w:sz w:val="24"/>
        </w:rPr>
        <w:t>使用温度：-60～+105℃；</w:t>
      </w:r>
    </w:p>
    <w:p>
      <w:pPr>
        <w:snapToGrid w:val="0"/>
        <w:spacing w:line="360" w:lineRule="auto"/>
        <w:ind w:firstLine="480" w:firstLineChars="200"/>
        <w:rPr>
          <w:rFonts w:ascii="宋体" w:hAnsi="宋体" w:cs="宋体"/>
          <w:bCs/>
          <w:sz w:val="24"/>
        </w:rPr>
      </w:pPr>
      <w:r>
        <w:rPr>
          <w:rFonts w:hint="eastAsia" w:ascii="宋体" w:hAnsi="宋体" w:cs="宋体"/>
          <w:bCs/>
          <w:sz w:val="24"/>
        </w:rPr>
        <w:t>导体：绞合镀锡铜线；</w:t>
      </w:r>
    </w:p>
    <w:p>
      <w:pPr>
        <w:snapToGrid w:val="0"/>
        <w:spacing w:line="360" w:lineRule="auto"/>
        <w:ind w:firstLine="480" w:firstLineChars="200"/>
        <w:rPr>
          <w:rFonts w:ascii="宋体" w:hAnsi="宋体" w:cs="宋体"/>
          <w:bCs/>
          <w:sz w:val="24"/>
        </w:rPr>
      </w:pPr>
      <w:r>
        <w:rPr>
          <w:rFonts w:hint="eastAsia" w:ascii="宋体" w:hAnsi="宋体" w:cs="宋体"/>
          <w:bCs/>
          <w:sz w:val="24"/>
        </w:rPr>
        <w:t>绝缘：聚氯乙烯（PVC）；</w:t>
      </w:r>
    </w:p>
    <w:p>
      <w:pPr>
        <w:snapToGrid w:val="0"/>
        <w:spacing w:line="360" w:lineRule="auto"/>
        <w:ind w:firstLine="480" w:firstLineChars="200"/>
        <w:rPr>
          <w:rFonts w:ascii="宋体" w:hAnsi="宋体" w:cs="宋体"/>
          <w:bCs/>
          <w:sz w:val="24"/>
        </w:rPr>
      </w:pPr>
      <w:r>
        <w:rPr>
          <w:rFonts w:hint="eastAsia" w:ascii="宋体" w:hAnsi="宋体" w:cs="宋体"/>
          <w:bCs/>
          <w:sz w:val="24"/>
        </w:rPr>
        <w:t>护套：玻璃纤维编织+腊克涂覆；</w:t>
      </w:r>
    </w:p>
    <w:p>
      <w:pPr>
        <w:snapToGrid w:val="0"/>
        <w:spacing w:line="360" w:lineRule="auto"/>
        <w:ind w:firstLine="480" w:firstLineChars="200"/>
        <w:rPr>
          <w:rFonts w:ascii="宋体" w:hAnsi="宋体" w:cs="宋体"/>
          <w:bCs/>
          <w:sz w:val="24"/>
        </w:rPr>
      </w:pPr>
      <w:r>
        <w:rPr>
          <w:rFonts w:hint="eastAsia" w:ascii="宋体" w:hAnsi="宋体" w:cs="宋体"/>
          <w:bCs/>
          <w:sz w:val="24"/>
        </w:rPr>
        <w:t>颜色：红/黄/兰/白/黑/黄绿/棕等；</w:t>
      </w:r>
    </w:p>
    <w:p>
      <w:pPr>
        <w:snapToGrid w:val="0"/>
        <w:spacing w:line="360" w:lineRule="auto"/>
        <w:ind w:firstLine="480" w:firstLineChars="200"/>
        <w:rPr>
          <w:rFonts w:ascii="宋体" w:hAnsi="宋体" w:cs="宋体"/>
          <w:bCs/>
          <w:sz w:val="24"/>
        </w:rPr>
      </w:pPr>
      <w:r>
        <w:rPr>
          <w:rFonts w:hint="eastAsia" w:ascii="宋体" w:hAnsi="宋体" w:cs="宋体"/>
          <w:bCs/>
          <w:sz w:val="24"/>
        </w:rPr>
        <w:t>每车道</w:t>
      </w:r>
      <w:r>
        <w:rPr>
          <w:rFonts w:ascii="宋体" w:hAnsi="宋体" w:cs="宋体"/>
          <w:bCs/>
          <w:sz w:val="24"/>
        </w:rPr>
        <w:t>1</w:t>
      </w:r>
      <w:r>
        <w:rPr>
          <w:rFonts w:hint="eastAsia" w:ascii="宋体" w:hAnsi="宋体" w:cs="宋体"/>
          <w:bCs/>
          <w:sz w:val="24"/>
        </w:rPr>
        <w:t>套，电感量100mH~200mH；</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w:t>
      </w:r>
      <w:r>
        <w:rPr>
          <w:rFonts w:ascii="宋体" w:hAnsi="宋体" w:eastAsia="宋体" w:cs="宋体"/>
          <w:b/>
          <w:sz w:val="24"/>
          <w:lang w:eastAsia="zh-CN" w:bidi="ar-SA"/>
        </w:rPr>
        <w:t>3</w:t>
      </w:r>
      <w:r>
        <w:rPr>
          <w:rFonts w:hint="eastAsia" w:ascii="宋体" w:hAnsi="宋体" w:eastAsia="宋体" w:cs="宋体"/>
          <w:b/>
          <w:sz w:val="24"/>
          <w:lang w:eastAsia="zh-CN" w:bidi="ar-SA"/>
        </w:rPr>
        <w:t>.9工业交换机</w:t>
      </w:r>
    </w:p>
    <w:p>
      <w:pPr>
        <w:snapToGrid w:val="0"/>
        <w:spacing w:line="360" w:lineRule="auto"/>
        <w:ind w:firstLine="480" w:firstLineChars="200"/>
        <w:rPr>
          <w:rFonts w:ascii="宋体" w:hAnsi="宋体" w:cs="宋体"/>
          <w:bCs/>
          <w:sz w:val="24"/>
        </w:rPr>
      </w:pPr>
      <w:r>
        <w:rPr>
          <w:rFonts w:hint="eastAsia" w:ascii="宋体" w:hAnsi="宋体" w:cs="宋体"/>
          <w:bCs/>
          <w:sz w:val="24"/>
        </w:rPr>
        <w:t>防雷：共模防护7KV，防雷等级4级；</w:t>
      </w:r>
    </w:p>
    <w:p>
      <w:pPr>
        <w:snapToGrid w:val="0"/>
        <w:spacing w:line="360" w:lineRule="auto"/>
        <w:ind w:firstLine="480" w:firstLineChars="200"/>
        <w:rPr>
          <w:rFonts w:ascii="宋体" w:hAnsi="宋体" w:cs="宋体"/>
          <w:bCs/>
          <w:sz w:val="24"/>
        </w:rPr>
      </w:pPr>
      <w:r>
        <w:rPr>
          <w:rFonts w:hint="eastAsia" w:ascii="宋体" w:hAnsi="宋体" w:cs="宋体"/>
          <w:bCs/>
          <w:sz w:val="24"/>
        </w:rPr>
        <w:t>工作湿度：5%～95%，无冷凝；</w:t>
      </w:r>
    </w:p>
    <w:p>
      <w:pPr>
        <w:snapToGrid w:val="0"/>
        <w:spacing w:line="360" w:lineRule="auto"/>
        <w:ind w:firstLine="480" w:firstLineChars="200"/>
        <w:rPr>
          <w:rFonts w:ascii="宋体" w:hAnsi="宋体" w:cs="宋体"/>
          <w:bCs/>
          <w:sz w:val="24"/>
        </w:rPr>
      </w:pPr>
      <w:r>
        <w:rPr>
          <w:rFonts w:hint="eastAsia" w:ascii="宋体" w:hAnsi="宋体" w:cs="宋体"/>
          <w:bCs/>
          <w:sz w:val="24"/>
        </w:rPr>
        <w:t>背板带宽：48Gbps；包转发率：35.7Mbps；</w:t>
      </w:r>
    </w:p>
    <w:p>
      <w:pPr>
        <w:snapToGrid w:val="0"/>
        <w:spacing w:line="360" w:lineRule="auto"/>
        <w:ind w:firstLine="480" w:firstLineChars="200"/>
        <w:rPr>
          <w:rFonts w:ascii="宋体" w:hAnsi="宋体" w:cs="宋体"/>
          <w:bCs/>
          <w:sz w:val="24"/>
        </w:rPr>
      </w:pPr>
      <w:r>
        <w:rPr>
          <w:rFonts w:hint="eastAsia" w:ascii="宋体" w:hAnsi="宋体" w:cs="宋体"/>
          <w:bCs/>
          <w:sz w:val="24"/>
        </w:rPr>
        <w:t>传输方式：存储转发方式； 10/100/1000M自适应以太网端口：IEEE802.3 10BASE-T以太网，IEEE802.3u 100BASE-TX快速以太网；</w:t>
      </w:r>
    </w:p>
    <w:p>
      <w:pPr>
        <w:snapToGrid w:val="0"/>
        <w:spacing w:line="360" w:lineRule="auto"/>
        <w:ind w:firstLine="480" w:firstLineChars="200"/>
        <w:rPr>
          <w:rFonts w:ascii="宋体" w:hAnsi="宋体" w:cs="宋体"/>
          <w:bCs/>
          <w:sz w:val="24"/>
        </w:rPr>
      </w:pPr>
      <w:r>
        <w:rPr>
          <w:rFonts w:hint="eastAsia" w:ascii="宋体" w:hAnsi="宋体" w:cs="宋体"/>
          <w:bCs/>
          <w:sz w:val="24"/>
        </w:rPr>
        <w:t>IEEE802.3ab 1000Base-T千兆以太网，ANSI/IEEE 802.3 NWay自动协商；</w:t>
      </w:r>
    </w:p>
    <w:p>
      <w:pPr>
        <w:snapToGrid w:val="0"/>
        <w:spacing w:line="360" w:lineRule="auto"/>
        <w:ind w:firstLine="480" w:firstLineChars="200"/>
        <w:rPr>
          <w:rFonts w:ascii="宋体" w:hAnsi="宋体" w:cs="宋体"/>
          <w:bCs/>
          <w:sz w:val="24"/>
        </w:rPr>
      </w:pPr>
      <w:r>
        <w:rPr>
          <w:rFonts w:hint="eastAsia" w:ascii="宋体" w:hAnsi="宋体" w:cs="宋体"/>
          <w:bCs/>
          <w:sz w:val="24"/>
        </w:rPr>
        <w:t>IEEE802.3x流控；MAC地址表8K。</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w:t>
      </w:r>
      <w:r>
        <w:rPr>
          <w:rFonts w:ascii="宋体" w:hAnsi="宋体" w:eastAsia="宋体" w:cs="宋体"/>
          <w:b/>
          <w:sz w:val="24"/>
          <w:lang w:eastAsia="zh-CN" w:bidi="ar-SA"/>
        </w:rPr>
        <w:t>3</w:t>
      </w:r>
      <w:r>
        <w:rPr>
          <w:rFonts w:hint="eastAsia" w:ascii="宋体" w:hAnsi="宋体" w:eastAsia="宋体" w:cs="宋体"/>
          <w:b/>
          <w:sz w:val="24"/>
          <w:lang w:eastAsia="zh-CN" w:bidi="ar-SA"/>
        </w:rPr>
        <w:t>.10 900万像素高清抓拍相机</w:t>
      </w:r>
    </w:p>
    <w:p>
      <w:pPr>
        <w:snapToGrid w:val="0"/>
        <w:spacing w:line="360" w:lineRule="auto"/>
        <w:ind w:firstLine="480" w:firstLineChars="200"/>
        <w:rPr>
          <w:rFonts w:ascii="宋体" w:hAnsi="宋体" w:cs="宋体"/>
          <w:bCs/>
          <w:sz w:val="24"/>
        </w:rPr>
      </w:pPr>
      <w:r>
        <w:rPr>
          <w:rFonts w:hint="eastAsia" w:ascii="宋体" w:hAnsi="宋体" w:cs="宋体"/>
          <w:bCs/>
          <w:sz w:val="24"/>
        </w:rPr>
        <w:t>采用900万像素高帧率彩色逐行扫描CCD高清智能摄像机，最大分辨率：</w:t>
      </w:r>
      <w:r>
        <w:rPr>
          <w:rFonts w:ascii="宋体" w:hAnsi="宋体" w:cs="宋体"/>
          <w:bCs/>
          <w:sz w:val="24"/>
        </w:rPr>
        <w:t>4096*2160</w:t>
      </w:r>
      <w:r>
        <w:rPr>
          <w:rFonts w:hint="eastAsia" w:ascii="宋体" w:hAnsi="宋体" w:cs="宋体"/>
          <w:bCs/>
          <w:sz w:val="24"/>
        </w:rPr>
        <w:t>，帧率：25帧；</w:t>
      </w:r>
    </w:p>
    <w:p>
      <w:pPr>
        <w:snapToGrid w:val="0"/>
        <w:spacing w:line="360" w:lineRule="auto"/>
        <w:ind w:firstLine="480" w:firstLineChars="200"/>
        <w:rPr>
          <w:rFonts w:ascii="宋体" w:hAnsi="宋体" w:cs="宋体"/>
          <w:bCs/>
          <w:sz w:val="24"/>
        </w:rPr>
      </w:pPr>
      <w:r>
        <w:rPr>
          <w:rFonts w:hint="eastAsia" w:ascii="宋体" w:hAnsi="宋体" w:cs="宋体"/>
          <w:bCs/>
          <w:sz w:val="24"/>
        </w:rPr>
        <w:t>抓拍单元防护罩面板具有防尘防水滴功能；</w:t>
      </w:r>
    </w:p>
    <w:p>
      <w:pPr>
        <w:snapToGrid w:val="0"/>
        <w:spacing w:line="360" w:lineRule="auto"/>
        <w:ind w:firstLine="480" w:firstLineChars="200"/>
        <w:rPr>
          <w:rFonts w:ascii="宋体" w:hAnsi="宋体" w:cs="宋体"/>
          <w:bCs/>
          <w:sz w:val="24"/>
        </w:rPr>
      </w:pPr>
      <w:r>
        <w:rPr>
          <w:rFonts w:hint="eastAsia" w:ascii="宋体" w:hAnsi="宋体" w:cs="宋体"/>
          <w:bCs/>
          <w:sz w:val="24"/>
        </w:rPr>
        <w:t>输出图片格式：JPEG；</w:t>
      </w:r>
    </w:p>
    <w:p>
      <w:pPr>
        <w:snapToGrid w:val="0"/>
        <w:spacing w:line="360" w:lineRule="auto"/>
        <w:ind w:firstLine="480" w:firstLineChars="200"/>
        <w:rPr>
          <w:rFonts w:ascii="宋体" w:hAnsi="宋体" w:cs="宋体"/>
          <w:bCs/>
          <w:sz w:val="24"/>
        </w:rPr>
      </w:pPr>
      <w:r>
        <w:rPr>
          <w:rFonts w:hint="eastAsia" w:ascii="宋体" w:hAnsi="宋体" w:cs="宋体"/>
          <w:bCs/>
          <w:sz w:val="24"/>
        </w:rPr>
        <w:t>支持闪光灯和LED频闪灯同步补光；</w:t>
      </w:r>
    </w:p>
    <w:p>
      <w:pPr>
        <w:snapToGrid w:val="0"/>
        <w:spacing w:line="360" w:lineRule="auto"/>
        <w:ind w:firstLine="480" w:firstLineChars="200"/>
        <w:rPr>
          <w:rFonts w:ascii="宋体" w:hAnsi="宋体" w:cs="宋体"/>
          <w:bCs/>
          <w:sz w:val="24"/>
        </w:rPr>
      </w:pPr>
      <w:r>
        <w:rPr>
          <w:rFonts w:hint="eastAsia" w:ascii="宋体" w:hAnsi="宋体" w:cs="宋体"/>
          <w:bCs/>
          <w:sz w:val="24"/>
        </w:rPr>
        <w:t>全天平均车牌识别准确率≥90%；</w:t>
      </w:r>
    </w:p>
    <w:p>
      <w:pPr>
        <w:snapToGrid w:val="0"/>
        <w:spacing w:line="360" w:lineRule="auto"/>
        <w:ind w:firstLine="480" w:firstLineChars="200"/>
        <w:rPr>
          <w:rFonts w:ascii="宋体" w:hAnsi="宋体" w:cs="宋体"/>
          <w:bCs/>
          <w:sz w:val="24"/>
        </w:rPr>
      </w:pPr>
      <w:r>
        <w:rPr>
          <w:rFonts w:hint="eastAsia" w:ascii="宋体" w:hAnsi="宋体" w:cs="宋体"/>
          <w:bCs/>
          <w:sz w:val="24"/>
        </w:rPr>
        <w:t>识别车牌种类：民用车牌（除5小车辆）、警用车牌、2012式新军用车牌、2012式武警车牌；</w:t>
      </w:r>
    </w:p>
    <w:p>
      <w:pPr>
        <w:snapToGrid w:val="0"/>
        <w:spacing w:line="360" w:lineRule="auto"/>
        <w:ind w:firstLine="480" w:firstLineChars="200"/>
        <w:rPr>
          <w:rFonts w:ascii="宋体" w:hAnsi="宋体" w:cs="宋体"/>
          <w:bCs/>
          <w:sz w:val="24"/>
        </w:rPr>
      </w:pPr>
      <w:r>
        <w:rPr>
          <w:rFonts w:hint="eastAsia" w:ascii="宋体" w:hAnsi="宋体" w:cs="宋体"/>
          <w:bCs/>
          <w:sz w:val="24"/>
        </w:rPr>
        <w:t>车身颜色识别准确率：深浅分类准确率≥80%；</w:t>
      </w:r>
    </w:p>
    <w:p>
      <w:pPr>
        <w:snapToGrid w:val="0"/>
        <w:spacing w:line="360" w:lineRule="auto"/>
        <w:ind w:firstLine="480" w:firstLineChars="200"/>
        <w:rPr>
          <w:rFonts w:ascii="宋体" w:hAnsi="宋体" w:cs="宋体"/>
          <w:bCs/>
          <w:sz w:val="24"/>
        </w:rPr>
      </w:pPr>
      <w:r>
        <w:rPr>
          <w:rFonts w:hint="eastAsia" w:ascii="宋体" w:hAnsi="宋体" w:cs="宋体"/>
          <w:bCs/>
          <w:sz w:val="24"/>
        </w:rPr>
        <w:t>11种常见颜色（白灰黄粉红紫绿蓝棕黑青）车辆的识别率（白天≥85%，夜晚≥80%）。</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w:t>
      </w:r>
      <w:r>
        <w:rPr>
          <w:rFonts w:ascii="宋体" w:hAnsi="宋体" w:eastAsia="宋体" w:cs="宋体"/>
          <w:b/>
          <w:sz w:val="24"/>
          <w:lang w:eastAsia="zh-CN" w:bidi="ar-SA"/>
        </w:rPr>
        <w:t>3</w:t>
      </w:r>
      <w:r>
        <w:rPr>
          <w:rFonts w:hint="eastAsia" w:ascii="宋体" w:hAnsi="宋体" w:eastAsia="宋体" w:cs="宋体"/>
          <w:b/>
          <w:sz w:val="24"/>
          <w:lang w:eastAsia="zh-CN" w:bidi="ar-SA"/>
        </w:rPr>
        <w:t>.11 补光灯</w:t>
      </w:r>
    </w:p>
    <w:p>
      <w:pPr>
        <w:snapToGrid w:val="0"/>
        <w:spacing w:line="360" w:lineRule="auto"/>
        <w:ind w:firstLine="480" w:firstLineChars="200"/>
        <w:rPr>
          <w:rFonts w:ascii="宋体" w:hAnsi="宋体" w:cs="宋体"/>
          <w:bCs/>
          <w:sz w:val="24"/>
        </w:rPr>
      </w:pPr>
      <w:r>
        <w:rPr>
          <w:rFonts w:hint="eastAsia" w:ascii="宋体" w:hAnsi="宋体" w:cs="宋体"/>
          <w:bCs/>
          <w:sz w:val="24"/>
        </w:rPr>
        <w:t>光源类型16颗CREE光源，亮度 1-30级可调，环境感光阈值可调;</w:t>
      </w:r>
    </w:p>
    <w:p>
      <w:pPr>
        <w:snapToGrid w:val="0"/>
        <w:spacing w:line="360" w:lineRule="auto"/>
        <w:ind w:firstLine="480" w:firstLineChars="200"/>
        <w:rPr>
          <w:rFonts w:ascii="宋体" w:hAnsi="宋体" w:cs="宋体"/>
          <w:bCs/>
          <w:sz w:val="24"/>
        </w:rPr>
      </w:pPr>
      <w:r>
        <w:rPr>
          <w:rFonts w:hint="eastAsia" w:ascii="宋体" w:hAnsi="宋体" w:cs="宋体"/>
          <w:bCs/>
          <w:sz w:val="24"/>
        </w:rPr>
        <w:t>摄像机可以控制开启关闭，发光角度：10度，其它角度可选;</w:t>
      </w:r>
    </w:p>
    <w:p>
      <w:pPr>
        <w:snapToGrid w:val="0"/>
        <w:spacing w:line="360" w:lineRule="auto"/>
        <w:ind w:firstLine="480" w:firstLineChars="200"/>
        <w:rPr>
          <w:rFonts w:ascii="宋体" w:hAnsi="宋体" w:cs="宋体"/>
          <w:bCs/>
          <w:sz w:val="24"/>
        </w:rPr>
      </w:pPr>
      <w:r>
        <w:rPr>
          <w:rFonts w:hint="eastAsia" w:ascii="宋体" w:hAnsi="宋体" w:cs="宋体"/>
          <w:bCs/>
          <w:sz w:val="24"/>
        </w:rPr>
        <w:t>平均功率35W（出厂功率 20~50W 可调），光源波长 380～780nm，色温 3000K-4500K</w:t>
      </w:r>
      <w:r>
        <w:rPr>
          <w:rFonts w:ascii="宋体" w:hAnsi="宋体" w:cs="宋体"/>
          <w:bCs/>
          <w:sz w:val="24"/>
        </w:rPr>
        <w:t>;</w:t>
      </w:r>
    </w:p>
    <w:p>
      <w:pPr>
        <w:snapToGrid w:val="0"/>
        <w:spacing w:line="360" w:lineRule="auto"/>
        <w:ind w:firstLine="480" w:firstLineChars="200"/>
        <w:rPr>
          <w:rFonts w:ascii="宋体" w:hAnsi="宋体" w:cs="宋体"/>
          <w:bCs/>
          <w:sz w:val="24"/>
        </w:rPr>
      </w:pPr>
      <w:r>
        <w:rPr>
          <w:rFonts w:hint="eastAsia" w:ascii="宋体" w:hAnsi="宋体" w:cs="宋体"/>
          <w:bCs/>
          <w:sz w:val="24"/>
        </w:rPr>
        <w:t>控制方式：开关量、电平量均支持，外壳材质：金属铝 钢化超白玻璃，</w:t>
      </w:r>
    </w:p>
    <w:p>
      <w:pPr>
        <w:snapToGrid w:val="0"/>
        <w:spacing w:line="360" w:lineRule="auto"/>
        <w:ind w:firstLine="480" w:firstLineChars="200"/>
        <w:rPr>
          <w:rFonts w:ascii="宋体" w:hAnsi="宋体" w:cs="宋体"/>
          <w:bCs/>
          <w:sz w:val="24"/>
        </w:rPr>
      </w:pPr>
      <w:r>
        <w:rPr>
          <w:rFonts w:hint="eastAsia" w:ascii="宋体" w:hAnsi="宋体" w:cs="宋体"/>
          <w:bCs/>
          <w:sz w:val="24"/>
        </w:rPr>
        <w:t>外壳防尘防水等级 IP67;</w:t>
      </w:r>
    </w:p>
    <w:p>
      <w:pPr>
        <w:snapToGrid w:val="0"/>
        <w:spacing w:line="360" w:lineRule="auto"/>
        <w:ind w:firstLine="480" w:firstLineChars="200"/>
        <w:rPr>
          <w:rFonts w:ascii="宋体" w:hAnsi="宋体" w:cs="宋体"/>
          <w:bCs/>
          <w:sz w:val="24"/>
        </w:rPr>
      </w:pPr>
      <w:r>
        <w:rPr>
          <w:rFonts w:hint="eastAsia" w:ascii="宋体" w:hAnsi="宋体" w:cs="宋体"/>
          <w:bCs/>
          <w:sz w:val="24"/>
        </w:rPr>
        <w:t>工作环境温度 -40℃～70℃，工作环境湿度 10%～90%RH。</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w:t>
      </w:r>
      <w:r>
        <w:rPr>
          <w:rFonts w:ascii="宋体" w:hAnsi="宋体" w:eastAsia="宋体" w:cs="宋体"/>
          <w:b/>
          <w:sz w:val="24"/>
          <w:lang w:eastAsia="zh-CN" w:bidi="ar-SA"/>
        </w:rPr>
        <w:t>3</w:t>
      </w:r>
      <w:r>
        <w:rPr>
          <w:rFonts w:hint="eastAsia" w:ascii="宋体" w:hAnsi="宋体" w:eastAsia="宋体" w:cs="宋体"/>
          <w:b/>
          <w:sz w:val="24"/>
          <w:lang w:eastAsia="zh-CN" w:bidi="ar-SA"/>
        </w:rPr>
        <w:t>.12爆闪灯</w:t>
      </w:r>
    </w:p>
    <w:p>
      <w:pPr>
        <w:snapToGrid w:val="0"/>
        <w:spacing w:line="360" w:lineRule="auto"/>
        <w:ind w:firstLine="480" w:firstLineChars="200"/>
        <w:rPr>
          <w:rFonts w:ascii="宋体" w:hAnsi="宋体" w:cs="宋体"/>
          <w:bCs/>
          <w:sz w:val="24"/>
        </w:rPr>
      </w:pPr>
      <w:r>
        <w:rPr>
          <w:rFonts w:hint="eastAsia" w:ascii="宋体" w:hAnsi="宋体" w:cs="宋体"/>
          <w:bCs/>
          <w:sz w:val="24"/>
        </w:rPr>
        <w:t>电源电压 AC 220V±10%/48Hz～52Hz；</w:t>
      </w:r>
    </w:p>
    <w:p>
      <w:pPr>
        <w:snapToGrid w:val="0"/>
        <w:spacing w:line="360" w:lineRule="auto"/>
        <w:ind w:firstLine="480" w:firstLineChars="200"/>
        <w:rPr>
          <w:rFonts w:ascii="宋体" w:hAnsi="宋体" w:cs="宋体"/>
          <w:bCs/>
          <w:sz w:val="24"/>
        </w:rPr>
      </w:pPr>
      <w:r>
        <w:rPr>
          <w:rFonts w:hint="eastAsia" w:ascii="宋体" w:hAnsi="宋体" w:cs="宋体"/>
          <w:bCs/>
          <w:sz w:val="24"/>
        </w:rPr>
        <w:t>色温值（K） 5500K±500K；闪光能量 200J；</w:t>
      </w:r>
    </w:p>
    <w:p>
      <w:pPr>
        <w:snapToGrid w:val="0"/>
        <w:spacing w:line="360" w:lineRule="auto"/>
        <w:ind w:firstLine="480" w:firstLineChars="200"/>
        <w:rPr>
          <w:rFonts w:ascii="宋体" w:hAnsi="宋体" w:cs="宋体"/>
          <w:bCs/>
          <w:sz w:val="24"/>
        </w:rPr>
      </w:pPr>
      <w:r>
        <w:rPr>
          <w:rFonts w:hint="eastAsia" w:ascii="宋体" w:hAnsi="宋体" w:cs="宋体"/>
          <w:bCs/>
          <w:sz w:val="24"/>
        </w:rPr>
        <w:t>功耗（w） 平均＜100W（@1闪/s），瞬间最大＜300W；峰值闪光持续时间 1/30ms；回电时间＜67ms；</w:t>
      </w:r>
    </w:p>
    <w:p>
      <w:pPr>
        <w:snapToGrid w:val="0"/>
        <w:spacing w:line="360" w:lineRule="auto"/>
        <w:ind w:firstLine="480" w:firstLineChars="200"/>
        <w:rPr>
          <w:rFonts w:ascii="宋体" w:hAnsi="宋体" w:cs="宋体"/>
          <w:bCs/>
          <w:sz w:val="24"/>
        </w:rPr>
      </w:pPr>
      <w:r>
        <w:rPr>
          <w:rFonts w:hint="eastAsia" w:ascii="宋体" w:hAnsi="宋体" w:cs="宋体"/>
          <w:bCs/>
          <w:sz w:val="24"/>
        </w:rPr>
        <w:t>有效补光距离 16m～25m；触发方式 电平触发；</w:t>
      </w:r>
    </w:p>
    <w:p>
      <w:pPr>
        <w:snapToGrid w:val="0"/>
        <w:spacing w:line="360" w:lineRule="auto"/>
        <w:ind w:firstLine="480" w:firstLineChars="200"/>
        <w:rPr>
          <w:rFonts w:ascii="宋体" w:hAnsi="宋体" w:cs="宋体"/>
          <w:bCs/>
          <w:sz w:val="24"/>
        </w:rPr>
      </w:pPr>
      <w:r>
        <w:rPr>
          <w:rFonts w:hint="eastAsia" w:ascii="宋体" w:hAnsi="宋体" w:cs="宋体"/>
          <w:bCs/>
          <w:sz w:val="24"/>
        </w:rPr>
        <w:t>工作环境（温度） -25～+70℃（-40℃内均可安全使用/有衰减）；工作环境（湿度） 5%~90%@40℃，无凝结；</w:t>
      </w:r>
    </w:p>
    <w:p>
      <w:pPr>
        <w:snapToGrid w:val="0"/>
        <w:spacing w:line="360" w:lineRule="auto"/>
        <w:ind w:firstLine="480" w:firstLineChars="200"/>
        <w:rPr>
          <w:rFonts w:ascii="宋体" w:hAnsi="宋体" w:cs="宋体"/>
          <w:bCs/>
          <w:sz w:val="24"/>
        </w:rPr>
      </w:pPr>
      <w:r>
        <w:rPr>
          <w:rFonts w:hint="eastAsia" w:ascii="宋体" w:hAnsi="宋体" w:cs="宋体"/>
          <w:bCs/>
          <w:sz w:val="24"/>
        </w:rPr>
        <w:t>覆盖范围单车道；寿命≥2000万次；防护等级 IP65。</w:t>
      </w:r>
    </w:p>
    <w:p>
      <w:pPr>
        <w:pStyle w:val="474"/>
        <w:ind w:firstLine="482" w:firstLineChars="200"/>
        <w:outlineLvl w:val="9"/>
        <w:rPr>
          <w:rFonts w:ascii="宋体" w:hAnsi="宋体" w:eastAsia="宋体" w:cs="宋体"/>
          <w:b/>
          <w:sz w:val="24"/>
          <w:lang w:eastAsia="zh-CN" w:bidi="ar-SA"/>
        </w:rPr>
      </w:pPr>
      <w:r>
        <w:rPr>
          <w:rFonts w:hint="eastAsia" w:ascii="宋体" w:hAnsi="宋体" w:eastAsia="宋体" w:cs="宋体"/>
          <w:b/>
          <w:sz w:val="24"/>
          <w:lang w:eastAsia="zh-CN" w:bidi="ar-SA"/>
        </w:rPr>
        <w:t>3.</w:t>
      </w:r>
      <w:r>
        <w:rPr>
          <w:rFonts w:ascii="宋体" w:hAnsi="宋体" w:eastAsia="宋体" w:cs="宋体"/>
          <w:b/>
          <w:sz w:val="24"/>
          <w:lang w:eastAsia="zh-CN" w:bidi="ar-SA"/>
        </w:rPr>
        <w:t>3</w:t>
      </w:r>
      <w:r>
        <w:rPr>
          <w:rFonts w:hint="eastAsia" w:ascii="宋体" w:hAnsi="宋体" w:eastAsia="宋体" w:cs="宋体"/>
          <w:b/>
          <w:sz w:val="24"/>
          <w:lang w:eastAsia="zh-CN" w:bidi="ar-SA"/>
        </w:rPr>
        <w:t>.13高速智能监控球机</w:t>
      </w:r>
    </w:p>
    <w:p>
      <w:pPr>
        <w:snapToGrid w:val="0"/>
        <w:spacing w:line="360" w:lineRule="auto"/>
        <w:ind w:firstLine="480" w:firstLineChars="200"/>
        <w:rPr>
          <w:rFonts w:ascii="宋体" w:hAnsi="宋体" w:cs="宋体"/>
          <w:bCs/>
          <w:sz w:val="24"/>
        </w:rPr>
      </w:pPr>
      <w:r>
        <w:rPr>
          <w:rFonts w:hint="eastAsia" w:ascii="宋体" w:hAnsi="宋体" w:cs="宋体"/>
          <w:bCs/>
          <w:sz w:val="24"/>
        </w:rPr>
        <w:t>图像传感器：1：2.8" Progressive Scan CMOS；</w:t>
      </w:r>
    </w:p>
    <w:p>
      <w:pPr>
        <w:snapToGrid w:val="0"/>
        <w:spacing w:line="360" w:lineRule="auto"/>
        <w:ind w:firstLine="480" w:firstLineChars="200"/>
        <w:rPr>
          <w:rFonts w:ascii="宋体" w:hAnsi="宋体" w:cs="宋体"/>
          <w:bCs/>
          <w:sz w:val="24"/>
        </w:rPr>
      </w:pPr>
      <w:r>
        <w:rPr>
          <w:rFonts w:hint="eastAsia" w:ascii="宋体" w:hAnsi="宋体" w:cs="宋体"/>
          <w:bCs/>
          <w:sz w:val="24"/>
        </w:rPr>
        <w:t>有效像素：≥300万像素；</w:t>
      </w:r>
    </w:p>
    <w:p>
      <w:pPr>
        <w:snapToGrid w:val="0"/>
        <w:spacing w:line="360" w:lineRule="auto"/>
        <w:ind w:firstLine="480" w:firstLineChars="200"/>
        <w:rPr>
          <w:rFonts w:ascii="宋体" w:hAnsi="宋体" w:cs="宋体"/>
          <w:bCs/>
          <w:sz w:val="24"/>
        </w:rPr>
      </w:pPr>
      <w:r>
        <w:rPr>
          <w:rFonts w:hint="eastAsia" w:ascii="宋体" w:hAnsi="宋体" w:cs="宋体"/>
          <w:bCs/>
          <w:sz w:val="24"/>
        </w:rPr>
        <w:t>最低照度：0 Lux with IR,彩色：0.005Lux @ (F1.6，AGC ON)；黑白：0.001Lux @ (F1.6，AGC ON)；</w:t>
      </w:r>
    </w:p>
    <w:p>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30倍光学变倍，16倍数字变倍；</w:t>
      </w:r>
    </w:p>
    <w:p>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采用高效红外阵列，低功耗，照射距离≥150m；</w:t>
      </w:r>
    </w:p>
    <w:p>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内置热处理装置，降低球机内腔温度，防止球机内罩起雾；</w:t>
      </w:r>
    </w:p>
    <w:p>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系统功能：采用高性能传感器，图像清晰;</w:t>
      </w:r>
    </w:p>
    <w:p>
      <w:pPr>
        <w:snapToGrid w:val="0"/>
        <w:spacing w:line="360" w:lineRule="auto"/>
        <w:ind w:firstLine="480" w:firstLineChars="200"/>
        <w:rPr>
          <w:rFonts w:ascii="宋体" w:hAnsi="宋体" w:cs="宋体"/>
          <w:b/>
          <w:bCs/>
          <w:kern w:val="0"/>
          <w:sz w:val="24"/>
          <w:highlight w:val="none"/>
        </w:rPr>
      </w:pPr>
      <w:r>
        <w:rPr>
          <w:rFonts w:hint="eastAsia" w:ascii="宋体" w:hAnsi="宋体" w:cs="宋体"/>
          <w:bCs/>
          <w:sz w:val="24"/>
          <w:highlight w:val="none"/>
        </w:rPr>
        <w:t>最大分辨率：2048×1536。</w:t>
      </w:r>
    </w:p>
    <w:p>
      <w:pPr>
        <w:keepLines/>
        <w:spacing w:line="360" w:lineRule="auto"/>
        <w:contextualSpacing/>
        <w:jc w:val="left"/>
        <w:rPr>
          <w:rFonts w:ascii="宋体" w:hAnsi="宋体" w:cs="宋体"/>
          <w:b/>
          <w:bCs/>
          <w:kern w:val="0"/>
          <w:sz w:val="28"/>
          <w:szCs w:val="28"/>
          <w:highlight w:val="none"/>
        </w:rPr>
      </w:pPr>
      <w:r>
        <w:rPr>
          <w:rFonts w:hint="eastAsia" w:ascii="宋体" w:hAnsi="宋体" w:cs="宋体"/>
          <w:b/>
          <w:bCs/>
          <w:kern w:val="0"/>
          <w:sz w:val="28"/>
          <w:szCs w:val="28"/>
          <w:highlight w:val="none"/>
        </w:rPr>
        <w:t>4.</w:t>
      </w:r>
      <w:r>
        <w:rPr>
          <w:rFonts w:hint="eastAsia" w:ascii="宋体" w:hAnsi="宋体" w:cs="宋体"/>
          <w:sz w:val="28"/>
          <w:szCs w:val="28"/>
          <w:highlight w:val="none"/>
        </w:rPr>
        <w:t>▲</w:t>
      </w:r>
      <w:r>
        <w:rPr>
          <w:rFonts w:hint="eastAsia" w:ascii="宋体" w:hAnsi="宋体" w:cs="宋体"/>
          <w:b/>
          <w:bCs/>
          <w:kern w:val="0"/>
          <w:sz w:val="28"/>
          <w:szCs w:val="28"/>
          <w:highlight w:val="none"/>
        </w:rPr>
        <w:t>项目进度要求</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本项目分两阶段实施，请投标人根据阶段划分进一步细化成工作计划：</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第一阶段：合同签订之日起</w:t>
      </w:r>
      <w:r>
        <w:rPr>
          <w:rFonts w:hint="eastAsia" w:ascii="宋体" w:hAnsi="宋体" w:cs="宋体"/>
          <w:b/>
          <w:bCs/>
          <w:sz w:val="24"/>
          <w:highlight w:val="none"/>
          <w:u w:val="single"/>
          <w:lang w:eastAsia="zh-CN"/>
        </w:rPr>
        <w:t>60个</w:t>
      </w:r>
      <w:r>
        <w:rPr>
          <w:rFonts w:hint="eastAsia" w:ascii="宋体" w:hAnsi="宋体" w:cs="宋体"/>
          <w:b/>
          <w:bCs/>
          <w:sz w:val="24"/>
          <w:highlight w:val="none"/>
        </w:rPr>
        <w:t>日历天</w:t>
      </w:r>
      <w:r>
        <w:rPr>
          <w:rFonts w:hint="eastAsia" w:ascii="宋体" w:hAnsi="宋体" w:cs="宋体"/>
          <w:sz w:val="24"/>
          <w:highlight w:val="none"/>
        </w:rPr>
        <w:t>内完成全部系统供货、安装</w:t>
      </w:r>
      <w:r>
        <w:rPr>
          <w:rFonts w:hint="eastAsia" w:ascii="宋体" w:hAnsi="宋体" w:cs="宋体"/>
          <w:bCs/>
          <w:sz w:val="24"/>
          <w:highlight w:val="none"/>
        </w:rPr>
        <w:t>和</w:t>
      </w:r>
      <w:r>
        <w:rPr>
          <w:rFonts w:hint="eastAsia" w:ascii="宋体" w:hAnsi="宋体" w:cs="宋体"/>
          <w:sz w:val="24"/>
          <w:highlight w:val="none"/>
        </w:rPr>
        <w:t>校准标定测试，初步验收通过后投入试运行（网络租赁开始）；</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第二阶段：试运行且正常运行</w:t>
      </w:r>
      <w:r>
        <w:rPr>
          <w:rFonts w:hint="eastAsia" w:ascii="宋体" w:hAnsi="宋体" w:cs="宋体"/>
          <w:b/>
          <w:bCs/>
          <w:sz w:val="24"/>
          <w:highlight w:val="none"/>
          <w:u w:val="single"/>
        </w:rPr>
        <w:t>100</w:t>
      </w:r>
      <w:r>
        <w:rPr>
          <w:rFonts w:hint="eastAsia" w:ascii="宋体" w:hAnsi="宋体" w:cs="宋体"/>
          <w:b/>
          <w:bCs/>
          <w:sz w:val="24"/>
          <w:highlight w:val="none"/>
        </w:rPr>
        <w:t>个日历天</w:t>
      </w:r>
      <w:r>
        <w:rPr>
          <w:rFonts w:hint="eastAsia" w:ascii="宋体" w:hAnsi="宋体" w:cs="宋体"/>
          <w:sz w:val="24"/>
          <w:highlight w:val="none"/>
        </w:rPr>
        <w:t>后进行第二阶段验收</w:t>
      </w:r>
      <w:r>
        <w:rPr>
          <w:rFonts w:hint="eastAsia" w:ascii="宋体" w:hAnsi="宋体" w:cs="宋体"/>
          <w:sz w:val="24"/>
          <w:highlight w:val="none"/>
          <w:lang w:eastAsia="zh-CN"/>
        </w:rPr>
        <w:t>（竣工验收）</w:t>
      </w:r>
    </w:p>
    <w:p>
      <w:pPr>
        <w:keepLines/>
        <w:spacing w:line="360" w:lineRule="auto"/>
        <w:contextualSpacing/>
        <w:jc w:val="left"/>
        <w:rPr>
          <w:rFonts w:ascii="宋体" w:hAnsi="宋体" w:cs="宋体"/>
          <w:b/>
          <w:bCs/>
          <w:kern w:val="0"/>
          <w:sz w:val="28"/>
          <w:szCs w:val="28"/>
          <w:highlight w:val="none"/>
        </w:rPr>
      </w:pPr>
      <w:r>
        <w:rPr>
          <w:rFonts w:hint="eastAsia" w:ascii="宋体" w:hAnsi="宋体" w:cs="宋体"/>
          <w:b/>
          <w:bCs/>
          <w:kern w:val="0"/>
          <w:sz w:val="28"/>
          <w:szCs w:val="28"/>
          <w:highlight w:val="none"/>
        </w:rPr>
        <w:t>5.技术文件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5.1投标人和提供的技术文件与项目实施及其提供的设备(硬件和软件)达到招标人技术和质量要求。所投产品必须是符合国家有关强制标准和认证，否则验收不合格；是符合国家有关规定的原厂商生产或授权生产的原装正品，否则验收不合格。</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5.2投标人提供的技术文件应该真实、全面、完整、详细，应以中文书写。</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5.3投标人提供的技术文件应是能满足系统进行所需的安装调试、操作使用及维护管理等所有设备的详细技术资料。</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5.4中标单位将所供货物的产品序列号、保修卡、合格证、测验报告等信息逐一进行登记，经采购人核对无误后加盖中标单位项目章，交采购人保管备查。</w:t>
      </w:r>
    </w:p>
    <w:p>
      <w:pPr>
        <w:keepLines/>
        <w:spacing w:line="360" w:lineRule="auto"/>
        <w:contextualSpacing/>
        <w:jc w:val="left"/>
        <w:rPr>
          <w:rFonts w:ascii="宋体" w:hAnsi="宋体" w:cs="宋体"/>
          <w:b/>
          <w:bCs/>
          <w:kern w:val="0"/>
          <w:sz w:val="28"/>
          <w:szCs w:val="28"/>
          <w:highlight w:val="none"/>
        </w:rPr>
      </w:pPr>
      <w:r>
        <w:rPr>
          <w:rFonts w:hint="eastAsia" w:ascii="宋体" w:hAnsi="宋体" w:cs="宋体"/>
          <w:b/>
          <w:bCs/>
          <w:kern w:val="0"/>
          <w:sz w:val="28"/>
          <w:szCs w:val="28"/>
          <w:highlight w:val="none"/>
        </w:rPr>
        <w:t>6.安装、调试、开通、验收、维护</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6.1投标人负责所提供的设备、软件的安装、调试及开通，用户单位予以配合。</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6.2设备、软件安装、调试所需的工具、仪表及安装材料等应由投标人自行解决。</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6.3投标人应向用户提交测试内容和方法。</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6.4安装要求：</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（1）中标人应在施工前提供详细的安装方案，并提交采购人认可。</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（2）施工过程应严格执行相关的强弱电施工规范，并保证施工安全。</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（3）中标单位应根据采购人的需要，在规定的时间内保证质量完成系统建设。</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6.5施工过程中应科学、合理地掌握与其他工程界面的协调、交叉。</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6.6系统项目建设完成试运行结束后，乙方提出验收申请。验收完成后，双方共同签署验收报告。</w:t>
      </w:r>
    </w:p>
    <w:p>
      <w:pPr>
        <w:spacing w:line="360" w:lineRule="auto"/>
        <w:ind w:firstLine="480" w:firstLineChars="200"/>
        <w:rPr>
          <w:rFonts w:ascii="宋体" w:hAnsi="宋体" w:cs="宋体"/>
          <w:b/>
          <w:sz w:val="24"/>
          <w:highlight w:val="none"/>
        </w:rPr>
      </w:pPr>
      <w:r>
        <w:rPr>
          <w:rFonts w:hint="eastAsia" w:ascii="宋体" w:hAnsi="宋体" w:cs="宋体"/>
          <w:sz w:val="24"/>
          <w:highlight w:val="none"/>
        </w:rPr>
        <w:t>▲6.7整个项目质保期为</w:t>
      </w:r>
      <w:r>
        <w:rPr>
          <w:rFonts w:hint="eastAsia" w:ascii="宋体" w:hAnsi="宋体" w:cs="宋体"/>
          <w:bCs/>
          <w:sz w:val="24"/>
          <w:highlight w:val="none"/>
          <w:lang w:eastAsia="zh-CN"/>
        </w:rPr>
        <w:t>竣工</w:t>
      </w:r>
      <w:r>
        <w:rPr>
          <w:rFonts w:hint="eastAsia" w:ascii="宋体" w:hAnsi="宋体" w:cs="宋体"/>
          <w:bCs/>
          <w:sz w:val="24"/>
          <w:highlight w:val="none"/>
        </w:rPr>
        <w:t>验收通过之日起不少于</w:t>
      </w:r>
      <w:r>
        <w:rPr>
          <w:rFonts w:hint="eastAsia" w:ascii="宋体" w:hAnsi="宋体" w:cs="宋体"/>
          <w:bCs/>
          <w:sz w:val="24"/>
          <w:highlight w:val="none"/>
          <w:lang w:eastAsia="zh-CN"/>
        </w:rPr>
        <w:t>5年</w:t>
      </w:r>
      <w:r>
        <w:rPr>
          <w:rFonts w:hint="eastAsia" w:ascii="宋体" w:hAnsi="宋体" w:cs="宋体"/>
          <w:b/>
          <w:sz w:val="24"/>
          <w:highlight w:val="none"/>
        </w:rPr>
        <w:t>。</w:t>
      </w:r>
    </w:p>
    <w:p>
      <w:pPr>
        <w:keepLines/>
        <w:spacing w:line="360" w:lineRule="auto"/>
        <w:contextualSpacing/>
        <w:jc w:val="left"/>
        <w:rPr>
          <w:rFonts w:ascii="宋体" w:hAnsi="宋体" w:cs="宋体"/>
          <w:b/>
          <w:bCs/>
          <w:kern w:val="0"/>
          <w:sz w:val="28"/>
          <w:szCs w:val="28"/>
          <w:highlight w:val="none"/>
        </w:rPr>
      </w:pPr>
      <w:r>
        <w:rPr>
          <w:rFonts w:hint="eastAsia" w:ascii="宋体" w:hAnsi="宋体" w:cs="宋体"/>
          <w:b/>
          <w:bCs/>
          <w:kern w:val="0"/>
          <w:sz w:val="28"/>
          <w:szCs w:val="28"/>
          <w:highlight w:val="none"/>
        </w:rPr>
        <w:t>7.技术服务</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7.1投标人应确保其技术建议以及所提供的设备的完整性、实用性，保证全部系统及时投入正常运行。否则若出现因投标人提供的设备不满足要求、不合理，或者其所提供的技术支持和服务不全面，而导致系统无法实现或不能完全实现的状况，投标人负全部责任。</w:t>
      </w:r>
    </w:p>
    <w:p>
      <w:pPr>
        <w:adjustRightInd/>
        <w:spacing w:line="360" w:lineRule="auto"/>
        <w:ind w:firstLine="480" w:firstLineChars="200"/>
        <w:rPr>
          <w:rFonts w:ascii="宋体" w:hAnsi="宋体" w:cs="宋体"/>
          <w:bCs/>
          <w:sz w:val="24"/>
          <w:highlight w:val="none"/>
        </w:rPr>
      </w:pPr>
      <w:r>
        <w:rPr>
          <w:rFonts w:hint="eastAsia" w:ascii="宋体" w:hAnsi="宋体" w:cs="宋体"/>
          <w:sz w:val="24"/>
          <w:highlight w:val="none"/>
        </w:rPr>
        <w:t>7.2</w:t>
      </w:r>
      <w:r>
        <w:rPr>
          <w:rFonts w:hint="eastAsia" w:ascii="宋体" w:hAnsi="宋体" w:cs="宋体"/>
          <w:bCs/>
          <w:sz w:val="24"/>
          <w:highlight w:val="none"/>
        </w:rPr>
        <w:t>如在使用过程中发生质量问题，乙方在接到甲方通知后在不超过故障申报</w:t>
      </w:r>
      <w:r>
        <w:rPr>
          <w:rFonts w:hint="eastAsia" w:ascii="宋体" w:hAnsi="宋体" w:cs="宋体"/>
          <w:bCs/>
          <w:sz w:val="24"/>
          <w:highlight w:val="none"/>
          <w:u w:val="single"/>
        </w:rPr>
        <w:t>1</w:t>
      </w:r>
      <w:r>
        <w:rPr>
          <w:rFonts w:hint="eastAsia" w:ascii="宋体" w:hAnsi="宋体" w:cs="宋体"/>
          <w:bCs/>
          <w:sz w:val="24"/>
          <w:highlight w:val="none"/>
        </w:rPr>
        <w:t>小时内到达现场，</w:t>
      </w:r>
      <w:r>
        <w:rPr>
          <w:rFonts w:hint="eastAsia" w:ascii="宋体" w:hAnsi="宋体" w:cs="宋体"/>
          <w:bCs/>
          <w:sz w:val="24"/>
          <w:highlight w:val="none"/>
          <w:u w:val="single"/>
        </w:rPr>
        <w:t>2</w:t>
      </w:r>
      <w:r>
        <w:rPr>
          <w:rFonts w:hint="eastAsia" w:ascii="宋体" w:hAnsi="宋体" w:cs="宋体"/>
          <w:bCs/>
          <w:sz w:val="24"/>
          <w:highlight w:val="none"/>
        </w:rPr>
        <w:t>个小时内解决问题。</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如果设备在质保期内发生设备故障，投标人应及时予以响应（免费上门服务），否则用户将自行采取必要的措施，由此产生风险和费用由投标人承担。</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▲7.3</w:t>
      </w:r>
      <w:r>
        <w:rPr>
          <w:rFonts w:hint="eastAsia" w:ascii="宋体" w:hAnsi="宋体" w:cs="宋体"/>
          <w:b/>
          <w:sz w:val="24"/>
          <w:highlight w:val="none"/>
        </w:rPr>
        <w:t>投标人对其提供的所有设备均应提供</w:t>
      </w:r>
      <w:r>
        <w:rPr>
          <w:rFonts w:hint="eastAsia" w:ascii="宋体" w:hAnsi="宋体" w:cs="宋体"/>
          <w:b/>
          <w:sz w:val="24"/>
          <w:highlight w:val="none"/>
          <w:lang w:eastAsia="zh-CN"/>
        </w:rPr>
        <w:t>竣工</w:t>
      </w:r>
      <w:r>
        <w:rPr>
          <w:rFonts w:hint="eastAsia" w:ascii="宋体" w:hAnsi="宋体" w:cs="宋体"/>
          <w:b/>
          <w:sz w:val="24"/>
          <w:highlight w:val="none"/>
        </w:rPr>
        <w:t>验收通过之日起</w:t>
      </w:r>
      <w:r>
        <w:rPr>
          <w:rFonts w:hint="eastAsia" w:ascii="宋体" w:hAnsi="宋体" w:cs="宋体"/>
          <w:b/>
          <w:sz w:val="24"/>
          <w:highlight w:val="none"/>
          <w:lang w:eastAsia="zh-CN"/>
        </w:rPr>
        <w:t>5年</w:t>
      </w:r>
      <w:r>
        <w:rPr>
          <w:rFonts w:hint="eastAsia" w:ascii="宋体" w:hAnsi="宋体" w:cs="宋体"/>
          <w:b/>
          <w:sz w:val="24"/>
          <w:highlight w:val="none"/>
        </w:rPr>
        <w:t>厂家质保。</w:t>
      </w:r>
    </w:p>
    <w:p>
      <w:pPr>
        <w:adjustRightInd/>
        <w:spacing w:line="360" w:lineRule="auto"/>
        <w:ind w:firstLine="480" w:firstLineChars="200"/>
        <w:rPr>
          <w:rFonts w:ascii="宋体" w:hAnsi="宋体" w:cs="宋体"/>
          <w:bCs/>
          <w:sz w:val="24"/>
          <w:highlight w:val="none"/>
        </w:rPr>
      </w:pPr>
      <w:r>
        <w:rPr>
          <w:rFonts w:hint="eastAsia" w:ascii="宋体" w:hAnsi="宋体" w:cs="宋体"/>
          <w:bCs/>
          <w:sz w:val="24"/>
          <w:highlight w:val="none"/>
        </w:rPr>
        <w:t>主要硬件要求提供原厂商</w:t>
      </w:r>
      <w:r>
        <w:rPr>
          <w:rFonts w:hint="eastAsia" w:ascii="宋体" w:hAnsi="宋体" w:cs="宋体"/>
          <w:bCs/>
          <w:sz w:val="24"/>
          <w:highlight w:val="none"/>
          <w:lang w:eastAsia="zh-CN"/>
        </w:rPr>
        <w:t>5年</w:t>
      </w:r>
      <w:r>
        <w:rPr>
          <w:rFonts w:hint="eastAsia" w:ascii="宋体" w:hAnsi="宋体" w:cs="宋体"/>
          <w:bCs/>
          <w:sz w:val="24"/>
          <w:highlight w:val="none"/>
        </w:rPr>
        <w:t>7（天）*24（小时）免费设备保修和售后现场技术服务，系统软件产品的质保执行原厂商的标准（如低于</w:t>
      </w:r>
      <w:r>
        <w:rPr>
          <w:rFonts w:hint="eastAsia" w:ascii="宋体" w:hAnsi="宋体" w:cs="宋体"/>
          <w:bCs/>
          <w:sz w:val="24"/>
          <w:highlight w:val="none"/>
          <w:lang w:val="en-US" w:eastAsia="zh-CN"/>
        </w:rPr>
        <w:t>5年</w:t>
      </w:r>
      <w:r>
        <w:rPr>
          <w:rFonts w:hint="eastAsia" w:ascii="宋体" w:hAnsi="宋体" w:cs="宋体"/>
          <w:bCs/>
          <w:sz w:val="24"/>
          <w:highlight w:val="none"/>
        </w:rPr>
        <w:t>，按</w:t>
      </w:r>
      <w:r>
        <w:rPr>
          <w:rFonts w:hint="eastAsia" w:ascii="宋体" w:hAnsi="宋体" w:cs="宋体"/>
          <w:bCs/>
          <w:sz w:val="24"/>
          <w:highlight w:val="none"/>
          <w:lang w:val="en-US" w:eastAsia="zh-CN"/>
        </w:rPr>
        <w:t>5年</w:t>
      </w:r>
      <w:r>
        <w:rPr>
          <w:rFonts w:hint="eastAsia" w:ascii="宋体" w:hAnsi="宋体" w:cs="宋体"/>
          <w:bCs/>
          <w:sz w:val="24"/>
          <w:highlight w:val="none"/>
        </w:rPr>
        <w:t>计）质保服务和投标人的承诺，因使用不当更换设备材料费用按不高于投标报价价格收费。产品质保期内应及时解决问题，不及时解决的，按2000元/次予以处罚。</w:t>
      </w:r>
    </w:p>
    <w:p>
      <w:pPr>
        <w:adjustRightInd/>
        <w:spacing w:line="360" w:lineRule="auto"/>
        <w:ind w:firstLine="480" w:firstLineChars="200"/>
        <w:rPr>
          <w:rFonts w:ascii="宋体" w:hAnsi="宋体" w:cs="宋体"/>
          <w:bCs/>
          <w:sz w:val="24"/>
          <w:highlight w:val="none"/>
        </w:rPr>
      </w:pPr>
      <w:r>
        <w:rPr>
          <w:rFonts w:hint="eastAsia" w:ascii="宋体" w:hAnsi="宋体" w:cs="宋体"/>
          <w:bCs/>
          <w:sz w:val="24"/>
          <w:highlight w:val="none"/>
        </w:rPr>
        <w:t>在质保期内，乙方应对货物出现的质量及安全问题负责处理解决并承担一切费用。</w:t>
      </w:r>
    </w:p>
    <w:p>
      <w:pPr>
        <w:adjustRightInd/>
        <w:spacing w:line="360" w:lineRule="auto"/>
        <w:ind w:firstLine="480" w:firstLineChars="200"/>
        <w:rPr>
          <w:rFonts w:ascii="宋体" w:hAnsi="宋体" w:cs="宋体"/>
          <w:bCs/>
          <w:sz w:val="24"/>
          <w:highlight w:val="none"/>
        </w:rPr>
      </w:pPr>
      <w:r>
        <w:rPr>
          <w:rFonts w:hint="eastAsia" w:ascii="宋体" w:hAnsi="宋体" w:cs="宋体"/>
          <w:bCs/>
          <w:sz w:val="24"/>
          <w:highlight w:val="none"/>
        </w:rPr>
        <w:t>质保期内，因人为因素出现的故障不在免费保修范围内。超过保修期的机器设备，终生维修，维修时只收部件成本费。</w:t>
      </w:r>
    </w:p>
    <w:p>
      <w:pPr>
        <w:keepLines/>
        <w:adjustRightInd/>
        <w:spacing w:line="360" w:lineRule="auto"/>
        <w:contextualSpacing/>
        <w:jc w:val="left"/>
        <w:rPr>
          <w:rFonts w:ascii="宋体" w:hAnsi="宋体" w:cs="宋体"/>
          <w:b/>
          <w:bCs/>
          <w:kern w:val="0"/>
          <w:sz w:val="28"/>
          <w:szCs w:val="28"/>
          <w:highlight w:val="none"/>
        </w:rPr>
      </w:pPr>
      <w:r>
        <w:rPr>
          <w:rFonts w:hint="eastAsia" w:ascii="宋体" w:hAnsi="宋体" w:cs="宋体"/>
          <w:b/>
          <w:bCs/>
          <w:kern w:val="0"/>
          <w:sz w:val="28"/>
          <w:szCs w:val="28"/>
          <w:highlight w:val="none"/>
        </w:rPr>
        <w:t>8.培训</w:t>
      </w:r>
    </w:p>
    <w:p>
      <w:pPr>
        <w:adjustRightInd/>
        <w:spacing w:line="360" w:lineRule="auto"/>
        <w:ind w:firstLine="480" w:firstLineChars="200"/>
        <w:rPr>
          <w:rFonts w:ascii="宋体" w:hAnsi="宋体" w:cs="宋体"/>
          <w:bCs/>
          <w:sz w:val="24"/>
        </w:rPr>
      </w:pPr>
      <w:r>
        <w:rPr>
          <w:rFonts w:hint="eastAsia" w:ascii="宋体" w:hAnsi="宋体" w:cs="宋体"/>
          <w:bCs/>
          <w:sz w:val="24"/>
        </w:rPr>
        <w:t>投标人应提供系统操作培训。</w:t>
      </w:r>
    </w:p>
    <w:p>
      <w:pPr>
        <w:rPr>
          <w:rFonts w:ascii="宋体" w:hAnsi="宋体" w:cs="宋体"/>
          <w:sz w:val="24"/>
        </w:rPr>
      </w:pPr>
      <w:r>
        <w:rPr>
          <w:rFonts w:hint="eastAsia" w:ascii="宋体" w:hAnsi="宋体" w:cs="宋体"/>
          <w:sz w:val="24"/>
        </w:rPr>
        <w:br w:type="page"/>
      </w:r>
    </w:p>
    <w:p>
      <w:pPr>
        <w:snapToGrid w:val="0"/>
        <w:spacing w:line="560" w:lineRule="atLeast"/>
        <w:ind w:firstLine="480" w:firstLineChars="200"/>
        <w:jc w:val="center"/>
        <w:rPr>
          <w:rFonts w:ascii="宋体" w:hAnsi="宋体" w:cs="宋体"/>
          <w:sz w:val="24"/>
        </w:rPr>
      </w:pPr>
      <w:r>
        <w:rPr>
          <w:rFonts w:hint="eastAsia" w:ascii="宋体" w:hAnsi="宋体" w:cs="宋体"/>
          <w:sz w:val="24"/>
        </w:rPr>
        <w:t>采购清单</w:t>
      </w:r>
    </w:p>
    <w:tbl>
      <w:tblPr>
        <w:tblStyle w:val="62"/>
        <w:tblW w:w="9602" w:type="dxa"/>
        <w:jc w:val="center"/>
        <w:tblLayout w:type="fixed"/>
        <w:tblCellMar>
          <w:top w:w="0" w:type="dxa"/>
          <w:left w:w="108" w:type="dxa"/>
          <w:bottom w:w="0" w:type="dxa"/>
          <w:right w:w="108" w:type="dxa"/>
        </w:tblCellMar>
      </w:tblPr>
      <w:tblGrid>
        <w:gridCol w:w="861"/>
        <w:gridCol w:w="1713"/>
        <w:gridCol w:w="4125"/>
        <w:gridCol w:w="667"/>
        <w:gridCol w:w="953"/>
        <w:gridCol w:w="1283"/>
      </w:tblGrid>
      <w:tr>
        <w:tblPrEx>
          <w:tblCellMar>
            <w:top w:w="0" w:type="dxa"/>
            <w:left w:w="108" w:type="dxa"/>
            <w:bottom w:w="0" w:type="dxa"/>
            <w:right w:w="108" w:type="dxa"/>
          </w:tblCellMar>
        </w:tblPrEx>
        <w:trPr>
          <w:trHeight w:val="540" w:hRule="atLeast"/>
          <w:jc w:val="center"/>
        </w:trPr>
        <w:tc>
          <w:tcPr>
            <w:tcW w:w="960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月雅河桥、文海北路和启潮路交叉口点位工程量清单</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A6A6A6"/>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1713" w:type="dxa"/>
            <w:tcBorders>
              <w:top w:val="single" w:color="auto" w:sz="4" w:space="0"/>
              <w:left w:val="nil"/>
              <w:bottom w:val="single" w:color="auto" w:sz="4" w:space="0"/>
              <w:right w:val="single" w:color="auto" w:sz="4" w:space="0"/>
            </w:tcBorders>
            <w:shd w:val="clear" w:color="000000" w:fill="A6A6A6"/>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设备名称</w:t>
            </w:r>
          </w:p>
        </w:tc>
        <w:tc>
          <w:tcPr>
            <w:tcW w:w="4125" w:type="dxa"/>
            <w:tcBorders>
              <w:top w:val="nil"/>
              <w:left w:val="nil"/>
              <w:bottom w:val="single" w:color="auto" w:sz="4" w:space="0"/>
              <w:right w:val="single" w:color="auto" w:sz="4" w:space="0"/>
            </w:tcBorders>
            <w:shd w:val="clear" w:color="000000" w:fill="A6A6A6"/>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配置要求</w:t>
            </w:r>
          </w:p>
        </w:tc>
        <w:tc>
          <w:tcPr>
            <w:tcW w:w="667" w:type="dxa"/>
            <w:tcBorders>
              <w:top w:val="nil"/>
              <w:left w:val="nil"/>
              <w:bottom w:val="single" w:color="auto" w:sz="4" w:space="0"/>
              <w:right w:val="single" w:color="auto" w:sz="4" w:space="0"/>
            </w:tcBorders>
            <w:shd w:val="clear" w:color="000000" w:fill="A6A6A6"/>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单位</w:t>
            </w:r>
          </w:p>
        </w:tc>
        <w:tc>
          <w:tcPr>
            <w:tcW w:w="953" w:type="dxa"/>
            <w:tcBorders>
              <w:top w:val="nil"/>
              <w:left w:val="nil"/>
              <w:bottom w:val="single" w:color="auto" w:sz="4" w:space="0"/>
              <w:right w:val="single" w:color="auto" w:sz="4" w:space="0"/>
            </w:tcBorders>
            <w:shd w:val="clear" w:color="000000" w:fill="A6A6A6"/>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数量（1）月雅河桥</w:t>
            </w:r>
          </w:p>
        </w:tc>
        <w:tc>
          <w:tcPr>
            <w:tcW w:w="1283" w:type="dxa"/>
            <w:tcBorders>
              <w:top w:val="nil"/>
              <w:left w:val="nil"/>
              <w:bottom w:val="single" w:color="auto" w:sz="4" w:space="0"/>
              <w:right w:val="single" w:color="auto" w:sz="4" w:space="0"/>
            </w:tcBorders>
            <w:shd w:val="clear" w:color="000000" w:fill="A6A6A6"/>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数量（2）文海北路和启潮路交叉口</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A6A6A6"/>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8741" w:type="dxa"/>
            <w:gridSpan w:val="5"/>
            <w:tcBorders>
              <w:top w:val="single" w:color="auto" w:sz="4" w:space="0"/>
              <w:left w:val="nil"/>
              <w:bottom w:val="single" w:color="auto" w:sz="4" w:space="0"/>
              <w:right w:val="single" w:color="auto" w:sz="4" w:space="0"/>
            </w:tcBorders>
            <w:shd w:val="clear" w:color="000000" w:fill="A6A6A6"/>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称重系统</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w:t>
            </w:r>
          </w:p>
        </w:tc>
        <w:tc>
          <w:tcPr>
            <w:tcW w:w="8741" w:type="dxa"/>
            <w:gridSpan w:val="5"/>
            <w:tcBorders>
              <w:top w:val="single" w:color="auto" w:sz="4" w:space="0"/>
              <w:left w:val="nil"/>
              <w:bottom w:val="single" w:color="auto" w:sz="4" w:space="0"/>
              <w:right w:val="single" w:color="auto" w:sz="4" w:space="0"/>
            </w:tcBorders>
            <w:shd w:val="clear" w:color="000000" w:fill="BEBEBE"/>
            <w:vAlign w:val="center"/>
          </w:tcPr>
          <w:p>
            <w:pPr>
              <w:widowControl/>
              <w:jc w:val="center"/>
              <w:rPr>
                <w:rFonts w:cs="宋体" w:asciiTheme="minorEastAsia" w:hAnsiTheme="minorEastAsia"/>
                <w:b/>
                <w:bCs/>
                <w:kern w:val="0"/>
                <w:sz w:val="20"/>
                <w:szCs w:val="20"/>
              </w:rPr>
            </w:pPr>
            <w:r>
              <w:rPr>
                <w:rFonts w:hint="eastAsia" w:cs="仿宋" w:asciiTheme="minorEastAsia" w:hAnsiTheme="minorEastAsia"/>
                <w:b/>
                <w:bCs/>
                <w:kern w:val="0"/>
                <w:sz w:val="20"/>
              </w:rPr>
              <w:t>动态称重子系统</w:t>
            </w:r>
          </w:p>
        </w:tc>
      </w:tr>
      <w:tr>
        <w:tblPrEx>
          <w:tblCellMar>
            <w:top w:w="0" w:type="dxa"/>
            <w:left w:w="108" w:type="dxa"/>
            <w:bottom w:w="0" w:type="dxa"/>
            <w:right w:w="108" w:type="dxa"/>
          </w:tblCellMar>
        </w:tblPrEx>
        <w:trPr>
          <w:trHeight w:val="576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平板式称重主体</w:t>
            </w:r>
          </w:p>
          <w:p>
            <w:pPr>
              <w:widowControl/>
              <w:jc w:val="center"/>
              <w:rPr>
                <w:rFonts w:ascii="宋体" w:hAnsi="宋体" w:eastAsia="宋体" w:cs="宋体"/>
                <w:kern w:val="0"/>
                <w:sz w:val="20"/>
                <w:szCs w:val="20"/>
              </w:rPr>
            </w:pPr>
            <w:r>
              <w:rPr>
                <w:rFonts w:ascii="宋体" w:hAnsi="宋体" w:eastAsia="宋体" w:cs="宋体"/>
                <w:kern w:val="0"/>
                <w:sz w:val="20"/>
                <w:szCs w:val="20"/>
              </w:rPr>
              <w:t>（标准型）</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cs="仿宋" w:asciiTheme="minorEastAsia" w:hAnsiTheme="minorEastAsia"/>
                <w:kern w:val="0"/>
                <w:sz w:val="20"/>
              </w:rPr>
            </w:pPr>
            <w:r>
              <w:rPr>
                <w:rFonts w:hint="eastAsia" w:cs="仿宋" w:asciiTheme="minorEastAsia" w:hAnsiTheme="minorEastAsia"/>
                <w:sz w:val="24"/>
              </w:rPr>
              <w:t>▲</w:t>
            </w:r>
            <w:r>
              <w:rPr>
                <w:rFonts w:hint="eastAsia" w:cs="仿宋" w:asciiTheme="minorEastAsia" w:hAnsiTheme="minorEastAsia"/>
                <w:kern w:val="0"/>
                <w:sz w:val="20"/>
              </w:rPr>
              <w:t>称重产品检测速度范围为包括但不限于0.5km/h至80km/h；</w:t>
            </w:r>
          </w:p>
          <w:p>
            <w:pPr>
              <w:widowControl/>
              <w:jc w:val="left"/>
              <w:rPr>
                <w:rFonts w:cs="仿宋" w:asciiTheme="minorEastAsia" w:hAnsiTheme="minorEastAsia"/>
                <w:kern w:val="0"/>
                <w:sz w:val="20"/>
              </w:rPr>
            </w:pPr>
            <w:r>
              <w:rPr>
                <w:rFonts w:hint="eastAsia" w:cs="仿宋" w:asciiTheme="minorEastAsia" w:hAnsiTheme="minorEastAsia"/>
                <w:sz w:val="24"/>
              </w:rPr>
              <w:t>▲</w:t>
            </w:r>
            <w:r>
              <w:rPr>
                <w:rFonts w:hint="eastAsia" w:cs="仿宋" w:asciiTheme="minorEastAsia" w:hAnsiTheme="minorEastAsia"/>
                <w:kern w:val="0"/>
                <w:sz w:val="20"/>
              </w:rPr>
              <w:t>称重精度符合或优于JJG 907-2006 动态5级标准，总重误差范围：检定误差 ≤±2.5%，使用误差≤±5%；</w:t>
            </w:r>
          </w:p>
          <w:p>
            <w:pPr>
              <w:widowControl/>
              <w:jc w:val="left"/>
              <w:rPr>
                <w:rFonts w:cs="仿宋" w:asciiTheme="minorEastAsia" w:hAnsiTheme="minorEastAsia"/>
                <w:kern w:val="0"/>
                <w:sz w:val="20"/>
              </w:rPr>
            </w:pPr>
            <w:r>
              <w:rPr>
                <w:rFonts w:hint="eastAsia" w:cs="仿宋" w:asciiTheme="minorEastAsia" w:hAnsiTheme="minorEastAsia"/>
                <w:sz w:val="24"/>
              </w:rPr>
              <w:t>▲</w:t>
            </w:r>
            <w:r>
              <w:rPr>
                <w:rFonts w:hint="eastAsia" w:cs="仿宋" w:asciiTheme="minorEastAsia" w:hAnsiTheme="minorEastAsia"/>
                <w:kern w:val="0"/>
                <w:sz w:val="20"/>
              </w:rPr>
              <w:t>称重产品应能够准确自动检测出检测时间、轴数、车速、单轴轴重、轴距等信息；</w:t>
            </w:r>
          </w:p>
          <w:p>
            <w:pPr>
              <w:widowControl/>
              <w:jc w:val="left"/>
              <w:rPr>
                <w:rFonts w:cs="仿宋" w:asciiTheme="minorEastAsia" w:hAnsiTheme="minorEastAsia"/>
                <w:kern w:val="0"/>
                <w:sz w:val="20"/>
              </w:rPr>
            </w:pPr>
            <w:r>
              <w:rPr>
                <w:rFonts w:hint="eastAsia" w:cs="仿宋" w:asciiTheme="minorEastAsia" w:hAnsiTheme="minorEastAsia"/>
                <w:sz w:val="24"/>
              </w:rPr>
              <w:t>▲</w:t>
            </w:r>
            <w:r>
              <w:rPr>
                <w:rFonts w:hint="eastAsia" w:cs="仿宋" w:asciiTheme="minorEastAsia" w:hAnsiTheme="minorEastAsia"/>
                <w:kern w:val="0"/>
                <w:sz w:val="20"/>
              </w:rPr>
              <w:t>静态检测能力准确度III以上，能够秤量蹲称、走走停停车辆。</w:t>
            </w:r>
          </w:p>
          <w:p>
            <w:pPr>
              <w:widowControl/>
              <w:jc w:val="left"/>
              <w:rPr>
                <w:rFonts w:cs="仿宋" w:asciiTheme="minorEastAsia" w:hAnsiTheme="minorEastAsia"/>
                <w:kern w:val="0"/>
                <w:sz w:val="20"/>
              </w:rPr>
            </w:pPr>
            <w:r>
              <w:rPr>
                <w:rFonts w:hint="eastAsia" w:cs="仿宋" w:asciiTheme="minorEastAsia" w:hAnsiTheme="minorEastAsia"/>
                <w:sz w:val="24"/>
              </w:rPr>
              <w:t>▲</w:t>
            </w:r>
            <w:r>
              <w:rPr>
                <w:rFonts w:hint="eastAsia" w:cs="仿宋" w:asciiTheme="minorEastAsia" w:hAnsiTheme="minorEastAsia"/>
                <w:kern w:val="0"/>
                <w:sz w:val="20"/>
              </w:rPr>
              <w:t>检测系统能应能够对以下异常行驶行为进行检测（准确度达到动态5级标准以上）：① 称台接缝行驶；② 跨双车道行驶；③ 两车并排行驶；④ 检测区走走停停，断续行驶；⑤ 跨双车道S型行驶。</w:t>
            </w:r>
          </w:p>
          <w:p>
            <w:pPr>
              <w:widowControl/>
              <w:jc w:val="left"/>
              <w:rPr>
                <w:rFonts w:cs="仿宋" w:asciiTheme="minorEastAsia" w:hAnsiTheme="minorEastAsia"/>
                <w:bCs/>
                <w:kern w:val="0"/>
                <w:sz w:val="20"/>
              </w:rPr>
            </w:pPr>
            <w:r>
              <w:rPr>
                <w:rFonts w:hint="eastAsia" w:cs="仿宋" w:asciiTheme="minorEastAsia" w:hAnsiTheme="minorEastAsia"/>
                <w:sz w:val="24"/>
              </w:rPr>
              <w:t>▲</w:t>
            </w:r>
            <w:r>
              <w:rPr>
                <w:rFonts w:hint="eastAsia" w:cs="仿宋" w:asciiTheme="minorEastAsia" w:hAnsiTheme="minorEastAsia"/>
                <w:bCs/>
                <w:kern w:val="0"/>
                <w:sz w:val="20"/>
              </w:rPr>
              <w:t>荷载能力（单轴）：≥40t；满足对大型超限车辆高速超限精检的要求。量程应不小于限载车辆轴重的200%。投标文件中需提供《计量器具型式批准证书》复印件作为证明文件；</w:t>
            </w:r>
          </w:p>
          <w:p>
            <w:pPr>
              <w:widowControl/>
              <w:jc w:val="left"/>
              <w:rPr>
                <w:rFonts w:cs="仿宋" w:asciiTheme="minorEastAsia" w:hAnsiTheme="minorEastAsia"/>
                <w:bCs/>
                <w:kern w:val="0"/>
                <w:sz w:val="20"/>
              </w:rPr>
            </w:pPr>
            <w:r>
              <w:rPr>
                <w:rFonts w:hint="eastAsia" w:cs="仿宋" w:asciiTheme="minorEastAsia" w:hAnsiTheme="minorEastAsia"/>
                <w:bCs/>
                <w:kern w:val="0"/>
                <w:sz w:val="20"/>
              </w:rPr>
              <w:t>★称重台面可按道路实际宽度定制，覆盖整个检测道路横断面，无检测死角。投标文件中需提供已施工项目称重平板的照片。</w:t>
            </w:r>
          </w:p>
          <w:p>
            <w:pPr>
              <w:widowControl/>
              <w:jc w:val="left"/>
              <w:rPr>
                <w:rFonts w:cs="仿宋" w:asciiTheme="minorEastAsia" w:hAnsiTheme="minorEastAsia"/>
                <w:kern w:val="0"/>
                <w:sz w:val="20"/>
              </w:rPr>
            </w:pPr>
            <w:r>
              <w:rPr>
                <w:rFonts w:hint="eastAsia" w:cs="仿宋" w:asciiTheme="minorEastAsia" w:hAnsiTheme="minorEastAsia"/>
                <w:kern w:val="0"/>
                <w:sz w:val="20"/>
              </w:rPr>
              <w:t>称重台与公路路面一体化安装方式不影响车辆通行；台板工作温度-40℃～+85℃；工作环境湿度小于95％；整体式结构，承载面板同测力结构部分完全固化，无活动构件；</w:t>
            </w:r>
            <w:r>
              <w:rPr>
                <w:rFonts w:hint="eastAsia" w:cs="仿宋" w:asciiTheme="minorEastAsia" w:hAnsiTheme="minorEastAsia"/>
                <w:kern w:val="0"/>
                <w:sz w:val="20"/>
              </w:rPr>
              <w:br w:type="textWrapping"/>
            </w:r>
            <w:r>
              <w:rPr>
                <w:rFonts w:hint="eastAsia" w:cs="仿宋" w:asciiTheme="minorEastAsia" w:hAnsiTheme="minorEastAsia"/>
                <w:kern w:val="0"/>
                <w:sz w:val="20"/>
              </w:rPr>
              <w:t>相邻台面之间采用“无缝”拼接技术，保证车辆在碾压台面接缝行驶时也可准确检测；在允许轴重下车辆总重量不限；标准型，2.6m≤平板宽度＜4m。宽型，4m≤平板宽度≤4.6m。</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车道</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r>
      <w:tr>
        <w:tblPrEx>
          <w:tblCellMar>
            <w:top w:w="0" w:type="dxa"/>
            <w:left w:w="108" w:type="dxa"/>
            <w:bottom w:w="0" w:type="dxa"/>
            <w:right w:w="108" w:type="dxa"/>
          </w:tblCellMar>
        </w:tblPrEx>
        <w:trPr>
          <w:trHeight w:val="2403"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称重传感器</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kern w:val="0"/>
                <w:sz w:val="20"/>
                <w:szCs w:val="20"/>
              </w:rPr>
            </w:pPr>
            <w:r>
              <w:rPr>
                <w:rFonts w:hint="eastAsia" w:cs="仿宋" w:asciiTheme="minorEastAsia" w:hAnsiTheme="minorEastAsia"/>
                <w:b/>
                <w:bCs/>
                <w:kern w:val="0"/>
                <w:sz w:val="20"/>
              </w:rPr>
              <w:t>▲电阻应变式传感器；</w:t>
            </w:r>
            <w:r>
              <w:rPr>
                <w:rFonts w:hint="eastAsia" w:cs="仿宋" w:asciiTheme="minorEastAsia" w:hAnsiTheme="minorEastAsia"/>
                <w:b/>
                <w:bCs/>
                <w:kern w:val="0"/>
                <w:sz w:val="20"/>
              </w:rPr>
              <w:br w:type="textWrapping"/>
            </w:r>
            <w:r>
              <w:rPr>
                <w:rFonts w:hint="eastAsia" w:cs="仿宋" w:asciiTheme="minorEastAsia" w:hAnsiTheme="minorEastAsia"/>
                <w:kern w:val="0"/>
                <w:sz w:val="20"/>
              </w:rPr>
              <w:t>合金钢外壳材质；防护等级IP68；绝缘等级＞5000MΩ（50 VDC）；灵敏度大于1.5mv/v；工作温度范围-35℃～65℃。</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车道</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专用高强度快干基础</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kern w:val="0"/>
                <w:sz w:val="20"/>
                <w:szCs w:val="20"/>
              </w:rPr>
            </w:pPr>
            <w:r>
              <w:rPr>
                <w:rFonts w:hint="eastAsia" w:cs="仿宋" w:asciiTheme="minorEastAsia" w:hAnsiTheme="minorEastAsia"/>
                <w:kern w:val="0"/>
                <w:sz w:val="20"/>
              </w:rPr>
              <w:t>3小时初凝强度达到C30；7小时终凝强度达到最高强度；夏季12小时内通行重车；冬季24小时内通行重车。</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车道</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.4</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20"/>
                <w:szCs w:val="20"/>
              </w:rPr>
            </w:pPr>
            <w:r>
              <w:rPr>
                <w:rFonts w:hint="eastAsia" w:cs="仿宋" w:asciiTheme="minorEastAsia" w:hAnsiTheme="minorEastAsia"/>
                <w:kern w:val="0"/>
                <w:sz w:val="20"/>
              </w:rPr>
              <w:t>车检器</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kern w:val="0"/>
                <w:sz w:val="20"/>
                <w:szCs w:val="20"/>
              </w:rPr>
            </w:pPr>
            <w:r>
              <w:rPr>
                <w:rFonts w:hint="eastAsia" w:cs="仿宋" w:asciiTheme="minorEastAsia" w:hAnsiTheme="minorEastAsia"/>
                <w:kern w:val="0"/>
                <w:sz w:val="20"/>
              </w:rPr>
              <w:t>电感量自调谐范围20-1000uH,Q值≥5；灵敏度4级可调；频率范围20kHz-110kHz，4级可调；响应时间≤100ms；2车道1台车检器。</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车道</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2</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2</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.5</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sz w:val="20"/>
              </w:rPr>
              <w:t>车检线圈</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kern w:val="0"/>
                <w:sz w:val="20"/>
                <w:szCs w:val="20"/>
              </w:rPr>
            </w:pPr>
            <w:r>
              <w:rPr>
                <w:rFonts w:hint="eastAsia" w:cs="仿宋" w:asciiTheme="minorEastAsia" w:hAnsiTheme="minorEastAsia"/>
                <w:kern w:val="0"/>
                <w:sz w:val="20"/>
              </w:rPr>
              <w:t>专用地感线圈电缆，具有耐磨、防水、耐寒、耐油耐汽油混合物，不易燃烧，不易老化，环保等特点；使用温度：-60～+105℃；导体：绞合镀锡铜线；绝缘：聚氯乙烯（PVC）；护套：玻璃纤维编织+腊克涂覆；颜色：红/黄/兰/白/黑/黄绿/棕等；每车道1套，电感量100mH~200mH；含施工、线圈槽切割敷设、回补。</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12</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12</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741" w:type="dxa"/>
            <w:gridSpan w:val="5"/>
            <w:tcBorders>
              <w:top w:val="single" w:color="auto" w:sz="4" w:space="0"/>
              <w:left w:val="nil"/>
              <w:bottom w:val="single" w:color="auto" w:sz="4" w:space="0"/>
              <w:right w:val="single" w:color="auto" w:sz="4" w:space="0"/>
            </w:tcBorders>
            <w:shd w:val="clear" w:color="000000" w:fill="BEBEBE"/>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现场数据处理子系统</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20"/>
                <w:szCs w:val="20"/>
              </w:rPr>
            </w:pPr>
            <w:r>
              <w:rPr>
                <w:rFonts w:hint="eastAsia" w:cs="仿宋" w:asciiTheme="minorEastAsia" w:hAnsiTheme="minorEastAsia"/>
                <w:kern w:val="0"/>
                <w:sz w:val="20"/>
              </w:rPr>
              <w:t>现场工控机</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cs="仿宋" w:asciiTheme="minorEastAsia" w:hAnsiTheme="minorEastAsia"/>
                <w:sz w:val="24"/>
              </w:rPr>
              <w:t>▲</w:t>
            </w:r>
            <w:r>
              <w:rPr>
                <w:rFonts w:hint="eastAsia" w:ascii="宋体" w:hAnsi="宋体" w:eastAsia="宋体" w:cs="宋体"/>
                <w:kern w:val="0"/>
                <w:sz w:val="20"/>
                <w:szCs w:val="20"/>
              </w:rPr>
              <w:t>前置终端服务工控机应用光纤网络通信把车辆动态检测系统采集的数据通过信息传输服务系统传输到服务器系统数据库。数据传输要求具备国密3级以上通讯标准、数据防篡改及冗余链路的要求。通过“中心数据平台+数据网关+终端设备通讯模块”架构，构建全市统一的智慧称重业务平台，面向各厂商、各型号的称重设备，提供终端通讯标准化协议包，数据按照国密3级标准通讯传输至数据网关；数据网关对不同接入的终端，进行设备赋码，建立在线实时通讯通道，自动采集设备产生的各类数据并上链；</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特殊定制称重仪表；</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硬件部分：19”标准机架，4U；处理器：IntelI7；双硬盘：500G/7200转+120G固态硬盘；内存：8G；网络：10/100M/1000M自适应网卡×2；软件部分：操作系统：WindowsXP/7；全天候连续工作；断电后来电自动开机并自动加载监控系统；远程维护模块及远程管理系统；</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具备以下抗电磁干扰能力，包括以下①-⑥的内容： ①具备静电放电抗扰度能力，符合GB/T 17626.2-2006的规定；②具备射频电磁场辐射抗扰度能力，符合GB/T 17626.3-2016的规定；③具备电快速瞬变脉冲群抗扰度能力，符合GB/T 17626.4-2008的规定；④具备浪涌（冲击）抗扰度能力，符合GB/T 17626.5-2008的规定；⑤具备传导骚扰抗扰度能力，符合GB/T 17626.6-2008的规定；⑥具备电压暂降和短时中断抗扰度能力，符合GB/T 17626.11-2008的规定；</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.2</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标准称重数据处理单元</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cs="仿宋" w:asciiTheme="minorEastAsia" w:hAnsiTheme="minorEastAsia"/>
                <w:sz w:val="24"/>
              </w:rPr>
              <w:t>▲</w:t>
            </w:r>
            <w:r>
              <w:rPr>
                <w:rFonts w:hint="eastAsia" w:ascii="宋体" w:hAnsi="宋体" w:eastAsia="宋体" w:cs="宋体"/>
                <w:kern w:val="0"/>
                <w:sz w:val="20"/>
                <w:szCs w:val="20"/>
              </w:rPr>
              <w:t>动态称重监测数据应为触发型数据，无固定采样频率，动态称重数据重量单位宜使用千克kg，轴距单位为厘米cm；</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跨道精检型，AD转换，数据采集，轴数识别；8路同步采样模拟输入，采样率高达248kS/s；24位分辨率，ADC具有114dB动态范围；输入信号的范围从±1V至10V时，可设置2种增益设置，高达+20dB；交流/直流可选；8路通道提供的通道密度适宜大多数NVH；高可靠性。</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具备以下抗电磁干扰能力，包括以下①-⑥的内容：①具备静电放电抗扰度能力，符合GB/T 17626.2-2006的规定；②具备射频电磁场辐射抗扰度能力，符合GB/T 17626.3-2016的规定；③具备电快速瞬变脉冲群抗扰度能力，符合GB/T 17626.4-2008的规定；④具备浪涌（冲击）抗扰度能力，符合GB/T 17626.5-2008的规定；⑤具备传导骚扰抗扰度能力，符合GB/T 17626.6-2008的规定；⑥具备电压暂降和短时中断抗扰度能力，符合GB/T 17626.11-2008的规定；</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车道</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3</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现场控制机柜</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控制柜箱体厚度为2mm的冷轧板，使用防盗锁；机柜规格 600*700*1900，带制冷设备；控制柜采用挂杆或落地安装，落地时基础墩台高度不小于30cm；</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防护等级：IP65；使用寿命大于l0年；相对湿度：0～95％R.H；工作温度：-30℃～+60℃。</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4</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工业交换机</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防雷：共模防护7KV，防雷等级4级；工作湿度：5%～95%，无冷凝；背板带宽：48Gbps；包转发率：35.7Mbps； 24口，传输方式：存储转发方式；10/100/1000M自适应以太网端口：IEEE802.3 10BASE-T以太网，IEEE802.3u 100BASE-TX快速以太网；IEEE802.3ab 1000Base-T千兆以太网，ANSI/IEEE 802.3 NWay自动协商；IEEE802.3x流控；MAC地址表8K。</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5</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车辆动态称重检测系统</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车辆通过自动分车，准确判断车辆轴数；全速度段称重满足动态衡器5级标准；0-1km/h超低速修正模块，确保超低速能够准确称重；自动匹配车辆重量数据和车牌、抓拍数据，形成完整检测数据；</w:t>
            </w:r>
            <w:r>
              <w:rPr>
                <w:rFonts w:hint="eastAsia" w:cs="仿宋" w:asciiTheme="minorEastAsia" w:hAnsiTheme="minorEastAsia"/>
                <w:sz w:val="24"/>
              </w:rPr>
              <w:t>▲</w:t>
            </w:r>
            <w:r>
              <w:rPr>
                <w:rFonts w:hint="eastAsia" w:ascii="宋体" w:hAnsi="宋体" w:eastAsia="宋体" w:cs="宋体"/>
                <w:kern w:val="0"/>
                <w:sz w:val="20"/>
                <w:szCs w:val="20"/>
              </w:rPr>
              <w:t>应具备数据自动采集功能，现场存储能力不少于7天。</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6</w:t>
            </w:r>
          </w:p>
        </w:tc>
        <w:tc>
          <w:tcPr>
            <w:tcW w:w="1713" w:type="dxa"/>
            <w:tcBorders>
              <w:top w:val="single" w:color="auto" w:sz="4" w:space="0"/>
              <w:left w:val="nil"/>
              <w:bottom w:val="nil"/>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车辆特殊过衡行驶行为智能识别系统</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软件用来判别公路车辆特殊过衡状态行驶行为；自动判断正向、逆向行驶行为，准确定义行驶方向和车道；自动判断单车跨道模块，压缝行驶行为，准确合并车辆数据；加强反作弊能力，自动判断超低速、走走停停行为，保证车辆判断不断轴。</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.7</w:t>
            </w:r>
          </w:p>
        </w:tc>
        <w:tc>
          <w:tcPr>
            <w:tcW w:w="1713" w:type="dxa"/>
            <w:tcBorders>
              <w:top w:val="single" w:color="auto" w:sz="4" w:space="0"/>
              <w:left w:val="nil"/>
              <w:bottom w:val="nil"/>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超限信息传输与服务系统</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提供上层平台对接标准接口，提供情报板标准控制卡对接接口，与抓拍监控等外围系统数据对接；工控机现场数据对平台的数据传输服务。</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.8</w:t>
            </w:r>
          </w:p>
        </w:tc>
        <w:tc>
          <w:tcPr>
            <w:tcW w:w="1713" w:type="dxa"/>
            <w:tcBorders>
              <w:top w:val="single" w:color="auto" w:sz="4" w:space="0"/>
              <w:left w:val="nil"/>
              <w:bottom w:val="nil"/>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网络传输链路</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cs="仿宋" w:asciiTheme="minorEastAsia" w:hAnsiTheme="minorEastAsia"/>
                <w:sz w:val="24"/>
              </w:rPr>
              <w:t>▲</w:t>
            </w:r>
            <w:r>
              <w:rPr>
                <w:rFonts w:hint="eastAsia" w:ascii="宋体" w:hAnsi="宋体" w:eastAsia="宋体" w:cs="宋体"/>
                <w:kern w:val="0"/>
                <w:sz w:val="20"/>
                <w:szCs w:val="20"/>
              </w:rPr>
              <w:t>需具备冗余性，在不断电的情况下，实现系统24小时在线不断网，要求对通信链路实时监测，当网络出现故障时，可自动切换到4/5G无线VPDN上网备份链路。</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w:t>
            </w:r>
          </w:p>
        </w:tc>
        <w:tc>
          <w:tcPr>
            <w:tcW w:w="8741" w:type="dxa"/>
            <w:gridSpan w:val="5"/>
            <w:tcBorders>
              <w:top w:val="single" w:color="auto" w:sz="4" w:space="0"/>
              <w:left w:val="nil"/>
              <w:bottom w:val="single" w:color="auto" w:sz="4" w:space="0"/>
              <w:right w:val="single" w:color="auto" w:sz="4" w:space="0"/>
            </w:tcBorders>
            <w:shd w:val="clear" w:color="000000" w:fill="BEBEBE"/>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调试检定及运输</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171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计量检定</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首次计量检定时，系统标定调试费用、道路交通管制费和原厂技术配合费、台面运输及现场小件运输费</w:t>
            </w:r>
          </w:p>
        </w:tc>
        <w:tc>
          <w:tcPr>
            <w:tcW w:w="66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车道</w:t>
            </w:r>
          </w:p>
        </w:tc>
        <w:tc>
          <w:tcPr>
            <w:tcW w:w="95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8741" w:type="dxa"/>
            <w:gridSpan w:val="5"/>
            <w:tcBorders>
              <w:top w:val="single" w:color="auto" w:sz="4" w:space="0"/>
              <w:left w:val="nil"/>
              <w:bottom w:val="single" w:color="auto" w:sz="4" w:space="0"/>
              <w:right w:val="single" w:color="auto" w:sz="4" w:space="0"/>
            </w:tcBorders>
            <w:shd w:val="clear" w:color="000000" w:fill="BEBEBE"/>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识别系统及情报板</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w:t>
            </w:r>
          </w:p>
        </w:tc>
        <w:tc>
          <w:tcPr>
            <w:tcW w:w="8741" w:type="dxa"/>
            <w:gridSpan w:val="5"/>
            <w:tcBorders>
              <w:top w:val="single" w:color="auto" w:sz="4" w:space="0"/>
              <w:left w:val="nil"/>
              <w:bottom w:val="single" w:color="auto" w:sz="4" w:space="0"/>
              <w:right w:val="single" w:color="auto" w:sz="4" w:space="0"/>
            </w:tcBorders>
            <w:shd w:val="clear" w:color="000000" w:fill="BEBEBE"/>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车牌识别子系统</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4.1</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超限高清号牌抓拍相机(车头、车尾、侧后)</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★像素：900W；★分辨率：最大支持4096*2160，帧率：25fps，图像传感器：采用1" 英寸全局曝光CMOS（GMOS）传感器，照度：彩色:0.01Lux，视频压缩标准：H.265/H.264/MJPEG，图像输出格式：JPEG，输出：电平量信号，通讯接口：2个RJ45 100M/1000M自适应网口，3个RS485接口，1个RS232接口，外部接口：4路外部触发输入，6路(光耦隔离2500VAC)输出，可作为闪光灯同步输出控制，SYNC信号灯电源同步输入，存储支持：最大支持64G TF卡，自动光圈镜头：支持，工作电压：100VAC～240VAC；频率：48Hz～52Hz；功耗：＜20W，支持智能识别功能：内置视频识别功能，支持车牌识别、视频触发、车身颜色识别、车型识别，通行车辆信息捕获和违章检测功能；抓拍单元防护罩面板具有防尘防水滴功能；输出图片格式：JPEG；支持闪光灯和LED频闪灯同步补光；全天平均车牌识别准确率≥90%；识别车牌种类多：民用车牌（除5小车辆）、警用车牌、2012式新军用车牌、2012式武警车牌；车身颜色识别准确率：深浅分类准确率≥80%；11种常见颜色（白灰黄粉红紫绿蓝棕黑青）车辆的识别率（白天≥85%，夜晚≥80%）。当采用LED灯补光时，无法保证夜间车身颜色识别率。包含镜头、保护罩、安装件及防雷。</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★设备可识别351种机动车品牌标志，白天识别准确率≥99%，夜晚识别准确率≥99%。</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开启混合抓拍模式后，设备支持正面/侧面/背面行人（包括成年人和儿童）的抓拍；支持对骑自行车、骑三轮车、骑电动车、踩平衡车、骑车带人等非机动车的抓拍；支持对轿车、客车、面包车、货车、卡车、摩托车等机动车的抓拍</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★设备支持人脸区域自动曝光，可根据人脸区域和光照变化自动调节人脸区域曝光参数；可通过IE浏览器设置人脸自动曝光的参考亮度、最短持续时间和人脸过滤时间。</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7</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7</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4.2</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PCI串口卡转RS485转换卡</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工业级PCI串口卡PCI转8口转换卡</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4.3</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cs="仿宋" w:asciiTheme="minorEastAsia" w:hAnsiTheme="minorEastAsia"/>
                <w:kern w:val="0"/>
                <w:sz w:val="20"/>
              </w:rPr>
              <w:t>爆闪灯</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电源电压 AC 220V±10%/48Hz～52Hz；色温值（K） 5500K±500K；闪光能量 200J；功耗（w） 平均＜100W（@1闪/s），瞬间最大＜300W；峰值闪光持续时间 1/30ms；回电时间 ＜67ms；有效补光距离 16m～25m；触发方式 电平触发【可选配开关量触发】；佩戴光栅 佩戴光栅，可有效减少光污染；工作环境（温度） -25～+70℃（-40℃内均可安全使用/有衰减）；工作环境（湿度） 5%~90%@40℃，无凝结；覆盖范围 单车道；适合拍摄条件 卡口兼超速抓拍；寿命 ≥2000万次；防护等级 IP65；重量 3.5Kg</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8</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8</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171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补光灯</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光源类型 16颗原装进口CREE光源，亮度 1-30级可调，环境感光阈值可调，摄像机可以控制开启关闭，发光角度：10度，其它角度可选，平均功率默认 35W（出厂功率 20~50W 可调），光源波长 380～780nm，色温 3000K-4500K，控制方式 开关量、电平量均支持，外壳材质 金属铝 钢化超白玻璃，外壳防尘防水等级 IP67，工作环境温度 -40℃～70℃，工作环境湿度 10～90%RH。</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4.5</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高速智能监控球机</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图像传感器：1：2.8" Progressive Scan CMOS；有效像素：约300万像素；最低照度：0 Lux with IR,彩色：0.005Lux @ (F1.6，AGC ON)；黑白：0.001Lux @ (F1.6，AGC ON)；30倍光学变倍，16倍数字变倍；采用高效红外阵列，低功耗，照射距离达150m；内置热处理装置，降低球机内腔温度，防止球机内罩起雾；系统功能：采用高性能传感器，图像清晰，最大分辨率可达2048×1536。包含安装件。</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1713"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硬盘录像机NVR</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cs="仿宋" w:asciiTheme="minorEastAsia" w:hAnsiTheme="minorEastAsia"/>
                <w:b/>
                <w:bCs/>
                <w:kern w:val="0"/>
                <w:sz w:val="20"/>
              </w:rPr>
            </w:pPr>
            <w:r>
              <w:rPr>
                <w:rFonts w:hint="eastAsia" w:cs="仿宋" w:asciiTheme="minorEastAsia" w:hAnsiTheme="minorEastAsia"/>
                <w:kern w:val="0"/>
                <w:sz w:val="20"/>
              </w:rPr>
              <w:t>存储录像、视音频输入/8路/、HDMI输出/1路、VGA输出/1路，录像/抓图模式/手动录像、定时录像、事件录像、移动侦测录像、报警录像、动测或报警录像、动测且报警录像，回放模式/即时回放、常规回放、事件回放、标签回放、智能回放、视频摘要回放、分时段回放、日志回放、外部文件回放，USB接口/2个USB2.0，1个USB3.0，网络协议/UPnP（即插即用）、SNMP（简单网络管理）、NTP（网络校时）、SADP（自动搜索IP地址）、SMTP（邮件服务）、NFS（接入NAS）、iSCSI（IP SAN应用）、PPPoE（拨号上网）、DHCP（动态域名解析），电源/AC220V，50Hz，工作温度/-10℃--＋55℃，工作湿度/10％--90％，机箱/19英寸标准1.5U机箱，尺寸/445mm（宽）×390mm（深）×70mm（高），含3T监控硬盘。</w:t>
            </w:r>
            <w:r>
              <w:rPr>
                <w:rFonts w:hint="eastAsia" w:cs="仿宋" w:asciiTheme="minorEastAsia" w:hAnsiTheme="minorEastAsia"/>
                <w:kern w:val="0"/>
                <w:sz w:val="20"/>
              </w:rPr>
              <w:br w:type="textWrapping"/>
            </w:r>
            <w:r>
              <w:rPr>
                <w:rFonts w:hint="eastAsia" w:cs="仿宋" w:asciiTheme="minorEastAsia" w:hAnsiTheme="minorEastAsia"/>
                <w:b/>
                <w:bCs/>
                <w:kern w:val="0"/>
                <w:sz w:val="20"/>
              </w:rPr>
              <w:t>★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w:t>
            </w:r>
          </w:p>
          <w:p>
            <w:pPr>
              <w:widowControl/>
              <w:jc w:val="left"/>
              <w:rPr>
                <w:rFonts w:ascii="宋体" w:hAnsi="宋体" w:eastAsia="宋体" w:cs="宋体"/>
                <w:kern w:val="0"/>
                <w:sz w:val="20"/>
                <w:szCs w:val="20"/>
              </w:rPr>
            </w:pPr>
            <w:r>
              <w:rPr>
                <w:rFonts w:hint="eastAsia" w:cs="仿宋" w:asciiTheme="minorEastAsia" w:hAnsiTheme="minorEastAsia"/>
                <w:b/>
                <w:bCs/>
                <w:kern w:val="0"/>
                <w:sz w:val="20"/>
              </w:rPr>
              <w:t>★支持设备级联，NVR接入NVR、DVR、XVR设备，选择通道添加</w:t>
            </w:r>
            <w:r>
              <w:rPr>
                <w:rFonts w:hint="eastAsia" w:cs="仿宋" w:asciiTheme="minorEastAsia" w:hAnsiTheme="minorEastAsia"/>
                <w:b/>
                <w:bCs/>
                <w:kern w:val="0"/>
                <w:sz w:val="20"/>
              </w:rPr>
              <w:br w:type="textWrapping"/>
            </w:r>
            <w:r>
              <w:rPr>
                <w:rFonts w:hint="eastAsia" w:cs="仿宋" w:asciiTheme="minorEastAsia" w:hAnsiTheme="minorEastAsia"/>
                <w:b/>
                <w:bCs/>
                <w:kern w:val="0"/>
                <w:sz w:val="20"/>
              </w:rPr>
              <w:t>★支持本地预览权限的配置，设置权限后的通道只有登录后才会出现预览画面；支持远程预览加密，只有输入密钥才能解开视频。并支持码流加密；WEB界面远程登录设备，30分钟无操作，设备自动退出登录；可设置远程访问IP地址和MAC地址黑白名单；WEB端可设置开启HTTPS安全链接、SSH。</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r>
              <w:rPr>
                <w:rFonts w:ascii="宋体" w:hAnsi="宋体" w:eastAsia="宋体" w:cs="宋体"/>
                <w:kern w:val="0"/>
                <w:sz w:val="20"/>
                <w:szCs w:val="20"/>
              </w:rPr>
              <w:t>.7</w:t>
            </w:r>
          </w:p>
        </w:tc>
        <w:tc>
          <w:tcPr>
            <w:tcW w:w="1713"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L型监控杆杆件</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cs="仿宋" w:asciiTheme="minorEastAsia" w:hAnsiTheme="minorEastAsia"/>
                <w:kern w:val="0"/>
                <w:sz w:val="20"/>
              </w:rPr>
            </w:pPr>
            <w:r>
              <w:rPr>
                <w:rFonts w:hint="eastAsia" w:cs="仿宋" w:asciiTheme="minorEastAsia" w:hAnsiTheme="minorEastAsia"/>
                <w:kern w:val="0"/>
                <w:sz w:val="20"/>
              </w:rPr>
              <w:t>杆高：6M；横臂：根据道路宽度定制；镀锌八角杆（涉及到的绿化带开挖及新建详见图)</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r>
              <w:rPr>
                <w:rFonts w:ascii="宋体" w:hAnsi="宋体" w:eastAsia="宋体" w:cs="宋体"/>
                <w:kern w:val="0"/>
                <w:sz w:val="20"/>
                <w:szCs w:val="20"/>
              </w:rPr>
              <w:t>.8</w:t>
            </w:r>
          </w:p>
        </w:tc>
        <w:tc>
          <w:tcPr>
            <w:tcW w:w="1713"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室外抱杆机箱</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cs="仿宋" w:asciiTheme="minorEastAsia" w:hAnsiTheme="minorEastAsia"/>
                <w:kern w:val="0"/>
                <w:sz w:val="20"/>
              </w:rPr>
            </w:pPr>
            <w:r>
              <w:rPr>
                <w:rFonts w:hint="eastAsia" w:cs="仿宋" w:asciiTheme="minorEastAsia" w:hAnsiTheme="minorEastAsia"/>
                <w:kern w:val="0"/>
                <w:sz w:val="20"/>
              </w:rPr>
              <w:t>箱体采用Q235工程级冷轧碳钢板。主体无缝焊接，结构稳固；箱体全面的保护，经酸洗淋化防腐蚀防锈处理，防水，防虫、防锈、防紫外线，箱体喷专业室外氟碳烤漆，亮白色；含32A空开。</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r>
              <w:rPr>
                <w:rFonts w:ascii="宋体" w:hAnsi="宋体" w:eastAsia="宋体" w:cs="宋体"/>
                <w:kern w:val="0"/>
                <w:sz w:val="20"/>
                <w:szCs w:val="20"/>
              </w:rPr>
              <w:t>.9</w:t>
            </w:r>
          </w:p>
        </w:tc>
        <w:tc>
          <w:tcPr>
            <w:tcW w:w="1713"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L型监控杆件抱杆箱及抓拍系统安装施工费</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cs="仿宋" w:asciiTheme="minorEastAsia" w:hAnsiTheme="minorEastAsia"/>
                <w:kern w:val="0"/>
                <w:sz w:val="20"/>
              </w:rPr>
            </w:pPr>
            <w:r>
              <w:rPr>
                <w:rFonts w:hint="eastAsia" w:cs="仿宋" w:asciiTheme="minorEastAsia" w:hAnsiTheme="minorEastAsia"/>
                <w:kern w:val="0"/>
                <w:sz w:val="20"/>
              </w:rPr>
              <w:t>含L杆基础施工，吊装，摄像机安装</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r>
              <w:rPr>
                <w:rFonts w:ascii="宋体" w:hAnsi="宋体" w:eastAsia="宋体" w:cs="宋体"/>
                <w:kern w:val="0"/>
                <w:sz w:val="20"/>
                <w:szCs w:val="20"/>
              </w:rPr>
              <w:t>.10</w:t>
            </w:r>
          </w:p>
        </w:tc>
        <w:tc>
          <w:tcPr>
            <w:tcW w:w="1713"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车牌识别系统调试</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cs="仿宋" w:asciiTheme="minorEastAsia" w:hAnsiTheme="minorEastAsia"/>
                <w:kern w:val="0"/>
                <w:sz w:val="20"/>
              </w:rPr>
            </w:pPr>
            <w:r>
              <w:rPr>
                <w:rFonts w:hint="eastAsia" w:cs="仿宋" w:asciiTheme="minorEastAsia" w:hAnsiTheme="minorEastAsia"/>
                <w:kern w:val="0"/>
                <w:sz w:val="20"/>
              </w:rPr>
              <w:t>车牌识别系统抓拍调试及匹配调试，包含称重设备同步触发、识别效果统计和提升、前后抓拍系统同步、识别结果和称重结果匹配等调试及需要的人工、车辆和设备。</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b/>
                <w:bCs/>
                <w:kern w:val="0"/>
                <w:sz w:val="20"/>
                <w:szCs w:val="20"/>
              </w:rPr>
            </w:pPr>
            <w:r>
              <w:rPr>
                <w:rFonts w:ascii="宋体" w:hAnsi="宋体" w:eastAsia="宋体" w:cs="宋体"/>
                <w:b/>
                <w:bCs/>
                <w:kern w:val="0"/>
                <w:sz w:val="20"/>
                <w:szCs w:val="20"/>
              </w:rPr>
              <w:t>5</w:t>
            </w:r>
          </w:p>
        </w:tc>
        <w:tc>
          <w:tcPr>
            <w:tcW w:w="8741" w:type="dxa"/>
            <w:gridSpan w:val="5"/>
            <w:tcBorders>
              <w:top w:val="single" w:color="auto" w:sz="4" w:space="0"/>
              <w:left w:val="nil"/>
              <w:bottom w:val="single" w:color="auto" w:sz="4" w:space="0"/>
              <w:right w:val="single" w:color="auto" w:sz="4" w:space="0"/>
            </w:tcBorders>
            <w:shd w:val="clear" w:color="000000" w:fill="BEBEBE"/>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超限信息发布子系统</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5</w:t>
            </w:r>
            <w:r>
              <w:rPr>
                <w:rFonts w:hint="eastAsia" w:ascii="宋体" w:hAnsi="宋体" w:eastAsia="宋体" w:cs="宋体"/>
                <w:kern w:val="0"/>
                <w:sz w:val="20"/>
                <w:szCs w:val="20"/>
              </w:rPr>
              <w:t>.1</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LED显示屏屏体（F型）</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★显示尺寸：1.92m×1.28m（F型）；LED像素点间距：10mm；LED配比：单红；显示亮度：≥5000cd/m²；LED视认角：≥30°；LED平均寿命为≥10000小时；失控率：≤1‰；含异步控制卡。</w:t>
            </w:r>
            <w:r>
              <w:rPr>
                <w:rFonts w:hint="eastAsia" w:cs="仿宋" w:asciiTheme="minorEastAsia" w:hAnsiTheme="minorEastAsia"/>
                <w:sz w:val="24"/>
              </w:rPr>
              <w:t>▲</w:t>
            </w:r>
            <w:r>
              <w:rPr>
                <w:rFonts w:hint="eastAsia" w:ascii="宋体" w:hAnsi="宋体" w:eastAsia="宋体" w:cs="宋体"/>
                <w:kern w:val="0"/>
                <w:sz w:val="20"/>
                <w:szCs w:val="20"/>
              </w:rPr>
              <w:t>在超重车辆触发超重检测后，立即显示“超重车辆车牌号，疑似超重，提请绕行”等字样；</w:t>
            </w:r>
            <w:r>
              <w:rPr>
                <w:rFonts w:hint="eastAsia" w:cs="仿宋" w:asciiTheme="minorEastAsia" w:hAnsiTheme="minorEastAsia"/>
                <w:sz w:val="24"/>
              </w:rPr>
              <w:t>▲</w:t>
            </w:r>
            <w:r>
              <w:rPr>
                <w:rFonts w:hint="eastAsia" w:ascii="宋体" w:hAnsi="宋体" w:eastAsia="宋体" w:cs="宋体"/>
                <w:kern w:val="0"/>
                <w:sz w:val="20"/>
                <w:szCs w:val="20"/>
              </w:rPr>
              <w:t>配置报警设备、语音播报设备，检测站点在检测发现货车超重后，能够实现车辆超重信息的语音通知。</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5</w:t>
            </w:r>
            <w:r>
              <w:rPr>
                <w:rFonts w:hint="eastAsia" w:ascii="宋体" w:hAnsi="宋体" w:eastAsia="宋体" w:cs="宋体"/>
                <w:kern w:val="0"/>
                <w:sz w:val="20"/>
                <w:szCs w:val="20"/>
              </w:rPr>
              <w:t>.2</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抱杆箱</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抱杆箱，抱杆箱离地2.5米。</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5</w:t>
            </w:r>
            <w:r>
              <w:rPr>
                <w:rFonts w:hint="eastAsia" w:ascii="宋体" w:hAnsi="宋体" w:eastAsia="宋体" w:cs="宋体"/>
                <w:kern w:val="0"/>
                <w:sz w:val="20"/>
                <w:szCs w:val="20"/>
              </w:rPr>
              <w:t>.3</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户外LED屏配电箱</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含63A空开</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5</w:t>
            </w:r>
            <w:r>
              <w:rPr>
                <w:rFonts w:hint="eastAsia" w:ascii="宋体" w:hAnsi="宋体" w:eastAsia="宋体" w:cs="宋体"/>
                <w:kern w:val="0"/>
                <w:sz w:val="20"/>
                <w:szCs w:val="20"/>
              </w:rPr>
              <w:t>.4</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LED显示屏安装施工费</w:t>
            </w:r>
          </w:p>
        </w:tc>
        <w:tc>
          <w:tcPr>
            <w:tcW w:w="4125" w:type="dxa"/>
            <w:tcBorders>
              <w:top w:val="nil"/>
              <w:left w:val="nil"/>
              <w:bottom w:val="nil"/>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屏体吊装</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5</w:t>
            </w:r>
            <w:r>
              <w:rPr>
                <w:rFonts w:hint="eastAsia" w:ascii="宋体" w:hAnsi="宋体" w:eastAsia="宋体" w:cs="宋体"/>
                <w:kern w:val="0"/>
                <w:sz w:val="20"/>
                <w:szCs w:val="20"/>
              </w:rPr>
              <w:t>.5</w:t>
            </w:r>
          </w:p>
        </w:tc>
        <w:tc>
          <w:tcPr>
            <w:tcW w:w="1713"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前方超限提醒标志牌</w:t>
            </w:r>
          </w:p>
        </w:tc>
        <w:tc>
          <w:tcPr>
            <w:tcW w:w="4125" w:type="dxa"/>
            <w:tcBorders>
              <w:top w:val="single" w:color="auto" w:sz="4" w:space="0"/>
              <w:left w:val="nil"/>
              <w:bottom w:val="nil"/>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尺寸为：1800mm*1550mm；蓝底白字牌面左上为直径540mm的桥梁限重标志，限重标志下方为桥名，右上放置为交通部车辆称重检测的标识，标识尺寸600mm*600mm正方形，牌面下侧为具体提示信息建议内容为：“超限检测XXX米（根据放置位置与称重点实际距离）箭头”。</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r>
              <w:rPr>
                <w:rFonts w:ascii="宋体" w:hAnsi="宋体" w:eastAsia="宋体" w:cs="宋体"/>
                <w:kern w:val="0"/>
                <w:sz w:val="20"/>
                <w:szCs w:val="20"/>
              </w:rPr>
              <w:t>.6</w:t>
            </w:r>
          </w:p>
        </w:tc>
        <w:tc>
          <w:tcPr>
            <w:tcW w:w="1713"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点位提示牌</w:t>
            </w:r>
          </w:p>
        </w:tc>
        <w:tc>
          <w:tcPr>
            <w:tcW w:w="4125" w:type="dxa"/>
            <w:tcBorders>
              <w:top w:val="single" w:color="auto" w:sz="4" w:space="0"/>
              <w:left w:val="nil"/>
              <w:bottom w:val="nil"/>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尺寸为：3000mm*1800mm的长方形；蓝底白字牌面左上为直径800mm的桥梁限重标志，左下放置为交通部车辆称重检测的标识，标识尺寸800mm*800mm正方形，牌面右侧为具体提示信息建议内容为：“前方XXX米（根据放置位置与称重点实际距离）超限检测”。</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r>
              <w:rPr>
                <w:rFonts w:ascii="宋体" w:hAnsi="宋体" w:eastAsia="宋体" w:cs="宋体"/>
                <w:kern w:val="0"/>
                <w:sz w:val="20"/>
                <w:szCs w:val="20"/>
              </w:rPr>
              <w:t>.7</w:t>
            </w:r>
          </w:p>
        </w:tc>
        <w:tc>
          <w:tcPr>
            <w:tcW w:w="1713"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超限抓拍</w:t>
            </w:r>
          </w:p>
        </w:tc>
        <w:tc>
          <w:tcPr>
            <w:tcW w:w="4125" w:type="dxa"/>
            <w:tcBorders>
              <w:top w:val="single" w:color="auto" w:sz="4" w:space="0"/>
              <w:left w:val="nil"/>
              <w:bottom w:val="nil"/>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尺寸为：1300mm*380mm；白底黑字。排名左侧为直径330mm的限重标识，右侧为提示信息：超限抓拍。</w:t>
            </w:r>
          </w:p>
        </w:tc>
        <w:tc>
          <w:tcPr>
            <w:tcW w:w="667"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b/>
                <w:bCs/>
                <w:kern w:val="0"/>
                <w:sz w:val="20"/>
                <w:szCs w:val="20"/>
              </w:rPr>
            </w:pPr>
            <w:r>
              <w:rPr>
                <w:rFonts w:ascii="宋体" w:hAnsi="宋体" w:eastAsia="宋体" w:cs="宋体"/>
                <w:b/>
                <w:bCs/>
                <w:kern w:val="0"/>
                <w:sz w:val="20"/>
                <w:szCs w:val="20"/>
              </w:rPr>
              <w:t>三</w:t>
            </w:r>
          </w:p>
        </w:tc>
        <w:tc>
          <w:tcPr>
            <w:tcW w:w="8741" w:type="dxa"/>
            <w:gridSpan w:val="5"/>
            <w:tcBorders>
              <w:top w:val="single" w:color="auto" w:sz="4" w:space="0"/>
              <w:left w:val="nil"/>
              <w:bottom w:val="single" w:color="auto" w:sz="4" w:space="0"/>
              <w:right w:val="single" w:color="auto" w:sz="4" w:space="0"/>
            </w:tcBorders>
            <w:shd w:val="clear" w:color="000000" w:fill="BEBEBE"/>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辅助配套设施</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w:t>
            </w:r>
          </w:p>
        </w:tc>
        <w:tc>
          <w:tcPr>
            <w:tcW w:w="8741" w:type="dxa"/>
            <w:gridSpan w:val="5"/>
            <w:tcBorders>
              <w:top w:val="single" w:color="auto" w:sz="4" w:space="0"/>
              <w:left w:val="nil"/>
              <w:bottom w:val="single" w:color="auto" w:sz="4" w:space="0"/>
              <w:right w:val="single" w:color="auto" w:sz="4" w:space="0"/>
            </w:tcBorders>
            <w:shd w:val="clear" w:color="000000" w:fill="BEBEBE"/>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传输及供电系统</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.1</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外部电缆</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从挂表处接至机柜，含空开100A，按实际数量计算。</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.2</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外部电缆施工费</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外部电缆地埋或架空，含管材（</w:t>
            </w:r>
            <w:r>
              <w:rPr>
                <w:rFonts w:ascii="宋体" w:hAnsi="宋体" w:eastAsia="宋体" w:cs="宋体"/>
                <w:kern w:val="0"/>
                <w:sz w:val="20"/>
                <w:szCs w:val="20"/>
              </w:rPr>
              <w:t>PE</w:t>
            </w:r>
            <w:r>
              <w:rPr>
                <w:rFonts w:ascii="MS Mincho" w:hAnsi="MS Mincho" w:eastAsia="宋体" w:cs="MS Mincho"/>
                <w:kern w:val="0"/>
                <w:sz w:val="20"/>
                <w:szCs w:val="20"/>
              </w:rPr>
              <w:t>∅</w:t>
            </w:r>
            <w:r>
              <w:rPr>
                <w:rFonts w:ascii="宋体" w:hAnsi="宋体" w:eastAsia="宋体" w:cs="宋体"/>
                <w:kern w:val="0"/>
                <w:sz w:val="20"/>
                <w:szCs w:val="20"/>
              </w:rPr>
              <w:t>50</w:t>
            </w:r>
            <w:r>
              <w:rPr>
                <w:rFonts w:hint="eastAsia" w:ascii="宋体" w:hAnsi="宋体" w:eastAsia="宋体" w:cs="宋体"/>
                <w:kern w:val="0"/>
                <w:sz w:val="20"/>
                <w:szCs w:val="20"/>
              </w:rPr>
              <w:t>），按实际数量计算。</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.3</w:t>
            </w:r>
          </w:p>
        </w:tc>
        <w:tc>
          <w:tcPr>
            <w:tcW w:w="1713"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内部电缆、光缆</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工控机至LED屏，电源线，室外单模，6芯光缆，按实际数量计算。</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.4</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摄像机电源线、控制线</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工控机柜至摄像机，电源线、信号线，按实际数量计算。</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.5</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防雷接地</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含网络防雷器、接地母线、防雷接地极。</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.6</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网线</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交换机至抱杆箱，抱杆箱至摄像机，后台系统用线，阻水，按实际数量计算。</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.7</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内部光缆电缆施工费</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强弱电共沟不同管，同内部光缆等长，按实际数量计算。</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.8</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破路及恢复</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传输供电施工时沥青或混凝土，人行道路面开挖和恢复，按实际数量计算。</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.9</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内部光电缆管材</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内部传输供电套管材料（</w:t>
            </w:r>
            <w:r>
              <w:rPr>
                <w:rFonts w:ascii="宋体" w:hAnsi="宋体" w:eastAsia="宋体" w:cs="宋体"/>
                <w:kern w:val="0"/>
                <w:sz w:val="20"/>
                <w:szCs w:val="20"/>
              </w:rPr>
              <w:t>PE</w:t>
            </w:r>
            <w:r>
              <w:rPr>
                <w:rFonts w:ascii="MS Mincho" w:hAnsi="MS Mincho" w:eastAsia="宋体" w:cs="MS Mincho"/>
                <w:kern w:val="0"/>
                <w:sz w:val="20"/>
                <w:szCs w:val="20"/>
              </w:rPr>
              <w:t>∅</w:t>
            </w:r>
            <w:r>
              <w:rPr>
                <w:rFonts w:ascii="宋体" w:hAnsi="宋体" w:eastAsia="宋体" w:cs="宋体"/>
                <w:kern w:val="0"/>
                <w:sz w:val="20"/>
                <w:szCs w:val="20"/>
              </w:rPr>
              <w:t>50</w:t>
            </w:r>
            <w:r>
              <w:rPr>
                <w:rFonts w:hint="eastAsia" w:ascii="宋体" w:hAnsi="宋体" w:eastAsia="宋体" w:cs="宋体"/>
                <w:kern w:val="0"/>
                <w:sz w:val="20"/>
                <w:szCs w:val="20"/>
              </w:rPr>
              <w:t>），同内部光缆等长，按实际数量计算。</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.10</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辅料</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手井、井盖、水泥等，每一个检测方向1项。</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.11</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光纤收发器</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4电1光，单模，20km级，每台大屏需2台。</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2</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2</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.12</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HUB</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接口数目: 8个</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.13</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智能浪涌控制器</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电流过载、短路时自动断电，故障消除时自动合闸</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.14</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封道</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含封道及相关安全设施</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.15</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绿化保护</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管线铺设及基础开挖破坏绿化后恢复</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.16</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存储硬盘</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8T SAS/SATA硬盘</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2</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2</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000000" w:fill="BEBEBE"/>
            <w:vAlign w:val="center"/>
          </w:tcPr>
          <w:p>
            <w:pPr>
              <w:widowControl/>
              <w:jc w:val="center"/>
              <w:rPr>
                <w:rFonts w:ascii="宋体" w:hAnsi="宋体" w:eastAsia="宋体" w:cs="宋体"/>
                <w:b/>
                <w:bCs/>
                <w:kern w:val="0"/>
                <w:sz w:val="20"/>
                <w:szCs w:val="20"/>
              </w:rPr>
            </w:pPr>
            <w:r>
              <w:rPr>
                <w:rFonts w:ascii="宋体" w:hAnsi="宋体" w:eastAsia="宋体" w:cs="宋体"/>
                <w:b/>
                <w:bCs/>
                <w:kern w:val="0"/>
                <w:sz w:val="20"/>
                <w:szCs w:val="20"/>
              </w:rPr>
              <w:t>四</w:t>
            </w:r>
          </w:p>
        </w:tc>
        <w:tc>
          <w:tcPr>
            <w:tcW w:w="8741" w:type="dxa"/>
            <w:gridSpan w:val="5"/>
            <w:tcBorders>
              <w:top w:val="single" w:color="auto" w:sz="4" w:space="0"/>
              <w:left w:val="nil"/>
              <w:bottom w:val="single" w:color="auto" w:sz="4" w:space="0"/>
              <w:right w:val="single" w:color="auto" w:sz="4" w:space="0"/>
            </w:tcBorders>
            <w:shd w:val="clear" w:color="000000" w:fill="BEBEBE"/>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上桥取证卡口</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7</w:t>
            </w:r>
            <w:r>
              <w:rPr>
                <w:rFonts w:hint="eastAsia" w:ascii="宋体" w:hAnsi="宋体" w:eastAsia="宋体" w:cs="宋体"/>
                <w:kern w:val="0"/>
                <w:sz w:val="20"/>
                <w:szCs w:val="20"/>
              </w:rPr>
              <w:t>.1</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车头取证抓拍相机</w:t>
            </w:r>
          </w:p>
        </w:tc>
        <w:tc>
          <w:tcPr>
            <w:tcW w:w="4125" w:type="dxa"/>
            <w:tcBorders>
              <w:top w:val="nil"/>
              <w:left w:val="nil"/>
              <w:bottom w:val="single" w:color="auto" w:sz="4" w:space="0"/>
              <w:right w:val="single" w:color="auto" w:sz="4" w:space="0"/>
            </w:tcBorders>
            <w:shd w:val="clear" w:color="auto" w:fill="auto"/>
            <w:vAlign w:val="center"/>
          </w:tcPr>
          <w:p>
            <w:pPr>
              <w:widowControl/>
              <w:jc w:val="left"/>
              <w:rPr>
                <w:rFonts w:cs="仿宋" w:asciiTheme="minorEastAsia" w:hAnsiTheme="minorEastAsia"/>
                <w:b/>
                <w:bCs/>
                <w:kern w:val="0"/>
                <w:sz w:val="20"/>
              </w:rPr>
            </w:pPr>
            <w:r>
              <w:rPr>
                <w:rFonts w:hint="eastAsia" w:cs="仿宋" w:asciiTheme="minorEastAsia" w:hAnsiTheme="minorEastAsia"/>
                <w:kern w:val="0"/>
                <w:sz w:val="20"/>
              </w:rPr>
              <w:t>★像素：900W，★分辨率：最大支持4096*2160，帧率：25fps，图像传感器：采用1" 英寸全局曝光CMOS（GMOS）传感器，照度：彩色:0.01Lux，视频压缩标准：H.265/H.264/MJPEG，图像输出格式：JPEG，输出：电平量信号，通讯接口：2个RJ45 100M/1000M自适应网口，3个RS485接口，1个RS232接口，外部接口：4路外部触发输入，6路(光耦隔离2500VAC)输出，可作为闪光灯同步输出控制，SYNC信号灯电源同步输入，存储支持：最大支持64G TF卡，自动光圈镜头：支持，工作电压：100VAC～240VAC；频率：48Hz～52Hz；功耗：＜20W，支持智能识别功能：内置视频识别功能，支持车牌识别、视频触发、车身颜色识别、车型识别，通行车辆信息捕获和违章检测功能；抓拍单元防护罩面板具有防尘防水滴功能；输出图片格式：JPEG；支持闪光灯和LED频闪灯同步补光；全天平均车牌识别准确率≥90%；识别车牌种类多：民用车牌（除5小车辆）、警用车牌、2012式新军用车牌、2012式武警车牌；车身颜色识别准确率：深浅分类准确率≥80%；11种常见颜色（白灰黄粉红紫绿蓝棕黑青）车辆的识别率（白天≥85%，夜晚≥80%）。当采用LED灯补光时，无法保证夜间车身颜色识别率。包含镜头、保护罩、安装件及防雷。</w:t>
            </w:r>
            <w:r>
              <w:rPr>
                <w:rFonts w:hint="eastAsia" w:cs="仿宋" w:asciiTheme="minorEastAsia" w:hAnsiTheme="minorEastAsia"/>
                <w:kern w:val="0"/>
                <w:sz w:val="20"/>
              </w:rPr>
              <w:br w:type="textWrapping"/>
            </w:r>
            <w:r>
              <w:rPr>
                <w:rFonts w:hint="eastAsia" w:cs="仿宋" w:asciiTheme="minorEastAsia" w:hAnsiTheme="minorEastAsia"/>
                <w:b/>
                <w:bCs/>
                <w:kern w:val="0"/>
                <w:sz w:val="20"/>
              </w:rPr>
              <w:t>★设备可识别351种机动车品牌标志，白天识别准确率≥99%，夜晚识别准确率≥99%；</w:t>
            </w:r>
          </w:p>
          <w:p>
            <w:pPr>
              <w:widowControl/>
              <w:jc w:val="left"/>
              <w:rPr>
                <w:rFonts w:ascii="宋体" w:hAnsi="宋体" w:eastAsia="宋体" w:cs="宋体"/>
                <w:kern w:val="0"/>
                <w:sz w:val="20"/>
                <w:szCs w:val="20"/>
              </w:rPr>
            </w:pPr>
            <w:r>
              <w:rPr>
                <w:rFonts w:hint="eastAsia" w:cs="仿宋" w:asciiTheme="minorEastAsia" w:hAnsiTheme="minorEastAsia"/>
                <w:b/>
                <w:bCs/>
                <w:kern w:val="0"/>
                <w:sz w:val="20"/>
              </w:rPr>
              <w:t>★开启混合抓拍模式后，设备支持正面/侧面/背面行人（包括成年人和儿童）的抓拍；支持对骑自行车、骑三轮车、骑电动车、踩平衡车、骑车带人等非机动车的抓拍；支持对轿车、客车、面包车、货车、卡车、摩托车等机动车的抓拍；</w:t>
            </w:r>
            <w:r>
              <w:rPr>
                <w:rFonts w:hint="eastAsia" w:cs="仿宋" w:asciiTheme="minorEastAsia" w:hAnsiTheme="minorEastAsia"/>
                <w:b/>
                <w:bCs/>
                <w:kern w:val="0"/>
                <w:sz w:val="20"/>
              </w:rPr>
              <w:br w:type="textWrapping"/>
            </w:r>
            <w:r>
              <w:rPr>
                <w:rFonts w:hint="eastAsia" w:cs="仿宋" w:asciiTheme="minorEastAsia" w:hAnsiTheme="minorEastAsia"/>
                <w:b/>
                <w:bCs/>
                <w:kern w:val="0"/>
                <w:sz w:val="20"/>
              </w:rPr>
              <w:t>★设备支持人脸区域自动曝光，可根据人脸区域和光照变化自动调节人脸区域曝光参数；可通过IE浏览器设置人脸自动曝光的参考亮度、最短持续时间和人脸过滤时间。</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2</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7</w:t>
            </w:r>
            <w:r>
              <w:rPr>
                <w:rFonts w:hint="eastAsia" w:ascii="宋体" w:hAnsi="宋体" w:eastAsia="宋体" w:cs="宋体"/>
                <w:kern w:val="0"/>
                <w:sz w:val="20"/>
                <w:szCs w:val="20"/>
              </w:rPr>
              <w:t>.2</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20"/>
                <w:szCs w:val="20"/>
              </w:rPr>
            </w:pPr>
            <w:r>
              <w:rPr>
                <w:rFonts w:hint="eastAsia" w:cs="仿宋" w:asciiTheme="minorEastAsia" w:hAnsiTheme="minorEastAsia"/>
                <w:kern w:val="0"/>
                <w:sz w:val="20"/>
              </w:rPr>
              <w:t>爆闪灯</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电源电压 AC 220V±10%/48Hz～52Hz；色温值（K） 5500K±500K；闪光能量 200J；功耗（w） 平均＜100W（@1闪/s），瞬间最大＜300W；峰值闪光持续时间 1/30ms；回电时间 ＜67ms；有效补光距离 16m～25m；触发方式 电平触发【可选配开关量触发】；佩戴光栅 佩戴光栅，可有效减少光污染；工作环境（温度） -25～+70℃（-40℃内均可安全使用/有衰减）；工作环境（湿度） 5%~90%@40℃，无凝结；覆盖范围 单车道；适合拍摄条件 卡口兼超速抓拍；寿命 ≥2000万次；防护等级 IP65；重量 3.5Kg</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7</w:t>
            </w:r>
            <w:r>
              <w:rPr>
                <w:rFonts w:hint="eastAsia" w:ascii="宋体" w:hAnsi="宋体" w:eastAsia="宋体" w:cs="宋体"/>
                <w:kern w:val="0"/>
                <w:sz w:val="20"/>
                <w:szCs w:val="20"/>
              </w:rPr>
              <w:t>.3</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补光灯</w:t>
            </w:r>
          </w:p>
        </w:tc>
        <w:tc>
          <w:tcPr>
            <w:tcW w:w="412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光源类型 16颗CREE光源，亮度 1-30级可调，环境感光阈值可调，摄像机可以控制开启关闭，发光角度：10度，其它角度可选，平均功率默认 35W（出厂功率 20~50W 可调），光源波长 380～780nm，色温 3000K-4500K，控制方式 开关量、电平量均支持，外壳材质 金属铝 钢化超白玻璃，外壳防尘防水等级 IP67，工作环境温度 -40℃～70℃，工作环境湿度 10～90%RH。</w:t>
            </w:r>
          </w:p>
        </w:tc>
        <w:tc>
          <w:tcPr>
            <w:tcW w:w="6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3</w:t>
            </w:r>
          </w:p>
        </w:tc>
        <w:tc>
          <w:tcPr>
            <w:tcW w:w="12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.4</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L型监控杆杆件</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杆高：6M；横臂：根据道路宽度定制；</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.5</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室外落地机柜</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箱体采用Q235工程级冷轧碳钢板。主体无缝焊接，结构稳固；箱体全面的保护，经酸洗淋化防腐蚀防锈处理，防水，防虫、防锈、防紫外线，箱体喷专业室外氟碳烤漆，亮白色，尺寸：600*600*1000mm；含32A空开。</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.6</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L型杆件抱杆箱及抓拍系统安装施工费</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含T杆基础施工、支模，吊装，摄像机安装</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.7</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终端服务器</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kern w:val="0"/>
                <w:sz w:val="20"/>
                <w:szCs w:val="20"/>
              </w:rPr>
            </w:pPr>
            <w:r>
              <w:rPr>
                <w:rFonts w:hint="eastAsia" w:cs="仿宋" w:asciiTheme="minorEastAsia" w:hAnsiTheme="minorEastAsia"/>
                <w:kern w:val="0"/>
                <w:sz w:val="20"/>
              </w:rPr>
              <w:t>终端服务器，高性能ARM Cortex A9数字媒体处理器；内置1块3.5寸4T硬盘；支持12路IPC接入；双网卡，内置8个100M以太网接口及2个1000M网络接口；支持VGA输出；1个RS485、2个RS232、2个USB、4路报警输入\报警输出、1个eSATA接口；电源:DC12V；支持对通行车辆的信息（记录和图片）存储；支持录像存储功能；可配置多种字符叠加、图片合成模式；支持区间测速功能；可配置增加GPS校时模块；</w:t>
            </w:r>
            <w:r>
              <w:rPr>
                <w:rFonts w:hint="eastAsia" w:cs="仿宋" w:asciiTheme="minorEastAsia" w:hAnsiTheme="minorEastAsia"/>
                <w:kern w:val="0"/>
                <w:sz w:val="20"/>
              </w:rPr>
              <w:br w:type="textWrapping"/>
            </w:r>
            <w:r>
              <w:rPr>
                <w:rFonts w:hint="eastAsia" w:cs="仿宋" w:asciiTheme="minorEastAsia" w:hAnsiTheme="minorEastAsia"/>
                <w:b/>
                <w:bCs/>
                <w:kern w:val="0"/>
                <w:sz w:val="20"/>
              </w:rPr>
              <w:t>★可设置图片的存储空间，在规定的空间内自动循环覆盖，剩余空间为录像存储空间。</w:t>
            </w:r>
            <w:r>
              <w:rPr>
                <w:rFonts w:hint="eastAsia" w:cs="仿宋" w:asciiTheme="minorEastAsia" w:hAnsiTheme="minorEastAsia"/>
                <w:b/>
                <w:bCs/>
                <w:kern w:val="0"/>
                <w:sz w:val="20"/>
              </w:rPr>
              <w:br w:type="textWrapping"/>
            </w:r>
            <w:r>
              <w:rPr>
                <w:rFonts w:hint="eastAsia" w:cs="仿宋" w:asciiTheme="minorEastAsia" w:hAnsiTheme="minorEastAsia"/>
                <w:b/>
                <w:bCs/>
                <w:kern w:val="0"/>
                <w:sz w:val="20"/>
              </w:rPr>
              <w:t>★可实时显示车流量、平均车速、平均车道时间占有率、平均车头时距等数据；支持存储采集到的车流量信息,可对全部卡口或单个卡口按天或按小时实时统计过车流量,并能够按照时间、通道、车道等条件查询,支持柱状图、折线图、表格形式展示,可将数据上传至平台。</w:t>
            </w:r>
            <w:r>
              <w:rPr>
                <w:rFonts w:hint="eastAsia" w:cs="仿宋" w:asciiTheme="minorEastAsia" w:hAnsiTheme="minorEastAsia"/>
                <w:b/>
                <w:bCs/>
                <w:kern w:val="0"/>
                <w:sz w:val="20"/>
              </w:rPr>
              <w:br w:type="textWrapping"/>
            </w:r>
            <w:r>
              <w:rPr>
                <w:rFonts w:hint="eastAsia" w:cs="仿宋" w:asciiTheme="minorEastAsia" w:hAnsiTheme="minorEastAsia"/>
                <w:b/>
                <w:bCs/>
                <w:kern w:val="0"/>
                <w:sz w:val="20"/>
              </w:rPr>
              <w:t>★设备内的录像、图片文件无法直接删除或者修改，只能通过循环覆盖和硬盘格式化操作。</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.8</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上桥数据接入</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车辆上桥抓拍照片、上桥小视频数据接入实施</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.9</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内部电缆、光缆</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工控机至落地机柜，电源线，室外单模，6芯光缆，按实际数量计算。</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.10</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摄像机电源线、控制线</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抱杆箱至摄像机，电源线，信号线。</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.11</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防雷接地</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含网络防雷器、接地母线、防雷接地极。</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.12</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网线</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交换机至抱杆箱，抱杆箱至摄像机，后台系统用线，阻水。</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.13</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内部光电缆管材</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内部传输供电套管材料（</w:t>
            </w:r>
            <w:r>
              <w:rPr>
                <w:rFonts w:ascii="宋体" w:hAnsi="宋体" w:eastAsia="宋体" w:cs="宋体"/>
                <w:kern w:val="0"/>
                <w:sz w:val="20"/>
                <w:szCs w:val="20"/>
              </w:rPr>
              <w:t>PE</w:t>
            </w:r>
            <w:r>
              <w:rPr>
                <w:rFonts w:ascii="MS Mincho" w:hAnsi="MS Mincho" w:eastAsia="宋体" w:cs="MS Mincho"/>
                <w:kern w:val="0"/>
                <w:sz w:val="20"/>
                <w:szCs w:val="20"/>
              </w:rPr>
              <w:t>∅</w:t>
            </w:r>
            <w:r>
              <w:rPr>
                <w:rFonts w:ascii="宋体" w:hAnsi="宋体" w:eastAsia="宋体" w:cs="宋体"/>
                <w:kern w:val="0"/>
                <w:sz w:val="20"/>
                <w:szCs w:val="20"/>
              </w:rPr>
              <w:t>50</w:t>
            </w:r>
            <w:r>
              <w:rPr>
                <w:rFonts w:hint="eastAsia" w:ascii="宋体" w:hAnsi="宋体" w:eastAsia="宋体" w:cs="宋体"/>
                <w:kern w:val="0"/>
                <w:sz w:val="20"/>
                <w:szCs w:val="20"/>
              </w:rPr>
              <w:t>）</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.14</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辅料</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电源线、控制线、网线、接地母线等线缆及管材施工</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.15</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光纤收发器</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 电 1 光，千兆单模双纤，20km 级。</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.16</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线缆管材施工费</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电源线、控制线、网线、接地母线等线缆及管材施工</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r>
              <w:rPr>
                <w:rFonts w:ascii="宋体" w:hAnsi="宋体" w:eastAsia="宋体" w:cs="宋体"/>
                <w:kern w:val="0"/>
                <w:sz w:val="20"/>
                <w:szCs w:val="20"/>
              </w:rPr>
              <w:t>.17</w:t>
            </w:r>
          </w:p>
        </w:tc>
        <w:tc>
          <w:tcPr>
            <w:tcW w:w="1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绿化保护</w:t>
            </w:r>
          </w:p>
        </w:tc>
        <w:tc>
          <w:tcPr>
            <w:tcW w:w="412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管线铺设及基础开挖破坏绿化后恢复</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8741" w:type="dxa"/>
            <w:gridSpan w:val="5"/>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违章变道抓拍系统</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.1</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智能环保卡口抓拍单元</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1）包含摄像机、高清镜头、室外防护罩、内置补光灯、风扇、电源适配器、安装万向节等</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2）传感器：设备的镜头和两个sensor一体化设计，具有独立三角分光棱镜分光结构装置，分别接收可见光和红外光（提供公安部检测报告复印件）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3）防护等级：IP66</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4）工作温度：温度-30℃~70℃</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5）电源：100VAC～240VAC；频率：48Hz～52Hz</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6）工作湿度：湿度5%~95%@40℃，无凝结</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7）摄像机参数配置功能：曝光速度、AGC控制、白平衡方式控制等</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8）同步输入：SYNC信号灯电源同步输入</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9）触发输出：7路F+ F-输出接口，作为补光灯同步输出控制；一路继电器输出口</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10）通讯接口：3个RS-485接口,1个RS-232接口,2个RJ45 10M/100M/1000M自适应以太网口</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11）图片分辨率：4096(H)×2160(V)</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12）曝光优化：支持重瞳设置选项，开启后可自动调节优化画面中人脸和车牌区域的曝光（提供公安部检测报告复印件）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13）图片格式：JPEG</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14）智能识别：目标检测：机动车抓拍，非机动抓拍，行人抓拍</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15）人脸检出：支持检出两眼瞳距13像素点以上的人脸图片（提供公安部检测报告复印件）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16）支持在25%丢包率的网络环境下，正常显示监控画面</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17）违章检测：超速、压线、逆行、禁止大货车等违法行为</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18）车辆特征检测：车牌识别、车型识别、车身颜色识别、违章检测、车辆品牌等特征检测</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19）车辆子品牌识别：支持车辆子品牌识别功能，通过车头可识别不低于7100种，通过车尾可识别不低于3800种，全天识别准确率不低于99%（提供公安部检测报告复印件）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20）支持大型货车闯红灯抓拍功能，包括渣土车、集装箱牵引车等货车类型（提供公安部检测报告复印件）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21）内部组件：防尘、防水面板、LED补光灯</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22）支持协议：ISAPI ,GB28181，SDK</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23）缩输出码率：32 Kbps~16 Mbps</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24）存储功能：TF;USB</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25）帧率：50fps</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26）视频分辨率：4096(H)×2160(V)</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27）视频压缩标准：H.264;H.265;MJPEG</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28）宽动态：≥120dB</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29）终端接入：支持</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30）支持对闪光灯的控制，可设置工作模式、脉宽、白天延时时间、夜晚延时时间和触发模式等参数，白天/夜晚延时时间设置范围在1000us~80000us之间（提供公安部检测报告复印件）</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.2</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红外白光频爆一体灯</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1）采用24颗原装进口高亮度LED芯片，寿命长，稳定性好，发光效率高</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2）LED频闪支持PWM跟随触发，具有频率及占空比保护功能，发光角度10°</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3）气体爆闪具有防误触发功能，提高产品寿命</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4）采用步进电机功能，实现红外滤片的切换</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5）气体光源回电时间小于50ms（提供公安部检测报告复印件）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6）闪光指数GN≥64m（提供公安部检测报告复印件）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7）气体补光控制具有峰值抑制功能</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8）具有电压值、电流值、故障等状态监测功能</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9）支持LED灯频闪、白光气体爆闪，红外气体爆闪</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10）支持相机误触发保护功能，触发信号输入异常时自动保护、且自动恢复</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11）功耗≤48W（补光灯在频闪模式下，亮度等级设置为255）（提供公安部检测报告复印件）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12）防护等级IP66（提供公安部检测报告复印件）</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台</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.3</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终端服务器</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1）嵌入式linux实时操作系统</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2）内存2GB</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3）内置1块3.5寸4T硬盘；支持12路IPC接入</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4）网络接口：设备具有16个1000M以太网接口，1个内部和1个外部10/100/1000M自适应以太网接口</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5）其他接口：设备具有2个RS-232接口、2个RS-485接口、1个USB3.0接口、2路报警输入接口、2路报警输出接口、1个音频输入接口、1个音频输出接口、1个USB3.0接口</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6）支持对通行车辆的信息（记录和图片）存储</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7）支持录像存储功能</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8）可设置图片的存储空间，在规定的空间内自动循环覆盖，剩余空间为录像存储空间（提供公安部检测报告复印件）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9）设备内的录像、图片文件无法直接删除或者修改，只能通过循环覆盖和硬盘格式化操作（提供公安部检测报告复印件）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10）可配置多种字符叠加、图片合成模式</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11）支持区间测速功能</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12）支持套牌车检测，可将抓拍图片与本地历史数据进行车辆特征比对分析，检测出套牌车辆，同时给出告警提示（提供公安部检测报告复印件）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13）可实时显示车流量、平均车速、平均车道时间占有率、平均车头时距等数据；支持存储采集到的车流量信息,可对全部卡口或单个卡口按天或按小时实时统计过车流量,并能够按照时间、通道、车道等条件查询,支持柱状图、折线图、表格形式展示,可将数据上传至平台（提供公安部检测报告复印件）</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14）对于在记录过程中出现的系统死机或意外故障，设备能够在规定的时间内自动恢复其正常工作状态并使故障前的信息不丢失（提供公安部检测报告复印件）</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.4</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智能监控箱</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落地机柜适合户外环境使用，具备防雨、防尘、通风散热、抗紫外线（耐老化）、防盗、防锈；箱体具有明显标识，表明设备箱用途及箱体编号；箱体尺寸（含底座）：≥1000mm(高)×600mm(宽)×450mm(深)。箱体喷塑，采用优质镀锌板，板材厚度1.5mm。双开门设计</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只</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.5</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第三方检测费</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按要求出具检测报告</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.6</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设备线缆及附材</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项目所需的一切线缆和附材，含RVV-3*1.5,RVSP-2*1.0，室外单模光缆，六类阻水网线等线缆，平均长度200米；抱杆机箱等</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.7</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取电工程</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铜芯交联聚乙烯绝缘，聚氯乙烯护套电力电缆（YJV-0.6/1KV-3*4)；就进接入路灯变电箱或委托供电局挂表，并承担电费</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.8</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vpn网络租赁</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视频专网vpn网络租赁（2年）</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条</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99"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r>
              <w:rPr>
                <w:rFonts w:ascii="宋体" w:hAnsi="宋体" w:eastAsia="宋体" w:cs="宋体"/>
                <w:kern w:val="0"/>
                <w:sz w:val="20"/>
                <w:szCs w:val="20"/>
              </w:rPr>
              <w:t>.9</w:t>
            </w:r>
          </w:p>
        </w:tc>
        <w:tc>
          <w:tcPr>
            <w:tcW w:w="17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交通标线</w:t>
            </w:r>
          </w:p>
        </w:tc>
        <w:tc>
          <w:tcPr>
            <w:tcW w:w="41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详见图纸</w:t>
            </w:r>
          </w:p>
        </w:tc>
        <w:tc>
          <w:tcPr>
            <w:tcW w:w="66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95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128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bl>
    <w:p>
      <w:pPr>
        <w:rPr>
          <w:b/>
        </w:rPr>
      </w:pPr>
    </w:p>
    <w:p>
      <w:pPr>
        <w:pStyle w:val="965"/>
        <w:ind w:firstLine="482" w:firstLineChars="200"/>
        <w:rPr>
          <w:rFonts w:cs="宋体"/>
          <w:b/>
          <w:bCs/>
          <w:szCs w:val="24"/>
          <w:lang w:val="en-US"/>
        </w:rPr>
      </w:pPr>
      <w:r>
        <w:rPr>
          <w:rFonts w:hint="eastAsia" w:cs="宋体"/>
          <w:b/>
          <w:bCs/>
          <w:szCs w:val="24"/>
          <w:lang w:val="en-US"/>
        </w:rPr>
        <w:t>备注：</w:t>
      </w:r>
      <w:r>
        <w:rPr>
          <w:rFonts w:hint="eastAsia" w:cs="宋体"/>
          <w:b/>
          <w:bCs/>
          <w:szCs w:val="24"/>
        </w:rPr>
        <w:t>本项目</w:t>
      </w:r>
      <w:r>
        <w:rPr>
          <w:rFonts w:hint="eastAsia" w:cs="宋体"/>
          <w:b/>
          <w:bCs/>
          <w:szCs w:val="24"/>
          <w:lang w:val="en-US"/>
        </w:rPr>
        <w:t>包括但不限于施工期间交通导改及围护、绿化挖除及新建恢复、安装调试、系统接入、故障维修、人员培训、调整维护等完成全部工作而承担的所有内容，完成称重系统建设，满足执法要求。</w:t>
      </w:r>
      <w:r>
        <w:rPr>
          <w:rFonts w:hint="eastAsia" w:cs="宋体"/>
          <w:b/>
          <w:bCs/>
          <w:szCs w:val="24"/>
        </w:rPr>
        <w:t>本项目为“交钥匙”</w:t>
      </w:r>
      <w:r>
        <w:rPr>
          <w:rFonts w:hint="eastAsia" w:cs="宋体"/>
          <w:b/>
          <w:bCs/>
          <w:szCs w:val="24"/>
          <w:lang w:val="en-US"/>
        </w:rPr>
        <w:t>项目</w:t>
      </w:r>
      <w:r>
        <w:rPr>
          <w:rFonts w:hint="eastAsia" w:cs="宋体"/>
          <w:b/>
          <w:bCs/>
          <w:szCs w:val="24"/>
        </w:rPr>
        <w:t>，投标人根据</w:t>
      </w:r>
      <w:r>
        <w:rPr>
          <w:rFonts w:hint="eastAsia" w:cs="宋体"/>
          <w:b/>
          <w:bCs/>
          <w:szCs w:val="24"/>
          <w:lang w:val="en-US"/>
        </w:rPr>
        <w:t>采购需求和技术要</w:t>
      </w:r>
      <w:r>
        <w:rPr>
          <w:rFonts w:hint="eastAsia" w:cs="宋体"/>
          <w:b/>
          <w:bCs/>
          <w:szCs w:val="24"/>
        </w:rPr>
        <w:t>求</w:t>
      </w:r>
      <w:r>
        <w:rPr>
          <w:rFonts w:hint="eastAsia" w:cs="宋体"/>
          <w:b/>
          <w:bCs/>
          <w:szCs w:val="24"/>
          <w:lang w:val="en-US"/>
        </w:rPr>
        <w:t>深化</w:t>
      </w:r>
      <w:r>
        <w:rPr>
          <w:rFonts w:hint="eastAsia" w:cs="宋体"/>
          <w:b/>
          <w:bCs/>
          <w:szCs w:val="24"/>
        </w:rPr>
        <w:t>系统</w:t>
      </w:r>
      <w:r>
        <w:rPr>
          <w:rFonts w:hint="eastAsia" w:cs="宋体"/>
          <w:b/>
          <w:bCs/>
          <w:szCs w:val="24"/>
          <w:lang w:val="en-US"/>
        </w:rPr>
        <w:t>方案</w:t>
      </w:r>
      <w:r>
        <w:rPr>
          <w:rFonts w:hint="eastAsia" w:cs="宋体"/>
          <w:b/>
          <w:bCs/>
          <w:szCs w:val="24"/>
        </w:rPr>
        <w:t>、供货、安装、调试、</w:t>
      </w:r>
      <w:r>
        <w:rPr>
          <w:rFonts w:hint="eastAsia" w:cs="宋体"/>
          <w:b/>
          <w:bCs/>
          <w:szCs w:val="24"/>
          <w:lang w:val="en-US"/>
        </w:rPr>
        <w:t>试运行，</w:t>
      </w:r>
      <w:r>
        <w:rPr>
          <w:rFonts w:hint="eastAsia" w:cs="宋体"/>
          <w:b/>
          <w:bCs/>
          <w:szCs w:val="24"/>
        </w:rPr>
        <w:t>直至验收</w:t>
      </w:r>
      <w:r>
        <w:rPr>
          <w:rFonts w:hint="eastAsia" w:cs="宋体"/>
          <w:b/>
          <w:bCs/>
          <w:szCs w:val="24"/>
          <w:lang w:val="en-US"/>
        </w:rPr>
        <w:t>合格，若投标人认为完成本项工作应增加设施设备的，在报价表里单列</w:t>
      </w:r>
      <w:r>
        <w:rPr>
          <w:rFonts w:hint="eastAsia" w:cs="宋体"/>
          <w:b/>
          <w:bCs/>
          <w:szCs w:val="24"/>
        </w:rPr>
        <w:t>；</w:t>
      </w:r>
      <w:r>
        <w:rPr>
          <w:rFonts w:hint="eastAsia" w:cs="宋体"/>
          <w:b/>
          <w:bCs/>
          <w:szCs w:val="24"/>
          <w:lang w:val="en-US"/>
        </w:rPr>
        <w:t>本项目中采购软件均要求正版；本表内容和招标文件中其他条款有矛盾的，以本表内容为准。</w:t>
      </w:r>
    </w:p>
    <w:p>
      <w:pPr>
        <w:spacing w:line="360" w:lineRule="auto"/>
        <w:jc w:val="center"/>
        <w:outlineLvl w:val="0"/>
        <w:rPr>
          <w:rFonts w:ascii="宋体" w:hAnsi="宋体" w:cs="宋体"/>
          <w:b/>
          <w:sz w:val="44"/>
          <w:szCs w:val="44"/>
        </w:rPr>
      </w:pPr>
      <w:r>
        <w:rPr>
          <w:rFonts w:hint="eastAsia" w:ascii="宋体" w:hAnsi="宋体" w:cs="宋体"/>
          <w:b/>
          <w:sz w:val="24"/>
        </w:rPr>
        <w:br w:type="page"/>
      </w:r>
      <w:bookmarkStart w:id="52" w:name="_Toc26313"/>
      <w:r>
        <w:rPr>
          <w:rFonts w:hint="eastAsia" w:ascii="宋体" w:hAnsi="宋体" w:cs="宋体"/>
          <w:b/>
          <w:sz w:val="44"/>
          <w:szCs w:val="44"/>
        </w:rPr>
        <w:t xml:space="preserve">第四部分 </w:t>
      </w:r>
      <w:bookmarkStart w:id="53" w:name="_Toc184308041"/>
      <w:bookmarkEnd w:id="53"/>
      <w:bookmarkStart w:id="54" w:name="_Toc184308066"/>
      <w:bookmarkEnd w:id="54"/>
      <w:bookmarkStart w:id="55" w:name="_Toc184313303"/>
      <w:bookmarkEnd w:id="55"/>
      <w:bookmarkStart w:id="56" w:name="_Toc184313247"/>
      <w:bookmarkEnd w:id="56"/>
      <w:bookmarkStart w:id="57" w:name="_Toc184314424"/>
      <w:bookmarkEnd w:id="57"/>
      <w:bookmarkStart w:id="58" w:name="_Toc184308101"/>
      <w:bookmarkEnd w:id="58"/>
      <w:bookmarkStart w:id="59" w:name="_Toc184310314"/>
      <w:bookmarkEnd w:id="59"/>
      <w:bookmarkStart w:id="60" w:name="_Toc184310285"/>
      <w:bookmarkEnd w:id="60"/>
      <w:bookmarkStart w:id="61" w:name="_Toc184314467"/>
      <w:bookmarkEnd w:id="61"/>
      <w:bookmarkStart w:id="62" w:name="_Toc184313251"/>
      <w:bookmarkEnd w:id="62"/>
      <w:bookmarkStart w:id="63" w:name="_Toc184314432"/>
      <w:bookmarkEnd w:id="63"/>
      <w:bookmarkStart w:id="64" w:name="_Toc184313250"/>
      <w:bookmarkEnd w:id="64"/>
      <w:bookmarkStart w:id="65" w:name="_Toc184313309"/>
      <w:bookmarkEnd w:id="65"/>
      <w:bookmarkStart w:id="66" w:name="_Toc184314473"/>
      <w:bookmarkEnd w:id="66"/>
      <w:bookmarkStart w:id="67" w:name="_Toc184308042"/>
      <w:bookmarkEnd w:id="67"/>
      <w:bookmarkStart w:id="68" w:name="_Toc184312086"/>
      <w:bookmarkEnd w:id="68"/>
      <w:bookmarkStart w:id="69" w:name="_Toc184314435"/>
      <w:bookmarkEnd w:id="69"/>
      <w:bookmarkStart w:id="70" w:name="_Toc184314480"/>
      <w:bookmarkEnd w:id="70"/>
      <w:bookmarkStart w:id="71" w:name="_Toc184314442"/>
      <w:bookmarkEnd w:id="71"/>
      <w:bookmarkStart w:id="72" w:name="_Toc184308080"/>
      <w:bookmarkEnd w:id="72"/>
      <w:bookmarkStart w:id="73" w:name="_Toc184310276"/>
      <w:bookmarkEnd w:id="73"/>
      <w:bookmarkStart w:id="74" w:name="_Toc184308085"/>
      <w:bookmarkEnd w:id="74"/>
      <w:bookmarkStart w:id="75" w:name="_Toc184308102"/>
      <w:bookmarkEnd w:id="75"/>
      <w:bookmarkStart w:id="76" w:name="_Toc184314479"/>
      <w:bookmarkEnd w:id="76"/>
      <w:bookmarkStart w:id="77" w:name="_Toc184308051"/>
      <w:bookmarkEnd w:id="77"/>
      <w:bookmarkStart w:id="78" w:name="_Toc184308056"/>
      <w:bookmarkEnd w:id="78"/>
      <w:bookmarkStart w:id="79" w:name="_Toc184308060"/>
      <w:bookmarkEnd w:id="79"/>
      <w:bookmarkStart w:id="80" w:name="_Toc184312081"/>
      <w:bookmarkEnd w:id="80"/>
      <w:bookmarkStart w:id="81" w:name="_Toc184314458"/>
      <w:bookmarkEnd w:id="81"/>
      <w:bookmarkStart w:id="82" w:name="_Toc184310272"/>
      <w:bookmarkEnd w:id="82"/>
      <w:bookmarkStart w:id="83" w:name="_Toc184313274"/>
      <w:bookmarkEnd w:id="83"/>
      <w:bookmarkStart w:id="84" w:name="_Toc184308107"/>
      <w:bookmarkEnd w:id="84"/>
      <w:bookmarkStart w:id="85" w:name="_Toc184312075"/>
      <w:bookmarkEnd w:id="85"/>
      <w:bookmarkStart w:id="86" w:name="_Toc184313270"/>
      <w:bookmarkEnd w:id="86"/>
      <w:bookmarkStart w:id="87" w:name="_Toc184313284"/>
      <w:bookmarkEnd w:id="87"/>
      <w:bookmarkStart w:id="88" w:name="_Toc184310286"/>
      <w:bookmarkEnd w:id="88"/>
      <w:bookmarkStart w:id="89" w:name="_Toc184314431"/>
      <w:bookmarkEnd w:id="89"/>
      <w:bookmarkStart w:id="90" w:name="_Toc184314457"/>
      <w:bookmarkEnd w:id="90"/>
      <w:bookmarkStart w:id="91" w:name="_Toc184312126"/>
      <w:bookmarkEnd w:id="91"/>
      <w:bookmarkStart w:id="92" w:name="_Toc184312104"/>
      <w:bookmarkEnd w:id="92"/>
      <w:bookmarkStart w:id="93" w:name="_Toc184312132"/>
      <w:bookmarkEnd w:id="93"/>
      <w:bookmarkStart w:id="94" w:name="_Toc184310344"/>
      <w:bookmarkEnd w:id="94"/>
      <w:bookmarkStart w:id="95" w:name="_Toc184314426"/>
      <w:bookmarkEnd w:id="95"/>
      <w:bookmarkStart w:id="96" w:name="_Toc184312131"/>
      <w:bookmarkEnd w:id="96"/>
      <w:bookmarkStart w:id="97" w:name="_Toc184308087"/>
      <w:bookmarkEnd w:id="97"/>
      <w:bookmarkStart w:id="98" w:name="_Toc184308089"/>
      <w:bookmarkEnd w:id="98"/>
      <w:bookmarkStart w:id="99" w:name="_Toc184314478"/>
      <w:bookmarkEnd w:id="99"/>
      <w:bookmarkStart w:id="100" w:name="_Toc184310311"/>
      <w:bookmarkEnd w:id="100"/>
      <w:bookmarkStart w:id="101" w:name="_Toc184312088"/>
      <w:bookmarkEnd w:id="101"/>
      <w:bookmarkStart w:id="102" w:name="_Toc184314470"/>
      <w:bookmarkEnd w:id="102"/>
      <w:bookmarkStart w:id="103" w:name="_Toc184310308"/>
      <w:bookmarkEnd w:id="103"/>
      <w:bookmarkStart w:id="104" w:name="_Toc184310329"/>
      <w:bookmarkEnd w:id="104"/>
      <w:bookmarkStart w:id="105" w:name="_Toc184313244"/>
      <w:bookmarkEnd w:id="105"/>
      <w:bookmarkStart w:id="106" w:name="_Toc184314450"/>
      <w:bookmarkEnd w:id="106"/>
      <w:bookmarkStart w:id="107" w:name="_Toc184314429"/>
      <w:bookmarkEnd w:id="107"/>
      <w:bookmarkStart w:id="108" w:name="_Toc184308068"/>
      <w:bookmarkEnd w:id="108"/>
      <w:bookmarkStart w:id="109" w:name="_Toc184308038"/>
      <w:bookmarkEnd w:id="109"/>
      <w:bookmarkStart w:id="110" w:name="_Toc184312107"/>
      <w:bookmarkEnd w:id="110"/>
      <w:bookmarkStart w:id="111" w:name="_Toc184308043"/>
      <w:bookmarkEnd w:id="111"/>
      <w:bookmarkStart w:id="112" w:name="_Toc184310321"/>
      <w:bookmarkEnd w:id="112"/>
      <w:bookmarkStart w:id="113" w:name="_Toc184308053"/>
      <w:bookmarkEnd w:id="113"/>
      <w:bookmarkStart w:id="114" w:name="_Toc184312115"/>
      <w:bookmarkEnd w:id="114"/>
      <w:bookmarkStart w:id="115" w:name="_Toc184310335"/>
      <w:bookmarkEnd w:id="115"/>
      <w:bookmarkStart w:id="116" w:name="_Toc184308077"/>
      <w:bookmarkEnd w:id="116"/>
      <w:bookmarkStart w:id="117" w:name="_Toc184314412"/>
      <w:bookmarkEnd w:id="117"/>
      <w:bookmarkStart w:id="118" w:name="_Toc184312076"/>
      <w:bookmarkEnd w:id="118"/>
      <w:bookmarkStart w:id="119" w:name="_Toc184310309"/>
      <w:bookmarkEnd w:id="119"/>
      <w:bookmarkStart w:id="120" w:name="_Toc184313261"/>
      <w:bookmarkEnd w:id="120"/>
      <w:bookmarkStart w:id="121" w:name="_Toc184313245"/>
      <w:bookmarkEnd w:id="121"/>
      <w:bookmarkStart w:id="122" w:name="_Toc184310312"/>
      <w:bookmarkEnd w:id="122"/>
      <w:bookmarkStart w:id="123" w:name="_Toc184308044"/>
      <w:bookmarkEnd w:id="123"/>
      <w:bookmarkStart w:id="124" w:name="_Toc184308094"/>
      <w:bookmarkEnd w:id="124"/>
      <w:bookmarkStart w:id="125" w:name="_Toc184313265"/>
      <w:bookmarkEnd w:id="125"/>
      <w:bookmarkStart w:id="126" w:name="_Toc184312093"/>
      <w:bookmarkEnd w:id="126"/>
      <w:bookmarkStart w:id="127" w:name="_Toc184312077"/>
      <w:bookmarkEnd w:id="127"/>
      <w:bookmarkStart w:id="128" w:name="_Toc184310320"/>
      <w:bookmarkEnd w:id="128"/>
      <w:bookmarkStart w:id="129" w:name="_Toc184313276"/>
      <w:bookmarkEnd w:id="129"/>
      <w:bookmarkStart w:id="130" w:name="_Toc184313291"/>
      <w:bookmarkEnd w:id="130"/>
      <w:bookmarkStart w:id="131" w:name="_Toc184310323"/>
      <w:bookmarkEnd w:id="131"/>
      <w:bookmarkStart w:id="132" w:name="_Toc184310295"/>
      <w:bookmarkEnd w:id="132"/>
      <w:bookmarkStart w:id="133" w:name="_Toc184310277"/>
      <w:bookmarkEnd w:id="133"/>
      <w:bookmarkStart w:id="134" w:name="_Toc184308098"/>
      <w:bookmarkEnd w:id="134"/>
      <w:bookmarkStart w:id="135" w:name="_Toc184313280"/>
      <w:bookmarkEnd w:id="135"/>
      <w:bookmarkStart w:id="136" w:name="_Toc184312067"/>
      <w:bookmarkEnd w:id="136"/>
      <w:bookmarkStart w:id="137" w:name="_Toc184312080"/>
      <w:bookmarkEnd w:id="137"/>
      <w:bookmarkStart w:id="138" w:name="_Toc184314481"/>
      <w:bookmarkEnd w:id="138"/>
      <w:bookmarkStart w:id="139" w:name="_Toc184312083"/>
      <w:bookmarkEnd w:id="139"/>
      <w:bookmarkStart w:id="140" w:name="_Toc184308063"/>
      <w:bookmarkEnd w:id="140"/>
      <w:bookmarkStart w:id="141" w:name="_Toc184308103"/>
      <w:bookmarkEnd w:id="141"/>
      <w:bookmarkStart w:id="142" w:name="_Toc184312085"/>
      <w:bookmarkEnd w:id="142"/>
      <w:bookmarkStart w:id="143" w:name="_Toc184313262"/>
      <w:bookmarkEnd w:id="143"/>
      <w:bookmarkStart w:id="144" w:name="_Toc184314411"/>
      <w:bookmarkEnd w:id="144"/>
      <w:bookmarkStart w:id="145" w:name="_Toc184314465"/>
      <w:bookmarkEnd w:id="145"/>
      <w:bookmarkStart w:id="146" w:name="_Toc184313277"/>
      <w:bookmarkEnd w:id="146"/>
      <w:bookmarkStart w:id="147" w:name="_Toc184314433"/>
      <w:bookmarkEnd w:id="147"/>
      <w:bookmarkStart w:id="148" w:name="_Toc184314423"/>
      <w:bookmarkEnd w:id="148"/>
      <w:bookmarkStart w:id="149" w:name="_Toc184314440"/>
      <w:bookmarkEnd w:id="149"/>
      <w:bookmarkStart w:id="150" w:name="_Toc184310334"/>
      <w:bookmarkEnd w:id="150"/>
      <w:bookmarkStart w:id="151" w:name="_Toc184310342"/>
      <w:bookmarkEnd w:id="151"/>
      <w:bookmarkStart w:id="152" w:name="_Toc184310306"/>
      <w:bookmarkEnd w:id="152"/>
      <w:bookmarkStart w:id="153" w:name="_Toc184308054"/>
      <w:bookmarkEnd w:id="153"/>
      <w:bookmarkStart w:id="154" w:name="_Toc184310289"/>
      <w:bookmarkEnd w:id="154"/>
      <w:bookmarkStart w:id="155" w:name="_Toc184314453"/>
      <w:bookmarkEnd w:id="155"/>
      <w:bookmarkStart w:id="156" w:name="_Toc184312118"/>
      <w:bookmarkEnd w:id="156"/>
      <w:bookmarkStart w:id="157" w:name="_Toc184312128"/>
      <w:bookmarkEnd w:id="157"/>
      <w:bookmarkStart w:id="158" w:name="_Toc184312097"/>
      <w:bookmarkEnd w:id="158"/>
      <w:bookmarkStart w:id="159" w:name="_Toc184308088"/>
      <w:bookmarkEnd w:id="159"/>
      <w:bookmarkStart w:id="160" w:name="_Toc184308040"/>
      <w:bookmarkEnd w:id="160"/>
      <w:bookmarkStart w:id="161" w:name="_Toc184312096"/>
      <w:bookmarkEnd w:id="161"/>
      <w:bookmarkStart w:id="162" w:name="_Toc184313296"/>
      <w:bookmarkEnd w:id="162"/>
      <w:bookmarkStart w:id="163" w:name="_Toc184308073"/>
      <w:bookmarkEnd w:id="163"/>
      <w:bookmarkStart w:id="164" w:name="_Toc184314437"/>
      <w:bookmarkEnd w:id="164"/>
      <w:bookmarkStart w:id="165" w:name="_Toc184313266"/>
      <w:bookmarkEnd w:id="165"/>
      <w:bookmarkStart w:id="166" w:name="_Toc184313269"/>
      <w:bookmarkEnd w:id="166"/>
      <w:bookmarkStart w:id="167" w:name="_Toc184310331"/>
      <w:bookmarkEnd w:id="167"/>
      <w:bookmarkStart w:id="168" w:name="_Toc184313256"/>
      <w:bookmarkEnd w:id="168"/>
      <w:bookmarkStart w:id="169" w:name="_Toc184312090"/>
      <w:bookmarkEnd w:id="169"/>
      <w:bookmarkStart w:id="170" w:name="_Toc184308083"/>
      <w:bookmarkEnd w:id="170"/>
      <w:bookmarkStart w:id="171" w:name="_Toc184313308"/>
      <w:bookmarkEnd w:id="171"/>
      <w:bookmarkStart w:id="172" w:name="_Toc184310343"/>
      <w:bookmarkEnd w:id="172"/>
      <w:bookmarkStart w:id="173" w:name="_Toc184310302"/>
      <w:bookmarkEnd w:id="173"/>
      <w:bookmarkStart w:id="174" w:name="_Toc184314416"/>
      <w:bookmarkEnd w:id="174"/>
      <w:bookmarkStart w:id="175" w:name="_Toc184312095"/>
      <w:bookmarkEnd w:id="175"/>
      <w:bookmarkStart w:id="176" w:name="_Toc184312139"/>
      <w:bookmarkEnd w:id="176"/>
      <w:bookmarkStart w:id="177" w:name="_Toc184313294"/>
      <w:bookmarkEnd w:id="177"/>
      <w:bookmarkStart w:id="178" w:name="_Toc184308072"/>
      <w:bookmarkEnd w:id="178"/>
      <w:bookmarkStart w:id="179" w:name="_Toc184312133"/>
      <w:bookmarkEnd w:id="179"/>
      <w:bookmarkStart w:id="180" w:name="_Toc184308067"/>
      <w:bookmarkEnd w:id="180"/>
      <w:bookmarkStart w:id="181" w:name="_Toc184308084"/>
      <w:bookmarkEnd w:id="181"/>
      <w:bookmarkStart w:id="182" w:name="_Toc184310300"/>
      <w:bookmarkEnd w:id="182"/>
      <w:bookmarkStart w:id="183" w:name="_Toc184314459"/>
      <w:bookmarkEnd w:id="183"/>
      <w:bookmarkStart w:id="184" w:name="_Toc184312129"/>
      <w:bookmarkEnd w:id="184"/>
      <w:bookmarkStart w:id="185" w:name="_Toc184310330"/>
      <w:bookmarkEnd w:id="185"/>
      <w:bookmarkStart w:id="186" w:name="_Toc184312125"/>
      <w:bookmarkEnd w:id="186"/>
      <w:bookmarkStart w:id="187" w:name="_Toc184313281"/>
      <w:bookmarkEnd w:id="187"/>
      <w:bookmarkStart w:id="188" w:name="_Toc184313302"/>
      <w:bookmarkEnd w:id="188"/>
      <w:bookmarkStart w:id="189" w:name="_Toc184312130"/>
      <w:bookmarkEnd w:id="189"/>
      <w:bookmarkStart w:id="190" w:name="_Toc184308092"/>
      <w:bookmarkEnd w:id="190"/>
      <w:bookmarkStart w:id="191" w:name="_Toc184308052"/>
      <w:bookmarkEnd w:id="191"/>
      <w:bookmarkStart w:id="192" w:name="_Toc184310315"/>
      <w:bookmarkEnd w:id="192"/>
      <w:bookmarkStart w:id="193" w:name="_Toc184314441"/>
      <w:bookmarkEnd w:id="193"/>
      <w:bookmarkStart w:id="194" w:name="_Toc184314451"/>
      <w:bookmarkEnd w:id="194"/>
      <w:bookmarkStart w:id="195" w:name="_Toc184308069"/>
      <w:bookmarkEnd w:id="195"/>
      <w:bookmarkStart w:id="196" w:name="_Toc184312099"/>
      <w:bookmarkEnd w:id="196"/>
      <w:bookmarkStart w:id="197" w:name="_Toc184312109"/>
      <w:bookmarkEnd w:id="197"/>
      <w:bookmarkStart w:id="198" w:name="_Toc184313242"/>
      <w:bookmarkEnd w:id="198"/>
      <w:bookmarkStart w:id="199" w:name="_Toc184312078"/>
      <w:bookmarkEnd w:id="199"/>
      <w:bookmarkStart w:id="200" w:name="_Toc184310275"/>
      <w:bookmarkEnd w:id="200"/>
      <w:bookmarkStart w:id="201" w:name="_Toc184310273"/>
      <w:bookmarkEnd w:id="201"/>
      <w:bookmarkStart w:id="202" w:name="_Toc184310287"/>
      <w:bookmarkEnd w:id="202"/>
      <w:bookmarkStart w:id="203" w:name="_Toc184313278"/>
      <w:bookmarkEnd w:id="203"/>
      <w:bookmarkStart w:id="204" w:name="_Toc184313307"/>
      <w:bookmarkEnd w:id="204"/>
      <w:bookmarkStart w:id="205" w:name="_Toc184314476"/>
      <w:bookmarkEnd w:id="205"/>
      <w:bookmarkStart w:id="206" w:name="_Toc184313263"/>
      <w:bookmarkEnd w:id="206"/>
      <w:bookmarkStart w:id="207" w:name="_Toc184314469"/>
      <w:bookmarkEnd w:id="207"/>
      <w:bookmarkStart w:id="208" w:name="_Toc184308075"/>
      <w:bookmarkEnd w:id="208"/>
      <w:bookmarkStart w:id="209" w:name="_Toc184313268"/>
      <w:bookmarkEnd w:id="209"/>
      <w:bookmarkStart w:id="210" w:name="_Toc184312121"/>
      <w:bookmarkEnd w:id="210"/>
      <w:bookmarkStart w:id="211" w:name="_Toc184308037"/>
      <w:bookmarkEnd w:id="211"/>
      <w:bookmarkStart w:id="212" w:name="_Toc184310318"/>
      <w:bookmarkEnd w:id="212"/>
      <w:bookmarkStart w:id="213" w:name="_Toc184312082"/>
      <w:bookmarkEnd w:id="213"/>
      <w:bookmarkStart w:id="214" w:name="_Toc184313283"/>
      <w:bookmarkEnd w:id="214"/>
      <w:bookmarkStart w:id="215" w:name="_Toc184310279"/>
      <w:bookmarkEnd w:id="215"/>
      <w:bookmarkStart w:id="216" w:name="_Toc184314410"/>
      <w:bookmarkEnd w:id="216"/>
      <w:bookmarkStart w:id="217" w:name="_Toc184313260"/>
      <w:bookmarkEnd w:id="217"/>
      <w:bookmarkStart w:id="218" w:name="_Toc184308090"/>
      <w:bookmarkEnd w:id="218"/>
      <w:bookmarkStart w:id="219" w:name="_Toc184312116"/>
      <w:bookmarkEnd w:id="219"/>
      <w:bookmarkStart w:id="220" w:name="_Toc184312100"/>
      <w:bookmarkEnd w:id="220"/>
      <w:bookmarkStart w:id="221" w:name="_Toc184314468"/>
      <w:bookmarkEnd w:id="221"/>
      <w:bookmarkStart w:id="222" w:name="_Toc184313249"/>
      <w:bookmarkEnd w:id="222"/>
      <w:bookmarkStart w:id="223" w:name="_Toc184313290"/>
      <w:bookmarkEnd w:id="223"/>
      <w:bookmarkStart w:id="224" w:name="_Toc184308079"/>
      <w:bookmarkEnd w:id="224"/>
      <w:bookmarkStart w:id="225" w:name="_Toc184310288"/>
      <w:bookmarkEnd w:id="225"/>
      <w:bookmarkStart w:id="226" w:name="_Toc184313248"/>
      <w:bookmarkEnd w:id="226"/>
      <w:bookmarkStart w:id="227" w:name="_Toc184312070"/>
      <w:bookmarkEnd w:id="227"/>
      <w:bookmarkStart w:id="228" w:name="_Toc184312074"/>
      <w:bookmarkEnd w:id="228"/>
      <w:bookmarkStart w:id="229" w:name="_Toc184308047"/>
      <w:bookmarkEnd w:id="229"/>
      <w:bookmarkStart w:id="230" w:name="_Toc184308076"/>
      <w:bookmarkEnd w:id="230"/>
      <w:bookmarkStart w:id="231" w:name="_Toc184312084"/>
      <w:bookmarkEnd w:id="231"/>
      <w:bookmarkStart w:id="232" w:name="_Toc184314444"/>
      <w:bookmarkEnd w:id="232"/>
      <w:bookmarkStart w:id="233" w:name="_Toc184314466"/>
      <w:bookmarkEnd w:id="233"/>
      <w:bookmarkStart w:id="234" w:name="_Toc184312120"/>
      <w:bookmarkEnd w:id="234"/>
      <w:bookmarkStart w:id="235" w:name="_Toc184313241"/>
      <w:bookmarkEnd w:id="235"/>
      <w:bookmarkStart w:id="236" w:name="_Toc184308097"/>
      <w:bookmarkEnd w:id="236"/>
      <w:bookmarkStart w:id="237" w:name="_Toc184312106"/>
      <w:bookmarkEnd w:id="237"/>
      <w:bookmarkStart w:id="238" w:name="_Toc184313285"/>
      <w:bookmarkEnd w:id="238"/>
      <w:bookmarkStart w:id="239" w:name="_Toc184312091"/>
      <w:bookmarkEnd w:id="239"/>
      <w:bookmarkStart w:id="240" w:name="_Toc184313286"/>
      <w:bookmarkEnd w:id="240"/>
      <w:bookmarkStart w:id="241" w:name="_Toc184308093"/>
      <w:bookmarkEnd w:id="241"/>
      <w:bookmarkStart w:id="242" w:name="_Toc184308108"/>
      <w:bookmarkEnd w:id="242"/>
      <w:bookmarkStart w:id="243" w:name="_Toc184312122"/>
      <w:bookmarkEnd w:id="243"/>
      <w:bookmarkStart w:id="244" w:name="_Toc184314422"/>
      <w:bookmarkEnd w:id="244"/>
      <w:bookmarkStart w:id="245" w:name="_Toc184308064"/>
      <w:bookmarkEnd w:id="245"/>
      <w:bookmarkStart w:id="246" w:name="_Toc184312073"/>
      <w:bookmarkEnd w:id="246"/>
      <w:bookmarkStart w:id="247" w:name="_Toc184314452"/>
      <w:bookmarkEnd w:id="247"/>
      <w:bookmarkStart w:id="248" w:name="_Toc184314462"/>
      <w:bookmarkEnd w:id="248"/>
      <w:bookmarkStart w:id="249" w:name="_Toc184314460"/>
      <w:bookmarkEnd w:id="249"/>
      <w:bookmarkStart w:id="250" w:name="_Toc184313259"/>
      <w:bookmarkEnd w:id="250"/>
      <w:bookmarkStart w:id="251" w:name="_Toc184308091"/>
      <w:bookmarkEnd w:id="251"/>
      <w:bookmarkStart w:id="252" w:name="_Toc184310317"/>
      <w:bookmarkEnd w:id="252"/>
      <w:bookmarkStart w:id="253" w:name="_Toc184314413"/>
      <w:bookmarkEnd w:id="253"/>
      <w:bookmarkStart w:id="254" w:name="_Toc184312105"/>
      <w:bookmarkEnd w:id="254"/>
      <w:bookmarkStart w:id="255" w:name="_Toc184314454"/>
      <w:bookmarkEnd w:id="255"/>
      <w:bookmarkStart w:id="256" w:name="_Toc184308065"/>
      <w:bookmarkEnd w:id="256"/>
      <w:bookmarkStart w:id="257" w:name="_Toc184314414"/>
      <w:bookmarkEnd w:id="257"/>
      <w:bookmarkStart w:id="258" w:name="_Toc184310303"/>
      <w:bookmarkEnd w:id="258"/>
      <w:bookmarkStart w:id="259" w:name="_Toc184312136"/>
      <w:bookmarkEnd w:id="259"/>
      <w:bookmarkStart w:id="260" w:name="_Toc184312092"/>
      <w:bookmarkEnd w:id="260"/>
      <w:bookmarkStart w:id="261" w:name="_Toc184308082"/>
      <w:bookmarkEnd w:id="261"/>
      <w:bookmarkStart w:id="262" w:name="_Toc184314475"/>
      <w:bookmarkEnd w:id="262"/>
      <w:bookmarkStart w:id="263" w:name="_Toc184314418"/>
      <w:bookmarkEnd w:id="263"/>
      <w:bookmarkStart w:id="264" w:name="_Toc184308096"/>
      <w:bookmarkEnd w:id="264"/>
      <w:bookmarkStart w:id="265" w:name="_Toc184312108"/>
      <w:bookmarkEnd w:id="265"/>
      <w:bookmarkStart w:id="266" w:name="_Toc184314430"/>
      <w:bookmarkEnd w:id="266"/>
      <w:bookmarkStart w:id="267" w:name="_Toc184313240"/>
      <w:bookmarkEnd w:id="267"/>
      <w:bookmarkStart w:id="268" w:name="_Toc184314434"/>
      <w:bookmarkEnd w:id="268"/>
      <w:bookmarkStart w:id="269" w:name="_Toc184310297"/>
      <w:bookmarkEnd w:id="269"/>
      <w:bookmarkStart w:id="270" w:name="_Toc184312138"/>
      <w:bookmarkEnd w:id="270"/>
      <w:bookmarkStart w:id="271" w:name="_Toc184310291"/>
      <w:bookmarkEnd w:id="271"/>
      <w:bookmarkStart w:id="272" w:name="_Toc184310338"/>
      <w:bookmarkEnd w:id="272"/>
      <w:bookmarkStart w:id="273" w:name="_Toc184308036"/>
      <w:bookmarkEnd w:id="273"/>
      <w:bookmarkStart w:id="274" w:name="_Toc184314443"/>
      <w:bookmarkEnd w:id="274"/>
      <w:bookmarkStart w:id="275" w:name="_Toc184310307"/>
      <w:bookmarkEnd w:id="275"/>
      <w:bookmarkStart w:id="276" w:name="_Toc184313287"/>
      <w:bookmarkEnd w:id="276"/>
      <w:bookmarkStart w:id="277" w:name="_Toc184312101"/>
      <w:bookmarkEnd w:id="277"/>
      <w:bookmarkStart w:id="278" w:name="_Toc184310327"/>
      <w:bookmarkEnd w:id="278"/>
      <w:bookmarkStart w:id="279" w:name="_Toc184312123"/>
      <w:bookmarkEnd w:id="279"/>
      <w:bookmarkStart w:id="280" w:name="_Toc184310274"/>
      <w:bookmarkEnd w:id="280"/>
      <w:bookmarkStart w:id="281" w:name="_Toc184310310"/>
      <w:bookmarkEnd w:id="281"/>
      <w:bookmarkStart w:id="282" w:name="_Toc184313297"/>
      <w:bookmarkEnd w:id="282"/>
      <w:bookmarkStart w:id="283" w:name="_Toc184312079"/>
      <w:bookmarkEnd w:id="283"/>
      <w:bookmarkStart w:id="284" w:name="_Toc184313300"/>
      <w:bookmarkEnd w:id="284"/>
      <w:bookmarkStart w:id="285" w:name="_Toc184308070"/>
      <w:bookmarkEnd w:id="285"/>
      <w:bookmarkStart w:id="286" w:name="_Toc184308106"/>
      <w:bookmarkEnd w:id="286"/>
      <w:bookmarkStart w:id="287" w:name="_Toc184308100"/>
      <w:bookmarkEnd w:id="287"/>
      <w:bookmarkStart w:id="288" w:name="_Toc184313273"/>
      <w:bookmarkEnd w:id="288"/>
      <w:bookmarkStart w:id="289" w:name="_Toc184314447"/>
      <w:bookmarkEnd w:id="289"/>
      <w:bookmarkStart w:id="290" w:name="_Toc184314472"/>
      <w:bookmarkEnd w:id="290"/>
      <w:bookmarkStart w:id="291" w:name="_Toc184310333"/>
      <w:bookmarkEnd w:id="291"/>
      <w:bookmarkStart w:id="292" w:name="_Toc184312124"/>
      <w:bookmarkEnd w:id="292"/>
      <w:bookmarkStart w:id="293" w:name="_Toc184308058"/>
      <w:bookmarkEnd w:id="293"/>
      <w:bookmarkStart w:id="294" w:name="_Toc184313295"/>
      <w:bookmarkEnd w:id="294"/>
      <w:bookmarkStart w:id="295" w:name="_Toc184314448"/>
      <w:bookmarkEnd w:id="295"/>
      <w:bookmarkStart w:id="296" w:name="_Toc184313289"/>
      <w:bookmarkEnd w:id="296"/>
      <w:bookmarkStart w:id="297" w:name="_Toc184314482"/>
      <w:bookmarkEnd w:id="297"/>
      <w:bookmarkStart w:id="298" w:name="_Toc184314449"/>
      <w:bookmarkEnd w:id="298"/>
      <w:bookmarkStart w:id="299" w:name="_Toc184308095"/>
      <w:bookmarkEnd w:id="299"/>
      <w:bookmarkStart w:id="300" w:name="_Toc184308057"/>
      <w:bookmarkEnd w:id="300"/>
      <w:bookmarkStart w:id="301" w:name="_Toc184310325"/>
      <w:bookmarkEnd w:id="301"/>
      <w:bookmarkStart w:id="302" w:name="_Toc184313267"/>
      <w:bookmarkEnd w:id="302"/>
      <w:bookmarkStart w:id="303" w:name="_Toc184314474"/>
      <w:bookmarkEnd w:id="303"/>
      <w:bookmarkStart w:id="304" w:name="_Toc184313253"/>
      <w:bookmarkEnd w:id="304"/>
      <w:bookmarkStart w:id="305" w:name="_Toc184308039"/>
      <w:bookmarkEnd w:id="305"/>
      <w:bookmarkStart w:id="306" w:name="_Toc184308048"/>
      <w:bookmarkEnd w:id="306"/>
      <w:bookmarkStart w:id="307" w:name="_Toc184310278"/>
      <w:bookmarkEnd w:id="307"/>
      <w:bookmarkStart w:id="308" w:name="_Toc184312112"/>
      <w:bookmarkEnd w:id="308"/>
      <w:bookmarkStart w:id="309" w:name="_Toc184310316"/>
      <w:bookmarkEnd w:id="309"/>
      <w:bookmarkStart w:id="310" w:name="_Toc184314420"/>
      <w:bookmarkEnd w:id="310"/>
      <w:bookmarkStart w:id="311" w:name="_Toc184314464"/>
      <w:bookmarkEnd w:id="311"/>
      <w:bookmarkStart w:id="312" w:name="_Toc184313298"/>
      <w:bookmarkEnd w:id="312"/>
      <w:bookmarkStart w:id="313" w:name="_Toc184310282"/>
      <w:bookmarkEnd w:id="313"/>
      <w:bookmarkStart w:id="314" w:name="_Toc184313306"/>
      <w:bookmarkEnd w:id="314"/>
      <w:bookmarkStart w:id="315" w:name="_Toc184310294"/>
      <w:bookmarkEnd w:id="315"/>
      <w:bookmarkStart w:id="316" w:name="_Toc184312071"/>
      <w:bookmarkEnd w:id="316"/>
      <w:bookmarkStart w:id="317" w:name="_Toc184313282"/>
      <w:bookmarkEnd w:id="317"/>
      <w:bookmarkStart w:id="318" w:name="_Toc184312110"/>
      <w:bookmarkEnd w:id="318"/>
      <w:bookmarkStart w:id="319" w:name="_Toc184312134"/>
      <w:bookmarkEnd w:id="319"/>
      <w:bookmarkStart w:id="320" w:name="_Toc184314419"/>
      <w:bookmarkEnd w:id="320"/>
      <w:bookmarkStart w:id="321" w:name="_Toc184313288"/>
      <w:bookmarkEnd w:id="321"/>
      <w:bookmarkStart w:id="322" w:name="_Toc184310340"/>
      <w:bookmarkEnd w:id="322"/>
      <w:bookmarkStart w:id="323" w:name="_Toc184314471"/>
      <w:bookmarkEnd w:id="323"/>
      <w:bookmarkStart w:id="324" w:name="_Toc184313310"/>
      <w:bookmarkEnd w:id="324"/>
      <w:bookmarkStart w:id="325" w:name="_Toc184308055"/>
      <w:bookmarkEnd w:id="325"/>
      <w:bookmarkStart w:id="326" w:name="_Toc184314436"/>
      <w:bookmarkEnd w:id="326"/>
      <w:bookmarkStart w:id="327" w:name="_Toc184310280"/>
      <w:bookmarkEnd w:id="327"/>
      <w:bookmarkStart w:id="328" w:name="_Toc184308059"/>
      <w:bookmarkEnd w:id="328"/>
      <w:bookmarkStart w:id="329" w:name="_Toc184314439"/>
      <w:bookmarkEnd w:id="329"/>
      <w:bookmarkStart w:id="330" w:name="_Toc184312102"/>
      <w:bookmarkEnd w:id="330"/>
      <w:bookmarkStart w:id="331" w:name="_Toc184313243"/>
      <w:bookmarkEnd w:id="331"/>
      <w:bookmarkStart w:id="332" w:name="_Toc184312069"/>
      <w:bookmarkEnd w:id="332"/>
      <w:bookmarkStart w:id="333" w:name="_Toc184314463"/>
      <w:bookmarkEnd w:id="333"/>
      <w:bookmarkStart w:id="334" w:name="_Toc184314446"/>
      <w:bookmarkEnd w:id="334"/>
      <w:bookmarkStart w:id="335" w:name="_Toc184314428"/>
      <w:bookmarkEnd w:id="335"/>
      <w:bookmarkStart w:id="336" w:name="_Toc184312113"/>
      <w:bookmarkEnd w:id="336"/>
      <w:bookmarkStart w:id="337" w:name="_Toc184313254"/>
      <w:bookmarkEnd w:id="337"/>
      <w:bookmarkStart w:id="338" w:name="_Toc184313272"/>
      <w:bookmarkEnd w:id="338"/>
      <w:bookmarkStart w:id="339" w:name="_Toc184312135"/>
      <w:bookmarkEnd w:id="339"/>
      <w:bookmarkStart w:id="340" w:name="_Toc184310292"/>
      <w:bookmarkEnd w:id="340"/>
      <w:bookmarkStart w:id="341" w:name="_Toc184312087"/>
      <w:bookmarkEnd w:id="341"/>
      <w:bookmarkStart w:id="342" w:name="_Toc184314445"/>
      <w:bookmarkEnd w:id="342"/>
      <w:bookmarkStart w:id="343" w:name="_Toc184310326"/>
      <w:bookmarkEnd w:id="343"/>
      <w:bookmarkStart w:id="344" w:name="_Toc184312098"/>
      <w:bookmarkEnd w:id="344"/>
      <w:bookmarkStart w:id="345" w:name="_Toc184310324"/>
      <w:bookmarkEnd w:id="345"/>
      <w:bookmarkStart w:id="346" w:name="_Toc184314455"/>
      <w:bookmarkEnd w:id="346"/>
      <w:bookmarkStart w:id="347" w:name="_Toc184313239"/>
      <w:bookmarkEnd w:id="347"/>
      <w:bookmarkStart w:id="348" w:name="_Toc184314425"/>
      <w:bookmarkEnd w:id="348"/>
      <w:bookmarkStart w:id="349" w:name="_Toc184314438"/>
      <w:bookmarkEnd w:id="349"/>
      <w:bookmarkStart w:id="350" w:name="_Toc184313255"/>
      <w:bookmarkEnd w:id="350"/>
      <w:bookmarkStart w:id="351" w:name="_Toc184310319"/>
      <w:bookmarkEnd w:id="351"/>
      <w:bookmarkStart w:id="352" w:name="_Toc184312103"/>
      <w:bookmarkEnd w:id="352"/>
      <w:bookmarkStart w:id="353" w:name="_Toc184308050"/>
      <w:bookmarkEnd w:id="353"/>
      <w:bookmarkStart w:id="354" w:name="_Toc184313292"/>
      <w:bookmarkEnd w:id="354"/>
      <w:bookmarkStart w:id="355" w:name="_Toc184308049"/>
      <w:bookmarkEnd w:id="355"/>
      <w:bookmarkStart w:id="356" w:name="_Toc184310290"/>
      <w:bookmarkEnd w:id="356"/>
      <w:bookmarkStart w:id="357" w:name="_Toc184310328"/>
      <w:bookmarkEnd w:id="357"/>
      <w:bookmarkStart w:id="358" w:name="_Toc184310283"/>
      <w:bookmarkEnd w:id="358"/>
      <w:bookmarkStart w:id="359" w:name="_Toc184312127"/>
      <w:bookmarkEnd w:id="359"/>
      <w:bookmarkStart w:id="360" w:name="_Toc184313299"/>
      <w:bookmarkEnd w:id="360"/>
      <w:bookmarkStart w:id="361" w:name="_Toc184314461"/>
      <w:bookmarkEnd w:id="361"/>
      <w:bookmarkStart w:id="362" w:name="_Toc184312114"/>
      <w:bookmarkEnd w:id="362"/>
      <w:bookmarkStart w:id="363" w:name="_Toc184314427"/>
      <w:bookmarkEnd w:id="363"/>
      <w:bookmarkStart w:id="364" w:name="_Toc184308078"/>
      <w:bookmarkEnd w:id="364"/>
      <w:bookmarkStart w:id="365" w:name="_Toc184310293"/>
      <w:bookmarkEnd w:id="365"/>
      <w:bookmarkStart w:id="366" w:name="_Toc184310304"/>
      <w:bookmarkEnd w:id="366"/>
      <w:bookmarkStart w:id="367" w:name="_Toc184312094"/>
      <w:bookmarkEnd w:id="367"/>
      <w:bookmarkStart w:id="368" w:name="_Toc184308046"/>
      <w:bookmarkEnd w:id="368"/>
      <w:bookmarkStart w:id="369" w:name="_Toc184310296"/>
      <w:bookmarkEnd w:id="369"/>
      <w:bookmarkStart w:id="370" w:name="_Toc184310313"/>
      <w:bookmarkEnd w:id="370"/>
      <w:bookmarkStart w:id="371" w:name="_Toc184312117"/>
      <w:bookmarkEnd w:id="371"/>
      <w:bookmarkStart w:id="372" w:name="_Toc184314456"/>
      <w:bookmarkEnd w:id="372"/>
      <w:bookmarkStart w:id="373" w:name="_Toc184313252"/>
      <w:bookmarkEnd w:id="373"/>
      <w:bookmarkStart w:id="374" w:name="_Toc184312089"/>
      <w:bookmarkEnd w:id="374"/>
      <w:bookmarkStart w:id="375" w:name="_Toc184310298"/>
      <w:bookmarkEnd w:id="375"/>
      <w:bookmarkStart w:id="376" w:name="_Toc184310336"/>
      <w:bookmarkEnd w:id="376"/>
      <w:bookmarkStart w:id="377" w:name="_Toc184312072"/>
      <w:bookmarkEnd w:id="377"/>
      <w:bookmarkStart w:id="378" w:name="_Toc184310305"/>
      <w:bookmarkEnd w:id="378"/>
      <w:bookmarkStart w:id="379" w:name="_Toc184308074"/>
      <w:bookmarkEnd w:id="379"/>
      <w:bookmarkStart w:id="380" w:name="_Toc184310322"/>
      <w:bookmarkEnd w:id="380"/>
      <w:bookmarkStart w:id="381" w:name="_Toc184314415"/>
      <w:bookmarkEnd w:id="381"/>
      <w:bookmarkStart w:id="382" w:name="_Toc184313293"/>
      <w:bookmarkEnd w:id="382"/>
      <w:bookmarkStart w:id="383" w:name="_Toc184308105"/>
      <w:bookmarkEnd w:id="383"/>
      <w:bookmarkStart w:id="384" w:name="_Toc184308062"/>
      <w:bookmarkEnd w:id="384"/>
      <w:bookmarkStart w:id="385" w:name="_Toc184313246"/>
      <w:bookmarkEnd w:id="385"/>
      <w:bookmarkStart w:id="386" w:name="_Toc184310301"/>
      <w:bookmarkEnd w:id="386"/>
      <w:bookmarkStart w:id="387" w:name="_Toc184308104"/>
      <w:bookmarkEnd w:id="387"/>
      <w:bookmarkStart w:id="388" w:name="_Toc184312137"/>
      <w:bookmarkEnd w:id="388"/>
      <w:bookmarkStart w:id="389" w:name="_Toc184308071"/>
      <w:bookmarkEnd w:id="389"/>
      <w:bookmarkStart w:id="390" w:name="_Toc184313257"/>
      <w:bookmarkEnd w:id="390"/>
      <w:bookmarkStart w:id="391" w:name="_Toc184312111"/>
      <w:bookmarkEnd w:id="391"/>
      <w:bookmarkStart w:id="392" w:name="_Toc184312119"/>
      <w:bookmarkEnd w:id="392"/>
      <w:bookmarkStart w:id="393" w:name="_Toc184313238"/>
      <w:bookmarkEnd w:id="393"/>
      <w:bookmarkStart w:id="394" w:name="_Toc184314477"/>
      <w:bookmarkEnd w:id="394"/>
      <w:bookmarkStart w:id="395" w:name="_Toc184313304"/>
      <w:bookmarkEnd w:id="395"/>
      <w:bookmarkStart w:id="396" w:name="_Toc184314421"/>
      <w:bookmarkEnd w:id="396"/>
      <w:bookmarkStart w:id="397" w:name="_Toc184312068"/>
      <w:bookmarkEnd w:id="397"/>
      <w:bookmarkStart w:id="398" w:name="_Toc184310339"/>
      <w:bookmarkEnd w:id="398"/>
      <w:bookmarkStart w:id="399" w:name="_Toc184310281"/>
      <w:bookmarkEnd w:id="399"/>
      <w:bookmarkStart w:id="400" w:name="_Toc184313258"/>
      <w:bookmarkEnd w:id="400"/>
      <w:bookmarkStart w:id="401" w:name="_Toc184310341"/>
      <w:bookmarkEnd w:id="401"/>
      <w:bookmarkStart w:id="402" w:name="_Toc184308061"/>
      <w:bookmarkEnd w:id="402"/>
      <w:bookmarkStart w:id="403" w:name="_Toc184313305"/>
      <w:bookmarkEnd w:id="403"/>
      <w:bookmarkStart w:id="404" w:name="_Toc184308045"/>
      <w:bookmarkEnd w:id="404"/>
      <w:bookmarkStart w:id="405" w:name="_Toc184308081"/>
      <w:bookmarkEnd w:id="405"/>
      <w:bookmarkStart w:id="406" w:name="_Toc184310332"/>
      <w:bookmarkEnd w:id="406"/>
      <w:bookmarkStart w:id="407" w:name="_Toc184310284"/>
      <w:bookmarkEnd w:id="407"/>
      <w:bookmarkStart w:id="408" w:name="_Toc184313301"/>
      <w:bookmarkEnd w:id="408"/>
      <w:bookmarkStart w:id="409" w:name="_Toc184310337"/>
      <w:bookmarkEnd w:id="409"/>
      <w:bookmarkStart w:id="410" w:name="_Toc184314417"/>
      <w:bookmarkEnd w:id="410"/>
      <w:bookmarkStart w:id="411" w:name="_Toc184310299"/>
      <w:bookmarkEnd w:id="411"/>
      <w:bookmarkStart w:id="412" w:name="_Toc184313279"/>
      <w:bookmarkEnd w:id="412"/>
      <w:bookmarkStart w:id="413" w:name="_Toc184308099"/>
      <w:bookmarkEnd w:id="413"/>
      <w:bookmarkStart w:id="414" w:name="_Toc184313271"/>
      <w:bookmarkEnd w:id="414"/>
      <w:bookmarkStart w:id="415" w:name="_Toc184313264"/>
      <w:bookmarkEnd w:id="415"/>
      <w:bookmarkStart w:id="416" w:name="_Toc184313275"/>
      <w:bookmarkEnd w:id="416"/>
      <w:bookmarkStart w:id="417" w:name="_Toc184308086"/>
      <w:bookmarkEnd w:id="417"/>
      <w:r>
        <w:rPr>
          <w:rFonts w:hint="eastAsia" w:ascii="宋体" w:hAnsi="宋体" w:cs="宋体"/>
          <w:b/>
          <w:sz w:val="44"/>
          <w:szCs w:val="44"/>
        </w:rPr>
        <w:t>评标办法</w:t>
      </w:r>
      <w:bookmarkEnd w:id="52"/>
    </w:p>
    <w:p>
      <w:pPr>
        <w:snapToGrid w:val="0"/>
        <w:spacing w:line="360" w:lineRule="auto"/>
        <w:jc w:val="center"/>
        <w:rPr>
          <w:rFonts w:ascii="宋体" w:hAnsi="宋体" w:cs="宋体"/>
          <w:b/>
          <w:sz w:val="28"/>
          <w:szCs w:val="28"/>
        </w:rPr>
      </w:pPr>
      <w:r>
        <w:rPr>
          <w:rFonts w:hint="eastAsia" w:ascii="宋体" w:hAnsi="宋体" w:cs="宋体"/>
          <w:b/>
          <w:sz w:val="28"/>
          <w:szCs w:val="28"/>
        </w:rPr>
        <w:t>评标办法前附表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4485"/>
        <w:gridCol w:w="630"/>
        <w:gridCol w:w="111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650" w:type="dxa"/>
            <w:vAlign w:val="center"/>
          </w:tcPr>
          <w:p>
            <w:pPr>
              <w:snapToGrid w:val="0"/>
              <w:spacing w:line="360" w:lineRule="auto"/>
              <w:jc w:val="center"/>
              <w:rPr>
                <w:rFonts w:ascii="宋体" w:hAnsi="宋体" w:cs="宋体"/>
                <w:b/>
                <w:bCs/>
                <w:sz w:val="24"/>
              </w:rPr>
            </w:pPr>
            <w:r>
              <w:rPr>
                <w:rFonts w:hint="eastAsia" w:ascii="宋体" w:hAnsi="宋体" w:cs="宋体"/>
                <w:b/>
                <w:bCs/>
                <w:sz w:val="24"/>
              </w:rPr>
              <w:t>序号</w:t>
            </w:r>
          </w:p>
        </w:tc>
        <w:tc>
          <w:tcPr>
            <w:tcW w:w="4485" w:type="dxa"/>
            <w:vAlign w:val="center"/>
          </w:tcPr>
          <w:p>
            <w:pPr>
              <w:snapToGrid w:val="0"/>
              <w:spacing w:line="360" w:lineRule="auto"/>
              <w:jc w:val="center"/>
              <w:rPr>
                <w:rFonts w:ascii="宋体" w:hAnsi="宋体" w:cs="宋体"/>
                <w:b/>
                <w:bCs/>
                <w:sz w:val="24"/>
              </w:rPr>
            </w:pPr>
            <w:r>
              <w:rPr>
                <w:rFonts w:hint="eastAsia" w:ascii="宋体" w:hAnsi="宋体" w:cs="宋体"/>
                <w:b/>
                <w:bCs/>
                <w:sz w:val="24"/>
              </w:rPr>
              <w:t>评标标准</w:t>
            </w:r>
          </w:p>
        </w:tc>
        <w:tc>
          <w:tcPr>
            <w:tcW w:w="630" w:type="dxa"/>
            <w:vAlign w:val="center"/>
          </w:tcPr>
          <w:p>
            <w:pPr>
              <w:snapToGrid w:val="0"/>
              <w:spacing w:line="360" w:lineRule="auto"/>
              <w:jc w:val="center"/>
              <w:rPr>
                <w:rFonts w:ascii="宋体" w:hAnsi="宋体" w:cs="宋体"/>
                <w:b/>
                <w:bCs/>
                <w:sz w:val="24"/>
              </w:rPr>
            </w:pPr>
            <w:r>
              <w:rPr>
                <w:rFonts w:hint="eastAsia" w:ascii="宋体" w:hAnsi="宋体" w:cs="宋体"/>
                <w:b/>
                <w:bCs/>
                <w:sz w:val="24"/>
              </w:rPr>
              <w:t>权重</w:t>
            </w:r>
          </w:p>
        </w:tc>
        <w:tc>
          <w:tcPr>
            <w:tcW w:w="1110" w:type="dxa"/>
            <w:vAlign w:val="center"/>
          </w:tcPr>
          <w:p>
            <w:pPr>
              <w:snapToGrid w:val="0"/>
              <w:spacing w:line="360" w:lineRule="auto"/>
              <w:jc w:val="center"/>
              <w:rPr>
                <w:rFonts w:ascii="宋体" w:hAnsi="宋体" w:cs="宋体"/>
                <w:b/>
                <w:bCs/>
                <w:sz w:val="24"/>
              </w:rPr>
            </w:pPr>
            <w:r>
              <w:rPr>
                <w:rFonts w:hint="eastAsia" w:ascii="宋体" w:hAnsi="宋体" w:cs="宋体"/>
                <w:b/>
                <w:bCs/>
                <w:sz w:val="24"/>
              </w:rPr>
              <w:t>主观分/客观分属性</w:t>
            </w:r>
          </w:p>
        </w:tc>
        <w:tc>
          <w:tcPr>
            <w:tcW w:w="1620" w:type="dxa"/>
          </w:tcPr>
          <w:p>
            <w:pPr>
              <w:snapToGrid w:val="0"/>
              <w:spacing w:line="360" w:lineRule="auto"/>
              <w:jc w:val="center"/>
              <w:rPr>
                <w:rFonts w:ascii="宋体" w:hAnsi="宋体" w:cs="宋体"/>
                <w:b/>
                <w:bCs/>
                <w:sz w:val="24"/>
              </w:rPr>
            </w:pPr>
            <w:r>
              <w:rPr>
                <w:rFonts w:hint="eastAsia" w:ascii="宋体" w:hAnsi="宋体" w:cs="宋体"/>
                <w:b/>
                <w:bCs/>
                <w:sz w:val="24"/>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一</w:t>
            </w:r>
          </w:p>
        </w:tc>
        <w:tc>
          <w:tcPr>
            <w:tcW w:w="7845" w:type="dxa"/>
            <w:gridSpan w:val="4"/>
            <w:vAlign w:val="center"/>
          </w:tcPr>
          <w:p>
            <w:pPr>
              <w:snapToGrid w:val="0"/>
              <w:spacing w:line="360" w:lineRule="auto"/>
              <w:jc w:val="left"/>
              <w:rPr>
                <w:rFonts w:ascii="宋体" w:hAnsi="宋体" w:cs="宋体"/>
                <w:sz w:val="24"/>
              </w:rPr>
            </w:pPr>
            <w:r>
              <w:rPr>
                <w:rFonts w:hint="eastAsia" w:ascii="宋体" w:hAnsi="宋体" w:cs="宋体"/>
                <w:sz w:val="24"/>
              </w:rPr>
              <w:t>技术</w:t>
            </w:r>
            <w:r>
              <w:rPr>
                <w:rFonts w:hint="eastAsia" w:ascii="宋体" w:hAnsi="宋体" w:cs="宋体"/>
                <w:sz w:val="24"/>
                <w:lang w:val="en-US" w:eastAsia="zh-CN"/>
              </w:rPr>
              <w:t>70</w:t>
            </w:r>
            <w:r>
              <w:rPr>
                <w:rFonts w:hint="eastAsia" w:ascii="宋体" w:hAnsi="宋体"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1</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完全满足招标文件中采购清单参数的，得20分。打“★”的指标每负偏离一项，扣2分；未打符号的指标每负偏离一项，扣1分，扣完为止。若发现有虚假应答的技术偏离项，则作无效标处理。</w:t>
            </w:r>
          </w:p>
        </w:tc>
        <w:tc>
          <w:tcPr>
            <w:tcW w:w="630" w:type="dxa"/>
            <w:vAlign w:val="center"/>
          </w:tcPr>
          <w:p>
            <w:pPr>
              <w:snapToGrid w:val="0"/>
              <w:spacing w:line="360" w:lineRule="auto"/>
              <w:jc w:val="center"/>
              <w:rPr>
                <w:rFonts w:ascii="宋体" w:hAnsi="宋体" w:cs="宋体"/>
                <w:sz w:val="24"/>
              </w:rPr>
            </w:pPr>
            <w:r>
              <w:rPr>
                <w:rFonts w:hint="eastAsia" w:ascii="宋体" w:hAnsi="宋体" w:cs="宋体"/>
                <w:sz w:val="24"/>
              </w:rPr>
              <w:t>20</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客观分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650" w:type="dxa"/>
            <w:vMerge w:val="restart"/>
            <w:vAlign w:val="center"/>
          </w:tcPr>
          <w:p>
            <w:pPr>
              <w:snapToGrid w:val="0"/>
              <w:spacing w:line="360" w:lineRule="auto"/>
              <w:jc w:val="center"/>
              <w:rPr>
                <w:rFonts w:ascii="宋体" w:hAnsi="宋体" w:cs="宋体"/>
                <w:sz w:val="24"/>
              </w:rPr>
            </w:pPr>
            <w:r>
              <w:rPr>
                <w:rFonts w:hint="eastAsia" w:ascii="宋体" w:hAnsi="宋体" w:cs="宋体"/>
                <w:sz w:val="24"/>
              </w:rPr>
              <w:t>2</w:t>
            </w:r>
          </w:p>
        </w:tc>
        <w:tc>
          <w:tcPr>
            <w:tcW w:w="4485" w:type="dxa"/>
            <w:vAlign w:val="center"/>
          </w:tcPr>
          <w:p>
            <w:pPr>
              <w:snapToGrid w:val="0"/>
              <w:spacing w:line="360" w:lineRule="auto"/>
              <w:jc w:val="both"/>
              <w:rPr>
                <w:rFonts w:ascii="宋体" w:hAnsi="宋体" w:cs="宋体"/>
                <w:sz w:val="24"/>
              </w:rPr>
            </w:pPr>
            <w:r>
              <w:rPr>
                <w:rFonts w:hint="eastAsia" w:ascii="宋体" w:hAnsi="宋体" w:cs="宋体"/>
                <w:sz w:val="24"/>
                <w:lang w:val="en-US" w:eastAsia="zh-CN"/>
              </w:rPr>
              <w:t>投标选用的动态称重系统检测速度范围为：包括但不限于0.5km/h至80km/h情况下，达到《动态公路车辆自动衡器》国家标准中规定的2级或以上的得5分，达到5级的得4分，不提供不得分。证明材料提供《计量器具型式批准证书》复制件。</w:t>
            </w:r>
          </w:p>
        </w:tc>
        <w:tc>
          <w:tcPr>
            <w:tcW w:w="630" w:type="dxa"/>
            <w:vAlign w:val="center"/>
          </w:tcPr>
          <w:p>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5</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客观分</w:t>
            </w:r>
          </w:p>
        </w:tc>
        <w:tc>
          <w:tcPr>
            <w:tcW w:w="1620" w:type="dxa"/>
            <w:vMerge w:val="restart"/>
            <w:vAlign w:val="center"/>
          </w:tcPr>
          <w:p>
            <w:pPr>
              <w:snapToGrid w:val="0"/>
              <w:spacing w:line="360" w:lineRule="auto"/>
              <w:jc w:val="center"/>
              <w:rPr>
                <w:rFonts w:ascii="宋体" w:hAnsi="宋体" w:cs="宋体"/>
                <w:sz w:val="24"/>
              </w:rPr>
            </w:pPr>
            <w:r>
              <w:rPr>
                <w:rFonts w:hint="eastAsia" w:ascii="宋体" w:hAnsi="宋体" w:cs="宋体"/>
                <w:sz w:val="24"/>
              </w:rPr>
              <w:t>产品</w:t>
            </w:r>
          </w:p>
          <w:p>
            <w:pPr>
              <w:snapToGrid w:val="0"/>
              <w:spacing w:line="360" w:lineRule="auto"/>
              <w:jc w:val="center"/>
              <w:rPr>
                <w:rFonts w:ascii="宋体" w:hAnsi="宋体" w:cs="宋体"/>
                <w:sz w:val="24"/>
              </w:rPr>
            </w:pPr>
            <w:r>
              <w:rPr>
                <w:rFonts w:hint="eastAsia" w:ascii="宋体" w:hAnsi="宋体" w:cs="宋体"/>
                <w:sz w:val="24"/>
              </w:rPr>
              <w:t>准确度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650" w:type="dxa"/>
            <w:vMerge w:val="continue"/>
            <w:vAlign w:val="center"/>
          </w:tcPr>
          <w:p>
            <w:pPr>
              <w:snapToGrid w:val="0"/>
              <w:spacing w:line="360" w:lineRule="auto"/>
              <w:jc w:val="center"/>
              <w:rPr>
                <w:rFonts w:ascii="宋体" w:hAnsi="宋体" w:cs="宋体"/>
                <w:sz w:val="24"/>
              </w:rPr>
            </w:pPr>
          </w:p>
        </w:tc>
        <w:tc>
          <w:tcPr>
            <w:tcW w:w="4485" w:type="dxa"/>
            <w:vAlign w:val="center"/>
          </w:tcPr>
          <w:p>
            <w:pPr>
              <w:snapToGrid w:val="0"/>
              <w:spacing w:line="360" w:lineRule="auto"/>
              <w:jc w:val="both"/>
              <w:rPr>
                <w:rFonts w:ascii="宋体" w:hAnsi="宋体" w:cs="宋体"/>
                <w:sz w:val="24"/>
                <w:highlight w:val="none"/>
              </w:rPr>
            </w:pPr>
            <w:r>
              <w:rPr>
                <w:rFonts w:hint="eastAsia" w:ascii="宋体" w:hAnsi="宋体" w:eastAsia="宋体" w:cs="宋体"/>
                <w:color w:val="auto"/>
                <w:sz w:val="24"/>
                <w:szCs w:val="24"/>
                <w:highlight w:val="none"/>
              </w:rPr>
              <w:t>所投称重产品根据《动态公路车辆自动衡器检定规程》单轴荷载或轴组荷载的准确度等级达到C级及以上的得 5分,达到D级的得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分，达到</w:t>
            </w:r>
            <w:r>
              <w:rPr>
                <w:rFonts w:hint="eastAsia" w:ascii="宋体" w:hAnsi="宋体" w:cs="宋体"/>
                <w:color w:val="auto"/>
                <w:sz w:val="24"/>
                <w:szCs w:val="24"/>
                <w:highlight w:val="none"/>
                <w:lang w:val="en-US" w:eastAsia="zh-CN"/>
              </w:rPr>
              <w:t>E</w:t>
            </w:r>
            <w:r>
              <w:rPr>
                <w:rFonts w:hint="eastAsia" w:ascii="宋体" w:hAnsi="宋体" w:eastAsia="宋体" w:cs="宋体"/>
                <w:color w:val="auto"/>
                <w:sz w:val="24"/>
                <w:szCs w:val="24"/>
                <w:highlight w:val="none"/>
              </w:rPr>
              <w:t>级的得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达到</w:t>
            </w:r>
            <w:r>
              <w:rPr>
                <w:rFonts w:hint="eastAsia" w:ascii="宋体" w:hAnsi="宋体" w:cs="宋体"/>
                <w:color w:val="auto"/>
                <w:sz w:val="24"/>
                <w:szCs w:val="24"/>
                <w:highlight w:val="none"/>
                <w:lang w:val="en-US" w:eastAsia="zh-CN"/>
              </w:rPr>
              <w:t>F</w:t>
            </w:r>
            <w:r>
              <w:rPr>
                <w:rFonts w:hint="eastAsia" w:ascii="宋体" w:hAnsi="宋体" w:eastAsia="宋体" w:cs="宋体"/>
                <w:color w:val="auto"/>
                <w:sz w:val="24"/>
                <w:szCs w:val="24"/>
                <w:highlight w:val="none"/>
              </w:rPr>
              <w:t>级的得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其他不得分。证明材料提供《计量器具型式批准证书》复制件。</w:t>
            </w:r>
          </w:p>
        </w:tc>
        <w:tc>
          <w:tcPr>
            <w:tcW w:w="630" w:type="dxa"/>
            <w:vAlign w:val="center"/>
          </w:tcPr>
          <w:p>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5</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客观分</w:t>
            </w:r>
          </w:p>
        </w:tc>
        <w:tc>
          <w:tcPr>
            <w:tcW w:w="1620" w:type="dxa"/>
            <w:vMerge w:val="continue"/>
            <w:vAlign w:val="center"/>
          </w:tcPr>
          <w:p>
            <w:pPr>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3</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1）除政府强制采购要求外，所投产品属于“节能产品政府采购品目清单“范围并具有有效的节能产品认证证书的每个得0.5分，最高得1分；</w:t>
            </w:r>
          </w:p>
          <w:p>
            <w:pPr>
              <w:snapToGrid w:val="0"/>
              <w:spacing w:line="360" w:lineRule="auto"/>
              <w:rPr>
                <w:rFonts w:ascii="宋体" w:hAnsi="宋体" w:cs="宋体"/>
                <w:sz w:val="24"/>
              </w:rPr>
            </w:pPr>
            <w:r>
              <w:rPr>
                <w:rFonts w:hint="eastAsia" w:ascii="宋体" w:hAnsi="宋体" w:cs="宋体"/>
                <w:sz w:val="24"/>
              </w:rPr>
              <w:t>（2）所投产品属于“环境标志产品政府采购品目清单”范围并具有有效的环境标志产品认证证书的每个得0.5分，最高得1分；</w:t>
            </w:r>
          </w:p>
        </w:tc>
        <w:tc>
          <w:tcPr>
            <w:tcW w:w="630" w:type="dxa"/>
            <w:vAlign w:val="center"/>
          </w:tcPr>
          <w:p>
            <w:pPr>
              <w:snapToGrid w:val="0"/>
              <w:spacing w:line="360" w:lineRule="auto"/>
              <w:jc w:val="center"/>
              <w:rPr>
                <w:rFonts w:ascii="宋体" w:hAnsi="宋体" w:cs="宋体"/>
                <w:sz w:val="24"/>
              </w:rPr>
            </w:pPr>
            <w:r>
              <w:rPr>
                <w:rFonts w:hint="eastAsia" w:ascii="宋体" w:hAnsi="宋体" w:cs="宋体"/>
                <w:sz w:val="24"/>
              </w:rPr>
              <w:t>2</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客观分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所投产品节能、环保证书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拟派项目负责人：</w:t>
            </w:r>
          </w:p>
          <w:p>
            <w:pPr>
              <w:snapToGrid w:val="0"/>
              <w:spacing w:line="360" w:lineRule="auto"/>
              <w:rPr>
                <w:rFonts w:ascii="宋体" w:hAnsi="宋体" w:cs="宋体"/>
                <w:sz w:val="24"/>
              </w:rPr>
            </w:pPr>
            <w:r>
              <w:rPr>
                <w:rFonts w:hint="eastAsia" w:ascii="宋体" w:hAnsi="宋体" w:cs="宋体"/>
                <w:sz w:val="24"/>
              </w:rPr>
              <w:t>具有相关专业（指电子或自动化或智能化或机电工程或交通工程等专业）工程类职称证书，中级得2分，高级及以上得3分。</w:t>
            </w:r>
          </w:p>
          <w:p>
            <w:pPr>
              <w:snapToGrid w:val="0"/>
              <w:spacing w:line="360" w:lineRule="auto"/>
              <w:rPr>
                <w:rFonts w:ascii="宋体" w:hAnsi="宋体" w:cs="宋体"/>
                <w:sz w:val="24"/>
              </w:rPr>
            </w:pPr>
            <w:r>
              <w:rPr>
                <w:rFonts w:hint="eastAsia" w:ascii="宋体" w:hAnsi="宋体" w:cs="宋体"/>
                <w:sz w:val="24"/>
              </w:rPr>
              <w:t>证明材料提供资格证书、注册证书、职称证书以及在投标单位连续缴纳三个月社保的证明。</w:t>
            </w:r>
          </w:p>
        </w:tc>
        <w:tc>
          <w:tcPr>
            <w:tcW w:w="630" w:type="dxa"/>
            <w:vAlign w:val="center"/>
          </w:tcPr>
          <w:p>
            <w:pPr>
              <w:snapToGrid w:val="0"/>
              <w:spacing w:line="360" w:lineRule="auto"/>
              <w:jc w:val="center"/>
              <w:rPr>
                <w:rFonts w:ascii="宋体" w:hAnsi="宋体" w:cs="宋体"/>
                <w:sz w:val="24"/>
              </w:rPr>
            </w:pPr>
            <w:r>
              <w:rPr>
                <w:rFonts w:hint="eastAsia" w:ascii="宋体" w:hAnsi="宋体" w:cs="宋体"/>
                <w:sz w:val="24"/>
              </w:rPr>
              <w:t>3</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客观分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拟派项目负责人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5</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方案（包括项目组织机构人员配备、供货方案、安装方案、集成方案、调测方案、验收方案）完整性、需求满足性：方案齐全、内容完整，满足采购需求的得5分，方案齐全、内容基本完整、基本满足采购需求的得3分，方案不齐全、不完整、不满足采购需求的得0分。</w:t>
            </w:r>
          </w:p>
        </w:tc>
        <w:tc>
          <w:tcPr>
            <w:tcW w:w="630" w:type="dxa"/>
            <w:vAlign w:val="center"/>
          </w:tcPr>
          <w:p>
            <w:pPr>
              <w:snapToGrid w:val="0"/>
              <w:spacing w:line="360" w:lineRule="auto"/>
              <w:jc w:val="center"/>
              <w:rPr>
                <w:rFonts w:ascii="宋体" w:hAnsi="宋体" w:cs="宋体"/>
                <w:sz w:val="24"/>
              </w:rPr>
            </w:pPr>
            <w:r>
              <w:rPr>
                <w:rFonts w:hint="eastAsia" w:ascii="宋体" w:hAnsi="宋体" w:cs="宋体"/>
                <w:sz w:val="24"/>
              </w:rPr>
              <w:t>5</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主观分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项目实施组织方案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6</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人员安全规范、安全措施完全符合本项目安装现场施工要求情况的得</w:t>
            </w:r>
            <w:r>
              <w:rPr>
                <w:rFonts w:hint="eastAsia" w:ascii="宋体" w:hAnsi="宋体" w:cs="宋体"/>
                <w:sz w:val="24"/>
                <w:lang w:val="en-US" w:eastAsia="zh-CN"/>
              </w:rPr>
              <w:t>4</w:t>
            </w:r>
            <w:r>
              <w:rPr>
                <w:rFonts w:hint="eastAsia" w:ascii="宋体" w:hAnsi="宋体" w:cs="宋体"/>
                <w:sz w:val="24"/>
              </w:rPr>
              <w:t>分，基本符合的得</w:t>
            </w:r>
            <w:r>
              <w:rPr>
                <w:rFonts w:hint="eastAsia" w:ascii="宋体" w:hAnsi="宋体" w:cs="宋体"/>
                <w:sz w:val="24"/>
                <w:lang w:val="en-US" w:eastAsia="zh-CN"/>
              </w:rPr>
              <w:t>3</w:t>
            </w:r>
            <w:r>
              <w:rPr>
                <w:rFonts w:hint="eastAsia" w:ascii="宋体" w:hAnsi="宋体" w:cs="宋体"/>
                <w:sz w:val="24"/>
              </w:rPr>
              <w:t>分，不符合的得0分。</w:t>
            </w:r>
          </w:p>
        </w:tc>
        <w:tc>
          <w:tcPr>
            <w:tcW w:w="630" w:type="dxa"/>
            <w:vAlign w:val="center"/>
          </w:tcPr>
          <w:p>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4</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主观分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安装现场安全管理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7</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培训方案完备，方案合理的得</w:t>
            </w:r>
            <w:r>
              <w:rPr>
                <w:rFonts w:hint="eastAsia" w:ascii="宋体" w:hAnsi="宋体" w:cs="宋体"/>
                <w:sz w:val="24"/>
                <w:lang w:val="en-US" w:eastAsia="zh-CN"/>
              </w:rPr>
              <w:t>4</w:t>
            </w:r>
            <w:r>
              <w:rPr>
                <w:rFonts w:hint="eastAsia" w:ascii="宋体" w:hAnsi="宋体" w:cs="宋体"/>
                <w:sz w:val="24"/>
              </w:rPr>
              <w:t>分，基本符合的得</w:t>
            </w:r>
            <w:r>
              <w:rPr>
                <w:rFonts w:hint="eastAsia" w:ascii="宋体" w:hAnsi="宋体" w:cs="宋体"/>
                <w:sz w:val="24"/>
                <w:lang w:val="en-US" w:eastAsia="zh-CN"/>
              </w:rPr>
              <w:t>3</w:t>
            </w:r>
            <w:r>
              <w:rPr>
                <w:rFonts w:hint="eastAsia" w:ascii="宋体" w:hAnsi="宋体" w:cs="宋体"/>
                <w:sz w:val="24"/>
              </w:rPr>
              <w:t>分，培训方案不完善的不得分。</w:t>
            </w:r>
          </w:p>
        </w:tc>
        <w:tc>
          <w:tcPr>
            <w:tcW w:w="630" w:type="dxa"/>
            <w:vAlign w:val="center"/>
          </w:tcPr>
          <w:p>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4</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主观分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8</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制定了详细的工期安排计划，满足采购要求进度的得</w:t>
            </w:r>
            <w:r>
              <w:rPr>
                <w:rFonts w:hint="eastAsia" w:ascii="宋体" w:hAnsi="宋体" w:cs="宋体"/>
                <w:sz w:val="24"/>
                <w:lang w:val="en-US" w:eastAsia="zh-CN"/>
              </w:rPr>
              <w:t>4</w:t>
            </w:r>
            <w:r>
              <w:rPr>
                <w:rFonts w:hint="eastAsia" w:ascii="宋体" w:hAnsi="宋体" w:cs="宋体"/>
                <w:sz w:val="24"/>
              </w:rPr>
              <w:t>分，基本符合的得2分，进度计划不完善的不得分。</w:t>
            </w:r>
          </w:p>
        </w:tc>
        <w:tc>
          <w:tcPr>
            <w:tcW w:w="630" w:type="dxa"/>
            <w:vAlign w:val="center"/>
          </w:tcPr>
          <w:p>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4</w:t>
            </w:r>
          </w:p>
        </w:tc>
        <w:tc>
          <w:tcPr>
            <w:tcW w:w="1110" w:type="dxa"/>
            <w:vAlign w:val="center"/>
          </w:tcPr>
          <w:p>
            <w:pPr>
              <w:snapToGrid w:val="0"/>
              <w:spacing w:line="360" w:lineRule="auto"/>
              <w:rPr>
                <w:rFonts w:ascii="宋体" w:hAnsi="宋体" w:cs="宋体"/>
                <w:sz w:val="24"/>
              </w:rPr>
            </w:pPr>
            <w:r>
              <w:rPr>
                <w:rFonts w:hint="eastAsia" w:ascii="宋体" w:hAnsi="宋体" w:cs="宋体"/>
                <w:sz w:val="24"/>
              </w:rPr>
              <w:t>主观分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工期计划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9</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根据投标人针对本项目现场勘踏情况，实施重点、难点分析及解决方案全面，建议合理可行的得5分，基本可行的得2分，不完善的不得分。</w:t>
            </w:r>
          </w:p>
        </w:tc>
        <w:tc>
          <w:tcPr>
            <w:tcW w:w="630" w:type="dxa"/>
            <w:vAlign w:val="center"/>
          </w:tcPr>
          <w:p>
            <w:pPr>
              <w:snapToGrid w:val="0"/>
              <w:spacing w:line="360" w:lineRule="auto"/>
              <w:jc w:val="center"/>
              <w:rPr>
                <w:rFonts w:ascii="宋体" w:hAnsi="宋体" w:cs="宋体"/>
                <w:sz w:val="24"/>
              </w:rPr>
            </w:pPr>
            <w:r>
              <w:rPr>
                <w:rFonts w:hint="eastAsia" w:ascii="宋体" w:hAnsi="宋体" w:cs="宋体"/>
                <w:sz w:val="24"/>
              </w:rPr>
              <w:t>5</w:t>
            </w:r>
          </w:p>
        </w:tc>
        <w:tc>
          <w:tcPr>
            <w:tcW w:w="1110" w:type="dxa"/>
            <w:vAlign w:val="center"/>
          </w:tcPr>
          <w:p>
            <w:pPr>
              <w:snapToGrid w:val="0"/>
              <w:spacing w:line="360" w:lineRule="auto"/>
              <w:rPr>
                <w:rFonts w:ascii="宋体" w:hAnsi="宋体" w:cs="宋体"/>
                <w:sz w:val="24"/>
              </w:rPr>
            </w:pPr>
            <w:r>
              <w:rPr>
                <w:rFonts w:hint="eastAsia" w:ascii="宋体" w:hAnsi="宋体" w:cs="宋体"/>
                <w:sz w:val="24"/>
              </w:rPr>
              <w:t>主观分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重点、难点分析及解决方案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10</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（1）针对设备厂家延期供货提供详细有效的应急响应方案得</w:t>
            </w:r>
            <w:r>
              <w:rPr>
                <w:rFonts w:hint="eastAsia" w:ascii="宋体" w:hAnsi="宋体" w:cs="宋体"/>
                <w:sz w:val="24"/>
                <w:lang w:val="en-US" w:eastAsia="zh-CN"/>
              </w:rPr>
              <w:t>2</w:t>
            </w:r>
            <w:r>
              <w:rPr>
                <w:rFonts w:hint="eastAsia" w:ascii="宋体" w:hAnsi="宋体" w:cs="宋体"/>
                <w:sz w:val="24"/>
              </w:rPr>
              <w:t>分，基本有效的得</w:t>
            </w:r>
            <w:r>
              <w:rPr>
                <w:rFonts w:hint="eastAsia" w:ascii="宋体" w:hAnsi="宋体" w:cs="宋体"/>
                <w:sz w:val="24"/>
                <w:lang w:val="en-US" w:eastAsia="zh-CN"/>
              </w:rPr>
              <w:t>1</w:t>
            </w:r>
            <w:r>
              <w:rPr>
                <w:rFonts w:hint="eastAsia" w:ascii="宋体" w:hAnsi="宋体" w:cs="宋体"/>
                <w:sz w:val="24"/>
              </w:rPr>
              <w:t>分，未提供方案或无效的得0分</w:t>
            </w:r>
          </w:p>
          <w:p>
            <w:pPr>
              <w:snapToGrid w:val="0"/>
              <w:spacing w:line="360" w:lineRule="auto"/>
              <w:rPr>
                <w:rFonts w:ascii="宋体" w:hAnsi="宋体" w:cs="宋体"/>
                <w:sz w:val="24"/>
              </w:rPr>
            </w:pPr>
            <w:r>
              <w:rPr>
                <w:rFonts w:hint="eastAsia" w:ascii="宋体" w:hAnsi="宋体" w:cs="宋体"/>
                <w:sz w:val="24"/>
              </w:rPr>
              <w:t>（2）针对交警临时管制时间较长提供详细有效的应急响应方案得2分，基本有效的得1分，未提供方案或无效的得0分。</w:t>
            </w:r>
          </w:p>
        </w:tc>
        <w:tc>
          <w:tcPr>
            <w:tcW w:w="630" w:type="dxa"/>
            <w:vAlign w:val="center"/>
          </w:tcPr>
          <w:p>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4</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主观分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应急</w:t>
            </w:r>
          </w:p>
          <w:p>
            <w:pPr>
              <w:snapToGrid w:val="0"/>
              <w:spacing w:line="360" w:lineRule="auto"/>
              <w:jc w:val="center"/>
              <w:rPr>
                <w:rFonts w:ascii="宋体" w:hAnsi="宋体" w:cs="宋体"/>
                <w:sz w:val="24"/>
              </w:rPr>
            </w:pPr>
            <w:r>
              <w:rPr>
                <w:rFonts w:hint="eastAsia" w:ascii="宋体" w:hAnsi="宋体" w:cs="宋体"/>
                <w:sz w:val="24"/>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11</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1.如在使用过程中发生质量问题，投标人在接到甲方通知后在不超过故障申报1小时内到达现场得1分。（证明材料：承诺书格式自拟），如不充分则不予得分。</w:t>
            </w:r>
          </w:p>
          <w:p>
            <w:pPr>
              <w:snapToGrid w:val="0"/>
              <w:spacing w:line="360" w:lineRule="auto"/>
              <w:rPr>
                <w:rFonts w:ascii="宋体" w:hAnsi="宋体" w:cs="宋体"/>
                <w:sz w:val="24"/>
              </w:rPr>
            </w:pPr>
            <w:r>
              <w:rPr>
                <w:rFonts w:hint="eastAsia" w:ascii="宋体" w:hAnsi="宋体" w:cs="宋体"/>
                <w:sz w:val="24"/>
              </w:rPr>
              <w:t>2.投标人售后服务人员配置情况：人数5人及以上的得1分，10人及以上的得2分。（证明材料提供与供应商已签订的劳动合同、最近一期的社保缴纳记录。若投标截止前不具备的，则提供承诺书（承诺在中标通知书发出之日起15天内配备到位，否则视为主动放弃中标资格）。</w:t>
            </w:r>
          </w:p>
        </w:tc>
        <w:tc>
          <w:tcPr>
            <w:tcW w:w="630" w:type="dxa"/>
            <w:vAlign w:val="center"/>
          </w:tcPr>
          <w:p>
            <w:pPr>
              <w:snapToGrid w:val="0"/>
              <w:spacing w:line="360" w:lineRule="auto"/>
              <w:jc w:val="center"/>
              <w:rPr>
                <w:rFonts w:ascii="宋体" w:hAnsi="宋体" w:cs="宋体"/>
                <w:sz w:val="24"/>
              </w:rPr>
            </w:pPr>
            <w:r>
              <w:rPr>
                <w:rFonts w:hint="eastAsia" w:ascii="宋体" w:hAnsi="宋体" w:cs="宋体"/>
                <w:sz w:val="24"/>
              </w:rPr>
              <w:t>3</w:t>
            </w:r>
          </w:p>
        </w:tc>
        <w:tc>
          <w:tcPr>
            <w:tcW w:w="1110" w:type="dxa"/>
            <w:vAlign w:val="center"/>
          </w:tcPr>
          <w:p>
            <w:pPr>
              <w:snapToGrid w:val="0"/>
              <w:spacing w:line="360" w:lineRule="auto"/>
              <w:jc w:val="center"/>
              <w:rPr>
                <w:rFonts w:ascii="宋体" w:hAnsi="宋体" w:cs="宋体"/>
                <w:sz w:val="24"/>
              </w:rPr>
            </w:pPr>
            <w:r>
              <w:rPr>
                <w:rFonts w:hint="eastAsia" w:ascii="宋体" w:hAnsi="宋体" w:cs="宋体"/>
                <w:sz w:val="24"/>
              </w:rPr>
              <w:t>客观分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售后</w:t>
            </w:r>
          </w:p>
          <w:p>
            <w:pPr>
              <w:snapToGrid w:val="0"/>
              <w:spacing w:line="360" w:lineRule="auto"/>
              <w:jc w:val="center"/>
              <w:rPr>
                <w:rFonts w:ascii="宋体" w:hAnsi="宋体" w:cs="宋体"/>
                <w:sz w:val="24"/>
              </w:rPr>
            </w:pPr>
            <w:r>
              <w:rPr>
                <w:rFonts w:hint="eastAsia" w:ascii="宋体" w:hAnsi="宋体" w:cs="宋体"/>
                <w:sz w:val="24"/>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二</w:t>
            </w:r>
          </w:p>
        </w:tc>
        <w:tc>
          <w:tcPr>
            <w:tcW w:w="7845" w:type="dxa"/>
            <w:gridSpan w:val="4"/>
            <w:vAlign w:val="center"/>
          </w:tcPr>
          <w:p>
            <w:pPr>
              <w:snapToGrid w:val="0"/>
              <w:spacing w:line="360" w:lineRule="auto"/>
              <w:jc w:val="left"/>
              <w:rPr>
                <w:rFonts w:ascii="宋体" w:hAnsi="宋体" w:cs="宋体"/>
                <w:sz w:val="24"/>
              </w:rPr>
            </w:pPr>
            <w:r>
              <w:rPr>
                <w:rFonts w:hint="eastAsia" w:ascii="宋体" w:hAnsi="宋体" w:cs="宋体"/>
                <w:sz w:val="24"/>
              </w:rPr>
              <w:t>资信业绩6分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12</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投标人具有ISO9001质量管理体系认证、ISO14001环境管理体系认证和GB/T45001(OHSAS18001)职业健康安全管理体系认证证书，每个得1分，最高得3分。（证明材料提供有效期内的体系认证证书，投标文件内须提供证明材料扫描件并加盖投标人单位公章或投标专用章，否则不计分。）</w:t>
            </w:r>
          </w:p>
        </w:tc>
        <w:tc>
          <w:tcPr>
            <w:tcW w:w="630" w:type="dxa"/>
            <w:vAlign w:val="center"/>
          </w:tcPr>
          <w:p>
            <w:pPr>
              <w:snapToGrid w:val="0"/>
              <w:spacing w:line="360" w:lineRule="auto"/>
              <w:jc w:val="center"/>
              <w:rPr>
                <w:rFonts w:ascii="宋体" w:hAnsi="宋体" w:cs="宋体"/>
                <w:sz w:val="24"/>
              </w:rPr>
            </w:pPr>
            <w:r>
              <w:rPr>
                <w:rFonts w:hint="eastAsia" w:ascii="宋体" w:hAnsi="宋体" w:cs="宋体"/>
                <w:sz w:val="24"/>
              </w:rPr>
              <w:t>3</w:t>
            </w:r>
          </w:p>
        </w:tc>
        <w:tc>
          <w:tcPr>
            <w:tcW w:w="1110" w:type="dxa"/>
            <w:vAlign w:val="center"/>
          </w:tcPr>
          <w:p>
            <w:pPr>
              <w:snapToGrid w:val="0"/>
              <w:spacing w:line="360" w:lineRule="auto"/>
              <w:jc w:val="center"/>
              <w:rPr>
                <w:rStyle w:val="78"/>
                <w:rFonts w:ascii="宋体" w:hAnsi="宋体" w:cs="宋体"/>
                <w:bCs/>
                <w:kern w:val="0"/>
                <w:sz w:val="24"/>
                <w:szCs w:val="24"/>
              </w:rPr>
            </w:pPr>
            <w:r>
              <w:rPr>
                <w:rFonts w:hint="eastAsia" w:ascii="宋体" w:hAnsi="宋体" w:cs="宋体"/>
                <w:sz w:val="24"/>
              </w:rPr>
              <w:t>客观分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13</w:t>
            </w:r>
          </w:p>
        </w:tc>
        <w:tc>
          <w:tcPr>
            <w:tcW w:w="4485" w:type="dxa"/>
            <w:vAlign w:val="center"/>
          </w:tcPr>
          <w:p>
            <w:pPr>
              <w:snapToGrid w:val="0"/>
              <w:spacing w:line="360" w:lineRule="auto"/>
              <w:rPr>
                <w:rFonts w:ascii="宋体" w:hAnsi="宋体" w:cs="宋体"/>
                <w:sz w:val="24"/>
              </w:rPr>
            </w:pPr>
            <w:r>
              <w:rPr>
                <w:rFonts w:hint="eastAsia" w:ascii="宋体" w:hAnsi="宋体" w:cs="宋体"/>
                <w:sz w:val="24"/>
              </w:rPr>
              <w:t>投标人提供2020年1月1日至今类似本项目案例，每提供1个得1分，本项最高得3分。（须同时提供中标通知书、合同、竣工报告或验收报告原件扫描件，否则不得分）。</w:t>
            </w:r>
          </w:p>
          <w:p>
            <w:pPr>
              <w:snapToGrid w:val="0"/>
              <w:spacing w:line="360" w:lineRule="auto"/>
              <w:rPr>
                <w:rFonts w:ascii="宋体" w:hAnsi="宋体" w:cs="宋体"/>
                <w:sz w:val="24"/>
              </w:rPr>
            </w:pPr>
            <w:r>
              <w:rPr>
                <w:rFonts w:hint="eastAsia" w:ascii="宋体" w:hAnsi="宋体" w:cs="宋体"/>
                <w:sz w:val="24"/>
              </w:rPr>
              <w:t>（注：投标文件内须提供证明材料扫描件并加盖投标人单位公章或投标专用章，否则不计分。）</w:t>
            </w:r>
          </w:p>
        </w:tc>
        <w:tc>
          <w:tcPr>
            <w:tcW w:w="630" w:type="dxa"/>
            <w:vAlign w:val="center"/>
          </w:tcPr>
          <w:p>
            <w:pPr>
              <w:snapToGrid w:val="0"/>
              <w:spacing w:line="360" w:lineRule="auto"/>
              <w:jc w:val="center"/>
              <w:rPr>
                <w:rFonts w:ascii="宋体" w:hAnsi="宋体" w:cs="宋体"/>
                <w:sz w:val="24"/>
              </w:rPr>
            </w:pPr>
            <w:r>
              <w:rPr>
                <w:rFonts w:hint="eastAsia" w:ascii="宋体" w:hAnsi="宋体" w:cs="宋体"/>
                <w:sz w:val="24"/>
              </w:rPr>
              <w:t>3</w:t>
            </w:r>
          </w:p>
        </w:tc>
        <w:tc>
          <w:tcPr>
            <w:tcW w:w="1110" w:type="dxa"/>
            <w:vAlign w:val="center"/>
          </w:tcPr>
          <w:p>
            <w:pPr>
              <w:snapToGrid w:val="0"/>
              <w:spacing w:line="360" w:lineRule="auto"/>
              <w:jc w:val="center"/>
              <w:rPr>
                <w:rStyle w:val="78"/>
                <w:rFonts w:ascii="宋体" w:hAnsi="宋体" w:cs="宋体"/>
                <w:bCs/>
                <w:kern w:val="0"/>
                <w:sz w:val="24"/>
                <w:szCs w:val="24"/>
              </w:rPr>
            </w:pPr>
            <w:r>
              <w:rPr>
                <w:rFonts w:hint="eastAsia" w:ascii="宋体" w:hAnsi="宋体" w:cs="宋体"/>
                <w:sz w:val="24"/>
              </w:rPr>
              <w:t>客观分</w:t>
            </w:r>
          </w:p>
        </w:tc>
        <w:tc>
          <w:tcPr>
            <w:tcW w:w="1620" w:type="dxa"/>
            <w:vAlign w:val="center"/>
          </w:tcPr>
          <w:p>
            <w:pPr>
              <w:snapToGrid w:val="0"/>
              <w:spacing w:line="360" w:lineRule="auto"/>
              <w:jc w:val="center"/>
              <w:rPr>
                <w:rFonts w:ascii="宋体" w:hAnsi="宋体" w:cs="宋体"/>
                <w:sz w:val="24"/>
              </w:rPr>
            </w:pPr>
            <w:r>
              <w:rPr>
                <w:rFonts w:hint="eastAsia" w:ascii="宋体" w:hAnsi="宋体" w:cs="宋体"/>
                <w:sz w:val="24"/>
              </w:rPr>
              <w:t>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snapToGrid w:val="0"/>
              <w:spacing w:line="360" w:lineRule="auto"/>
              <w:jc w:val="center"/>
              <w:rPr>
                <w:rFonts w:ascii="宋体" w:hAnsi="宋体" w:cs="宋体"/>
                <w:sz w:val="24"/>
              </w:rPr>
            </w:pPr>
            <w:r>
              <w:rPr>
                <w:rFonts w:hint="eastAsia" w:ascii="宋体" w:hAnsi="宋体" w:cs="宋体"/>
                <w:sz w:val="24"/>
              </w:rPr>
              <w:t>三</w:t>
            </w:r>
          </w:p>
        </w:tc>
        <w:tc>
          <w:tcPr>
            <w:tcW w:w="7845" w:type="dxa"/>
            <w:gridSpan w:val="4"/>
            <w:vAlign w:val="center"/>
          </w:tcPr>
          <w:p>
            <w:pPr>
              <w:snapToGrid w:val="0"/>
              <w:spacing w:line="360" w:lineRule="auto"/>
              <w:jc w:val="left"/>
              <w:rPr>
                <w:rFonts w:ascii="宋体" w:hAnsi="宋体" w:cs="宋体"/>
                <w:sz w:val="24"/>
              </w:rPr>
            </w:pPr>
            <w:r>
              <w:rPr>
                <w:rFonts w:hint="eastAsia" w:ascii="宋体" w:hAnsi="宋体" w:cs="宋体"/>
                <w:sz w:val="24"/>
              </w:rPr>
              <w:t>报价30分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14</w:t>
            </w:r>
          </w:p>
        </w:tc>
        <w:tc>
          <w:tcPr>
            <w:tcW w:w="4485" w:type="dxa"/>
          </w:tcPr>
          <w:p>
            <w:pPr>
              <w:widowControl/>
              <w:adjustRightInd/>
              <w:spacing w:line="400" w:lineRule="exact"/>
              <w:jc w:val="left"/>
              <w:rPr>
                <w:rFonts w:ascii="宋体" w:hAnsi="宋体" w:cs="宋体"/>
                <w:sz w:val="24"/>
                <w:highlight w:val="none"/>
              </w:rPr>
            </w:pPr>
            <w:r>
              <w:rPr>
                <w:rFonts w:hint="eastAsia" w:ascii="宋体" w:hAnsi="宋体" w:cs="宋体"/>
                <w:sz w:val="24"/>
                <w:highlight w:val="none"/>
              </w:rPr>
              <w:t>有效投标报价的最低价作为评标基准价，其最低报价为满分；按［投标报价得分=（评标基准价/投标报价）*权重］的计算公式计算。</w:t>
            </w:r>
          </w:p>
          <w:p>
            <w:pPr>
              <w:widowControl/>
              <w:adjustRightInd/>
              <w:spacing w:line="400" w:lineRule="exact"/>
              <w:jc w:val="left"/>
              <w:rPr>
                <w:rFonts w:ascii="宋体" w:hAnsi="宋体" w:cs="宋体"/>
                <w:sz w:val="24"/>
                <w:highlight w:val="none"/>
              </w:rPr>
            </w:pPr>
            <w:r>
              <w:rPr>
                <w:rFonts w:hint="eastAsia" w:ascii="宋体" w:hAnsi="宋体" w:cs="宋体"/>
                <w:sz w:val="24"/>
                <w:highlight w:val="none"/>
              </w:rPr>
              <w:t>评标过程中，不得去掉报价中的最高报价和最低报价。</w:t>
            </w:r>
          </w:p>
        </w:tc>
        <w:tc>
          <w:tcPr>
            <w:tcW w:w="630" w:type="dxa"/>
            <w:vAlign w:val="center"/>
          </w:tcPr>
          <w:p>
            <w:pPr>
              <w:spacing w:line="360" w:lineRule="auto"/>
              <w:jc w:val="center"/>
              <w:outlineLvl w:val="0"/>
              <w:rPr>
                <w:rFonts w:ascii="宋体" w:hAnsi="宋体" w:cs="宋体"/>
                <w:sz w:val="24"/>
                <w:highlight w:val="none"/>
              </w:rPr>
            </w:pPr>
            <w:bookmarkStart w:id="418" w:name="_Toc4055"/>
            <w:bookmarkStart w:id="419" w:name="_Toc15018"/>
            <w:r>
              <w:rPr>
                <w:rFonts w:hint="eastAsia" w:ascii="宋体" w:hAnsi="宋体" w:cs="宋体"/>
                <w:sz w:val="24"/>
                <w:highlight w:val="none"/>
              </w:rPr>
              <w:t>30</w:t>
            </w:r>
            <w:bookmarkEnd w:id="418"/>
            <w:bookmarkEnd w:id="419"/>
          </w:p>
        </w:tc>
        <w:tc>
          <w:tcPr>
            <w:tcW w:w="1110" w:type="dxa"/>
            <w:vAlign w:val="center"/>
          </w:tcPr>
          <w:p>
            <w:pPr>
              <w:spacing w:line="360" w:lineRule="auto"/>
              <w:jc w:val="center"/>
              <w:outlineLvl w:val="0"/>
              <w:rPr>
                <w:rFonts w:ascii="宋体" w:hAnsi="宋体" w:cs="宋体"/>
                <w:sz w:val="24"/>
                <w:highlight w:val="none"/>
              </w:rPr>
            </w:pPr>
            <w:bookmarkStart w:id="420" w:name="_Toc12029"/>
            <w:bookmarkStart w:id="421" w:name="_Toc6026"/>
            <w:r>
              <w:rPr>
                <w:rStyle w:val="78"/>
                <w:rFonts w:hint="eastAsia" w:ascii="宋体" w:hAnsi="宋体" w:cs="宋体"/>
                <w:bCs/>
                <w:kern w:val="0"/>
                <w:sz w:val="24"/>
                <w:szCs w:val="24"/>
                <w:highlight w:val="none"/>
              </w:rPr>
              <w:t>客观分</w:t>
            </w:r>
            <w:bookmarkEnd w:id="420"/>
            <w:bookmarkEnd w:id="421"/>
          </w:p>
        </w:tc>
        <w:tc>
          <w:tcPr>
            <w:tcW w:w="1620" w:type="dxa"/>
            <w:vAlign w:val="center"/>
          </w:tcPr>
          <w:p>
            <w:pPr>
              <w:spacing w:line="360" w:lineRule="auto"/>
              <w:jc w:val="center"/>
              <w:outlineLvl w:val="0"/>
              <w:rPr>
                <w:rFonts w:ascii="宋体" w:hAnsi="宋体" w:cs="宋体"/>
                <w:sz w:val="24"/>
                <w:highlight w:val="none"/>
              </w:rPr>
            </w:pPr>
            <w:bookmarkStart w:id="422" w:name="_Toc19278"/>
            <w:bookmarkStart w:id="423" w:name="_Toc12208"/>
            <w:r>
              <w:rPr>
                <w:rFonts w:hint="eastAsia" w:ascii="宋体" w:hAnsi="宋体" w:cs="宋体"/>
                <w:sz w:val="24"/>
                <w:highlight w:val="none"/>
              </w:rPr>
              <w:t>/</w:t>
            </w:r>
            <w:bookmarkEnd w:id="422"/>
            <w:bookmarkEnd w:id="423"/>
          </w:p>
        </w:tc>
      </w:tr>
    </w:tbl>
    <w:p>
      <w:pPr>
        <w:snapToGrid w:val="0"/>
        <w:spacing w:line="360" w:lineRule="auto"/>
        <w:ind w:firstLine="480" w:firstLineChars="200"/>
        <w:rPr>
          <w:rFonts w:ascii="宋体" w:hAnsi="宋体" w:cs="宋体"/>
          <w:b/>
          <w:sz w:val="24"/>
          <w:highlight w:val="none"/>
        </w:rPr>
      </w:pPr>
      <w:r>
        <w:rPr>
          <w:rFonts w:hint="eastAsia" w:ascii="宋体" w:hAnsi="宋体" w:cs="宋体"/>
          <w:sz w:val="24"/>
          <w:highlight w:val="none"/>
          <w:shd w:val="clear" w:color="auto" w:fill="FFFFFF"/>
        </w:rPr>
        <w:t>*</w:t>
      </w:r>
      <w:r>
        <w:rPr>
          <w:rFonts w:hint="eastAsia" w:ascii="宋体" w:hAnsi="宋体" w:cs="宋体"/>
          <w:b/>
          <w:sz w:val="24"/>
          <w:highlight w:val="none"/>
        </w:rPr>
        <w:t>备注：</w:t>
      </w:r>
      <w:r>
        <w:rPr>
          <w:rFonts w:hint="eastAsia" w:ascii="宋体" w:hAnsi="宋体" w:cs="宋体"/>
          <w:sz w:val="24"/>
          <w:highlight w:val="none"/>
        </w:rPr>
        <w:t>投标人编制投标文件（商务技术文件部分）时，建议按此目录（序号和内容）提供评标标准相应的商务技术资料。 </w:t>
      </w:r>
    </w:p>
    <w:p>
      <w:pPr>
        <w:snapToGrid w:val="0"/>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rPr>
        <w:t>一、评标方法</w:t>
      </w:r>
    </w:p>
    <w:p>
      <w:pPr>
        <w:adjustRightInd/>
        <w:spacing w:line="360" w:lineRule="auto"/>
        <w:ind w:firstLine="482" w:firstLineChars="200"/>
        <w:rPr>
          <w:rFonts w:ascii="宋体" w:hAnsi="宋体" w:cs="宋体"/>
          <w:kern w:val="0"/>
          <w:sz w:val="24"/>
        </w:rPr>
      </w:pPr>
      <w:r>
        <w:rPr>
          <w:rFonts w:hint="eastAsia" w:ascii="宋体" w:hAnsi="宋体" w:cs="宋体"/>
          <w:b/>
          <w:kern w:val="0"/>
          <w:sz w:val="24"/>
          <w:highlight w:val="none"/>
        </w:rPr>
        <w:t>1.本项目采用综合评分法。</w:t>
      </w:r>
      <w:r>
        <w:rPr>
          <w:rFonts w:hint="eastAsia" w:ascii="宋体" w:hAnsi="宋体" w:cs="宋体"/>
          <w:kern w:val="0"/>
          <w:sz w:val="24"/>
          <w:highlight w:val="none"/>
        </w:rPr>
        <w:t>综合评分法，</w:t>
      </w:r>
      <w:r>
        <w:rPr>
          <w:rFonts w:hint="eastAsia" w:ascii="宋体" w:hAnsi="宋体" w:cs="宋体"/>
          <w:kern w:val="0"/>
          <w:sz w:val="24"/>
        </w:rPr>
        <w:t>是指投标文件满足招标文件全部实质性要求，且按照评审因素的量化指标评审得分（资信分+技术分+报价分）最高的投标人为中标候选人的评标方法。</w:t>
      </w:r>
    </w:p>
    <w:p>
      <w:pPr>
        <w:adjustRightInd/>
        <w:spacing w:line="360" w:lineRule="auto"/>
        <w:ind w:firstLine="482" w:firstLineChars="200"/>
        <w:outlineLvl w:val="1"/>
        <w:rPr>
          <w:rFonts w:ascii="宋体" w:hAnsi="宋体" w:cs="宋体"/>
          <w:kern w:val="0"/>
          <w:sz w:val="24"/>
        </w:rPr>
      </w:pPr>
      <w:r>
        <w:rPr>
          <w:rFonts w:hint="eastAsia" w:ascii="宋体" w:hAnsi="宋体" w:cs="宋体"/>
          <w:b/>
          <w:sz w:val="24"/>
        </w:rPr>
        <w:t>二、评标标准</w:t>
      </w:r>
    </w:p>
    <w:p>
      <w:pPr>
        <w:spacing w:line="360" w:lineRule="auto"/>
        <w:ind w:firstLine="482" w:firstLineChars="200"/>
        <w:rPr>
          <w:rFonts w:ascii="宋体" w:hAnsi="宋体" w:cs="宋体"/>
          <w:b/>
          <w:sz w:val="24"/>
        </w:rPr>
      </w:pPr>
      <w:r>
        <w:rPr>
          <w:rFonts w:hint="eastAsia" w:ascii="宋体" w:hAnsi="宋体" w:cs="宋体"/>
          <w:b/>
          <w:sz w:val="24"/>
        </w:rPr>
        <w:t>2.评标标准：</w:t>
      </w:r>
      <w:r>
        <w:rPr>
          <w:rFonts w:hint="eastAsia" w:ascii="宋体" w:hAnsi="宋体" w:cs="宋体"/>
          <w:kern w:val="0"/>
          <w:sz w:val="24"/>
        </w:rPr>
        <w:t>见评标办法前附表。</w:t>
      </w:r>
    </w:p>
    <w:p>
      <w:pPr>
        <w:spacing w:line="360" w:lineRule="auto"/>
        <w:ind w:firstLine="482" w:firstLineChars="200"/>
        <w:outlineLvl w:val="1"/>
        <w:rPr>
          <w:rFonts w:ascii="宋体" w:hAnsi="宋体" w:cs="宋体"/>
          <w:b/>
          <w:sz w:val="24"/>
        </w:rPr>
      </w:pPr>
      <w:r>
        <w:rPr>
          <w:rFonts w:hint="eastAsia" w:ascii="宋体" w:hAnsi="宋体" w:cs="宋体"/>
          <w:b/>
          <w:sz w:val="24"/>
        </w:rPr>
        <w:t>三、评标程序</w:t>
      </w:r>
    </w:p>
    <w:p>
      <w:pPr>
        <w:spacing w:line="360" w:lineRule="auto"/>
        <w:ind w:firstLine="482" w:firstLineChars="200"/>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82" w:firstLineChars="200"/>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82" w:firstLineChars="200"/>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82" w:firstLineChars="200"/>
        <w:rPr>
          <w:rFonts w:ascii="宋体" w:hAnsi="宋体" w:cs="宋体"/>
          <w:b/>
          <w:kern w:val="0"/>
          <w:sz w:val="24"/>
        </w:rPr>
      </w:pPr>
      <w:r>
        <w:rPr>
          <w:rFonts w:hint="eastAsia" w:ascii="宋体" w:hAnsi="宋体" w:cs="宋体"/>
          <w:b/>
          <w:kern w:val="0"/>
          <w:sz w:val="24"/>
        </w:rPr>
        <w:t>3.4报价评审。</w:t>
      </w:r>
    </w:p>
    <w:p>
      <w:pPr>
        <w:pStyle w:val="130"/>
        <w:spacing w:before="0"/>
        <w:ind w:firstLine="480"/>
        <w:rPr>
          <w:rFonts w:ascii="宋体" w:hAnsi="宋体" w:cs="宋体"/>
          <w:kern w:val="0"/>
          <w:szCs w:val="24"/>
        </w:rPr>
      </w:pPr>
      <w:r>
        <w:rPr>
          <w:rFonts w:hint="eastAsia" w:ascii="宋体" w:hAnsi="宋体" w:cs="宋体"/>
          <w:kern w:val="0"/>
          <w:szCs w:val="24"/>
        </w:rPr>
        <w:t>3.4.1投标文件报价出现前后不一致的，按照下列规定修正：</w:t>
      </w:r>
    </w:p>
    <w:p>
      <w:pPr>
        <w:pStyle w:val="130"/>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30"/>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30"/>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30"/>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30"/>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30"/>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82" w:firstLineChars="200"/>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line="360" w:lineRule="auto"/>
        <w:ind w:firstLine="482" w:firstLineChars="200"/>
        <w:jc w:val="left"/>
        <w:outlineLvl w:val="1"/>
        <w:rPr>
          <w:rFonts w:ascii="宋体" w:hAnsi="宋体" w:cs="宋体"/>
          <w:b/>
          <w:sz w:val="24"/>
        </w:rPr>
      </w:pPr>
      <w:r>
        <w:rPr>
          <w:rFonts w:hint="eastAsia" w:ascii="宋体" w:hAnsi="宋体" w:cs="宋体"/>
          <w:b/>
          <w:sz w:val="24"/>
        </w:rPr>
        <w:t>四、评标中的其他事项</w:t>
      </w:r>
    </w:p>
    <w:p>
      <w:pPr>
        <w:pStyle w:val="130"/>
        <w:spacing w:before="0"/>
        <w:ind w:firstLine="482"/>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firstLine="482"/>
        <w:rPr>
          <w:rFonts w:cs="宋体"/>
        </w:rPr>
      </w:pPr>
      <w:r>
        <w:rPr>
          <w:rFonts w:hint="eastAsia" w:cs="宋体"/>
          <w:b/>
          <w:kern w:val="0"/>
        </w:rPr>
        <w:t>4.2投标无效。</w:t>
      </w:r>
      <w:r>
        <w:rPr>
          <w:rFonts w:hint="eastAsia" w:cs="宋体"/>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480" w:firstLineChars="200"/>
        <w:rPr>
          <w:rFonts w:ascii="宋体" w:hAnsi="宋体" w:cs="宋体"/>
          <w:kern w:val="0"/>
          <w:sz w:val="24"/>
        </w:rPr>
      </w:pPr>
      <w:r>
        <w:rPr>
          <w:rFonts w:hint="eastAsia" w:ascii="宋体" w:hAnsi="宋体" w:cs="宋体"/>
          <w:kern w:val="0"/>
          <w:sz w:val="24"/>
        </w:rPr>
        <w:t>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tabs>
          <w:tab w:val="left" w:pos="432"/>
        </w:tabs>
        <w:spacing w:line="360" w:lineRule="auto"/>
        <w:ind w:firstLine="480" w:firstLineChars="200"/>
        <w:rPr>
          <w:rFonts w:ascii="宋体" w:hAnsi="宋体" w:cs="宋体"/>
          <w:kern w:val="0"/>
          <w:sz w:val="24"/>
        </w:rPr>
      </w:pPr>
      <w:r>
        <w:rPr>
          <w:rFonts w:hint="eastAsia" w:ascii="宋体" w:hAnsi="宋体" w:cs="宋体"/>
          <w:kern w:val="0"/>
          <w:sz w:val="24"/>
        </w:rPr>
        <w:t>4.2.13投标文件不满足招标文件的其它实质性要求的；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5"/>
        <w:snapToGrid w:val="0"/>
        <w:spacing w:line="360" w:lineRule="auto"/>
        <w:ind w:firstLine="482"/>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5"/>
        <w:snapToGrid w:val="0"/>
        <w:spacing w:line="360" w:lineRule="auto"/>
        <w:rPr>
          <w:rFonts w:cs="宋体"/>
        </w:rPr>
      </w:pPr>
      <w:r>
        <w:rPr>
          <w:rFonts w:hint="eastAsia" w:cs="宋体"/>
        </w:rPr>
        <w:t>5.1符合专业条件的供应商或者对招标文件作实质响应的供应商不足3家的；</w:t>
      </w:r>
    </w:p>
    <w:p>
      <w:pPr>
        <w:pStyle w:val="25"/>
        <w:snapToGrid w:val="0"/>
        <w:spacing w:line="360" w:lineRule="auto"/>
        <w:rPr>
          <w:rFonts w:cs="宋体"/>
        </w:rPr>
      </w:pPr>
      <w:r>
        <w:rPr>
          <w:rFonts w:hint="eastAsia" w:cs="宋体"/>
        </w:rPr>
        <w:t>5.2出现影响采购公正的违法、违规行为的；</w:t>
      </w:r>
    </w:p>
    <w:p>
      <w:pPr>
        <w:pStyle w:val="25"/>
        <w:snapToGrid w:val="0"/>
        <w:spacing w:line="360" w:lineRule="auto"/>
        <w:rPr>
          <w:rFonts w:cs="宋体"/>
        </w:rPr>
      </w:pPr>
      <w:r>
        <w:rPr>
          <w:rFonts w:hint="eastAsia" w:cs="宋体"/>
        </w:rPr>
        <w:t>5.3投标人的报价均超过了采购预算，采购人不能支付的；</w:t>
      </w:r>
    </w:p>
    <w:p>
      <w:pPr>
        <w:pStyle w:val="25"/>
        <w:snapToGrid w:val="0"/>
        <w:spacing w:line="360" w:lineRule="auto"/>
        <w:rPr>
          <w:rFonts w:cs="宋体"/>
        </w:rPr>
      </w:pPr>
      <w:r>
        <w:rPr>
          <w:rFonts w:hint="eastAsia" w:cs="宋体"/>
        </w:rPr>
        <w:t>5.4因重大变故，采购任务取消的。</w:t>
      </w:r>
    </w:p>
    <w:p>
      <w:pPr>
        <w:pStyle w:val="25"/>
        <w:snapToGrid w:val="0"/>
        <w:spacing w:line="360" w:lineRule="auto"/>
        <w:rPr>
          <w:rFonts w:cs="宋体"/>
        </w:rPr>
      </w:pPr>
      <w:r>
        <w:rPr>
          <w:rFonts w:hint="eastAsia" w:cs="宋体"/>
        </w:rPr>
        <w:t>废标后，采购代理机构应当将废标理由通知所有投标人。</w:t>
      </w:r>
    </w:p>
    <w:p>
      <w:pPr>
        <w:pStyle w:val="25"/>
        <w:snapToGrid w:val="0"/>
        <w:spacing w:line="360" w:lineRule="auto"/>
        <w:ind w:firstLine="482"/>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5"/>
        <w:snapToGrid w:val="0"/>
        <w:spacing w:line="360" w:lineRule="auto"/>
        <w:rPr>
          <w:rFonts w:cs="宋体"/>
        </w:rPr>
      </w:pPr>
      <w:r>
        <w:rPr>
          <w:rFonts w:hint="eastAsia" w:cs="宋体"/>
        </w:rPr>
        <w:t>7.1未确定中标供应商的，终止本次政府采购活动，重新开展政府采购活动。</w:t>
      </w:r>
    </w:p>
    <w:p>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7.4政府采购合同已经履行，给采购人、供应商造成损失的，由责任人承担赔偿责任。</w:t>
      </w:r>
    </w:p>
    <w:p>
      <w:pPr>
        <w:pStyle w:val="25"/>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pPr>
        <w:rPr>
          <w:rFonts w:ascii="宋体" w:hAnsi="宋体" w:cs="宋体"/>
          <w:sz w:val="24"/>
        </w:rPr>
      </w:pPr>
      <w:r>
        <w:rPr>
          <w:rFonts w:hint="eastAsia" w:ascii="宋体" w:hAnsi="宋体" w:cs="宋体"/>
          <w:sz w:val="24"/>
        </w:rPr>
        <w:br w:type="page"/>
      </w:r>
    </w:p>
    <w:bookmarkEnd w:id="34"/>
    <w:p>
      <w:pPr>
        <w:wordWrap w:val="0"/>
        <w:jc w:val="center"/>
        <w:outlineLvl w:val="0"/>
        <w:rPr>
          <w:rFonts w:hint="eastAsia" w:ascii="宋体" w:hAnsi="宋体" w:eastAsia="宋体" w:cs="宋体"/>
          <w:b/>
          <w:color w:val="auto"/>
          <w:sz w:val="44"/>
          <w:szCs w:val="44"/>
          <w:highlight w:val="none"/>
        </w:rPr>
      </w:pPr>
      <w:bookmarkStart w:id="424" w:name="_Toc12722"/>
      <w:bookmarkStart w:id="425" w:name="_Toc3651"/>
      <w:bookmarkStart w:id="426" w:name="_Toc5384"/>
      <w:bookmarkStart w:id="427" w:name="_Toc8068"/>
      <w:bookmarkStart w:id="428" w:name="第五部分"/>
      <w:bookmarkStart w:id="429" w:name="_Toc86217003"/>
      <w:r>
        <w:rPr>
          <w:rFonts w:hint="eastAsia" w:ascii="宋体" w:hAnsi="宋体" w:eastAsia="宋体" w:cs="宋体"/>
          <w:b/>
          <w:color w:val="auto"/>
          <w:sz w:val="44"/>
          <w:szCs w:val="44"/>
          <w:highlight w:val="none"/>
        </w:rPr>
        <w:t>第五部分 拟签订的合同文本</w:t>
      </w:r>
      <w:bookmarkEnd w:id="424"/>
      <w:bookmarkEnd w:id="425"/>
      <w:bookmarkEnd w:id="426"/>
      <w:bookmarkEnd w:id="427"/>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合同编号：</w:t>
      </w:r>
      <w:r>
        <w:rPr>
          <w:rFonts w:hint="eastAsia" w:ascii="宋体" w:hAnsi="宋体" w:eastAsia="宋体" w:cs="宋体"/>
          <w:color w:val="auto"/>
          <w:sz w:val="24"/>
          <w:szCs w:val="24"/>
          <w:highlight w:val="none"/>
          <w:u w:val="single"/>
        </w:rPr>
        <w:t xml:space="preserve">           </w:t>
      </w:r>
    </w:p>
    <w:p>
      <w:pPr>
        <w:spacing w:line="480" w:lineRule="auto"/>
        <w:jc w:val="center"/>
        <w:rPr>
          <w:rFonts w:hint="eastAsia" w:ascii="宋体" w:hAnsi="宋体" w:eastAsia="宋体" w:cs="宋体"/>
          <w:b/>
          <w:color w:val="auto"/>
          <w:sz w:val="24"/>
          <w:szCs w:val="24"/>
          <w:highlight w:val="none"/>
        </w:rPr>
      </w:pPr>
    </w:p>
    <w:p>
      <w:pPr>
        <w:spacing w:line="48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政府采购合同（货物类）</w:t>
      </w:r>
    </w:p>
    <w:p>
      <w:pPr>
        <w:pStyle w:val="701"/>
        <w:ind w:left="0" w:leftChars="0" w:firstLine="0" w:firstLineChars="0"/>
        <w:jc w:val="center"/>
        <w:rPr>
          <w:rFonts w:hint="eastAsia" w:ascii="宋体" w:hAnsi="宋体" w:eastAsia="宋体" w:cs="宋体"/>
          <w:b/>
          <w:color w:val="auto"/>
          <w:sz w:val="32"/>
          <w:szCs w:val="32"/>
          <w:highlight w:val="none"/>
        </w:rPr>
      </w:pPr>
    </w:p>
    <w:p>
      <w:pPr>
        <w:pStyle w:val="701"/>
        <w:ind w:left="0" w:leftChars="0" w:firstLine="0" w:firstLineChars="0"/>
        <w:jc w:val="center"/>
        <w:rPr>
          <w:rFonts w:hint="eastAsia" w:ascii="宋体" w:hAnsi="宋体" w:eastAsia="宋体" w:cs="宋体"/>
          <w:b/>
          <w:color w:val="auto"/>
          <w:sz w:val="32"/>
          <w:szCs w:val="32"/>
          <w:highlight w:val="none"/>
        </w:rPr>
      </w:pPr>
      <w:bookmarkStart w:id="430" w:name="_Toc23916"/>
      <w:bookmarkStart w:id="431" w:name="_Toc28437"/>
      <w:bookmarkStart w:id="432" w:name="_Toc27969"/>
      <w:r>
        <w:rPr>
          <w:rFonts w:hint="eastAsia" w:ascii="宋体" w:hAnsi="宋体" w:eastAsia="宋体" w:cs="宋体"/>
          <w:b/>
          <w:color w:val="auto"/>
          <w:sz w:val="32"/>
          <w:szCs w:val="32"/>
          <w:highlight w:val="none"/>
        </w:rPr>
        <w:t>第一部分 合同书</w:t>
      </w:r>
      <w:bookmarkEnd w:id="430"/>
      <w:bookmarkEnd w:id="431"/>
      <w:bookmarkEnd w:id="432"/>
    </w:p>
    <w:p>
      <w:pPr>
        <w:pStyle w:val="701"/>
        <w:rPr>
          <w:rFonts w:hint="eastAsia" w:ascii="宋体" w:hAnsi="宋体" w:eastAsia="宋体" w:cs="宋体"/>
          <w:color w:val="auto"/>
          <w:sz w:val="32"/>
          <w:szCs w:val="32"/>
          <w:highlight w:val="none"/>
        </w:rPr>
      </w:pPr>
    </w:p>
    <w:p>
      <w:pPr>
        <w:pStyle w:val="701"/>
        <w:rPr>
          <w:rFonts w:hint="eastAsia" w:ascii="宋体" w:hAnsi="宋体" w:eastAsia="宋体" w:cs="宋体"/>
          <w:color w:val="auto"/>
          <w:sz w:val="32"/>
          <w:szCs w:val="32"/>
          <w:highlight w:val="none"/>
        </w:rPr>
      </w:pPr>
    </w:p>
    <w:p>
      <w:pPr>
        <w:spacing w:before="120" w:line="22" w:lineRule="atLeast"/>
        <w:rPr>
          <w:rFonts w:hint="eastAsia" w:ascii="宋体" w:hAnsi="宋体" w:eastAsia="宋体" w:cs="宋体"/>
          <w:color w:val="auto"/>
          <w:sz w:val="32"/>
          <w:szCs w:val="32"/>
          <w:highlight w:val="none"/>
        </w:rPr>
      </w:pPr>
    </w:p>
    <w:p>
      <w:pPr>
        <w:spacing w:before="120" w:line="22" w:lineRule="atLeast"/>
        <w:ind w:left="96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项目名称：</w:t>
      </w:r>
      <w:r>
        <w:rPr>
          <w:rFonts w:hint="eastAsia" w:ascii="宋体" w:hAnsi="宋体" w:cs="宋体"/>
          <w:color w:val="auto"/>
          <w:sz w:val="32"/>
          <w:szCs w:val="32"/>
          <w:highlight w:val="none"/>
          <w:u w:val="single"/>
          <w:lang w:eastAsia="zh-CN"/>
        </w:rPr>
        <w:t>钱塘区城市桥梁动态称重系统项目</w:t>
      </w:r>
      <w:r>
        <w:rPr>
          <w:rFonts w:hint="eastAsia" w:ascii="宋体" w:hAnsi="宋体" w:eastAsia="宋体" w:cs="宋体"/>
          <w:color w:val="auto"/>
          <w:sz w:val="32"/>
          <w:szCs w:val="32"/>
          <w:highlight w:val="none"/>
          <w:u w:val="single"/>
        </w:rPr>
        <w:t xml:space="preserve">  </w:t>
      </w:r>
    </w:p>
    <w:p>
      <w:pPr>
        <w:rPr>
          <w:rFonts w:hint="eastAsia" w:ascii="宋体" w:hAnsi="宋体" w:eastAsia="宋体" w:cs="宋体"/>
          <w:color w:val="auto"/>
          <w:sz w:val="32"/>
          <w:szCs w:val="32"/>
          <w:highlight w:val="none"/>
        </w:rPr>
      </w:pPr>
    </w:p>
    <w:p>
      <w:pPr>
        <w:spacing w:before="120" w:line="22" w:lineRule="atLeast"/>
        <w:ind w:left="96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甲</w:t>
      </w:r>
      <w:r>
        <w:rPr>
          <w:rFonts w:hint="eastAsia" w:ascii="宋体" w:hAnsi="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方：</w:t>
      </w:r>
      <w:r>
        <w:rPr>
          <w:rFonts w:hint="eastAsia" w:ascii="宋体" w:hAnsi="宋体" w:eastAsia="宋体" w:cs="宋体"/>
          <w:color w:val="auto"/>
          <w:sz w:val="32"/>
          <w:szCs w:val="32"/>
          <w:highlight w:val="none"/>
          <w:u w:val="single"/>
        </w:rPr>
        <w:t xml:space="preserve">         </w:t>
      </w:r>
      <w:r>
        <w:rPr>
          <w:rFonts w:hint="eastAsia" w:ascii="宋体" w:hAnsi="宋体" w:cs="宋体"/>
          <w:color w:val="auto"/>
          <w:sz w:val="32"/>
          <w:szCs w:val="32"/>
          <w:highlight w:val="none"/>
          <w:u w:val="single"/>
          <w:lang w:eastAsia="zh-CN"/>
        </w:rPr>
        <w:t>杭州市钱塘区综合行政执法局</w:t>
      </w:r>
      <w:r>
        <w:rPr>
          <w:rFonts w:hint="eastAsia" w:ascii="宋体" w:hAnsi="宋体" w:eastAsia="宋体" w:cs="宋体"/>
          <w:color w:val="auto"/>
          <w:sz w:val="32"/>
          <w:szCs w:val="32"/>
          <w:highlight w:val="none"/>
          <w:u w:val="single"/>
        </w:rPr>
        <w:t xml:space="preserve">      </w:t>
      </w:r>
    </w:p>
    <w:p>
      <w:pPr>
        <w:spacing w:before="120" w:line="22" w:lineRule="atLeast"/>
        <w:rPr>
          <w:rFonts w:hint="eastAsia" w:ascii="宋体" w:hAnsi="宋体" w:eastAsia="宋体" w:cs="宋体"/>
          <w:color w:val="auto"/>
          <w:sz w:val="32"/>
          <w:szCs w:val="32"/>
          <w:highlight w:val="none"/>
        </w:rPr>
      </w:pPr>
    </w:p>
    <w:p>
      <w:pPr>
        <w:spacing w:before="120" w:line="22" w:lineRule="atLeast"/>
        <w:ind w:left="96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乙</w:t>
      </w:r>
      <w:r>
        <w:rPr>
          <w:rFonts w:hint="eastAsia" w:ascii="宋体" w:hAnsi="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方：</w:t>
      </w:r>
      <w:r>
        <w:rPr>
          <w:rFonts w:hint="eastAsia" w:ascii="宋体" w:hAnsi="宋体" w:eastAsia="宋体" w:cs="宋体"/>
          <w:color w:val="auto"/>
          <w:sz w:val="32"/>
          <w:szCs w:val="32"/>
          <w:highlight w:val="none"/>
          <w:u w:val="single"/>
        </w:rPr>
        <w:t xml:space="preserve">                                          </w:t>
      </w:r>
    </w:p>
    <w:p>
      <w:pPr>
        <w:spacing w:before="120" w:line="22" w:lineRule="atLeast"/>
        <w:rPr>
          <w:rFonts w:hint="eastAsia" w:ascii="宋体" w:hAnsi="宋体" w:eastAsia="宋体" w:cs="宋体"/>
          <w:color w:val="auto"/>
          <w:sz w:val="32"/>
          <w:szCs w:val="32"/>
          <w:highlight w:val="none"/>
        </w:rPr>
      </w:pPr>
    </w:p>
    <w:p>
      <w:pPr>
        <w:spacing w:before="120" w:line="22" w:lineRule="atLeast"/>
        <w:ind w:firstLine="960" w:firstLineChars="3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签</w:t>
      </w:r>
      <w:r>
        <w:rPr>
          <w:rFonts w:hint="eastAsia" w:ascii="宋体" w:hAnsi="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订</w:t>
      </w:r>
      <w:r>
        <w:rPr>
          <w:rFonts w:hint="eastAsia" w:ascii="宋体" w:hAnsi="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地：</w:t>
      </w:r>
      <w:r>
        <w:rPr>
          <w:rFonts w:hint="eastAsia" w:ascii="宋体" w:hAnsi="宋体" w:eastAsia="宋体" w:cs="宋体"/>
          <w:color w:val="auto"/>
          <w:sz w:val="32"/>
          <w:szCs w:val="32"/>
          <w:highlight w:val="none"/>
          <w:u w:val="single"/>
        </w:rPr>
        <w:t xml:space="preserve">            杭州市钱塘区                  </w:t>
      </w:r>
    </w:p>
    <w:p>
      <w:pPr>
        <w:spacing w:before="120" w:line="22" w:lineRule="atLeast"/>
        <w:rPr>
          <w:rFonts w:hint="eastAsia" w:ascii="宋体" w:hAnsi="宋体" w:eastAsia="宋体" w:cs="宋体"/>
          <w:color w:val="auto"/>
          <w:sz w:val="32"/>
          <w:szCs w:val="32"/>
          <w:highlight w:val="none"/>
        </w:rPr>
      </w:pPr>
    </w:p>
    <w:p>
      <w:pPr>
        <w:spacing w:before="120" w:line="22" w:lineRule="atLeast"/>
        <w:ind w:firstLine="960" w:firstLineChars="3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签订日期：</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rPr>
        <w:t>月</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rPr>
        <w:t>日</w:t>
      </w:r>
    </w:p>
    <w:p>
      <w:pPr>
        <w:widowControl/>
        <w:jc w:val="left"/>
        <w:rPr>
          <w:rFonts w:hint="eastAsia" w:ascii="宋体" w:hAnsi="宋体" w:eastAsia="宋体" w:cs="宋体"/>
          <w:color w:val="auto"/>
          <w:kern w:val="0"/>
          <w:sz w:val="24"/>
          <w:szCs w:val="24"/>
          <w:highlight w:val="none"/>
        </w:rPr>
        <w:sectPr>
          <w:pgSz w:w="11905" w:h="16838"/>
          <w:pgMar w:top="652" w:right="1417" w:bottom="680" w:left="1417" w:header="539" w:footer="482" w:gutter="0"/>
          <w:pgBorders>
            <w:top w:val="none" w:sz="0" w:space="0"/>
            <w:left w:val="none" w:sz="0" w:space="0"/>
            <w:bottom w:val="none" w:sz="0" w:space="0"/>
            <w:right w:val="none" w:sz="0" w:space="0"/>
          </w:pgBorders>
          <w:cols w:space="0" w:num="1"/>
          <w:titlePg/>
        </w:sectPr>
      </w:pP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杭州市钱塘区综合行政执法局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钱塘区城市桥梁动态称重系统项目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项目按照</w:t>
      </w:r>
      <w:r>
        <w:rPr>
          <w:rFonts w:hint="eastAsia" w:ascii="宋体" w:hAnsi="宋体" w:eastAsia="宋体" w:cs="宋体"/>
          <w:color w:val="auto"/>
          <w:sz w:val="24"/>
          <w:szCs w:val="24"/>
          <w:highlight w:val="none"/>
          <w:u w:val="single"/>
        </w:rPr>
        <w:t xml:space="preserve">  公开招标 </w:t>
      </w:r>
      <w:r>
        <w:rPr>
          <w:rFonts w:hint="eastAsia" w:ascii="宋体" w:hAnsi="宋体" w:eastAsia="宋体" w:cs="宋体"/>
          <w:color w:val="auto"/>
          <w:sz w:val="24"/>
          <w:szCs w:val="24"/>
          <w:highlight w:val="none"/>
        </w:rPr>
        <w:t>方式进行了采购。</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采购人 </w:t>
      </w:r>
      <w:r>
        <w:rPr>
          <w:rFonts w:hint="eastAsia" w:ascii="宋体" w:hAnsi="宋体" w:eastAsia="宋体" w:cs="宋体"/>
          <w:color w:val="auto"/>
          <w:sz w:val="24"/>
          <w:szCs w:val="24"/>
          <w:highlight w:val="none"/>
        </w:rPr>
        <w:t>确定</w:t>
      </w:r>
      <w:r>
        <w:rPr>
          <w:rFonts w:hint="eastAsia" w:ascii="宋体" w:hAnsi="宋体" w:eastAsia="宋体" w:cs="宋体"/>
          <w:color w:val="auto"/>
          <w:sz w:val="24"/>
          <w:szCs w:val="24"/>
          <w:highlight w:val="none"/>
          <w:u w:val="single"/>
        </w:rPr>
        <w:t xml:space="preserve"> （中标供应商名称）</w:t>
      </w:r>
      <w:r>
        <w:rPr>
          <w:rFonts w:hint="eastAsia" w:ascii="宋体" w:hAnsi="宋体" w:eastAsia="宋体" w:cs="宋体"/>
          <w:color w:val="auto"/>
          <w:sz w:val="24"/>
          <w:szCs w:val="24"/>
          <w:highlight w:val="none"/>
        </w:rPr>
        <w:t>为本项目的中标供应商。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在中标通知书发出之日起三十日内，</w:t>
      </w:r>
      <w:r>
        <w:rPr>
          <w:rFonts w:hint="eastAsia" w:ascii="宋体" w:hAnsi="宋体" w:eastAsia="宋体" w:cs="宋体"/>
          <w:color w:val="auto"/>
          <w:sz w:val="24"/>
          <w:szCs w:val="24"/>
          <w:highlight w:val="none"/>
          <w:lang w:val="zh-CN"/>
        </w:rPr>
        <w:t>根据《中华人民共和国民法典》、《中华人民共和国政府采购法》等相关法律法规之规定，按照平等、自愿、公平、诚实信用和绿色的原则</w:t>
      </w:r>
      <w:r>
        <w:rPr>
          <w:rFonts w:hint="eastAsia" w:ascii="宋体" w:hAnsi="宋体" w:eastAsia="宋体" w:cs="宋体"/>
          <w:color w:val="auto"/>
          <w:sz w:val="24"/>
          <w:szCs w:val="24"/>
          <w:highlight w:val="none"/>
        </w:rPr>
        <w:t>和采购文件确定的事项，</w:t>
      </w:r>
      <w:r>
        <w:rPr>
          <w:rFonts w:hint="eastAsia" w:ascii="宋体" w:hAnsi="宋体" w:eastAsia="宋体" w:cs="宋体"/>
          <w:color w:val="auto"/>
          <w:sz w:val="24"/>
          <w:szCs w:val="24"/>
          <w:highlight w:val="none"/>
          <w:lang w:val="zh-CN"/>
        </w:rPr>
        <w:t>经</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杭州市钱塘区综合行政执法局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(以下简称甲方)和</w:t>
      </w:r>
      <w:r>
        <w:rPr>
          <w:rFonts w:hint="eastAsia" w:ascii="宋体" w:hAnsi="宋体" w:eastAsia="宋体" w:cs="宋体"/>
          <w:color w:val="auto"/>
          <w:sz w:val="24"/>
          <w:szCs w:val="24"/>
          <w:highlight w:val="none"/>
          <w:u w:val="single"/>
        </w:rPr>
        <w:t xml:space="preserve">（中标供应商名称）   </w:t>
      </w:r>
      <w:r>
        <w:rPr>
          <w:rFonts w:hint="eastAsia" w:ascii="宋体" w:hAnsi="宋体" w:eastAsia="宋体" w:cs="宋体"/>
          <w:color w:val="auto"/>
          <w:sz w:val="24"/>
          <w:szCs w:val="24"/>
          <w:highlight w:val="none"/>
          <w:lang w:val="zh-CN"/>
        </w:rPr>
        <w:t>(以下简称乙方)协商一致，</w:t>
      </w:r>
      <w:r>
        <w:rPr>
          <w:rFonts w:hint="eastAsia" w:ascii="宋体" w:hAnsi="宋体" w:eastAsia="宋体" w:cs="宋体"/>
          <w:color w:val="auto"/>
          <w:sz w:val="24"/>
          <w:szCs w:val="24"/>
          <w:highlight w:val="none"/>
        </w:rPr>
        <w:t>签订本合同，以兹共同遵守、全面履行。</w:t>
      </w:r>
    </w:p>
    <w:p>
      <w:pPr>
        <w:spacing w:line="360" w:lineRule="auto"/>
        <w:ind w:firstLine="482" w:firstLineChars="20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1.1合同组成部分</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1.1.1本合同及其补充合同、变更协议；</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1.1.2中标通知书；</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1.1.3投标文件（含澄清或者说明文件）；</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1.1.4招标文件（含澄清或者修改文件）；</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1.1.5其他相关采购文件。</w:t>
      </w:r>
    </w:p>
    <w:p>
      <w:pPr>
        <w:spacing w:line="360" w:lineRule="auto"/>
        <w:ind w:firstLine="482" w:firstLineChars="20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1.2货物</w:t>
      </w:r>
    </w:p>
    <w:p>
      <w:pP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货物清单一栏表</w:t>
      </w:r>
    </w:p>
    <w:tbl>
      <w:tblPr>
        <w:tblStyle w:val="62"/>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28"/>
        <w:gridCol w:w="755"/>
        <w:gridCol w:w="863"/>
        <w:gridCol w:w="408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28" w:type="dxa"/>
            <w:vAlign w:val="center"/>
          </w:tcPr>
          <w:p>
            <w:pPr>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产品名称</w:t>
            </w:r>
          </w:p>
        </w:tc>
        <w:tc>
          <w:tcPr>
            <w:tcW w:w="755" w:type="dxa"/>
            <w:vAlign w:val="center"/>
          </w:tcPr>
          <w:p>
            <w:pPr>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863" w:type="dxa"/>
            <w:vAlign w:val="center"/>
          </w:tcPr>
          <w:p>
            <w:pPr>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4080" w:type="dxa"/>
          </w:tcPr>
          <w:p>
            <w:pPr>
              <w:spacing w:line="360" w:lineRule="auto"/>
              <w:ind w:firstLine="1920" w:firstLineChars="8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技术参数</w:t>
            </w:r>
          </w:p>
        </w:tc>
        <w:tc>
          <w:tcPr>
            <w:tcW w:w="1497" w:type="dxa"/>
          </w:tcPr>
          <w:p>
            <w:pP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1228"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755"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863"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4080" w:type="dxa"/>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1497" w:type="dxa"/>
          </w:tcPr>
          <w:p>
            <w:pPr>
              <w:spacing w:line="360" w:lineRule="auto"/>
              <w:ind w:firstLine="480" w:firstLineChars="200"/>
              <w:jc w:val="left"/>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1228"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755"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863"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4080" w:type="dxa"/>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1497" w:type="dxa"/>
          </w:tcPr>
          <w:p>
            <w:pPr>
              <w:spacing w:line="360" w:lineRule="auto"/>
              <w:ind w:firstLine="480" w:firstLineChars="200"/>
              <w:jc w:val="left"/>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1228"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755"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863" w:type="dxa"/>
            <w:vAlign w:val="center"/>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4080" w:type="dxa"/>
          </w:tcPr>
          <w:p>
            <w:pPr>
              <w:spacing w:line="360" w:lineRule="auto"/>
              <w:ind w:firstLine="480" w:firstLineChars="200"/>
              <w:jc w:val="left"/>
              <w:outlineLvl w:val="9"/>
              <w:rPr>
                <w:rFonts w:hint="eastAsia" w:ascii="宋体" w:hAnsi="宋体" w:eastAsia="宋体" w:cs="宋体"/>
                <w:color w:val="auto"/>
                <w:sz w:val="24"/>
                <w:szCs w:val="24"/>
                <w:highlight w:val="none"/>
              </w:rPr>
            </w:pPr>
          </w:p>
        </w:tc>
        <w:tc>
          <w:tcPr>
            <w:tcW w:w="1497" w:type="dxa"/>
          </w:tcPr>
          <w:p>
            <w:pPr>
              <w:spacing w:line="360" w:lineRule="auto"/>
              <w:ind w:firstLine="480" w:firstLineChars="200"/>
              <w:jc w:val="left"/>
              <w:outlineLvl w:val="9"/>
              <w:rPr>
                <w:rFonts w:hint="eastAsia" w:ascii="宋体" w:hAnsi="宋体" w:eastAsia="宋体" w:cs="宋体"/>
                <w:color w:val="auto"/>
                <w:sz w:val="24"/>
                <w:szCs w:val="24"/>
                <w:highlight w:val="none"/>
              </w:rPr>
            </w:pPr>
          </w:p>
        </w:tc>
      </w:tr>
    </w:tbl>
    <w:p>
      <w:pPr>
        <w:spacing w:line="360" w:lineRule="auto"/>
        <w:ind w:firstLine="482" w:firstLineChars="20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1.3价款</w:t>
      </w:r>
    </w:p>
    <w:p>
      <w:pPr>
        <w:spacing w:line="360" w:lineRule="auto"/>
        <w:ind w:firstLine="480" w:firstLineChars="200"/>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本合同总价为：</w:t>
      </w:r>
      <w:r>
        <w:rPr>
          <w:rFonts w:hint="default" w:ascii="Arial" w:hAnsi="Arial" w:eastAsia="宋体" w:cs="Arial"/>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元人民币</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含税</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前述费用包含乙方完成</w:t>
      </w:r>
      <w:r>
        <w:rPr>
          <w:rFonts w:hint="eastAsia" w:ascii="宋体" w:hAnsi="宋体" w:eastAsia="宋体" w:cs="宋体"/>
          <w:b w:val="0"/>
          <w:bCs w:val="0"/>
          <w:color w:val="auto"/>
          <w:sz w:val="24"/>
          <w:szCs w:val="24"/>
          <w:highlight w:val="none"/>
          <w:lang w:val="en-US" w:eastAsia="zh-CN"/>
        </w:rPr>
        <w:t>施工期间交通导改及围护、绿化挖除及新建恢复、安装调试、系统接入、故障维修、人员培训、调整维护等全部工作</w:t>
      </w:r>
      <w:r>
        <w:rPr>
          <w:rFonts w:hint="eastAsia" w:ascii="宋体" w:hAnsi="宋体" w:cs="宋体"/>
          <w:b w:val="0"/>
          <w:bCs w:val="0"/>
          <w:color w:val="auto"/>
          <w:sz w:val="24"/>
          <w:szCs w:val="24"/>
          <w:highlight w:val="none"/>
          <w:lang w:val="en-US" w:eastAsia="zh-CN"/>
        </w:rPr>
        <w:t>所需的所有费用，除本合同另有约定外，甲方不再支付其他任何费用。</w:t>
      </w:r>
    </w:p>
    <w:p>
      <w:pPr>
        <w:spacing w:line="360" w:lineRule="auto"/>
        <w:ind w:firstLine="480" w:firstLineChars="20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分项价格表详见附件。</w:t>
      </w:r>
    </w:p>
    <w:p>
      <w:pPr>
        <w:spacing w:line="360" w:lineRule="auto"/>
        <w:ind w:firstLine="482" w:firstLineChars="20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1.4付款方式、时间和条件</w:t>
      </w:r>
    </w:p>
    <w:p>
      <w:pPr>
        <w:pStyle w:val="959"/>
        <w:spacing w:before="0" w:beforeAutospacing="0" w:after="0" w:afterAutospacing="0"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1.4.1甲方应严格履行合同，及时组织验收。对于满足合同约定支付条件的，甲方自收到发票后</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个工作日内将资金支付到合同约定的乙方账户，有条件的甲方可以即时支付。甲方不得以机构变动、人员更替、政策调整、单位放假、履行内部付款流程等为由延迟付款。</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1.4.2资金支付的方式、时间和条件详见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1.4.3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360" w:lineRule="auto"/>
        <w:ind w:firstLine="482" w:firstLineChars="200"/>
        <w:outlineLvl w:val="9"/>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1.5货物交付期限、地点和方式</w:t>
      </w:r>
    </w:p>
    <w:p>
      <w:pPr>
        <w:spacing w:line="360" w:lineRule="auto"/>
        <w:ind w:firstLine="480" w:firstLineChars="200"/>
        <w:outlineLvl w:val="9"/>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1.5.1交付期限：详见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1.5.2交付地点：</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1.5.3交付方式：</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pPr>
        <w:spacing w:line="360" w:lineRule="auto"/>
        <w:ind w:firstLine="482" w:firstLineChars="20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1.6违约责任</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z w:val="24"/>
          <w:szCs w:val="24"/>
          <w:highlight w:val="none"/>
          <w:u w:val="single"/>
        </w:rPr>
        <w:t xml:space="preserve">  0.05  </w:t>
      </w:r>
      <w:r>
        <w:rPr>
          <w:rFonts w:hint="eastAsia" w:ascii="宋体" w:hAnsi="宋体" w:eastAsia="宋体" w:cs="宋体"/>
          <w:color w:val="auto"/>
          <w:sz w:val="24"/>
          <w:szCs w:val="24"/>
          <w:highlight w:val="none"/>
        </w:rPr>
        <w:t>%计算；迟延交付货物</w:t>
      </w:r>
      <w:r>
        <w:rPr>
          <w:rFonts w:hint="eastAsia" w:ascii="宋体" w:hAnsi="宋体" w:eastAsia="宋体" w:cs="宋体"/>
          <w:color w:val="auto"/>
          <w:sz w:val="24"/>
          <w:highlight w:val="none"/>
        </w:rPr>
        <w:t>超过</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日及以上</w:t>
      </w:r>
      <w:r>
        <w:rPr>
          <w:rFonts w:hint="eastAsia" w:ascii="宋体" w:hAnsi="宋体" w:eastAsia="宋体" w:cs="宋体"/>
          <w:color w:val="auto"/>
          <w:sz w:val="24"/>
          <w:szCs w:val="24"/>
          <w:highlight w:val="none"/>
        </w:rPr>
        <w:t>，甲方有权在要求乙方支付违约金的同时，书面通知乙方解除本合同</w:t>
      </w:r>
      <w:r>
        <w:rPr>
          <w:rFonts w:hint="eastAsia" w:ascii="宋体" w:hAnsi="宋体" w:eastAsia="宋体" w:cs="宋体"/>
          <w:color w:val="auto"/>
          <w:sz w:val="24"/>
          <w:highlight w:val="none"/>
          <w:lang w:val="en-US" w:eastAsia="zh-CN"/>
        </w:rPr>
        <w:t>并要求乙方赔偿甲方因此所受全部损失</w:t>
      </w:r>
      <w:r>
        <w:rPr>
          <w:rFonts w:hint="eastAsia" w:ascii="宋体" w:hAnsi="宋体" w:eastAsia="宋体" w:cs="宋体"/>
          <w:color w:val="auto"/>
          <w:sz w:val="24"/>
          <w:szCs w:val="24"/>
          <w:highlight w:val="none"/>
        </w:rPr>
        <w:t>；</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1.6.2除不可抗力外，如果甲方</w:t>
      </w:r>
      <w:r>
        <w:rPr>
          <w:rFonts w:hint="eastAsia" w:ascii="宋体" w:hAnsi="宋体" w:eastAsia="宋体" w:cs="宋体"/>
          <w:color w:val="auto"/>
          <w:sz w:val="24"/>
          <w:szCs w:val="24"/>
          <w:highlight w:val="none"/>
          <w:lang w:val="en-US" w:eastAsia="zh-CN"/>
        </w:rPr>
        <w:t>无正当理由</w:t>
      </w:r>
      <w:r>
        <w:rPr>
          <w:rFonts w:hint="eastAsia" w:ascii="宋体" w:hAnsi="宋体" w:eastAsia="宋体" w:cs="宋体"/>
          <w:color w:val="auto"/>
          <w:sz w:val="24"/>
          <w:szCs w:val="24"/>
          <w:highlight w:val="none"/>
        </w:rPr>
        <w:t>没有按照本合同约定的付款方式付款</w:t>
      </w:r>
      <w:r>
        <w:rPr>
          <w:rFonts w:hint="eastAsia" w:ascii="宋体" w:hAnsi="宋体" w:eastAsia="宋体" w:cs="宋体"/>
          <w:color w:val="auto"/>
          <w:sz w:val="24"/>
          <w:highlight w:val="none"/>
          <w:lang w:val="en-US" w:eastAsia="zh-CN"/>
        </w:rPr>
        <w:t>且经乙方书面催告后在规定期限内仍未付款的</w:t>
      </w:r>
      <w:r>
        <w:rPr>
          <w:rFonts w:hint="eastAsia" w:ascii="宋体" w:hAnsi="宋体" w:eastAsia="宋体" w:cs="宋体"/>
          <w:color w:val="auto"/>
          <w:sz w:val="24"/>
          <w:szCs w:val="24"/>
          <w:highlight w:val="none"/>
        </w:rPr>
        <w:t>，那么乙方可要求甲方支付违约金，违约金按每迟延付款一日的应付而未付款的</w:t>
      </w:r>
      <w:r>
        <w:rPr>
          <w:rFonts w:hint="eastAsia" w:ascii="宋体" w:hAnsi="宋体" w:eastAsia="宋体" w:cs="宋体"/>
          <w:color w:val="auto"/>
          <w:sz w:val="24"/>
          <w:szCs w:val="24"/>
          <w:highlight w:val="none"/>
          <w:u w:val="single"/>
        </w:rPr>
        <w:t xml:space="preserve">  0.05  </w:t>
      </w:r>
      <w:r>
        <w:rPr>
          <w:rFonts w:hint="eastAsia" w:ascii="宋体" w:hAnsi="宋体" w:eastAsia="宋体" w:cs="宋体"/>
          <w:color w:val="auto"/>
          <w:sz w:val="24"/>
          <w:szCs w:val="24"/>
          <w:highlight w:val="none"/>
        </w:rPr>
        <w:t>%计算，最高限额为本合同总价的</w:t>
      </w:r>
      <w:r>
        <w:rPr>
          <w:rFonts w:hint="eastAsia" w:ascii="宋体" w:hAnsi="宋体" w:eastAsia="宋体" w:cs="宋体"/>
          <w:color w:val="auto"/>
          <w:sz w:val="24"/>
          <w:szCs w:val="24"/>
          <w:highlight w:val="none"/>
          <w:u w:val="single"/>
        </w:rPr>
        <w:t xml:space="preserve">  20   </w:t>
      </w:r>
      <w:r>
        <w:rPr>
          <w:rFonts w:hint="eastAsia" w:ascii="宋体" w:hAnsi="宋体" w:eastAsia="宋体" w:cs="宋体"/>
          <w:color w:val="auto"/>
          <w:sz w:val="24"/>
          <w:szCs w:val="24"/>
          <w:highlight w:val="none"/>
        </w:rPr>
        <w:t>%；迟延付款的违约金计算数额达到前述最高限额之日起，乙方有权在要求甲方支付违约金的同时，书面通知甲方解除本合同；</w:t>
      </w:r>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w:t>
      </w:r>
      <w:r>
        <w:rPr>
          <w:rFonts w:hint="eastAsia" w:ascii="宋体" w:hAnsi="宋体" w:eastAsia="宋体" w:cs="宋体"/>
          <w:i w:val="0"/>
          <w:iCs w:val="0"/>
          <w:color w:val="auto"/>
          <w:sz w:val="24"/>
          <w:szCs w:val="24"/>
          <w:highlight w:val="none"/>
        </w:rPr>
        <w:t>情况要求违约方赔偿损失；且守约方行使的任何权利救济方式均不视为其放弃了其他法定或者约定的权利救济方式；</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left="-420" w:leftChars="-200" w:right="-420" w:rightChars="-200" w:firstLine="960" w:firstLineChars="4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1.6.7违约责任</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另有约定的，从其约定。</w:t>
      </w:r>
    </w:p>
    <w:p>
      <w:pPr>
        <w:spacing w:line="360" w:lineRule="auto"/>
        <w:ind w:firstLine="482" w:firstLineChars="200"/>
        <w:outlineLvl w:val="9"/>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1.7合同争议的解决</w:t>
      </w:r>
    </w:p>
    <w:p>
      <w:pPr>
        <w:spacing w:line="360" w:lineRule="auto"/>
        <w:ind w:right="-420" w:rightChars="-200"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本合同履行过程中发生的任何争议，双方当事人均可通过和解或者调解解决；不愿和解、调解或者和解、调解不成的，可以选择以下第</w:t>
      </w:r>
      <w:r>
        <w:rPr>
          <w:rFonts w:hint="eastAsia" w:ascii="宋体" w:hAnsi="宋体" w:eastAsia="宋体" w:cs="宋体"/>
          <w:b/>
          <w:i w:val="0"/>
          <w:iCs w:val="0"/>
          <w:color w:val="auto"/>
          <w:sz w:val="24"/>
          <w:szCs w:val="24"/>
          <w:highlight w:val="none"/>
          <w:u w:val="single"/>
        </w:rPr>
        <w:t xml:space="preserve"> 合同专用条款  </w:t>
      </w:r>
      <w:r>
        <w:rPr>
          <w:rFonts w:hint="eastAsia" w:ascii="宋体" w:hAnsi="宋体" w:eastAsia="宋体" w:cs="宋体"/>
          <w:i w:val="0"/>
          <w:iCs w:val="0"/>
          <w:color w:val="auto"/>
          <w:sz w:val="24"/>
          <w:szCs w:val="24"/>
          <w:highlight w:val="none"/>
        </w:rPr>
        <w:t>条款规定的方式解决：</w:t>
      </w:r>
    </w:p>
    <w:p>
      <w:pPr>
        <w:spacing w:line="360" w:lineRule="auto"/>
        <w:ind w:left="-420" w:leftChars="-200" w:right="-420" w:rightChars="-200" w:firstLine="840" w:firstLineChars="35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1.7.1将争议提交</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仲裁委员会依申请仲裁时其现行有效的仲裁规则裁决；</w:t>
      </w:r>
    </w:p>
    <w:p>
      <w:pPr>
        <w:spacing w:line="360" w:lineRule="auto"/>
        <w:ind w:left="-420" w:leftChars="-200" w:right="-420" w:rightChars="-200" w:firstLine="840" w:firstLineChars="35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1.7.2向</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人民法院起诉。</w:t>
      </w:r>
    </w:p>
    <w:p>
      <w:pPr>
        <w:spacing w:line="360" w:lineRule="auto"/>
        <w:ind w:firstLine="482" w:firstLineChars="200"/>
        <w:outlineLvl w:val="9"/>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1.8合同生效</w:t>
      </w:r>
    </w:p>
    <w:p>
      <w:pPr>
        <w:spacing w:line="360" w:lineRule="auto"/>
        <w:ind w:firstLine="480" w:firstLineChars="200"/>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rPr>
        <w:t>本合同自双方当事人盖章或者签字时生效。</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b/>
          <w:i w:val="0"/>
          <w:iCs w:val="0"/>
          <w:color w:val="auto"/>
          <w:sz w:val="24"/>
          <w:szCs w:val="24"/>
          <w:highlight w:val="none"/>
          <w:lang w:val="zh-CN"/>
        </w:rPr>
        <w:t>甲方</w:t>
      </w:r>
      <w:r>
        <w:rPr>
          <w:rFonts w:hint="eastAsia" w:ascii="宋体" w:hAnsi="宋体" w:eastAsia="宋体" w:cs="宋体"/>
          <w:i w:val="0"/>
          <w:iCs w:val="0"/>
          <w:color w:val="auto"/>
          <w:sz w:val="24"/>
          <w:szCs w:val="24"/>
          <w:highlight w:val="none"/>
          <w:lang w:val="zh-CN"/>
        </w:rPr>
        <w:t xml:space="preserve">：                             </w:t>
      </w:r>
      <w:r>
        <w:rPr>
          <w:rFonts w:hint="eastAsia" w:ascii="宋体" w:hAnsi="宋体" w:eastAsia="宋体" w:cs="宋体"/>
          <w:b/>
          <w:i w:val="0"/>
          <w:iCs w:val="0"/>
          <w:color w:val="auto"/>
          <w:sz w:val="24"/>
          <w:szCs w:val="24"/>
          <w:highlight w:val="none"/>
          <w:lang w:val="zh-CN"/>
        </w:rPr>
        <w:t xml:space="preserve">      乙方</w:t>
      </w:r>
      <w:r>
        <w:rPr>
          <w:rFonts w:hint="eastAsia" w:ascii="宋体" w:hAnsi="宋体" w:eastAsia="宋体" w:cs="宋体"/>
          <w:i w:val="0"/>
          <w:iCs w:val="0"/>
          <w:color w:val="auto"/>
          <w:sz w:val="24"/>
          <w:szCs w:val="24"/>
          <w:highlight w:val="none"/>
          <w:lang w:val="zh-CN"/>
        </w:rPr>
        <w:t>：</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统一社会信用代码：                        统一社会信用代码或身份证号码：</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住所：                                   住所：</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法定代表人或                             法定代表人</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 xml:space="preserve">授权代表（签字）：                        或授权代表（签字）: </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联系人：                                 联系人：</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约定送达地址：                           约定送达地址：</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邮政编码：                               邮政编码：</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 xml:space="preserve">电话:                                    电话: </w:t>
      </w:r>
    </w:p>
    <w:p>
      <w:pPr>
        <w:autoSpaceDE w:val="0"/>
        <w:autoSpaceDN w:val="0"/>
        <w:spacing w:line="360" w:lineRule="auto"/>
        <w:outlineLvl w:val="9"/>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传真:                                    传真:</w:t>
      </w:r>
    </w:p>
    <w:p>
      <w:pPr>
        <w:autoSpaceDE w:val="0"/>
        <w:autoSpaceDN w:val="0"/>
        <w:spacing w:line="360" w:lineRule="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zh-CN"/>
        </w:rPr>
        <w:t>电子邮箱：                               电子邮箱：</w:t>
      </w:r>
    </w:p>
    <w:p>
      <w:pPr>
        <w:autoSpaceDE w:val="0"/>
        <w:autoSpaceDN w:val="0"/>
        <w:spacing w:line="360" w:lineRule="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开户银行：                               开户银行： </w:t>
      </w:r>
    </w:p>
    <w:p>
      <w:pPr>
        <w:autoSpaceDE w:val="0"/>
        <w:autoSpaceDN w:val="0"/>
        <w:spacing w:line="360" w:lineRule="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开户名称：                               开户名称： </w:t>
      </w:r>
    </w:p>
    <w:p>
      <w:pPr>
        <w:autoSpaceDE w:val="0"/>
        <w:autoSpaceDN w:val="0"/>
        <w:spacing w:line="360" w:lineRule="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i w:val="0"/>
          <w:iCs w:val="0"/>
          <w:color w:val="auto"/>
          <w:sz w:val="24"/>
          <w:szCs w:val="24"/>
          <w:highlight w:val="none"/>
        </w:rPr>
        <w:t>开户账号：</w:t>
      </w:r>
      <w:r>
        <w:rPr>
          <w:rFonts w:hint="eastAsia" w:ascii="宋体" w:hAnsi="宋体" w:eastAsia="宋体" w:cs="宋体"/>
          <w:i w:val="0"/>
          <w:iCs w:val="0"/>
          <w:color w:val="auto"/>
          <w:sz w:val="24"/>
          <w:szCs w:val="24"/>
          <w:highlight w:val="none"/>
          <w:lang w:val="zh-CN"/>
        </w:rPr>
        <w:t xml:space="preserve">                               </w:t>
      </w:r>
      <w:r>
        <w:rPr>
          <w:rFonts w:hint="eastAsia" w:ascii="宋体" w:hAnsi="宋体" w:eastAsia="宋体" w:cs="宋体"/>
          <w:i w:val="0"/>
          <w:iCs w:val="0"/>
          <w:color w:val="auto"/>
          <w:sz w:val="24"/>
          <w:szCs w:val="24"/>
          <w:highlight w:val="none"/>
        </w:rPr>
        <w:t>开户账号</w:t>
      </w:r>
      <w:bookmarkStart w:id="433" w:name="_Toc331685783"/>
      <w:r>
        <w:rPr>
          <w:rFonts w:hint="eastAsia" w:ascii="宋体" w:hAnsi="宋体" w:cs="宋体"/>
          <w:i w:val="0"/>
          <w:iCs w:val="0"/>
          <w:color w:val="auto"/>
          <w:sz w:val="24"/>
          <w:szCs w:val="24"/>
          <w:highlight w:val="none"/>
          <w:lang w:val="en-US" w:eastAsia="zh-CN"/>
        </w:rPr>
        <w:t>:</w:t>
      </w:r>
    </w:p>
    <w:p>
      <w:pPr>
        <w:spacing w:line="360" w:lineRule="auto"/>
        <w:outlineLvl w:val="9"/>
        <w:rPr>
          <w:rFonts w:hint="eastAsia" w:ascii="宋体" w:hAnsi="宋体" w:eastAsia="宋体" w:cs="宋体"/>
          <w:b/>
          <w:color w:val="auto"/>
          <w:sz w:val="24"/>
          <w:szCs w:val="24"/>
          <w:highlight w:val="none"/>
        </w:rPr>
      </w:pPr>
      <w:bookmarkStart w:id="434" w:name="_Toc18009"/>
      <w:r>
        <w:rPr>
          <w:rFonts w:hint="eastAsia" w:ascii="宋体" w:hAnsi="宋体" w:eastAsia="宋体" w:cs="宋体"/>
          <w:b/>
          <w:color w:val="auto"/>
          <w:sz w:val="24"/>
          <w:szCs w:val="24"/>
          <w:highlight w:val="none"/>
        </w:rPr>
        <w:br w:type="page"/>
      </w:r>
    </w:p>
    <w:p>
      <w:pPr>
        <w:pStyle w:val="701"/>
        <w:spacing w:after="0"/>
        <w:ind w:firstLine="602"/>
        <w:jc w:val="center"/>
        <w:outlineLvl w:val="9"/>
        <w:rPr>
          <w:rFonts w:hint="eastAsia" w:ascii="宋体" w:hAnsi="宋体" w:eastAsia="宋体" w:cs="宋体"/>
          <w:b/>
          <w:color w:val="auto"/>
          <w:sz w:val="24"/>
          <w:szCs w:val="24"/>
          <w:highlight w:val="none"/>
        </w:rPr>
      </w:pPr>
      <w:bookmarkStart w:id="435" w:name="_Toc15715"/>
      <w:bookmarkStart w:id="436" w:name="_Toc3723"/>
      <w:bookmarkStart w:id="437" w:name="_Toc12784"/>
      <w:r>
        <w:rPr>
          <w:rFonts w:hint="eastAsia" w:ascii="宋体" w:hAnsi="宋体" w:eastAsia="宋体" w:cs="宋体"/>
          <w:b/>
          <w:color w:val="auto"/>
          <w:sz w:val="24"/>
          <w:szCs w:val="24"/>
          <w:highlight w:val="none"/>
        </w:rPr>
        <w:t>第二部分 合同一般条款</w:t>
      </w:r>
      <w:bookmarkEnd w:id="433"/>
      <w:bookmarkEnd w:id="434"/>
      <w:bookmarkEnd w:id="435"/>
      <w:bookmarkEnd w:id="436"/>
      <w:bookmarkEnd w:id="437"/>
    </w:p>
    <w:p>
      <w:pPr>
        <w:spacing w:line="360" w:lineRule="auto"/>
        <w:ind w:firstLine="482" w:firstLineChars="200"/>
        <w:outlineLvl w:val="9"/>
        <w:rPr>
          <w:rFonts w:hint="eastAsia" w:ascii="宋体" w:hAnsi="宋体" w:eastAsia="宋体" w:cs="宋体"/>
          <w:b/>
          <w:color w:val="auto"/>
          <w:sz w:val="24"/>
          <w:szCs w:val="24"/>
          <w:highlight w:val="none"/>
        </w:rPr>
      </w:pPr>
      <w:bookmarkStart w:id="438" w:name="_Toc30741"/>
      <w:bookmarkStart w:id="439" w:name="_Toc18194"/>
      <w:bookmarkStart w:id="440" w:name="_Toc27770"/>
      <w:bookmarkStart w:id="441" w:name="_Toc8976"/>
      <w:r>
        <w:rPr>
          <w:rFonts w:hint="eastAsia" w:ascii="宋体" w:hAnsi="宋体" w:eastAsia="宋体" w:cs="宋体"/>
          <w:b/>
          <w:color w:val="auto"/>
          <w:sz w:val="24"/>
          <w:szCs w:val="24"/>
          <w:highlight w:val="none"/>
        </w:rPr>
        <w:t>2.1定义</w:t>
      </w:r>
      <w:bookmarkEnd w:id="438"/>
      <w:bookmarkEnd w:id="439"/>
      <w:bookmarkEnd w:id="440"/>
      <w:bookmarkEnd w:id="441"/>
    </w:p>
    <w:p>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本合同中的下列词语应按以下内容进行解释：</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2.1.1“合同”系指采购人和中标供应商签订的载明双方当事人所达成的协议，并包括所有的附件、附录和构成合同的其他文件。</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2.1.2“合同价”系指根据合同约定，中标供应商在完全履行合同义务后，采购人应支付给中标供应商的价格。</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2.1.3“货物”系指中标供应商根据合同约定应向采购人交付的一切各种形态和种类的物品，包括原材料、燃料、设备、机械、仪表、备件、计算机软件、产品等，并包括工具、手册等其他相关资料。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2.1.4“甲方”系指与中标供应商签署合同的采购人；采购人委托采购代理机构代表其与乙方签订合同的，采购人的授权委托书作为合同附件。</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2.1.6“现场”系指合同约定货物将要运至或者安装的地点。</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42" w:name="_Toc22191"/>
      <w:bookmarkStart w:id="443" w:name="_Toc8818"/>
      <w:bookmarkStart w:id="444" w:name="_Toc17417"/>
      <w:bookmarkStart w:id="445" w:name="_Toc19063"/>
      <w:r>
        <w:rPr>
          <w:rFonts w:hint="eastAsia" w:ascii="宋体" w:hAnsi="宋体" w:eastAsia="宋体" w:cs="宋体"/>
          <w:b/>
          <w:i w:val="0"/>
          <w:iCs w:val="0"/>
          <w:color w:val="auto"/>
          <w:sz w:val="24"/>
          <w:szCs w:val="24"/>
          <w:highlight w:val="none"/>
        </w:rPr>
        <w:t>2.2技术规范</w:t>
      </w:r>
      <w:bookmarkEnd w:id="442"/>
      <w:bookmarkEnd w:id="443"/>
      <w:bookmarkEnd w:id="444"/>
      <w:bookmarkEnd w:id="445"/>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货物所应遵守的技术规范应与采购文件规定的技术规范和技术规范附件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46" w:name="_Toc14647"/>
      <w:bookmarkStart w:id="447" w:name="_Toc22447"/>
      <w:bookmarkStart w:id="448" w:name="_Toc28628"/>
      <w:bookmarkStart w:id="449" w:name="_Toc21826"/>
      <w:r>
        <w:rPr>
          <w:rFonts w:hint="eastAsia" w:ascii="宋体" w:hAnsi="宋体" w:eastAsia="宋体" w:cs="宋体"/>
          <w:b/>
          <w:i w:val="0"/>
          <w:iCs w:val="0"/>
          <w:color w:val="auto"/>
          <w:sz w:val="24"/>
          <w:szCs w:val="24"/>
          <w:highlight w:val="none"/>
        </w:rPr>
        <w:t>2.3知识产权</w:t>
      </w:r>
      <w:bookmarkEnd w:id="446"/>
      <w:bookmarkEnd w:id="447"/>
      <w:bookmarkEnd w:id="448"/>
      <w:bookmarkEnd w:id="449"/>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2.3.2具有知识产权的计算机软件等货物的知识产权归属，详见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50" w:name="_Toc20119"/>
      <w:bookmarkStart w:id="451" w:name="_Toc9546"/>
      <w:bookmarkStart w:id="452" w:name="_Toc8844"/>
      <w:bookmarkStart w:id="453" w:name="_Toc25146"/>
      <w:r>
        <w:rPr>
          <w:rFonts w:hint="eastAsia" w:ascii="宋体" w:hAnsi="宋体" w:eastAsia="宋体" w:cs="宋体"/>
          <w:b/>
          <w:i w:val="0"/>
          <w:iCs w:val="0"/>
          <w:color w:val="auto"/>
          <w:sz w:val="24"/>
          <w:szCs w:val="24"/>
          <w:highlight w:val="none"/>
        </w:rPr>
        <w:t>2.4包装和装运</w:t>
      </w:r>
      <w:bookmarkEnd w:id="450"/>
      <w:bookmarkEnd w:id="451"/>
      <w:bookmarkEnd w:id="452"/>
      <w:bookmarkEnd w:id="453"/>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2.4.1除</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w:t>
      </w:r>
      <w:r>
        <w:rPr>
          <w:rFonts w:hint="eastAsia" w:ascii="宋体" w:hAnsi="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装运货物的要求和通知，详见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54" w:name="_Toc16282"/>
      <w:bookmarkStart w:id="455" w:name="_Toc22973"/>
      <w:bookmarkStart w:id="456" w:name="_Toc27205"/>
      <w:bookmarkStart w:id="457" w:name="_Toc30751"/>
      <w:r>
        <w:rPr>
          <w:rFonts w:hint="eastAsia" w:ascii="宋体" w:hAnsi="宋体" w:eastAsia="宋体" w:cs="宋体"/>
          <w:b/>
          <w:i w:val="0"/>
          <w:iCs w:val="0"/>
          <w:color w:val="auto"/>
          <w:sz w:val="24"/>
          <w:szCs w:val="24"/>
          <w:highlight w:val="none"/>
        </w:rPr>
        <w:t>2.5履约检查和问题反馈</w:t>
      </w:r>
      <w:bookmarkEnd w:id="454"/>
      <w:bookmarkEnd w:id="455"/>
      <w:bookmarkEnd w:id="456"/>
      <w:bookmarkEnd w:id="457"/>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2.5.1甲方有权在其认为必要时，对乙方是否能按照合同约定交付货物进行履约检查，以确保乙方所交付的货物能依约满足甲方之项目需求，但不得因履约检查妨碍乙方的正常工作，乙方应予积极配合；</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2.5.2合同履行期间，甲方有权将履行过程中出现的问题反馈给乙方，双方当事人应以书面形式约定需要完善和改进的内容。</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58" w:name="_Toc25760"/>
      <w:bookmarkStart w:id="459" w:name="_Toc31641"/>
      <w:bookmarkStart w:id="460" w:name="_Toc31162"/>
      <w:bookmarkStart w:id="461" w:name="_Toc6788"/>
      <w:r>
        <w:rPr>
          <w:rFonts w:hint="eastAsia" w:ascii="宋体" w:hAnsi="宋体" w:eastAsia="宋体" w:cs="宋体"/>
          <w:b/>
          <w:i w:val="0"/>
          <w:iCs w:val="0"/>
          <w:color w:val="auto"/>
          <w:sz w:val="24"/>
          <w:szCs w:val="24"/>
          <w:highlight w:val="none"/>
        </w:rPr>
        <w:t>2.6技术资料和保密义务</w:t>
      </w:r>
      <w:bookmarkEnd w:id="458"/>
      <w:bookmarkEnd w:id="459"/>
      <w:bookmarkEnd w:id="460"/>
      <w:bookmarkEnd w:id="461"/>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2.6.1乙方有权依据合同约定和项目需要，向甲方了解有关情况，调阅有关资料等，甲方应予积极配合；</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2.6.2乙方有义务妥善保管和保护由甲方提供的前款信息和资料等</w:t>
      </w:r>
      <w:r>
        <w:rPr>
          <w:rFonts w:hint="eastAsia" w:ascii="宋体" w:hAnsi="宋体" w:eastAsia="宋体" w:cs="宋体"/>
          <w:color w:val="auto"/>
          <w:sz w:val="24"/>
          <w:highlight w:val="none"/>
        </w:rPr>
        <w:t>，对在项目建设期间所获得的甲方的情报和资料有保密义务，泄漏秘密应承担的责任。不论本合同是否变更、解除、终止，本条款均有效</w:t>
      </w:r>
      <w:r>
        <w:rPr>
          <w:rFonts w:hint="eastAsia" w:ascii="宋体" w:hAnsi="宋体" w:eastAsia="宋体" w:cs="宋体"/>
          <w:i w:val="0"/>
          <w:iCs w:val="0"/>
          <w:color w:val="auto"/>
          <w:sz w:val="24"/>
          <w:szCs w:val="24"/>
          <w:highlight w:val="none"/>
        </w:rPr>
        <w:t>；</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62" w:name="_Toc10691"/>
      <w:bookmarkStart w:id="463" w:name="_Toc17581"/>
      <w:bookmarkStart w:id="464" w:name="_Toc18847"/>
      <w:bookmarkStart w:id="465" w:name="_Toc653"/>
      <w:r>
        <w:rPr>
          <w:rFonts w:hint="eastAsia" w:ascii="宋体" w:hAnsi="宋体" w:eastAsia="宋体" w:cs="宋体"/>
          <w:b/>
          <w:i w:val="0"/>
          <w:iCs w:val="0"/>
          <w:color w:val="auto"/>
          <w:sz w:val="24"/>
          <w:szCs w:val="24"/>
          <w:highlight w:val="none"/>
        </w:rPr>
        <w:t>2.7质量保证</w:t>
      </w:r>
      <w:bookmarkEnd w:id="462"/>
      <w:bookmarkEnd w:id="463"/>
      <w:bookmarkEnd w:id="464"/>
      <w:bookmarkEnd w:id="465"/>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2.7.1乙方应建立和完善履行合同的内部质量保证体系，并提供相关内部规章制度给甲方，以便甲方进行监督检查；</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2.7.2乙方应保证履行合同的人员数量和素质、软件和硬件设备的配置、场地、环境和设施等满足全面履行合同的要求，并应接受甲方的监督检查。</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66" w:name="_Toc6200"/>
      <w:bookmarkStart w:id="467" w:name="_Toc15327"/>
      <w:bookmarkStart w:id="468" w:name="_Toc12296"/>
      <w:bookmarkStart w:id="469" w:name="_Toc12362"/>
      <w:r>
        <w:rPr>
          <w:rFonts w:hint="eastAsia" w:ascii="宋体" w:hAnsi="宋体" w:eastAsia="宋体" w:cs="宋体"/>
          <w:b/>
          <w:i w:val="0"/>
          <w:iCs w:val="0"/>
          <w:color w:val="auto"/>
          <w:sz w:val="24"/>
          <w:szCs w:val="24"/>
          <w:highlight w:val="none"/>
        </w:rPr>
        <w:t>2.8货物的风险负担</w:t>
      </w:r>
      <w:bookmarkEnd w:id="466"/>
      <w:bookmarkEnd w:id="467"/>
      <w:bookmarkEnd w:id="468"/>
      <w:bookmarkEnd w:id="469"/>
    </w:p>
    <w:p>
      <w:pPr>
        <w:spacing w:line="360" w:lineRule="auto"/>
        <w:ind w:firstLine="480" w:firstLineChars="200"/>
        <w:outlineLvl w:val="9"/>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货物或者在途货物或者交付给第一承运人后的货物毁损、灭失的风险负担详见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pPr>
        <w:spacing w:line="360" w:lineRule="auto"/>
        <w:ind w:firstLine="482" w:firstLineChars="200"/>
        <w:outlineLvl w:val="9"/>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2.9延迟</w:t>
      </w:r>
      <w:r>
        <w:rPr>
          <w:rFonts w:hint="eastAsia" w:ascii="宋体" w:hAnsi="宋体" w:cs="宋体"/>
          <w:b/>
          <w:i w:val="0"/>
          <w:iCs w:val="0"/>
          <w:color w:val="auto"/>
          <w:sz w:val="24"/>
          <w:szCs w:val="24"/>
          <w:highlight w:val="none"/>
          <w:lang w:val="en-US" w:eastAsia="zh-CN"/>
        </w:rPr>
        <w:t>履行</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在合同履行过程中，如果乙方遇到不能按时交付货物</w:t>
      </w:r>
      <w:r>
        <w:rPr>
          <w:rFonts w:hint="eastAsia" w:ascii="宋体" w:hAnsi="宋体" w:cs="宋体"/>
          <w:i w:val="0"/>
          <w:iCs w:val="0"/>
          <w:color w:val="auto"/>
          <w:sz w:val="24"/>
          <w:szCs w:val="24"/>
          <w:highlight w:val="none"/>
          <w:lang w:val="en-US" w:eastAsia="zh-CN"/>
        </w:rPr>
        <w:t>或完成安装调试</w:t>
      </w:r>
      <w:r>
        <w:rPr>
          <w:rFonts w:hint="eastAsia" w:ascii="宋体" w:hAnsi="宋体" w:eastAsia="宋体" w:cs="宋体"/>
          <w:i w:val="0"/>
          <w:iCs w:val="0"/>
          <w:color w:val="auto"/>
          <w:sz w:val="24"/>
          <w:szCs w:val="24"/>
          <w:highlight w:val="none"/>
        </w:rPr>
        <w:t>的情况，应及时以书面形式将不能按时交付货物</w:t>
      </w:r>
      <w:r>
        <w:rPr>
          <w:rFonts w:hint="eastAsia" w:ascii="宋体" w:hAnsi="宋体" w:cs="宋体"/>
          <w:i w:val="0"/>
          <w:iCs w:val="0"/>
          <w:color w:val="auto"/>
          <w:sz w:val="24"/>
          <w:szCs w:val="24"/>
          <w:highlight w:val="none"/>
          <w:lang w:val="en-US" w:eastAsia="zh-CN"/>
        </w:rPr>
        <w:t>或完成安装调试</w:t>
      </w:r>
      <w:r>
        <w:rPr>
          <w:rFonts w:hint="eastAsia" w:ascii="宋体" w:hAnsi="宋体" w:eastAsia="宋体" w:cs="宋体"/>
          <w:i w:val="0"/>
          <w:iCs w:val="0"/>
          <w:color w:val="auto"/>
          <w:sz w:val="24"/>
          <w:szCs w:val="24"/>
          <w:highlight w:val="none"/>
        </w:rPr>
        <w:t>的理由、预期延误时间通知甲方；甲方收到乙方通知后，认为其理由正当的，可以书面形式酌情同意乙方可以延长交货</w:t>
      </w:r>
      <w:r>
        <w:rPr>
          <w:rFonts w:hint="eastAsia" w:ascii="宋体" w:hAnsi="宋体" w:cs="宋体"/>
          <w:i w:val="0"/>
          <w:iCs w:val="0"/>
          <w:color w:val="auto"/>
          <w:sz w:val="24"/>
          <w:szCs w:val="24"/>
          <w:highlight w:val="none"/>
          <w:lang w:val="en-US" w:eastAsia="zh-CN"/>
        </w:rPr>
        <w:t>或完成安装调试</w:t>
      </w:r>
      <w:r>
        <w:rPr>
          <w:rFonts w:hint="eastAsia" w:ascii="宋体" w:hAnsi="宋体" w:eastAsia="宋体" w:cs="宋体"/>
          <w:i w:val="0"/>
          <w:iCs w:val="0"/>
          <w:color w:val="auto"/>
          <w:sz w:val="24"/>
          <w:szCs w:val="24"/>
          <w:highlight w:val="none"/>
        </w:rPr>
        <w:t>的具体时间。</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70" w:name="_Toc15202"/>
      <w:bookmarkStart w:id="471" w:name="_Toc15776"/>
      <w:bookmarkStart w:id="472" w:name="_Toc20573"/>
      <w:bookmarkStart w:id="473" w:name="_Toc31597"/>
      <w:r>
        <w:rPr>
          <w:rFonts w:hint="eastAsia" w:ascii="宋体" w:hAnsi="宋体" w:eastAsia="宋体" w:cs="宋体"/>
          <w:b/>
          <w:i w:val="0"/>
          <w:iCs w:val="0"/>
          <w:color w:val="auto"/>
          <w:sz w:val="24"/>
          <w:szCs w:val="24"/>
          <w:highlight w:val="none"/>
        </w:rPr>
        <w:t>2.10合同变更</w:t>
      </w:r>
      <w:bookmarkEnd w:id="470"/>
      <w:bookmarkEnd w:id="471"/>
      <w:bookmarkEnd w:id="472"/>
      <w:bookmarkEnd w:id="473"/>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74" w:name="_Toc23040"/>
      <w:bookmarkStart w:id="475" w:name="_Toc31065"/>
      <w:bookmarkStart w:id="476" w:name="_Toc32095"/>
      <w:bookmarkStart w:id="477" w:name="_Toc31135"/>
      <w:r>
        <w:rPr>
          <w:rFonts w:hint="eastAsia" w:ascii="宋体" w:hAnsi="宋体" w:eastAsia="宋体" w:cs="宋体"/>
          <w:b/>
          <w:i w:val="0"/>
          <w:iCs w:val="0"/>
          <w:color w:val="auto"/>
          <w:sz w:val="24"/>
          <w:szCs w:val="24"/>
          <w:highlight w:val="none"/>
        </w:rPr>
        <w:t>2.11合同转让和分包</w:t>
      </w:r>
      <w:bookmarkEnd w:id="474"/>
      <w:bookmarkEnd w:id="475"/>
      <w:bookmarkEnd w:id="476"/>
      <w:bookmarkEnd w:id="477"/>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2.11.2乙方采取分包方式履行合同的，甲方可直接向分包供应商支付款项。</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78" w:name="_Toc32503"/>
      <w:bookmarkStart w:id="479" w:name="_Toc11161"/>
      <w:bookmarkStart w:id="480" w:name="_Toc21890"/>
      <w:bookmarkStart w:id="481" w:name="_Toc24055"/>
      <w:r>
        <w:rPr>
          <w:rFonts w:hint="eastAsia" w:ascii="宋体" w:hAnsi="宋体" w:eastAsia="宋体" w:cs="宋体"/>
          <w:b/>
          <w:i w:val="0"/>
          <w:iCs w:val="0"/>
          <w:color w:val="auto"/>
          <w:sz w:val="24"/>
          <w:szCs w:val="24"/>
          <w:highlight w:val="none"/>
        </w:rPr>
        <w:t>2.12不可抗力</w:t>
      </w:r>
      <w:bookmarkEnd w:id="478"/>
      <w:bookmarkEnd w:id="479"/>
      <w:bookmarkEnd w:id="480"/>
      <w:bookmarkEnd w:id="481"/>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2.12.1如果任何一方遭遇法律规定的不可抗力，致使合同履行受阻时，履行合同的期限应予延长，延长的期限应相当于不可抗力所影响的时间；</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2.12.2因不可抗力致使不能实现合同目的的，当事人可以解除合同</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双方互不负违约责任，但在一方迟延履行期间发生不可抗力的，不免除迟延履行一方的责任</w:t>
      </w:r>
      <w:r>
        <w:rPr>
          <w:rFonts w:hint="eastAsia" w:ascii="宋体" w:hAnsi="宋体" w:eastAsia="宋体" w:cs="宋体"/>
          <w:i w:val="0"/>
          <w:iCs w:val="0"/>
          <w:color w:val="auto"/>
          <w:sz w:val="24"/>
          <w:szCs w:val="24"/>
          <w:highlight w:val="none"/>
        </w:rPr>
        <w:t>；</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2.12.3因不可抗力致使合同有变更必要的，双方当事人应在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约定时间内以书面形式变更合同；</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2.12.4受不可抗力影响的一方在不可抗力发生后，应在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约定时间内以书面形式通知对方当事人，并在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约定时间内，将有关部门出具的证明文件送达对方当事人。</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82" w:name="_Toc8211"/>
      <w:bookmarkStart w:id="483" w:name="_Toc31945"/>
      <w:bookmarkStart w:id="484" w:name="_Toc369"/>
      <w:bookmarkStart w:id="485" w:name="_Toc5101"/>
      <w:r>
        <w:rPr>
          <w:rFonts w:hint="eastAsia" w:ascii="宋体" w:hAnsi="宋体" w:eastAsia="宋体" w:cs="宋体"/>
          <w:b/>
          <w:i w:val="0"/>
          <w:iCs w:val="0"/>
          <w:color w:val="auto"/>
          <w:sz w:val="24"/>
          <w:szCs w:val="24"/>
          <w:highlight w:val="none"/>
        </w:rPr>
        <w:t>2.13税费</w:t>
      </w:r>
      <w:bookmarkEnd w:id="482"/>
      <w:bookmarkEnd w:id="483"/>
      <w:bookmarkEnd w:id="484"/>
      <w:bookmarkEnd w:id="485"/>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与合同有关的一切税费，均按照中华人民共和国法律的相关规定。</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86" w:name="_Toc23665"/>
      <w:bookmarkStart w:id="487" w:name="_Toc26161"/>
      <w:bookmarkStart w:id="488" w:name="_Toc11907"/>
      <w:bookmarkStart w:id="489" w:name="_Toc8678"/>
      <w:r>
        <w:rPr>
          <w:rFonts w:hint="eastAsia" w:ascii="宋体" w:hAnsi="宋体" w:eastAsia="宋体" w:cs="宋体"/>
          <w:b/>
          <w:i w:val="0"/>
          <w:iCs w:val="0"/>
          <w:color w:val="auto"/>
          <w:sz w:val="24"/>
          <w:szCs w:val="24"/>
          <w:highlight w:val="none"/>
        </w:rPr>
        <w:t>2.14乙方破产</w:t>
      </w:r>
      <w:bookmarkEnd w:id="486"/>
      <w:bookmarkEnd w:id="487"/>
      <w:bookmarkEnd w:id="488"/>
      <w:bookmarkEnd w:id="489"/>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90" w:name="_Toc2188"/>
      <w:bookmarkStart w:id="491" w:name="_Toc331"/>
      <w:bookmarkStart w:id="492" w:name="_Toc5721"/>
      <w:bookmarkStart w:id="493" w:name="_Toc5760"/>
      <w:r>
        <w:rPr>
          <w:rFonts w:hint="eastAsia" w:ascii="宋体" w:hAnsi="宋体" w:eastAsia="宋体" w:cs="宋体"/>
          <w:b/>
          <w:i w:val="0"/>
          <w:iCs w:val="0"/>
          <w:color w:val="auto"/>
          <w:sz w:val="24"/>
          <w:szCs w:val="24"/>
          <w:highlight w:val="none"/>
        </w:rPr>
        <w:t>2.15合同中止、终止</w:t>
      </w:r>
      <w:bookmarkEnd w:id="490"/>
      <w:bookmarkEnd w:id="491"/>
      <w:bookmarkEnd w:id="492"/>
      <w:bookmarkEnd w:id="493"/>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2.15.1双方当事人不得擅自中止或者终止合同；</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94" w:name="_Toc30296"/>
      <w:bookmarkStart w:id="495" w:name="_Toc20378"/>
      <w:bookmarkStart w:id="496" w:name="_Toc27191"/>
      <w:bookmarkStart w:id="497" w:name="_Toc11922"/>
      <w:r>
        <w:rPr>
          <w:rFonts w:hint="eastAsia" w:ascii="宋体" w:hAnsi="宋体" w:eastAsia="宋体" w:cs="宋体"/>
          <w:b/>
          <w:i w:val="0"/>
          <w:iCs w:val="0"/>
          <w:color w:val="auto"/>
          <w:sz w:val="24"/>
          <w:szCs w:val="24"/>
          <w:highlight w:val="none"/>
        </w:rPr>
        <w:t>2.16检验和验收</w:t>
      </w:r>
      <w:bookmarkEnd w:id="494"/>
      <w:bookmarkEnd w:id="495"/>
      <w:bookmarkEnd w:id="496"/>
      <w:bookmarkEnd w:id="497"/>
    </w:p>
    <w:p>
      <w:pPr>
        <w:tabs>
          <w:tab w:val="left" w:pos="360"/>
          <w:tab w:val="left" w:pos="540"/>
          <w:tab w:val="left" w:pos="1080"/>
        </w:tabs>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2.16.1货物交付前，乙方应对货物的质量、数量等方面进行详细、全面的检验，并向甲方出具证明货物符合合同约定的文件；货物交付时，乙方在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约定时间内组织</w:t>
      </w:r>
      <w:r>
        <w:rPr>
          <w:rFonts w:hint="eastAsia" w:ascii="宋体" w:hAnsi="宋体" w:cs="宋体"/>
          <w:i w:val="0"/>
          <w:iCs w:val="0"/>
          <w:color w:val="auto"/>
          <w:sz w:val="24"/>
          <w:szCs w:val="24"/>
          <w:highlight w:val="none"/>
          <w:lang w:val="en-US" w:eastAsia="zh-CN"/>
        </w:rPr>
        <w:t>初步</w:t>
      </w:r>
      <w:r>
        <w:rPr>
          <w:rFonts w:hint="eastAsia" w:ascii="宋体" w:hAnsi="宋体" w:eastAsia="宋体" w:cs="宋体"/>
          <w:i w:val="0"/>
          <w:iCs w:val="0"/>
          <w:color w:val="auto"/>
          <w:sz w:val="24"/>
          <w:szCs w:val="24"/>
          <w:highlight w:val="none"/>
        </w:rPr>
        <w:t>验收，并可依法邀请相关方参加，验收应出具验收书。</w:t>
      </w:r>
    </w:p>
    <w:p>
      <w:pPr>
        <w:tabs>
          <w:tab w:val="left" w:pos="360"/>
          <w:tab w:val="left" w:pos="540"/>
          <w:tab w:val="left" w:pos="1080"/>
        </w:tabs>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2.16.2合同期满或者履行完毕后，甲方有权组织（包括依法邀请国家认可的质量检测机构参加）对乙方履约的</w:t>
      </w:r>
      <w:r>
        <w:rPr>
          <w:rFonts w:hint="eastAsia" w:ascii="宋体" w:hAnsi="宋体" w:cs="宋体"/>
          <w:i w:val="0"/>
          <w:iCs w:val="0"/>
          <w:color w:val="auto"/>
          <w:sz w:val="24"/>
          <w:szCs w:val="24"/>
          <w:highlight w:val="none"/>
          <w:lang w:val="en-US" w:eastAsia="zh-CN"/>
        </w:rPr>
        <w:t>最终</w:t>
      </w:r>
      <w:r>
        <w:rPr>
          <w:rFonts w:hint="eastAsia" w:ascii="宋体" w:hAnsi="宋体" w:eastAsia="宋体" w:cs="宋体"/>
          <w:i w:val="0"/>
          <w:iCs w:val="0"/>
          <w:color w:val="auto"/>
          <w:sz w:val="24"/>
          <w:szCs w:val="24"/>
          <w:highlight w:val="none"/>
        </w:rPr>
        <w:t>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2.16.3检验和验收标准、程序等具体内容以及前述验收书具有同等法律效力，以上内容有冲突时以较严格的要求为准。</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498" w:name="_Toc20590"/>
      <w:bookmarkStart w:id="499" w:name="_Toc55"/>
      <w:bookmarkStart w:id="500" w:name="_Toc2916"/>
      <w:bookmarkStart w:id="501" w:name="_Toc8681"/>
      <w:r>
        <w:rPr>
          <w:rFonts w:hint="eastAsia" w:ascii="宋体" w:hAnsi="宋体" w:eastAsia="宋体" w:cs="宋体"/>
          <w:b/>
          <w:i w:val="0"/>
          <w:iCs w:val="0"/>
          <w:color w:val="auto"/>
          <w:sz w:val="24"/>
          <w:szCs w:val="24"/>
          <w:highlight w:val="none"/>
        </w:rPr>
        <w:t>2.17通知和送达</w:t>
      </w:r>
      <w:bookmarkEnd w:id="498"/>
      <w:bookmarkEnd w:id="499"/>
      <w:bookmarkEnd w:id="500"/>
      <w:bookmarkEnd w:id="501"/>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2.17.1任何一方因履行合同而以合同第一部分尾部所列明的传真或电子邮件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发出的所有通知、文件、材料，均视为已向对方当事人送达；任何一方变更上述送达方式或者地址的，应于</w:t>
      </w:r>
      <w:r>
        <w:rPr>
          <w:rFonts w:hint="eastAsia" w:ascii="宋体" w:hAnsi="宋体" w:eastAsia="宋体" w:cs="宋体"/>
          <w:i w:val="0"/>
          <w:iCs w:val="0"/>
          <w:color w:val="auto"/>
          <w:sz w:val="24"/>
          <w:szCs w:val="24"/>
          <w:highlight w:val="none"/>
          <w:u w:val="single"/>
        </w:rPr>
        <w:t>3</w:t>
      </w:r>
      <w:r>
        <w:rPr>
          <w:rFonts w:hint="eastAsia" w:ascii="宋体" w:hAnsi="宋体" w:eastAsia="宋体" w:cs="宋体"/>
          <w:i w:val="0"/>
          <w:iCs w:val="0"/>
          <w:color w:val="auto"/>
          <w:sz w:val="24"/>
          <w:szCs w:val="24"/>
          <w:highlight w:val="none"/>
        </w:rPr>
        <w:t>个工作日内书面通知对方当事人，在对方当事人收到有关变更通知之前，变更前的约定送达方式或者地址仍视为有效。</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502" w:name="_Toc3481"/>
      <w:bookmarkStart w:id="503" w:name="_Toc13274"/>
      <w:bookmarkStart w:id="504" w:name="_Toc2450"/>
      <w:bookmarkStart w:id="505" w:name="_Toc7800"/>
      <w:r>
        <w:rPr>
          <w:rFonts w:hint="eastAsia" w:ascii="宋体" w:hAnsi="宋体" w:eastAsia="宋体" w:cs="宋体"/>
          <w:b/>
          <w:i w:val="0"/>
          <w:iCs w:val="0"/>
          <w:color w:val="auto"/>
          <w:sz w:val="24"/>
          <w:szCs w:val="24"/>
          <w:highlight w:val="none"/>
        </w:rPr>
        <w:t>2.18计量单位</w:t>
      </w:r>
      <w:bookmarkEnd w:id="502"/>
      <w:bookmarkEnd w:id="503"/>
      <w:bookmarkEnd w:id="504"/>
      <w:bookmarkEnd w:id="505"/>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除技术规范中另有规定外,合同的计量单位均使用国家法定计量单位。</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506" w:name="_Toc17719"/>
      <w:bookmarkStart w:id="507" w:name="_Toc15083"/>
      <w:bookmarkStart w:id="508" w:name="_Toc11054"/>
      <w:bookmarkStart w:id="509" w:name="_Toc29246"/>
      <w:r>
        <w:rPr>
          <w:rFonts w:hint="eastAsia" w:ascii="宋体" w:hAnsi="宋体" w:eastAsia="宋体" w:cs="宋体"/>
          <w:b/>
          <w:i w:val="0"/>
          <w:iCs w:val="0"/>
          <w:color w:val="auto"/>
          <w:sz w:val="24"/>
          <w:szCs w:val="24"/>
          <w:highlight w:val="none"/>
        </w:rPr>
        <w:t>2.19合同使用的文字和适用的法律</w:t>
      </w:r>
      <w:bookmarkEnd w:id="506"/>
      <w:bookmarkEnd w:id="507"/>
      <w:bookmarkEnd w:id="508"/>
      <w:bookmarkEnd w:id="509"/>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2.19.1合同使用汉语书就、变更和解释；</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2.19.2合同适用中华人民共和国法律。</w:t>
      </w:r>
    </w:p>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510" w:name="_Toc9143"/>
      <w:bookmarkStart w:id="511" w:name="_Toc27937"/>
      <w:bookmarkStart w:id="512" w:name="_Toc3148"/>
      <w:bookmarkStart w:id="513" w:name="_Toc259093693"/>
      <w:bookmarkStart w:id="514" w:name="_Toc16673"/>
      <w:bookmarkStart w:id="515" w:name="_Toc27938"/>
      <w:bookmarkStart w:id="516" w:name="_Toc279701264"/>
      <w:bookmarkStart w:id="517" w:name="_Toc12004"/>
      <w:bookmarkStart w:id="518" w:name="_Toc10382"/>
      <w:bookmarkStart w:id="519" w:name="_Toc487900374"/>
      <w:r>
        <w:rPr>
          <w:rFonts w:hint="eastAsia" w:ascii="宋体" w:hAnsi="宋体" w:eastAsia="宋体" w:cs="宋体"/>
          <w:b/>
          <w:i w:val="0"/>
          <w:iCs w:val="0"/>
          <w:color w:val="auto"/>
          <w:sz w:val="24"/>
          <w:szCs w:val="24"/>
          <w:highlight w:val="none"/>
        </w:rPr>
        <w:t>2.20履约保证金</w:t>
      </w:r>
      <w:bookmarkEnd w:id="510"/>
      <w:bookmarkEnd w:id="511"/>
      <w:bookmarkEnd w:id="512"/>
      <w:bookmarkEnd w:id="513"/>
      <w:bookmarkEnd w:id="514"/>
      <w:bookmarkEnd w:id="515"/>
      <w:bookmarkEnd w:id="516"/>
      <w:bookmarkEnd w:id="517"/>
      <w:bookmarkEnd w:id="518"/>
    </w:p>
    <w:p>
      <w:pPr>
        <w:pStyle w:val="959"/>
        <w:spacing w:before="0" w:beforeAutospacing="0" w:after="0" w:afterAutospacing="0" w:line="360" w:lineRule="auto"/>
        <w:ind w:firstLine="42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2.20.1采购文件要求乙方提交履约保证金的，乙方应按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2.20.2履约保证金在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约定期间内不予退还。乙方在前述约定期间届满前能履行完合同约定义务事项的，甲方在前述约定期间届满之日起</w:t>
      </w:r>
      <w:r>
        <w:rPr>
          <w:rFonts w:hint="eastAsia" w:ascii="宋体" w:hAnsi="宋体" w:eastAsia="宋体" w:cs="宋体"/>
          <w:i w:val="0"/>
          <w:iCs w:val="0"/>
          <w:color w:val="auto"/>
          <w:sz w:val="24"/>
          <w:szCs w:val="24"/>
          <w:highlight w:val="none"/>
          <w:u w:val="single"/>
        </w:rPr>
        <w:t xml:space="preserve"> 5 </w:t>
      </w:r>
      <w:r>
        <w:rPr>
          <w:rFonts w:hint="eastAsia" w:ascii="宋体" w:hAnsi="宋体" w:eastAsia="宋体" w:cs="宋体"/>
          <w:i w:val="0"/>
          <w:iCs w:val="0"/>
          <w:color w:val="auto"/>
          <w:sz w:val="24"/>
          <w:szCs w:val="24"/>
          <w:highlight w:val="none"/>
        </w:rPr>
        <w:t>个工作日内，按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约定的方式将履约保证金退还乙方，逾期退还的，乙方可要求甲方支付违约金，违约金按每迟延退还一日的应退还而未退还金额的</w:t>
      </w:r>
      <w:r>
        <w:rPr>
          <w:rFonts w:hint="eastAsia" w:ascii="宋体" w:hAnsi="宋体" w:eastAsia="宋体" w:cs="宋体"/>
          <w:i w:val="0"/>
          <w:iCs w:val="0"/>
          <w:color w:val="auto"/>
          <w:sz w:val="24"/>
          <w:szCs w:val="24"/>
          <w:highlight w:val="none"/>
          <w:u w:val="single"/>
        </w:rPr>
        <w:t xml:space="preserve">  0.05  </w:t>
      </w:r>
      <w:r>
        <w:rPr>
          <w:rFonts w:hint="eastAsia" w:ascii="宋体" w:hAnsi="宋体" w:eastAsia="宋体" w:cs="宋体"/>
          <w:i w:val="0"/>
          <w:iCs w:val="0"/>
          <w:color w:val="auto"/>
          <w:sz w:val="24"/>
          <w:szCs w:val="24"/>
          <w:highlight w:val="none"/>
        </w:rPr>
        <w:t>%计算，最高限额为本合同履约保证金的</w:t>
      </w:r>
      <w:r>
        <w:rPr>
          <w:rFonts w:hint="eastAsia" w:ascii="宋体" w:hAnsi="宋体" w:eastAsia="宋体" w:cs="宋体"/>
          <w:i w:val="0"/>
          <w:iCs w:val="0"/>
          <w:color w:val="auto"/>
          <w:sz w:val="24"/>
          <w:szCs w:val="24"/>
          <w:highlight w:val="none"/>
          <w:u w:val="single"/>
        </w:rPr>
        <w:t xml:space="preserve">  20   </w:t>
      </w:r>
      <w:r>
        <w:rPr>
          <w:rFonts w:hint="eastAsia" w:ascii="宋体" w:hAnsi="宋体" w:eastAsia="宋体" w:cs="宋体"/>
          <w:i w:val="0"/>
          <w:iCs w:val="0"/>
          <w:color w:val="auto"/>
          <w:sz w:val="24"/>
          <w:szCs w:val="24"/>
          <w:highlight w:val="none"/>
        </w:rPr>
        <w:t>%；</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2.20.3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2.20.4甲方根据杭州市政府采购网公布的供应商履约评价情况减免履约保证金。乙方履约验收评价总分为100分的，甲方免收履约保证金；评价总分在90分以上的，收取履约保证金为合同金额0.5%；评价总分在不满90分或者暂无评分的，收取履约保证金为合同金额1%。</w:t>
      </w:r>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2.20.5甲方在乙方履行完合同约定义务事项后及时退还，延迟退还的，应当按照合同约定和法律规定承担相应的赔偿责任。</w:t>
      </w:r>
    </w:p>
    <w:p>
      <w:pPr>
        <w:spacing w:line="360" w:lineRule="auto"/>
        <w:ind w:firstLine="482"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2.21</w:t>
      </w:r>
      <w:r>
        <w:rPr>
          <w:rFonts w:hint="eastAsia" w:ascii="宋体" w:hAnsi="宋体" w:eastAsia="宋体" w:cs="宋体"/>
          <w:i w:val="0"/>
          <w:iCs w:val="0"/>
          <w:color w:val="auto"/>
          <w:sz w:val="24"/>
          <w:szCs w:val="24"/>
          <w:highlight w:val="none"/>
        </w:rPr>
        <w:t>对于因甲方原因导致变更、中止或者终止政府采购合同的，甲方应当依照合同约定对供应商受到的损失予以赔偿或者补偿。</w:t>
      </w:r>
    </w:p>
    <w:bookmarkEnd w:id="519"/>
    <w:p>
      <w:pPr>
        <w:spacing w:line="360" w:lineRule="auto"/>
        <w:ind w:firstLine="482" w:firstLineChars="200"/>
        <w:outlineLvl w:val="9"/>
        <w:rPr>
          <w:rFonts w:hint="eastAsia" w:ascii="宋体" w:hAnsi="宋体" w:eastAsia="宋体" w:cs="宋体"/>
          <w:b/>
          <w:i w:val="0"/>
          <w:iCs w:val="0"/>
          <w:color w:val="auto"/>
          <w:sz w:val="24"/>
          <w:szCs w:val="24"/>
          <w:highlight w:val="none"/>
        </w:rPr>
      </w:pPr>
      <w:bookmarkStart w:id="520" w:name="_Toc21618"/>
      <w:bookmarkStart w:id="521" w:name="_Toc2707"/>
      <w:bookmarkStart w:id="522" w:name="_Toc3227"/>
      <w:bookmarkStart w:id="523" w:name="_Toc5301"/>
      <w:r>
        <w:rPr>
          <w:rFonts w:hint="eastAsia" w:ascii="宋体" w:hAnsi="宋体" w:eastAsia="宋体" w:cs="宋体"/>
          <w:b/>
          <w:i w:val="0"/>
          <w:iCs w:val="0"/>
          <w:color w:val="auto"/>
          <w:sz w:val="24"/>
          <w:szCs w:val="24"/>
          <w:highlight w:val="none"/>
        </w:rPr>
        <w:t>2.22合同份数</w:t>
      </w:r>
      <w:bookmarkEnd w:id="520"/>
      <w:bookmarkEnd w:id="521"/>
      <w:bookmarkEnd w:id="522"/>
      <w:bookmarkEnd w:id="523"/>
    </w:p>
    <w:p>
      <w:pPr>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合同份数按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规定，每份均具有同等法律效力。</w:t>
      </w:r>
    </w:p>
    <w:p>
      <w:pPr>
        <w:pStyle w:val="701"/>
        <w:spacing w:after="0"/>
        <w:ind w:left="0" w:leftChars="0" w:firstLine="0" w:firstLineChars="0"/>
        <w:jc w:val="center"/>
        <w:outlineLvl w:val="9"/>
        <w:rPr>
          <w:rFonts w:hint="eastAsia" w:ascii="宋体" w:hAnsi="宋体" w:eastAsia="宋体" w:cs="宋体"/>
          <w:b/>
          <w:color w:val="auto"/>
          <w:sz w:val="24"/>
          <w:szCs w:val="24"/>
          <w:highlight w:val="none"/>
        </w:rPr>
      </w:pPr>
      <w:r>
        <w:rPr>
          <w:rFonts w:hint="eastAsia" w:ascii="宋体" w:hAnsi="宋体" w:eastAsia="宋体" w:cs="宋体"/>
          <w:i w:val="0"/>
          <w:iCs w:val="0"/>
          <w:color w:val="auto"/>
          <w:kern w:val="0"/>
          <w:sz w:val="24"/>
          <w:szCs w:val="24"/>
          <w:highlight w:val="none"/>
        </w:rPr>
        <w:br w:type="page"/>
      </w:r>
      <w:bookmarkStart w:id="524" w:name="_Toc24383"/>
      <w:bookmarkStart w:id="525" w:name="_Toc6622"/>
      <w:bookmarkStart w:id="526" w:name="_Toc2409"/>
      <w:bookmarkStart w:id="527" w:name="_Toc25969"/>
      <w:r>
        <w:rPr>
          <w:rFonts w:hint="eastAsia" w:ascii="宋体" w:hAnsi="宋体" w:eastAsia="宋体" w:cs="宋体"/>
          <w:b/>
          <w:color w:val="auto"/>
          <w:sz w:val="24"/>
          <w:szCs w:val="24"/>
          <w:highlight w:val="none"/>
        </w:rPr>
        <w:t>第三部分  合同专用条款</w:t>
      </w:r>
      <w:bookmarkEnd w:id="524"/>
      <w:bookmarkEnd w:id="525"/>
      <w:bookmarkEnd w:id="526"/>
      <w:bookmarkEnd w:id="527"/>
    </w:p>
    <w:p>
      <w:pPr>
        <w:spacing w:line="360" w:lineRule="auto"/>
        <w:ind w:left="-420" w:leftChars="-200" w:right="-420" w:rightChars="-20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5"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8276" w:type="dxa"/>
            <w:vAlign w:val="center"/>
          </w:tcPr>
          <w:p>
            <w:pPr>
              <w:spacing w:line="360" w:lineRule="auto"/>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cs="宋体"/>
                <w:color w:val="auto"/>
                <w:sz w:val="24"/>
                <w:szCs w:val="24"/>
                <w:highlight w:val="none"/>
                <w:lang w:val="en-US" w:eastAsia="zh-CN"/>
              </w:rPr>
              <w:t>2</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▲资金支付的方式、时间和条件：</w:t>
            </w:r>
          </w:p>
          <w:p>
            <w:pPr>
              <w:spacing w:line="360" w:lineRule="auto"/>
              <w:ind w:firstLine="240" w:firstLineChars="100"/>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合同签订后</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并提供对应金额的预付款保函后</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支付至合同总金额的</w:t>
            </w:r>
            <w:r>
              <w:rPr>
                <w:rFonts w:hint="eastAsia" w:ascii="宋体" w:hAnsi="宋体" w:cs="宋体"/>
                <w:color w:val="auto"/>
                <w:kern w:val="0"/>
                <w:sz w:val="24"/>
                <w:szCs w:val="24"/>
                <w:highlight w:val="none"/>
                <w:lang w:val="en-US" w:eastAsia="zh-CN"/>
              </w:rPr>
              <w:t>50</w:t>
            </w:r>
            <w:r>
              <w:rPr>
                <w:rFonts w:hint="eastAsia" w:ascii="宋体" w:hAnsi="宋体" w:eastAsia="宋体" w:cs="宋体"/>
                <w:color w:val="auto"/>
                <w:kern w:val="0"/>
                <w:sz w:val="24"/>
                <w:szCs w:val="24"/>
                <w:highlight w:val="none"/>
              </w:rPr>
              <w:t>%作为预付款，</w:t>
            </w:r>
            <w:r>
              <w:rPr>
                <w:rFonts w:hint="eastAsia" w:ascii="宋体" w:hAnsi="宋体" w:cs="宋体"/>
                <w:color w:val="auto"/>
                <w:kern w:val="0"/>
                <w:sz w:val="24"/>
                <w:szCs w:val="24"/>
                <w:highlight w:val="none"/>
                <w:lang w:val="en-US" w:eastAsia="zh-CN"/>
              </w:rPr>
              <w:t>项目第二阶段</w:t>
            </w:r>
            <w:r>
              <w:rPr>
                <w:rFonts w:hint="eastAsia" w:ascii="宋体" w:hAnsi="宋体" w:eastAsia="宋体" w:cs="宋体"/>
                <w:color w:val="auto"/>
                <w:kern w:val="0"/>
                <w:sz w:val="24"/>
                <w:szCs w:val="24"/>
                <w:highlight w:val="none"/>
              </w:rPr>
              <w:t>验收合格支付至合同总金额的</w:t>
            </w:r>
            <w:r>
              <w:rPr>
                <w:rFonts w:hint="eastAsia" w:ascii="宋体" w:hAnsi="宋体" w:eastAsia="宋体" w:cs="宋体"/>
                <w:color w:val="auto"/>
                <w:kern w:val="0"/>
                <w:sz w:val="24"/>
                <w:szCs w:val="24"/>
                <w:highlight w:val="none"/>
                <w:lang w:val="en-US" w:eastAsia="zh-CN"/>
              </w:rPr>
              <w:t>9</w:t>
            </w:r>
            <w:r>
              <w:rPr>
                <w:rFonts w:hint="eastAsia" w:ascii="宋体" w:hAnsi="宋体" w:cs="宋体"/>
                <w:color w:val="auto"/>
                <w:kern w:val="0"/>
                <w:sz w:val="24"/>
                <w:szCs w:val="24"/>
                <w:highlight w:val="none"/>
                <w:lang w:val="en-US" w:eastAsia="zh-CN"/>
              </w:rPr>
              <w:t>8.5%，</w:t>
            </w:r>
            <w:r>
              <w:rPr>
                <w:rFonts w:hint="eastAsia" w:ascii="宋体" w:hAnsi="宋体" w:eastAsia="宋体" w:cs="宋体"/>
                <w:color w:val="auto"/>
                <w:kern w:val="0"/>
                <w:sz w:val="24"/>
                <w:szCs w:val="24"/>
                <w:highlight w:val="none"/>
                <w:lang w:val="en-US" w:eastAsia="zh-CN"/>
              </w:rPr>
              <w:t>待质保期满后支付剩余的</w:t>
            </w:r>
            <w:r>
              <w:rPr>
                <w:rFonts w:hint="eastAsia" w:ascii="宋体" w:hAnsi="宋体" w:eastAsia="宋体" w:cs="宋体"/>
                <w:color w:val="auto"/>
                <w:kern w:val="0"/>
                <w:sz w:val="24"/>
                <w:szCs w:val="24"/>
                <w:highlight w:val="none"/>
              </w:rPr>
              <w:t>合同总金额</w:t>
            </w:r>
            <w:r>
              <w:rPr>
                <w:rFonts w:hint="eastAsia" w:ascii="宋体" w:hAnsi="宋体" w:eastAsia="宋体" w:cs="宋体"/>
                <w:color w:val="auto"/>
                <w:kern w:val="0"/>
                <w:sz w:val="24"/>
                <w:szCs w:val="24"/>
                <w:highlight w:val="none"/>
                <w:lang w:val="en-US" w:eastAsia="zh-CN"/>
              </w:rPr>
              <w:t>的1.5%。</w:t>
            </w:r>
          </w:p>
          <w:p>
            <w:pPr>
              <w:pStyle w:val="2"/>
              <w:rPr>
                <w:rFonts w:hint="default"/>
                <w:highlight w:val="none"/>
                <w:lang w:val="en-US" w:eastAsia="zh-CN"/>
              </w:rPr>
            </w:pPr>
            <w:r>
              <w:rPr>
                <w:rFonts w:hint="eastAsia" w:hAnsi="宋体" w:cs="宋体"/>
                <w:color w:val="auto"/>
                <w:kern w:val="0"/>
                <w:sz w:val="24"/>
                <w:szCs w:val="24"/>
                <w:highlight w:val="none"/>
                <w:lang w:val="en-US" w:eastAsia="zh-CN"/>
              </w:rPr>
              <w:t>甲方每次付款前，乙方应当向甲方开具等额合法有效的增值税发票，乙方未提供发票的，甲方有权拒绝付款且无需承担迟延付款的违约责任。发票认证通过是甲方付款的必要前提之一。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交付期限：</w:t>
            </w:r>
          </w:p>
          <w:p>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第一阶段：合同签订之日起（</w:t>
            </w:r>
            <w:r>
              <w:rPr>
                <w:rFonts w:hint="eastAsia" w:ascii="宋体" w:hAnsi="宋体" w:cs="宋体"/>
                <w:color w:val="auto"/>
                <w:sz w:val="24"/>
                <w:szCs w:val="24"/>
                <w:highlight w:val="none"/>
                <w:lang w:val="en-US" w:eastAsia="zh-CN"/>
              </w:rPr>
              <w:t>60</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日历天</w:t>
            </w:r>
            <w:r>
              <w:rPr>
                <w:rFonts w:hint="eastAsia" w:ascii="宋体" w:hAnsi="宋体" w:eastAsia="宋体" w:cs="宋体"/>
                <w:color w:val="auto"/>
                <w:sz w:val="24"/>
                <w:highlight w:val="none"/>
              </w:rPr>
              <w:t>内完成全部系统供货、安装和校准标定测试，初步验收通过后投入试运行（网络租赁开始）；</w:t>
            </w:r>
          </w:p>
          <w:p>
            <w:pPr>
              <w:spacing w:line="360" w:lineRule="auto"/>
              <w:ind w:firstLine="480" w:firstLineChars="200"/>
              <w:outlineLvl w:val="9"/>
              <w:rPr>
                <w:rFonts w:hint="eastAsia"/>
                <w:highlight w:val="none"/>
              </w:rPr>
            </w:pPr>
            <w:r>
              <w:rPr>
                <w:rFonts w:hint="eastAsia" w:ascii="宋体" w:hAnsi="宋体" w:eastAsia="宋体" w:cs="宋体"/>
                <w:color w:val="auto"/>
                <w:sz w:val="24"/>
                <w:highlight w:val="none"/>
              </w:rPr>
              <w:t>第二阶段：</w:t>
            </w:r>
            <w:r>
              <w:rPr>
                <w:rFonts w:hint="eastAsia" w:ascii="宋体" w:hAnsi="宋体" w:cs="宋体"/>
                <w:color w:val="auto"/>
                <w:sz w:val="24"/>
                <w:highlight w:val="none"/>
                <w:lang w:val="en-US" w:eastAsia="zh-CN"/>
              </w:rPr>
              <w:t>正常</w:t>
            </w:r>
            <w:r>
              <w:rPr>
                <w:rFonts w:hint="eastAsia" w:ascii="宋体" w:hAnsi="宋体" w:cs="宋体"/>
                <w:color w:val="auto"/>
                <w:sz w:val="24"/>
                <w:szCs w:val="24"/>
                <w:highlight w:val="none"/>
                <w:lang w:val="en-US" w:eastAsia="zh-CN"/>
              </w:rPr>
              <w:t>试运行</w:t>
            </w:r>
            <w:r>
              <w:rPr>
                <w:rFonts w:hint="eastAsia" w:ascii="宋体" w:hAnsi="宋体" w:eastAsia="宋体" w:cs="宋体"/>
                <w:color w:val="auto"/>
                <w:sz w:val="24"/>
                <w:szCs w:val="24"/>
                <w:highlight w:val="none"/>
              </w:rPr>
              <w:t>100日历天</w:t>
            </w:r>
            <w:r>
              <w:rPr>
                <w:rFonts w:hint="eastAsia" w:ascii="宋体" w:hAnsi="宋体" w:cs="宋体"/>
                <w:color w:val="auto"/>
                <w:sz w:val="24"/>
                <w:szCs w:val="24"/>
                <w:highlight w:val="none"/>
                <w:lang w:val="en-US" w:eastAsia="zh-CN"/>
              </w:rPr>
              <w:t>后未出现问题的，经乙方申请，开展第二阶段验收</w:t>
            </w:r>
            <w:r>
              <w:rPr>
                <w:rFonts w:hint="eastAsia" w:ascii="宋体" w:hAnsi="宋体" w:cs="宋体"/>
                <w:sz w:val="24"/>
                <w:highlight w:val="none"/>
                <w:lang w:eastAsia="zh-CN"/>
              </w:rPr>
              <w:t>（竣工验收）</w:t>
            </w:r>
            <w:r>
              <w:rPr>
                <w:rFonts w:hint="eastAsia" w:ascii="宋体" w:hAnsi="宋体" w:eastAsia="宋体" w:cs="宋体"/>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交货地点：杭州市</w:t>
            </w:r>
            <w:r>
              <w:rPr>
                <w:rFonts w:hint="eastAsia" w:ascii="宋体" w:hAnsi="宋体" w:eastAsia="宋体" w:cs="宋体"/>
                <w:color w:val="auto"/>
                <w:sz w:val="24"/>
                <w:szCs w:val="24"/>
                <w:highlight w:val="none"/>
                <w:lang w:eastAsia="zh-CN"/>
              </w:rPr>
              <w:t>钱塘区</w:t>
            </w:r>
            <w:r>
              <w:rPr>
                <w:rFonts w:hint="eastAsia" w:ascii="宋体" w:hAnsi="宋体" w:eastAsia="宋体" w:cs="宋体"/>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交付方式：安装现场交付。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1.6.7</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其他违约责任：</w:t>
            </w:r>
          </w:p>
          <w:p>
            <w:pPr>
              <w:spacing w:line="360" w:lineRule="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1.乙方所交产品品种、型号、规格、质量或项目完成质量不符合合同规定的，由乙方在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日内负责包换或返工，并承担调换、退货或返工而支付的实际费用。乙方不能调换或不予返工的，按不能完成采购项目处理。</w:t>
            </w:r>
            <w:r>
              <w:rPr>
                <w:rFonts w:hint="eastAsia" w:ascii="宋体" w:hAnsi="宋体" w:cs="宋体"/>
                <w:color w:val="auto"/>
                <w:sz w:val="24"/>
                <w:szCs w:val="24"/>
                <w:highlight w:val="none"/>
                <w:lang w:val="en-US" w:eastAsia="zh-CN"/>
              </w:rPr>
              <w:t>因乙方货物存在质量问题或安装调试不到位导致家纺、乙方或任何第三方人身或财产损失的，由乙方承担全部赔偿责任，因此产生纠纷的，乙方应当负责解决。造成严重财产损失或人员伤亡的，甲方有权解除本合同。</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2.因产品包装不符合合同</w:t>
            </w:r>
            <w:r>
              <w:rPr>
                <w:rFonts w:hint="eastAsia" w:ascii="宋体" w:hAnsi="宋体" w:cs="宋体"/>
                <w:color w:val="auto"/>
                <w:sz w:val="24"/>
                <w:szCs w:val="24"/>
                <w:highlight w:val="none"/>
                <w:lang w:val="en-US" w:eastAsia="zh-CN"/>
              </w:rPr>
              <w:t>约</w:t>
            </w:r>
            <w:r>
              <w:rPr>
                <w:rFonts w:hint="eastAsia" w:ascii="宋体" w:hAnsi="宋体" w:eastAsia="宋体" w:cs="宋体"/>
                <w:color w:val="auto"/>
                <w:sz w:val="24"/>
                <w:szCs w:val="24"/>
                <w:highlight w:val="none"/>
              </w:rPr>
              <w:t>定，必须返修或重新包装的，乙方应负责返修或重新包装，并承担</w:t>
            </w:r>
            <w:r>
              <w:rPr>
                <w:rFonts w:hint="eastAsia" w:ascii="宋体" w:hAnsi="宋体" w:cs="宋体"/>
                <w:color w:val="auto"/>
                <w:sz w:val="24"/>
                <w:szCs w:val="24"/>
                <w:highlight w:val="none"/>
                <w:lang w:val="en-US" w:eastAsia="zh-CN"/>
              </w:rPr>
              <w:t>相应</w:t>
            </w:r>
            <w:r>
              <w:rPr>
                <w:rFonts w:hint="eastAsia" w:ascii="宋体" w:hAnsi="宋体" w:eastAsia="宋体" w:cs="宋体"/>
                <w:color w:val="auto"/>
                <w:sz w:val="24"/>
                <w:szCs w:val="24"/>
                <w:highlight w:val="none"/>
              </w:rPr>
              <w:t>的费用。甲方不要求返修或重新包装而要求赔偿损失的，乙方应当偿付甲方该不合格包装物低于合格包装物的价值部分。因包装不符合规定造成货物损坏或灭失的，乙方应当负责赔偿。</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3.未按本专用合同约定提供质保及售后服务的，乙方应向甲方偿付采购项目总价款的5％的违约金。甲方无故退货的，应向乙方偿付退货部分货款5％的违约金。</w:t>
            </w:r>
          </w:p>
          <w:p>
            <w:pPr>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乙方在项目开展过程中如存在违反合同相关约定情况的，甲方有权要求乙方立即整改。乙方未按甲方要求整改的，甲方有权拒绝验收，并可中止合同履行</w:t>
            </w:r>
            <w:r>
              <w:rPr>
                <w:rFonts w:hint="eastAsia" w:ascii="宋体" w:hAnsi="宋体" w:eastAsia="宋体" w:cs="宋体"/>
                <w:color w:val="auto"/>
                <w:sz w:val="24"/>
                <w:highlight w:val="none"/>
                <w:lang w:val="en-US" w:eastAsia="zh-CN"/>
              </w:rPr>
              <w:t>直至甲方整改完毕</w:t>
            </w:r>
            <w:r>
              <w:rPr>
                <w:rFonts w:hint="eastAsia" w:ascii="宋体" w:hAnsi="宋体" w:eastAsia="宋体" w:cs="宋体"/>
                <w:color w:val="auto"/>
                <w:sz w:val="24"/>
                <w:highlight w:val="none"/>
              </w:rPr>
              <w:t>，乙方承担因此发生的一切损失、费用及延误责任。</w:t>
            </w:r>
            <w:r>
              <w:rPr>
                <w:rFonts w:hint="eastAsia" w:ascii="宋体" w:hAnsi="宋体" w:eastAsia="宋体" w:cs="宋体"/>
                <w:color w:val="auto"/>
                <w:sz w:val="24"/>
                <w:highlight w:val="none"/>
                <w:lang w:val="en-US" w:eastAsia="zh-CN"/>
              </w:rPr>
              <w:t>甲方亦有权解除本合同，并要求乙方支付本合同总价【</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】%的违约金，</w:t>
            </w:r>
            <w:r>
              <w:rPr>
                <w:rFonts w:hint="eastAsia" w:ascii="宋体" w:hAnsi="宋体" w:eastAsia="宋体" w:cs="宋体"/>
                <w:color w:val="auto"/>
                <w:sz w:val="24"/>
                <w:highlight w:val="none"/>
              </w:rPr>
              <w:t>乙方承担因此发生的一切损失、费用</w:t>
            </w:r>
            <w:r>
              <w:rPr>
                <w:rFonts w:hint="eastAsia" w:ascii="宋体" w:hAnsi="宋体" w:eastAsia="宋体" w:cs="宋体"/>
                <w:color w:val="auto"/>
                <w:sz w:val="24"/>
                <w:highlight w:val="none"/>
                <w:lang w:eastAsia="zh-CN"/>
              </w:rPr>
              <w:t>。</w:t>
            </w:r>
          </w:p>
          <w:p>
            <w:pPr>
              <w:spacing w:line="360" w:lineRule="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5.乙方未经甲方书面同意擅自将本合同项目进行转包或者分包的，甲方有权立即解除本合同，并要求乙方承担本合同总价【</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】%的违约金。</w:t>
            </w:r>
          </w:p>
          <w:p>
            <w:pPr>
              <w:spacing w:line="360" w:lineRule="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en-US"/>
              </w:rPr>
              <w:t>乙方</w:t>
            </w:r>
            <w:r>
              <w:rPr>
                <w:rFonts w:hint="eastAsia" w:ascii="宋体" w:hAnsi="宋体" w:eastAsia="宋体" w:cs="宋体"/>
                <w:color w:val="auto"/>
                <w:sz w:val="24"/>
                <w:highlight w:val="none"/>
                <w:lang w:val="en-US" w:eastAsia="zh-CN"/>
              </w:rPr>
              <w:t>应</w:t>
            </w:r>
            <w:r>
              <w:rPr>
                <w:rFonts w:hint="eastAsia" w:ascii="宋体" w:hAnsi="宋体" w:eastAsia="宋体" w:cs="宋体"/>
                <w:color w:val="auto"/>
                <w:sz w:val="24"/>
                <w:highlight w:val="none"/>
                <w:lang w:val="en-US"/>
              </w:rPr>
              <w:t>做好安全措施，为工作人员提供安全设施设备，确保无安全事故发生。若发生或造成工作人员或第三人人身财产损害的，由乙方承担全部责任和费用，同时每发生一次</w:t>
            </w:r>
            <w:r>
              <w:rPr>
                <w:rFonts w:hint="eastAsia" w:ascii="宋体" w:hAnsi="宋体" w:eastAsia="宋体" w:cs="宋体"/>
                <w:color w:val="auto"/>
                <w:sz w:val="24"/>
                <w:highlight w:val="none"/>
                <w:lang w:val="en-US" w:eastAsia="zh-CN"/>
              </w:rPr>
              <w:t>支付【</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rPr>
              <w:t>元违约金；若发生二次及以上或发生严重安全事故，甲方有权提前解除合同</w:t>
            </w:r>
            <w:r>
              <w:rPr>
                <w:rFonts w:hint="eastAsia" w:ascii="宋体" w:hAnsi="宋体" w:eastAsia="宋体" w:cs="宋体"/>
                <w:b w:val="0"/>
                <w:bCs w:val="0"/>
                <w:color w:val="auto"/>
                <w:sz w:val="24"/>
                <w:szCs w:val="24"/>
                <w:highlight w:val="none"/>
                <w:lang w:val="en-US" w:eastAsia="zh-CN"/>
              </w:rPr>
              <w:t>要求乙方支付本合同总价【</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】%的违约金</w:t>
            </w:r>
            <w:r>
              <w:rPr>
                <w:rFonts w:hint="eastAsia" w:ascii="宋体" w:hAnsi="宋体" w:eastAsia="宋体" w:cs="宋体"/>
                <w:color w:val="auto"/>
                <w:sz w:val="24"/>
                <w:szCs w:val="24"/>
                <w:highlight w:val="none"/>
                <w:lang w:val="en-US" w:eastAsia="zh-CN"/>
              </w:rPr>
              <w:t>并扣留所有未支付费用</w:t>
            </w:r>
            <w:r>
              <w:rPr>
                <w:rFonts w:hint="eastAsia" w:ascii="宋体" w:hAnsi="宋体" w:eastAsia="宋体" w:cs="宋体"/>
                <w:color w:val="auto"/>
                <w:sz w:val="24"/>
                <w:highlight w:val="none"/>
                <w:lang w:val="en-US" w:eastAsia="zh-CN"/>
              </w:rPr>
              <w:t>。</w:t>
            </w:r>
          </w:p>
          <w:p>
            <w:pPr>
              <w:pStyle w:val="2"/>
              <w:ind w:firstLine="0"/>
              <w:rPr>
                <w:rFonts w:hint="default"/>
                <w:highlight w:val="none"/>
                <w:lang w:val="en-US" w:eastAsia="zh-CN"/>
              </w:rPr>
            </w:pPr>
            <w:r>
              <w:rPr>
                <w:rFonts w:hint="eastAsia" w:ascii="宋体" w:hAnsi="宋体" w:eastAsia="宋体" w:cs="宋体"/>
                <w:color w:val="auto"/>
                <w:sz w:val="24"/>
                <w:szCs w:val="24"/>
                <w:highlight w:val="none"/>
                <w:lang w:val="en-US" w:eastAsia="zh-CN"/>
              </w:rPr>
              <w:t>7.乙方违反本合同约定所应承担的违约金、赔偿金等费用，甲方有权从履约保证金或下一笔合同款中扣除，剩余合同款、履约保证金不足以赔偿的，甲方还可要求乙方就不足部分继续承担赔偿责任。因乙方违约导致甲方解除本合同的，履约保证金不予退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合同争议的解决：选择以下第1.7.2条款规定的方式解决。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将争议提交杭州市仲裁委员会依申请仲裁时其现行有效的仲裁规则裁决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向杭州市</w:t>
            </w:r>
            <w:r>
              <w:rPr>
                <w:rFonts w:hint="eastAsia" w:ascii="宋体" w:hAnsi="宋体" w:eastAsia="宋体" w:cs="宋体"/>
                <w:bCs/>
                <w:color w:val="auto"/>
                <w:sz w:val="24"/>
                <w:szCs w:val="24"/>
                <w:highlight w:val="none"/>
                <w:lang w:eastAsia="zh-CN"/>
              </w:rPr>
              <w:t>钱塘区</w:t>
            </w:r>
            <w:r>
              <w:rPr>
                <w:rFonts w:hint="eastAsia" w:ascii="宋体" w:hAnsi="宋体" w:eastAsia="宋体" w:cs="宋体"/>
                <w:bCs/>
                <w:color w:val="auto"/>
                <w:sz w:val="24"/>
                <w:szCs w:val="24"/>
                <w:highlight w:val="none"/>
              </w:rPr>
              <w:t>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71" w:hRule="exac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w:t>
            </w:r>
          </w:p>
        </w:tc>
        <w:tc>
          <w:tcPr>
            <w:tcW w:w="8276" w:type="dxa"/>
            <w:vAlign w:val="center"/>
          </w:tcPr>
          <w:p>
            <w:pPr>
              <w:spacing w:line="360" w:lineRule="auto"/>
              <w:ind w:right="0" w:rightChars="0"/>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具有知识产权的计算机软件等货物的知识产权归属制造商。</w:t>
            </w:r>
            <w:r>
              <w:rPr>
                <w:rFonts w:hint="eastAsia" w:ascii="宋体" w:hAnsi="宋体" w:eastAsia="宋体" w:cs="宋体"/>
                <w:color w:val="auto"/>
                <w:sz w:val="24"/>
                <w:szCs w:val="24"/>
                <w:highlight w:val="none"/>
                <w:lang w:val="en-US" w:eastAsia="zh-CN"/>
              </w:rPr>
              <w:t>因履行本合同义务所产生的智力成果的知识产权归甲方所有。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w:t>
            </w:r>
          </w:p>
        </w:tc>
        <w:tc>
          <w:tcPr>
            <w:tcW w:w="8276" w:type="dxa"/>
            <w:vAlign w:val="center"/>
          </w:tcPr>
          <w:p>
            <w:pPr>
              <w:spacing w:line="360" w:lineRule="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其他约定：使用说明书、质量检验证明书、随配附件和工具以及清单一并附于货物内。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2.4.</w:t>
            </w:r>
            <w:r>
              <w:rPr>
                <w:rFonts w:hint="eastAsia" w:ascii="宋体" w:hAnsi="宋体" w:cs="宋体"/>
                <w:color w:val="auto"/>
                <w:sz w:val="24"/>
                <w:szCs w:val="24"/>
                <w:highlight w:val="none"/>
                <w:lang w:val="en-US" w:eastAsia="zh-CN"/>
              </w:rPr>
              <w:t>3</w:t>
            </w:r>
          </w:p>
        </w:tc>
        <w:tc>
          <w:tcPr>
            <w:tcW w:w="8276" w:type="dxa"/>
            <w:vAlign w:val="center"/>
          </w:tcPr>
          <w:p>
            <w:pPr>
              <w:spacing w:line="360" w:lineRule="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装运货物的要求和通知：乙方在货物发运手续办理完毕后24小时内或货到甲方48小时前通知甲方，以准备接货。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2.7.3</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产品质量保证：</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1.乙方应按招标文件规定的货物性能、技术要求、质量标准向甲方提供未经使用的全新产品。</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2.乙方提供的货物在质保期内因货物本身的质量问题发生故障，乙方应负责免费更换维修。对达不到技术要求者，根据实际情况，经双方协商，可按以下办法处理：</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⑴更换：由乙方承担所发生的全部费用。</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⑵贬值处理：由甲乙双方合议定价。</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⑶退货处理：乙方应退还甲方支付的合同款，同时应承担</w:t>
            </w:r>
            <w:r>
              <w:rPr>
                <w:rFonts w:hint="eastAsia" w:ascii="宋体" w:hAnsi="宋体" w:cs="宋体"/>
                <w:color w:val="auto"/>
                <w:sz w:val="24"/>
                <w:szCs w:val="24"/>
                <w:highlight w:val="none"/>
                <w:lang w:val="en-US" w:eastAsia="zh-CN"/>
              </w:rPr>
              <w:t>退还</w:t>
            </w:r>
            <w:r>
              <w:rPr>
                <w:rFonts w:hint="eastAsia" w:ascii="宋体" w:hAnsi="宋体" w:eastAsia="宋体" w:cs="宋体"/>
                <w:color w:val="auto"/>
                <w:sz w:val="24"/>
                <w:szCs w:val="24"/>
                <w:highlight w:val="none"/>
              </w:rPr>
              <w:t>该货物</w:t>
            </w:r>
            <w:r>
              <w:rPr>
                <w:rFonts w:hint="eastAsia" w:ascii="宋体" w:hAnsi="宋体" w:cs="宋体"/>
                <w:color w:val="auto"/>
                <w:sz w:val="24"/>
                <w:szCs w:val="24"/>
                <w:highlight w:val="none"/>
                <w:lang w:val="en-US" w:eastAsia="zh-CN"/>
              </w:rPr>
              <w:t>所产生</w:t>
            </w:r>
            <w:r>
              <w:rPr>
                <w:rFonts w:hint="eastAsia" w:ascii="宋体" w:hAnsi="宋体" w:eastAsia="宋体" w:cs="宋体"/>
                <w:color w:val="auto"/>
                <w:sz w:val="24"/>
                <w:szCs w:val="24"/>
                <w:highlight w:val="none"/>
              </w:rPr>
              <w:t>的直接费用（运输、保险、检验、货款利息及银行手续费等）。</w:t>
            </w:r>
          </w:p>
          <w:p>
            <w:pP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highlight w:val="none"/>
              </w:rPr>
              <w:t>如在使用过程中发生质量问题，乙方在接到甲方通知后在不超过故障申报</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小时内到达现场，</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个小时内解决问题。</w:t>
            </w:r>
          </w:p>
          <w:p>
            <w:pP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4.在质保期内，乙方应对货物出现的质量及安全问题负责处理解决并承担一切费用。</w:t>
            </w:r>
          </w:p>
          <w:p>
            <w:pP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5.质保期内，因人为因素出现的故障不在免费保修范围内。超过保修期的机器设备，终生维修，维修时只收部件成本费。</w:t>
            </w:r>
          </w:p>
          <w:p>
            <w:pP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6.系统质量保修期（</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highlight w:val="none"/>
              </w:rPr>
              <w:t>）年。保修期从</w:t>
            </w:r>
            <w:r>
              <w:rPr>
                <w:rFonts w:hint="eastAsia" w:ascii="宋体" w:hAnsi="宋体" w:cs="宋体"/>
                <w:color w:val="auto"/>
                <w:sz w:val="24"/>
                <w:highlight w:val="none"/>
                <w:lang w:val="en-US" w:eastAsia="zh-CN"/>
              </w:rPr>
              <w:t>第二段</w:t>
            </w:r>
            <w:r>
              <w:rPr>
                <w:rFonts w:hint="eastAsia" w:ascii="宋体" w:hAnsi="宋体" w:eastAsia="宋体" w:cs="宋体"/>
                <w:color w:val="auto"/>
                <w:sz w:val="24"/>
                <w:highlight w:val="none"/>
              </w:rPr>
              <w:t>验收合格之日起开始计算。</w:t>
            </w:r>
          </w:p>
          <w:p>
            <w:pP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（1）主要硬件要求提供原厂商（</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highlight w:val="none"/>
              </w:rPr>
              <w:t>）年*7天*24小时设备保修和售后现场技术服务；</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（2）系统软件产品的质保执行原厂商的标准（如少于</w:t>
            </w:r>
            <w:r>
              <w:rPr>
                <w:rFonts w:hint="eastAsia" w:ascii="宋体" w:hAnsi="宋体" w:cs="宋体"/>
                <w:color w:val="auto"/>
                <w:sz w:val="24"/>
                <w:szCs w:val="24"/>
                <w:highlight w:val="none"/>
                <w:lang w:val="en-US" w:eastAsia="zh-CN"/>
              </w:rPr>
              <w:t>5年</w:t>
            </w:r>
            <w:r>
              <w:rPr>
                <w:rFonts w:hint="eastAsia" w:ascii="宋体" w:hAnsi="宋体" w:eastAsia="宋体" w:cs="宋体"/>
                <w:color w:val="auto"/>
                <w:sz w:val="24"/>
                <w:szCs w:val="24"/>
                <w:highlight w:val="none"/>
              </w:rPr>
              <w:t>，按</w:t>
            </w:r>
            <w:r>
              <w:rPr>
                <w:rFonts w:hint="eastAsia" w:ascii="宋体" w:hAnsi="宋体" w:cs="宋体"/>
                <w:color w:val="auto"/>
                <w:sz w:val="24"/>
                <w:szCs w:val="24"/>
                <w:highlight w:val="none"/>
                <w:u w:val="single"/>
                <w:lang w:val="en-US" w:eastAsia="zh-CN"/>
              </w:rPr>
              <w:t>5年</w:t>
            </w:r>
            <w:r>
              <w:rPr>
                <w:rFonts w:hint="eastAsia" w:ascii="宋体" w:hAnsi="宋体" w:eastAsia="宋体" w:cs="宋体"/>
                <w:color w:val="auto"/>
                <w:sz w:val="24"/>
                <w:szCs w:val="24"/>
                <w:highlight w:val="none"/>
              </w:rPr>
              <w:t xml:space="preserve">计）质保服务和乙方承诺；  </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（3）质保期内用户所购货物各部件发生非人为损坏，将免费更换性能指标不低于原规格型号的新部件。因使用不当更换设备材料费用按不高于合同价格收费。</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（4）产品质保期内应及时解决问题，不及时解决的，按2000元/次予以处罚。</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（5）软件系统需根据系统更新进度免费更新。</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highlight w:val="none"/>
              </w:rPr>
              <w:t>系统现场检查服务每年不少于（</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）次，管理平台软件自检每月不少于（</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）次，在检查中对发现的问题按照问题处理流程及时处理，并与使用方提供的紧急联络人进行联系，保证问题处理的及时性。</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（7）每半年提供一次技术报表。</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（8）极端突发事件发生后提交极端事件专题分析报告。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52"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w:t>
            </w:r>
          </w:p>
        </w:tc>
        <w:tc>
          <w:tcPr>
            <w:tcW w:w="8276" w:type="dxa"/>
            <w:vAlign w:val="center"/>
          </w:tcPr>
          <w:p>
            <w:pPr>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货物或者在途货物或者交付给第一承运人后的货物毁损、灭失的风险负担由乙方承担。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51"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2.12.3</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因不可抗力致使合同有变更必要的，双方当事人应在发生后6小时内以书面形式变更合同；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2.12.4</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受不可抗力影响的一方在不可抗力发生后，应在发生后6小时内以书面形式通知对方当事人，并在合同专用条款约定时间内，将有关部门出具的证明文件送达对方当事人。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2.16.1</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货物交付时，乙方在交付后1天内</w:t>
            </w:r>
            <w:r>
              <w:rPr>
                <w:rFonts w:hint="eastAsia" w:ascii="宋体" w:hAnsi="宋体" w:cs="宋体"/>
                <w:color w:val="auto"/>
                <w:sz w:val="24"/>
                <w:szCs w:val="24"/>
                <w:highlight w:val="none"/>
                <w:lang w:val="en-US" w:eastAsia="zh-CN"/>
              </w:rPr>
              <w:t>告知甲方</w:t>
            </w:r>
            <w:r>
              <w:rPr>
                <w:rFonts w:hint="eastAsia" w:ascii="宋体" w:hAnsi="宋体" w:eastAsia="宋体" w:cs="宋体"/>
                <w:color w:val="auto"/>
                <w:sz w:val="24"/>
                <w:szCs w:val="24"/>
                <w:highlight w:val="none"/>
              </w:rPr>
              <w:t>组织到货验收，并可依法邀请相关方参加，验收应出具验收书。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03"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2.16.3</w:t>
            </w:r>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检验和验收标准：①满足采购需求及技术文件的要求，达到国家及行业现行规范的合格标准；②称重系统设备、设施及软件均应符合国家有关标准要求；③资金支付及履约保证金返还条件、争议处理、验收费用支付、采购人及供应商各自权利义务等内容按国家，省，市现行规定和合同约定的内容。</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（2）验收程序：根据《杭州市政府采购履约验收暂行办法》规定，按照一般程序进行验收。验收方法为</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一次性验收、</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分段验收、</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分期验收。</w:t>
            </w:r>
          </w:p>
          <w:p>
            <w:pPr>
              <w:rPr>
                <w:highlight w:val="none"/>
              </w:rPr>
            </w:pP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（3）以上内容以及验收书具有同等法律效力，以上内容有冲突时以较严格的要求为准。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6"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2.20.1</w:t>
            </w:r>
          </w:p>
        </w:tc>
        <w:tc>
          <w:tcPr>
            <w:tcW w:w="8276" w:type="dxa"/>
            <w:vAlign w:val="center"/>
          </w:tcPr>
          <w:p>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合同签订后十个工作日内提交履约保证金</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履约保证金以保函形式提交</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2.20.2</w:t>
            </w:r>
          </w:p>
        </w:tc>
        <w:tc>
          <w:tcPr>
            <w:tcW w:w="8276" w:type="dxa"/>
            <w:vAlign w:val="center"/>
          </w:tcPr>
          <w:p>
            <w:pPr>
              <w:spacing w:line="360" w:lineRule="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本工程要求承包人提供的履约保证金为合同总价的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％（采用支票、汇票、转账、银行保函、保险机构保证保单或担保公司保函等），以保函形式提交履约保证金的，有效期为自合同签订之日起至最终验收合格后7天，到期后自动作废。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6" w:hRule="atLeast"/>
        </w:trPr>
        <w:tc>
          <w:tcPr>
            <w:tcW w:w="851" w:type="dxa"/>
            <w:tcBorders>
              <w:left w:val="single" w:color="auto" w:sz="4" w:space="0"/>
            </w:tcBorders>
            <w:vAlign w:val="center"/>
          </w:tcPr>
          <w:p>
            <w:pPr>
              <w:spacing w:line="360" w:lineRule="auto"/>
              <w:ind w:right="-420" w:rightChars="-200"/>
              <w:jc w:val="both"/>
              <w:outlineLvl w:val="9"/>
              <w:rPr>
                <w:rFonts w:hint="eastAsia"/>
                <w:highlight w:val="none"/>
              </w:rPr>
            </w:pPr>
            <w:bookmarkStart w:id="528" w:name="_Toc25223"/>
            <w:bookmarkStart w:id="529" w:name="_Toc2597"/>
            <w:bookmarkStart w:id="530" w:name="_Toc32350"/>
            <w:bookmarkStart w:id="531" w:name="_Toc27939"/>
            <w:r>
              <w:rPr>
                <w:rFonts w:hint="eastAsia"/>
                <w:highlight w:val="none"/>
              </w:rPr>
              <w:t>2.22</w:t>
            </w:r>
            <w:bookmarkEnd w:id="528"/>
            <w:bookmarkEnd w:id="529"/>
            <w:bookmarkEnd w:id="530"/>
            <w:bookmarkEnd w:id="531"/>
          </w:p>
        </w:tc>
        <w:tc>
          <w:tcPr>
            <w:tcW w:w="8276" w:type="dxa"/>
            <w:vAlign w:val="center"/>
          </w:tcPr>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本合同一式六份，甲方三份，乙方三份。</w:t>
            </w:r>
          </w:p>
        </w:tc>
      </w:tr>
    </w:tbl>
    <w:p>
      <w:pPr>
        <w:rPr>
          <w:rFonts w:ascii="宋体" w:hAnsi="宋体" w:cs="宋体"/>
          <w:b/>
          <w:sz w:val="24"/>
          <w:highlight w:val="none"/>
        </w:rPr>
      </w:pPr>
    </w:p>
    <w:p>
      <w:pPr>
        <w:rPr>
          <w:rFonts w:hint="eastAsia" w:ascii="宋体" w:hAnsi="宋体" w:cs="宋体"/>
          <w:b/>
          <w:sz w:val="44"/>
          <w:szCs w:val="44"/>
        </w:rPr>
      </w:pPr>
      <w:bookmarkStart w:id="532" w:name="_Toc31799"/>
      <w:r>
        <w:rPr>
          <w:rFonts w:hint="eastAsia" w:ascii="宋体" w:hAnsi="宋体" w:cs="宋体"/>
          <w:b/>
          <w:sz w:val="44"/>
          <w:szCs w:val="44"/>
        </w:rPr>
        <w:br w:type="page"/>
      </w:r>
    </w:p>
    <w:p>
      <w:pPr>
        <w:spacing w:line="360" w:lineRule="auto"/>
        <w:jc w:val="center"/>
        <w:outlineLvl w:val="0"/>
        <w:rPr>
          <w:rFonts w:ascii="宋体" w:hAnsi="宋体" w:cs="宋体"/>
          <w:b/>
          <w:sz w:val="44"/>
          <w:szCs w:val="44"/>
        </w:rPr>
      </w:pPr>
      <w:r>
        <w:rPr>
          <w:rFonts w:hint="eastAsia" w:ascii="宋体" w:hAnsi="宋体" w:cs="宋体"/>
          <w:b/>
          <w:sz w:val="44"/>
          <w:szCs w:val="44"/>
        </w:rPr>
        <w:t>第六部分</w:t>
      </w:r>
      <w:bookmarkEnd w:id="428"/>
      <w:r>
        <w:rPr>
          <w:rFonts w:hint="eastAsia" w:ascii="宋体" w:hAnsi="宋体" w:cs="宋体"/>
          <w:b/>
          <w:sz w:val="44"/>
          <w:szCs w:val="44"/>
        </w:rPr>
        <w:t xml:space="preserve"> </w:t>
      </w:r>
      <w:bookmarkEnd w:id="429"/>
      <w:r>
        <w:rPr>
          <w:rFonts w:hint="eastAsia" w:ascii="宋体" w:hAnsi="宋体" w:cs="宋体"/>
          <w:b/>
          <w:sz w:val="44"/>
          <w:szCs w:val="44"/>
        </w:rPr>
        <w:t>应提交的有关格式范例</w:t>
      </w:r>
      <w:bookmarkEnd w:id="532"/>
    </w:p>
    <w:p>
      <w:pPr>
        <w:spacing w:line="360" w:lineRule="auto"/>
        <w:jc w:val="center"/>
        <w:rPr>
          <w:rFonts w:ascii="宋体" w:hAnsi="宋体" w:cs="宋体"/>
          <w:b/>
          <w:kern w:val="0"/>
          <w:sz w:val="28"/>
          <w:szCs w:val="28"/>
        </w:rPr>
      </w:pPr>
    </w:p>
    <w:p>
      <w:pPr>
        <w:spacing w:line="360" w:lineRule="auto"/>
        <w:jc w:val="center"/>
        <w:rPr>
          <w:rFonts w:ascii="宋体" w:hAnsi="宋体" w:cs="宋体"/>
          <w:b/>
          <w:kern w:val="0"/>
          <w:sz w:val="28"/>
          <w:szCs w:val="28"/>
        </w:rPr>
      </w:pPr>
      <w:r>
        <w:rPr>
          <w:rFonts w:hint="eastAsia" w:ascii="宋体" w:hAnsi="宋体" w:cs="宋体"/>
          <w:b/>
          <w:kern w:val="0"/>
          <w:sz w:val="28"/>
          <w:szCs w:val="28"/>
        </w:rPr>
        <w:t>资格文件部分</w:t>
      </w:r>
    </w:p>
    <w:p>
      <w:pPr>
        <w:spacing w:line="360" w:lineRule="auto"/>
        <w:jc w:val="center"/>
        <w:rPr>
          <w:rFonts w:ascii="宋体" w:hAnsi="宋体" w:cs="宋体"/>
          <w:b/>
          <w:kern w:val="0"/>
          <w:sz w:val="24"/>
        </w:rPr>
      </w:pPr>
      <w:r>
        <w:rPr>
          <w:rFonts w:hint="eastAsia" w:ascii="宋体" w:hAnsi="宋体" w:cs="宋体"/>
          <w:b/>
          <w:kern w:val="0"/>
          <w:sz w:val="24"/>
        </w:rPr>
        <w:t>目录</w:t>
      </w:r>
    </w:p>
    <w:p>
      <w:pPr>
        <w:spacing w:line="360" w:lineRule="auto"/>
        <w:jc w:val="center"/>
        <w:rPr>
          <w:rFonts w:ascii="宋体" w:hAnsi="宋体" w:cs="宋体"/>
          <w:b/>
          <w:kern w:val="0"/>
          <w:sz w:val="24"/>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（3）落实政府采购政策需满足的资格要求………………………………（页码）</w:t>
      </w:r>
    </w:p>
    <w:p>
      <w:pPr>
        <w:snapToGrid w:val="0"/>
        <w:spacing w:line="360" w:lineRule="auto"/>
        <w:rPr>
          <w:rFonts w:ascii="宋体" w:hAnsi="宋体" w:cs="宋体"/>
          <w:sz w:val="24"/>
        </w:rPr>
      </w:pPr>
      <w:r>
        <w:rPr>
          <w:rFonts w:hint="eastAsia" w:ascii="宋体" w:hAnsi="宋体" w:cs="宋体"/>
          <w:sz w:val="24"/>
        </w:rPr>
        <w:t>（4）本项目的特定资格要求………………………………………………（页码）</w:t>
      </w:r>
    </w:p>
    <w:p>
      <w:pPr>
        <w:snapToGrid w:val="0"/>
        <w:spacing w:line="360" w:lineRule="auto"/>
        <w:ind w:right="480"/>
        <w:jc w:val="center"/>
        <w:rPr>
          <w:rFonts w:ascii="宋体" w:hAnsi="宋体" w:cs="宋体"/>
          <w:b/>
          <w:kern w:val="0"/>
          <w:sz w:val="24"/>
        </w:rPr>
      </w:pPr>
      <w:r>
        <w:rPr>
          <w:rFonts w:hint="eastAsia" w:ascii="宋体" w:hAnsi="宋体" w:cs="宋体"/>
          <w:kern w:val="0"/>
          <w:sz w:val="24"/>
        </w:rPr>
        <w:br w:type="page"/>
      </w:r>
      <w:r>
        <w:rPr>
          <w:rFonts w:hint="eastAsia" w:ascii="宋体" w:hAnsi="宋体" w:cs="宋体"/>
          <w:b/>
          <w:kern w:val="0"/>
          <w:sz w:val="24"/>
        </w:rPr>
        <w:t>一、符合参加政府采购活动应当具备的一般条件的承诺函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rPr>
          <w:rFonts w:ascii="宋体" w:hAnsi="宋体" w:cs="宋体"/>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widowControl/>
        <w:spacing w:line="360" w:lineRule="auto"/>
        <w:ind w:firstLine="482" w:firstLineChars="200"/>
        <w:jc w:val="center"/>
        <w:rPr>
          <w:rFonts w:ascii="宋体" w:hAnsi="宋体" w:cs="宋体"/>
          <w:b/>
          <w:kern w:val="0"/>
          <w:sz w:val="24"/>
        </w:rPr>
      </w:pPr>
    </w:p>
    <w:p>
      <w:pPr>
        <w:widowControl/>
        <w:spacing w:line="360" w:lineRule="auto"/>
        <w:ind w:firstLine="482" w:firstLineChars="200"/>
        <w:jc w:val="center"/>
        <w:rPr>
          <w:rFonts w:ascii="宋体" w:hAnsi="宋体" w:cs="宋体"/>
          <w:b/>
          <w:kern w:val="0"/>
          <w:sz w:val="24"/>
        </w:rPr>
      </w:pPr>
    </w:p>
    <w:p>
      <w:pPr>
        <w:widowControl/>
        <w:spacing w:line="360" w:lineRule="auto"/>
        <w:ind w:firstLine="482" w:firstLineChars="200"/>
        <w:jc w:val="center"/>
        <w:rPr>
          <w:rFonts w:ascii="宋体" w:hAnsi="宋体" w:cs="宋体"/>
          <w:b/>
          <w:kern w:val="0"/>
          <w:sz w:val="24"/>
        </w:rPr>
      </w:pPr>
    </w:p>
    <w:p>
      <w:pPr>
        <w:widowControl/>
        <w:spacing w:line="360" w:lineRule="auto"/>
        <w:ind w:firstLine="482" w:firstLineChars="200"/>
        <w:jc w:val="center"/>
        <w:rPr>
          <w:rFonts w:ascii="宋体" w:hAnsi="宋体" w:cs="宋体"/>
          <w:b/>
          <w:kern w:val="0"/>
          <w:sz w:val="24"/>
        </w:rPr>
      </w:pPr>
      <w:r>
        <w:rPr>
          <w:rFonts w:hint="eastAsia" w:ascii="宋体" w:hAnsi="宋体" w:cs="宋体"/>
          <w:b/>
          <w:kern w:val="0"/>
          <w:sz w:val="24"/>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r>
        <w:rPr>
          <w:rFonts w:hint="eastAsia" w:ascii="宋体" w:hAnsi="宋体" w:cs="宋体"/>
          <w:b/>
          <w:kern w:val="0"/>
          <w:sz w:val="24"/>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rPr>
      </w:pP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widowControl/>
        <w:spacing w:line="360" w:lineRule="auto"/>
        <w:ind w:left="150"/>
        <w:jc w:val="center"/>
        <w:rPr>
          <w:rFonts w:ascii="宋体" w:hAnsi="宋体" w:cs="宋体"/>
          <w:b/>
          <w:kern w:val="0"/>
          <w:sz w:val="24"/>
        </w:rPr>
      </w:pPr>
    </w:p>
    <w:p>
      <w:pPr>
        <w:widowControl/>
        <w:spacing w:line="360" w:lineRule="auto"/>
        <w:ind w:left="150"/>
        <w:jc w:val="center"/>
        <w:rPr>
          <w:rFonts w:ascii="宋体" w:hAnsi="宋体" w:cs="宋体"/>
          <w:b/>
          <w:kern w:val="0"/>
          <w:sz w:val="24"/>
        </w:rPr>
      </w:pPr>
      <w:r>
        <w:rPr>
          <w:rFonts w:hint="eastAsia" w:ascii="宋体" w:hAnsi="宋体" w:cs="宋体"/>
          <w:b/>
          <w:kern w:val="0"/>
          <w:sz w:val="24"/>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sz w:val="24"/>
        </w:rPr>
      </w:pPr>
    </w:p>
    <w:p>
      <w:pPr>
        <w:widowControl/>
        <w:adjustRightInd/>
        <w:jc w:val="left"/>
        <w:rPr>
          <w:rFonts w:ascii="宋体" w:hAnsi="宋体" w:cs="宋体"/>
          <w:b/>
          <w:kern w:val="0"/>
          <w:sz w:val="24"/>
        </w:rPr>
      </w:pPr>
      <w:r>
        <w:rPr>
          <w:rFonts w:hint="eastAsia" w:ascii="宋体" w:hAnsi="宋体" w:cs="宋体"/>
          <w:b/>
          <w:kern w:val="0"/>
          <w:sz w:val="24"/>
        </w:rPr>
        <w:br w:type="page"/>
      </w:r>
    </w:p>
    <w:p>
      <w:pPr>
        <w:spacing w:line="360" w:lineRule="auto"/>
        <w:ind w:right="420"/>
        <w:jc w:val="center"/>
        <w:rPr>
          <w:rFonts w:ascii="宋体" w:hAnsi="宋体" w:cs="宋体"/>
          <w:b/>
          <w:kern w:val="0"/>
          <w:sz w:val="44"/>
          <w:szCs w:val="44"/>
        </w:rPr>
      </w:pPr>
      <w:r>
        <w:rPr>
          <w:rFonts w:hint="eastAsia" w:ascii="宋体" w:hAnsi="宋体" w:cs="宋体"/>
          <w:b/>
          <w:kern w:val="0"/>
          <w:sz w:val="44"/>
          <w:szCs w:val="44"/>
        </w:rPr>
        <w:t>商务技术文件部分</w:t>
      </w:r>
    </w:p>
    <w:p>
      <w:pPr>
        <w:spacing w:line="360" w:lineRule="auto"/>
        <w:jc w:val="center"/>
        <w:rPr>
          <w:rFonts w:ascii="宋体" w:hAnsi="宋体" w:cs="宋体"/>
          <w:b/>
          <w:kern w:val="0"/>
          <w:sz w:val="24"/>
        </w:rPr>
      </w:pPr>
      <w:r>
        <w:rPr>
          <w:rFonts w:hint="eastAsia" w:ascii="宋体" w:hAnsi="宋体" w:cs="宋体"/>
          <w:b/>
          <w:kern w:val="0"/>
          <w:sz w:val="24"/>
        </w:rPr>
        <w:t>目录</w:t>
      </w:r>
    </w:p>
    <w:p>
      <w:pPr>
        <w:numPr>
          <w:ilvl w:val="0"/>
          <w:numId w:val="2"/>
        </w:numPr>
        <w:snapToGrid w:val="0"/>
        <w:spacing w:line="360" w:lineRule="auto"/>
        <w:ind w:left="479" w:leftChars="228"/>
        <w:jc w:val="left"/>
        <w:rPr>
          <w:rFonts w:ascii="宋体" w:hAnsi="宋体" w:cs="宋体"/>
          <w:sz w:val="24"/>
        </w:rPr>
      </w:pPr>
      <w:r>
        <w:rPr>
          <w:rFonts w:hint="eastAsia" w:ascii="宋体" w:hAnsi="宋体" w:cs="宋体"/>
          <w:sz w:val="24"/>
        </w:rPr>
        <w:t>投函…………………………………………………………………………（页码）</w:t>
      </w:r>
    </w:p>
    <w:p>
      <w:pPr>
        <w:snapToGrid w:val="0"/>
        <w:spacing w:line="360" w:lineRule="auto"/>
        <w:ind w:firstLine="480" w:firstLineChars="200"/>
        <w:jc w:val="left"/>
        <w:rPr>
          <w:rFonts w:ascii="宋体" w:hAnsi="宋体" w:cs="宋体"/>
          <w:sz w:val="24"/>
        </w:rPr>
      </w:pPr>
      <w:r>
        <w:rPr>
          <w:rFonts w:hint="eastAsia" w:ascii="宋体" w:hAnsi="宋体" w:cs="宋体"/>
          <w:sz w:val="24"/>
        </w:rPr>
        <w:t>（2）授权委托书或法定代表人（单位负责人、自然人本人）身份证明……（页码）</w:t>
      </w:r>
    </w:p>
    <w:p>
      <w:pPr>
        <w:snapToGrid w:val="0"/>
        <w:spacing w:line="360" w:lineRule="auto"/>
        <w:ind w:left="479" w:leftChars="228"/>
        <w:jc w:val="left"/>
        <w:rPr>
          <w:rFonts w:ascii="宋体" w:hAnsi="宋体" w:cs="宋体"/>
          <w:sz w:val="24"/>
        </w:rPr>
      </w:pPr>
      <w:r>
        <w:rPr>
          <w:rFonts w:hint="eastAsia" w:ascii="宋体" w:hAnsi="宋体" w:cs="宋体"/>
          <w:sz w:val="24"/>
        </w:rPr>
        <w:t>（3）分包意向议…………………………………………………………………（页码）</w:t>
      </w:r>
    </w:p>
    <w:p>
      <w:pPr>
        <w:snapToGrid w:val="0"/>
        <w:spacing w:line="360" w:lineRule="auto"/>
        <w:ind w:firstLine="480" w:firstLineChars="200"/>
        <w:jc w:val="left"/>
        <w:rPr>
          <w:rFonts w:ascii="宋体" w:hAnsi="宋体" w:cs="宋体"/>
          <w:sz w:val="24"/>
        </w:rPr>
      </w:pPr>
      <w:r>
        <w:rPr>
          <w:rFonts w:hint="eastAsia" w:ascii="宋体" w:hAnsi="宋体" w:cs="宋体"/>
          <w:sz w:val="24"/>
        </w:rPr>
        <w:t>（4）符合性审查料………………………………………………………………（页码）</w:t>
      </w:r>
    </w:p>
    <w:p>
      <w:pPr>
        <w:snapToGrid w:val="0"/>
        <w:spacing w:line="360" w:lineRule="auto"/>
        <w:ind w:left="479" w:leftChars="228"/>
        <w:jc w:val="left"/>
        <w:rPr>
          <w:rFonts w:ascii="宋体" w:hAnsi="宋体" w:cs="宋体"/>
          <w:sz w:val="24"/>
        </w:rPr>
      </w:pPr>
      <w:r>
        <w:rPr>
          <w:rFonts w:hint="eastAsia" w:ascii="宋体" w:hAnsi="宋体" w:cs="宋体"/>
          <w:sz w:val="24"/>
        </w:rPr>
        <w:t>（5）评标标准相应的商务技术资料……………………………………………（页码）（6）投标标的清单………………………………………………………………（页码）（7）商务技术偏表………………………………………………………………（页码）</w:t>
      </w:r>
    </w:p>
    <w:p>
      <w:pPr>
        <w:snapToGrid w:val="0"/>
        <w:spacing w:line="360" w:lineRule="auto"/>
        <w:ind w:left="479" w:leftChars="228"/>
        <w:jc w:val="left"/>
        <w:rPr>
          <w:rFonts w:ascii="宋体" w:hAnsi="宋体" w:cs="宋体"/>
          <w:sz w:val="24"/>
        </w:rPr>
      </w:pP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r>
        <w:rPr>
          <w:rFonts w:hint="eastAsia" w:ascii="宋体" w:hAnsi="宋体" w:cs="宋体"/>
          <w:sz w:val="24"/>
        </w:rPr>
        <w:t>…………………………………………（页码）</w:t>
      </w:r>
    </w:p>
    <w:p>
      <w:pPr>
        <w:snapToGrid w:val="0"/>
        <w:spacing w:line="360" w:lineRule="auto"/>
        <w:jc w:val="center"/>
        <w:rPr>
          <w:rFonts w:ascii="宋体" w:hAnsi="宋体" w:cs="宋体"/>
          <w:b/>
          <w:kern w:val="0"/>
          <w:sz w:val="24"/>
          <w:lang w:val="zh-CN"/>
        </w:rPr>
      </w:pPr>
    </w:p>
    <w:p>
      <w:pPr>
        <w:snapToGrid w:val="0"/>
        <w:spacing w:line="360" w:lineRule="auto"/>
        <w:jc w:val="center"/>
        <w:rPr>
          <w:rFonts w:ascii="宋体" w:hAnsi="宋体" w:cs="宋体"/>
          <w:b/>
          <w:kern w:val="0"/>
          <w:sz w:val="24"/>
          <w:lang w:val="zh-CN"/>
        </w:rPr>
      </w:pPr>
    </w:p>
    <w:p>
      <w:pPr>
        <w:snapToGrid w:val="0"/>
        <w:spacing w:line="360" w:lineRule="auto"/>
        <w:jc w:val="center"/>
        <w:rPr>
          <w:rFonts w:ascii="宋体" w:hAnsi="宋体" w:cs="宋体"/>
          <w:b/>
          <w:kern w:val="0"/>
          <w:sz w:val="24"/>
          <w:lang w:val="zh-CN"/>
        </w:rPr>
      </w:pPr>
    </w:p>
    <w:p>
      <w:pPr>
        <w:snapToGrid w:val="0"/>
        <w:spacing w:line="360" w:lineRule="auto"/>
        <w:jc w:val="center"/>
        <w:rPr>
          <w:rFonts w:ascii="宋体" w:hAnsi="宋体" w:cs="宋体"/>
          <w:b/>
          <w:kern w:val="0"/>
          <w:sz w:val="24"/>
          <w:lang w:val="zh-CN"/>
        </w:rPr>
      </w:pPr>
    </w:p>
    <w:p>
      <w:pPr>
        <w:snapToGrid w:val="0"/>
        <w:spacing w:line="360" w:lineRule="auto"/>
        <w:jc w:val="center"/>
        <w:rPr>
          <w:rFonts w:ascii="宋体" w:hAnsi="宋体" w:cs="宋体"/>
          <w:b/>
          <w:kern w:val="0"/>
          <w:sz w:val="24"/>
          <w:lang w:val="zh-CN"/>
        </w:rPr>
      </w:pPr>
    </w:p>
    <w:p>
      <w:pPr>
        <w:snapToGrid w:val="0"/>
        <w:spacing w:line="360" w:lineRule="auto"/>
        <w:jc w:val="center"/>
        <w:rPr>
          <w:rFonts w:ascii="宋体" w:hAnsi="宋体" w:cs="宋体"/>
          <w:b/>
          <w:kern w:val="0"/>
          <w:sz w:val="24"/>
        </w:rPr>
      </w:pPr>
    </w:p>
    <w:p>
      <w:pPr>
        <w:snapToGrid w:val="0"/>
        <w:spacing w:line="360" w:lineRule="auto"/>
        <w:jc w:val="center"/>
        <w:rPr>
          <w:rFonts w:ascii="宋体" w:hAnsi="宋体" w:cs="宋体"/>
          <w:b/>
          <w:kern w:val="0"/>
          <w:sz w:val="24"/>
        </w:rPr>
      </w:pPr>
    </w:p>
    <w:p>
      <w:pPr>
        <w:rPr>
          <w:rFonts w:ascii="宋体" w:hAnsi="宋体" w:cs="宋体"/>
          <w:sz w:val="24"/>
        </w:rPr>
      </w:pPr>
    </w:p>
    <w:p>
      <w:pPr>
        <w:snapToGrid w:val="0"/>
        <w:spacing w:line="360" w:lineRule="auto"/>
        <w:jc w:val="center"/>
        <w:rPr>
          <w:rFonts w:ascii="宋体" w:hAnsi="宋体" w:cs="宋体"/>
          <w:b/>
          <w:kern w:val="0"/>
          <w:sz w:val="24"/>
        </w:rPr>
      </w:pPr>
    </w:p>
    <w:p>
      <w:pPr>
        <w:snapToGrid w:val="0"/>
        <w:spacing w:line="360" w:lineRule="auto"/>
        <w:jc w:val="center"/>
        <w:rPr>
          <w:rFonts w:ascii="宋体" w:hAnsi="宋体" w:cs="宋体"/>
          <w:b/>
          <w:kern w:val="0"/>
          <w:sz w:val="24"/>
        </w:rPr>
      </w:pPr>
    </w:p>
    <w:p>
      <w:pPr>
        <w:tabs>
          <w:tab w:val="left" w:pos="432"/>
        </w:tabs>
        <w:rPr>
          <w:rFonts w:ascii="宋体" w:hAnsi="宋体" w:cs="宋体"/>
          <w:sz w:val="24"/>
        </w:rPr>
      </w:pPr>
    </w:p>
    <w:p>
      <w:pPr>
        <w:rPr>
          <w:rFonts w:ascii="宋体" w:hAnsi="宋体" w:cs="宋体"/>
          <w:sz w:val="24"/>
        </w:rPr>
      </w:pPr>
    </w:p>
    <w:p>
      <w:pPr>
        <w:snapToGrid w:val="0"/>
        <w:spacing w:line="360" w:lineRule="auto"/>
        <w:ind w:firstLine="2891" w:firstLineChars="1200"/>
        <w:rPr>
          <w:rFonts w:ascii="宋体" w:hAnsi="宋体" w:cs="宋体"/>
          <w:b/>
          <w:kern w:val="0"/>
          <w:sz w:val="24"/>
        </w:rPr>
      </w:pPr>
    </w:p>
    <w:p>
      <w:pPr>
        <w:snapToGrid w:val="0"/>
        <w:spacing w:line="360" w:lineRule="auto"/>
        <w:ind w:firstLine="2891" w:firstLineChars="1200"/>
        <w:rPr>
          <w:rFonts w:ascii="宋体" w:hAnsi="宋体" w:cs="宋体"/>
          <w:b/>
          <w:kern w:val="0"/>
          <w:sz w:val="24"/>
        </w:rPr>
      </w:pPr>
    </w:p>
    <w:p>
      <w:pPr>
        <w:snapToGrid w:val="0"/>
        <w:spacing w:line="360" w:lineRule="auto"/>
        <w:ind w:firstLine="2891" w:firstLineChars="1200"/>
        <w:rPr>
          <w:rFonts w:ascii="宋体" w:hAnsi="宋体" w:cs="宋体"/>
          <w:b/>
          <w:kern w:val="0"/>
          <w:sz w:val="24"/>
        </w:rPr>
      </w:pPr>
    </w:p>
    <w:p>
      <w:pPr>
        <w:widowControl/>
        <w:adjustRightInd/>
        <w:jc w:val="left"/>
        <w:rPr>
          <w:rFonts w:ascii="宋体" w:hAnsi="宋体" w:cs="宋体"/>
          <w:b/>
          <w:kern w:val="0"/>
          <w:sz w:val="24"/>
        </w:rPr>
      </w:pPr>
      <w:r>
        <w:rPr>
          <w:rFonts w:hint="eastAsia" w:ascii="宋体" w:hAnsi="宋体" w:cs="宋体"/>
          <w:b/>
          <w:kern w:val="0"/>
          <w:sz w:val="24"/>
        </w:rPr>
        <w:br w:type="page"/>
      </w:r>
    </w:p>
    <w:p>
      <w:pPr>
        <w:snapToGrid w:val="0"/>
        <w:spacing w:line="360" w:lineRule="auto"/>
        <w:jc w:val="center"/>
        <w:rPr>
          <w:rFonts w:ascii="宋体" w:hAnsi="宋体" w:cs="宋体"/>
          <w:b/>
          <w:sz w:val="24"/>
        </w:rPr>
      </w:pPr>
      <w:r>
        <w:rPr>
          <w:rFonts w:hint="eastAsia" w:ascii="宋体" w:hAnsi="宋体" w:cs="宋体"/>
          <w:b/>
          <w:kern w:val="0"/>
          <w:sz w:val="24"/>
        </w:rPr>
        <w:t>一、投标</w:t>
      </w:r>
      <w:r>
        <w:rPr>
          <w:rFonts w:hint="eastAsia" w:ascii="宋体" w:hAnsi="宋体" w:cs="宋体"/>
          <w:b/>
          <w:sz w:val="24"/>
        </w:rPr>
        <w:t>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rPr>
        <w:t>联合协议（如果有)；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2.1.3落实政府采购政策需满足的资格要求</w:t>
      </w:r>
      <w:r>
        <w:rPr>
          <w:rFonts w:hint="eastAsia" w:ascii="宋体" w:hAnsi="宋体" w:cs="宋体"/>
          <w:snapToGrid w:val="0"/>
          <w:kern w:val="28"/>
          <w:sz w:val="24"/>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2.1.4本项目的特定资格要求</w:t>
      </w:r>
      <w:r>
        <w:rPr>
          <w:rFonts w:hint="eastAsia" w:ascii="宋体" w:hAnsi="宋体" w:cs="宋体"/>
          <w:snapToGrid w:val="0"/>
          <w:kern w:val="28"/>
          <w:sz w:val="24"/>
        </w:rPr>
        <w:t>（如果有）</w:t>
      </w:r>
      <w:r>
        <w:rPr>
          <w:rFonts w:hint="eastAsia" w:ascii="宋体" w:hAnsi="宋体" w:cs="宋体"/>
          <w:sz w:val="24"/>
        </w:rPr>
        <w:t>。</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2.2.3分包意向协议</w:t>
      </w:r>
      <w:r>
        <w:rPr>
          <w:rFonts w:hint="eastAsia" w:ascii="宋体" w:hAnsi="宋体" w:cs="宋体"/>
          <w:snapToGrid w:val="0"/>
          <w:kern w:val="28"/>
          <w:sz w:val="24"/>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2.2.4符合性审查资料；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2.2.5评标标准相应的商务技术资料；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2.2.6投标标的清单；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2.2.7商务技术偏离表；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2.3.2 报价情况说明（如果有）；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2.3.3中小企业声明函（如果有）。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3、我方承诺除商务技术偏离表列出的偏离外，我方响应招标文件的全部要求。对投标文件中材料的真实性、合法性负责。</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24"/>
        </w:rPr>
      </w:pPr>
    </w:p>
    <w:p>
      <w:pPr>
        <w:snapToGrid w:val="0"/>
        <w:spacing w:line="360" w:lineRule="auto"/>
        <w:rPr>
          <w:rFonts w:ascii="宋体" w:hAnsi="宋体" w:cs="宋体"/>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widowControl/>
        <w:adjustRightInd/>
        <w:jc w:val="left"/>
        <w:rPr>
          <w:rFonts w:ascii="宋体" w:hAnsi="宋体" w:cs="宋体"/>
          <w:b/>
          <w:kern w:val="0"/>
          <w:sz w:val="24"/>
        </w:rPr>
      </w:pPr>
      <w:r>
        <w:rPr>
          <w:rFonts w:hint="eastAsia" w:ascii="宋体" w:hAnsi="宋体" w:cs="宋体"/>
          <w:b/>
          <w:kern w:val="0"/>
          <w:sz w:val="24"/>
        </w:rPr>
        <w:br w:type="page"/>
      </w:r>
    </w:p>
    <w:p>
      <w:pPr>
        <w:jc w:val="center"/>
        <w:rPr>
          <w:rFonts w:ascii="宋体" w:hAnsi="宋体" w:cs="宋体"/>
          <w:b/>
          <w:kern w:val="0"/>
          <w:sz w:val="24"/>
          <w:lang w:val="zh-CN"/>
        </w:rPr>
      </w:pPr>
      <w:r>
        <w:rPr>
          <w:rFonts w:hint="eastAsia" w:ascii="宋体" w:hAnsi="宋体" w:cs="宋体"/>
          <w:b/>
          <w:kern w:val="0"/>
          <w:sz w:val="24"/>
          <w:lang w:val="zh-CN"/>
        </w:rPr>
        <w:t>二、授权委托书或法定代表人（单位负责人、自然人本人）身份证明</w:t>
      </w:r>
    </w:p>
    <w:p>
      <w:pPr>
        <w:snapToGrid w:val="0"/>
        <w:spacing w:line="360" w:lineRule="auto"/>
        <w:rPr>
          <w:rFonts w:ascii="宋体" w:hAnsi="宋体" w:cs="宋体"/>
          <w:sz w:val="24"/>
        </w:rPr>
      </w:pPr>
      <w:r>
        <w:rPr>
          <w:rFonts w:hint="eastAsia" w:ascii="宋体" w:hAnsi="宋体" w:cs="宋体"/>
          <w:sz w:val="24"/>
        </w:rPr>
        <w:t xml:space="preserve">                                </w:t>
      </w:r>
    </w:p>
    <w:p>
      <w:pPr>
        <w:snapToGrid w:val="0"/>
        <w:spacing w:line="360" w:lineRule="auto"/>
        <w:ind w:firstLine="2154" w:firstLineChars="894"/>
        <w:rPr>
          <w:rFonts w:ascii="宋体" w:hAnsi="宋体" w:cs="宋体"/>
          <w:sz w:val="24"/>
        </w:rPr>
      </w:pPr>
      <w:r>
        <w:rPr>
          <w:rFonts w:hint="eastAsia" w:ascii="宋体" w:hAnsi="宋体" w:cs="宋体"/>
          <w:b/>
          <w:kern w:val="0"/>
          <w:sz w:val="24"/>
          <w:lang w:val="zh-CN"/>
        </w:rPr>
        <w:t>授权委托书（适用于非联合体投标）</w:t>
      </w:r>
      <w:r>
        <w:rPr>
          <w:rFonts w:hint="eastAsia" w:ascii="宋体" w:hAnsi="宋体" w:cs="宋体"/>
          <w:sz w:val="24"/>
        </w:rPr>
        <w:t xml:space="preserve">                               </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snapToGrid w:val="0"/>
        <w:spacing w:line="360" w:lineRule="auto"/>
        <w:rPr>
          <w:rFonts w:ascii="宋体" w:hAnsi="宋体" w:cs="宋体"/>
          <w:sz w:val="24"/>
        </w:rPr>
      </w:pPr>
    </w:p>
    <w:p>
      <w:pPr>
        <w:jc w:val="center"/>
        <w:rPr>
          <w:rFonts w:ascii="宋体" w:hAnsi="宋体" w:cs="宋体"/>
          <w:b/>
          <w:kern w:val="0"/>
          <w:sz w:val="24"/>
        </w:rPr>
      </w:pPr>
      <w:r>
        <w:rPr>
          <w:rFonts w:hint="eastAsia" w:ascii="宋体" w:hAnsi="宋体" w:cs="宋体"/>
          <w:b/>
          <w:kern w:val="0"/>
          <w:sz w:val="24"/>
          <w:lang w:val="zh-CN"/>
        </w:rPr>
        <w:t xml:space="preserve">      </w:t>
      </w:r>
      <w:r>
        <w:rPr>
          <w:rFonts w:hint="eastAsia" w:ascii="宋体" w:hAnsi="宋体" w:cs="宋体"/>
          <w:b/>
          <w:kern w:val="0"/>
          <w:sz w:val="24"/>
        </w:rPr>
        <w:t xml:space="preserve"> </w:t>
      </w:r>
      <w:r>
        <w:rPr>
          <w:rFonts w:hint="eastAsia" w:ascii="宋体" w:hAnsi="宋体" w:cs="宋体"/>
          <w:b/>
          <w:kern w:val="0"/>
          <w:sz w:val="24"/>
          <w:lang w:val="zh-CN"/>
        </w:rPr>
        <w:t>授权委托书（适用于联合体投标）</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rPr>
          <w:rFonts w:ascii="宋体" w:hAnsi="宋体" w:cs="宋体"/>
          <w:sz w:val="24"/>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sz w:val="24"/>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sz w:val="24"/>
        </w:rPr>
      </w:pPr>
      <w:r>
        <w:rPr>
          <w:rFonts w:hint="eastAsia" w:ascii="宋体" w:hAnsi="宋体" w:cs="宋体"/>
          <w:b/>
          <w:kern w:val="0"/>
          <w:sz w:val="24"/>
          <w:lang w:val="zh-CN"/>
        </w:rPr>
        <w:t>法定代表人、单位负责人或自然人本人</w:t>
      </w:r>
      <w:r>
        <w:rPr>
          <w:rFonts w:hint="eastAsia" w:ascii="宋体" w:hAnsi="宋体" w:cs="宋体"/>
          <w:b/>
          <w:sz w:val="24"/>
        </w:rPr>
        <w:t>的身份证明（适用于法定代表人、单位负责人或者自然人本人代表投标人参加投标）</w:t>
      </w:r>
    </w:p>
    <w:p>
      <w:pPr>
        <w:pStyle w:val="148"/>
        <w:spacing w:line="360" w:lineRule="auto"/>
        <w:rPr>
          <w:rFonts w:hAnsi="宋体" w:cs="宋体"/>
          <w:bCs/>
          <w:sz w:val="24"/>
          <w:szCs w:val="24"/>
        </w:rPr>
      </w:pPr>
      <w:r>
        <w:rPr>
          <w:rFonts w:hint="eastAsia" w:hAnsi="宋体" w:cs="宋体"/>
          <w:bCs/>
          <w:sz w:val="24"/>
          <w:szCs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Ansi="宋体" w:cs="宋体"/>
                <w:bCs/>
                <w:sz w:val="24"/>
                <w:szCs w:val="24"/>
              </w:rPr>
            </w:pPr>
            <w:r>
              <w:rPr>
                <w:rFonts w:hint="eastAsia" w:hAnsi="宋体" w:cs="宋体"/>
                <w:bCs/>
                <w:sz w:val="24"/>
                <w:szCs w:val="24"/>
              </w:rPr>
              <w:t>正面：                                 反面：</w:t>
            </w:r>
          </w:p>
          <w:p>
            <w:pPr>
              <w:pStyle w:val="148"/>
              <w:adjustRightInd w:val="0"/>
              <w:spacing w:line="360" w:lineRule="auto"/>
              <w:rPr>
                <w:rFonts w:hAnsi="宋体" w:cs="宋体"/>
                <w:bCs/>
                <w:sz w:val="24"/>
                <w:szCs w:val="24"/>
              </w:rPr>
            </w:pPr>
          </w:p>
        </w:tc>
      </w:tr>
    </w:tbl>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snapToGrid w:val="0"/>
        <w:spacing w:line="360" w:lineRule="auto"/>
        <w:ind w:right="480"/>
        <w:rPr>
          <w:rFonts w:ascii="宋体" w:hAnsi="宋体" w:cs="宋体"/>
          <w:b/>
          <w:kern w:val="0"/>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kern w:val="0"/>
          <w:sz w:val="24"/>
        </w:rPr>
      </w:pPr>
      <w:r>
        <w:rPr>
          <w:rFonts w:hint="eastAsia" w:ascii="宋体" w:hAnsi="宋体" w:cs="宋体"/>
          <w:b/>
          <w:kern w:val="0"/>
          <w:sz w:val="24"/>
        </w:rPr>
        <w:t>三、分包意向协议（如果有）</w:t>
      </w:r>
    </w:p>
    <w:p>
      <w:pPr>
        <w:widowControl/>
        <w:spacing w:line="360" w:lineRule="auto"/>
        <w:ind w:firstLine="120" w:firstLineChars="50"/>
        <w:jc w:val="left"/>
        <w:rPr>
          <w:rFonts w:ascii="宋体" w:hAnsi="宋体" w:cs="宋体"/>
          <w:sz w:val="24"/>
        </w:rPr>
      </w:pPr>
      <w:bookmarkStart w:id="533" w:name="_Hlk101169080"/>
      <w:r>
        <w:rPr>
          <w:rFonts w:hint="eastAsia" w:ascii="宋体" w:hAnsi="宋体" w:cs="宋体"/>
          <w:sz w:val="24"/>
        </w:rPr>
        <w:t>[</w:t>
      </w:r>
      <w:r>
        <w:rPr>
          <w:rFonts w:hint="eastAsia" w:ascii="宋体" w:hAnsi="宋体" w:cs="宋体"/>
          <w:b/>
          <w:sz w:val="24"/>
        </w:rPr>
        <w:t>中标后以分包方式履行合同的，提供分包意向协议(附件6)；采购人不同意分包或者投标人中标后不以分包方式履行合同的，则不需要提供。</w:t>
      </w:r>
      <w:r>
        <w:rPr>
          <w:rFonts w:hint="eastAsia" w:ascii="宋体" w:hAnsi="宋体" w:cs="宋体"/>
          <w:sz w:val="24"/>
        </w:rPr>
        <w:t>]</w:t>
      </w:r>
    </w:p>
    <w:bookmarkEnd w:id="533"/>
    <w:p>
      <w:pPr>
        <w:snapToGrid w:val="0"/>
        <w:spacing w:line="360" w:lineRule="auto"/>
        <w:rPr>
          <w:rFonts w:ascii="宋体" w:hAnsi="宋体" w:cs="宋体"/>
          <w:kern w:val="0"/>
          <w:sz w:val="24"/>
        </w:rPr>
      </w:pPr>
    </w:p>
    <w:p>
      <w:pPr>
        <w:jc w:val="center"/>
        <w:rPr>
          <w:rFonts w:ascii="宋体" w:hAnsi="宋体" w:cs="宋体"/>
          <w:b/>
          <w:kern w:val="0"/>
          <w:sz w:val="24"/>
        </w:rPr>
      </w:pPr>
    </w:p>
    <w:p>
      <w:pPr>
        <w:tabs>
          <w:tab w:val="left" w:pos="432"/>
        </w:tabs>
        <w:rPr>
          <w:rFonts w:ascii="宋体" w:hAnsi="宋体" w:cs="宋体"/>
          <w:sz w:val="24"/>
        </w:rPr>
      </w:pPr>
    </w:p>
    <w:p>
      <w:pPr>
        <w:rPr>
          <w:rFonts w:ascii="宋体" w:hAnsi="宋体" w:cs="宋体"/>
          <w:sz w:val="24"/>
        </w:rPr>
      </w:pPr>
    </w:p>
    <w:p>
      <w:pPr>
        <w:tabs>
          <w:tab w:val="left" w:pos="432"/>
        </w:tabs>
        <w:rPr>
          <w:rFonts w:ascii="宋体" w:hAnsi="宋体" w:cs="宋体"/>
          <w:sz w:val="24"/>
        </w:rPr>
      </w:pPr>
    </w:p>
    <w:p>
      <w:pPr>
        <w:jc w:val="center"/>
        <w:rPr>
          <w:rFonts w:ascii="宋体" w:hAnsi="宋体" w:cs="宋体"/>
          <w:b/>
          <w:kern w:val="0"/>
          <w:sz w:val="24"/>
        </w:rPr>
      </w:pPr>
    </w:p>
    <w:p>
      <w:pPr>
        <w:jc w:val="center"/>
        <w:rPr>
          <w:rFonts w:ascii="宋体" w:hAnsi="宋体" w:cs="宋体"/>
          <w:b/>
          <w:kern w:val="0"/>
          <w:sz w:val="24"/>
        </w:rPr>
      </w:pPr>
      <w:r>
        <w:rPr>
          <w:rFonts w:hint="eastAsia" w:ascii="宋体" w:hAnsi="宋体" w:cs="宋体"/>
          <w:b/>
          <w:kern w:val="0"/>
          <w:sz w:val="24"/>
        </w:rPr>
        <w:t>四、符合性审查资料</w:t>
      </w:r>
    </w:p>
    <w:p>
      <w:pPr>
        <w:jc w:val="center"/>
        <w:rPr>
          <w:rFonts w:ascii="宋体" w:hAnsi="宋体" w:cs="宋体"/>
          <w:b/>
          <w:kern w:val="0"/>
          <w:sz w:val="24"/>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sz w:val="24"/>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24"/>
        </w:rPr>
      </w:pPr>
    </w:p>
    <w:p>
      <w:pPr>
        <w:jc w:val="center"/>
        <w:rPr>
          <w:rFonts w:ascii="宋体" w:hAnsi="宋体" w:cs="宋体"/>
          <w:b/>
          <w:kern w:val="0"/>
          <w:sz w:val="24"/>
        </w:rPr>
      </w:pPr>
      <w:r>
        <w:rPr>
          <w:rFonts w:hint="eastAsia" w:ascii="宋体" w:hAnsi="宋体" w:cs="宋体"/>
          <w:b/>
          <w:kern w:val="0"/>
          <w:sz w:val="24"/>
        </w:rPr>
        <w:t xml:space="preserve">            </w:t>
      </w: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widowControl/>
        <w:adjustRightInd/>
        <w:jc w:val="left"/>
        <w:rPr>
          <w:rFonts w:ascii="宋体" w:hAnsi="宋体" w:cs="宋体"/>
          <w:b/>
          <w:kern w:val="0"/>
          <w:sz w:val="24"/>
        </w:rPr>
      </w:pPr>
      <w:r>
        <w:rPr>
          <w:rFonts w:hint="eastAsia" w:ascii="宋体" w:hAnsi="宋体" w:cs="宋体"/>
          <w:b/>
          <w:kern w:val="0"/>
          <w:sz w:val="24"/>
        </w:rPr>
        <w:br w:type="page"/>
      </w:r>
    </w:p>
    <w:p>
      <w:pPr>
        <w:jc w:val="center"/>
        <w:rPr>
          <w:rFonts w:ascii="宋体" w:hAnsi="宋体" w:cs="宋体"/>
          <w:sz w:val="24"/>
        </w:rPr>
      </w:pPr>
      <w:r>
        <w:rPr>
          <w:rFonts w:hint="eastAsia" w:ascii="宋体" w:hAnsi="宋体" w:cs="宋体"/>
          <w:b/>
          <w:kern w:val="0"/>
          <w:sz w:val="24"/>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p>
    <w:p>
      <w:pPr>
        <w:ind w:firstLine="2168" w:firstLineChars="900"/>
        <w:rPr>
          <w:rFonts w:ascii="宋体" w:hAnsi="宋体" w:cs="宋体"/>
          <w:b/>
          <w:kern w:val="0"/>
          <w:sz w:val="24"/>
        </w:rPr>
      </w:pPr>
      <w:r>
        <w:rPr>
          <w:rFonts w:hint="eastAsia" w:ascii="宋体" w:hAnsi="宋体" w:cs="宋体"/>
          <w:b/>
          <w:kern w:val="0"/>
          <w:sz w:val="24"/>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24"/>
        </w:rPr>
      </w:pPr>
    </w:p>
    <w:p>
      <w:pPr>
        <w:jc w:val="center"/>
        <w:rPr>
          <w:rFonts w:ascii="宋体" w:hAnsi="宋体" w:cs="宋体"/>
          <w:b/>
          <w:kern w:val="0"/>
          <w:sz w:val="24"/>
        </w:rPr>
      </w:pPr>
    </w:p>
    <w:p>
      <w:pPr>
        <w:jc w:val="center"/>
        <w:rPr>
          <w:rFonts w:ascii="宋体" w:hAnsi="宋体" w:cs="宋体"/>
          <w:b/>
          <w:kern w:val="0"/>
          <w:sz w:val="24"/>
        </w:rPr>
      </w:pPr>
      <w:r>
        <w:rPr>
          <w:rFonts w:hint="eastAsia" w:ascii="宋体" w:hAnsi="宋体" w:cs="宋体"/>
          <w:b/>
          <w:kern w:val="0"/>
          <w:sz w:val="24"/>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24"/>
              </w:rPr>
            </w:pPr>
          </w:p>
        </w:tc>
        <w:tc>
          <w:tcPr>
            <w:tcW w:w="3546" w:type="dxa"/>
          </w:tcPr>
          <w:p>
            <w:pPr>
              <w:jc w:val="center"/>
              <w:rPr>
                <w:rFonts w:ascii="宋体" w:hAnsi="宋体" w:cs="宋体"/>
                <w:b/>
                <w:kern w:val="0"/>
                <w:sz w:val="24"/>
              </w:rPr>
            </w:pPr>
          </w:p>
        </w:tc>
        <w:tc>
          <w:tcPr>
            <w:tcW w:w="1276" w:type="dxa"/>
          </w:tcPr>
          <w:p>
            <w:pPr>
              <w:jc w:val="center"/>
              <w:rPr>
                <w:rFonts w:ascii="宋体" w:hAnsi="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24"/>
              </w:rPr>
            </w:pPr>
          </w:p>
        </w:tc>
        <w:tc>
          <w:tcPr>
            <w:tcW w:w="3546" w:type="dxa"/>
          </w:tcPr>
          <w:p>
            <w:pPr>
              <w:jc w:val="center"/>
              <w:rPr>
                <w:rFonts w:ascii="宋体" w:hAnsi="宋体" w:cs="宋体"/>
                <w:b/>
                <w:kern w:val="0"/>
                <w:sz w:val="24"/>
              </w:rPr>
            </w:pPr>
          </w:p>
        </w:tc>
        <w:tc>
          <w:tcPr>
            <w:tcW w:w="1276" w:type="dxa"/>
          </w:tcPr>
          <w:p>
            <w:pPr>
              <w:jc w:val="center"/>
              <w:rPr>
                <w:rFonts w:ascii="宋体" w:hAnsi="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24"/>
              </w:rPr>
            </w:pPr>
          </w:p>
        </w:tc>
        <w:tc>
          <w:tcPr>
            <w:tcW w:w="3546" w:type="dxa"/>
          </w:tcPr>
          <w:p>
            <w:pPr>
              <w:jc w:val="center"/>
              <w:rPr>
                <w:rFonts w:ascii="宋体" w:hAnsi="宋体" w:cs="宋体"/>
                <w:b/>
                <w:kern w:val="0"/>
                <w:sz w:val="24"/>
              </w:rPr>
            </w:pPr>
          </w:p>
        </w:tc>
        <w:tc>
          <w:tcPr>
            <w:tcW w:w="1276" w:type="dxa"/>
          </w:tcPr>
          <w:p>
            <w:pPr>
              <w:jc w:val="center"/>
              <w:rPr>
                <w:rFonts w:ascii="宋体" w:hAnsi="宋体" w:cs="宋体"/>
                <w:b/>
                <w:kern w:val="0"/>
                <w:sz w:val="24"/>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434" w:firstLineChars="595"/>
        <w:rPr>
          <w:rFonts w:ascii="宋体" w:hAnsi="宋体" w:cs="宋体"/>
          <w:b/>
          <w:bCs/>
          <w:sz w:val="24"/>
        </w:rPr>
      </w:pPr>
    </w:p>
    <w:p>
      <w:pPr>
        <w:ind w:firstLine="1434" w:firstLineChars="595"/>
        <w:rPr>
          <w:rFonts w:ascii="宋体" w:hAnsi="宋体" w:cs="宋体"/>
          <w:b/>
          <w:bCs/>
          <w:sz w:val="24"/>
        </w:rPr>
      </w:pPr>
    </w:p>
    <w:p>
      <w:pPr>
        <w:ind w:firstLine="1434" w:firstLineChars="595"/>
        <w:rPr>
          <w:rFonts w:ascii="宋体" w:hAnsi="宋体" w:cs="宋体"/>
          <w:b/>
          <w:bCs/>
          <w:sz w:val="24"/>
        </w:rPr>
      </w:pPr>
    </w:p>
    <w:p>
      <w:pPr>
        <w:ind w:firstLine="1434" w:firstLineChars="595"/>
        <w:rPr>
          <w:rFonts w:ascii="宋体" w:hAnsi="宋体" w:cs="宋体"/>
          <w:b/>
          <w:bCs/>
          <w:sz w:val="24"/>
        </w:rPr>
      </w:pPr>
    </w:p>
    <w:p>
      <w:pPr>
        <w:ind w:firstLine="1434" w:firstLineChars="595"/>
        <w:rPr>
          <w:rFonts w:ascii="宋体" w:hAnsi="宋体" w:cs="宋体"/>
          <w:b/>
          <w:bCs/>
          <w:sz w:val="24"/>
        </w:rPr>
      </w:pPr>
    </w:p>
    <w:p>
      <w:pPr>
        <w:widowControl/>
        <w:adjustRightInd/>
        <w:jc w:val="left"/>
        <w:rPr>
          <w:rFonts w:ascii="宋体" w:hAnsi="宋体" w:cs="宋体"/>
          <w:b/>
          <w:bCs/>
          <w:sz w:val="24"/>
        </w:rPr>
      </w:pPr>
      <w:r>
        <w:rPr>
          <w:rFonts w:hint="eastAsia" w:ascii="宋体" w:hAnsi="宋体" w:cs="宋体"/>
          <w:b/>
          <w:bCs/>
          <w:sz w:val="24"/>
        </w:rPr>
        <w:br w:type="page"/>
      </w:r>
    </w:p>
    <w:p>
      <w:pPr>
        <w:ind w:firstLine="1434" w:firstLineChars="595"/>
        <w:rPr>
          <w:rFonts w:ascii="宋体" w:hAnsi="宋体" w:cs="宋体"/>
          <w:b/>
          <w:kern w:val="0"/>
          <w:sz w:val="24"/>
        </w:rPr>
      </w:pPr>
      <w:r>
        <w:rPr>
          <w:rFonts w:hint="eastAsia" w:ascii="宋体" w:hAnsi="宋体" w:cs="宋体"/>
          <w:b/>
          <w:bCs/>
          <w:sz w:val="24"/>
        </w:rPr>
        <w:t>八</w:t>
      </w:r>
      <w:r>
        <w:rPr>
          <w:rFonts w:hint="eastAsia" w:ascii="宋体" w:hAnsi="宋体" w:cs="宋体"/>
          <w:b/>
          <w:kern w:val="0"/>
          <w:sz w:val="24"/>
        </w:rPr>
        <w:t>、</w:t>
      </w:r>
      <w:r>
        <w:rPr>
          <w:rFonts w:hint="eastAsia" w:ascii="宋体" w:hAnsi="宋体" w:cs="宋体"/>
          <w:b/>
          <w:kern w:val="0"/>
          <w:sz w:val="24"/>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rPr>
          <w:rFonts w:ascii="宋体" w:hAnsi="宋体" w:cs="宋体"/>
          <w:b/>
          <w:kern w:val="0"/>
          <w:sz w:val="24"/>
        </w:rPr>
      </w:pPr>
      <w:r>
        <w:rPr>
          <w:rFonts w:hint="eastAsia" w:ascii="宋体" w:hAnsi="宋体" w:cs="宋体"/>
          <w:b/>
          <w:kern w:val="0"/>
          <w:sz w:val="24"/>
        </w:rPr>
        <w:t>报价文件部分</w:t>
      </w:r>
    </w:p>
    <w:p>
      <w:pPr>
        <w:spacing w:line="360" w:lineRule="auto"/>
        <w:jc w:val="center"/>
        <w:rPr>
          <w:rFonts w:ascii="宋体" w:hAnsi="宋体" w:cs="宋体"/>
          <w:b/>
          <w:kern w:val="0"/>
          <w:sz w:val="24"/>
        </w:rPr>
      </w:pPr>
      <w:r>
        <w:rPr>
          <w:rFonts w:hint="eastAsia" w:ascii="宋体" w:hAnsi="宋体" w:cs="宋体"/>
          <w:b/>
          <w:kern w:val="0"/>
          <w:sz w:val="24"/>
        </w:rPr>
        <w:t>目录</w:t>
      </w:r>
    </w:p>
    <w:p>
      <w:pPr>
        <w:spacing w:line="360" w:lineRule="auto"/>
        <w:jc w:val="center"/>
        <w:rPr>
          <w:rFonts w:ascii="宋体" w:hAnsi="宋体" w:cs="宋体"/>
          <w:b/>
          <w:kern w:val="0"/>
          <w:sz w:val="24"/>
        </w:rPr>
      </w:pPr>
    </w:p>
    <w:p>
      <w:pPr>
        <w:numPr>
          <w:ilvl w:val="0"/>
          <w:numId w:val="3"/>
        </w:numPr>
        <w:snapToGrid w:val="0"/>
        <w:spacing w:line="360" w:lineRule="auto"/>
        <w:rPr>
          <w:rFonts w:ascii="宋体" w:hAnsi="宋体" w:cs="宋体"/>
          <w:sz w:val="24"/>
        </w:rPr>
      </w:pPr>
      <w:r>
        <w:rPr>
          <w:rFonts w:hint="eastAsia" w:ascii="宋体" w:hAnsi="宋体" w:cs="宋体"/>
          <w:sz w:val="24"/>
        </w:rPr>
        <w:t>开标一览表（报价表）………………………………………………………（页码）</w:t>
      </w:r>
    </w:p>
    <w:p>
      <w:pPr>
        <w:snapToGrid w:val="0"/>
        <w:spacing w:line="360" w:lineRule="auto"/>
        <w:rPr>
          <w:rFonts w:ascii="宋体" w:hAnsi="宋体" w:cs="宋体"/>
          <w:sz w:val="24"/>
        </w:rPr>
      </w:pPr>
      <w:r>
        <w:rPr>
          <w:rFonts w:hint="eastAsia" w:ascii="宋体" w:hAnsi="宋体" w:cs="宋体"/>
          <w:sz w:val="24"/>
        </w:rPr>
        <w:t>（2）</w:t>
      </w:r>
      <w:r>
        <w:rPr>
          <w:rFonts w:hint="eastAsia" w:ascii="宋体" w:hAnsi="宋体" w:cs="宋体"/>
          <w:bCs/>
          <w:snapToGrid w:val="0"/>
          <w:sz w:val="24"/>
        </w:rPr>
        <w:t>报价情况说明</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（3）中小企业声明函………………………………………………………………（页码）</w:t>
      </w:r>
    </w:p>
    <w:p>
      <w:pPr>
        <w:pStyle w:val="79"/>
        <w:ind w:firstLine="480"/>
        <w:rPr>
          <w:rFonts w:ascii="宋体" w:hAnsi="宋体" w:eastAsia="宋体" w:cs="宋体"/>
          <w:sz w:val="24"/>
          <w:szCs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snapToGrid w:val="0"/>
        <w:spacing w:line="360" w:lineRule="auto"/>
        <w:ind w:right="480"/>
        <w:jc w:val="center"/>
        <w:rPr>
          <w:rFonts w:ascii="宋体" w:hAnsi="宋体" w:cs="宋体"/>
          <w:b/>
          <w:kern w:val="0"/>
          <w:sz w:val="24"/>
        </w:rPr>
      </w:pPr>
    </w:p>
    <w:p>
      <w:pPr>
        <w:pStyle w:val="692"/>
        <w:keepNext w:val="0"/>
        <w:pageBreakBefore w:val="0"/>
        <w:tabs>
          <w:tab w:val="clear" w:pos="720"/>
        </w:tabs>
        <w:snapToGrid w:val="0"/>
        <w:spacing w:before="120" w:after="120"/>
        <w:ind w:firstLine="643"/>
        <w:outlineLvl w:val="9"/>
        <w:rPr>
          <w:rFonts w:ascii="宋体" w:hAnsi="宋体" w:eastAsia="宋体" w:cs="宋体"/>
          <w:kern w:val="2"/>
          <w:sz w:val="24"/>
          <w:szCs w:val="24"/>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宋体" w:hAnsi="宋体" w:eastAsia="宋体" w:cs="宋体"/>
          <w:kern w:val="2"/>
          <w:sz w:val="24"/>
          <w:szCs w:val="24"/>
        </w:rPr>
      </w:pPr>
      <w:bookmarkStart w:id="534" w:name="_Toc24386"/>
      <w:bookmarkStart w:id="535" w:name="_Toc8418"/>
      <w:r>
        <w:rPr>
          <w:rFonts w:hint="eastAsia" w:ascii="宋体" w:hAnsi="宋体" w:eastAsia="宋体" w:cs="宋体"/>
          <w:kern w:val="2"/>
          <w:sz w:val="24"/>
          <w:szCs w:val="24"/>
        </w:rPr>
        <w:t>一、开标一览表（报价表）</w:t>
      </w:r>
      <w:bookmarkEnd w:id="534"/>
      <w:bookmarkEnd w:id="535"/>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1</w:t>
            </w:r>
          </w:p>
        </w:tc>
        <w:tc>
          <w:tcPr>
            <w:tcW w:w="1417" w:type="dxa"/>
            <w:vAlign w:val="center"/>
          </w:tcPr>
          <w:p>
            <w:pPr>
              <w:snapToGrid w:val="0"/>
              <w:spacing w:line="360" w:lineRule="auto"/>
              <w:jc w:val="center"/>
              <w:rPr>
                <w:rFonts w:ascii="宋体" w:hAnsi="宋体" w:cs="宋体"/>
                <w:color w:val="0000FF"/>
                <w:sz w:val="24"/>
              </w:rPr>
            </w:pPr>
            <w:r>
              <w:rPr>
                <w:rFonts w:hint="eastAsia" w:ascii="宋体" w:hAnsi="宋体" w:cs="宋体"/>
                <w:color w:val="0000FF"/>
                <w:sz w:val="24"/>
              </w:rPr>
              <w:t>XX</w:t>
            </w: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2</w:t>
            </w:r>
          </w:p>
        </w:tc>
        <w:tc>
          <w:tcPr>
            <w:tcW w:w="1417" w:type="dxa"/>
            <w:vAlign w:val="center"/>
          </w:tcPr>
          <w:p>
            <w:pPr>
              <w:snapToGrid w:val="0"/>
              <w:spacing w:line="360" w:lineRule="auto"/>
              <w:jc w:val="center"/>
              <w:rPr>
                <w:rFonts w:ascii="宋体" w:hAnsi="宋体" w:cs="宋体"/>
                <w:color w:val="0000FF"/>
                <w:sz w:val="24"/>
              </w:rPr>
            </w:pPr>
            <w:r>
              <w:rPr>
                <w:rFonts w:hint="eastAsia" w:ascii="宋体" w:hAnsi="宋体" w:cs="宋体"/>
                <w:color w:val="0000FF"/>
                <w:sz w:val="24"/>
              </w:rPr>
              <w:t>XX</w:t>
            </w: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w:t>
            </w:r>
          </w:p>
        </w:tc>
        <w:tc>
          <w:tcPr>
            <w:tcW w:w="1417" w:type="dxa"/>
            <w:vAlign w:val="center"/>
          </w:tcPr>
          <w:p>
            <w:pPr>
              <w:snapToGrid w:val="0"/>
              <w:spacing w:line="360" w:lineRule="auto"/>
              <w:jc w:val="center"/>
              <w:rPr>
                <w:rFonts w:ascii="宋体" w:hAnsi="宋体" w:cs="宋体"/>
                <w:color w:val="0000FF"/>
                <w:sz w:val="24"/>
              </w:rPr>
            </w:pP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2"/>
        <w:keepNext w:val="0"/>
        <w:pageBreakBefore w:val="0"/>
        <w:tabs>
          <w:tab w:val="clear" w:pos="720"/>
        </w:tabs>
        <w:snapToGrid w:val="0"/>
        <w:spacing w:before="120" w:after="120"/>
        <w:ind w:firstLine="643"/>
        <w:outlineLvl w:val="9"/>
        <w:rPr>
          <w:rFonts w:ascii="宋体" w:hAnsi="宋体" w:eastAsia="宋体" w:cs="宋体"/>
          <w:kern w:val="2"/>
          <w:sz w:val="24"/>
          <w:szCs w:val="24"/>
        </w:rPr>
      </w:pPr>
    </w:p>
    <w:p>
      <w:pPr>
        <w:pStyle w:val="692"/>
        <w:keepNext w:val="0"/>
        <w:pageBreakBefore w:val="0"/>
        <w:tabs>
          <w:tab w:val="clear" w:pos="720"/>
        </w:tabs>
        <w:snapToGrid w:val="0"/>
        <w:spacing w:before="120" w:after="120"/>
        <w:ind w:firstLine="643"/>
        <w:outlineLvl w:val="9"/>
        <w:rPr>
          <w:rFonts w:ascii="宋体" w:hAnsi="宋体" w:eastAsia="宋体" w:cs="宋体"/>
          <w:kern w:val="2"/>
          <w:sz w:val="24"/>
          <w:szCs w:val="24"/>
        </w:rPr>
        <w:sectPr>
          <w:pgSz w:w="16838" w:h="11906" w:orient="landscape"/>
          <w:pgMar w:top="1418" w:right="1247" w:bottom="1418" w:left="1276" w:header="851" w:footer="992" w:gutter="0"/>
          <w:cols w:space="720" w:num="1"/>
          <w:titlePg/>
          <w:docGrid w:linePitch="312" w:charSpace="0"/>
        </w:sectPr>
      </w:pPr>
    </w:p>
    <w:p>
      <w:pPr>
        <w:pStyle w:val="692"/>
        <w:keepNext w:val="0"/>
        <w:pageBreakBefore w:val="0"/>
        <w:numPr>
          <w:ilvl w:val="0"/>
          <w:numId w:val="4"/>
        </w:numPr>
        <w:tabs>
          <w:tab w:val="clear" w:pos="720"/>
        </w:tabs>
        <w:snapToGrid w:val="0"/>
        <w:spacing w:before="120" w:after="120"/>
        <w:ind w:firstLine="643"/>
        <w:outlineLvl w:val="9"/>
        <w:rPr>
          <w:rFonts w:ascii="宋体" w:hAnsi="宋体" w:eastAsia="宋体" w:cs="宋体"/>
          <w:color w:val="FF0000"/>
          <w:kern w:val="2"/>
          <w:sz w:val="24"/>
          <w:szCs w:val="24"/>
        </w:rPr>
      </w:pPr>
      <w:bookmarkStart w:id="536" w:name="_Toc31566"/>
      <w:bookmarkStart w:id="537" w:name="_Toc437"/>
      <w:r>
        <w:rPr>
          <w:rFonts w:hint="eastAsia" w:ascii="宋体" w:hAnsi="宋体" w:eastAsia="宋体" w:cs="宋体"/>
          <w:color w:val="FF0000"/>
          <w:kern w:val="2"/>
          <w:sz w:val="24"/>
          <w:szCs w:val="24"/>
        </w:rPr>
        <w:t>报价情况说明（如果有）</w:t>
      </w:r>
      <w:bookmarkEnd w:id="536"/>
      <w:bookmarkEnd w:id="537"/>
    </w:p>
    <w:p>
      <w:pPr>
        <w:numPr>
          <w:ilvl w:val="255"/>
          <w:numId w:val="0"/>
        </w:numPr>
        <w:snapToGrid w:val="0"/>
        <w:spacing w:before="120" w:after="120"/>
        <w:rPr>
          <w:rFonts w:ascii="宋体" w:hAnsi="宋体" w:cs="宋体"/>
          <w:color w:val="FF0000"/>
          <w:sz w:val="24"/>
        </w:rPr>
      </w:pPr>
      <w:r>
        <w:rPr>
          <w:rFonts w:hint="eastAsia" w:ascii="宋体" w:hAnsi="宋体" w:cs="宋体"/>
          <w:color w:val="FF0000"/>
          <w:sz w:val="24"/>
        </w:rPr>
        <w:t>（如供应商报价低于项目预算50%的，应当提交本文档，详细阐述不影响产品质量或者诚信履约的具体原因。）</w:t>
      </w:r>
    </w:p>
    <w:p>
      <w:pPr>
        <w:pStyle w:val="692"/>
        <w:keepNext w:val="0"/>
        <w:pageBreakBefore w:val="0"/>
        <w:tabs>
          <w:tab w:val="clear" w:pos="720"/>
        </w:tabs>
        <w:snapToGrid w:val="0"/>
        <w:spacing w:before="120" w:after="120"/>
        <w:ind w:firstLine="643"/>
        <w:outlineLvl w:val="9"/>
        <w:rPr>
          <w:rFonts w:ascii="宋体" w:hAnsi="宋体" w:eastAsia="宋体" w:cs="宋体"/>
          <w:color w:val="FF0000"/>
          <w:kern w:val="2"/>
          <w:sz w:val="24"/>
          <w:szCs w:val="24"/>
        </w:rPr>
      </w:pPr>
    </w:p>
    <w:p>
      <w:pPr>
        <w:pStyle w:val="692"/>
        <w:keepNext w:val="0"/>
        <w:pageBreakBefore w:val="0"/>
        <w:tabs>
          <w:tab w:val="clear" w:pos="720"/>
        </w:tabs>
        <w:snapToGrid w:val="0"/>
        <w:spacing w:before="120" w:after="120"/>
        <w:ind w:firstLine="643"/>
        <w:outlineLvl w:val="9"/>
        <w:rPr>
          <w:rFonts w:ascii="宋体" w:hAnsi="宋体" w:eastAsia="宋体" w:cs="宋体"/>
          <w:color w:val="FF0000"/>
          <w:kern w:val="2"/>
          <w:sz w:val="24"/>
          <w:szCs w:val="24"/>
        </w:rPr>
      </w:pPr>
    </w:p>
    <w:p>
      <w:pPr>
        <w:pStyle w:val="692"/>
        <w:keepNext w:val="0"/>
        <w:pageBreakBefore w:val="0"/>
        <w:tabs>
          <w:tab w:val="clear" w:pos="720"/>
        </w:tabs>
        <w:snapToGrid w:val="0"/>
        <w:spacing w:before="120" w:after="120"/>
        <w:ind w:firstLine="643"/>
        <w:outlineLvl w:val="9"/>
        <w:rPr>
          <w:rFonts w:ascii="宋体" w:hAnsi="宋体" w:eastAsia="宋体" w:cs="宋体"/>
          <w:color w:val="FF0000"/>
          <w:sz w:val="24"/>
          <w:szCs w:val="24"/>
        </w:rPr>
      </w:pPr>
      <w:bookmarkStart w:id="538" w:name="_Toc234"/>
      <w:bookmarkStart w:id="539" w:name="_Toc27352"/>
      <w:r>
        <w:rPr>
          <w:rFonts w:hint="eastAsia" w:ascii="宋体" w:hAnsi="宋体" w:eastAsia="宋体" w:cs="宋体"/>
          <w:color w:val="FF0000"/>
          <w:kern w:val="2"/>
          <w:sz w:val="24"/>
          <w:szCs w:val="24"/>
        </w:rPr>
        <w:t>三、</w:t>
      </w:r>
      <w:r>
        <w:rPr>
          <w:rFonts w:hint="eastAsia" w:ascii="宋体" w:hAnsi="宋体" w:eastAsia="宋体" w:cs="宋体"/>
          <w:color w:val="FF0000"/>
          <w:sz w:val="24"/>
          <w:szCs w:val="24"/>
        </w:rPr>
        <w:t>中小企业声明函</w:t>
      </w:r>
      <w:bookmarkStart w:id="540" w:name="_Hlk101259491"/>
      <w:r>
        <w:rPr>
          <w:rFonts w:hint="eastAsia" w:ascii="宋体" w:hAnsi="宋体" w:eastAsia="宋体" w:cs="宋体"/>
          <w:color w:val="FF0000"/>
          <w:sz w:val="24"/>
          <w:szCs w:val="24"/>
        </w:rPr>
        <w:t>（如果有）</w:t>
      </w:r>
      <w:bookmarkEnd w:id="538"/>
      <w:bookmarkEnd w:id="539"/>
      <w:bookmarkEnd w:id="540"/>
    </w:p>
    <w:p>
      <w:pPr>
        <w:widowControl/>
        <w:spacing w:line="360" w:lineRule="auto"/>
        <w:ind w:firstLine="120" w:firstLineChars="50"/>
        <w:jc w:val="left"/>
        <w:rPr>
          <w:rFonts w:ascii="宋体" w:hAnsi="宋体" w:cs="宋体"/>
          <w:b/>
          <w:color w:val="FF0000"/>
          <w:sz w:val="24"/>
        </w:rPr>
      </w:pPr>
      <w:r>
        <w:rPr>
          <w:rFonts w:hint="eastAsia" w:ascii="宋体" w:hAnsi="宋体" w:cs="宋体"/>
          <w:b/>
          <w:color w:val="FF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2"/>
        <w:keepNext w:val="0"/>
        <w:pageBreakBefore w:val="0"/>
        <w:tabs>
          <w:tab w:val="clear" w:pos="720"/>
        </w:tabs>
        <w:snapToGrid w:val="0"/>
        <w:spacing w:before="120" w:after="120"/>
        <w:ind w:firstLine="643"/>
        <w:outlineLvl w:val="9"/>
        <w:rPr>
          <w:rFonts w:ascii="宋体" w:hAnsi="宋体" w:eastAsia="宋体" w:cs="宋体"/>
          <w:b w:val="0"/>
          <w:color w:val="FF0000"/>
          <w:sz w:val="24"/>
          <w:szCs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rPr>
          <w:rFonts w:ascii="宋体" w:hAnsi="宋体" w:cs="宋体"/>
          <w:b/>
          <w:sz w:val="24"/>
        </w:rPr>
      </w:pPr>
      <w:r>
        <w:rPr>
          <w:rFonts w:hint="eastAsia" w:ascii="宋体" w:hAnsi="宋体" w:cs="宋体"/>
          <w:b/>
          <w:sz w:val="24"/>
        </w:rPr>
        <w:br w:type="page"/>
      </w:r>
    </w:p>
    <w:p>
      <w:pPr>
        <w:tabs>
          <w:tab w:val="left" w:pos="8085"/>
        </w:tabs>
        <w:spacing w:line="360" w:lineRule="auto"/>
        <w:jc w:val="center"/>
        <w:rPr>
          <w:rFonts w:ascii="宋体" w:hAnsi="宋体" w:cs="宋体"/>
          <w:b/>
          <w:sz w:val="24"/>
        </w:rPr>
      </w:pPr>
      <w:r>
        <w:rPr>
          <w:rFonts w:hint="eastAsia" w:ascii="宋体" w:hAnsi="宋体" w:cs="宋体"/>
          <w:b/>
          <w:sz w:val="24"/>
        </w:rPr>
        <w:t>政府采购支持中小企业信用融资相关事项通知</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为支持和促进中小企业发展，进一步发挥政府采购政策功能，根据《杭州市政府采购支持中小企业信用融资管理办法》《关于钱塘区政府采购支持中小企业信用融资有关事项的通知》，现将相关事项通知如下：</w:t>
      </w:r>
    </w:p>
    <w:p>
      <w:pPr>
        <w:snapToGrid w:val="0"/>
        <w:spacing w:line="360" w:lineRule="auto"/>
        <w:ind w:firstLine="482" w:firstLineChars="200"/>
        <w:jc w:val="left"/>
        <w:rPr>
          <w:rFonts w:ascii="宋体" w:hAnsi="宋体" w:cs="宋体"/>
          <w:b/>
          <w:bCs/>
          <w:kern w:val="0"/>
          <w:sz w:val="24"/>
          <w:lang w:val="zh-CN"/>
        </w:rPr>
      </w:pPr>
      <w:r>
        <w:rPr>
          <w:rFonts w:hint="eastAsia" w:ascii="宋体" w:hAnsi="宋体" w:cs="宋体"/>
          <w:b/>
          <w:bCs/>
          <w:kern w:val="0"/>
          <w:sz w:val="24"/>
          <w:lang w:val="zh-CN"/>
        </w:rPr>
        <w:t>一、适用对象</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在浙江“政采云”平台注册入库，并取得钱塘区政府采购合同的中小企业供应商。</w:t>
      </w:r>
    </w:p>
    <w:p>
      <w:pPr>
        <w:snapToGrid w:val="0"/>
        <w:spacing w:line="360" w:lineRule="auto"/>
        <w:ind w:firstLine="482" w:firstLineChars="200"/>
        <w:jc w:val="left"/>
        <w:rPr>
          <w:rFonts w:ascii="宋体" w:hAnsi="宋体" w:cs="宋体"/>
          <w:b/>
          <w:bCs/>
          <w:kern w:val="0"/>
          <w:sz w:val="24"/>
          <w:lang w:val="zh-CN"/>
        </w:rPr>
      </w:pPr>
      <w:r>
        <w:rPr>
          <w:rFonts w:hint="eastAsia" w:ascii="宋体" w:hAnsi="宋体" w:cs="宋体"/>
          <w:b/>
          <w:bCs/>
          <w:kern w:val="0"/>
          <w:sz w:val="24"/>
          <w:lang w:val="zh-CN"/>
        </w:rPr>
        <w:t>二、相关信息获取方式</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请登陆杭州钱塘区管理委员会官网（http://qt.hangzhou.gov.cn） “公告公示”专栏，查看信用融资政策文件及各相关银行服务方案。</w:t>
      </w:r>
    </w:p>
    <w:p>
      <w:pPr>
        <w:snapToGrid w:val="0"/>
        <w:spacing w:line="360" w:lineRule="auto"/>
        <w:ind w:firstLine="482" w:firstLineChars="200"/>
        <w:jc w:val="left"/>
        <w:rPr>
          <w:rFonts w:ascii="宋体" w:hAnsi="宋体" w:cs="宋体"/>
          <w:b/>
          <w:bCs/>
          <w:kern w:val="0"/>
          <w:sz w:val="24"/>
          <w:lang w:val="zh-CN"/>
        </w:rPr>
      </w:pPr>
      <w:r>
        <w:rPr>
          <w:rFonts w:hint="eastAsia" w:ascii="宋体" w:hAnsi="宋体" w:cs="宋体"/>
          <w:b/>
          <w:bCs/>
          <w:kern w:val="0"/>
          <w:sz w:val="24"/>
          <w:lang w:val="zh-CN"/>
        </w:rPr>
        <w:t>三、申请方式和步骤</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1、供应商若有融资意向，需先与钱塘区财政局合作的银行对接，办理相关融资前期手续；</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2、中标后，供应商应与采购单位或者采购代理机构及时联系，告知融资需求；</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3、相关合作银行联系并审核供应商及相关中标信息，办理相关融资事宜；</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rPr>
        <w:t>4</w:t>
      </w:r>
      <w:r>
        <w:rPr>
          <w:rFonts w:hint="eastAsia" w:ascii="宋体" w:hAnsi="宋体" w:cs="宋体"/>
          <w:kern w:val="0"/>
          <w:sz w:val="24"/>
          <w:lang w:val="zh-CN"/>
        </w:rPr>
        <w:t>、采购单位应及时将信用融资合同提交备案。</w:t>
      </w:r>
    </w:p>
    <w:p>
      <w:pPr>
        <w:snapToGrid w:val="0"/>
        <w:spacing w:line="360" w:lineRule="auto"/>
        <w:ind w:firstLine="482" w:firstLineChars="200"/>
        <w:jc w:val="left"/>
        <w:rPr>
          <w:rFonts w:ascii="宋体" w:hAnsi="宋体" w:cs="宋体"/>
          <w:b/>
          <w:bCs/>
          <w:kern w:val="0"/>
          <w:sz w:val="24"/>
          <w:lang w:val="zh-CN"/>
        </w:rPr>
      </w:pPr>
      <w:r>
        <w:rPr>
          <w:rFonts w:hint="eastAsia" w:ascii="宋体" w:hAnsi="宋体" w:cs="宋体"/>
          <w:b/>
          <w:bCs/>
          <w:kern w:val="0"/>
          <w:sz w:val="24"/>
          <w:lang w:val="zh-CN"/>
        </w:rPr>
        <w:t>四、注意事项</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请各采购单位和采购代理机构积极支持和配合政府采购信用融资工作，在合同备案环节务必请仔细核对收款银行、账号信息等内容。</w:t>
      </w:r>
    </w:p>
    <w:p>
      <w:pPr>
        <w:snapToGrid w:val="0"/>
        <w:spacing w:line="360" w:lineRule="auto"/>
        <w:ind w:firstLine="482" w:firstLineChars="200"/>
        <w:jc w:val="left"/>
        <w:rPr>
          <w:rFonts w:ascii="宋体" w:hAnsi="宋体" w:cs="宋体"/>
          <w:b/>
          <w:bCs/>
          <w:kern w:val="0"/>
          <w:sz w:val="24"/>
          <w:lang w:val="zh-CN"/>
        </w:rPr>
      </w:pPr>
      <w:r>
        <w:rPr>
          <w:rFonts w:hint="eastAsia" w:ascii="宋体" w:hAnsi="宋体" w:cs="宋体"/>
          <w:b/>
          <w:bCs/>
          <w:kern w:val="0"/>
          <w:sz w:val="24"/>
          <w:lang w:val="zh-CN"/>
        </w:rPr>
        <w:t>五、合作银行及联系方式</w:t>
      </w:r>
    </w:p>
    <w:tbl>
      <w:tblPr>
        <w:tblStyle w:val="62"/>
        <w:tblW w:w="8740" w:type="dxa"/>
        <w:tblInd w:w="95" w:type="dxa"/>
        <w:tblLayout w:type="fixed"/>
        <w:tblCellMar>
          <w:top w:w="0" w:type="dxa"/>
          <w:left w:w="108" w:type="dxa"/>
          <w:bottom w:w="0" w:type="dxa"/>
          <w:right w:w="108" w:type="dxa"/>
        </w:tblCellMar>
      </w:tblPr>
      <w:tblGrid>
        <w:gridCol w:w="1080"/>
        <w:gridCol w:w="3020"/>
        <w:gridCol w:w="1420"/>
        <w:gridCol w:w="3220"/>
      </w:tblGrid>
      <w:tr>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序号</w:t>
            </w:r>
          </w:p>
        </w:tc>
        <w:tc>
          <w:tcPr>
            <w:tcW w:w="30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银行</w:t>
            </w:r>
          </w:p>
        </w:tc>
        <w:tc>
          <w:tcPr>
            <w:tcW w:w="14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联系人</w:t>
            </w:r>
          </w:p>
        </w:tc>
        <w:tc>
          <w:tcPr>
            <w:tcW w:w="32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电话</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1</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建设银行钱塘支行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张苏航</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13065710830</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2</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中信银行开发支行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左劼</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13777889798</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3</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民生银行下沙支行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吕刚</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13906811832</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4</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杭州银行钱塘支行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费莎</w:t>
            </w:r>
          </w:p>
          <w:p>
            <w:pPr>
              <w:widowControl/>
              <w:jc w:val="center"/>
              <w:rPr>
                <w:rFonts w:ascii="宋体" w:hAnsi="宋体" w:cs="宋体"/>
                <w:kern w:val="0"/>
                <w:sz w:val="24"/>
              </w:rPr>
            </w:pPr>
            <w:r>
              <w:rPr>
                <w:rFonts w:hint="eastAsia" w:ascii="宋体" w:hAnsi="宋体" w:cs="宋体"/>
                <w:kern w:val="0"/>
                <w:sz w:val="24"/>
              </w:rPr>
              <w:t>严培蓓</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13388617781</w:t>
            </w:r>
          </w:p>
          <w:p>
            <w:pPr>
              <w:widowControl/>
              <w:jc w:val="center"/>
              <w:rPr>
                <w:rFonts w:ascii="宋体" w:hAnsi="宋体" w:cs="宋体"/>
                <w:kern w:val="0"/>
                <w:sz w:val="24"/>
              </w:rPr>
            </w:pPr>
            <w:r>
              <w:rPr>
                <w:rFonts w:hint="eastAsia" w:ascii="宋体" w:hAnsi="宋体" w:cs="宋体"/>
                <w:kern w:val="0"/>
                <w:sz w:val="24"/>
              </w:rPr>
              <w:t>13858023883</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5</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兴业银行开发区支行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丁萍</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13777421564</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6</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中国银行钱塘支行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沈振华</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13957168926</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7</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工商银行开发区支行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李燕珍</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137357 38</w:t>
            </w:r>
          </w:p>
        </w:tc>
      </w:tr>
      <w:tr>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8</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宁波银行开发区支行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贾磊</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13575745232</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9</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杭州联合银行下沙支行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王宁</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18906520030</w:t>
            </w:r>
          </w:p>
        </w:tc>
      </w:tr>
      <w:tr>
        <w:tblPrEx>
          <w:tblCellMar>
            <w:top w:w="0" w:type="dxa"/>
            <w:left w:w="108" w:type="dxa"/>
            <w:bottom w:w="0" w:type="dxa"/>
            <w:right w:w="108" w:type="dxa"/>
          </w:tblCellMar>
        </w:tblPrEx>
        <w:trPr>
          <w:trHeight w:val="562"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10</w:t>
            </w:r>
          </w:p>
        </w:tc>
        <w:tc>
          <w:tcPr>
            <w:tcW w:w="30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农业银行钱塘支行</w:t>
            </w:r>
          </w:p>
        </w:tc>
        <w:tc>
          <w:tcPr>
            <w:tcW w:w="14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王安东</w:t>
            </w:r>
          </w:p>
          <w:p>
            <w:pPr>
              <w:widowControl/>
              <w:jc w:val="center"/>
              <w:rPr>
                <w:rFonts w:ascii="宋体" w:hAnsi="宋体" w:cs="宋体"/>
                <w:kern w:val="0"/>
                <w:sz w:val="24"/>
              </w:rPr>
            </w:pPr>
            <w:r>
              <w:rPr>
                <w:rFonts w:hint="eastAsia" w:ascii="宋体" w:hAnsi="宋体" w:cs="宋体"/>
                <w:kern w:val="0"/>
                <w:sz w:val="24"/>
              </w:rPr>
              <w:t>方若愚</w:t>
            </w:r>
          </w:p>
        </w:tc>
        <w:tc>
          <w:tcPr>
            <w:tcW w:w="32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15158025713</w:t>
            </w:r>
          </w:p>
          <w:p>
            <w:pPr>
              <w:widowControl/>
              <w:jc w:val="center"/>
              <w:rPr>
                <w:rFonts w:ascii="宋体" w:hAnsi="宋体" w:cs="宋体"/>
                <w:sz w:val="24"/>
              </w:rPr>
            </w:pPr>
            <w:r>
              <w:rPr>
                <w:rFonts w:hint="eastAsia" w:ascii="宋体" w:hAnsi="宋体" w:cs="宋体"/>
                <w:kern w:val="0"/>
                <w:sz w:val="24"/>
              </w:rPr>
              <w:t>15067483470</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11</w:t>
            </w:r>
          </w:p>
        </w:tc>
        <w:tc>
          <w:tcPr>
            <w:tcW w:w="30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浙商银行杭州钱塘支行</w:t>
            </w:r>
          </w:p>
        </w:tc>
        <w:tc>
          <w:tcPr>
            <w:tcW w:w="14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徐伟刚</w:t>
            </w:r>
          </w:p>
        </w:tc>
        <w:tc>
          <w:tcPr>
            <w:tcW w:w="32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82921293，18258888258</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12</w:t>
            </w:r>
          </w:p>
        </w:tc>
        <w:tc>
          <w:tcPr>
            <w:tcW w:w="30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浦发银行</w:t>
            </w:r>
          </w:p>
        </w:tc>
        <w:tc>
          <w:tcPr>
            <w:tcW w:w="14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林云鹏</w:t>
            </w:r>
          </w:p>
        </w:tc>
        <w:tc>
          <w:tcPr>
            <w:tcW w:w="32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18805812679</w:t>
            </w:r>
          </w:p>
        </w:tc>
      </w:tr>
    </w:tbl>
    <w:p>
      <w:pPr>
        <w:spacing w:line="360" w:lineRule="auto"/>
        <w:ind w:right="420" w:firstLine="2409" w:firstLineChars="1000"/>
        <w:rPr>
          <w:rFonts w:ascii="宋体" w:hAnsi="宋体" w:cs="宋体"/>
          <w:b/>
          <w:kern w:val="0"/>
          <w:sz w:val="24"/>
        </w:rPr>
      </w:pPr>
    </w:p>
    <w:p>
      <w:pPr>
        <w:spacing w:line="360" w:lineRule="auto"/>
        <w:ind w:right="420" w:firstLine="2409" w:firstLineChars="1000"/>
        <w:rPr>
          <w:rFonts w:ascii="宋体" w:hAnsi="宋体" w:cs="宋体"/>
          <w:b/>
          <w:kern w:val="0"/>
          <w:sz w:val="24"/>
        </w:rPr>
      </w:pPr>
    </w:p>
    <w:p>
      <w:pPr>
        <w:spacing w:line="360" w:lineRule="auto"/>
        <w:ind w:right="420"/>
        <w:rPr>
          <w:rFonts w:ascii="宋体" w:hAnsi="宋体" w:cs="宋体"/>
          <w:b/>
          <w:kern w:val="0"/>
          <w:sz w:val="24"/>
        </w:rPr>
      </w:pPr>
    </w:p>
    <w:p>
      <w:pPr>
        <w:pageBreakBefore/>
        <w:widowControl/>
        <w:tabs>
          <w:tab w:val="left" w:pos="432"/>
        </w:tabs>
        <w:spacing w:before="100" w:beforeAutospacing="1" w:after="100" w:afterAutospacing="1" w:line="360" w:lineRule="auto"/>
        <w:jc w:val="center"/>
        <w:outlineLvl w:val="1"/>
        <w:rPr>
          <w:rFonts w:ascii="宋体" w:hAnsi="宋体" w:cs="宋体"/>
          <w:b/>
          <w:bCs/>
          <w:sz w:val="44"/>
          <w:szCs w:val="44"/>
        </w:rPr>
      </w:pPr>
      <w:bookmarkStart w:id="541" w:name="_Toc465665161"/>
      <w:r>
        <w:rPr>
          <w:rFonts w:hint="eastAsia" w:ascii="宋体" w:hAnsi="宋体" w:cs="宋体"/>
          <w:b/>
          <w:bCs/>
          <w:sz w:val="44"/>
          <w:szCs w:val="44"/>
        </w:rPr>
        <w:t>附件</w:t>
      </w:r>
      <w:bookmarkEnd w:id="541"/>
    </w:p>
    <w:p>
      <w:pPr>
        <w:spacing w:line="360" w:lineRule="auto"/>
        <w:rPr>
          <w:rFonts w:ascii="宋体" w:hAnsi="宋体" w:cs="宋体"/>
          <w:b/>
          <w:spacing w:val="6"/>
          <w:sz w:val="24"/>
        </w:rPr>
      </w:pPr>
      <w:r>
        <w:rPr>
          <w:rFonts w:hint="eastAsia" w:ascii="宋体" w:hAnsi="宋体" w:cs="宋体"/>
          <w:b/>
          <w:spacing w:val="6"/>
          <w:sz w:val="24"/>
        </w:rPr>
        <w:t>附件1：</w:t>
      </w:r>
    </w:p>
    <w:p>
      <w:pPr>
        <w:spacing w:line="360" w:lineRule="auto"/>
        <w:jc w:val="center"/>
        <w:rPr>
          <w:rFonts w:ascii="宋体" w:hAnsi="宋体" w:cs="宋体"/>
          <w:b/>
          <w:spacing w:val="6"/>
          <w:sz w:val="24"/>
        </w:rPr>
      </w:pPr>
      <w:bookmarkStart w:id="542" w:name="OLE_LINK13"/>
      <w:bookmarkStart w:id="543" w:name="OLE_LINK14"/>
      <w:r>
        <w:rPr>
          <w:rFonts w:hint="eastAsia" w:ascii="宋体" w:hAnsi="宋体" w:cs="宋体"/>
          <w:b/>
          <w:spacing w:val="6"/>
          <w:sz w:val="24"/>
        </w:rPr>
        <w:t>残疾人福利性单位声明函</w:t>
      </w:r>
    </w:p>
    <w:bookmarkEnd w:id="542"/>
    <w:bookmarkEnd w:id="543"/>
    <w:p>
      <w:pPr>
        <w:spacing w:line="360" w:lineRule="auto"/>
        <w:rPr>
          <w:rFonts w:ascii="宋体" w:hAnsi="宋体" w:cs="宋体"/>
          <w:b/>
          <w:spacing w:val="6"/>
          <w:sz w:val="24"/>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24"/>
        </w:rPr>
      </w:pPr>
      <w:r>
        <w:rPr>
          <w:rFonts w:hint="eastAsia" w:ascii="宋体" w:hAnsi="宋体" w:cs="宋体"/>
          <w:b/>
          <w:spacing w:val="6"/>
          <w:sz w:val="24"/>
        </w:rPr>
        <w:t>附件2：质疑函范本及制作说明</w:t>
      </w:r>
    </w:p>
    <w:p>
      <w:pPr>
        <w:spacing w:line="360" w:lineRule="auto"/>
        <w:jc w:val="center"/>
        <w:rPr>
          <w:rFonts w:ascii="宋体" w:hAnsi="宋体" w:cs="宋体"/>
          <w:b/>
          <w:spacing w:val="6"/>
          <w:sz w:val="24"/>
        </w:rPr>
      </w:pPr>
      <w:r>
        <w:rPr>
          <w:rFonts w:hint="eastAsia" w:ascii="宋体" w:hAnsi="宋体" w:cs="宋体"/>
          <w:b/>
          <w:spacing w:val="6"/>
          <w:sz w:val="24"/>
        </w:rPr>
        <w:t>质疑函范本</w:t>
      </w:r>
    </w:p>
    <w:p>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480" w:firstLineChars="200"/>
        <w:jc w:val="left"/>
        <w:rPr>
          <w:rFonts w:ascii="宋体" w:hAnsi="宋体" w:cs="宋体"/>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center"/>
        <w:rPr>
          <w:rFonts w:ascii="宋体" w:hAnsi="宋体" w:cs="宋体"/>
          <w:b/>
          <w:spacing w:val="6"/>
          <w:sz w:val="24"/>
        </w:rPr>
      </w:pPr>
    </w:p>
    <w:p>
      <w:pPr>
        <w:spacing w:line="360" w:lineRule="auto"/>
        <w:jc w:val="left"/>
        <w:rPr>
          <w:rFonts w:ascii="宋体" w:hAnsi="宋体" w:cs="宋体"/>
          <w:b/>
          <w:spacing w:val="6"/>
          <w:sz w:val="24"/>
        </w:rPr>
      </w:pPr>
    </w:p>
    <w:p>
      <w:pPr>
        <w:spacing w:line="360" w:lineRule="auto"/>
        <w:jc w:val="left"/>
        <w:rPr>
          <w:rFonts w:ascii="宋体" w:hAnsi="宋体" w:cs="宋体"/>
          <w:b/>
          <w:spacing w:val="6"/>
          <w:sz w:val="24"/>
        </w:rPr>
      </w:pPr>
    </w:p>
    <w:p>
      <w:pPr>
        <w:rPr>
          <w:rFonts w:ascii="宋体" w:hAnsi="宋体" w:cs="宋体"/>
          <w:b/>
          <w:spacing w:val="6"/>
          <w:sz w:val="24"/>
        </w:rPr>
      </w:pPr>
      <w:r>
        <w:rPr>
          <w:rFonts w:hint="eastAsia" w:ascii="宋体" w:hAnsi="宋体" w:cs="宋体"/>
          <w:b/>
          <w:spacing w:val="6"/>
          <w:sz w:val="24"/>
        </w:rPr>
        <w:br w:type="page"/>
      </w:r>
    </w:p>
    <w:p>
      <w:pPr>
        <w:spacing w:line="360" w:lineRule="auto"/>
        <w:jc w:val="left"/>
        <w:rPr>
          <w:rFonts w:ascii="宋体" w:hAnsi="宋体" w:cs="宋体"/>
          <w:b/>
          <w:spacing w:val="6"/>
          <w:sz w:val="24"/>
        </w:rPr>
      </w:pPr>
      <w:r>
        <w:rPr>
          <w:rFonts w:hint="eastAsia" w:ascii="宋体" w:hAnsi="宋体" w:cs="宋体"/>
          <w:b/>
          <w:spacing w:val="6"/>
          <w:sz w:val="24"/>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24"/>
        </w:rPr>
      </w:pPr>
      <w:r>
        <w:rPr>
          <w:rFonts w:hint="eastAsia" w:ascii="宋体" w:hAnsi="宋体" w:cs="宋体"/>
          <w:b/>
          <w:spacing w:val="6"/>
          <w:sz w:val="24"/>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rPr>
          <w:rFonts w:ascii="宋体" w:hAnsi="宋体" w:cs="宋体"/>
          <w:b/>
          <w:spacing w:val="6"/>
          <w:sz w:val="24"/>
        </w:rPr>
      </w:pPr>
      <w:r>
        <w:rPr>
          <w:rFonts w:hint="eastAsia" w:ascii="宋体" w:hAnsi="宋体" w:cs="宋体"/>
          <w:b/>
          <w:spacing w:val="6"/>
          <w:sz w:val="24"/>
        </w:rPr>
        <w:br w:type="page"/>
      </w:r>
    </w:p>
    <w:p>
      <w:pPr>
        <w:autoSpaceDE w:val="0"/>
        <w:autoSpaceDN w:val="0"/>
        <w:jc w:val="center"/>
        <w:rPr>
          <w:rFonts w:ascii="宋体" w:hAnsi="宋体" w:cs="宋体"/>
          <w:b/>
          <w:bCs/>
          <w:sz w:val="24"/>
        </w:rPr>
      </w:pPr>
      <w:r>
        <w:rPr>
          <w:rFonts w:hint="eastAsia" w:ascii="宋体" w:hAnsi="宋体" w:cs="宋体"/>
          <w:b/>
          <w:spacing w:val="6"/>
          <w:sz w:val="24"/>
        </w:rPr>
        <w:t>附件4：</w:t>
      </w:r>
      <w:r>
        <w:rPr>
          <w:rFonts w:hint="eastAsia" w:ascii="宋体" w:hAnsi="宋体" w:cs="宋体"/>
          <w:b/>
          <w:bCs/>
          <w:sz w:val="24"/>
        </w:rPr>
        <w:t>业务专用章使用说明函</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rPr>
          <w:rFonts w:ascii="宋体" w:hAnsi="宋体" w:cs="宋体"/>
          <w:b/>
          <w:spacing w:val="6"/>
          <w:sz w:val="24"/>
        </w:rPr>
      </w:pPr>
      <w:r>
        <w:rPr>
          <w:rFonts w:hint="eastAsia" w:ascii="宋体" w:hAnsi="宋体" w:cs="宋体"/>
          <w:b/>
          <w:spacing w:val="6"/>
          <w:sz w:val="24"/>
        </w:rPr>
        <w:br w:type="page"/>
      </w:r>
    </w:p>
    <w:p>
      <w:pPr>
        <w:snapToGrid w:val="0"/>
        <w:spacing w:line="360" w:lineRule="auto"/>
        <w:jc w:val="center"/>
        <w:rPr>
          <w:rFonts w:ascii="宋体" w:hAnsi="宋体" w:cs="宋体"/>
          <w:b/>
          <w:kern w:val="0"/>
          <w:sz w:val="24"/>
        </w:rPr>
      </w:pPr>
      <w:r>
        <w:rPr>
          <w:rFonts w:hint="eastAsia" w:ascii="宋体" w:hAnsi="宋体" w:cs="宋体"/>
          <w:b/>
          <w:kern w:val="0"/>
          <w:sz w:val="24"/>
        </w:rPr>
        <w:t>附件5：联合协议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544"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sz w:val="24"/>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r>
        <w:rPr>
          <w:rFonts w:hint="eastAsia" w:ascii="宋体" w:hAnsi="宋体" w:cs="宋体"/>
          <w:sz w:val="24"/>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544"/>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rPr>
          <w:rFonts w:ascii="宋体" w:hAnsi="宋体" w:cs="宋体"/>
          <w:b/>
          <w:kern w:val="0"/>
          <w:sz w:val="24"/>
        </w:rPr>
      </w:pPr>
      <w:r>
        <w:rPr>
          <w:rFonts w:hint="eastAsia" w:ascii="宋体" w:hAnsi="宋体" w:cs="宋体"/>
          <w:b/>
          <w:kern w:val="0"/>
          <w:sz w:val="24"/>
        </w:rPr>
        <w:br w:type="page"/>
      </w:r>
    </w:p>
    <w:p>
      <w:pPr>
        <w:snapToGrid w:val="0"/>
        <w:spacing w:line="360" w:lineRule="auto"/>
        <w:jc w:val="center"/>
        <w:rPr>
          <w:rFonts w:ascii="宋体" w:hAnsi="宋体" w:cs="宋体"/>
          <w:b/>
          <w:kern w:val="0"/>
          <w:sz w:val="24"/>
        </w:rPr>
      </w:pPr>
      <w:r>
        <w:rPr>
          <w:rFonts w:hint="eastAsia" w:ascii="宋体" w:hAnsi="宋体" w:cs="宋体"/>
          <w:b/>
          <w:kern w:val="0"/>
          <w:sz w:val="24"/>
        </w:rPr>
        <w:t>附件6：分包意向协议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sz w:val="24"/>
          <w:u w:val="single"/>
        </w:rPr>
        <w:t xml:space="preserve"> </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tabs>
          <w:tab w:val="left" w:pos="432"/>
        </w:tabs>
        <w:ind w:left="664" w:leftChars="316" w:firstLine="228" w:firstLineChars="95"/>
        <w:rPr>
          <w:rFonts w:ascii="宋体" w:hAnsi="宋体" w:cs="宋体"/>
          <w:kern w:val="0"/>
          <w:sz w:val="24"/>
        </w:rPr>
      </w:pPr>
      <w:r>
        <w:rPr>
          <w:rFonts w:hint="eastAsia" w:ascii="宋体" w:hAnsi="宋体" w:cs="宋体"/>
          <w:kern w:val="0"/>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sz w:val="24"/>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45"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45"/>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360" w:lineRule="auto"/>
        <w:ind w:firstLine="576"/>
        <w:rPr>
          <w:rFonts w:ascii="宋体" w:hAnsi="宋体" w:cs="宋体"/>
          <w:sz w:val="24"/>
          <w:u w:val="single"/>
        </w:rPr>
      </w:pPr>
      <w:r>
        <w:rPr>
          <w:rFonts w:hint="eastAsia" w:ascii="宋体" w:hAnsi="宋体" w:cs="宋体"/>
          <w:sz w:val="24"/>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360" w:lineRule="auto"/>
        <w:ind w:firstLine="576"/>
        <w:rPr>
          <w:rFonts w:ascii="宋体" w:hAnsi="宋体" w:cs="宋体"/>
          <w:kern w:val="0"/>
          <w:sz w:val="24"/>
          <w:lang w:val="zh-CN"/>
        </w:rPr>
      </w:pPr>
      <w:r>
        <w:rPr>
          <w:rFonts w:hint="eastAsia" w:ascii="宋体" w:hAnsi="宋体" w:cs="宋体"/>
          <w:sz w:val="24"/>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360" w:lineRule="auto"/>
        <w:ind w:left="573" w:leftChars="273"/>
        <w:rPr>
          <w:rFonts w:ascii="宋体" w:hAnsi="宋体" w:cs="宋体"/>
          <w:kern w:val="0"/>
          <w:sz w:val="24"/>
          <w:lang w:val="zh-CN"/>
        </w:rPr>
      </w:pPr>
      <w:r>
        <w:rPr>
          <w:rFonts w:hint="eastAsia" w:ascii="宋体" w:hAnsi="宋体" w:cs="宋体"/>
          <w:sz w:val="24"/>
          <w:u w:val="single"/>
        </w:rPr>
        <w:t xml:space="preserve">                                                                                     </w:t>
      </w: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360" w:lineRule="auto"/>
        <w:ind w:firstLine="576"/>
        <w:rPr>
          <w:rFonts w:ascii="宋体" w:hAnsi="宋体" w:cs="宋体"/>
          <w:kern w:val="0"/>
          <w:sz w:val="24"/>
          <w:lang w:val="zh-CN"/>
        </w:rPr>
      </w:pPr>
      <w:r>
        <w:rPr>
          <w:rFonts w:hint="eastAsia" w:ascii="宋体" w:hAnsi="宋体" w:cs="宋体"/>
          <w:sz w:val="24"/>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360" w:lineRule="auto"/>
        <w:ind w:firstLine="576"/>
        <w:rPr>
          <w:rFonts w:ascii="宋体" w:hAnsi="宋体" w:cs="宋体"/>
          <w:kern w:val="0"/>
          <w:sz w:val="24"/>
          <w:lang w:val="zh-CN"/>
        </w:rPr>
      </w:pPr>
      <w:r>
        <w:rPr>
          <w:rFonts w:hint="eastAsia" w:ascii="宋体" w:hAnsi="宋体" w:cs="宋体"/>
          <w:sz w:val="24"/>
          <w:u w:val="single"/>
        </w:rPr>
        <w:t xml:space="preserve">                                                                                  </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360" w:lineRule="auto"/>
        <w:ind w:firstLine="5760" w:firstLineChars="2400"/>
        <w:rPr>
          <w:rFonts w:ascii="宋体" w:hAnsi="宋体" w:cs="宋体"/>
          <w:sz w:val="24"/>
        </w:rPr>
      </w:pPr>
      <w:r>
        <w:rPr>
          <w:rFonts w:hint="eastAsia" w:ascii="宋体" w:hAnsi="宋体" w:cs="宋体"/>
          <w:kern w:val="0"/>
          <w:sz w:val="24"/>
          <w:lang w:val="zh-CN"/>
        </w:rPr>
        <w:t>……</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autoSpaceDE w:val="0"/>
        <w:autoSpaceDN w:val="0"/>
        <w:jc w:val="center"/>
        <w:rPr>
          <w:rFonts w:ascii="宋体" w:hAnsi="宋体" w:cs="宋体"/>
          <w:b/>
          <w:spacing w:val="6"/>
          <w:sz w:val="24"/>
        </w:rPr>
      </w:pPr>
    </w:p>
    <w:p>
      <w:pPr>
        <w:widowControl/>
        <w:adjustRightInd/>
        <w:jc w:val="left"/>
        <w:rPr>
          <w:rFonts w:ascii="宋体" w:hAnsi="宋体" w:cs="宋体"/>
          <w:b/>
          <w:kern w:val="0"/>
          <w:sz w:val="24"/>
        </w:rPr>
      </w:pPr>
      <w:r>
        <w:rPr>
          <w:rFonts w:hint="eastAsia" w:ascii="宋体" w:hAnsi="宋体" w:cs="宋体"/>
          <w:b/>
          <w:kern w:val="0"/>
          <w:sz w:val="24"/>
        </w:rPr>
        <w:br w:type="page"/>
      </w:r>
    </w:p>
    <w:p>
      <w:pPr>
        <w:snapToGrid w:val="0"/>
        <w:spacing w:line="360" w:lineRule="auto"/>
        <w:jc w:val="center"/>
        <w:rPr>
          <w:rFonts w:ascii="宋体" w:hAnsi="宋体" w:cs="宋体"/>
          <w:b/>
          <w:kern w:val="0"/>
          <w:sz w:val="24"/>
        </w:rPr>
      </w:pPr>
      <w:r>
        <w:rPr>
          <w:rFonts w:hint="eastAsia" w:ascii="宋体" w:hAnsi="宋体" w:cs="宋体"/>
          <w:b/>
          <w:kern w:val="0"/>
          <w:sz w:val="24"/>
        </w:rPr>
        <w:t>附件7：中小企业声明函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24"/>
        </w:rPr>
      </w:pPr>
      <w:r>
        <w:rPr>
          <w:rFonts w:hint="eastAsia" w:ascii="宋体" w:hAnsi="宋体" w:cs="宋体"/>
          <w:b/>
          <w:sz w:val="24"/>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 xml:space="preserve">1.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 xml:space="preserve">2.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jc w:val="left"/>
        <w:rPr>
          <w:rFonts w:ascii="宋体" w:hAnsi="宋体" w:cs="宋体"/>
          <w:sz w:val="24"/>
        </w:rPr>
      </w:pPr>
      <w:r>
        <w:rPr>
          <w:rFonts w:hint="eastAsia" w:ascii="宋体" w:hAnsi="宋体" w:cs="宋体"/>
          <w:sz w:val="24"/>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546" w:name="_Toc91899912"/>
    <w:bookmarkStart w:id="547" w:name="_Toc36110187"/>
    <w:bookmarkStart w:id="548" w:name="_Toc164085800"/>
    <w:bookmarkStart w:id="549" w:name="_Toc131845147"/>
    <w:r>
      <w:rPr>
        <w:rFonts w:hint="eastAsia" w:ascii="仿宋_GB2312" w:eastAsia="仿宋_GB2312"/>
        <w:kern w:val="0"/>
        <w:szCs w:val="21"/>
      </w:rPr>
      <w:t xml:space="preserve"> 页</w:t>
    </w:r>
    <w:bookmarkEnd w:id="546"/>
    <w:bookmarkEnd w:id="547"/>
    <w:bookmarkEnd w:id="548"/>
    <w:bookmarkEnd w:id="54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23676"/>
    <w:multiLevelType w:val="singleLevel"/>
    <w:tmpl w:val="CD723676"/>
    <w:lvl w:ilvl="0" w:tentative="0">
      <w:start w:val="2"/>
      <w:numFmt w:val="chineseCounting"/>
      <w:suff w:val="space"/>
      <w:lvlText w:val="第%1部分"/>
      <w:lvlJc w:val="left"/>
      <w:rPr>
        <w:rFonts w:hint="eastAsia"/>
      </w:rPr>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35D71722"/>
    <w:multiLevelType w:val="singleLevel"/>
    <w:tmpl w:val="35D71722"/>
    <w:lvl w:ilvl="0" w:tentative="0">
      <w:start w:val="2"/>
      <w:numFmt w:val="chineseCounting"/>
      <w:suff w:val="nothing"/>
      <w:lvlText w:val="%1、"/>
      <w:lvlJc w:val="left"/>
      <w:rPr>
        <w:rFonts w:hint="eastAsia"/>
      </w:rPr>
    </w:lvl>
  </w:abstractNum>
  <w:abstractNum w:abstractNumId="3">
    <w:nsid w:val="71DF9B7D"/>
    <w:multiLevelType w:val="singleLevel"/>
    <w:tmpl w:val="71DF9B7D"/>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wOTY0OTBmZmRlNmJhZDBlNzY3MzY0NTE3YmY4Y2IifQ=="/>
    <w:docVar w:name="KSO_WPS_MARK_KEY" w:val="138add78-e79d-4b35-9f91-83794cf1dc58"/>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CF6"/>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5A28"/>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293"/>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0D"/>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D76"/>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698"/>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9842CF"/>
    <w:rsid w:val="03DD35E4"/>
    <w:rsid w:val="04076900"/>
    <w:rsid w:val="041A5A3B"/>
    <w:rsid w:val="042311BA"/>
    <w:rsid w:val="042B157A"/>
    <w:rsid w:val="048F763B"/>
    <w:rsid w:val="049F330E"/>
    <w:rsid w:val="04AA775C"/>
    <w:rsid w:val="04AF1889"/>
    <w:rsid w:val="04F66F48"/>
    <w:rsid w:val="05251E14"/>
    <w:rsid w:val="05A16594"/>
    <w:rsid w:val="05A54A82"/>
    <w:rsid w:val="05A7762D"/>
    <w:rsid w:val="060E5941"/>
    <w:rsid w:val="06110FAF"/>
    <w:rsid w:val="06493CA7"/>
    <w:rsid w:val="065A6178"/>
    <w:rsid w:val="066F1CF3"/>
    <w:rsid w:val="06871610"/>
    <w:rsid w:val="06930BB8"/>
    <w:rsid w:val="06936FD0"/>
    <w:rsid w:val="07245D42"/>
    <w:rsid w:val="07264C62"/>
    <w:rsid w:val="0779354C"/>
    <w:rsid w:val="08061376"/>
    <w:rsid w:val="08452D77"/>
    <w:rsid w:val="086401F8"/>
    <w:rsid w:val="08751CAA"/>
    <w:rsid w:val="087E4C40"/>
    <w:rsid w:val="08A871D0"/>
    <w:rsid w:val="08D66AD6"/>
    <w:rsid w:val="08DA33A3"/>
    <w:rsid w:val="08E80F13"/>
    <w:rsid w:val="08F07730"/>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9D61FB"/>
    <w:rsid w:val="0BCC5F53"/>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830DE"/>
    <w:rsid w:val="0E9D0089"/>
    <w:rsid w:val="0EB803EE"/>
    <w:rsid w:val="0EF94D4B"/>
    <w:rsid w:val="0F4958DC"/>
    <w:rsid w:val="0F515DF7"/>
    <w:rsid w:val="0F596BA8"/>
    <w:rsid w:val="0F6248D2"/>
    <w:rsid w:val="0F693536"/>
    <w:rsid w:val="0F7B0511"/>
    <w:rsid w:val="0F7B76D9"/>
    <w:rsid w:val="0F816ACD"/>
    <w:rsid w:val="0F9832DB"/>
    <w:rsid w:val="0FBF3FD2"/>
    <w:rsid w:val="0FBF7FF3"/>
    <w:rsid w:val="0FEC46CB"/>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794461"/>
    <w:rsid w:val="12862074"/>
    <w:rsid w:val="12883966"/>
    <w:rsid w:val="129E45B4"/>
    <w:rsid w:val="12D24DF0"/>
    <w:rsid w:val="12D81596"/>
    <w:rsid w:val="12E93F89"/>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103F0"/>
    <w:rsid w:val="17D349C1"/>
    <w:rsid w:val="18244F26"/>
    <w:rsid w:val="1830729E"/>
    <w:rsid w:val="1852128A"/>
    <w:rsid w:val="1870062C"/>
    <w:rsid w:val="18817102"/>
    <w:rsid w:val="18830A15"/>
    <w:rsid w:val="18852B28"/>
    <w:rsid w:val="188B5321"/>
    <w:rsid w:val="18960778"/>
    <w:rsid w:val="19932372"/>
    <w:rsid w:val="19A20DD5"/>
    <w:rsid w:val="19AE03F1"/>
    <w:rsid w:val="1A071A03"/>
    <w:rsid w:val="1A1F16AE"/>
    <w:rsid w:val="1A3B5C77"/>
    <w:rsid w:val="1A984BAD"/>
    <w:rsid w:val="1A9C424D"/>
    <w:rsid w:val="1AB8220E"/>
    <w:rsid w:val="1AE4166C"/>
    <w:rsid w:val="1AE5322F"/>
    <w:rsid w:val="1AF06CFB"/>
    <w:rsid w:val="1AF11B8D"/>
    <w:rsid w:val="1B11359C"/>
    <w:rsid w:val="1B2A271F"/>
    <w:rsid w:val="1B530544"/>
    <w:rsid w:val="1B713184"/>
    <w:rsid w:val="1BA209CF"/>
    <w:rsid w:val="1BB4777D"/>
    <w:rsid w:val="1BD75AB8"/>
    <w:rsid w:val="1C0459C2"/>
    <w:rsid w:val="1C1B3B4A"/>
    <w:rsid w:val="1C736C1E"/>
    <w:rsid w:val="1C88086E"/>
    <w:rsid w:val="1CB13D93"/>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23EB5"/>
    <w:rsid w:val="1FD52574"/>
    <w:rsid w:val="1FE868A9"/>
    <w:rsid w:val="20034907"/>
    <w:rsid w:val="20173E4B"/>
    <w:rsid w:val="204E48BC"/>
    <w:rsid w:val="206E157D"/>
    <w:rsid w:val="208921B3"/>
    <w:rsid w:val="20973DEB"/>
    <w:rsid w:val="20B26522"/>
    <w:rsid w:val="20B44310"/>
    <w:rsid w:val="211116EB"/>
    <w:rsid w:val="216133FC"/>
    <w:rsid w:val="21807EA3"/>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0A133F"/>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14B15"/>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5A2A0D"/>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6C7D40"/>
    <w:rsid w:val="32BE5C2C"/>
    <w:rsid w:val="32FB6478"/>
    <w:rsid w:val="33263B3F"/>
    <w:rsid w:val="336963EB"/>
    <w:rsid w:val="33816EEB"/>
    <w:rsid w:val="33EB55CD"/>
    <w:rsid w:val="33EC4C02"/>
    <w:rsid w:val="33F526A7"/>
    <w:rsid w:val="340D2360"/>
    <w:rsid w:val="3410665D"/>
    <w:rsid w:val="34211214"/>
    <w:rsid w:val="342E63AB"/>
    <w:rsid w:val="34950E68"/>
    <w:rsid w:val="34986E94"/>
    <w:rsid w:val="34AF62C9"/>
    <w:rsid w:val="34CB4388"/>
    <w:rsid w:val="34FA6E12"/>
    <w:rsid w:val="354D7158"/>
    <w:rsid w:val="355E56DC"/>
    <w:rsid w:val="358D5588"/>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880EBD"/>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CED7BD2"/>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1F7137"/>
    <w:rsid w:val="3F2F0234"/>
    <w:rsid w:val="3F6363FE"/>
    <w:rsid w:val="3F756B8F"/>
    <w:rsid w:val="3F95482B"/>
    <w:rsid w:val="3F9C56E6"/>
    <w:rsid w:val="4019356B"/>
    <w:rsid w:val="40592157"/>
    <w:rsid w:val="406E1CAE"/>
    <w:rsid w:val="40A0133A"/>
    <w:rsid w:val="40C31A53"/>
    <w:rsid w:val="40C77D53"/>
    <w:rsid w:val="40FF545D"/>
    <w:rsid w:val="410067C8"/>
    <w:rsid w:val="418F0D2A"/>
    <w:rsid w:val="41B65345"/>
    <w:rsid w:val="41D01505"/>
    <w:rsid w:val="41D8564E"/>
    <w:rsid w:val="42014C56"/>
    <w:rsid w:val="42474939"/>
    <w:rsid w:val="424C3C57"/>
    <w:rsid w:val="42613FF3"/>
    <w:rsid w:val="42660D96"/>
    <w:rsid w:val="428667D2"/>
    <w:rsid w:val="42CD1CE0"/>
    <w:rsid w:val="42E1381E"/>
    <w:rsid w:val="42ED6459"/>
    <w:rsid w:val="42FE58DD"/>
    <w:rsid w:val="43174B3D"/>
    <w:rsid w:val="43310381"/>
    <w:rsid w:val="434B790E"/>
    <w:rsid w:val="4360274F"/>
    <w:rsid w:val="43977AB6"/>
    <w:rsid w:val="43A3342B"/>
    <w:rsid w:val="43C77C27"/>
    <w:rsid w:val="43CD50F1"/>
    <w:rsid w:val="43DE09EE"/>
    <w:rsid w:val="44002FAD"/>
    <w:rsid w:val="449101DD"/>
    <w:rsid w:val="44DE1391"/>
    <w:rsid w:val="451B225C"/>
    <w:rsid w:val="452410C9"/>
    <w:rsid w:val="45307780"/>
    <w:rsid w:val="45317DFB"/>
    <w:rsid w:val="456D3CE4"/>
    <w:rsid w:val="4579042C"/>
    <w:rsid w:val="457F0571"/>
    <w:rsid w:val="45851176"/>
    <w:rsid w:val="45946F82"/>
    <w:rsid w:val="45C63B94"/>
    <w:rsid w:val="460E7DA5"/>
    <w:rsid w:val="46422483"/>
    <w:rsid w:val="4659254A"/>
    <w:rsid w:val="465B0637"/>
    <w:rsid w:val="465E3F0D"/>
    <w:rsid w:val="466A16E6"/>
    <w:rsid w:val="467B2000"/>
    <w:rsid w:val="46893F2B"/>
    <w:rsid w:val="46C4686E"/>
    <w:rsid w:val="477B778F"/>
    <w:rsid w:val="478203EC"/>
    <w:rsid w:val="47B025FA"/>
    <w:rsid w:val="4809698F"/>
    <w:rsid w:val="4811697D"/>
    <w:rsid w:val="487A3E25"/>
    <w:rsid w:val="488B5503"/>
    <w:rsid w:val="48937E21"/>
    <w:rsid w:val="489A0361"/>
    <w:rsid w:val="48B94FF3"/>
    <w:rsid w:val="48DA4109"/>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716343"/>
    <w:rsid w:val="4CB6685F"/>
    <w:rsid w:val="4CC367FE"/>
    <w:rsid w:val="4CFE1D87"/>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D542BC"/>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4EC2AC3"/>
    <w:rsid w:val="550764A4"/>
    <w:rsid w:val="550B2BF6"/>
    <w:rsid w:val="55214EB5"/>
    <w:rsid w:val="55364EFD"/>
    <w:rsid w:val="555D4828"/>
    <w:rsid w:val="557A4C8B"/>
    <w:rsid w:val="558931E1"/>
    <w:rsid w:val="55923347"/>
    <w:rsid w:val="55925180"/>
    <w:rsid w:val="55983B1B"/>
    <w:rsid w:val="55A8376B"/>
    <w:rsid w:val="55DC29B6"/>
    <w:rsid w:val="55DD4241"/>
    <w:rsid w:val="56144103"/>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50E85"/>
    <w:rsid w:val="58B85899"/>
    <w:rsid w:val="58E363A9"/>
    <w:rsid w:val="59166304"/>
    <w:rsid w:val="595E1678"/>
    <w:rsid w:val="596D5BD4"/>
    <w:rsid w:val="597E3DD8"/>
    <w:rsid w:val="59F80043"/>
    <w:rsid w:val="5A09252F"/>
    <w:rsid w:val="5A0B2778"/>
    <w:rsid w:val="5A2A7C7B"/>
    <w:rsid w:val="5A394A4E"/>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7C5D83"/>
    <w:rsid w:val="5EFC7377"/>
    <w:rsid w:val="5F06174D"/>
    <w:rsid w:val="5F3A3602"/>
    <w:rsid w:val="5F45733B"/>
    <w:rsid w:val="5F6277C6"/>
    <w:rsid w:val="5F6D0B1D"/>
    <w:rsid w:val="5F8D0B82"/>
    <w:rsid w:val="5FCC5339"/>
    <w:rsid w:val="5FE34A5B"/>
    <w:rsid w:val="5FFE1E36"/>
    <w:rsid w:val="60232584"/>
    <w:rsid w:val="60552C44"/>
    <w:rsid w:val="607330CE"/>
    <w:rsid w:val="60825176"/>
    <w:rsid w:val="609F2AC4"/>
    <w:rsid w:val="60FA2EE8"/>
    <w:rsid w:val="61054A27"/>
    <w:rsid w:val="610A52BC"/>
    <w:rsid w:val="611D2366"/>
    <w:rsid w:val="61421856"/>
    <w:rsid w:val="615227C4"/>
    <w:rsid w:val="61654E3F"/>
    <w:rsid w:val="6182292A"/>
    <w:rsid w:val="619F7F92"/>
    <w:rsid w:val="61C914BB"/>
    <w:rsid w:val="61F94C26"/>
    <w:rsid w:val="62000E56"/>
    <w:rsid w:val="624F3E49"/>
    <w:rsid w:val="62632286"/>
    <w:rsid w:val="62885958"/>
    <w:rsid w:val="62F40B65"/>
    <w:rsid w:val="62FC2CFE"/>
    <w:rsid w:val="63024505"/>
    <w:rsid w:val="635600A5"/>
    <w:rsid w:val="635B1DB5"/>
    <w:rsid w:val="636F6430"/>
    <w:rsid w:val="63711FED"/>
    <w:rsid w:val="63880DDC"/>
    <w:rsid w:val="638D750D"/>
    <w:rsid w:val="63AC6CC0"/>
    <w:rsid w:val="63EF5765"/>
    <w:rsid w:val="64055776"/>
    <w:rsid w:val="64240056"/>
    <w:rsid w:val="643E143A"/>
    <w:rsid w:val="64491666"/>
    <w:rsid w:val="648B6EEF"/>
    <w:rsid w:val="64C158BF"/>
    <w:rsid w:val="64CE2EAA"/>
    <w:rsid w:val="650004E3"/>
    <w:rsid w:val="653C3090"/>
    <w:rsid w:val="65854376"/>
    <w:rsid w:val="658767BE"/>
    <w:rsid w:val="65892531"/>
    <w:rsid w:val="66195831"/>
    <w:rsid w:val="66293010"/>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0272AE"/>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C5571B"/>
    <w:rsid w:val="6BEA466C"/>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EF67001"/>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304A65"/>
    <w:rsid w:val="74476126"/>
    <w:rsid w:val="74706664"/>
    <w:rsid w:val="747F3682"/>
    <w:rsid w:val="749C4185"/>
    <w:rsid w:val="7500167F"/>
    <w:rsid w:val="75067759"/>
    <w:rsid w:val="752E6DCD"/>
    <w:rsid w:val="7551380D"/>
    <w:rsid w:val="75600BE5"/>
    <w:rsid w:val="7564475C"/>
    <w:rsid w:val="75655ABF"/>
    <w:rsid w:val="75826B61"/>
    <w:rsid w:val="7583797F"/>
    <w:rsid w:val="75D20F1D"/>
    <w:rsid w:val="75DA2C18"/>
    <w:rsid w:val="75E95BC5"/>
    <w:rsid w:val="75F54412"/>
    <w:rsid w:val="761D08E0"/>
    <w:rsid w:val="765D347C"/>
    <w:rsid w:val="76826699"/>
    <w:rsid w:val="76C87133"/>
    <w:rsid w:val="76CD08D5"/>
    <w:rsid w:val="76DB4B92"/>
    <w:rsid w:val="76FF5E37"/>
    <w:rsid w:val="77052AA4"/>
    <w:rsid w:val="77136511"/>
    <w:rsid w:val="77340A39"/>
    <w:rsid w:val="77351FD0"/>
    <w:rsid w:val="77472422"/>
    <w:rsid w:val="776D1A9B"/>
    <w:rsid w:val="777F31F2"/>
    <w:rsid w:val="77D1700D"/>
    <w:rsid w:val="77EC04CC"/>
    <w:rsid w:val="780F79EE"/>
    <w:rsid w:val="782A7539"/>
    <w:rsid w:val="78775729"/>
    <w:rsid w:val="78A42DB0"/>
    <w:rsid w:val="78A656AB"/>
    <w:rsid w:val="78B2245C"/>
    <w:rsid w:val="78D347FF"/>
    <w:rsid w:val="78E172CC"/>
    <w:rsid w:val="78EA1D1F"/>
    <w:rsid w:val="7904172F"/>
    <w:rsid w:val="790F7E27"/>
    <w:rsid w:val="792A231A"/>
    <w:rsid w:val="79316829"/>
    <w:rsid w:val="797E66A9"/>
    <w:rsid w:val="798518A4"/>
    <w:rsid w:val="79A97383"/>
    <w:rsid w:val="79E27E8B"/>
    <w:rsid w:val="79E665AA"/>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2A763E"/>
    <w:rsid w:val="7C590818"/>
    <w:rsid w:val="7C7C10F6"/>
    <w:rsid w:val="7C853BEA"/>
    <w:rsid w:val="7C881368"/>
    <w:rsid w:val="7CE27788"/>
    <w:rsid w:val="7D0361EB"/>
    <w:rsid w:val="7D0C32F1"/>
    <w:rsid w:val="7D0F408D"/>
    <w:rsid w:val="7D491C6C"/>
    <w:rsid w:val="7D5429C0"/>
    <w:rsid w:val="7D6E6D43"/>
    <w:rsid w:val="7DB57A34"/>
    <w:rsid w:val="7DE60973"/>
    <w:rsid w:val="7DEF0916"/>
    <w:rsid w:val="7E1E5218"/>
    <w:rsid w:val="7E54384F"/>
    <w:rsid w:val="7E9A4E1F"/>
    <w:rsid w:val="7EA7723A"/>
    <w:rsid w:val="7EF56FBB"/>
    <w:rsid w:val="7F0768EB"/>
    <w:rsid w:val="7F143BEC"/>
    <w:rsid w:val="7F2756AD"/>
    <w:rsid w:val="7F715AF2"/>
    <w:rsid w:val="7F886E69"/>
    <w:rsid w:val="7F961E7F"/>
    <w:rsid w:val="9F1FAC2C"/>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20"/>
    <w:qFormat/>
    <w:uiPriority w:val="0"/>
    <w:pPr>
      <w:ind w:firstLine="420"/>
    </w:pPr>
    <w:rPr>
      <w:rFonts w:hAnsi="Calibri" w:cs="Times New Roman"/>
      <w:snapToGrid/>
      <w:szCs w:val="20"/>
    </w:rPr>
  </w:style>
  <w:style w:type="paragraph" w:styleId="3">
    <w:name w:val="Body Text"/>
    <w:basedOn w:val="1"/>
    <w:next w:val="2"/>
    <w:link w:val="429"/>
    <w:qFormat/>
    <w:uiPriority w:val="0"/>
    <w:pPr>
      <w:autoSpaceDE w:val="0"/>
      <w:autoSpaceDN w:val="0"/>
      <w:spacing w:line="360" w:lineRule="auto"/>
    </w:pPr>
    <w:rPr>
      <w:rFonts w:ascii="宋体" w:hAnsi="Arial" w:cs="Arial"/>
      <w:snapToGrid w:val="0"/>
      <w:sz w:val="24"/>
      <w:szCs w:val="21"/>
      <w:lang w:val="zh-CN"/>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7"/>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空2字"/>
    <w:basedOn w:val="8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qFormat/>
    <w:uiPriority w:val="99"/>
    <w:rPr>
      <w:rFonts w:ascii="Calibri" w:hAnsi="Calibri" w:eastAsia="仿宋_GB2312" w:cs="Calibri"/>
      <w:kern w:val="2"/>
      <w:sz w:val="32"/>
      <w:szCs w:val="32"/>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4">
    <w:name w:val="不明显强调1"/>
    <w:qFormat/>
    <w:uiPriority w:val="19"/>
    <w:rPr>
      <w:i/>
      <w:iCs/>
    </w:rPr>
  </w:style>
  <w:style w:type="paragraph" w:customStyle="1" w:styleId="965">
    <w:name w:val="[Normal]"/>
    <w:qFormat/>
    <w:uiPriority w:val="0"/>
    <w:rPr>
      <w:rFonts w:ascii="宋体" w:hAnsi="宋体" w:eastAsia="宋体" w:cs="Times New Roman"/>
      <w:sz w:val="24"/>
      <w:szCs w:val="22"/>
      <w:lang w:val="zh-CN" w:eastAsia="zh-CN" w:bidi="ar-SA"/>
    </w:rPr>
  </w:style>
  <w:style w:type="paragraph" w:customStyle="1" w:styleId="966">
    <w:name w:val="列表段落11"/>
    <w:basedOn w:val="1"/>
    <w:qFormat/>
    <w:uiPriority w:val="34"/>
    <w:pPr>
      <w:adjustRightInd/>
      <w:ind w:right="238" w:firstLine="420"/>
    </w:pPr>
    <w:rPr>
      <w:rFonts w:ascii="Calibri" w:hAnsi="Calibri"/>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51413</Words>
  <Characters>56079</Characters>
  <Lines>438</Lines>
  <Paragraphs>123</Paragraphs>
  <TotalTime>30</TotalTime>
  <ScaleCrop>false</ScaleCrop>
  <LinksUpToDate>false</LinksUpToDate>
  <CharactersWithSpaces>60939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我</cp:lastModifiedBy>
  <cp:lastPrinted>2021-12-27T19:06:00Z</cp:lastPrinted>
  <dcterms:modified xsi:type="dcterms:W3CDTF">2024-01-26T06:24:10Z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294B36C590F64199AD968531E625061E_13</vt:lpwstr>
  </property>
</Properties>
</file>