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2024年西湖区机关大院三食堂服务外包</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ZJJY-2024006-01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杭州市西湖区区级机关事务服务中心</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浙江建友城乡发展规划设计有限公司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1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2024年西湖区机关大院三食堂服务外包</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6"/>
          <w:rFonts w:hint="eastAsia" w:ascii="宋体" w:hAnsi="宋体" w:eastAsia="宋体" w:cs="宋体"/>
          <w:snapToGrid/>
          <w:color w:val="auto"/>
          <w:kern w:val="2"/>
          <w:sz w:val="24"/>
          <w:szCs w:val="24"/>
          <w:highlight w:val="none"/>
        </w:rPr>
        <w:t>https://www.zcygov.cn/）获取（下载）招标文件，并于202</w:t>
      </w:r>
      <w:r>
        <w:rPr>
          <w:rStyle w:val="16"/>
          <w:rFonts w:hint="eastAsia" w:ascii="宋体" w:hAnsi="宋体" w:cs="宋体"/>
          <w:snapToGrid/>
          <w:color w:val="auto"/>
          <w:kern w:val="2"/>
          <w:sz w:val="24"/>
          <w:szCs w:val="24"/>
          <w:highlight w:val="none"/>
          <w:lang w:val="en-US" w:eastAsia="zh-CN"/>
        </w:rPr>
        <w:t>4</w:t>
      </w:r>
      <w:r>
        <w:rPr>
          <w:rStyle w:val="16"/>
          <w:rFonts w:hint="eastAsia" w:ascii="宋体" w:hAnsi="宋体" w:eastAsia="宋体" w:cs="宋体"/>
          <w:snapToGrid/>
          <w:color w:val="auto"/>
          <w:kern w:val="2"/>
          <w:sz w:val="24"/>
          <w:szCs w:val="24"/>
          <w:highlight w:val="none"/>
        </w:rPr>
        <w:t>年</w:t>
      </w:r>
      <w:r>
        <w:rPr>
          <w:rStyle w:val="16"/>
          <w:rFonts w:hint="eastAsia" w:ascii="宋体" w:hAnsi="宋体" w:cs="宋体"/>
          <w:snapToGrid/>
          <w:color w:val="auto"/>
          <w:kern w:val="2"/>
          <w:sz w:val="24"/>
          <w:szCs w:val="24"/>
          <w:highlight w:val="none"/>
          <w:lang w:val="en-US" w:eastAsia="zh-CN"/>
        </w:rPr>
        <w:t>5</w:t>
      </w:r>
      <w:r>
        <w:rPr>
          <w:rStyle w:val="16"/>
          <w:rFonts w:hint="eastAsia" w:ascii="宋体" w:hAnsi="宋体" w:eastAsia="宋体" w:cs="宋体"/>
          <w:snapToGrid/>
          <w:color w:val="auto"/>
          <w:kern w:val="2"/>
          <w:sz w:val="24"/>
          <w:szCs w:val="24"/>
          <w:highlight w:val="none"/>
        </w:rPr>
        <w:t>月</w:t>
      </w:r>
      <w:r>
        <w:rPr>
          <w:rStyle w:val="16"/>
          <w:rFonts w:hint="eastAsia" w:ascii="宋体" w:hAnsi="宋体" w:cs="宋体"/>
          <w:snapToGrid/>
          <w:color w:val="auto"/>
          <w:kern w:val="2"/>
          <w:sz w:val="24"/>
          <w:szCs w:val="24"/>
          <w:highlight w:val="none"/>
          <w:lang w:val="en-US" w:eastAsia="zh-CN"/>
        </w:rPr>
        <w:t>24</w:t>
      </w:r>
      <w:r>
        <w:rPr>
          <w:rStyle w:val="16"/>
          <w:rFonts w:hint="eastAsia" w:ascii="宋体" w:hAnsi="宋体" w:eastAsia="宋体" w:cs="宋体"/>
          <w:snapToGrid/>
          <w:color w:val="auto"/>
          <w:kern w:val="2"/>
          <w:sz w:val="24"/>
          <w:szCs w:val="24"/>
          <w:highlight w:val="none"/>
        </w:rPr>
        <w:t>日</w:t>
      </w:r>
      <w:r>
        <w:rPr>
          <w:rStyle w:val="16"/>
          <w:rFonts w:hint="eastAsia" w:ascii="宋体" w:hAnsi="宋体" w:cs="宋体"/>
          <w:snapToGrid/>
          <w:color w:val="auto"/>
          <w:kern w:val="2"/>
          <w:sz w:val="24"/>
          <w:szCs w:val="24"/>
          <w:highlight w:val="none"/>
          <w:lang w:val="en-US" w:eastAsia="zh-CN"/>
        </w:rPr>
        <w:t>15</w:t>
      </w:r>
      <w:r>
        <w:rPr>
          <w:rStyle w:val="16"/>
          <w:rFonts w:hint="eastAsia" w:ascii="宋体" w:hAnsi="宋体" w:eastAsia="宋体" w:cs="宋体"/>
          <w:snapToGrid/>
          <w:color w:val="auto"/>
          <w:kern w:val="2"/>
          <w:sz w:val="24"/>
          <w:szCs w:val="24"/>
          <w:highlight w:val="none"/>
        </w:rPr>
        <w:t>点</w:t>
      </w:r>
      <w:r>
        <w:rPr>
          <w:rStyle w:val="16"/>
          <w:rFonts w:hint="eastAsia" w:ascii="宋体" w:hAnsi="宋体" w:cs="宋体"/>
          <w:snapToGrid/>
          <w:color w:val="auto"/>
          <w:kern w:val="2"/>
          <w:sz w:val="24"/>
          <w:szCs w:val="24"/>
          <w:highlight w:val="none"/>
          <w:lang w:val="en-US" w:eastAsia="zh-CN"/>
        </w:rPr>
        <w:t>30</w:t>
      </w:r>
      <w:r>
        <w:rPr>
          <w:rStyle w:val="16"/>
          <w:rFonts w:hint="eastAsia" w:ascii="宋体" w:hAnsi="宋体" w:eastAsia="宋体" w:cs="宋体"/>
          <w:snapToGrid/>
          <w:color w:val="auto"/>
          <w:kern w:val="2"/>
          <w:sz w:val="24"/>
          <w:szCs w:val="24"/>
          <w:highlight w:val="none"/>
        </w:rPr>
        <w:t>分</w:t>
      </w:r>
      <w:r>
        <w:rPr>
          <w:rStyle w:val="16"/>
          <w:rFonts w:hint="eastAsia" w:ascii="宋体" w:hAnsi="宋体" w:eastAsia="宋体" w:cs="宋体"/>
          <w:bCs/>
          <w:snapToGrid/>
          <w:color w:val="auto"/>
          <w:kern w:val="2"/>
          <w:sz w:val="24"/>
          <w:szCs w:val="24"/>
          <w:highlight w:val="none"/>
        </w:rPr>
        <w:t>00秒</w:t>
      </w:r>
      <w:r>
        <w:rPr>
          <w:rStyle w:val="1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ZJJY-2024006-01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2024年西湖区机关大院三食堂服务外包</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1470000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1470000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2024年西湖区机关大院三食堂服务外包，</w:t>
      </w:r>
      <w:r>
        <w:rPr>
          <w:rFonts w:hint="eastAsia" w:hAnsi="宋体" w:cs="宋体"/>
          <w:bCs/>
          <w:snapToGrid/>
          <w:color w:val="auto"/>
          <w:kern w:val="2"/>
          <w:sz w:val="24"/>
          <w:szCs w:val="24"/>
          <w:highlight w:val="none"/>
        </w:rPr>
        <w:t>主要内容：</w:t>
      </w:r>
      <w:r>
        <w:rPr>
          <w:rFonts w:hint="eastAsia" w:hAnsi="宋体" w:cs="宋体" w:eastAsiaTheme="minorEastAsia"/>
          <w:bCs/>
          <w:color w:val="auto"/>
          <w:sz w:val="24"/>
          <w:highlight w:val="none"/>
          <w:lang w:eastAsia="zh-CN"/>
        </w:rPr>
        <w:t>食堂服务外包</w:t>
      </w:r>
      <w:r>
        <w:rPr>
          <w:rFonts w:hint="eastAsia" w:hAnsi="宋体" w:cs="宋体" w:eastAsiaTheme="minorEastAsia"/>
          <w:bCs/>
          <w:color w:val="auto"/>
          <w:sz w:val="24"/>
          <w:highlight w:val="none"/>
          <w:lang w:val="en-US" w:eastAsia="zh-CN"/>
        </w:rPr>
        <w:t>,共需外包人员14人，每年预算147万元</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服务期3年，合同一年一签，具体详见采购需求。</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16"/>
          <w:rFonts w:hint="eastAsia" w:ascii="宋体" w:hAnsi="宋体" w:eastAsia="宋体" w:cs="宋体"/>
          <w:snapToGrid/>
          <w:color w:val="auto"/>
          <w:kern w:val="2"/>
          <w:sz w:val="24"/>
          <w:szCs w:val="24"/>
          <w:highlight w:val="none"/>
        </w:rPr>
        <w:t>202</w:t>
      </w:r>
      <w:r>
        <w:rPr>
          <w:rStyle w:val="16"/>
          <w:rFonts w:hint="eastAsia" w:ascii="宋体" w:hAnsi="宋体" w:cs="宋体"/>
          <w:snapToGrid/>
          <w:color w:val="auto"/>
          <w:kern w:val="2"/>
          <w:sz w:val="24"/>
          <w:szCs w:val="24"/>
          <w:highlight w:val="none"/>
          <w:lang w:val="en-US" w:eastAsia="zh-CN"/>
        </w:rPr>
        <w:t>4</w:t>
      </w:r>
      <w:r>
        <w:rPr>
          <w:rStyle w:val="16"/>
          <w:rFonts w:hint="eastAsia" w:ascii="宋体" w:hAnsi="宋体" w:eastAsia="宋体" w:cs="宋体"/>
          <w:snapToGrid/>
          <w:color w:val="auto"/>
          <w:kern w:val="2"/>
          <w:sz w:val="24"/>
          <w:szCs w:val="24"/>
          <w:highlight w:val="none"/>
        </w:rPr>
        <w:t>年</w:t>
      </w:r>
      <w:r>
        <w:rPr>
          <w:rStyle w:val="16"/>
          <w:rFonts w:hint="eastAsia" w:ascii="宋体" w:hAnsi="宋体" w:cs="宋体"/>
          <w:snapToGrid/>
          <w:color w:val="auto"/>
          <w:kern w:val="2"/>
          <w:sz w:val="24"/>
          <w:szCs w:val="24"/>
          <w:highlight w:val="none"/>
          <w:lang w:val="en-US" w:eastAsia="zh-CN"/>
        </w:rPr>
        <w:t>5</w:t>
      </w:r>
      <w:r>
        <w:rPr>
          <w:rStyle w:val="16"/>
          <w:rFonts w:hint="eastAsia" w:ascii="宋体" w:hAnsi="宋体" w:eastAsia="宋体" w:cs="宋体"/>
          <w:snapToGrid/>
          <w:color w:val="auto"/>
          <w:kern w:val="2"/>
          <w:sz w:val="24"/>
          <w:szCs w:val="24"/>
          <w:highlight w:val="none"/>
        </w:rPr>
        <w:t>月</w:t>
      </w:r>
      <w:r>
        <w:rPr>
          <w:rStyle w:val="16"/>
          <w:rFonts w:hint="eastAsia" w:ascii="宋体" w:hAnsi="宋体" w:cs="宋体"/>
          <w:snapToGrid/>
          <w:color w:val="auto"/>
          <w:kern w:val="2"/>
          <w:sz w:val="24"/>
          <w:szCs w:val="24"/>
          <w:highlight w:val="none"/>
          <w:lang w:val="en-US" w:eastAsia="zh-CN"/>
        </w:rPr>
        <w:t>24</w:t>
      </w:r>
      <w:r>
        <w:rPr>
          <w:rStyle w:val="16"/>
          <w:rFonts w:hint="eastAsia" w:ascii="宋体" w:hAnsi="宋体" w:eastAsia="宋体" w:cs="宋体"/>
          <w:snapToGrid/>
          <w:color w:val="auto"/>
          <w:kern w:val="2"/>
          <w:sz w:val="24"/>
          <w:szCs w:val="24"/>
          <w:highlight w:val="none"/>
        </w:rPr>
        <w:t>日</w:t>
      </w:r>
      <w:r>
        <w:rPr>
          <w:rStyle w:val="16"/>
          <w:rFonts w:hint="eastAsia" w:ascii="宋体" w:hAnsi="宋体" w:cs="宋体"/>
          <w:snapToGrid/>
          <w:color w:val="auto"/>
          <w:kern w:val="2"/>
          <w:sz w:val="24"/>
          <w:szCs w:val="24"/>
          <w:highlight w:val="none"/>
          <w:lang w:val="en-US" w:eastAsia="zh-CN"/>
        </w:rPr>
        <w:t>15</w:t>
      </w:r>
      <w:r>
        <w:rPr>
          <w:rStyle w:val="16"/>
          <w:rFonts w:hint="eastAsia" w:ascii="宋体" w:hAnsi="宋体" w:eastAsia="宋体" w:cs="宋体"/>
          <w:snapToGrid/>
          <w:color w:val="auto"/>
          <w:kern w:val="2"/>
          <w:sz w:val="24"/>
          <w:szCs w:val="24"/>
          <w:highlight w:val="none"/>
        </w:rPr>
        <w:t>点</w:t>
      </w:r>
      <w:r>
        <w:rPr>
          <w:rStyle w:val="16"/>
          <w:rFonts w:hint="eastAsia" w:ascii="宋体" w:hAnsi="宋体" w:cs="宋体"/>
          <w:snapToGrid/>
          <w:color w:val="auto"/>
          <w:kern w:val="2"/>
          <w:sz w:val="24"/>
          <w:szCs w:val="24"/>
          <w:highlight w:val="none"/>
          <w:lang w:val="en-US" w:eastAsia="zh-CN"/>
        </w:rPr>
        <w:t>30</w:t>
      </w:r>
      <w:r>
        <w:rPr>
          <w:rStyle w:val="16"/>
          <w:rFonts w:hint="eastAsia" w:ascii="宋体" w:hAnsi="宋体" w:eastAsia="宋体" w:cs="宋体"/>
          <w:snapToGrid/>
          <w:color w:val="auto"/>
          <w:kern w:val="2"/>
          <w:sz w:val="24"/>
          <w:szCs w:val="24"/>
          <w:highlight w:val="none"/>
        </w:rPr>
        <w:t>分</w:t>
      </w:r>
      <w:r>
        <w:rPr>
          <w:rStyle w:val="16"/>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16"/>
          <w:rFonts w:hint="eastAsia" w:ascii="宋体" w:hAnsi="宋体" w:eastAsia="宋体" w:cs="宋体"/>
          <w:snapToGrid/>
          <w:color w:val="auto"/>
          <w:kern w:val="2"/>
          <w:sz w:val="24"/>
          <w:szCs w:val="24"/>
          <w:highlight w:val="none"/>
        </w:rPr>
        <w:t>202</w:t>
      </w:r>
      <w:r>
        <w:rPr>
          <w:rStyle w:val="16"/>
          <w:rFonts w:hint="eastAsia" w:ascii="宋体" w:hAnsi="宋体" w:cs="宋体"/>
          <w:snapToGrid/>
          <w:color w:val="auto"/>
          <w:kern w:val="2"/>
          <w:sz w:val="24"/>
          <w:szCs w:val="24"/>
          <w:highlight w:val="none"/>
          <w:lang w:val="en-US" w:eastAsia="zh-CN"/>
        </w:rPr>
        <w:t>4</w:t>
      </w:r>
      <w:r>
        <w:rPr>
          <w:rStyle w:val="16"/>
          <w:rFonts w:hint="eastAsia" w:ascii="宋体" w:hAnsi="宋体" w:eastAsia="宋体" w:cs="宋体"/>
          <w:snapToGrid/>
          <w:color w:val="auto"/>
          <w:kern w:val="2"/>
          <w:sz w:val="24"/>
          <w:szCs w:val="24"/>
          <w:highlight w:val="none"/>
        </w:rPr>
        <w:t>年</w:t>
      </w:r>
      <w:r>
        <w:rPr>
          <w:rStyle w:val="16"/>
          <w:rFonts w:hint="eastAsia" w:ascii="宋体" w:hAnsi="宋体" w:cs="宋体"/>
          <w:snapToGrid/>
          <w:color w:val="auto"/>
          <w:kern w:val="2"/>
          <w:sz w:val="24"/>
          <w:szCs w:val="24"/>
          <w:highlight w:val="none"/>
          <w:lang w:val="en-US" w:eastAsia="zh-CN"/>
        </w:rPr>
        <w:t>5</w:t>
      </w:r>
      <w:r>
        <w:rPr>
          <w:rStyle w:val="16"/>
          <w:rFonts w:hint="eastAsia" w:ascii="宋体" w:hAnsi="宋体" w:eastAsia="宋体" w:cs="宋体"/>
          <w:snapToGrid/>
          <w:color w:val="auto"/>
          <w:kern w:val="2"/>
          <w:sz w:val="24"/>
          <w:szCs w:val="24"/>
          <w:highlight w:val="none"/>
        </w:rPr>
        <w:t>月</w:t>
      </w:r>
      <w:r>
        <w:rPr>
          <w:rStyle w:val="16"/>
          <w:rFonts w:hint="eastAsia" w:ascii="宋体" w:hAnsi="宋体" w:cs="宋体"/>
          <w:snapToGrid/>
          <w:color w:val="auto"/>
          <w:kern w:val="2"/>
          <w:sz w:val="24"/>
          <w:szCs w:val="24"/>
          <w:highlight w:val="none"/>
          <w:lang w:val="en-US" w:eastAsia="zh-CN"/>
        </w:rPr>
        <w:t>24</w:t>
      </w:r>
      <w:r>
        <w:rPr>
          <w:rStyle w:val="16"/>
          <w:rFonts w:hint="eastAsia" w:ascii="宋体" w:hAnsi="宋体" w:eastAsia="宋体" w:cs="宋体"/>
          <w:snapToGrid/>
          <w:color w:val="auto"/>
          <w:kern w:val="2"/>
          <w:sz w:val="24"/>
          <w:szCs w:val="24"/>
          <w:highlight w:val="none"/>
        </w:rPr>
        <w:t>日</w:t>
      </w:r>
      <w:r>
        <w:rPr>
          <w:rStyle w:val="16"/>
          <w:rFonts w:hint="eastAsia" w:ascii="宋体" w:hAnsi="宋体" w:cs="宋体"/>
          <w:snapToGrid/>
          <w:color w:val="auto"/>
          <w:kern w:val="2"/>
          <w:sz w:val="24"/>
          <w:szCs w:val="24"/>
          <w:highlight w:val="none"/>
          <w:lang w:val="en-US" w:eastAsia="zh-CN"/>
        </w:rPr>
        <w:t>15</w:t>
      </w:r>
      <w:r>
        <w:rPr>
          <w:rStyle w:val="16"/>
          <w:rFonts w:hint="eastAsia" w:ascii="宋体" w:hAnsi="宋体" w:eastAsia="宋体" w:cs="宋体"/>
          <w:snapToGrid/>
          <w:color w:val="auto"/>
          <w:kern w:val="2"/>
          <w:sz w:val="24"/>
          <w:szCs w:val="24"/>
          <w:highlight w:val="none"/>
        </w:rPr>
        <w:t>点</w:t>
      </w:r>
      <w:r>
        <w:rPr>
          <w:rStyle w:val="16"/>
          <w:rFonts w:hint="eastAsia" w:ascii="宋体" w:hAnsi="宋体" w:cs="宋体"/>
          <w:snapToGrid/>
          <w:color w:val="auto"/>
          <w:kern w:val="2"/>
          <w:sz w:val="24"/>
          <w:szCs w:val="24"/>
          <w:highlight w:val="none"/>
          <w:lang w:val="en-US" w:eastAsia="zh-CN"/>
        </w:rPr>
        <w:t>30</w:t>
      </w:r>
      <w:r>
        <w:rPr>
          <w:rStyle w:val="16"/>
          <w:rFonts w:hint="eastAsia" w:ascii="宋体" w:hAnsi="宋体" w:eastAsia="宋体" w:cs="宋体"/>
          <w:snapToGrid/>
          <w:color w:val="auto"/>
          <w:kern w:val="2"/>
          <w:sz w:val="24"/>
          <w:szCs w:val="24"/>
          <w:highlight w:val="none"/>
        </w:rPr>
        <w:t>分</w:t>
      </w:r>
      <w:r>
        <w:rPr>
          <w:rStyle w:val="16"/>
          <w:rFonts w:hint="eastAsia" w:ascii="宋体" w:hAnsi="宋体" w:eastAsia="宋体" w:cs="宋体"/>
          <w:bCs/>
          <w:snapToGrid/>
          <w:color w:val="auto"/>
          <w:kern w:val="2"/>
          <w:sz w:val="24"/>
          <w:szCs w:val="24"/>
          <w:highlight w:val="non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Theme="minorEastAsia" w:hAnsiTheme="minorEastAsia" w:eastAsiaTheme="minorEastAsia"/>
          <w:color w:val="auto"/>
          <w:sz w:val="24"/>
          <w:highlight w:val="none"/>
        </w:rPr>
        <w:t>杭州市西湖区浙大路1号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 金玮</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w:t>
      </w:r>
      <w:r>
        <w:rPr>
          <w:rFonts w:hint="eastAsia" w:asciiTheme="minorEastAsia" w:hAnsiTheme="minorEastAsia" w:eastAsiaTheme="minorEastAsia"/>
          <w:color w:val="auto"/>
          <w:sz w:val="24"/>
          <w:highlight w:val="none"/>
        </w:rPr>
        <w:t>89510121</w:t>
      </w:r>
    </w:p>
    <w:p>
      <w:pPr>
        <w:spacing w:line="360" w:lineRule="auto"/>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质疑联系人：金纬</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质疑联系方式：0571-89510167</w:t>
      </w:r>
    </w:p>
    <w:p>
      <w:pPr>
        <w:spacing w:line="360" w:lineRule="auto"/>
        <w:rPr>
          <w:rFonts w:asciiTheme="minorEastAsia" w:hAnsiTheme="minorEastAsia" w:eastAsiaTheme="minorEastAsia"/>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浙江建友城乡发展规划设计有限公司</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地    址：</w:t>
      </w:r>
      <w:r>
        <w:rPr>
          <w:rFonts w:asciiTheme="minorEastAsia" w:hAnsiTheme="minorEastAsia" w:eastAsiaTheme="minorEastAsia"/>
          <w:color w:val="auto"/>
          <w:sz w:val="24"/>
          <w:highlight w:val="none"/>
        </w:rPr>
        <w:t xml:space="preserve"> </w:t>
      </w:r>
      <w:r>
        <w:rPr>
          <w:rFonts w:hint="eastAsia" w:ascii="宋体" w:hAnsi="宋体" w:cs="宋体"/>
          <w:color w:val="auto"/>
          <w:sz w:val="24"/>
          <w:highlight w:val="none"/>
          <w:lang w:eastAsia="zh-CN"/>
        </w:rPr>
        <w:t>杭州市西湖区振华路</w:t>
      </w:r>
      <w:r>
        <w:rPr>
          <w:rFonts w:hint="eastAsia" w:ascii="宋体" w:hAnsi="宋体" w:cs="宋体"/>
          <w:color w:val="auto"/>
          <w:sz w:val="24"/>
          <w:highlight w:val="none"/>
          <w:lang w:val="en-US" w:eastAsia="zh-CN"/>
        </w:rPr>
        <w:t>298号西港发展中心西7幢7楼</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谢</w:t>
      </w:r>
      <w:r>
        <w:rPr>
          <w:rFonts w:hint="eastAsia" w:ascii="宋体" w:hAnsi="宋体" w:cs="宋体"/>
          <w:color w:val="auto"/>
          <w:sz w:val="24"/>
          <w:highlight w:val="none"/>
          <w:lang w:val="en-US" w:eastAsia="zh-CN"/>
        </w:rPr>
        <w:t>女士</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0571-56617017</w:t>
      </w:r>
    </w:p>
    <w:p>
      <w:pPr>
        <w:spacing w:line="360" w:lineRule="auto"/>
        <w:rPr>
          <w:rFonts w:hint="eastAsia" w:ascii="宋体" w:hAnsi="宋体" w:eastAsia="宋体" w:cs="宋体"/>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陈女士</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0571-56617017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bookmarkStart w:id="508" w:name="_GoBack"/>
      <w:bookmarkEnd w:id="508"/>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称：杭州市西湖区财政局、浙江省政府采购行政裁决服务中心（杭州）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2024年西湖区机关大院三食堂服务外包</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理由：区机关大院为政府办公场所，为保证政府机关人员食品安全，不得由中标单位分包服务</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杭州市西湖区振华路</w:t>
            </w:r>
            <w:r>
              <w:rPr>
                <w:rFonts w:hint="eastAsia" w:ascii="宋体" w:hAnsi="宋体" w:cs="宋体"/>
                <w:color w:val="auto"/>
                <w:sz w:val="24"/>
                <w:highlight w:val="none"/>
                <w:u w:val="single"/>
                <w:lang w:val="en-US" w:eastAsia="zh-CN"/>
              </w:rPr>
              <w:t>298号西港发展中心西7幢7楼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谢女士，0571-56617017</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13"/>
              <w:rPr>
                <w:rFonts w:hint="eastAsia" w:cs="Arial" w:asciiTheme="minorEastAsia" w:hAnsiTheme="minorEastAsia" w:eastAsiaTheme="minorEastAsia"/>
                <w:snapToGrid/>
                <w:color w:val="auto"/>
                <w:kern w:val="0"/>
                <w:sz w:val="24"/>
                <w:highlight w:val="none"/>
              </w:rPr>
            </w:pPr>
            <w:r>
              <w:rPr>
                <w:rFonts w:hint="eastAsia" w:cs="Arial" w:asciiTheme="minorEastAsia" w:hAnsiTheme="minorEastAsia" w:eastAsiaTheme="minorEastAsia"/>
                <w:color w:val="auto"/>
                <w:kern w:val="0"/>
                <w:sz w:val="24"/>
                <w:highlight w:val="none"/>
                <w:lang w:eastAsia="zh-CN"/>
              </w:rPr>
              <w:t>代理服务费：</w:t>
            </w:r>
            <w:r>
              <w:rPr>
                <w:rFonts w:hint="eastAsia" w:cs="Arial" w:asciiTheme="minorEastAsia" w:hAnsiTheme="minorEastAsia" w:eastAsiaTheme="minorEastAsia"/>
                <w:snapToGrid/>
                <w:color w:val="auto"/>
                <w:kern w:val="0"/>
                <w:sz w:val="24"/>
                <w:highlight w:val="none"/>
              </w:rPr>
              <w:t>按计价格[2002]1980号文</w:t>
            </w:r>
            <w:r>
              <w:rPr>
                <w:rFonts w:hint="eastAsia" w:cs="Arial" w:asciiTheme="minorEastAsia" w:hAnsiTheme="minorEastAsia" w:eastAsiaTheme="minorEastAsia"/>
                <w:snapToGrid/>
                <w:color w:val="auto"/>
                <w:kern w:val="0"/>
                <w:sz w:val="24"/>
                <w:highlight w:val="none"/>
                <w:lang w:eastAsia="zh-CN"/>
              </w:rPr>
              <w:t>件</w:t>
            </w:r>
            <w:r>
              <w:rPr>
                <w:rFonts w:hint="eastAsia" w:cs="Arial" w:asciiTheme="minorEastAsia" w:hAnsiTheme="minorEastAsia" w:eastAsiaTheme="minorEastAsia"/>
                <w:snapToGrid/>
                <w:color w:val="auto"/>
                <w:kern w:val="0"/>
                <w:sz w:val="24"/>
                <w:highlight w:val="none"/>
              </w:rPr>
              <w:t>规定的取费标准的</w:t>
            </w:r>
            <w:r>
              <w:rPr>
                <w:rFonts w:hint="eastAsia" w:cs="Arial" w:asciiTheme="minorEastAsia" w:hAnsiTheme="minorEastAsia" w:eastAsiaTheme="minorEastAsia"/>
                <w:snapToGrid/>
                <w:color w:val="auto"/>
                <w:kern w:val="0"/>
                <w:sz w:val="24"/>
                <w:highlight w:val="none"/>
                <w:lang w:val="en-US" w:eastAsia="zh-CN"/>
              </w:rPr>
              <w:t>60</w:t>
            </w:r>
            <w:r>
              <w:rPr>
                <w:rFonts w:hint="eastAsia" w:cs="Arial" w:asciiTheme="minorEastAsia" w:hAnsiTheme="minorEastAsia" w:eastAsiaTheme="minorEastAsia"/>
                <w:snapToGrid/>
                <w:color w:val="auto"/>
                <w:kern w:val="0"/>
                <w:sz w:val="24"/>
                <w:highlight w:val="none"/>
              </w:rPr>
              <w:t>%计取,不足2000元按2000元计取本次招标代理费</w:t>
            </w:r>
          </w:p>
          <w:p>
            <w:pPr>
              <w:spacing w:line="360" w:lineRule="auto"/>
              <w:ind w:firstLine="413"/>
              <w:rPr>
                <w:rFonts w:hint="eastAsia" w:cs="Arial" w:asciiTheme="minorEastAsia" w:hAnsiTheme="minorEastAsia" w:eastAsiaTheme="minorEastAsia"/>
                <w:snapToGrid/>
                <w:color w:val="auto"/>
                <w:kern w:val="0"/>
                <w:sz w:val="24"/>
                <w:highlight w:val="none"/>
              </w:rPr>
            </w:pPr>
            <w:r>
              <w:rPr>
                <w:rFonts w:hint="eastAsia" w:cs="Arial" w:asciiTheme="minorEastAsia" w:hAnsiTheme="minorEastAsia" w:eastAsiaTheme="minorEastAsia"/>
                <w:snapToGrid/>
                <w:color w:val="auto"/>
                <w:kern w:val="0"/>
                <w:sz w:val="24"/>
                <w:highlight w:val="none"/>
              </w:rPr>
              <w:drawing>
                <wp:inline distT="0" distB="0" distL="0" distR="0">
                  <wp:extent cx="3411855" cy="1604645"/>
                  <wp:effectExtent l="0" t="0" r="7620" b="5080"/>
                  <wp:docPr id="26" name="IM 24"/>
                  <wp:cNvGraphicFramePr/>
                  <a:graphic xmlns:a="http://schemas.openxmlformats.org/drawingml/2006/main">
                    <a:graphicData uri="http://schemas.openxmlformats.org/drawingml/2006/picture">
                      <pic:pic xmlns:pic="http://schemas.openxmlformats.org/drawingml/2006/picture">
                        <pic:nvPicPr>
                          <pic:cNvPr id="26" name="IM 24"/>
                          <pic:cNvPicPr/>
                        </pic:nvPicPr>
                        <pic:blipFill>
                          <a:blip r:embed="rId26"/>
                          <a:stretch>
                            <a:fillRect/>
                          </a:stretch>
                        </pic:blipFill>
                        <pic:spPr>
                          <a:xfrm>
                            <a:off x="0" y="0"/>
                            <a:ext cx="3412235" cy="1604771"/>
                          </a:xfrm>
                          <a:prstGeom prst="rect">
                            <a:avLst/>
                          </a:prstGeom>
                        </pic:spPr>
                      </pic:pic>
                    </a:graphicData>
                  </a:graphic>
                </wp:inline>
              </w:drawing>
            </w:r>
          </w:p>
          <w:p>
            <w:pPr>
              <w:spacing w:line="360" w:lineRule="auto"/>
              <w:ind w:firstLine="413"/>
              <w:rPr>
                <w:rFonts w:hint="eastAsia" w:cs="Arial" w:asciiTheme="minorEastAsia" w:hAnsiTheme="minorEastAsia" w:eastAsiaTheme="minorEastAsia"/>
                <w:snapToGrid/>
                <w:color w:val="auto"/>
                <w:kern w:val="0"/>
                <w:sz w:val="24"/>
                <w:highlight w:val="none"/>
              </w:rPr>
            </w:pPr>
            <w:r>
              <w:rPr>
                <w:rFonts w:hint="eastAsia" w:cs="Arial" w:asciiTheme="minorEastAsia" w:hAnsiTheme="minorEastAsia" w:eastAsiaTheme="minorEastAsia"/>
                <w:snapToGrid/>
                <w:color w:val="auto"/>
                <w:kern w:val="0"/>
                <w:sz w:val="24"/>
                <w:highlight w:val="none"/>
              </w:rPr>
              <w:t>收费对象：本项目代理服务费向</w:t>
            </w:r>
            <w:r>
              <w:rPr>
                <w:rFonts w:hint="eastAsia" w:cs="Arial" w:asciiTheme="minorEastAsia" w:hAnsiTheme="minorEastAsia" w:eastAsiaTheme="minorEastAsia"/>
                <w:snapToGrid/>
                <w:color w:val="auto"/>
                <w:kern w:val="0"/>
                <w:sz w:val="24"/>
                <w:highlight w:val="none"/>
                <w:lang w:eastAsia="zh-CN"/>
              </w:rPr>
              <w:t>成交单位</w:t>
            </w:r>
            <w:r>
              <w:rPr>
                <w:rFonts w:hint="eastAsia" w:cs="Arial" w:asciiTheme="minorEastAsia" w:hAnsiTheme="minorEastAsia" w:eastAsiaTheme="minorEastAsia"/>
                <w:snapToGrid/>
                <w:color w:val="auto"/>
                <w:kern w:val="0"/>
                <w:sz w:val="24"/>
                <w:highlight w:val="none"/>
              </w:rPr>
              <w:t>收取</w:t>
            </w:r>
          </w:p>
          <w:p>
            <w:pPr>
              <w:spacing w:line="360" w:lineRule="auto"/>
              <w:ind w:firstLine="413"/>
              <w:rPr>
                <w:rFonts w:hint="eastAsia" w:cs="Arial" w:asciiTheme="minorEastAsia" w:hAnsiTheme="minorEastAsia" w:eastAsiaTheme="minorEastAsia"/>
                <w:color w:val="auto"/>
                <w:kern w:val="0"/>
                <w:sz w:val="24"/>
                <w:highlight w:val="none"/>
                <w:u w:val="none"/>
                <w:lang w:eastAsia="zh-CN"/>
              </w:rPr>
            </w:pPr>
            <w:r>
              <w:rPr>
                <w:rFonts w:hint="eastAsia" w:cs="Arial" w:asciiTheme="minorEastAsia" w:hAnsiTheme="minorEastAsia" w:eastAsiaTheme="minorEastAsia"/>
                <w:color w:val="auto"/>
                <w:kern w:val="0"/>
                <w:sz w:val="24"/>
                <w:highlight w:val="none"/>
                <w:u w:val="none"/>
                <w:lang w:val="en-US" w:eastAsia="zh-CN"/>
              </w:rPr>
              <w:t>本项目服务期为三年，合同一年一签，代理费一年一付；第一年由中标人在中标结果发布后7个工作日内一次性付清，</w:t>
            </w:r>
            <w:r>
              <w:rPr>
                <w:rFonts w:hint="eastAsia" w:cs="Arial" w:asciiTheme="minorEastAsia" w:hAnsiTheme="minorEastAsia" w:eastAsiaTheme="minorEastAsia"/>
                <w:color w:val="auto"/>
                <w:kern w:val="0"/>
                <w:sz w:val="24"/>
                <w:highlight w:val="none"/>
                <w:u w:val="none"/>
              </w:rPr>
              <w:t>第二年、第三年</w:t>
            </w:r>
            <w:r>
              <w:rPr>
                <w:rFonts w:hint="eastAsia" w:cs="Arial" w:asciiTheme="minorEastAsia" w:hAnsiTheme="minorEastAsia" w:eastAsiaTheme="minorEastAsia"/>
                <w:color w:val="auto"/>
                <w:kern w:val="0"/>
                <w:sz w:val="24"/>
                <w:highlight w:val="none"/>
                <w:u w:val="none"/>
                <w:lang w:val="en-US" w:eastAsia="zh-CN"/>
              </w:rPr>
              <w:t>代理服务费</w:t>
            </w:r>
            <w:r>
              <w:rPr>
                <w:rFonts w:hint="eastAsia" w:cs="Arial" w:asciiTheme="minorEastAsia" w:hAnsiTheme="minorEastAsia" w:eastAsiaTheme="minorEastAsia"/>
                <w:color w:val="auto"/>
                <w:kern w:val="0"/>
                <w:sz w:val="24"/>
                <w:highlight w:val="none"/>
                <w:u w:val="none"/>
              </w:rPr>
              <w:t>分别由中标人与委托方签订采购合同</w:t>
            </w:r>
            <w:r>
              <w:rPr>
                <w:rFonts w:hint="eastAsia" w:cs="Arial" w:asciiTheme="minorEastAsia" w:hAnsiTheme="minorEastAsia" w:eastAsiaTheme="minorEastAsia"/>
                <w:color w:val="auto"/>
                <w:kern w:val="0"/>
                <w:sz w:val="24"/>
                <w:highlight w:val="none"/>
                <w:u w:val="none"/>
                <w:lang w:val="en-US" w:eastAsia="zh-CN"/>
              </w:rPr>
              <w:t>后7个工作日内</w:t>
            </w:r>
            <w:r>
              <w:rPr>
                <w:rFonts w:hint="eastAsia" w:cs="Arial" w:asciiTheme="minorEastAsia" w:hAnsiTheme="minorEastAsia" w:eastAsiaTheme="minorEastAsia"/>
                <w:color w:val="auto"/>
                <w:kern w:val="0"/>
                <w:sz w:val="24"/>
                <w:highlight w:val="none"/>
                <w:u w:val="none"/>
              </w:rPr>
              <w:t>支付</w:t>
            </w:r>
            <w:r>
              <w:rPr>
                <w:rFonts w:hint="eastAsia" w:cs="Arial" w:asciiTheme="minorEastAsia" w:hAnsiTheme="minorEastAsia" w:eastAsiaTheme="minorEastAsia"/>
                <w:color w:val="auto"/>
                <w:kern w:val="0"/>
                <w:sz w:val="24"/>
                <w:highlight w:val="none"/>
                <w:u w:val="none"/>
                <w:lang w:eastAsia="zh-CN"/>
              </w:rPr>
              <w:t>。</w:t>
            </w:r>
          </w:p>
          <w:p>
            <w:pPr>
              <w:spacing w:line="360" w:lineRule="auto"/>
              <w:ind w:firstLine="413"/>
              <w:rPr>
                <w:rFonts w:hint="eastAsia" w:cs="Arial" w:asciiTheme="minorEastAsia" w:hAnsiTheme="minorEastAsia" w:eastAsiaTheme="minorEastAsia"/>
                <w:color w:val="auto"/>
                <w:kern w:val="0"/>
                <w:sz w:val="24"/>
                <w:highlight w:val="none"/>
                <w:u w:val="none"/>
              </w:rPr>
            </w:pPr>
            <w:r>
              <w:rPr>
                <w:rFonts w:hint="eastAsia" w:cs="Arial" w:asciiTheme="minorEastAsia" w:hAnsiTheme="minorEastAsia" w:eastAsiaTheme="minorEastAsia"/>
                <w:snapToGrid/>
                <w:color w:val="auto"/>
                <w:kern w:val="0"/>
                <w:sz w:val="24"/>
                <w:highlight w:val="none"/>
                <w:lang w:eastAsia="zh-CN"/>
              </w:rPr>
              <w:t>中标单位</w:t>
            </w:r>
            <w:r>
              <w:rPr>
                <w:rFonts w:hint="eastAsia" w:cs="Arial" w:asciiTheme="minorEastAsia" w:hAnsiTheme="minorEastAsia" w:eastAsiaTheme="minorEastAsia"/>
                <w:snapToGrid/>
                <w:color w:val="auto"/>
                <w:kern w:val="0"/>
                <w:sz w:val="24"/>
                <w:highlight w:val="none"/>
              </w:rPr>
              <w:t>逾期支付代理服务费，须承担代理服务费每日百分之三的违约金，逾期十日未支付的，采购代理机构有权向杭州仲裁委员会对</w:t>
            </w:r>
            <w:r>
              <w:rPr>
                <w:rFonts w:hint="eastAsia" w:cs="Arial" w:asciiTheme="minorEastAsia" w:hAnsiTheme="minorEastAsia" w:eastAsiaTheme="minorEastAsia"/>
                <w:snapToGrid/>
                <w:color w:val="auto"/>
                <w:kern w:val="0"/>
                <w:sz w:val="24"/>
                <w:highlight w:val="none"/>
                <w:lang w:eastAsia="zh-CN"/>
              </w:rPr>
              <w:t>中标单位</w:t>
            </w:r>
            <w:r>
              <w:rPr>
                <w:rFonts w:hint="eastAsia" w:cs="Arial" w:asciiTheme="minorEastAsia" w:hAnsiTheme="minorEastAsia" w:eastAsiaTheme="minorEastAsia"/>
                <w:snapToGrid/>
                <w:color w:val="auto"/>
                <w:kern w:val="0"/>
                <w:sz w:val="24"/>
                <w:highlight w:val="none"/>
              </w:rPr>
              <w:t>提起仲裁，仲裁费用（包括仲裁受理费和仲裁处理费）均由</w:t>
            </w:r>
            <w:r>
              <w:rPr>
                <w:rFonts w:hint="eastAsia" w:cs="Arial" w:asciiTheme="minorEastAsia" w:hAnsiTheme="minorEastAsia" w:eastAsiaTheme="minorEastAsia"/>
                <w:snapToGrid/>
                <w:color w:val="auto"/>
                <w:kern w:val="0"/>
                <w:sz w:val="24"/>
                <w:highlight w:val="none"/>
                <w:lang w:eastAsia="zh-CN"/>
              </w:rPr>
              <w:t>中标单位</w:t>
            </w:r>
            <w:r>
              <w:rPr>
                <w:rFonts w:hint="eastAsia" w:cs="Arial" w:asciiTheme="minorEastAsia" w:hAnsiTheme="minorEastAsia" w:eastAsiaTheme="minorEastAsia"/>
                <w:snapToGrid/>
                <w:color w:val="auto"/>
                <w:kern w:val="0"/>
                <w:sz w:val="24"/>
                <w:highlight w:val="none"/>
              </w:rPr>
              <w:t>承担。</w:t>
            </w:r>
          </w:p>
          <w:p>
            <w:pPr>
              <w:spacing w:line="360" w:lineRule="auto"/>
              <w:ind w:firstLine="413"/>
              <w:rPr>
                <w:rFonts w:hint="eastAsia" w:cs="Arial" w:asciiTheme="minorEastAsia" w:hAnsiTheme="minorEastAsia" w:eastAsiaTheme="minorEastAsia"/>
                <w:color w:val="auto"/>
                <w:kern w:val="0"/>
                <w:sz w:val="24"/>
                <w:highlight w:val="none"/>
              </w:rPr>
            </w:pPr>
          </w:p>
        </w:tc>
      </w:tr>
    </w:tbl>
    <w:p>
      <w:pPr>
        <w:snapToGrid w:val="0"/>
        <w:spacing w:line="360" w:lineRule="auto"/>
        <w:jc w:val="center"/>
        <w:rPr>
          <w:rFonts w:ascii="宋体" w:hAnsi="宋体" w:cs="宋体"/>
          <w:b/>
          <w:color w:val="auto"/>
          <w:sz w:val="32"/>
          <w:szCs w:val="20"/>
          <w:highlight w:val="none"/>
        </w:rPr>
      </w:pPr>
    </w:p>
    <w:bookmarkEnd w:id="10"/>
    <w:p>
      <w:pPr>
        <w:adjustRightInd/>
        <w:spacing w:line="240" w:lineRule="auto"/>
        <w:ind w:firstLine="0" w:firstLineChars="0"/>
        <w:outlineLvl w:val="9"/>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2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2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20"/>
        <w:shd w:val="clear" w:color="auto" w:fill="FFFFFF"/>
        <w:snapToGrid w:val="0"/>
        <w:spacing w:after="240" w:afterAutospacing="0" w:line="360" w:lineRule="auto"/>
        <w:ind w:firstLine="400"/>
        <w:contextualSpacing/>
        <w:rPr>
          <w:rFonts w:hint="eastAsia"/>
          <w:color w:val="auto"/>
          <w:highlight w:val="none"/>
        </w:rPr>
      </w:pPr>
    </w:p>
    <w:p>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9"/>
        <w:spacing w:before="0"/>
        <w:ind w:firstLine="643"/>
        <w:rPr>
          <w:rFonts w:ascii="宋体" w:hAnsi="宋体" w:cs="宋体"/>
          <w:b/>
          <w:color w:val="auto"/>
          <w:sz w:val="32"/>
          <w:highlight w:val="none"/>
        </w:rPr>
      </w:pPr>
    </w:p>
    <w:p>
      <w:pPr>
        <w:pStyle w:val="1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9"/>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宋体" w:hAnsi="宋体" w:cs="宋体"/>
          <w:color w:val="auto"/>
          <w:szCs w:val="24"/>
          <w:highlight w:val="none"/>
          <w:lang w:eastAsia="zh-CN"/>
        </w:rPr>
        <w:t>中标单位</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w:t>
      </w:r>
      <w:r>
        <w:rPr>
          <w:rFonts w:hint="eastAsia" w:ascii="宋体" w:hAnsi="宋体" w:cs="宋体"/>
          <w:color w:val="auto"/>
          <w:szCs w:val="24"/>
          <w:highlight w:val="none"/>
          <w:lang w:eastAsia="zh-CN"/>
        </w:rPr>
        <w:t>中标单位</w:t>
      </w:r>
      <w:r>
        <w:rPr>
          <w:rFonts w:hint="eastAsia" w:ascii="宋体" w:hAnsi="宋体" w:cs="宋体"/>
          <w:color w:val="auto"/>
          <w:szCs w:val="24"/>
          <w:highlight w:val="none"/>
        </w:rPr>
        <w:t>。中标、成交通知书和中标、成交结果公告应当在规定时间内同时发出。</w:t>
      </w:r>
    </w:p>
    <w:p>
      <w:pPr>
        <w:pStyle w:val="1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9"/>
        <w:adjustRightInd w:val="0"/>
        <w:snapToGrid w:val="0"/>
        <w:spacing w:before="0"/>
        <w:ind w:firstLine="482" w:firstLineChars="200"/>
        <w:rPr>
          <w:rStyle w:val="17"/>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w:t>
      </w:r>
      <w:r>
        <w:rPr>
          <w:rFonts w:hint="eastAsia" w:ascii="宋体" w:hAnsi="宋体" w:cs="宋体"/>
          <w:bCs/>
          <w:color w:val="auto"/>
          <w:szCs w:val="24"/>
          <w:highlight w:val="none"/>
          <w:lang w:eastAsia="zh-CN"/>
        </w:rPr>
        <w:t>中标单位</w:t>
      </w:r>
      <w:r>
        <w:rPr>
          <w:rFonts w:hint="eastAsia" w:ascii="宋体" w:hAnsi="宋体" w:cs="宋体"/>
          <w:bCs/>
          <w:color w:val="auto"/>
          <w:szCs w:val="24"/>
          <w:highlight w:val="none"/>
        </w:rPr>
        <w:t>原因导致重新采购的，应当承担支付代理费和专家评审费等费用在内的赔偿责任。</w:t>
      </w:r>
    </w:p>
    <w:p>
      <w:pPr>
        <w:pStyle w:val="22"/>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5" w:name="第四部分"/>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22"/>
        <w:rPr>
          <w:color w:val="auto"/>
          <w:highlight w:val="none"/>
        </w:rPr>
      </w:pP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360" w:lineRule="auto"/>
        <w:rPr>
          <w:rFonts w:hint="eastAsia" w:ascii="宋体" w:hAnsi="宋体" w:eastAsia="宋体" w:cs="宋体"/>
          <w:b/>
          <w:color w:val="auto"/>
          <w:sz w:val="24"/>
          <w:szCs w:val="24"/>
          <w:highlight w:val="none"/>
          <w:lang w:val="en-US" w:eastAsia="zh-CN" w:bidi="ar"/>
        </w:rPr>
      </w:pPr>
      <w:r>
        <w:rPr>
          <w:rFonts w:hint="eastAsia" w:ascii="宋体" w:hAnsi="宋体" w:eastAsia="宋体" w:cs="宋体"/>
          <w:b/>
          <w:color w:val="auto"/>
          <w:sz w:val="24"/>
          <w:szCs w:val="24"/>
          <w:highlight w:val="none"/>
          <w:lang w:bidi="ar"/>
        </w:rPr>
        <w:t>一、项目</w:t>
      </w:r>
      <w:r>
        <w:rPr>
          <w:rFonts w:hint="eastAsia" w:ascii="宋体" w:hAnsi="宋体" w:eastAsia="宋体" w:cs="宋体"/>
          <w:b/>
          <w:color w:val="auto"/>
          <w:sz w:val="24"/>
          <w:szCs w:val="24"/>
          <w:highlight w:val="none"/>
          <w:lang w:eastAsia="zh-CN" w:bidi="ar"/>
        </w:rPr>
        <w:t>概况：</w:t>
      </w:r>
    </w:p>
    <w:p>
      <w:pPr>
        <w:spacing w:line="360" w:lineRule="auto"/>
        <w:ind w:firstLine="527" w:firstLineChars="250"/>
        <w:rPr>
          <w:rFonts w:hint="eastAsia" w:ascii="宋体" w:hAnsi="宋体"/>
          <w:color w:val="auto"/>
          <w:sz w:val="21"/>
          <w:szCs w:val="21"/>
          <w:highlight w:val="none"/>
          <w:lang w:eastAsia="zh-CN"/>
        </w:rPr>
      </w:pPr>
      <w:r>
        <w:rPr>
          <w:rFonts w:hint="eastAsia" w:ascii="宋体" w:hAnsi="宋体" w:eastAsia="宋体" w:cs="宋体"/>
          <w:b/>
          <w:bCs w:val="0"/>
          <w:color w:val="auto"/>
          <w:sz w:val="21"/>
          <w:szCs w:val="21"/>
          <w:highlight w:val="none"/>
        </w:rPr>
        <w:t>本</w:t>
      </w:r>
      <w:r>
        <w:rPr>
          <w:rFonts w:hint="eastAsia" w:ascii="宋体" w:hAnsi="宋体" w:cs="宋体"/>
          <w:b/>
          <w:bCs w:val="0"/>
          <w:color w:val="auto"/>
          <w:sz w:val="21"/>
          <w:szCs w:val="21"/>
          <w:highlight w:val="none"/>
          <w:lang w:eastAsia="zh-CN"/>
        </w:rPr>
        <w:t>次招标内容</w:t>
      </w:r>
      <w:r>
        <w:rPr>
          <w:rFonts w:hint="eastAsia" w:ascii="宋体" w:hAnsi="宋体" w:eastAsia="宋体" w:cs="宋体"/>
          <w:b/>
          <w:bCs w:val="0"/>
          <w:color w:val="auto"/>
          <w:sz w:val="21"/>
          <w:szCs w:val="21"/>
          <w:highlight w:val="none"/>
        </w:rPr>
        <w:t>为2024年西湖区机关大院</w:t>
      </w:r>
      <w:r>
        <w:rPr>
          <w:rFonts w:hint="eastAsia" w:ascii="宋体" w:hAnsi="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食堂服务外包项目</w:t>
      </w:r>
      <w:r>
        <w:rPr>
          <w:rFonts w:hint="eastAsia" w:ascii="宋体" w:hAnsi="宋体" w:cs="宋体"/>
          <w:b/>
          <w:bCs w:val="0"/>
          <w:color w:val="auto"/>
          <w:sz w:val="21"/>
          <w:szCs w:val="21"/>
          <w:highlight w:val="none"/>
          <w:lang w:eastAsia="zh-CN"/>
        </w:rPr>
        <w:t>，最终确定1家供应商为中标单位。</w:t>
      </w:r>
      <w:r>
        <w:rPr>
          <w:rFonts w:hint="eastAsia" w:ascii="宋体" w:hAnsi="宋体" w:cs="宋体"/>
          <w:b/>
          <w:bCs w:val="0"/>
          <w:color w:val="auto"/>
          <w:sz w:val="21"/>
          <w:szCs w:val="21"/>
          <w:highlight w:val="none"/>
          <w:lang w:val="en-US" w:eastAsia="zh-CN"/>
        </w:rPr>
        <w:t>服务期3年，合同一年一签，</w:t>
      </w: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在合同到期前2个月内会根据考核情况确认是否续签还是重新招标。如供应商服务质量优良，职工测评满意，可根据政府采购政策及</w:t>
      </w: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考评结果，再决定是否续签</w:t>
      </w:r>
      <w:r>
        <w:rPr>
          <w:rFonts w:hint="eastAsia" w:ascii="宋体" w:hAnsi="宋体" w:cs="宋体"/>
          <w:b/>
          <w:bCs w:val="0"/>
          <w:color w:val="auto"/>
          <w:sz w:val="21"/>
          <w:szCs w:val="21"/>
          <w:highlight w:val="none"/>
          <w:lang w:val="en-US" w:eastAsia="zh-CN"/>
        </w:rPr>
        <w:t>。</w:t>
      </w:r>
      <w:r>
        <w:rPr>
          <w:rFonts w:hint="eastAsia" w:ascii="宋体" w:hAnsi="宋体"/>
          <w:color w:val="auto"/>
          <w:sz w:val="21"/>
          <w:szCs w:val="21"/>
          <w:highlight w:val="none"/>
        </w:rPr>
        <w:t>项目预算</w:t>
      </w:r>
      <w:r>
        <w:rPr>
          <w:rFonts w:hint="eastAsia" w:ascii="宋体" w:hAnsi="宋体"/>
          <w:color w:val="auto"/>
          <w:sz w:val="21"/>
          <w:szCs w:val="21"/>
          <w:highlight w:val="none"/>
          <w:lang w:eastAsia="zh-CN"/>
        </w:rPr>
        <w:t>为</w:t>
      </w:r>
      <w:r>
        <w:rPr>
          <w:rFonts w:hint="eastAsia" w:ascii="宋体" w:hAnsi="宋体"/>
          <w:color w:val="auto"/>
          <w:sz w:val="21"/>
          <w:szCs w:val="21"/>
          <w:highlight w:val="none"/>
          <w:lang w:val="en-US" w:eastAsia="zh-CN"/>
        </w:rPr>
        <w:t>147万</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/年</w:t>
      </w:r>
      <w:r>
        <w:rPr>
          <w:rFonts w:hint="eastAsia" w:ascii="宋体" w:hAnsi="宋体"/>
          <w:color w:val="auto"/>
          <w:sz w:val="21"/>
          <w:szCs w:val="21"/>
          <w:highlight w:val="none"/>
        </w:rPr>
        <w:t>。报价不允许超过预算价，否则</w:t>
      </w:r>
      <w:r>
        <w:rPr>
          <w:rFonts w:hint="eastAsia" w:ascii="宋体" w:hAnsi="宋体"/>
          <w:color w:val="auto"/>
          <w:sz w:val="21"/>
          <w:szCs w:val="21"/>
          <w:highlight w:val="none"/>
          <w:lang w:eastAsia="zh-CN"/>
        </w:rPr>
        <w:t>投标</w:t>
      </w:r>
      <w:r>
        <w:rPr>
          <w:rFonts w:hint="eastAsia" w:ascii="宋体" w:hAnsi="宋体"/>
          <w:color w:val="auto"/>
          <w:sz w:val="21"/>
          <w:szCs w:val="21"/>
          <w:highlight w:val="none"/>
        </w:rPr>
        <w:t>无效</w:t>
      </w:r>
      <w:r>
        <w:rPr>
          <w:rFonts w:hint="eastAsia" w:ascii="宋体" w:hAnsi="宋体"/>
          <w:color w:val="auto"/>
          <w:sz w:val="21"/>
          <w:szCs w:val="21"/>
          <w:highlight w:val="none"/>
          <w:lang w:eastAsia="zh-CN"/>
        </w:rPr>
        <w:t>。</w:t>
      </w:r>
    </w:p>
    <w:p>
      <w:pPr>
        <w:snapToGrid w:val="0"/>
        <w:spacing w:after="0" w:line="360" w:lineRule="auto"/>
        <w:ind w:firstLine="420" w:firstLineChars="200"/>
        <w:jc w:val="both"/>
        <w:rPr>
          <w:rFonts w:hint="eastAsia" w:ascii="宋体" w:hAnsi="宋体" w:eastAsia="宋体" w:cs="仿宋"/>
          <w:highlight w:val="none"/>
          <w:lang w:val="en-US" w:eastAsia="zh-CN"/>
        </w:rPr>
      </w:pPr>
      <w:r>
        <w:rPr>
          <w:rFonts w:hint="eastAsia" w:ascii="宋体" w:hAnsi="宋体" w:eastAsia="宋体" w:cs="仿宋"/>
          <w:highlight w:val="none"/>
        </w:rPr>
        <w:t>1、</w:t>
      </w:r>
      <w:r>
        <w:rPr>
          <w:rFonts w:hint="eastAsia" w:ascii="宋体" w:hAnsi="宋体" w:eastAsia="宋体" w:cs="仿宋"/>
          <w:highlight w:val="none"/>
          <w:lang w:eastAsia="zh-CN"/>
        </w:rPr>
        <w:t>2024年西湖区机关大院</w:t>
      </w:r>
      <w:r>
        <w:rPr>
          <w:rFonts w:hint="eastAsia" w:ascii="宋体" w:hAnsi="宋体" w:cs="仿宋"/>
          <w:highlight w:val="none"/>
          <w:lang w:val="en-US" w:eastAsia="zh-CN"/>
        </w:rPr>
        <w:t>三</w:t>
      </w:r>
      <w:r>
        <w:rPr>
          <w:rFonts w:ascii="宋体" w:hAnsi="宋体" w:eastAsia="宋体" w:cs="仿宋"/>
          <w:highlight w:val="none"/>
        </w:rPr>
        <w:t>食堂</w:t>
      </w:r>
      <w:r>
        <w:rPr>
          <w:rFonts w:hint="eastAsia" w:ascii="宋体" w:hAnsi="宋体" w:eastAsia="宋体" w:cs="仿宋"/>
          <w:highlight w:val="none"/>
        </w:rPr>
        <w:t>，位于</w:t>
      </w:r>
      <w:r>
        <w:rPr>
          <w:rFonts w:hint="eastAsia" w:ascii="宋体" w:hAnsi="宋体" w:eastAsiaTheme="minorEastAsia"/>
          <w:szCs w:val="28"/>
          <w:highlight w:val="none"/>
          <w:lang w:val="en-US" w:eastAsia="zh-CN"/>
        </w:rPr>
        <w:t>曙光路156号</w:t>
      </w:r>
      <w:r>
        <w:rPr>
          <w:rFonts w:hint="eastAsia" w:ascii="宋体" w:hAnsi="宋体" w:eastAsia="宋体" w:cs="仿宋"/>
          <w:highlight w:val="none"/>
        </w:rPr>
        <w:t>。餐厅面积约</w:t>
      </w:r>
      <w:r>
        <w:rPr>
          <w:rFonts w:hint="eastAsia" w:ascii="宋体" w:hAnsi="宋体" w:eastAsia="宋体" w:cs="仿宋"/>
          <w:highlight w:val="none"/>
          <w:lang w:val="en-US" w:eastAsia="zh-CN"/>
        </w:rPr>
        <w:t>160</w:t>
      </w:r>
      <w:r>
        <w:rPr>
          <w:rFonts w:hint="eastAsia" w:ascii="宋体" w:hAnsi="宋体" w:eastAsia="宋体" w:cs="仿宋"/>
          <w:highlight w:val="none"/>
        </w:rPr>
        <w:t>平方米，</w:t>
      </w:r>
      <w:r>
        <w:rPr>
          <w:rFonts w:hint="eastAsia" w:ascii="宋体" w:hAnsi="宋体" w:cs="仿宋"/>
          <w:highlight w:val="none"/>
          <w:lang w:val="en-US" w:eastAsia="zh-CN"/>
        </w:rPr>
        <w:t>预计用餐人数早餐约180人，中餐约250人，晚餐约150人</w:t>
      </w:r>
      <w:r>
        <w:rPr>
          <w:rFonts w:hint="eastAsia" w:ascii="宋体" w:hAnsi="宋体" w:eastAsia="宋体" w:cs="仿宋"/>
          <w:highlight w:val="none"/>
        </w:rPr>
        <w:t>。</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2、现已有各类厨房设备及用具齐全，基本能够满足食堂的正常生产运作需要。</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3、本项目所涉及的全部</w:t>
      </w:r>
      <w:r>
        <w:rPr>
          <w:rFonts w:hint="eastAsia" w:ascii="宋体" w:hAnsi="宋体" w:eastAsia="宋体" w:cs="仿宋"/>
          <w:highlight w:val="none"/>
          <w:lang w:val="en-US" w:eastAsia="zh-CN"/>
        </w:rPr>
        <w:t>原材料、</w:t>
      </w:r>
      <w:r>
        <w:rPr>
          <w:rFonts w:hint="eastAsia" w:ascii="宋体" w:hAnsi="宋体" w:eastAsia="宋体" w:cs="仿宋"/>
          <w:highlight w:val="none"/>
        </w:rPr>
        <w:t>辅料等消耗品的采购及</w:t>
      </w:r>
      <w:r>
        <w:rPr>
          <w:rFonts w:hint="eastAsia" w:ascii="宋体" w:hAnsi="宋体" w:eastAsia="宋体" w:cs="仿宋"/>
          <w:highlight w:val="none"/>
          <w:lang w:val="en-US" w:eastAsia="zh-CN"/>
        </w:rPr>
        <w:t>配送</w:t>
      </w:r>
      <w:r>
        <w:rPr>
          <w:rFonts w:hint="eastAsia" w:ascii="宋体" w:hAnsi="宋体" w:eastAsia="宋体" w:cs="仿宋"/>
          <w:highlight w:val="none"/>
        </w:rPr>
        <w:t>均由采购人另行委托，不在本次采购范围内。</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lang w:eastAsia="zh-CN"/>
        </w:rPr>
        <w:t>二</w:t>
      </w:r>
      <w:r>
        <w:rPr>
          <w:rFonts w:hint="eastAsia" w:ascii="宋体" w:hAnsi="宋体" w:eastAsia="宋体" w:cs="仿宋"/>
          <w:b/>
          <w:highlight w:val="none"/>
        </w:rPr>
        <w:t>、服务内容及基本管理要求</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cs="仿宋"/>
          <w:b/>
          <w:highlight w:val="none"/>
          <w:lang w:val="en-US" w:eastAsia="zh-CN"/>
        </w:rPr>
        <w:t>(一）</w:t>
      </w:r>
      <w:r>
        <w:rPr>
          <w:rFonts w:hint="eastAsia" w:ascii="宋体" w:hAnsi="宋体" w:eastAsia="宋体" w:cs="仿宋"/>
          <w:b/>
          <w:highlight w:val="none"/>
        </w:rPr>
        <w:t>.服务内容</w:t>
      </w:r>
    </w:p>
    <w:p>
      <w:pPr>
        <w:adjustRightInd/>
        <w:spacing w:line="360" w:lineRule="auto"/>
        <w:ind w:firstLine="420" w:firstLineChars="200"/>
        <w:rPr>
          <w:rFonts w:hint="eastAsia" w:ascii="宋体" w:hAnsi="宋体" w:eastAsia="宋体" w:cs="仿宋"/>
          <w:highlight w:val="none"/>
        </w:rPr>
      </w:pPr>
      <w:r>
        <w:rPr>
          <w:rFonts w:hint="eastAsia" w:ascii="宋体" w:hAnsi="宋体" w:cs="仿宋"/>
          <w:highlight w:val="none"/>
          <w:lang w:val="en-US" w:eastAsia="zh-CN"/>
        </w:rPr>
        <w:t>1.</w:t>
      </w:r>
      <w:r>
        <w:rPr>
          <w:rFonts w:hint="eastAsia" w:ascii="宋体" w:hAnsi="宋体" w:eastAsia="宋体" w:cs="仿宋"/>
          <w:highlight w:val="none"/>
        </w:rPr>
        <w:t>早餐、中餐、晚餐、加班餐、客餐服务，同时在特殊情况下由采购人通知，服务时间一般为每周一至周五（国家规定工作日），特殊情况需在公休日加班的提前一天通知。</w:t>
      </w:r>
      <w:bookmarkStart w:id="16" w:name="_Toc16955"/>
    </w:p>
    <w:p>
      <w:pPr>
        <w:adjustRightInd/>
        <w:spacing w:line="360" w:lineRule="auto"/>
        <w:ind w:firstLine="420" w:firstLineChars="200"/>
        <w:rPr>
          <w:rFonts w:hint="eastAsia" w:ascii="宋体" w:hAnsi="宋体" w:eastAsia="宋体" w:cs="仿宋"/>
          <w:sz w:val="21"/>
          <w:highlight w:val="none"/>
        </w:rPr>
      </w:pPr>
      <w:r>
        <w:rPr>
          <w:rFonts w:hint="eastAsia" w:ascii="宋体" w:hAnsi="宋体" w:cs="仿宋"/>
          <w:sz w:val="21"/>
          <w:highlight w:val="none"/>
          <w:lang w:val="en-US" w:eastAsia="zh-CN"/>
        </w:rPr>
        <w:t>2.</w:t>
      </w:r>
      <w:r>
        <w:rPr>
          <w:rFonts w:hint="eastAsia" w:ascii="宋体" w:hAnsi="宋体" w:eastAsia="宋体" w:cs="仿宋"/>
          <w:sz w:val="21"/>
          <w:highlight w:val="none"/>
        </w:rPr>
        <w:t>其他延伸服务</w:t>
      </w:r>
      <w:bookmarkEnd w:id="16"/>
    </w:p>
    <w:p>
      <w:pPr>
        <w:adjustRightInd/>
        <w:snapToGrid w:val="0"/>
        <w:spacing w:line="360" w:lineRule="auto"/>
        <w:ind w:firstLine="420" w:firstLineChars="200"/>
        <w:rPr>
          <w:rFonts w:hint="eastAsia" w:ascii="宋体" w:hAnsi="宋体" w:eastAsia="宋体" w:cs="仿宋"/>
          <w:sz w:val="21"/>
          <w:highlight w:val="none"/>
        </w:rPr>
      </w:pPr>
      <w:r>
        <w:rPr>
          <w:rFonts w:hint="eastAsia" w:ascii="宋体" w:hAnsi="宋体" w:cs="仿宋"/>
          <w:bCs w:val="0"/>
          <w:sz w:val="21"/>
          <w:highlight w:val="none"/>
          <w:lang w:eastAsia="zh-CN"/>
        </w:rPr>
        <w:t>（</w:t>
      </w:r>
      <w:r>
        <w:rPr>
          <w:rFonts w:hint="eastAsia" w:ascii="宋体" w:hAnsi="宋体" w:cs="仿宋"/>
          <w:bCs w:val="0"/>
          <w:sz w:val="21"/>
          <w:highlight w:val="none"/>
          <w:lang w:val="en-US" w:eastAsia="zh-CN"/>
        </w:rPr>
        <w:t>1</w:t>
      </w:r>
      <w:r>
        <w:rPr>
          <w:rFonts w:hint="eastAsia" w:ascii="宋体" w:hAnsi="宋体" w:cs="仿宋"/>
          <w:bCs w:val="0"/>
          <w:sz w:val="21"/>
          <w:highlight w:val="none"/>
          <w:lang w:eastAsia="zh-CN"/>
        </w:rPr>
        <w:t>）</w:t>
      </w:r>
      <w:r>
        <w:rPr>
          <w:rFonts w:hint="eastAsia" w:ascii="宋体" w:hAnsi="宋体" w:eastAsia="宋体" w:cs="仿宋"/>
          <w:bCs w:val="0"/>
          <w:sz w:val="21"/>
          <w:highlight w:val="none"/>
        </w:rPr>
        <w:t>非工作日伙食保障。根据</w:t>
      </w:r>
      <w:r>
        <w:rPr>
          <w:rFonts w:hint="eastAsia" w:ascii="宋体" w:hAnsi="宋体" w:eastAsia="宋体" w:cs="仿宋"/>
          <w:sz w:val="21"/>
          <w:highlight w:val="none"/>
        </w:rPr>
        <w:t>采购人</w:t>
      </w:r>
      <w:r>
        <w:rPr>
          <w:rFonts w:hint="eastAsia" w:ascii="宋体" w:hAnsi="宋体" w:eastAsia="宋体" w:cs="仿宋"/>
          <w:bCs w:val="0"/>
          <w:sz w:val="21"/>
          <w:highlight w:val="none"/>
        </w:rPr>
        <w:t>实际需求，在非工作日增开特定时间的大伙保障；要求按相应的用餐规模适度调整大伙保障的供应产品，及时、足量供应。</w:t>
      </w:r>
    </w:p>
    <w:p>
      <w:pPr>
        <w:adjustRightInd/>
        <w:snapToGrid w:val="0"/>
        <w:spacing w:line="360" w:lineRule="auto"/>
        <w:ind w:firstLine="420" w:firstLineChars="200"/>
        <w:rPr>
          <w:rFonts w:hint="eastAsia" w:ascii="宋体" w:hAnsi="宋体" w:eastAsia="宋体" w:cs="仿宋"/>
          <w:bCs w:val="0"/>
          <w:sz w:val="21"/>
          <w:highlight w:val="none"/>
        </w:rPr>
      </w:pPr>
      <w:r>
        <w:rPr>
          <w:rFonts w:hint="eastAsia" w:ascii="宋体" w:hAnsi="宋体" w:cs="仿宋"/>
          <w:bCs w:val="0"/>
          <w:sz w:val="21"/>
          <w:highlight w:val="none"/>
          <w:lang w:eastAsia="zh-CN"/>
        </w:rPr>
        <w:t>（</w:t>
      </w:r>
      <w:r>
        <w:rPr>
          <w:rFonts w:hint="eastAsia" w:ascii="宋体" w:hAnsi="宋体" w:cs="仿宋"/>
          <w:bCs w:val="0"/>
          <w:sz w:val="21"/>
          <w:highlight w:val="none"/>
          <w:lang w:val="en-US" w:eastAsia="zh-CN"/>
        </w:rPr>
        <w:t>2</w:t>
      </w:r>
      <w:r>
        <w:rPr>
          <w:rFonts w:hint="eastAsia" w:ascii="宋体" w:hAnsi="宋体" w:cs="仿宋"/>
          <w:bCs w:val="0"/>
          <w:sz w:val="21"/>
          <w:highlight w:val="none"/>
          <w:lang w:eastAsia="zh-CN"/>
        </w:rPr>
        <w:t>）</w:t>
      </w:r>
      <w:r>
        <w:rPr>
          <w:rFonts w:hint="eastAsia" w:ascii="宋体" w:hAnsi="宋体" w:eastAsia="宋体" w:cs="仿宋"/>
          <w:bCs w:val="0"/>
          <w:sz w:val="21"/>
          <w:highlight w:val="none"/>
        </w:rPr>
        <w:t>应急用餐保障。通常为了响应重要会议及活动的保障需求，根据</w:t>
      </w:r>
      <w:r>
        <w:rPr>
          <w:rFonts w:hint="eastAsia" w:ascii="宋体" w:hAnsi="宋体" w:eastAsia="宋体" w:cs="仿宋"/>
          <w:sz w:val="21"/>
          <w:highlight w:val="none"/>
        </w:rPr>
        <w:t>采购人</w:t>
      </w:r>
      <w:r>
        <w:rPr>
          <w:rFonts w:hint="eastAsia" w:ascii="宋体" w:hAnsi="宋体" w:eastAsia="宋体" w:cs="仿宋"/>
          <w:bCs w:val="0"/>
          <w:sz w:val="21"/>
          <w:highlight w:val="none"/>
        </w:rPr>
        <w:t>要求的时间（不限于基本大伙保障时间）、地点（不限于本食堂内）、形式（桌餐、自助餐、</w:t>
      </w:r>
      <w:r>
        <w:rPr>
          <w:rFonts w:hint="eastAsia" w:ascii="宋体" w:hAnsi="宋体" w:eastAsia="宋体" w:cs="仿宋"/>
          <w:sz w:val="21"/>
          <w:highlight w:val="none"/>
        </w:rPr>
        <w:t>商务套餐</w:t>
      </w:r>
      <w:r>
        <w:rPr>
          <w:rFonts w:hint="eastAsia" w:ascii="宋体" w:hAnsi="宋体" w:eastAsia="宋体" w:cs="仿宋"/>
          <w:bCs w:val="0"/>
          <w:sz w:val="21"/>
          <w:highlight w:val="none"/>
        </w:rPr>
        <w:t>等）提供菜品及服务；要求快速响应、供应及时、保质足量。</w:t>
      </w:r>
    </w:p>
    <w:p>
      <w:pPr>
        <w:snapToGrid w:val="0"/>
        <w:spacing w:after="0" w:line="360" w:lineRule="auto"/>
        <w:ind w:firstLine="420" w:firstLineChars="200"/>
        <w:jc w:val="both"/>
        <w:rPr>
          <w:rFonts w:hint="eastAsia" w:ascii="宋体" w:hAnsi="宋体" w:eastAsia="宋体" w:cs="仿宋"/>
          <w:bCs w:val="0"/>
          <w:sz w:val="21"/>
          <w:highlight w:val="none"/>
        </w:rPr>
      </w:pPr>
      <w:r>
        <w:rPr>
          <w:rFonts w:hint="eastAsia" w:ascii="宋体" w:hAnsi="宋体" w:cs="仿宋"/>
          <w:bCs w:val="0"/>
          <w:sz w:val="21"/>
          <w:highlight w:val="none"/>
          <w:lang w:eastAsia="zh-CN"/>
        </w:rPr>
        <w:t>（</w:t>
      </w:r>
      <w:r>
        <w:rPr>
          <w:rFonts w:hint="eastAsia" w:ascii="宋体" w:hAnsi="宋体" w:cs="仿宋"/>
          <w:bCs w:val="0"/>
          <w:sz w:val="21"/>
          <w:highlight w:val="none"/>
          <w:lang w:val="en-US" w:eastAsia="zh-CN"/>
        </w:rPr>
        <w:t>3</w:t>
      </w:r>
      <w:r>
        <w:rPr>
          <w:rFonts w:hint="eastAsia" w:ascii="宋体" w:hAnsi="宋体" w:cs="仿宋"/>
          <w:bCs w:val="0"/>
          <w:sz w:val="21"/>
          <w:highlight w:val="none"/>
          <w:lang w:eastAsia="zh-CN"/>
        </w:rPr>
        <w:t>）</w:t>
      </w:r>
      <w:r>
        <w:rPr>
          <w:rFonts w:hint="eastAsia" w:ascii="宋体" w:hAnsi="宋体" w:eastAsia="宋体" w:cs="仿宋"/>
          <w:bCs w:val="0"/>
          <w:sz w:val="21"/>
          <w:highlight w:val="none"/>
        </w:rPr>
        <w:t>短期夜宵保障。通常为了响应每年年底或重要会议期间，多部门集体夜间加班所产生的用餐需求，根据</w:t>
      </w:r>
      <w:r>
        <w:rPr>
          <w:rFonts w:hint="eastAsia" w:ascii="宋体" w:hAnsi="宋体" w:eastAsia="宋体" w:cs="仿宋"/>
          <w:sz w:val="21"/>
          <w:highlight w:val="none"/>
        </w:rPr>
        <w:t>采购人</w:t>
      </w:r>
      <w:r>
        <w:rPr>
          <w:rFonts w:hint="eastAsia" w:ascii="宋体" w:hAnsi="宋体" w:eastAsia="宋体" w:cs="仿宋"/>
          <w:bCs w:val="0"/>
          <w:sz w:val="21"/>
          <w:highlight w:val="none"/>
        </w:rPr>
        <w:t>要求提供短期夜宵服务；应以健康饮食与节约为原则，以预定、定制、小份制作等方式，提供保质足量的产品。</w:t>
      </w:r>
    </w:p>
    <w:p>
      <w:pPr>
        <w:snapToGrid w:val="0"/>
        <w:spacing w:after="0" w:line="360" w:lineRule="auto"/>
        <w:ind w:firstLine="420" w:firstLineChars="200"/>
        <w:jc w:val="both"/>
        <w:rPr>
          <w:rFonts w:hint="eastAsia" w:ascii="宋体" w:hAnsi="宋体" w:eastAsia="宋体" w:cs="仿宋"/>
          <w:bCs w:val="0"/>
          <w:sz w:val="21"/>
          <w:highlight w:val="none"/>
        </w:rPr>
      </w:pPr>
      <w:r>
        <w:rPr>
          <w:rFonts w:hint="eastAsia" w:ascii="宋体" w:hAnsi="宋体" w:cs="仿宋"/>
          <w:bCs w:val="0"/>
          <w:sz w:val="21"/>
          <w:highlight w:val="none"/>
          <w:lang w:eastAsia="zh-CN"/>
        </w:rPr>
        <w:t>（</w:t>
      </w:r>
      <w:r>
        <w:rPr>
          <w:rFonts w:hint="eastAsia" w:ascii="宋体" w:hAnsi="宋体" w:cs="仿宋"/>
          <w:bCs w:val="0"/>
          <w:sz w:val="21"/>
          <w:highlight w:val="none"/>
          <w:lang w:val="en-US" w:eastAsia="zh-CN"/>
        </w:rPr>
        <w:t>4</w:t>
      </w:r>
      <w:r>
        <w:rPr>
          <w:rFonts w:hint="eastAsia" w:ascii="宋体" w:hAnsi="宋体" w:cs="仿宋"/>
          <w:bCs w:val="0"/>
          <w:sz w:val="21"/>
          <w:highlight w:val="none"/>
          <w:lang w:eastAsia="zh-CN"/>
        </w:rPr>
        <w:t>）</w:t>
      </w:r>
      <w:r>
        <w:rPr>
          <w:rFonts w:hint="eastAsia" w:ascii="宋体" w:hAnsi="宋体" w:eastAsia="宋体" w:cs="仿宋"/>
          <w:bCs w:val="0"/>
          <w:sz w:val="21"/>
          <w:highlight w:val="none"/>
        </w:rPr>
        <w:t>创新性餐饮服务活动。通常为了营造节日氛围、餐厅服务氛围、提高满意度而自主创新的餐饮服务方式；基于项目设施设备与场地情况，通过技术研发来拓展创新创意、地域特色、传统佳节等产品，营造氛围开展创新性餐饮服务活动，如传统佳节供应特色点心、特色美食节、净菜打包服务、年夜饭套餐等。</w:t>
      </w:r>
    </w:p>
    <w:p>
      <w:pPr>
        <w:snapToGrid w:val="0"/>
        <w:spacing w:after="0" w:line="360" w:lineRule="auto"/>
        <w:ind w:firstLine="422" w:firstLineChars="200"/>
        <w:jc w:val="both"/>
        <w:rPr>
          <w:rFonts w:hint="eastAsia" w:ascii="宋体" w:hAnsi="宋体" w:eastAsia="宋体" w:cs="仿宋"/>
          <w:highlight w:val="none"/>
        </w:rPr>
      </w:pPr>
      <w:r>
        <w:rPr>
          <w:rFonts w:hint="eastAsia" w:ascii="宋体" w:hAnsi="宋体" w:cs="仿宋"/>
          <w:b/>
          <w:highlight w:val="none"/>
          <w:lang w:val="en-US" w:eastAsia="zh-CN"/>
        </w:rPr>
        <w:t>（二）</w:t>
      </w:r>
      <w:r>
        <w:rPr>
          <w:rFonts w:hint="eastAsia" w:ascii="宋体" w:hAnsi="宋体" w:eastAsia="宋体" w:cs="仿宋"/>
          <w:b/>
          <w:highlight w:val="none"/>
        </w:rPr>
        <w:t>配餐要求</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供餐服务时间：夏季：早餐7</w:t>
      </w:r>
      <w:r>
        <w:rPr>
          <w:rFonts w:hint="eastAsia" w:ascii="宋体" w:hAnsi="宋体" w:eastAsia="宋体" w:cs="仿宋"/>
          <w:highlight w:val="none"/>
          <w:lang w:val="en-US" w:eastAsia="zh-CN"/>
        </w:rPr>
        <w:t>:3</w:t>
      </w:r>
      <w:r>
        <w:rPr>
          <w:rFonts w:hint="eastAsia" w:ascii="宋体" w:hAnsi="宋体" w:eastAsia="宋体" w:cs="仿宋"/>
          <w:highlight w:val="none"/>
        </w:rPr>
        <w:t>0-8</w:t>
      </w:r>
      <w:r>
        <w:rPr>
          <w:rFonts w:hint="eastAsia" w:ascii="宋体" w:hAnsi="宋体" w:eastAsia="宋体" w:cs="仿宋"/>
          <w:highlight w:val="none"/>
          <w:lang w:val="en-US" w:eastAsia="zh-CN"/>
        </w:rPr>
        <w:t>:45</w:t>
      </w:r>
      <w:r>
        <w:rPr>
          <w:rFonts w:hint="eastAsia" w:ascii="宋体" w:hAnsi="宋体" w:eastAsia="宋体" w:cs="仿宋"/>
          <w:highlight w:val="none"/>
        </w:rPr>
        <w:t>，中餐11</w:t>
      </w:r>
      <w:r>
        <w:rPr>
          <w:rFonts w:hint="eastAsia" w:ascii="宋体" w:hAnsi="宋体" w:eastAsia="宋体" w:cs="仿宋"/>
          <w:highlight w:val="none"/>
          <w:lang w:val="en-US" w:eastAsia="zh-CN"/>
        </w:rPr>
        <w:t>:30</w:t>
      </w:r>
      <w:r>
        <w:rPr>
          <w:rFonts w:hint="eastAsia" w:ascii="宋体" w:hAnsi="宋体" w:eastAsia="宋体" w:cs="仿宋"/>
          <w:highlight w:val="none"/>
        </w:rPr>
        <w:t>-13</w:t>
      </w:r>
      <w:r>
        <w:rPr>
          <w:rFonts w:hint="eastAsia" w:ascii="宋体" w:hAnsi="宋体" w:eastAsia="宋体" w:cs="仿宋"/>
          <w:highlight w:val="none"/>
          <w:lang w:val="en-US" w:eastAsia="zh-CN"/>
        </w:rPr>
        <w:t>:00</w:t>
      </w:r>
      <w:r>
        <w:rPr>
          <w:rFonts w:hint="eastAsia" w:ascii="宋体" w:hAnsi="宋体" w:eastAsia="宋体" w:cs="仿宋"/>
          <w:highlight w:val="none"/>
        </w:rPr>
        <w:t>，晚餐</w:t>
      </w:r>
      <w:r>
        <w:rPr>
          <w:rFonts w:hint="eastAsia" w:ascii="宋体" w:hAnsi="宋体" w:eastAsia="宋体" w:cs="仿宋"/>
          <w:highlight w:val="none"/>
          <w:lang w:val="en-US" w:eastAsia="zh-CN"/>
        </w:rPr>
        <w:t>18:00</w:t>
      </w:r>
      <w:r>
        <w:rPr>
          <w:rFonts w:hint="eastAsia" w:ascii="宋体" w:hAnsi="宋体" w:eastAsia="宋体" w:cs="仿宋"/>
          <w:highlight w:val="none"/>
        </w:rPr>
        <w:t>-</w:t>
      </w:r>
      <w:r>
        <w:rPr>
          <w:rFonts w:hint="eastAsia" w:ascii="宋体" w:hAnsi="宋体" w:eastAsia="宋体" w:cs="仿宋"/>
          <w:highlight w:val="none"/>
          <w:lang w:val="en-US" w:eastAsia="zh-CN"/>
        </w:rPr>
        <w:t>19</w:t>
      </w:r>
      <w:r>
        <w:rPr>
          <w:rFonts w:hint="eastAsia" w:ascii="宋体" w:hAnsi="宋体" w:eastAsia="宋体" w:cs="仿宋"/>
          <w:highlight w:val="none"/>
        </w:rPr>
        <w:t>：30，其他季节：早餐</w:t>
      </w:r>
      <w:r>
        <w:rPr>
          <w:rFonts w:hint="eastAsia" w:ascii="宋体" w:hAnsi="宋体" w:eastAsia="宋体" w:cs="仿宋"/>
          <w:highlight w:val="none"/>
          <w:lang w:val="en-US" w:eastAsia="zh-CN"/>
        </w:rPr>
        <w:t>7:30-8:45</w:t>
      </w:r>
      <w:r>
        <w:rPr>
          <w:rFonts w:hint="eastAsia" w:ascii="宋体" w:hAnsi="宋体" w:eastAsia="宋体" w:cs="仿宋"/>
          <w:highlight w:val="none"/>
        </w:rPr>
        <w:t>，中餐11：30-13：00，晚餐</w:t>
      </w:r>
      <w:r>
        <w:rPr>
          <w:rFonts w:hint="eastAsia" w:ascii="宋体" w:hAnsi="宋体" w:eastAsia="宋体" w:cs="仿宋"/>
          <w:highlight w:val="none"/>
          <w:lang w:val="en-US" w:eastAsia="zh-CN"/>
        </w:rPr>
        <w:t>17:30-19:00</w:t>
      </w:r>
      <w:r>
        <w:rPr>
          <w:rFonts w:hint="eastAsia" w:ascii="宋体" w:hAnsi="宋体" w:eastAsia="宋体" w:cs="仿宋"/>
          <w:highlight w:val="none"/>
        </w:rPr>
        <w:t>，并根据</w:t>
      </w:r>
      <w:r>
        <w:rPr>
          <w:rFonts w:hint="eastAsia" w:ascii="宋体" w:hAnsi="宋体" w:cs="仿宋"/>
          <w:highlight w:val="none"/>
          <w:lang w:eastAsia="zh-CN"/>
        </w:rPr>
        <w:t>采购人</w:t>
      </w:r>
      <w:r>
        <w:rPr>
          <w:rFonts w:hint="eastAsia" w:ascii="宋体" w:hAnsi="宋体" w:eastAsia="宋体" w:cs="仿宋"/>
          <w:highlight w:val="none"/>
        </w:rPr>
        <w:t>具体作息时间调整。</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早餐：以本地常规早点为主，配以现有厨具可制作的其他可口花色早点。每日必备早餐品种为：稀饭、豆浆、油条、鸡蛋、包子、馒头、花卷、面条（品种一周内不重复）、馄饨、牛奶、蛋糕、麦糊烧、炒年糕、烙饼、水果等，中西结合，品种不少于15个。</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2、中餐</w:t>
      </w:r>
      <w:r>
        <w:rPr>
          <w:rFonts w:hint="eastAsia" w:ascii="宋体" w:hAnsi="宋体" w:cs="仿宋"/>
          <w:highlight w:val="none"/>
          <w:lang w:eastAsia="zh-CN"/>
        </w:rPr>
        <w:t>（一般为</w:t>
      </w:r>
      <w:r>
        <w:rPr>
          <w:rFonts w:hint="eastAsia" w:ascii="宋体" w:hAnsi="宋体" w:cs="仿宋"/>
          <w:highlight w:val="none"/>
          <w:lang w:val="en-US" w:eastAsia="zh-CN"/>
        </w:rPr>
        <w:t>10个热菜</w:t>
      </w:r>
      <w:r>
        <w:rPr>
          <w:rFonts w:hint="eastAsia" w:ascii="宋体" w:hAnsi="宋体" w:cs="仿宋"/>
          <w:highlight w:val="none"/>
          <w:lang w:eastAsia="zh-CN"/>
        </w:rPr>
        <w:t>）</w:t>
      </w:r>
      <w:r>
        <w:rPr>
          <w:rFonts w:hint="eastAsia" w:ascii="宋体" w:hAnsi="宋体" w:eastAsia="宋体" w:cs="仿宋"/>
          <w:highlight w:val="none"/>
        </w:rPr>
        <w:t>按自主选择模式供应：以杭帮菜为主，部分配以其他菜系特色菜。其中：</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大荤</w:t>
      </w:r>
      <w:r>
        <w:rPr>
          <w:rFonts w:hint="eastAsia" w:ascii="宋体" w:hAnsi="宋体" w:cs="仿宋"/>
          <w:highlight w:val="none"/>
          <w:lang w:val="en-US" w:eastAsia="zh-CN"/>
        </w:rPr>
        <w:t>2-4</w:t>
      </w:r>
      <w:r>
        <w:rPr>
          <w:rFonts w:hint="eastAsia" w:ascii="宋体" w:hAnsi="宋体" w:eastAsia="宋体" w:cs="仿宋"/>
          <w:highlight w:val="none"/>
        </w:rPr>
        <w:t>个。以当日活宰肉、禽、鱼或保鲜海产类为主。一周内花色不得重复。</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半荤2个。荤素搭配各一半量。一周内花色不得重复。</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素菜6个。时令熟菜不少于2个。一周内花色不重复超过两次。</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汤2</w:t>
      </w:r>
      <w:r>
        <w:rPr>
          <w:rFonts w:hint="eastAsia" w:ascii="宋体" w:hAnsi="宋体" w:cs="仿宋"/>
          <w:highlight w:val="none"/>
          <w:lang w:val="en-US" w:eastAsia="zh-CN"/>
        </w:rPr>
        <w:t>-4</w:t>
      </w:r>
      <w:r>
        <w:rPr>
          <w:rFonts w:hint="eastAsia" w:ascii="宋体" w:hAnsi="宋体" w:eastAsia="宋体" w:cs="仿宋"/>
          <w:highlight w:val="none"/>
        </w:rPr>
        <w:t>个（品种一周内不重复）。汤内有形物不少于三分之一，夏令需另行提供夏令饮品如解暑绿豆汤、白木耳等。</w:t>
      </w:r>
    </w:p>
    <w:p>
      <w:pPr>
        <w:tabs>
          <w:tab w:val="center" w:pos="4139"/>
        </w:tabs>
        <w:snapToGrid w:val="0"/>
        <w:spacing w:after="0" w:line="360" w:lineRule="auto"/>
        <w:ind w:firstLine="420" w:firstLineChars="200"/>
        <w:jc w:val="both"/>
        <w:rPr>
          <w:rFonts w:hint="eastAsia" w:ascii="宋体" w:hAnsi="宋体" w:eastAsia="宋体" w:cs="仿宋"/>
          <w:highlight w:val="none"/>
          <w:lang w:eastAsia="zh-CN"/>
        </w:rPr>
      </w:pPr>
      <w:r>
        <w:rPr>
          <w:rFonts w:hint="eastAsia" w:ascii="宋体" w:hAnsi="宋体" w:eastAsia="宋体" w:cs="仿宋"/>
          <w:highlight w:val="none"/>
        </w:rPr>
        <w:t>中餐主食提供米饭</w:t>
      </w:r>
      <w:r>
        <w:rPr>
          <w:rFonts w:hint="eastAsia" w:ascii="宋体" w:hAnsi="宋体" w:eastAsia="宋体" w:cs="仿宋"/>
          <w:highlight w:val="none"/>
          <w:lang w:eastAsia="zh-CN"/>
        </w:rPr>
        <w:t>、杂粮饭</w:t>
      </w:r>
      <w:r>
        <w:rPr>
          <w:rFonts w:hint="eastAsia" w:ascii="宋体" w:hAnsi="宋体" w:cs="仿宋"/>
          <w:highlight w:val="none"/>
          <w:lang w:eastAsia="zh-CN"/>
        </w:rPr>
        <w:t>，另专设小吃档口，提供各地美食小吃。</w:t>
      </w:r>
    </w:p>
    <w:p>
      <w:pPr>
        <w:tabs>
          <w:tab w:val="left" w:pos="353"/>
        </w:tabs>
        <w:snapToGrid w:val="0"/>
        <w:spacing w:after="0" w:line="360" w:lineRule="auto"/>
        <w:ind w:firstLine="420" w:firstLineChars="200"/>
        <w:jc w:val="both"/>
        <w:rPr>
          <w:rFonts w:hint="default" w:ascii="宋体" w:hAnsi="宋体" w:eastAsia="宋体" w:cs="仿宋"/>
          <w:highlight w:val="none"/>
          <w:lang w:val="en-US" w:eastAsia="zh-CN"/>
        </w:rPr>
      </w:pPr>
      <w:r>
        <w:rPr>
          <w:rFonts w:hint="eastAsia" w:ascii="宋体" w:hAnsi="宋体" w:cs="仿宋"/>
          <w:highlight w:val="none"/>
          <w:lang w:val="en-US" w:eastAsia="zh-CN"/>
        </w:rPr>
        <w:t>3、</w:t>
      </w:r>
      <w:r>
        <w:rPr>
          <w:rFonts w:hint="eastAsia" w:ascii="宋体" w:hAnsi="宋体" w:cs="仿宋"/>
          <w:highlight w:val="none"/>
          <w:lang w:eastAsia="zh-CN"/>
        </w:rPr>
        <w:t>晚餐以</w:t>
      </w:r>
      <w:r>
        <w:rPr>
          <w:rFonts w:hint="eastAsia" w:ascii="宋体" w:hAnsi="宋体" w:eastAsia="宋体" w:cs="仿宋"/>
          <w:highlight w:val="none"/>
        </w:rPr>
        <w:t>自主选择模式</w:t>
      </w:r>
      <w:r>
        <w:rPr>
          <w:rFonts w:hint="eastAsia" w:ascii="宋体" w:hAnsi="宋体" w:cs="仿宋"/>
          <w:highlight w:val="none"/>
          <w:lang w:eastAsia="zh-CN"/>
        </w:rPr>
        <w:t>按需供应，</w:t>
      </w:r>
      <w:r>
        <w:rPr>
          <w:rFonts w:hint="eastAsia" w:ascii="宋体" w:hAnsi="宋体" w:cs="仿宋"/>
          <w:highlight w:val="none"/>
          <w:lang w:val="en-US" w:eastAsia="zh-CN"/>
        </w:rPr>
        <w:t>同时提供小吃窗口。</w:t>
      </w:r>
    </w:p>
    <w:p>
      <w:pPr>
        <w:snapToGrid w:val="0"/>
        <w:spacing w:after="0" w:line="360" w:lineRule="auto"/>
        <w:ind w:firstLine="420" w:firstLineChars="200"/>
        <w:jc w:val="both"/>
        <w:rPr>
          <w:rFonts w:ascii="宋体" w:hAnsi="宋体" w:eastAsia="宋体" w:cs="仿宋"/>
          <w:highlight w:val="none"/>
        </w:rPr>
      </w:pPr>
      <w:r>
        <w:rPr>
          <w:rFonts w:hint="eastAsia" w:ascii="宋体" w:hAnsi="宋体" w:cs="仿宋"/>
          <w:highlight w:val="none"/>
          <w:lang w:val="en-US" w:eastAsia="zh-CN"/>
        </w:rPr>
        <w:t>4</w:t>
      </w:r>
      <w:r>
        <w:rPr>
          <w:rFonts w:hint="eastAsia" w:ascii="宋体" w:hAnsi="宋体" w:eastAsia="宋体" w:cs="仿宋"/>
          <w:highlight w:val="none"/>
        </w:rPr>
        <w:t>、客餐：按用餐标准或认可菜单配制。</w:t>
      </w:r>
    </w:p>
    <w:p>
      <w:pPr>
        <w:snapToGrid w:val="0"/>
        <w:spacing w:after="0" w:line="360" w:lineRule="auto"/>
        <w:ind w:firstLine="420" w:firstLineChars="200"/>
        <w:jc w:val="both"/>
        <w:rPr>
          <w:rFonts w:ascii="宋体" w:hAnsi="宋体" w:eastAsia="宋体" w:cs="仿宋"/>
          <w:highlight w:val="none"/>
        </w:rPr>
      </w:pPr>
      <w:r>
        <w:rPr>
          <w:rFonts w:hint="eastAsia" w:ascii="宋体" w:hAnsi="宋体" w:cs="仿宋"/>
          <w:highlight w:val="none"/>
          <w:lang w:val="en-US" w:eastAsia="zh-CN"/>
        </w:rPr>
        <w:t>5</w:t>
      </w:r>
      <w:r>
        <w:rPr>
          <w:rFonts w:hint="eastAsia" w:ascii="宋体" w:hAnsi="宋体" w:eastAsia="宋体" w:cs="仿宋"/>
          <w:highlight w:val="none"/>
        </w:rPr>
        <w:t>、菜单要求：</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早、中餐</w:t>
      </w:r>
      <w:r>
        <w:rPr>
          <w:rFonts w:hint="eastAsia" w:ascii="宋体" w:hAnsi="宋体" w:cs="仿宋"/>
          <w:highlight w:val="none"/>
          <w:lang w:val="en-US" w:eastAsia="zh-CN"/>
        </w:rPr>
        <w:t>每周四前</w:t>
      </w:r>
      <w:r>
        <w:rPr>
          <w:rFonts w:hint="eastAsia" w:ascii="宋体" w:hAnsi="宋体" w:eastAsia="宋体" w:cs="仿宋"/>
          <w:highlight w:val="none"/>
        </w:rPr>
        <w:t>列出</w:t>
      </w:r>
      <w:r>
        <w:rPr>
          <w:rFonts w:hint="eastAsia" w:ascii="宋体" w:hAnsi="宋体" w:cs="仿宋"/>
          <w:highlight w:val="none"/>
          <w:lang w:val="en-US" w:eastAsia="zh-CN"/>
        </w:rPr>
        <w:t>下周</w:t>
      </w:r>
      <w:r>
        <w:rPr>
          <w:rFonts w:hint="eastAsia" w:ascii="宋体" w:hAnsi="宋体" w:eastAsia="宋体" w:cs="仿宋"/>
          <w:highlight w:val="none"/>
        </w:rPr>
        <w:t>菜单</w:t>
      </w:r>
      <w:r>
        <w:rPr>
          <w:rFonts w:hint="eastAsia" w:ascii="宋体" w:hAnsi="宋体" w:cs="仿宋"/>
          <w:highlight w:val="none"/>
          <w:lang w:val="en-US" w:eastAsia="zh-CN"/>
        </w:rPr>
        <w:t>并由专人审核通过后提交采购人，如出现重复菜品按考核细则进行处罚</w:t>
      </w:r>
      <w:r>
        <w:rPr>
          <w:rFonts w:hint="eastAsia" w:ascii="宋体" w:hAnsi="宋体" w:eastAsia="宋体" w:cs="仿宋"/>
          <w:highlight w:val="none"/>
        </w:rPr>
        <w:t>。</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客餐：按用餐标准提供客餐服务。</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重大就餐人员变动或客餐服务应提前一天通知食堂。</w:t>
      </w:r>
    </w:p>
    <w:p>
      <w:pPr>
        <w:widowControl w:val="0"/>
        <w:numPr>
          <w:ilvl w:val="-1"/>
          <w:numId w:val="0"/>
        </w:numPr>
        <w:adjustRightInd w:val="0"/>
        <w:snapToGrid w:val="0"/>
        <w:spacing w:after="0" w:line="360" w:lineRule="auto"/>
        <w:ind w:firstLine="420" w:firstLineChars="200"/>
        <w:jc w:val="both"/>
        <w:rPr>
          <w:rFonts w:ascii="宋体" w:hAnsi="宋体" w:eastAsia="宋体" w:cs="仿宋"/>
          <w:highlight w:val="none"/>
        </w:rPr>
      </w:pPr>
      <w:r>
        <w:rPr>
          <w:rFonts w:hint="eastAsia" w:ascii="宋体" w:hAnsi="宋体" w:cs="仿宋"/>
          <w:highlight w:val="none"/>
          <w:lang w:val="en-US" w:eastAsia="zh-CN"/>
        </w:rPr>
        <w:t>6、</w:t>
      </w:r>
      <w:r>
        <w:rPr>
          <w:rFonts w:hint="eastAsia" w:ascii="宋体" w:hAnsi="宋体" w:eastAsia="宋体" w:cs="仿宋"/>
          <w:highlight w:val="none"/>
        </w:rPr>
        <w:t>素菜和半荤菜（包括已加工未烹调的半成品）存放不超过24小时、荤菜不超过48小时；冰箱生冻品存放不超过一星期；每出台新的菜肴和早点，须经甲方审核。</w:t>
      </w:r>
    </w:p>
    <w:p>
      <w:pPr>
        <w:widowControl w:val="0"/>
        <w:numPr>
          <w:ilvl w:val="-1"/>
          <w:numId w:val="0"/>
        </w:numPr>
        <w:adjustRightInd w:val="0"/>
        <w:snapToGrid w:val="0"/>
        <w:spacing w:after="0" w:line="360" w:lineRule="auto"/>
        <w:ind w:firstLine="420" w:firstLineChars="200"/>
        <w:jc w:val="both"/>
        <w:rPr>
          <w:rFonts w:ascii="宋体" w:hAnsi="宋体" w:eastAsia="宋体" w:cs="仿宋"/>
          <w:highlight w:val="none"/>
        </w:rPr>
      </w:pPr>
      <w:r>
        <w:rPr>
          <w:rFonts w:hint="eastAsia" w:ascii="宋体" w:hAnsi="宋体" w:cs="仿宋"/>
          <w:highlight w:val="none"/>
          <w:lang w:val="en-US" w:eastAsia="zh-CN"/>
        </w:rPr>
        <w:t>7、</w:t>
      </w:r>
      <w:r>
        <w:rPr>
          <w:rFonts w:hint="eastAsia" w:ascii="宋体" w:hAnsi="宋体" w:eastAsia="宋体" w:cs="仿宋"/>
          <w:highlight w:val="none"/>
        </w:rPr>
        <w:t>当日提供的面点，须由面点师当日完成制作。</w:t>
      </w:r>
    </w:p>
    <w:p>
      <w:pPr>
        <w:snapToGrid w:val="0"/>
        <w:spacing w:after="0" w:line="360" w:lineRule="auto"/>
        <w:ind w:firstLine="420" w:firstLineChars="200"/>
        <w:jc w:val="both"/>
        <w:rPr>
          <w:rFonts w:ascii="宋体" w:hAnsi="宋体" w:eastAsia="宋体" w:cs="仿宋"/>
          <w:highlight w:val="none"/>
        </w:rPr>
      </w:pPr>
      <w:r>
        <w:rPr>
          <w:rFonts w:hint="eastAsia" w:ascii="宋体" w:hAnsi="宋体" w:cs="仿宋"/>
          <w:highlight w:val="none"/>
          <w:lang w:val="en-US" w:eastAsia="zh-CN"/>
        </w:rPr>
        <w:t>8、</w:t>
      </w:r>
      <w:r>
        <w:rPr>
          <w:rFonts w:hint="eastAsia" w:ascii="宋体" w:hAnsi="宋体" w:eastAsia="宋体" w:cs="仿宋"/>
          <w:highlight w:val="none"/>
        </w:rPr>
        <w:t>就餐时间提供面点、乳制品、</w:t>
      </w:r>
      <w:r>
        <w:rPr>
          <w:rFonts w:hint="eastAsia" w:ascii="宋体" w:hAnsi="宋体" w:cs="仿宋"/>
          <w:highlight w:val="none"/>
          <w:lang w:eastAsia="zh-CN"/>
        </w:rPr>
        <w:t>水果</w:t>
      </w:r>
      <w:r>
        <w:rPr>
          <w:rFonts w:hint="eastAsia" w:ascii="宋体" w:hAnsi="宋体" w:eastAsia="宋体" w:cs="仿宋"/>
          <w:highlight w:val="none"/>
        </w:rPr>
        <w:t>等零售服务。</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rPr>
        <w:t>三</w:t>
      </w:r>
      <w:r>
        <w:rPr>
          <w:rFonts w:hint="eastAsia" w:ascii="宋体" w:hAnsi="宋体" w:eastAsia="宋体" w:cs="仿宋"/>
          <w:b/>
          <w:highlight w:val="none"/>
          <w:lang w:eastAsia="zh-CN"/>
        </w:rPr>
        <w:t>、</w:t>
      </w:r>
      <w:r>
        <w:rPr>
          <w:rFonts w:hint="eastAsia" w:ascii="宋体" w:hAnsi="宋体" w:eastAsia="宋体" w:cs="仿宋"/>
          <w:b/>
          <w:highlight w:val="none"/>
        </w:rPr>
        <w:t>服务人员配置及管理要求</w:t>
      </w:r>
    </w:p>
    <w:p>
      <w:pPr>
        <w:spacing w:after="0" w:line="360" w:lineRule="auto"/>
        <w:ind w:left="0" w:firstLine="420" w:firstLineChars="200"/>
        <w:jc w:val="both"/>
        <w:rPr>
          <w:rFonts w:hint="default" w:ascii="宋体" w:hAnsi="宋体" w:eastAsia="宋体" w:cs="仿宋"/>
          <w:color w:val="000000" w:themeColor="text1"/>
          <w:highlight w:val="none"/>
          <w:lang w:val="en-US" w:eastAsia="zh-CN"/>
          <w14:textFill>
            <w14:solidFill>
              <w14:schemeClr w14:val="tx1"/>
            </w14:solidFill>
          </w14:textFill>
        </w:rPr>
      </w:pPr>
      <w:r>
        <w:rPr>
          <w:rFonts w:hint="eastAsia" w:ascii="宋体" w:hAnsi="宋体" w:eastAsia="宋体" w:cs="仿宋"/>
          <w:color w:val="000000" w:themeColor="text1"/>
          <w:highlight w:val="none"/>
          <w14:textFill>
            <w14:solidFill>
              <w14:schemeClr w14:val="tx1"/>
            </w14:solidFill>
          </w14:textFill>
        </w:rPr>
        <w:t>1、食堂员工总人数</w:t>
      </w:r>
      <w:r>
        <w:rPr>
          <w:rFonts w:hint="eastAsia" w:ascii="宋体" w:hAnsi="宋体" w:eastAsia="宋体" w:cs="仿宋"/>
          <w:color w:val="000000" w:themeColor="text1"/>
          <w:highlight w:val="none"/>
          <w:lang w:val="en-US" w:eastAsia="zh-CN"/>
          <w14:textFill>
            <w14:solidFill>
              <w14:schemeClr w14:val="tx1"/>
            </w14:solidFill>
          </w14:textFill>
        </w:rPr>
        <w:t>14</w:t>
      </w:r>
      <w:r>
        <w:rPr>
          <w:rFonts w:hint="eastAsia" w:ascii="宋体" w:hAnsi="宋体" w:eastAsia="宋体" w:cs="仿宋"/>
          <w:color w:val="000000" w:themeColor="text1"/>
          <w:highlight w:val="none"/>
          <w14:textFill>
            <w14:solidFill>
              <w14:schemeClr w14:val="tx1"/>
            </w14:solidFill>
          </w14:textFill>
        </w:rPr>
        <w:t>人。</w:t>
      </w:r>
      <w:r>
        <w:rPr>
          <w:rFonts w:hint="eastAsia"/>
          <w:highlight w:val="none"/>
          <w:lang w:val="en-US" w:eastAsia="zh-CN"/>
        </w:rPr>
        <w:t>拟投入人员需为全职在册员工，且在采购人规定工作时间内不得兼职</w:t>
      </w:r>
      <w:r>
        <w:rPr>
          <w:rFonts w:hint="eastAsia" w:ascii="宋体" w:hAnsi="宋体" w:eastAsia="宋体" w:cs="仿宋"/>
          <w:color w:val="000000" w:themeColor="text1"/>
          <w:highlight w:val="none"/>
          <w14:textFill>
            <w14:solidFill>
              <w14:schemeClr w14:val="tx1"/>
            </w14:solidFill>
          </w14:textFill>
        </w:rPr>
        <w:t>。</w:t>
      </w:r>
    </w:p>
    <w:p>
      <w:pPr>
        <w:spacing w:line="360" w:lineRule="auto"/>
        <w:ind w:firstLine="420" w:firstLineChars="200"/>
        <w:rPr>
          <w:rFonts w:hint="eastAsia" w:ascii="宋体" w:hAnsi="宋体" w:eastAsia="宋体" w:cs="仿宋"/>
          <w:color w:val="000000" w:themeColor="text1"/>
          <w:szCs w:val="21"/>
          <w:highlight w:val="none"/>
          <w:lang w:eastAsia="zh-CN"/>
          <w14:textFill>
            <w14:solidFill>
              <w14:schemeClr w14:val="tx1"/>
            </w14:solidFill>
          </w14:textFill>
        </w:rPr>
      </w:pPr>
      <w:r>
        <w:rPr>
          <w:rFonts w:hint="eastAsia" w:ascii="宋体" w:hAnsi="宋体" w:eastAsia="宋体" w:cs="仿宋"/>
          <w:color w:val="000000" w:themeColor="text1"/>
          <w:highlight w:val="none"/>
          <w:lang w:eastAsia="zh-CN"/>
          <w14:textFill>
            <w14:solidFill>
              <w14:schemeClr w14:val="tx1"/>
            </w14:solidFill>
          </w14:textFill>
        </w:rPr>
        <w:t>项目经理兼</w:t>
      </w:r>
      <w:r>
        <w:rPr>
          <w:rFonts w:hint="eastAsia" w:ascii="宋体" w:hAnsi="宋体" w:eastAsia="宋体" w:cs="仿宋"/>
          <w:color w:val="000000" w:themeColor="text1"/>
          <w:highlight w:val="none"/>
          <w14:textFill>
            <w14:solidFill>
              <w14:schemeClr w14:val="tx1"/>
            </w14:solidFill>
          </w14:textFill>
        </w:rPr>
        <w:t>厨师长1名，男性，</w:t>
      </w:r>
      <w:r>
        <w:rPr>
          <w:rFonts w:hint="eastAsia" w:ascii="宋体" w:hAnsi="宋体" w:cs="仿宋"/>
          <w:color w:val="000000" w:themeColor="text1"/>
          <w:highlight w:val="none"/>
          <w:lang w:val="en-US" w:eastAsia="zh-CN"/>
          <w14:textFill>
            <w14:solidFill>
              <w14:schemeClr w14:val="tx1"/>
            </w14:solidFill>
          </w14:textFill>
        </w:rPr>
        <w:t>50周岁以下</w:t>
      </w:r>
      <w:r>
        <w:rPr>
          <w:rFonts w:hint="eastAsia" w:ascii="宋体" w:hAnsi="宋体" w:eastAsia="宋体" w:cs="仿宋"/>
          <w:color w:val="000000" w:themeColor="text1"/>
          <w:highlight w:val="none"/>
          <w14:textFill>
            <w14:solidFill>
              <w14:schemeClr w14:val="tx1"/>
            </w14:solidFill>
          </w14:textFill>
        </w:rPr>
        <w:t>，</w:t>
      </w:r>
      <w:r>
        <w:rPr>
          <w:rFonts w:hint="eastAsia" w:ascii="宋体" w:hAnsi="宋体" w:eastAsia="宋体" w:cs="仿宋"/>
          <w:color w:val="000000" w:themeColor="text1"/>
          <w:szCs w:val="21"/>
          <w:highlight w:val="none"/>
          <w14:textFill>
            <w14:solidFill>
              <w14:schemeClr w14:val="tx1"/>
            </w14:solidFill>
          </w14:textFill>
        </w:rPr>
        <w:t>有充足经验</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eastAsia="宋体" w:cs="仿宋"/>
          <w:color w:val="000000" w:themeColor="text1"/>
          <w:szCs w:val="21"/>
          <w:highlight w:val="none"/>
          <w14:textFill>
            <w14:solidFill>
              <w14:schemeClr w14:val="tx1"/>
            </w14:solidFill>
          </w14:textFill>
        </w:rPr>
        <w:t>较强管理能力</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且具备高级（三级）及以上厨师证；</w:t>
      </w:r>
      <w:r>
        <w:rPr>
          <w:rFonts w:hint="eastAsia" w:ascii="宋体" w:hAnsi="宋体" w:eastAsia="宋体" w:cs="仿宋"/>
          <w:b/>
          <w:bCs/>
          <w:color w:val="000000" w:themeColor="text1"/>
          <w:szCs w:val="21"/>
          <w:highlight w:val="none"/>
          <w14:textFill>
            <w14:solidFill>
              <w14:schemeClr w14:val="tx1"/>
            </w14:solidFill>
          </w14:textFill>
        </w:rPr>
        <w:t>厨师长应有五年（含）以上团膳餐饮企业管理经验或政府机关食堂管理经验</w:t>
      </w:r>
      <w:r>
        <w:rPr>
          <w:rFonts w:hint="eastAsia" w:ascii="宋体" w:hAnsi="宋体" w:eastAsia="宋体" w:cs="仿宋"/>
          <w:color w:val="000000" w:themeColor="text1"/>
          <w:szCs w:val="21"/>
          <w:highlight w:val="none"/>
          <w14:textFill>
            <w14:solidFill>
              <w14:schemeClr w14:val="tx1"/>
            </w14:solidFill>
          </w14:textFill>
        </w:rPr>
        <w:t>，有较强的沟通和协调能力，全面负责成本控制工作</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eastAsia="宋体" w:cs="仿宋"/>
          <w:color w:val="000000" w:themeColor="text1"/>
          <w:szCs w:val="21"/>
          <w:highlight w:val="none"/>
          <w14:textFill>
            <w14:solidFill>
              <w14:schemeClr w14:val="tx1"/>
            </w14:solidFill>
          </w14:textFill>
        </w:rPr>
        <w:t>全面负责厨房管理。有多年酒店经验擅长制作江浙菜，包厢</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宴会</w:t>
      </w:r>
      <w:r>
        <w:rPr>
          <w:rFonts w:hint="eastAsia" w:ascii="宋体" w:hAnsi="宋体" w:eastAsia="宋体" w:cs="仿宋"/>
          <w:color w:val="000000" w:themeColor="text1"/>
          <w:szCs w:val="21"/>
          <w:highlight w:val="none"/>
          <w14:textFill>
            <w14:solidFill>
              <w14:schemeClr w14:val="tx1"/>
            </w14:solidFill>
          </w14:textFill>
        </w:rPr>
        <w:t>菜等，沟通与执行力强</w:t>
      </w:r>
      <w:r>
        <w:rPr>
          <w:rFonts w:hint="eastAsia" w:ascii="宋体" w:hAnsi="宋体" w:eastAsia="宋体" w:cs="仿宋"/>
          <w:color w:val="000000" w:themeColor="text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 w:val="21"/>
          <w:szCs w:val="21"/>
          <w:highlight w:val="none"/>
          <w:lang w:eastAsia="zh-CN"/>
          <w14:textFill>
            <w14:solidFill>
              <w14:schemeClr w14:val="tx1"/>
            </w14:solidFill>
          </w14:textFill>
        </w:rPr>
        <w:t>服务主管</w:t>
      </w:r>
      <w:r>
        <w:rPr>
          <w:rFonts w:hint="eastAsia" w:ascii="宋体" w:hAnsi="宋体" w:eastAsia="宋体" w:cs="仿宋"/>
          <w:color w:val="000000" w:themeColor="text1"/>
          <w:sz w:val="21"/>
          <w:szCs w:val="21"/>
          <w:highlight w:val="none"/>
          <w:lang w:val="en-US" w:eastAsia="zh-CN"/>
          <w14:textFill>
            <w14:solidFill>
              <w14:schemeClr w14:val="tx1"/>
            </w14:solidFill>
          </w14:textFill>
        </w:rPr>
        <w:t>1名，女性，</w:t>
      </w:r>
      <w:r>
        <w:rPr>
          <w:rFonts w:hint="eastAsia" w:ascii="宋体" w:hAnsi="宋体" w:cs="仿宋"/>
          <w:color w:val="000000" w:themeColor="text1"/>
          <w:sz w:val="21"/>
          <w:szCs w:val="21"/>
          <w:highlight w:val="none"/>
          <w:lang w:val="en-US" w:eastAsia="zh-CN"/>
          <w14:textFill>
            <w14:solidFill>
              <w14:schemeClr w14:val="tx1"/>
            </w14:solidFill>
          </w14:textFill>
        </w:rPr>
        <w:t>45周岁以下</w:t>
      </w:r>
      <w:r>
        <w:rPr>
          <w:rFonts w:hint="eastAsia" w:ascii="宋体" w:hAnsi="宋体" w:eastAsia="宋体" w:cs="仿宋"/>
          <w:color w:val="000000" w:themeColor="text1"/>
          <w:sz w:val="21"/>
          <w:szCs w:val="21"/>
          <w:highlight w:val="none"/>
          <w:lang w:val="en-US" w:eastAsia="zh-CN"/>
          <w14:textFill>
            <w14:solidFill>
              <w14:schemeClr w14:val="tx1"/>
            </w14:solidFill>
          </w14:textFill>
        </w:rPr>
        <w:t>，擅长沟通</w:t>
      </w:r>
      <w:r>
        <w:rPr>
          <w:rFonts w:hint="eastAsia" w:ascii="宋体" w:hAnsi="宋体" w:cs="仿宋"/>
          <w:color w:val="000000" w:themeColor="text1"/>
          <w:sz w:val="21"/>
          <w:szCs w:val="21"/>
          <w:highlight w:val="none"/>
          <w:lang w:val="en-US" w:eastAsia="zh-CN"/>
          <w14:textFill>
            <w14:solidFill>
              <w14:schemeClr w14:val="tx1"/>
            </w14:solidFill>
          </w14:textFill>
        </w:rPr>
        <w:t>，</w:t>
      </w:r>
      <w:r>
        <w:rPr>
          <w:rFonts w:hint="eastAsia" w:ascii="宋体" w:hAnsi="宋体" w:eastAsia="宋体" w:cs="仿宋"/>
          <w:color w:val="000000" w:themeColor="text1"/>
          <w:szCs w:val="21"/>
          <w:highlight w:val="none"/>
          <w14:textFill>
            <w14:solidFill>
              <w14:schemeClr w14:val="tx1"/>
            </w14:solidFill>
          </w14:textFill>
        </w:rPr>
        <w:t>有充足经验以及较强管理能力的，全面负责食堂的日常组织和指挥工作；全面负责食堂内部建章立制工作；全面负责员工管理工作；全面负责汇报与协调工作。能熟练运用电脑，具备餐饮企业管理经验，热情大方、沟通能力强，具有积极健康的心态；</w:t>
      </w:r>
    </w:p>
    <w:p>
      <w:pPr>
        <w:spacing w:line="360" w:lineRule="auto"/>
        <w:ind w:firstLine="420" w:firstLineChars="200"/>
        <w:rPr>
          <w:rFonts w:hint="eastAsia" w:ascii="宋体" w:hAnsi="宋体" w:eastAsia="宋体" w:cs="仿宋"/>
          <w:color w:val="000000" w:themeColor="text1"/>
          <w:sz w:val="21"/>
          <w:szCs w:val="21"/>
          <w:highlight w:val="none"/>
          <w:lang w:val="en-US" w:eastAsia="zh-CN"/>
          <w14:textFill>
            <w14:solidFill>
              <w14:schemeClr w14:val="tx1"/>
            </w14:solidFill>
          </w14:textFill>
        </w:rPr>
      </w:pPr>
      <w:r>
        <w:rPr>
          <w:rFonts w:hint="eastAsia" w:ascii="宋体" w:hAnsi="宋体" w:eastAsia="宋体" w:cs="仿宋"/>
          <w:color w:val="000000" w:themeColor="text1"/>
          <w:highlight w:val="none"/>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服务主管</w:t>
      </w:r>
      <w:r>
        <w:rPr>
          <w:rFonts w:hint="eastAsia" w:ascii="宋体" w:hAnsi="宋体" w:eastAsia="宋体" w:cs="仿宋"/>
          <w:color w:val="000000" w:themeColor="text1"/>
          <w:szCs w:val="21"/>
          <w:highlight w:val="none"/>
          <w:lang w:val="en-US" w:eastAsia="zh-CN"/>
          <w14:textFill>
            <w14:solidFill>
              <w14:schemeClr w14:val="tx1"/>
            </w14:solidFill>
          </w14:textFill>
        </w:rPr>
        <w:t>在合同期限内</w:t>
      </w:r>
      <w:r>
        <w:rPr>
          <w:rFonts w:hint="eastAsia" w:ascii="宋体" w:hAnsi="宋体" w:eastAsia="宋体" w:cs="仿宋"/>
          <w:color w:val="000000" w:themeColor="text1"/>
          <w:sz w:val="21"/>
          <w:szCs w:val="21"/>
          <w:highlight w:val="none"/>
          <w:lang w:val="en-US" w:eastAsia="zh-CN"/>
          <w14:textFill>
            <w14:solidFill>
              <w14:schemeClr w14:val="tx1"/>
            </w14:solidFill>
          </w14:textFill>
        </w:rPr>
        <w:t>不得有任何兼职，若经查实有兼职的，采购人有权提前终止合同，并要求供应商承担所有损失。</w:t>
      </w:r>
    </w:p>
    <w:p>
      <w:pPr>
        <w:spacing w:line="360" w:lineRule="auto"/>
        <w:ind w:firstLine="420" w:firstLineChars="200"/>
        <w:rPr>
          <w:rFonts w:hint="eastAsia" w:ascii="宋体" w:hAnsi="宋体" w:eastAsia="宋体" w:cs="仿宋"/>
          <w:color w:val="000000" w:themeColor="text1"/>
          <w:sz w:val="21"/>
          <w:szCs w:val="21"/>
          <w:highlight w:val="none"/>
          <w:lang w:val="en-US" w:eastAsia="zh-CN"/>
          <w14:textFill>
            <w14:solidFill>
              <w14:schemeClr w14:val="tx1"/>
            </w14:solidFill>
          </w14:textFill>
        </w:rPr>
      </w:pPr>
      <w:r>
        <w:rPr>
          <w:rFonts w:hint="eastAsia" w:ascii="宋体" w:hAnsi="宋体" w:cs="仿宋"/>
          <w:color w:val="000000" w:themeColor="text1"/>
          <w:sz w:val="21"/>
          <w:szCs w:val="21"/>
          <w:highlight w:val="none"/>
          <w:lang w:val="en-US" w:eastAsia="zh-CN"/>
          <w14:textFill>
            <w14:solidFill>
              <w14:schemeClr w14:val="tx1"/>
            </w14:solidFill>
          </w14:textFill>
        </w:rPr>
        <w:t>服务主管需兼反食品浪费专员，</w:t>
      </w:r>
      <w:r>
        <w:rPr>
          <w:rFonts w:hint="eastAsia" w:ascii="宋体" w:hAnsi="宋体" w:eastAsia="宋体" w:cs="仿宋"/>
          <w:color w:val="000000" w:themeColor="text1"/>
          <w:sz w:val="21"/>
          <w:szCs w:val="21"/>
          <w:highlight w:val="none"/>
          <w:lang w:val="en-US" w:eastAsia="zh-CN"/>
          <w14:textFill>
            <w14:solidFill>
              <w14:schemeClr w14:val="tx1"/>
            </w14:solidFill>
          </w14:textFill>
        </w:rPr>
        <w:t>反食品浪费成效评估和通报制度专项工作</w:t>
      </w:r>
      <w:r>
        <w:rPr>
          <w:rFonts w:hint="eastAsia" w:ascii="宋体" w:hAnsi="宋体" w:cs="仿宋"/>
          <w:color w:val="000000" w:themeColor="text1"/>
          <w:sz w:val="21"/>
          <w:szCs w:val="21"/>
          <w:highlight w:val="none"/>
          <w:lang w:val="en-US" w:eastAsia="zh-CN"/>
          <w14:textFill>
            <w14:solidFill>
              <w14:schemeClr w14:val="tx1"/>
            </w14:solidFill>
          </w14:textFill>
        </w:rPr>
        <w:t>专员需</w:t>
      </w:r>
      <w:r>
        <w:rPr>
          <w:rFonts w:hint="eastAsia" w:ascii="宋体" w:hAnsi="宋体" w:eastAsia="宋体" w:cs="仿宋"/>
          <w:color w:val="000000" w:themeColor="text1"/>
          <w:sz w:val="21"/>
          <w:szCs w:val="21"/>
          <w:highlight w:val="none"/>
          <w:lang w:val="en-US" w:eastAsia="zh-CN"/>
          <w14:textFill>
            <w14:solidFill>
              <w14:schemeClr w14:val="tx1"/>
            </w14:solidFill>
          </w14:textFill>
        </w:rPr>
        <w:t>负责市、区反食品浪费考核相关工作，定期测算反食品浪费系数，按考核内容做好台账并及时上传杭州市反食品浪费相关系统，确保市对区反食品浪费考核合格。</w:t>
      </w:r>
    </w:p>
    <w:p>
      <w:pPr>
        <w:spacing w:after="0" w:line="360" w:lineRule="auto"/>
        <w:ind w:firstLine="420" w:firstLineChars="200"/>
        <w:jc w:val="left"/>
        <w:rPr>
          <w:rFonts w:hint="eastAsia" w:ascii="宋体" w:hAnsi="宋体" w:eastAsia="宋体" w:cs="仿宋"/>
          <w:color w:val="000000" w:themeColor="text1"/>
          <w:szCs w:val="21"/>
          <w:highlight w:val="none"/>
          <w:lang w:eastAsia="zh-CN"/>
          <w14:textFill>
            <w14:solidFill>
              <w14:schemeClr w14:val="tx1"/>
            </w14:solidFill>
          </w14:textFill>
        </w:rPr>
      </w:pPr>
      <w:r>
        <w:rPr>
          <w:rFonts w:hint="eastAsia" w:ascii="宋体" w:hAnsi="宋体" w:eastAsia="宋体" w:cs="仿宋"/>
          <w:color w:val="000000" w:themeColor="text1"/>
          <w:szCs w:val="21"/>
          <w:highlight w:val="none"/>
          <w14:textFill>
            <w14:solidFill>
              <w14:schemeClr w14:val="tx1"/>
            </w14:solidFill>
          </w14:textFill>
        </w:rPr>
        <w:t>厨师</w:t>
      </w:r>
      <w:r>
        <w:rPr>
          <w:rFonts w:hint="eastAsia" w:ascii="宋体" w:hAnsi="宋体" w:eastAsia="宋体" w:cs="仿宋"/>
          <w:color w:val="000000" w:themeColor="text1"/>
          <w:szCs w:val="21"/>
          <w:highlight w:val="none"/>
          <w:lang w:val="en-US" w:eastAsia="zh-CN"/>
          <w14:textFill>
            <w14:solidFill>
              <w14:schemeClr w14:val="tx1"/>
            </w14:solidFill>
          </w14:textFill>
        </w:rPr>
        <w:t>5</w:t>
      </w:r>
      <w:r>
        <w:rPr>
          <w:rFonts w:hint="eastAsia" w:ascii="宋体" w:hAnsi="宋体" w:eastAsia="宋体" w:cs="仿宋"/>
          <w:color w:val="000000" w:themeColor="text1"/>
          <w:szCs w:val="21"/>
          <w:highlight w:val="none"/>
          <w14:textFill>
            <w14:solidFill>
              <w14:schemeClr w14:val="tx1"/>
            </w14:solidFill>
          </w14:textFill>
        </w:rPr>
        <w:t>名，男性，</w:t>
      </w:r>
      <w:r>
        <w:rPr>
          <w:rFonts w:hint="eastAsia" w:ascii="宋体" w:hAnsi="宋体" w:cs="仿宋"/>
          <w:color w:val="000000" w:themeColor="text1"/>
          <w:highlight w:val="none"/>
          <w:lang w:val="en-US" w:eastAsia="zh-CN"/>
          <w14:textFill>
            <w14:solidFill>
              <w14:schemeClr w14:val="tx1"/>
            </w14:solidFill>
          </w14:textFill>
        </w:rPr>
        <w:t>50周岁以下</w:t>
      </w:r>
      <w:r>
        <w:rPr>
          <w:rFonts w:hint="eastAsia" w:ascii="宋体" w:hAnsi="宋体" w:eastAsia="宋体" w:cs="仿宋"/>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其中一名需具备高级（三级）及以上厨师证或获得市级及以上厨艺比赛荣誉证书，其余需具备多年团膳餐饮烹饪经验，五名厨师分别为</w:t>
      </w:r>
      <w:r>
        <w:rPr>
          <w:rFonts w:hint="eastAsia" w:ascii="宋体" w:hAnsi="宋体" w:eastAsia="宋体" w:cs="仿宋"/>
          <w:color w:val="000000" w:themeColor="text1"/>
          <w:szCs w:val="21"/>
          <w:highlight w:val="none"/>
          <w:lang w:eastAsia="zh-CN"/>
          <w14:textFill>
            <w14:solidFill>
              <w14:schemeClr w14:val="tx1"/>
            </w14:solidFill>
          </w14:textFill>
        </w:rPr>
        <w:t>一名热菜师傅、一名冷菜师傅、三名小吃厨师；</w:t>
      </w:r>
    </w:p>
    <w:p>
      <w:pPr>
        <w:spacing w:line="360" w:lineRule="auto"/>
        <w:ind w:firstLine="420" w:firstLineChars="200"/>
        <w:jc w:val="left"/>
        <w:rPr>
          <w:rFonts w:hint="eastAsia" w:ascii="宋体" w:hAnsi="宋体" w:eastAsia="宋体" w:cs="仿宋"/>
          <w:color w:val="000000" w:themeColor="text1"/>
          <w:sz w:val="21"/>
          <w:szCs w:val="21"/>
          <w:highlight w:val="none"/>
          <w14:textFill>
            <w14:solidFill>
              <w14:schemeClr w14:val="tx1"/>
            </w14:solidFill>
          </w14:textFill>
        </w:rPr>
      </w:pPr>
      <w:r>
        <w:rPr>
          <w:rFonts w:hint="eastAsia" w:ascii="宋体" w:hAnsi="宋体" w:eastAsia="宋体" w:cs="仿宋"/>
          <w:color w:val="000000" w:themeColor="text1"/>
          <w:sz w:val="21"/>
          <w:szCs w:val="21"/>
          <w:highlight w:val="none"/>
          <w:lang w:eastAsia="zh-CN"/>
          <w14:textFill>
            <w14:solidFill>
              <w14:schemeClr w14:val="tx1"/>
            </w14:solidFill>
          </w14:textFill>
        </w:rPr>
        <w:t>面点师</w:t>
      </w:r>
      <w:r>
        <w:rPr>
          <w:rFonts w:hint="eastAsia" w:ascii="宋体" w:hAnsi="宋体" w:eastAsia="宋体" w:cs="仿宋"/>
          <w:color w:val="000000" w:themeColor="text1"/>
          <w:sz w:val="21"/>
          <w:szCs w:val="21"/>
          <w:highlight w:val="none"/>
          <w:lang w:val="en-US" w:eastAsia="zh-CN"/>
          <w14:textFill>
            <w14:solidFill>
              <w14:schemeClr w14:val="tx1"/>
            </w14:solidFill>
          </w14:textFill>
        </w:rPr>
        <w:t>2名，男女不限，</w:t>
      </w:r>
      <w:r>
        <w:rPr>
          <w:rFonts w:hint="eastAsia" w:ascii="宋体" w:hAnsi="宋体" w:cs="仿宋"/>
          <w:color w:val="000000" w:themeColor="text1"/>
          <w:highlight w:val="none"/>
          <w:lang w:val="en-US" w:eastAsia="zh-CN"/>
          <w14:textFill>
            <w14:solidFill>
              <w14:schemeClr w14:val="tx1"/>
            </w14:solidFill>
          </w14:textFill>
        </w:rPr>
        <w:t>50周岁以下</w:t>
      </w:r>
      <w:r>
        <w:rPr>
          <w:rFonts w:hint="eastAsia" w:ascii="宋体" w:hAnsi="宋体" w:eastAsia="宋体" w:cs="仿宋"/>
          <w:color w:val="000000" w:themeColor="text1"/>
          <w:sz w:val="21"/>
          <w:szCs w:val="21"/>
          <w:highlight w:val="none"/>
          <w:lang w:eastAsia="zh-CN"/>
          <w14:textFill>
            <w14:solidFill>
              <w14:schemeClr w14:val="tx1"/>
            </w14:solidFill>
          </w14:textFill>
        </w:rPr>
        <w:t>，其中一名面点师</w:t>
      </w:r>
      <w:r>
        <w:rPr>
          <w:rFonts w:hint="eastAsia" w:ascii="宋体" w:hAnsi="宋体" w:cs="仿宋"/>
          <w:color w:val="000000" w:themeColor="text1"/>
          <w:sz w:val="21"/>
          <w:szCs w:val="21"/>
          <w:highlight w:val="none"/>
          <w:lang w:eastAsia="zh-CN"/>
          <w14:textFill>
            <w14:solidFill>
              <w14:schemeClr w14:val="tx1"/>
            </w14:solidFill>
          </w14:textFill>
        </w:rPr>
        <w:t>，</w:t>
      </w:r>
      <w:r>
        <w:rPr>
          <w:rFonts w:hint="eastAsia" w:ascii="宋体" w:hAnsi="宋体" w:cs="仿宋"/>
          <w:color w:val="000000" w:themeColor="text1"/>
          <w:sz w:val="21"/>
          <w:szCs w:val="21"/>
          <w:highlight w:val="none"/>
          <w:lang w:val="en-US" w:eastAsia="zh-CN"/>
          <w14:textFill>
            <w14:solidFill>
              <w14:schemeClr w14:val="tx1"/>
            </w14:solidFill>
          </w14:textFill>
        </w:rPr>
        <w:t>具备高级（三级）及以上</w:t>
      </w:r>
      <w:r>
        <w:rPr>
          <w:rFonts w:hint="eastAsia" w:ascii="宋体" w:hAnsi="宋体" w:eastAsia="宋体" w:cs="仿宋"/>
          <w:color w:val="000000" w:themeColor="text1"/>
          <w:sz w:val="21"/>
          <w:szCs w:val="21"/>
          <w:highlight w:val="none"/>
          <w14:textFill>
            <w14:solidFill>
              <w14:schemeClr w14:val="tx1"/>
            </w14:solidFill>
          </w14:textFill>
        </w:rPr>
        <w:t>中式</w:t>
      </w:r>
      <w:r>
        <w:rPr>
          <w:rFonts w:hint="eastAsia" w:ascii="宋体" w:hAnsi="宋体" w:cs="仿宋"/>
          <w:color w:val="000000" w:themeColor="text1"/>
          <w:sz w:val="21"/>
          <w:szCs w:val="21"/>
          <w:highlight w:val="none"/>
          <w:lang w:val="en-US" w:eastAsia="zh-CN"/>
          <w14:textFill>
            <w14:solidFill>
              <w14:schemeClr w14:val="tx1"/>
            </w14:solidFill>
          </w14:textFill>
        </w:rPr>
        <w:t>面点师</w:t>
      </w:r>
      <w:r>
        <w:rPr>
          <w:rFonts w:hint="eastAsia" w:ascii="宋体" w:hAnsi="宋体" w:eastAsia="宋体" w:cs="仿宋"/>
          <w:color w:val="000000" w:themeColor="text1"/>
          <w:sz w:val="21"/>
          <w:szCs w:val="21"/>
          <w:highlight w:val="none"/>
          <w14:textFill>
            <w14:solidFill>
              <w14:schemeClr w14:val="tx1"/>
            </w14:solidFill>
          </w14:textFill>
        </w:rPr>
        <w:t>证</w:t>
      </w:r>
      <w:r>
        <w:rPr>
          <w:rFonts w:hint="eastAsia" w:ascii="宋体" w:hAnsi="宋体" w:cs="仿宋"/>
          <w:color w:val="000000" w:themeColor="text1"/>
          <w:sz w:val="21"/>
          <w:szCs w:val="21"/>
          <w:highlight w:val="none"/>
          <w:lang w:val="en-US" w:eastAsia="zh-CN"/>
          <w14:textFill>
            <w14:solidFill>
              <w14:schemeClr w14:val="tx1"/>
            </w14:solidFill>
          </w14:textFill>
        </w:rPr>
        <w:t>书</w:t>
      </w:r>
      <w:r>
        <w:rPr>
          <w:rFonts w:hint="eastAsia" w:ascii="宋体" w:hAnsi="宋体" w:eastAsia="宋体" w:cs="仿宋"/>
          <w:color w:val="000000" w:themeColor="text1"/>
          <w:sz w:val="21"/>
          <w:szCs w:val="21"/>
          <w:highlight w:val="none"/>
          <w:lang w:eastAsia="zh-CN"/>
          <w14:textFill>
            <w14:solidFill>
              <w14:schemeClr w14:val="tx1"/>
            </w14:solidFill>
          </w14:textFill>
        </w:rPr>
        <w:t>，一名面点帮工</w:t>
      </w:r>
      <w:r>
        <w:rPr>
          <w:rFonts w:hint="eastAsia" w:ascii="宋体" w:hAnsi="宋体" w:cs="仿宋"/>
          <w:color w:val="000000" w:themeColor="text1"/>
          <w:sz w:val="21"/>
          <w:szCs w:val="21"/>
          <w:highlight w:val="none"/>
          <w:lang w:eastAsia="zh-CN"/>
          <w14:textFill>
            <w14:solidFill>
              <w14:schemeClr w14:val="tx1"/>
            </w14:solidFill>
          </w14:textFill>
        </w:rPr>
        <w:t>，</w:t>
      </w:r>
      <w:r>
        <w:rPr>
          <w:rFonts w:hint="eastAsia" w:ascii="宋体" w:hAnsi="宋体" w:cs="仿宋"/>
          <w:color w:val="000000" w:themeColor="text1"/>
          <w:sz w:val="21"/>
          <w:szCs w:val="21"/>
          <w:highlight w:val="none"/>
          <w:lang w:val="en-US" w:eastAsia="zh-CN"/>
          <w14:textFill>
            <w14:solidFill>
              <w14:schemeClr w14:val="tx1"/>
            </w14:solidFill>
          </w14:textFill>
        </w:rPr>
        <w:t>具备</w:t>
      </w:r>
      <w:r>
        <w:rPr>
          <w:rFonts w:hint="eastAsia" w:ascii="宋体" w:hAnsi="宋体" w:eastAsia="宋体" w:cs="仿宋"/>
          <w:color w:val="000000" w:themeColor="text1"/>
          <w:sz w:val="21"/>
          <w:szCs w:val="21"/>
          <w:highlight w:val="none"/>
          <w:lang w:eastAsia="zh-CN"/>
          <w14:textFill>
            <w14:solidFill>
              <w14:schemeClr w14:val="tx1"/>
            </w14:solidFill>
          </w14:textFill>
        </w:rPr>
        <w:t>初级（五级）</w:t>
      </w:r>
      <w:r>
        <w:rPr>
          <w:rFonts w:hint="eastAsia" w:ascii="宋体" w:hAnsi="宋体" w:cs="仿宋"/>
          <w:color w:val="000000" w:themeColor="text1"/>
          <w:sz w:val="21"/>
          <w:szCs w:val="21"/>
          <w:highlight w:val="none"/>
          <w:lang w:val="en-US" w:eastAsia="zh-CN"/>
          <w14:textFill>
            <w14:solidFill>
              <w14:schemeClr w14:val="tx1"/>
            </w14:solidFill>
          </w14:textFill>
        </w:rPr>
        <w:t>及以上</w:t>
      </w:r>
      <w:r>
        <w:rPr>
          <w:rFonts w:hint="eastAsia" w:ascii="宋体" w:hAnsi="宋体" w:eastAsia="宋体" w:cs="仿宋"/>
          <w:color w:val="000000" w:themeColor="text1"/>
          <w:sz w:val="21"/>
          <w:szCs w:val="21"/>
          <w:highlight w:val="none"/>
          <w14:textFill>
            <w14:solidFill>
              <w14:schemeClr w14:val="tx1"/>
            </w14:solidFill>
          </w14:textFill>
        </w:rPr>
        <w:t>中式</w:t>
      </w:r>
      <w:r>
        <w:rPr>
          <w:rFonts w:hint="eastAsia" w:ascii="宋体" w:hAnsi="宋体" w:cs="仿宋"/>
          <w:color w:val="000000" w:themeColor="text1"/>
          <w:sz w:val="21"/>
          <w:szCs w:val="21"/>
          <w:highlight w:val="none"/>
          <w:lang w:val="en-US" w:eastAsia="zh-CN"/>
          <w14:textFill>
            <w14:solidFill>
              <w14:schemeClr w14:val="tx1"/>
            </w14:solidFill>
          </w14:textFill>
        </w:rPr>
        <w:t>面点师</w:t>
      </w:r>
      <w:r>
        <w:rPr>
          <w:rFonts w:hint="eastAsia" w:ascii="宋体" w:hAnsi="宋体" w:eastAsia="宋体" w:cs="仿宋"/>
          <w:color w:val="000000" w:themeColor="text1"/>
          <w:sz w:val="21"/>
          <w:szCs w:val="21"/>
          <w:highlight w:val="none"/>
          <w14:textFill>
            <w14:solidFill>
              <w14:schemeClr w14:val="tx1"/>
            </w14:solidFill>
          </w14:textFill>
        </w:rPr>
        <w:t>证</w:t>
      </w:r>
      <w:r>
        <w:rPr>
          <w:rFonts w:hint="eastAsia" w:ascii="宋体" w:hAnsi="宋体" w:cs="仿宋"/>
          <w:color w:val="000000" w:themeColor="text1"/>
          <w:sz w:val="21"/>
          <w:szCs w:val="21"/>
          <w:highlight w:val="none"/>
          <w:lang w:val="en-US" w:eastAsia="zh-CN"/>
          <w14:textFill>
            <w14:solidFill>
              <w14:schemeClr w14:val="tx1"/>
            </w14:solidFill>
          </w14:textFill>
        </w:rPr>
        <w:t>书，</w:t>
      </w:r>
      <w:r>
        <w:rPr>
          <w:rFonts w:hint="eastAsia" w:ascii="宋体" w:hAnsi="宋体" w:eastAsia="宋体" w:cs="仿宋"/>
          <w:color w:val="000000" w:themeColor="text1"/>
          <w:sz w:val="21"/>
          <w:szCs w:val="21"/>
          <w:highlight w:val="none"/>
          <w:lang w:eastAsia="zh-CN"/>
          <w14:textFill>
            <w14:solidFill>
              <w14:schemeClr w14:val="tx1"/>
            </w14:solidFill>
          </w14:textFill>
        </w:rPr>
        <w:t>协助面点师完成产品制作及加工工作，服从面点师其它工作安排</w:t>
      </w:r>
      <w:r>
        <w:rPr>
          <w:rFonts w:hint="eastAsia" w:ascii="宋体" w:hAnsi="宋体" w:eastAsia="宋体" w:cs="仿宋"/>
          <w:color w:val="000000" w:themeColor="text1"/>
          <w:sz w:val="21"/>
          <w:szCs w:val="21"/>
          <w:highlight w:val="none"/>
          <w14:textFill>
            <w14:solidFill>
              <w14:schemeClr w14:val="tx1"/>
            </w14:solidFill>
          </w14:textFill>
        </w:rPr>
        <w:t>。</w:t>
      </w:r>
    </w:p>
    <w:p>
      <w:pPr>
        <w:spacing w:line="360" w:lineRule="auto"/>
        <w:ind w:firstLine="420" w:firstLineChars="200"/>
        <w:jc w:val="left"/>
        <w:rPr>
          <w:rFonts w:hint="eastAsia"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14:textFill>
            <w14:solidFill>
              <w14:schemeClr w14:val="tx1"/>
            </w14:solidFill>
          </w14:textFill>
        </w:rPr>
        <w:t>杂工3名（含切配、清洗等服务）</w:t>
      </w:r>
      <w:r>
        <w:rPr>
          <w:rFonts w:hint="eastAsia" w:ascii="宋体" w:hAnsi="宋体" w:eastAsia="宋体" w:cs="仿宋"/>
          <w:color w:val="000000" w:themeColor="text1"/>
          <w:szCs w:val="21"/>
          <w:highlight w:val="none"/>
          <w:lang w:eastAsia="zh-CN"/>
          <w14:textFill>
            <w14:solidFill>
              <w14:schemeClr w14:val="tx1"/>
            </w14:solidFill>
          </w14:textFill>
        </w:rPr>
        <w:t>，男女不限</w:t>
      </w:r>
      <w:r>
        <w:rPr>
          <w:rFonts w:hint="eastAsia" w:ascii="宋体" w:hAnsi="宋体" w:eastAsia="宋体" w:cs="仿宋"/>
          <w:color w:val="000000" w:themeColor="text1"/>
          <w:szCs w:val="21"/>
          <w:highlight w:val="none"/>
          <w14:textFill>
            <w14:solidFill>
              <w14:schemeClr w14:val="tx1"/>
            </w14:solidFill>
          </w14:textFill>
        </w:rPr>
        <w:t>，</w:t>
      </w:r>
      <w:r>
        <w:rPr>
          <w:rFonts w:hint="eastAsia" w:ascii="宋体" w:hAnsi="宋体" w:cs="仿宋"/>
          <w:color w:val="000000" w:themeColor="text1"/>
          <w:highlight w:val="none"/>
          <w:lang w:val="en-US" w:eastAsia="zh-CN"/>
          <w14:textFill>
            <w14:solidFill>
              <w14:schemeClr w14:val="tx1"/>
            </w14:solidFill>
          </w14:textFill>
        </w:rPr>
        <w:t>55周岁以下</w:t>
      </w:r>
      <w:r>
        <w:rPr>
          <w:rFonts w:hint="eastAsia" w:ascii="宋体" w:hAnsi="宋体" w:eastAsia="宋体" w:cs="仿宋"/>
          <w:color w:val="000000" w:themeColor="text1"/>
          <w:szCs w:val="21"/>
          <w:highlight w:val="none"/>
          <w14:textFill>
            <w14:solidFill>
              <w14:schemeClr w14:val="tx1"/>
            </w14:solidFill>
          </w14:textFill>
        </w:rPr>
        <w:t>，体貌端正、体质健康。</w:t>
      </w:r>
    </w:p>
    <w:p>
      <w:pPr>
        <w:spacing w:line="360" w:lineRule="auto"/>
        <w:ind w:firstLine="420" w:firstLineChars="200"/>
        <w:jc w:val="left"/>
        <w:rPr>
          <w:rFonts w:hint="eastAsia" w:ascii="宋体" w:hAnsi="宋体" w:eastAsia="宋体" w:cs="仿宋"/>
          <w:color w:val="000000" w:themeColor="text1"/>
          <w:sz w:val="21"/>
          <w:szCs w:val="21"/>
          <w:highlight w:val="none"/>
          <w:lang w:val="en-US" w:eastAsia="zh-CN"/>
          <w14:textFill>
            <w14:solidFill>
              <w14:schemeClr w14:val="tx1"/>
            </w14:solidFill>
          </w14:textFill>
        </w:rPr>
      </w:pPr>
      <w:r>
        <w:rPr>
          <w:rFonts w:hint="eastAsia" w:ascii="宋体" w:hAnsi="宋体" w:eastAsia="宋体" w:cs="仿宋"/>
          <w:color w:val="000000" w:themeColor="text1"/>
          <w:sz w:val="21"/>
          <w:szCs w:val="21"/>
          <w:highlight w:val="none"/>
          <w:lang w:eastAsia="zh-CN"/>
          <w14:textFill>
            <w14:solidFill>
              <w14:schemeClr w14:val="tx1"/>
            </w14:solidFill>
          </w14:textFill>
        </w:rPr>
        <w:t>服务员</w:t>
      </w:r>
      <w:r>
        <w:rPr>
          <w:rFonts w:hint="eastAsia" w:ascii="宋体" w:hAnsi="宋体" w:eastAsia="宋体" w:cs="仿宋"/>
          <w:color w:val="000000" w:themeColor="text1"/>
          <w:sz w:val="21"/>
          <w:szCs w:val="21"/>
          <w:highlight w:val="none"/>
          <w:lang w:val="en-US" w:eastAsia="zh-CN"/>
          <w14:textFill>
            <w14:solidFill>
              <w14:schemeClr w14:val="tx1"/>
            </w14:solidFill>
          </w14:textFill>
        </w:rPr>
        <w:t>1名，女性，40周岁以下，擅长沟通；</w:t>
      </w:r>
    </w:p>
    <w:p>
      <w:pPr>
        <w:spacing w:line="360" w:lineRule="auto"/>
        <w:ind w:firstLine="420" w:firstLineChars="200"/>
        <w:jc w:val="left"/>
        <w:rPr>
          <w:rFonts w:hint="default" w:eastAsia="宋体"/>
          <w:sz w:val="21"/>
          <w:szCs w:val="21"/>
          <w:highlight w:val="none"/>
          <w:lang w:val="en-US" w:eastAsia="zh-CN"/>
        </w:rPr>
      </w:pPr>
      <w:r>
        <w:rPr>
          <w:rFonts w:hint="eastAsia" w:ascii="宋体" w:hAnsi="宋体" w:eastAsia="宋体" w:cs="仿宋"/>
          <w:color w:val="000000" w:themeColor="text1"/>
          <w:sz w:val="21"/>
          <w:szCs w:val="21"/>
          <w:highlight w:val="none"/>
          <w:lang w:val="en-US" w:eastAsia="zh-CN"/>
          <w14:textFill>
            <w14:solidFill>
              <w14:schemeClr w14:val="tx1"/>
            </w14:solidFill>
          </w14:textFill>
        </w:rPr>
        <w:t>库管兼收银1名，女性，</w:t>
      </w:r>
      <w:r>
        <w:rPr>
          <w:rFonts w:hint="eastAsia" w:ascii="宋体" w:hAnsi="宋体" w:cs="仿宋"/>
          <w:color w:val="000000" w:themeColor="text1"/>
          <w:highlight w:val="none"/>
          <w:lang w:val="en-US" w:eastAsia="zh-CN"/>
          <w14:textFill>
            <w14:solidFill>
              <w14:schemeClr w14:val="tx1"/>
            </w14:solidFill>
          </w14:textFill>
        </w:rPr>
        <w:t>50周岁以下</w:t>
      </w:r>
      <w:r>
        <w:rPr>
          <w:rFonts w:hint="eastAsia" w:ascii="宋体" w:hAnsi="宋体" w:eastAsia="宋体" w:cs="仿宋"/>
          <w:color w:val="000000" w:themeColor="text1"/>
          <w:sz w:val="21"/>
          <w:szCs w:val="21"/>
          <w:highlight w:val="none"/>
          <w:lang w:eastAsia="zh-CN"/>
          <w14:textFill>
            <w14:solidFill>
              <w14:schemeClr w14:val="tx1"/>
            </w14:solidFill>
          </w14:textFill>
        </w:rPr>
        <w:t>，有相关从业经验。</w:t>
      </w:r>
    </w:p>
    <w:p>
      <w:pPr>
        <w:spacing w:after="0" w:line="360" w:lineRule="auto"/>
        <w:ind w:firstLine="420" w:firstLineChars="200"/>
        <w:jc w:val="both"/>
        <w:rPr>
          <w:rFonts w:ascii="宋体" w:hAnsi="宋体" w:eastAsia="宋体" w:cs="仿宋"/>
          <w:szCs w:val="21"/>
          <w:highlight w:val="none"/>
        </w:rPr>
      </w:pPr>
      <w:r>
        <w:rPr>
          <w:rFonts w:hint="eastAsia" w:ascii="宋体" w:hAnsi="宋体" w:eastAsia="宋体" w:cs="仿宋"/>
          <w:szCs w:val="21"/>
          <w:highlight w:val="none"/>
        </w:rPr>
        <w:t>2、所有人员须具有</w:t>
      </w:r>
      <w:r>
        <w:rPr>
          <w:rFonts w:hint="eastAsia" w:ascii="宋体" w:hAnsi="宋体" w:eastAsia="宋体" w:cs="仿宋"/>
          <w:szCs w:val="21"/>
          <w:highlight w:val="none"/>
          <w:lang w:val="en-US" w:eastAsia="zh-CN"/>
        </w:rPr>
        <w:t>3</w:t>
      </w:r>
      <w:r>
        <w:rPr>
          <w:rFonts w:hint="eastAsia" w:ascii="宋体" w:hAnsi="宋体" w:eastAsia="宋体" w:cs="仿宋"/>
          <w:szCs w:val="21"/>
          <w:highlight w:val="none"/>
        </w:rPr>
        <w:t>年以上相关岗位经历</w:t>
      </w:r>
      <w:r>
        <w:rPr>
          <w:rFonts w:hint="eastAsia" w:ascii="宋体" w:hAnsi="宋体" w:cs="仿宋"/>
          <w:szCs w:val="21"/>
          <w:highlight w:val="none"/>
          <w:lang w:eastAsia="zh-CN"/>
        </w:rPr>
        <w:t>，</w:t>
      </w:r>
      <w:r>
        <w:rPr>
          <w:rFonts w:hint="eastAsia" w:ascii="宋体" w:hAnsi="宋体" w:cs="仿宋"/>
          <w:color w:val="auto"/>
          <w:szCs w:val="21"/>
          <w:highlight w:val="none"/>
          <w:lang w:val="en-US" w:eastAsia="zh-CN"/>
        </w:rPr>
        <w:t>年龄在20周岁以上且不超过采购需求中对年龄的上限要求</w:t>
      </w:r>
      <w:r>
        <w:rPr>
          <w:rFonts w:hint="eastAsia" w:ascii="宋体" w:hAnsi="宋体" w:eastAsia="宋体" w:cs="仿宋"/>
          <w:szCs w:val="21"/>
          <w:highlight w:val="none"/>
        </w:rPr>
        <w:t>。</w:t>
      </w:r>
    </w:p>
    <w:p>
      <w:pPr>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3、所有人员必须“</w:t>
      </w:r>
      <w:r>
        <w:rPr>
          <w:rFonts w:hint="eastAsia" w:ascii="宋体" w:hAnsi="宋体" w:cs="仿宋"/>
          <w:highlight w:val="none"/>
          <w:lang w:val="en-US" w:eastAsia="zh-CN"/>
        </w:rPr>
        <w:t>三</w:t>
      </w:r>
      <w:r>
        <w:rPr>
          <w:rFonts w:hint="eastAsia" w:ascii="宋体" w:hAnsi="宋体" w:eastAsia="宋体" w:cs="仿宋"/>
          <w:highlight w:val="none"/>
        </w:rPr>
        <w:t>证”齐全（身份证、健康证、暂住证</w:t>
      </w:r>
      <w:r>
        <w:rPr>
          <w:rFonts w:hint="eastAsia" w:ascii="宋体" w:hAnsi="宋体" w:cs="仿宋"/>
          <w:highlight w:val="none"/>
          <w:lang w:val="en-US" w:eastAsia="zh-CN"/>
        </w:rPr>
        <w:t>/居住证</w:t>
      </w:r>
      <w:r>
        <w:rPr>
          <w:rFonts w:hint="eastAsia" w:ascii="宋体" w:hAnsi="宋体" w:eastAsia="宋体" w:cs="仿宋"/>
          <w:highlight w:val="none"/>
        </w:rPr>
        <w:t>），并报采购人相关部门登记备案。按国家规定办理健康证，并按国家有关部门规定定期体检且有合格记录，本人及家庭成员不得受过刑事处罚。所有人员的基本情况和合格纪录需在正式进入前交</w:t>
      </w:r>
      <w:r>
        <w:rPr>
          <w:rFonts w:hint="eastAsia" w:ascii="宋体" w:hAnsi="宋体" w:cs="仿宋"/>
          <w:highlight w:val="none"/>
          <w:lang w:eastAsia="zh-CN"/>
        </w:rPr>
        <w:t>采购人</w:t>
      </w:r>
      <w:r>
        <w:rPr>
          <w:rFonts w:hint="eastAsia" w:ascii="宋体" w:hAnsi="宋体" w:eastAsia="宋体" w:cs="仿宋"/>
          <w:highlight w:val="none"/>
        </w:rPr>
        <w:t>备案；若</w:t>
      </w:r>
      <w:r>
        <w:rPr>
          <w:rFonts w:hint="eastAsia" w:ascii="宋体" w:hAnsi="宋体" w:cs="仿宋"/>
          <w:highlight w:val="none"/>
          <w:lang w:eastAsia="zh-CN"/>
        </w:rPr>
        <w:t>中标单位</w:t>
      </w:r>
      <w:r>
        <w:rPr>
          <w:rFonts w:hint="eastAsia" w:ascii="宋体" w:hAnsi="宋体" w:eastAsia="宋体" w:cs="仿宋"/>
          <w:highlight w:val="none"/>
        </w:rPr>
        <w:t>岗位人员发生变动，新进人员基本情况和</w:t>
      </w:r>
      <w:r>
        <w:rPr>
          <w:rFonts w:hint="eastAsia" w:ascii="宋体" w:hAnsi="宋体" w:cs="仿宋"/>
          <w:highlight w:val="none"/>
          <w:lang w:val="en-US" w:eastAsia="zh-CN"/>
        </w:rPr>
        <w:t>相关证明材料需在</w:t>
      </w:r>
      <w:r>
        <w:rPr>
          <w:rFonts w:hint="eastAsia" w:ascii="宋体" w:hAnsi="宋体" w:eastAsia="宋体" w:cs="仿宋"/>
          <w:highlight w:val="none"/>
        </w:rPr>
        <w:t>3天内交</w:t>
      </w:r>
      <w:r>
        <w:rPr>
          <w:rFonts w:hint="eastAsia" w:ascii="宋体" w:hAnsi="宋体" w:cs="仿宋"/>
          <w:highlight w:val="none"/>
          <w:lang w:eastAsia="zh-CN"/>
        </w:rPr>
        <w:t>采购人</w:t>
      </w:r>
      <w:r>
        <w:rPr>
          <w:rFonts w:hint="eastAsia" w:ascii="宋体" w:hAnsi="宋体" w:eastAsia="宋体" w:cs="仿宋"/>
          <w:highlight w:val="none"/>
        </w:rPr>
        <w:t>备案。</w:t>
      </w:r>
      <w:r>
        <w:rPr>
          <w:rFonts w:hint="eastAsia" w:ascii="宋体" w:hAnsi="宋体" w:cs="仿宋"/>
          <w:highlight w:val="none"/>
          <w:lang w:val="en-US" w:eastAsia="zh-CN"/>
        </w:rPr>
        <w:t>投标单位拟提供人员</w:t>
      </w:r>
      <w:r>
        <w:rPr>
          <w:rFonts w:hint="eastAsia" w:ascii="宋体" w:hAnsi="宋体" w:eastAsia="宋体" w:cs="仿宋"/>
          <w:highlight w:val="none"/>
        </w:rPr>
        <w:t>体检结果或者其他伤病诊断证明表明其不适宜从事餐饮工作的，</w:t>
      </w:r>
      <w:r>
        <w:rPr>
          <w:rFonts w:hint="eastAsia" w:ascii="宋体" w:hAnsi="宋体" w:cs="仿宋"/>
          <w:highlight w:val="none"/>
          <w:lang w:val="en-US" w:eastAsia="zh-CN"/>
        </w:rPr>
        <w:t>投标单位</w:t>
      </w:r>
      <w:r>
        <w:rPr>
          <w:rFonts w:hint="eastAsia" w:ascii="宋体" w:hAnsi="宋体" w:eastAsia="宋体" w:cs="仿宋"/>
          <w:highlight w:val="none"/>
        </w:rPr>
        <w:t>应重新安排合格人员持证上岗。</w:t>
      </w:r>
    </w:p>
    <w:p>
      <w:pPr>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lang w:val="en-US" w:eastAsia="zh-CN"/>
        </w:rPr>
        <w:t>4</w:t>
      </w:r>
      <w:r>
        <w:rPr>
          <w:rFonts w:hint="eastAsia" w:ascii="宋体" w:hAnsi="宋体" w:eastAsia="宋体" w:cs="仿宋"/>
          <w:highlight w:val="none"/>
          <w:lang w:eastAsia="zh-CN"/>
        </w:rPr>
        <w:t>、</w:t>
      </w:r>
      <w:r>
        <w:rPr>
          <w:rFonts w:hint="eastAsia" w:ascii="宋体" w:hAnsi="宋体" w:eastAsia="宋体" w:cs="仿宋"/>
          <w:highlight w:val="none"/>
        </w:rPr>
        <w:t>服务人员应相对稳定，主要管理岗位人员如需调动需提前1月征求</w:t>
      </w:r>
      <w:r>
        <w:rPr>
          <w:rFonts w:hint="eastAsia" w:ascii="宋体" w:hAnsi="宋体" w:cs="仿宋"/>
          <w:highlight w:val="none"/>
          <w:lang w:eastAsia="zh-CN"/>
        </w:rPr>
        <w:t>采购人</w:t>
      </w:r>
      <w:r>
        <w:rPr>
          <w:rFonts w:hint="eastAsia" w:ascii="宋体" w:hAnsi="宋体" w:eastAsia="宋体" w:cs="仿宋"/>
          <w:highlight w:val="none"/>
        </w:rPr>
        <w:t>意见。</w:t>
      </w:r>
    </w:p>
    <w:p>
      <w:pPr>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lang w:val="en-US" w:eastAsia="zh-CN"/>
        </w:rPr>
        <w:t>5、</w:t>
      </w:r>
      <w:r>
        <w:rPr>
          <w:rFonts w:hint="eastAsia" w:ascii="宋体" w:hAnsi="宋体" w:eastAsia="宋体" w:cs="仿宋"/>
          <w:highlight w:val="none"/>
        </w:rPr>
        <w:t>建立健全各项规章制度、岗位责任制、操作规程和各项台账。</w:t>
      </w:r>
    </w:p>
    <w:p>
      <w:pPr>
        <w:spacing w:after="0" w:line="360" w:lineRule="auto"/>
        <w:ind w:firstLine="420" w:firstLineChars="200"/>
        <w:jc w:val="both"/>
        <w:rPr>
          <w:rFonts w:ascii="宋体" w:hAnsi="宋体" w:eastAsia="宋体" w:cs="仿宋"/>
          <w:highlight w:val="none"/>
        </w:rPr>
      </w:pP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rPr>
        <w:t>四</w:t>
      </w:r>
      <w:r>
        <w:rPr>
          <w:rFonts w:hint="eastAsia" w:ascii="宋体" w:hAnsi="宋体" w:eastAsia="宋体" w:cs="仿宋"/>
          <w:b/>
          <w:highlight w:val="none"/>
          <w:lang w:eastAsia="zh-CN"/>
        </w:rPr>
        <w:t>、</w:t>
      </w:r>
      <w:r>
        <w:rPr>
          <w:rFonts w:hint="eastAsia" w:ascii="宋体" w:hAnsi="宋体" w:eastAsia="宋体" w:cs="仿宋"/>
          <w:b/>
          <w:highlight w:val="none"/>
        </w:rPr>
        <w:t>采购要求</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1、负责对所配送的商品要质量索证。包装商品应优先采购品牌或免检产品，不采购质保期外或即将期满的商品；散装商品要索取权威质量合格证，夏季蔬菜或易虫蔬菜必须索取权威农残检测证书，</w:t>
      </w:r>
      <w:r>
        <w:rPr>
          <w:rFonts w:hint="eastAsia" w:ascii="宋体" w:hAnsi="宋体" w:cs="仿宋"/>
          <w:highlight w:val="none"/>
          <w:lang w:eastAsia="zh-CN"/>
        </w:rPr>
        <w:t>肉类需索取</w:t>
      </w:r>
      <w:r>
        <w:rPr>
          <w:rFonts w:hint="eastAsia" w:ascii="宋体" w:hAnsi="宋体" w:cs="宋体"/>
          <w:sz w:val="21"/>
          <w:szCs w:val="21"/>
          <w:highlight w:val="none"/>
        </w:rPr>
        <w:t>动物检验检疫合格证明</w:t>
      </w:r>
      <w:r>
        <w:rPr>
          <w:rFonts w:hint="eastAsia" w:ascii="宋体" w:hAnsi="宋体" w:cs="宋体"/>
          <w:sz w:val="21"/>
          <w:szCs w:val="21"/>
          <w:highlight w:val="none"/>
          <w:lang w:eastAsia="zh-CN"/>
        </w:rPr>
        <w:t>，</w:t>
      </w:r>
      <w:r>
        <w:rPr>
          <w:rFonts w:hint="eastAsia" w:ascii="宋体" w:hAnsi="宋体" w:eastAsia="宋体" w:cs="仿宋"/>
          <w:highlight w:val="none"/>
        </w:rPr>
        <w:t>并向</w:t>
      </w:r>
      <w:r>
        <w:rPr>
          <w:rFonts w:hint="eastAsia" w:ascii="宋体" w:hAnsi="宋体" w:cs="仿宋"/>
          <w:highlight w:val="none"/>
          <w:lang w:eastAsia="zh-CN"/>
        </w:rPr>
        <w:t>采购人</w:t>
      </w:r>
      <w:r>
        <w:rPr>
          <w:rFonts w:hint="eastAsia" w:ascii="宋体" w:hAnsi="宋体" w:eastAsia="宋体" w:cs="仿宋"/>
          <w:highlight w:val="none"/>
        </w:rPr>
        <w:t>备案。</w:t>
      </w:r>
    </w:p>
    <w:p>
      <w:pPr>
        <w:snapToGrid w:val="0"/>
        <w:spacing w:after="0" w:line="360" w:lineRule="auto"/>
        <w:ind w:right="-197" w:rightChars="-94"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2</w:t>
      </w:r>
      <w:r>
        <w:rPr>
          <w:rFonts w:hint="eastAsia" w:ascii="宋体" w:hAnsi="宋体" w:eastAsia="宋体" w:cs="仿宋"/>
          <w:highlight w:val="none"/>
        </w:rPr>
        <w:t>、</w:t>
      </w:r>
      <w:r>
        <w:rPr>
          <w:rFonts w:hint="eastAsia" w:ascii="宋体" w:hAnsi="宋体" w:cs="仿宋"/>
          <w:highlight w:val="none"/>
          <w:lang w:eastAsia="zh-CN"/>
        </w:rPr>
        <w:t>中标单位</w:t>
      </w:r>
      <w:r>
        <w:rPr>
          <w:rFonts w:hint="eastAsia" w:ascii="宋体" w:hAnsi="宋体" w:eastAsia="宋体" w:cs="仿宋"/>
          <w:highlight w:val="none"/>
        </w:rPr>
        <w:t>应严格做好使用食品的监督与验收工作，保证使用食品安全，发现质量、数量等问题的，需及时向采购单人汇报，并提出或做好相应的解决方案。由于</w:t>
      </w:r>
      <w:r>
        <w:rPr>
          <w:rFonts w:hint="eastAsia" w:ascii="宋体" w:hAnsi="宋体" w:cs="仿宋"/>
          <w:highlight w:val="none"/>
          <w:lang w:val="en-US" w:eastAsia="zh-CN"/>
        </w:rPr>
        <w:t>中标单位</w:t>
      </w:r>
      <w:r>
        <w:rPr>
          <w:rFonts w:hint="eastAsia" w:ascii="宋体" w:hAnsi="宋体" w:eastAsia="宋体" w:cs="仿宋"/>
          <w:highlight w:val="none"/>
          <w:lang w:val="en-US" w:eastAsia="zh-CN"/>
        </w:rPr>
        <w:t>原因（如验收不到位，食品保存、操作不到位等情况）</w:t>
      </w:r>
      <w:r>
        <w:rPr>
          <w:rFonts w:hint="eastAsia" w:ascii="宋体" w:hAnsi="宋体" w:eastAsia="宋体" w:cs="仿宋"/>
          <w:highlight w:val="none"/>
        </w:rPr>
        <w:t>，造成食物中毒或食源性疾病传播，按有关法律处理，</w:t>
      </w:r>
      <w:r>
        <w:rPr>
          <w:rFonts w:hint="eastAsia" w:ascii="宋体" w:hAnsi="宋体" w:eastAsia="宋体" w:cs="仿宋"/>
          <w:highlight w:val="none"/>
          <w:lang w:val="en-US" w:eastAsia="zh-CN"/>
        </w:rPr>
        <w:t>由</w:t>
      </w:r>
      <w:r>
        <w:rPr>
          <w:rFonts w:hint="eastAsia" w:ascii="宋体" w:hAnsi="宋体" w:cs="仿宋"/>
          <w:highlight w:val="none"/>
          <w:lang w:val="en-US" w:eastAsia="zh-CN"/>
        </w:rPr>
        <w:t>中标单位</w:t>
      </w:r>
      <w:r>
        <w:rPr>
          <w:rFonts w:hint="eastAsia" w:ascii="宋体" w:hAnsi="宋体" w:eastAsia="宋体" w:cs="仿宋"/>
          <w:highlight w:val="none"/>
        </w:rPr>
        <w:t>承担全部责任。</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3</w:t>
      </w:r>
      <w:r>
        <w:rPr>
          <w:rFonts w:hint="eastAsia" w:ascii="宋体" w:hAnsi="宋体" w:eastAsia="宋体" w:cs="仿宋"/>
          <w:highlight w:val="none"/>
        </w:rPr>
        <w:t>、做好48小时原料及菜品留样菜制度。</w:t>
      </w:r>
    </w:p>
    <w:p>
      <w:pPr>
        <w:spacing w:line="360" w:lineRule="auto"/>
        <w:ind w:firstLine="420" w:firstLineChars="200"/>
        <w:rPr>
          <w:rFonts w:hint="eastAsia" w:ascii="宋体" w:hAnsi="宋体" w:eastAsia="宋体" w:cs="仿宋"/>
          <w:highlight w:val="none"/>
        </w:rPr>
      </w:pPr>
      <w:r>
        <w:rPr>
          <w:rFonts w:hint="eastAsia" w:ascii="宋体" w:hAnsi="宋体" w:eastAsia="宋体" w:cs="仿宋"/>
          <w:highlight w:val="none"/>
          <w:lang w:val="en-US" w:eastAsia="zh-CN"/>
        </w:rPr>
        <w:t>4</w:t>
      </w:r>
      <w:r>
        <w:rPr>
          <w:rFonts w:hint="eastAsia" w:ascii="宋体" w:hAnsi="宋体" w:eastAsia="宋体" w:cs="仿宋"/>
          <w:highlight w:val="none"/>
        </w:rPr>
        <w:t>、负责配送食品和物品的验收、入库、出库工作，分别做好对应台账，按月对仓库进行盘点并上报盘点单给</w:t>
      </w:r>
      <w:r>
        <w:rPr>
          <w:rFonts w:hint="eastAsia" w:ascii="宋体" w:hAnsi="宋体" w:cs="仿宋"/>
          <w:highlight w:val="none"/>
          <w:lang w:eastAsia="zh-CN"/>
        </w:rPr>
        <w:t>采购人</w:t>
      </w:r>
      <w:r>
        <w:rPr>
          <w:rFonts w:hint="eastAsia" w:ascii="宋体" w:hAnsi="宋体" w:eastAsia="宋体" w:cs="仿宋"/>
          <w:highlight w:val="none"/>
        </w:rPr>
        <w:t>。</w:t>
      </w:r>
    </w:p>
    <w:p>
      <w:pPr>
        <w:spacing w:line="360" w:lineRule="auto"/>
        <w:ind w:firstLine="420" w:firstLineChars="200"/>
        <w:rPr>
          <w:rFonts w:hint="eastAsia" w:eastAsia="宋体"/>
          <w:highlight w:val="none"/>
          <w:lang w:val="en-US" w:eastAsia="zh-CN"/>
        </w:rPr>
      </w:pPr>
      <w:r>
        <w:rPr>
          <w:rFonts w:hint="eastAsia" w:ascii="宋体" w:hAnsi="宋体" w:cs="仿宋"/>
          <w:highlight w:val="none"/>
          <w:lang w:val="en-US" w:eastAsia="zh-CN"/>
        </w:rPr>
        <w:t>5、协助采购人购买餐具，由中标单位负责餐具采购具体事宜，采购人负责审核确认和最终付款。</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rPr>
        <w:t>五</w:t>
      </w:r>
      <w:r>
        <w:rPr>
          <w:rFonts w:hint="eastAsia" w:ascii="宋体" w:hAnsi="宋体" w:eastAsia="宋体" w:cs="仿宋"/>
          <w:b/>
          <w:highlight w:val="none"/>
          <w:lang w:eastAsia="zh-CN"/>
        </w:rPr>
        <w:t>、</w:t>
      </w:r>
      <w:r>
        <w:rPr>
          <w:rFonts w:hint="eastAsia" w:ascii="宋体" w:hAnsi="宋体" w:eastAsia="宋体" w:cs="仿宋"/>
          <w:b/>
          <w:highlight w:val="none"/>
        </w:rPr>
        <w:t>卫生基本要求与管理规定</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1、进入服务前，须取得服务点的《卫生许可证》。</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2、所有员工必须进行健康检查及卫生培训，取得健康证。</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3、上班期间员工必须要穿戴洁净的工作衣帽、穿鞋、洗手，保持个人卫生清洁，不留长指甲、不涂指甲油、不准戴戒指、手链。</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4、上班期间，不准在岗位上抽烟、吃东西；售餐期间，服务人员必须配戴卫生口罩和一次性手套上岗。不得擅自使用用餐人的物品。</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5、认真搞好食堂区域的全面卫生，做到每天一小扫、每周一大扫，保持食堂及周边的清洁卫生。对食堂的厨房、餐厅、包厢等所有区域的卫生应按《五常法》管理模式，实行分层负责，定置、定量、定位、定进出、定标识、责任到人。定期检查餐厅、后厨的餐具、地面、餐台以及门窗的清洁卫生，每餐结束时餐厅与后厨都要搞好卫生才可以下班，并做好地沟清理等工作，每周末要进行一次彻底大扫除，创造优良的用餐环境。定期用消毒水对食堂内外部进行消杀（疫情期间一天不少于3次）并做好登记。</w:t>
      </w:r>
    </w:p>
    <w:p>
      <w:pPr>
        <w:snapToGrid w:val="0"/>
        <w:spacing w:after="0" w:line="360" w:lineRule="auto"/>
        <w:ind w:firstLine="420" w:firstLineChars="200"/>
        <w:jc w:val="both"/>
        <w:rPr>
          <w:rFonts w:hint="default" w:ascii="宋体" w:hAnsi="宋体" w:eastAsia="宋体" w:cs="仿宋"/>
          <w:highlight w:val="none"/>
          <w:lang w:val="en-US" w:eastAsia="zh-CN"/>
        </w:rPr>
      </w:pPr>
      <w:r>
        <w:rPr>
          <w:rFonts w:hint="eastAsia" w:ascii="宋体" w:hAnsi="宋体" w:eastAsia="宋体" w:cs="仿宋"/>
          <w:highlight w:val="none"/>
        </w:rPr>
        <w:t>做好厨房油烟管道的清洗工作，根据厨房用火的实际情况确定清洗次数。外请专业管道清洗公司须经</w:t>
      </w:r>
      <w:r>
        <w:rPr>
          <w:rFonts w:hint="eastAsia" w:ascii="宋体" w:hAnsi="宋体" w:cs="仿宋"/>
          <w:highlight w:val="none"/>
          <w:lang w:eastAsia="zh-CN"/>
        </w:rPr>
        <w:t>采购人</w:t>
      </w:r>
      <w:r>
        <w:rPr>
          <w:rFonts w:hint="eastAsia" w:ascii="宋体" w:hAnsi="宋体" w:eastAsia="宋体" w:cs="仿宋"/>
          <w:highlight w:val="none"/>
        </w:rPr>
        <w:t>认可。每年清洗厨房烟道不少于</w:t>
      </w:r>
      <w:r>
        <w:rPr>
          <w:rFonts w:hint="eastAsia" w:ascii="宋体" w:hAnsi="宋体" w:cs="仿宋"/>
          <w:highlight w:val="none"/>
          <w:lang w:eastAsia="zh-CN"/>
        </w:rPr>
        <w:t>4</w:t>
      </w:r>
      <w:r>
        <w:rPr>
          <w:rFonts w:hint="eastAsia" w:ascii="宋体" w:hAnsi="宋体" w:eastAsia="宋体" w:cs="仿宋"/>
          <w:highlight w:val="none"/>
        </w:rPr>
        <w:t>次，需由专业清洗公司清洗并出具正规发票，费用由</w:t>
      </w:r>
      <w:r>
        <w:rPr>
          <w:rFonts w:hint="eastAsia" w:ascii="宋体" w:hAnsi="宋体" w:cs="仿宋"/>
          <w:highlight w:val="none"/>
          <w:lang w:eastAsia="zh-CN"/>
        </w:rPr>
        <w:t>采购人</w:t>
      </w:r>
      <w:r>
        <w:rPr>
          <w:rFonts w:hint="eastAsia" w:ascii="宋体" w:hAnsi="宋体" w:eastAsia="宋体" w:cs="仿宋"/>
          <w:highlight w:val="none"/>
        </w:rPr>
        <w:t>承担。清洗完毕后，</w:t>
      </w:r>
      <w:r>
        <w:rPr>
          <w:rFonts w:hint="eastAsia" w:ascii="宋体" w:hAnsi="宋体" w:cs="仿宋"/>
          <w:highlight w:val="none"/>
          <w:lang w:val="en-US" w:eastAsia="zh-CN"/>
        </w:rPr>
        <w:t>中标单位</w:t>
      </w:r>
      <w:r>
        <w:rPr>
          <w:rFonts w:hint="eastAsia" w:ascii="宋体" w:hAnsi="宋体" w:eastAsia="宋体" w:cs="仿宋"/>
          <w:highlight w:val="none"/>
        </w:rPr>
        <w:t>需负责验收并登记</w:t>
      </w:r>
      <w:r>
        <w:rPr>
          <w:rFonts w:hint="eastAsia" w:ascii="宋体" w:hAnsi="宋体" w:eastAsia="宋体" w:cs="仿宋"/>
          <w:highlight w:val="none"/>
          <w:lang w:eastAsia="zh-CN"/>
        </w:rPr>
        <w:t>，</w:t>
      </w:r>
      <w:r>
        <w:rPr>
          <w:rFonts w:hint="eastAsia" w:ascii="宋体" w:hAnsi="宋体" w:eastAsia="宋体" w:cs="仿宋"/>
          <w:highlight w:val="none"/>
          <w:lang w:val="en-US" w:eastAsia="zh-CN"/>
        </w:rPr>
        <w:t>如造成火灾等情况由</w:t>
      </w:r>
      <w:r>
        <w:rPr>
          <w:rFonts w:hint="eastAsia" w:ascii="宋体" w:hAnsi="宋体" w:cs="仿宋"/>
          <w:highlight w:val="none"/>
          <w:lang w:val="en-US" w:eastAsia="zh-CN"/>
        </w:rPr>
        <w:t>中标单位</w:t>
      </w:r>
      <w:r>
        <w:rPr>
          <w:rFonts w:hint="eastAsia" w:ascii="宋体" w:hAnsi="宋体" w:eastAsia="宋体" w:cs="仿宋"/>
          <w:highlight w:val="none"/>
          <w:lang w:val="en-US" w:eastAsia="zh-CN"/>
        </w:rPr>
        <w:t>全权负责。</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6、定期开展灭四害活动</w:t>
      </w:r>
      <w:r>
        <w:rPr>
          <w:rFonts w:hint="eastAsia" w:ascii="宋体" w:hAnsi="宋体" w:cs="仿宋"/>
          <w:highlight w:val="none"/>
          <w:lang w:eastAsia="zh-CN"/>
        </w:rPr>
        <w:t>，一年不少于</w:t>
      </w:r>
      <w:r>
        <w:rPr>
          <w:rFonts w:hint="eastAsia" w:ascii="宋体" w:hAnsi="宋体" w:cs="仿宋"/>
          <w:highlight w:val="none"/>
          <w:lang w:val="en-US" w:eastAsia="zh-CN"/>
        </w:rPr>
        <w:t>30次</w:t>
      </w:r>
      <w:r>
        <w:rPr>
          <w:rFonts w:hint="eastAsia" w:ascii="宋体" w:hAnsi="宋体" w:cs="仿宋"/>
          <w:highlight w:val="none"/>
          <w:lang w:eastAsia="zh-CN"/>
        </w:rPr>
        <w:t>，并按规定做好台账</w:t>
      </w:r>
      <w:r>
        <w:rPr>
          <w:rFonts w:hint="eastAsia" w:ascii="宋体" w:hAnsi="宋体" w:eastAsia="宋体" w:cs="仿宋"/>
          <w:highlight w:val="none"/>
        </w:rPr>
        <w:t>。若因四害造成的破坏和损失应及时修补和照价赔偿。</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7、生产加工的工具、容器、砧板等要每次用后清洗，保持清洁卫生，食品用具做到生熟用具、器具严格区分使用，成品和半成品隔离、食品和杂物隔离、盛放食物成品的器具必须经过消毒才准使用。</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8、冰柜每月清洗一次，冰柜內架、柜内要保持洁净、无臭味。</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9、及时清洁属于服务区域内的桌面、地面和洗手间。桌椅、地面、工具、台布等做到无积污、无油渍、无水迹、摆设整齐；洗手间设施完好、洁净、无异味，保证良好的就餐环境。</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10、食品用具做到每餐清洁和每餐彻底消毒并烘干、味碟、匙更、筷子、小碗、茶杯等食具要求严密保洁柜存放，分类排好，手不能接触盛食品的部位。</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11、保洁柜必须清洁、做到无霉菌、无苍蝇、无蟑螂、无杂物。</w:t>
      </w:r>
    </w:p>
    <w:p>
      <w:pPr>
        <w:snapToGrid w:val="0"/>
        <w:spacing w:after="0" w:line="360" w:lineRule="auto"/>
        <w:ind w:firstLine="420" w:firstLineChars="200"/>
        <w:jc w:val="both"/>
        <w:rPr>
          <w:rFonts w:hint="eastAsia" w:ascii="宋体" w:hAnsi="宋体" w:eastAsia="宋体" w:cs="仿宋"/>
          <w:highlight w:val="none"/>
          <w:lang w:eastAsia="zh-CN"/>
        </w:rPr>
      </w:pPr>
      <w:r>
        <w:rPr>
          <w:rFonts w:hint="eastAsia" w:ascii="宋体" w:hAnsi="宋体" w:eastAsia="宋体" w:cs="仿宋"/>
          <w:highlight w:val="none"/>
        </w:rPr>
        <w:t>12、垃圾污物应按指定地点放置，不得随意弃放，做好垃圾分类，保证食堂整洁有序</w:t>
      </w:r>
      <w:r>
        <w:rPr>
          <w:rFonts w:hint="eastAsia" w:ascii="宋体" w:hAnsi="宋体" w:eastAsia="宋体" w:cs="仿宋"/>
          <w:highlight w:val="none"/>
          <w:lang w:eastAsia="zh-CN"/>
        </w:rPr>
        <w:t>。</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13、</w:t>
      </w:r>
      <w:r>
        <w:rPr>
          <w:rFonts w:hint="eastAsia" w:ascii="宋体" w:hAnsi="宋体" w:eastAsia="宋体" w:cs="仿宋"/>
          <w:highlight w:val="none"/>
        </w:rPr>
        <w:t>保持污水、雨水排放口及管道的清洁和畅通。采取有效方法，保证各专用区域污水排放口至隔油池排放口不流入颗粒较大易引起堵塞的垃圾。隔油池至少每</w:t>
      </w:r>
      <w:r>
        <w:rPr>
          <w:rFonts w:hint="eastAsia" w:ascii="宋体" w:hAnsi="宋体" w:cs="仿宋"/>
          <w:highlight w:val="none"/>
          <w:lang w:eastAsia="zh-CN"/>
        </w:rPr>
        <w:t>季度</w:t>
      </w:r>
      <w:r>
        <w:rPr>
          <w:rFonts w:hint="eastAsia" w:ascii="宋体" w:hAnsi="宋体" w:eastAsia="宋体" w:cs="仿宋"/>
          <w:highlight w:val="none"/>
        </w:rPr>
        <w:t>清掏一次，有溢出及时清掏。因污水溢出或管道堵塞引起其它的问题和损失，由</w:t>
      </w:r>
      <w:r>
        <w:rPr>
          <w:rFonts w:hint="eastAsia" w:ascii="宋体" w:hAnsi="宋体" w:cs="仿宋"/>
          <w:highlight w:val="none"/>
          <w:lang w:eastAsia="zh-CN"/>
        </w:rPr>
        <w:t>中标单位</w:t>
      </w:r>
      <w:r>
        <w:rPr>
          <w:rFonts w:hint="eastAsia" w:ascii="宋体" w:hAnsi="宋体" w:eastAsia="宋体" w:cs="仿宋"/>
          <w:highlight w:val="none"/>
        </w:rPr>
        <w:t>全权负责。</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rPr>
        <w:t>六</w:t>
      </w:r>
      <w:r>
        <w:rPr>
          <w:rFonts w:hint="eastAsia" w:ascii="宋体" w:hAnsi="宋体" w:eastAsia="宋体" w:cs="仿宋"/>
          <w:b/>
          <w:highlight w:val="none"/>
          <w:lang w:eastAsia="zh-CN"/>
        </w:rPr>
        <w:t>、</w:t>
      </w:r>
      <w:r>
        <w:rPr>
          <w:rFonts w:hint="eastAsia" w:ascii="宋体" w:hAnsi="宋体" w:eastAsia="宋体" w:cs="仿宋"/>
          <w:b/>
          <w:highlight w:val="none"/>
        </w:rPr>
        <w:t>安全节能生产管理规定</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1、建立安全生产责任制。谁主管，谁负责，食堂设立专职安全生产管理员，切实履行安全生产管理、监督职责，认真落实安全生产措施，确保责任到位，工作到位。</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2、各类机械设备、燃气设备、煤气储存、管道设备、电器设备的使用，必须严格按照各类设备的操作规程操作，杜绝违规操作，对违反设备操作规程操作造成人员伤亡、财务损失的，由</w:t>
      </w:r>
      <w:r>
        <w:rPr>
          <w:rFonts w:hint="eastAsia" w:ascii="宋体" w:hAnsi="宋体" w:cs="仿宋"/>
          <w:highlight w:val="none"/>
          <w:lang w:eastAsia="zh-CN"/>
        </w:rPr>
        <w:t>中标单位</w:t>
      </w:r>
      <w:r>
        <w:rPr>
          <w:rFonts w:hint="eastAsia" w:ascii="宋体" w:hAnsi="宋体" w:eastAsia="宋体" w:cs="仿宋"/>
          <w:highlight w:val="none"/>
        </w:rPr>
        <w:t>承担一切经济责任和法律责任。</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3、严格遵守</w:t>
      </w:r>
      <w:r>
        <w:rPr>
          <w:rFonts w:hint="eastAsia" w:ascii="宋体" w:hAnsi="宋体" w:cs="仿宋"/>
          <w:highlight w:val="none"/>
          <w:lang w:eastAsia="zh-CN"/>
        </w:rPr>
        <w:t>采购人</w:t>
      </w:r>
      <w:r>
        <w:rPr>
          <w:rFonts w:hint="eastAsia" w:ascii="宋体" w:hAnsi="宋体" w:eastAsia="宋体" w:cs="仿宋"/>
          <w:highlight w:val="none"/>
        </w:rPr>
        <w:t>有关用电规定。外加电线电路、用电器的铺设、连接、安装，必须报</w:t>
      </w:r>
      <w:r>
        <w:rPr>
          <w:rFonts w:hint="eastAsia" w:ascii="宋体" w:hAnsi="宋体" w:cs="仿宋"/>
          <w:highlight w:val="none"/>
          <w:lang w:eastAsia="zh-CN"/>
        </w:rPr>
        <w:t>采购人</w:t>
      </w:r>
      <w:r>
        <w:rPr>
          <w:rFonts w:hint="eastAsia" w:ascii="宋体" w:hAnsi="宋体" w:eastAsia="宋体" w:cs="仿宋"/>
          <w:highlight w:val="none"/>
        </w:rPr>
        <w:t>有关部门申请安装，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4、加强防火安全意识。食堂区域内严禁烟火，禁止进行可生产火花的作业；上下班要认真检查送气管道、开关、炉头，若发现漏气现象立即关闭总闸，并通知有关部门迅速维修完好；厨房设备及管道要及时清除污垢或易燃物，严防不安全隐患的产生。</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lang w:val="en-US" w:eastAsia="zh-CN"/>
        </w:rPr>
        <w:t>5、</w:t>
      </w:r>
      <w:r>
        <w:rPr>
          <w:rFonts w:hint="eastAsia" w:ascii="宋体" w:hAnsi="宋体" w:eastAsia="宋体" w:cs="仿宋"/>
          <w:highlight w:val="none"/>
        </w:rPr>
        <w:t>下班后和设备使用完后落实关气、关电、关水、关门检查制度，预防火灾、偷盗事件发生。</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6</w:t>
      </w:r>
      <w:r>
        <w:rPr>
          <w:rFonts w:hint="eastAsia" w:ascii="宋体" w:hAnsi="宋体" w:eastAsia="宋体" w:cs="仿宋"/>
          <w:highlight w:val="none"/>
        </w:rPr>
        <w:t>、保证生产从业人员正确、熟练掌握消防器材、设备的使用方法，定期对器材、设备设施进行检查，确保消防器材充足有效。</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7</w:t>
      </w:r>
      <w:r>
        <w:rPr>
          <w:rFonts w:hint="eastAsia" w:ascii="宋体" w:hAnsi="宋体" w:eastAsia="宋体" w:cs="仿宋"/>
          <w:highlight w:val="none"/>
        </w:rPr>
        <w:t>、定期对食堂的机器电器设备、输送油（气）管道、开关等进行检查，发现问题立即</w:t>
      </w:r>
      <w:r>
        <w:rPr>
          <w:rFonts w:hint="eastAsia" w:ascii="宋体" w:hAnsi="宋体" w:eastAsia="宋体" w:cs="仿宋"/>
          <w:highlight w:val="none"/>
          <w:lang w:val="en-US" w:eastAsia="zh-CN"/>
        </w:rPr>
        <w:t>保修</w:t>
      </w:r>
      <w:r>
        <w:rPr>
          <w:rFonts w:hint="eastAsia" w:ascii="宋体" w:hAnsi="宋体" w:eastAsia="宋体" w:cs="仿宋"/>
          <w:highlight w:val="none"/>
        </w:rPr>
        <w:t>，并建立台账。</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8</w:t>
      </w:r>
      <w:r>
        <w:rPr>
          <w:rFonts w:hint="eastAsia" w:ascii="宋体" w:hAnsi="宋体" w:eastAsia="宋体" w:cs="仿宋"/>
          <w:highlight w:val="none"/>
        </w:rPr>
        <w:t>、加强食品卫生管理，严防传染疾病的传播流行及食物中毒事故的发生。</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9</w:t>
      </w:r>
      <w:r>
        <w:rPr>
          <w:rFonts w:hint="eastAsia" w:ascii="宋体" w:hAnsi="宋体" w:eastAsia="宋体" w:cs="仿宋"/>
          <w:highlight w:val="none"/>
        </w:rPr>
        <w:t>、认真做好食品仓库、冷库的管理，防止食品变质、霉烂食品流入加工制作工序，食品贮存要合乎卫生、安全要求。</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10</w:t>
      </w:r>
      <w:r>
        <w:rPr>
          <w:rFonts w:hint="eastAsia" w:ascii="宋体" w:hAnsi="宋体" w:eastAsia="宋体" w:cs="仿宋"/>
          <w:highlight w:val="none"/>
        </w:rPr>
        <w:t>、经常性地组织食堂员工开展工作安全教育。进入食堂场所要穿防滑水鞋，防止滑倒跌伤；员工在进行餐具消毒、煮饭、菜肴制作时，必须按章造作，防止被热水、热油、高温蒸汽、高温餐具、厨具等灼伤；在刀工制作时，要防止被刀切伤割伤等。</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1</w:t>
      </w:r>
      <w:r>
        <w:rPr>
          <w:rFonts w:hint="eastAsia" w:ascii="宋体" w:hAnsi="宋体" w:eastAsia="宋体" w:cs="仿宋"/>
          <w:highlight w:val="none"/>
          <w:lang w:val="en-US" w:eastAsia="zh-CN"/>
        </w:rPr>
        <w:t>1</w:t>
      </w:r>
      <w:r>
        <w:rPr>
          <w:rFonts w:hint="eastAsia" w:ascii="宋体" w:hAnsi="宋体" w:eastAsia="宋体" w:cs="仿宋"/>
          <w:highlight w:val="none"/>
        </w:rPr>
        <w:t>、严格按照食品卫生防疫要求，及时做好各类台帐的登记工作。</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12、</w:t>
      </w:r>
      <w:r>
        <w:rPr>
          <w:rFonts w:hint="eastAsia" w:ascii="宋体" w:hAnsi="宋体" w:eastAsia="宋体" w:cs="仿宋"/>
          <w:highlight w:val="none"/>
        </w:rPr>
        <w:t>加强预防食物中毒的管理意识，针对员工进行定期专项培训，并能从洗、切、烹饪、配送等各环节进行严格把控，杜绝食物中毒的发生。食品加工流程中的不当行为引起食物中毒，</w:t>
      </w:r>
      <w:r>
        <w:rPr>
          <w:rFonts w:hint="eastAsia" w:ascii="宋体" w:hAnsi="宋体" w:cs="仿宋"/>
          <w:highlight w:val="none"/>
          <w:lang w:eastAsia="zh-CN"/>
        </w:rPr>
        <w:t>供应商</w:t>
      </w:r>
      <w:r>
        <w:rPr>
          <w:rFonts w:hint="eastAsia" w:ascii="宋体" w:hAnsi="宋体" w:eastAsia="宋体" w:cs="仿宋"/>
          <w:highlight w:val="none"/>
        </w:rPr>
        <w:t>应负责由此产生的经济和法律责任。</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1</w:t>
      </w:r>
      <w:r>
        <w:rPr>
          <w:rFonts w:hint="eastAsia" w:ascii="宋体" w:hAnsi="宋体" w:eastAsia="宋体" w:cs="仿宋"/>
          <w:highlight w:val="none"/>
          <w:lang w:val="en-US" w:eastAsia="zh-CN"/>
        </w:rPr>
        <w:t>3</w:t>
      </w:r>
      <w:r>
        <w:rPr>
          <w:rFonts w:hint="eastAsia" w:ascii="宋体" w:hAnsi="宋体" w:eastAsia="宋体" w:cs="仿宋"/>
          <w:highlight w:val="none"/>
        </w:rPr>
        <w:t>、强化管理职能，提高节能管理水平，加强节能监管，落实节能考核，在能源消耗定额范围内使用能源。</w:t>
      </w:r>
    </w:p>
    <w:p>
      <w:pPr>
        <w:snapToGrid w:val="0"/>
        <w:spacing w:after="0" w:line="360" w:lineRule="auto"/>
        <w:ind w:firstLine="420" w:firstLineChars="200"/>
        <w:jc w:val="both"/>
        <w:rPr>
          <w:rFonts w:hint="eastAsia" w:ascii="宋体" w:hAnsi="宋体" w:eastAsia="宋体" w:cs="仿宋"/>
          <w:b w:val="0"/>
          <w:bCs/>
          <w:highlight w:val="none"/>
        </w:rPr>
      </w:pPr>
      <w:r>
        <w:rPr>
          <w:rFonts w:hint="eastAsia" w:ascii="宋体" w:hAnsi="宋体" w:eastAsia="宋体" w:cs="仿宋"/>
          <w:b w:val="0"/>
          <w:bCs/>
          <w:highlight w:val="none"/>
          <w:lang w:val="en-US" w:eastAsia="zh-CN"/>
        </w:rPr>
        <w:t>13.1</w:t>
      </w:r>
      <w:r>
        <w:rPr>
          <w:rFonts w:hint="eastAsia" w:ascii="宋体" w:hAnsi="宋体" w:eastAsia="宋体" w:cs="仿宋"/>
          <w:b w:val="0"/>
          <w:bCs/>
          <w:highlight w:val="none"/>
        </w:rPr>
        <w:t>餐厅在准备早餐、中餐、晚餐期间严禁开空调和大灯，开餐前15分钟开启空调，开餐前5分钟开灯，如光线良好则一律不开灯，就餐完毕后5分钟内关闭所有空调电灯</w:t>
      </w:r>
      <w:r>
        <w:rPr>
          <w:rFonts w:hint="eastAsia" w:ascii="宋体" w:hAnsi="宋体" w:eastAsia="宋体" w:cs="仿宋"/>
          <w:b w:val="0"/>
          <w:bCs/>
          <w:highlight w:val="none"/>
          <w:lang w:eastAsia="zh-CN"/>
        </w:rPr>
        <w:t>，夏天不得低于</w:t>
      </w:r>
      <w:r>
        <w:rPr>
          <w:rFonts w:hint="eastAsia" w:ascii="宋体" w:hAnsi="宋体" w:eastAsia="宋体" w:cs="仿宋"/>
          <w:b w:val="0"/>
          <w:bCs/>
          <w:highlight w:val="none"/>
          <w:lang w:val="en-US" w:eastAsia="zh-CN"/>
        </w:rPr>
        <w:t>26℃冬天不得低于20℃</w:t>
      </w:r>
      <w:r>
        <w:rPr>
          <w:rFonts w:hint="eastAsia" w:ascii="宋体" w:hAnsi="宋体" w:eastAsia="宋体" w:cs="仿宋"/>
          <w:b w:val="0"/>
          <w:bCs/>
          <w:highlight w:val="none"/>
        </w:rPr>
        <w:t xml:space="preserve">，节约能源。 </w:t>
      </w:r>
    </w:p>
    <w:p>
      <w:pPr>
        <w:snapToGrid w:val="0"/>
        <w:spacing w:after="0" w:line="360" w:lineRule="auto"/>
        <w:ind w:firstLine="420" w:firstLineChars="200"/>
        <w:jc w:val="both"/>
        <w:rPr>
          <w:rFonts w:hint="eastAsia" w:ascii="宋体" w:hAnsi="宋体" w:eastAsia="宋体" w:cs="仿宋"/>
          <w:b w:val="0"/>
          <w:bCs/>
          <w:highlight w:val="none"/>
        </w:rPr>
      </w:pPr>
      <w:r>
        <w:rPr>
          <w:rFonts w:hint="eastAsia" w:ascii="宋体" w:hAnsi="宋体" w:eastAsia="宋体" w:cs="仿宋"/>
          <w:b w:val="0"/>
          <w:bCs/>
          <w:highlight w:val="none"/>
          <w:lang w:val="en-US" w:eastAsia="zh-CN"/>
        </w:rPr>
        <w:t>13.</w:t>
      </w:r>
      <w:r>
        <w:rPr>
          <w:rFonts w:hint="eastAsia" w:ascii="宋体" w:hAnsi="宋体" w:eastAsia="宋体" w:cs="仿宋"/>
          <w:b w:val="0"/>
          <w:bCs/>
          <w:highlight w:val="none"/>
        </w:rPr>
        <w:t>2做到厨房在光线良好情况下不开灯，更衣间随手关灯，原料和餐具清洗完后应立即关闭水源。</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lang w:val="en-US" w:eastAsia="zh-CN"/>
        </w:rPr>
        <w:t>14</w:t>
      </w:r>
      <w:r>
        <w:rPr>
          <w:rFonts w:hint="eastAsia" w:ascii="宋体" w:hAnsi="宋体" w:eastAsia="宋体" w:cs="仿宋"/>
          <w:highlight w:val="none"/>
        </w:rPr>
        <w:t>、根据国家法律规定</w:t>
      </w:r>
      <w:r>
        <w:rPr>
          <w:rFonts w:hint="eastAsia" w:ascii="宋体" w:hAnsi="宋体" w:cs="仿宋"/>
          <w:highlight w:val="none"/>
          <w:lang w:eastAsia="zh-CN"/>
        </w:rPr>
        <w:t>中标单位</w:t>
      </w:r>
      <w:r>
        <w:rPr>
          <w:rFonts w:hint="eastAsia" w:ascii="宋体" w:hAnsi="宋体" w:eastAsia="宋体" w:cs="仿宋"/>
          <w:highlight w:val="none"/>
        </w:rPr>
        <w:t>必须为员工缴纳各项社会保险，已超龄的则必须购买足额的意外保险。</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w:t>
      </w:r>
      <w:r>
        <w:rPr>
          <w:rFonts w:hint="eastAsia" w:ascii="宋体" w:hAnsi="宋体" w:eastAsia="宋体" w:cs="仿宋"/>
          <w:highlight w:val="none"/>
          <w:lang w:val="en-US" w:eastAsia="zh-CN"/>
        </w:rPr>
        <w:t>5</w:t>
      </w:r>
      <w:r>
        <w:rPr>
          <w:rFonts w:hint="eastAsia" w:ascii="宋体" w:hAnsi="宋体" w:eastAsia="宋体" w:cs="仿宋"/>
          <w:highlight w:val="none"/>
        </w:rPr>
        <w:t>、</w:t>
      </w:r>
      <w:r>
        <w:rPr>
          <w:rFonts w:hint="eastAsia" w:ascii="宋体" w:hAnsi="宋体" w:cs="仿宋"/>
          <w:highlight w:val="none"/>
          <w:lang w:eastAsia="zh-CN"/>
        </w:rPr>
        <w:t>中标单位</w:t>
      </w:r>
      <w:r>
        <w:rPr>
          <w:rFonts w:hint="eastAsia" w:ascii="宋体" w:hAnsi="宋体" w:eastAsia="宋体" w:cs="仿宋"/>
          <w:highlight w:val="none"/>
        </w:rPr>
        <w:t>落实好各项安全生产措施，期间产生的工伤、意外事故由</w:t>
      </w:r>
      <w:r>
        <w:rPr>
          <w:rFonts w:hint="eastAsia" w:ascii="宋体" w:hAnsi="宋体" w:cs="仿宋"/>
          <w:highlight w:val="none"/>
          <w:lang w:eastAsia="zh-CN"/>
        </w:rPr>
        <w:t>中标单位</w:t>
      </w:r>
      <w:r>
        <w:rPr>
          <w:rFonts w:hint="eastAsia" w:ascii="宋体" w:hAnsi="宋体" w:eastAsia="宋体" w:cs="仿宋"/>
          <w:highlight w:val="none"/>
        </w:rPr>
        <w:t>负责。</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rPr>
        <w:t>七</w:t>
      </w:r>
      <w:r>
        <w:rPr>
          <w:rFonts w:hint="eastAsia" w:ascii="宋体" w:hAnsi="宋体" w:eastAsia="宋体" w:cs="仿宋"/>
          <w:b/>
          <w:highlight w:val="none"/>
          <w:lang w:eastAsia="zh-CN"/>
        </w:rPr>
        <w:t>、</w:t>
      </w:r>
      <w:r>
        <w:rPr>
          <w:rFonts w:hint="eastAsia" w:ascii="宋体" w:hAnsi="宋体" w:eastAsia="宋体" w:cs="仿宋"/>
          <w:b/>
          <w:highlight w:val="none"/>
        </w:rPr>
        <w:t>食品安全规定</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w:t>
      </w:r>
      <w:r>
        <w:rPr>
          <w:rFonts w:hint="eastAsia" w:ascii="宋体" w:hAnsi="宋体" w:cs="仿宋"/>
          <w:highlight w:val="none"/>
          <w:lang w:eastAsia="zh-CN"/>
        </w:rPr>
        <w:t>中标单位</w:t>
      </w:r>
      <w:r>
        <w:rPr>
          <w:rFonts w:hint="eastAsia" w:ascii="宋体" w:hAnsi="宋体" w:eastAsia="宋体" w:cs="仿宋"/>
          <w:highlight w:val="none"/>
        </w:rPr>
        <w:t>根据</w:t>
      </w:r>
      <w:r>
        <w:rPr>
          <w:rFonts w:hint="eastAsia" w:ascii="宋体" w:hAnsi="宋体" w:cs="仿宋"/>
          <w:highlight w:val="none"/>
          <w:lang w:eastAsia="zh-CN"/>
        </w:rPr>
        <w:t>采购人</w:t>
      </w:r>
      <w:r>
        <w:rPr>
          <w:rFonts w:hint="eastAsia" w:ascii="宋体" w:hAnsi="宋体" w:eastAsia="宋体" w:cs="仿宋"/>
          <w:highlight w:val="none"/>
        </w:rPr>
        <w:t>要求落实好各项制度，要求各项制度上墙，采购食品验收、入库、出库台账清楚准确，留样原料、菜品保存得当，做到有据可查。</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2、</w:t>
      </w:r>
      <w:r>
        <w:rPr>
          <w:rFonts w:hint="eastAsia" w:ascii="宋体" w:hAnsi="宋体" w:cs="仿宋"/>
          <w:highlight w:val="none"/>
          <w:lang w:eastAsia="zh-CN"/>
        </w:rPr>
        <w:t>中标单位</w:t>
      </w:r>
      <w:r>
        <w:rPr>
          <w:rFonts w:hint="eastAsia" w:ascii="宋体" w:hAnsi="宋体" w:eastAsia="宋体" w:cs="仿宋"/>
          <w:highlight w:val="none"/>
        </w:rPr>
        <w:t>做好对各类原料的检验、检疫报告及免检资料的保存。</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3、</w:t>
      </w:r>
      <w:r>
        <w:rPr>
          <w:rFonts w:hint="eastAsia" w:ascii="宋体" w:hAnsi="宋体" w:cs="仿宋"/>
          <w:highlight w:val="none"/>
          <w:lang w:eastAsia="zh-CN"/>
        </w:rPr>
        <w:t>中标单位</w:t>
      </w:r>
      <w:r>
        <w:rPr>
          <w:rFonts w:hint="eastAsia" w:ascii="宋体" w:hAnsi="宋体" w:eastAsia="宋体" w:cs="仿宋"/>
          <w:highlight w:val="none"/>
        </w:rPr>
        <w:t>根据规定落实好各项食品安全规定，如发生食品安全事故，</w:t>
      </w:r>
      <w:r>
        <w:rPr>
          <w:rFonts w:hint="eastAsia" w:ascii="宋体" w:hAnsi="宋体" w:cs="仿宋"/>
          <w:highlight w:val="none"/>
          <w:lang w:eastAsia="zh-CN"/>
        </w:rPr>
        <w:t>采购人</w:t>
      </w:r>
      <w:r>
        <w:rPr>
          <w:rFonts w:hint="eastAsia" w:ascii="宋体" w:hAnsi="宋体" w:eastAsia="宋体" w:cs="仿宋"/>
          <w:highlight w:val="none"/>
        </w:rPr>
        <w:t>将终止</w:t>
      </w:r>
      <w:r>
        <w:rPr>
          <w:rFonts w:hint="eastAsia" w:ascii="宋体" w:hAnsi="宋体" w:cs="仿宋"/>
          <w:highlight w:val="none"/>
          <w:lang w:eastAsia="zh-CN"/>
        </w:rPr>
        <w:t>中标单位</w:t>
      </w:r>
      <w:r>
        <w:rPr>
          <w:rFonts w:hint="eastAsia" w:ascii="宋体" w:hAnsi="宋体" w:eastAsia="宋体" w:cs="仿宋"/>
          <w:highlight w:val="none"/>
        </w:rPr>
        <w:t>合同，</w:t>
      </w:r>
      <w:r>
        <w:rPr>
          <w:rFonts w:hint="eastAsia" w:ascii="宋体" w:hAnsi="宋体" w:cs="仿宋"/>
          <w:highlight w:val="none"/>
          <w:lang w:eastAsia="zh-CN"/>
        </w:rPr>
        <w:t>中标单位</w:t>
      </w:r>
      <w:r>
        <w:rPr>
          <w:rFonts w:hint="eastAsia" w:ascii="宋体" w:hAnsi="宋体" w:eastAsia="宋体" w:cs="仿宋"/>
          <w:highlight w:val="none"/>
        </w:rPr>
        <w:t>承担一切经济和法律责任。</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lang w:val="en-US" w:eastAsia="zh-CN"/>
        </w:rPr>
        <w:t>八、</w:t>
      </w:r>
      <w:r>
        <w:rPr>
          <w:rFonts w:hint="eastAsia" w:ascii="宋体" w:hAnsi="宋体" w:eastAsia="宋体" w:cs="仿宋"/>
          <w:b/>
          <w:highlight w:val="none"/>
        </w:rPr>
        <w:t>工作纪律</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w:t>
      </w:r>
      <w:r>
        <w:rPr>
          <w:rFonts w:hint="eastAsia" w:ascii="宋体" w:hAnsi="宋体" w:cs="仿宋"/>
          <w:highlight w:val="none"/>
          <w:lang w:eastAsia="zh-CN"/>
        </w:rPr>
        <w:t>中标单位</w:t>
      </w:r>
      <w:r>
        <w:rPr>
          <w:rFonts w:hint="eastAsia" w:ascii="宋体" w:hAnsi="宋体" w:eastAsia="宋体" w:cs="仿宋"/>
          <w:highlight w:val="none"/>
        </w:rPr>
        <w:t>要根据</w:t>
      </w:r>
      <w:r>
        <w:rPr>
          <w:rFonts w:hint="eastAsia" w:ascii="宋体" w:hAnsi="宋体" w:cs="仿宋"/>
          <w:highlight w:val="none"/>
          <w:lang w:eastAsia="zh-CN"/>
        </w:rPr>
        <w:t>采购人</w:t>
      </w:r>
      <w:r>
        <w:rPr>
          <w:rFonts w:hint="eastAsia" w:ascii="宋体" w:hAnsi="宋体" w:eastAsia="宋体" w:cs="仿宋"/>
          <w:highlight w:val="none"/>
        </w:rPr>
        <w:t>工作时间制定好工作纪律，做好人员的考勤和请假登记工作。所有食堂工作人员必须穿戴统一的工作服上岗，挂工号牌，遵守礼仪及职业道德要求。</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2、</w:t>
      </w:r>
      <w:r>
        <w:rPr>
          <w:rFonts w:hint="eastAsia" w:ascii="宋体" w:hAnsi="宋体" w:cs="仿宋"/>
          <w:highlight w:val="none"/>
          <w:lang w:eastAsia="zh-CN"/>
        </w:rPr>
        <w:t>中标单位</w:t>
      </w:r>
      <w:r>
        <w:rPr>
          <w:rFonts w:hint="eastAsia" w:ascii="宋体" w:hAnsi="宋体" w:eastAsia="宋体" w:cs="仿宋"/>
          <w:highlight w:val="none"/>
        </w:rPr>
        <w:t>要根据</w:t>
      </w:r>
      <w:r>
        <w:rPr>
          <w:rFonts w:hint="eastAsia" w:ascii="宋体" w:hAnsi="宋体" w:cs="仿宋"/>
          <w:highlight w:val="none"/>
          <w:lang w:eastAsia="zh-CN"/>
        </w:rPr>
        <w:t>采购人</w:t>
      </w:r>
      <w:r>
        <w:rPr>
          <w:rFonts w:hint="eastAsia" w:ascii="宋体" w:hAnsi="宋体" w:eastAsia="宋体" w:cs="仿宋"/>
          <w:highlight w:val="none"/>
        </w:rPr>
        <w:t>要求控制好开饭时间，不得提前或推迟开饭时间。</w:t>
      </w:r>
    </w:p>
    <w:p>
      <w:pPr>
        <w:snapToGrid w:val="0"/>
        <w:spacing w:after="0" w:line="360" w:lineRule="auto"/>
        <w:ind w:firstLine="420" w:firstLineChars="200"/>
        <w:jc w:val="both"/>
        <w:rPr>
          <w:rFonts w:hint="eastAsia" w:ascii="宋体" w:hAnsi="宋体" w:eastAsia="宋体" w:cs="仿宋"/>
          <w:highlight w:val="none"/>
        </w:rPr>
      </w:pPr>
      <w:r>
        <w:rPr>
          <w:rFonts w:hint="eastAsia" w:ascii="宋体" w:hAnsi="宋体" w:eastAsia="宋体" w:cs="仿宋"/>
          <w:highlight w:val="none"/>
        </w:rPr>
        <w:t>3、服务期内工作人员因违法或违规事件受到刑事或行政处分的，</w:t>
      </w:r>
      <w:r>
        <w:rPr>
          <w:rFonts w:hint="eastAsia" w:ascii="宋体" w:hAnsi="宋体" w:cs="仿宋"/>
          <w:highlight w:val="none"/>
          <w:lang w:eastAsia="zh-CN"/>
        </w:rPr>
        <w:t>中标单位</w:t>
      </w:r>
      <w:r>
        <w:rPr>
          <w:rFonts w:hint="eastAsia" w:ascii="宋体" w:hAnsi="宋体" w:eastAsia="宋体" w:cs="仿宋"/>
          <w:highlight w:val="none"/>
        </w:rPr>
        <w:t>需在一周内更换工作人员，并将人员信息及时上报</w:t>
      </w:r>
      <w:r>
        <w:rPr>
          <w:rFonts w:hint="eastAsia" w:ascii="宋体" w:hAnsi="宋体" w:cs="仿宋"/>
          <w:highlight w:val="none"/>
          <w:lang w:eastAsia="zh-CN"/>
        </w:rPr>
        <w:t>采购人</w:t>
      </w:r>
      <w:r>
        <w:rPr>
          <w:rFonts w:hint="eastAsia" w:ascii="宋体" w:hAnsi="宋体" w:eastAsia="宋体" w:cs="仿宋"/>
          <w:highlight w:val="none"/>
        </w:rPr>
        <w:t>。</w:t>
      </w:r>
    </w:p>
    <w:p>
      <w:pPr>
        <w:snapToGrid w:val="0"/>
        <w:spacing w:after="0" w:line="360" w:lineRule="auto"/>
        <w:ind w:firstLine="420" w:firstLineChars="200"/>
        <w:jc w:val="both"/>
        <w:rPr>
          <w:rFonts w:hint="eastAsia" w:ascii="宋体" w:hAnsi="宋体" w:cs="仿宋"/>
          <w:color w:val="auto"/>
          <w:highlight w:val="none"/>
          <w:lang w:val="en-US" w:eastAsia="zh-CN"/>
        </w:rPr>
      </w:pPr>
      <w:r>
        <w:rPr>
          <w:rFonts w:hint="eastAsia" w:ascii="宋体" w:hAnsi="宋体" w:cs="仿宋"/>
          <w:color w:val="auto"/>
          <w:highlight w:val="none"/>
          <w:lang w:val="en-US" w:eastAsia="zh-CN"/>
        </w:rPr>
        <w:t>4、响应效率：接到采购人通知后相关负责人需在半小时内对采购人的要求做出响应，若在规定工作时间内，需在半小时内到达现场（非工作时间需在1小时内到达），若未满足以上响应效率的，按考核细则进行扣款。</w:t>
      </w:r>
    </w:p>
    <w:p>
      <w:pPr>
        <w:snapToGrid w:val="0"/>
        <w:spacing w:after="0" w:line="360" w:lineRule="auto"/>
        <w:ind w:firstLine="420" w:firstLineChars="200"/>
        <w:jc w:val="both"/>
        <w:rPr>
          <w:rFonts w:hint="default"/>
          <w:highlight w:val="none"/>
          <w:lang w:val="en-US" w:eastAsia="zh-CN"/>
        </w:rPr>
      </w:pPr>
      <w:r>
        <w:rPr>
          <w:rFonts w:hint="eastAsia" w:hAnsi="宋体" w:cs="仿宋"/>
          <w:color w:val="auto"/>
          <w:highlight w:val="none"/>
          <w:lang w:val="en-US" w:eastAsia="zh-CN"/>
        </w:rPr>
        <w:t>5、临时检查应对：若出现临时抽查、检查（如市场监管局、纪委等检查），相关服务人员需在通知后半小时内到达现场，并记录问题做好应对措施，并以书面形式向采购人进行反馈。（需在投标文件中提供相关应对措施）</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发生下列情况之一的，</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有权终止合同。造成</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经济损失的，</w:t>
      </w:r>
      <w:r>
        <w:rPr>
          <w:rFonts w:hint="eastAsia" w:ascii="宋体" w:hAnsi="宋体" w:eastAsia="宋体" w:cs="仿宋"/>
          <w:color w:val="auto"/>
          <w:highlight w:val="none"/>
          <w:lang w:val="en-US" w:eastAsia="zh-CN"/>
        </w:rPr>
        <w:t>中标单位</w:t>
      </w:r>
      <w:r>
        <w:rPr>
          <w:rFonts w:hint="eastAsia" w:ascii="宋体" w:hAnsi="宋体" w:eastAsia="宋体" w:cs="仿宋"/>
          <w:color w:val="auto"/>
          <w:highlight w:val="none"/>
        </w:rPr>
        <w:t>应给予</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经济赔偿。提岀终止合同到合同终止时间为60天。</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.1.发生重大事故，如食物中毒、安全事故、工伤事故、治安事故；</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.2.食堂管理混乱，职工人心涣散，就餐率、满意率低；</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.3.卫生防疫存在严重问题。</w:t>
      </w:r>
    </w:p>
    <w:p>
      <w:pPr>
        <w:snapToGrid w:val="0"/>
        <w:spacing w:after="0" w:line="360" w:lineRule="auto"/>
        <w:ind w:firstLine="422" w:firstLineChars="200"/>
        <w:jc w:val="both"/>
        <w:rPr>
          <w:rFonts w:ascii="宋体" w:hAnsi="宋体" w:eastAsia="宋体" w:cs="仿宋"/>
          <w:b/>
          <w:highlight w:val="none"/>
        </w:rPr>
      </w:pPr>
      <w:r>
        <w:rPr>
          <w:rFonts w:hint="eastAsia" w:ascii="宋体" w:hAnsi="宋体" w:eastAsia="宋体" w:cs="仿宋"/>
          <w:b/>
          <w:highlight w:val="none"/>
          <w:lang w:val="en-US" w:eastAsia="zh-CN"/>
        </w:rPr>
        <w:t>九</w:t>
      </w:r>
      <w:r>
        <w:rPr>
          <w:rFonts w:hint="eastAsia" w:ascii="宋体" w:hAnsi="宋体" w:eastAsia="宋体" w:cs="仿宋"/>
          <w:b/>
          <w:highlight w:val="none"/>
        </w:rPr>
        <w:t>、服务方式</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1、</w:t>
      </w:r>
      <w:r>
        <w:rPr>
          <w:rFonts w:hint="eastAsia" w:ascii="宋体" w:hAnsi="宋体" w:cs="仿宋"/>
          <w:highlight w:val="none"/>
          <w:lang w:eastAsia="zh-CN"/>
        </w:rPr>
        <w:t>中标单位</w:t>
      </w:r>
      <w:r>
        <w:rPr>
          <w:rFonts w:hint="eastAsia" w:ascii="宋体" w:hAnsi="宋体" w:eastAsia="宋体" w:cs="仿宋"/>
          <w:highlight w:val="none"/>
        </w:rPr>
        <w:t>提供厨房和用餐的管理与服务。</w:t>
      </w:r>
    </w:p>
    <w:p>
      <w:pPr>
        <w:snapToGrid w:val="0"/>
        <w:spacing w:after="0" w:line="360" w:lineRule="auto"/>
        <w:ind w:firstLine="420" w:firstLineChars="200"/>
        <w:jc w:val="both"/>
        <w:rPr>
          <w:rFonts w:hint="eastAsia" w:ascii="宋体" w:hAnsi="宋体" w:eastAsia="宋体" w:cs="仿宋"/>
          <w:highlight w:val="none"/>
          <w:lang w:eastAsia="zh-CN"/>
        </w:rPr>
      </w:pPr>
      <w:r>
        <w:rPr>
          <w:rFonts w:hint="eastAsia" w:ascii="宋体" w:hAnsi="宋体" w:eastAsia="宋体" w:cs="仿宋"/>
          <w:highlight w:val="none"/>
        </w:rPr>
        <w:t>2、</w:t>
      </w:r>
      <w:r>
        <w:rPr>
          <w:rFonts w:hint="eastAsia" w:ascii="宋体" w:hAnsi="宋体" w:cs="仿宋"/>
          <w:highlight w:val="none"/>
          <w:lang w:eastAsia="zh-CN"/>
        </w:rPr>
        <w:t>采购人</w:t>
      </w:r>
      <w:r>
        <w:rPr>
          <w:rFonts w:hint="eastAsia" w:ascii="宋体" w:hAnsi="宋体" w:eastAsia="宋体" w:cs="仿宋"/>
          <w:highlight w:val="none"/>
        </w:rPr>
        <w:t>提供现有标的厨房设备、用器餐具和场地</w:t>
      </w:r>
      <w:r>
        <w:rPr>
          <w:rFonts w:hint="eastAsia" w:ascii="宋体" w:hAnsi="宋体" w:cs="仿宋"/>
          <w:highlight w:val="none"/>
          <w:lang w:eastAsia="zh-CN"/>
        </w:rPr>
        <w:t>，</w:t>
      </w:r>
      <w:r>
        <w:rPr>
          <w:rFonts w:hint="eastAsia" w:ascii="宋体" w:hAnsi="宋体" w:eastAsia="宋体" w:cs="仿宋"/>
          <w:highlight w:val="none"/>
        </w:rPr>
        <w:t>支付定额水电、燃气费，设备设施维保及管理服务费。</w:t>
      </w:r>
    </w:p>
    <w:p>
      <w:pPr>
        <w:snapToGrid w:val="0"/>
        <w:spacing w:after="0" w:line="360" w:lineRule="auto"/>
        <w:ind w:firstLine="420" w:firstLineChars="200"/>
        <w:jc w:val="both"/>
        <w:rPr>
          <w:rFonts w:hint="eastAsia"/>
          <w:highlight w:val="none"/>
          <w:lang w:eastAsia="zh-CN"/>
        </w:rPr>
      </w:pPr>
      <w:r>
        <w:rPr>
          <w:rFonts w:hint="eastAsia" w:ascii="宋体" w:hAnsi="宋体" w:eastAsia="宋体" w:cs="仿宋"/>
          <w:highlight w:val="none"/>
        </w:rPr>
        <w:t>3、双方每季清点资产一次。</w:t>
      </w:r>
      <w:r>
        <w:rPr>
          <w:rFonts w:hint="eastAsia" w:ascii="宋体" w:hAnsi="宋体" w:cs="仿宋"/>
          <w:highlight w:val="none"/>
          <w:lang w:val="en-US" w:eastAsia="zh-CN"/>
        </w:rPr>
        <w:t>中标单位</w:t>
      </w:r>
      <w:r>
        <w:rPr>
          <w:rFonts w:hint="eastAsia" w:ascii="宋体" w:hAnsi="宋体" w:eastAsia="宋体" w:cs="仿宋"/>
          <w:highlight w:val="none"/>
        </w:rPr>
        <w:t>应妥善使用各类设施设备，确保资产处于完好状态。</w:t>
      </w:r>
      <w:r>
        <w:rPr>
          <w:rFonts w:hint="eastAsia" w:ascii="宋体" w:hAnsi="宋体" w:eastAsia="宋体" w:cs="仿宋"/>
          <w:highlight w:val="none"/>
          <w:lang w:val="en-US" w:eastAsia="zh-CN"/>
        </w:rPr>
        <w:t>对</w:t>
      </w:r>
      <w:r>
        <w:rPr>
          <w:rFonts w:hint="eastAsia" w:ascii="宋体" w:hAnsi="宋体" w:cs="仿宋"/>
          <w:highlight w:val="none"/>
          <w:lang w:val="en-US" w:eastAsia="zh-CN"/>
        </w:rPr>
        <w:t>采购人</w:t>
      </w:r>
      <w:r>
        <w:rPr>
          <w:rFonts w:hint="eastAsia" w:ascii="宋体" w:hAnsi="宋体" w:eastAsia="宋体" w:cs="仿宋"/>
          <w:highlight w:val="none"/>
          <w:lang w:val="en-US" w:eastAsia="zh-CN"/>
        </w:rPr>
        <w:t>提供的房产及设施设备，应精心维护，无事故隐患，属自然损耗、</w:t>
      </w:r>
      <w:r>
        <w:rPr>
          <w:rFonts w:hint="eastAsia" w:ascii="宋体" w:hAnsi="宋体" w:cs="仿宋"/>
          <w:highlight w:val="none"/>
          <w:lang w:val="en-US" w:eastAsia="zh-CN"/>
        </w:rPr>
        <w:t>采购人</w:t>
      </w:r>
      <w:r>
        <w:rPr>
          <w:rFonts w:hint="eastAsia" w:ascii="宋体" w:hAnsi="宋体" w:eastAsia="宋体" w:cs="仿宋"/>
          <w:highlight w:val="none"/>
          <w:lang w:val="en-US" w:eastAsia="zh-CN"/>
        </w:rPr>
        <w:t>职工损坏、来宾损坏等情况，中标单位应在第二天内对上述损坏物品如实申报</w:t>
      </w:r>
      <w:r>
        <w:rPr>
          <w:rFonts w:hint="eastAsia" w:ascii="宋体" w:hAnsi="宋体" w:cs="仿宋"/>
          <w:highlight w:val="none"/>
          <w:lang w:val="en-US" w:eastAsia="zh-CN"/>
        </w:rPr>
        <w:t>采购人</w:t>
      </w:r>
      <w:r>
        <w:rPr>
          <w:rFonts w:hint="eastAsia" w:ascii="宋体" w:hAnsi="宋体" w:eastAsia="宋体" w:cs="仿宋"/>
          <w:highlight w:val="none"/>
          <w:lang w:val="en-US" w:eastAsia="zh-CN"/>
        </w:rPr>
        <w:t>审批，因疏于管理而引起的损失由</w:t>
      </w:r>
      <w:r>
        <w:rPr>
          <w:rFonts w:hint="eastAsia" w:ascii="宋体" w:hAnsi="宋体" w:cs="仿宋"/>
          <w:highlight w:val="none"/>
          <w:lang w:val="en-US" w:eastAsia="zh-CN"/>
        </w:rPr>
        <w:t>中标单位</w:t>
      </w:r>
      <w:r>
        <w:rPr>
          <w:rFonts w:hint="eastAsia" w:ascii="宋体" w:hAnsi="宋体" w:eastAsia="宋体" w:cs="仿宋"/>
          <w:highlight w:val="none"/>
          <w:lang w:val="en-US" w:eastAsia="zh-CN"/>
        </w:rPr>
        <w:t>承担。</w:t>
      </w:r>
    </w:p>
    <w:p>
      <w:pPr>
        <w:snapToGrid w:val="0"/>
        <w:spacing w:after="0" w:line="360" w:lineRule="auto"/>
        <w:ind w:firstLine="420" w:firstLineChars="200"/>
        <w:jc w:val="both"/>
        <w:rPr>
          <w:rFonts w:hint="eastAsia" w:ascii="宋体" w:hAnsi="宋体" w:eastAsia="宋体" w:cs="仿宋"/>
          <w:highlight w:val="none"/>
          <w:lang w:eastAsia="zh-CN"/>
        </w:rPr>
      </w:pPr>
      <w:r>
        <w:rPr>
          <w:rFonts w:hint="eastAsia" w:ascii="宋体" w:hAnsi="宋体" w:eastAsia="宋体" w:cs="仿宋"/>
          <w:highlight w:val="none"/>
        </w:rPr>
        <w:t>所辖区域内设施设备的维保由</w:t>
      </w:r>
      <w:r>
        <w:rPr>
          <w:rFonts w:hint="eastAsia" w:ascii="宋体" w:hAnsi="宋体" w:cs="仿宋"/>
          <w:highlight w:val="none"/>
          <w:lang w:val="en-US" w:eastAsia="zh-CN"/>
        </w:rPr>
        <w:t>采购人</w:t>
      </w:r>
      <w:r>
        <w:rPr>
          <w:rFonts w:hint="eastAsia" w:ascii="宋体" w:hAnsi="宋体" w:eastAsia="宋体" w:cs="仿宋"/>
          <w:highlight w:val="none"/>
        </w:rPr>
        <w:t>合同单位负责，</w:t>
      </w:r>
      <w:r>
        <w:rPr>
          <w:rFonts w:hint="eastAsia" w:ascii="宋体" w:hAnsi="宋体" w:cs="仿宋"/>
          <w:highlight w:val="none"/>
          <w:lang w:val="en-US" w:eastAsia="zh-CN"/>
        </w:rPr>
        <w:t>中标单位</w:t>
      </w:r>
      <w:r>
        <w:rPr>
          <w:rFonts w:hint="eastAsia" w:ascii="宋体" w:hAnsi="宋体" w:eastAsia="宋体" w:cs="仿宋"/>
          <w:highlight w:val="none"/>
        </w:rPr>
        <w:t>按流程及时报修，并跟进维修进度，确保设备正常运行。正常情况下的设备维保、维修及零配件更换费用不计入食堂的运行成本，因</w:t>
      </w:r>
      <w:r>
        <w:rPr>
          <w:rFonts w:hint="eastAsia" w:ascii="宋体" w:hAnsi="宋体" w:cs="仿宋"/>
          <w:highlight w:val="none"/>
          <w:lang w:val="en-US" w:eastAsia="zh-CN"/>
        </w:rPr>
        <w:t>中标单位</w:t>
      </w:r>
      <w:r>
        <w:rPr>
          <w:rFonts w:hint="eastAsia" w:ascii="宋体" w:hAnsi="宋体" w:eastAsia="宋体" w:cs="仿宋"/>
          <w:highlight w:val="none"/>
        </w:rPr>
        <w:t>操作不当造成的设备损坏由</w:t>
      </w:r>
      <w:r>
        <w:rPr>
          <w:rFonts w:hint="eastAsia" w:ascii="宋体" w:hAnsi="宋体" w:cs="仿宋"/>
          <w:highlight w:val="none"/>
          <w:lang w:val="en-US" w:eastAsia="zh-CN"/>
        </w:rPr>
        <w:t>中标单位</w:t>
      </w:r>
      <w:r>
        <w:rPr>
          <w:rFonts w:hint="eastAsia" w:ascii="宋体" w:hAnsi="宋体" w:eastAsia="宋体" w:cs="仿宋"/>
          <w:highlight w:val="none"/>
        </w:rPr>
        <w:t>负责维修，承担维修费用。发现有遗失和</w:t>
      </w:r>
      <w:r>
        <w:rPr>
          <w:rFonts w:hint="eastAsia" w:ascii="宋体" w:hAnsi="宋体" w:cs="仿宋"/>
          <w:highlight w:val="none"/>
          <w:lang w:eastAsia="zh-CN"/>
        </w:rPr>
        <w:t>采购人</w:t>
      </w:r>
      <w:r>
        <w:rPr>
          <w:rFonts w:hint="eastAsia" w:ascii="宋体" w:hAnsi="宋体" w:eastAsia="宋体" w:cs="仿宋"/>
          <w:highlight w:val="none"/>
        </w:rPr>
        <w:t>未认可的损坏物品，须及时补足或</w:t>
      </w:r>
      <w:r>
        <w:rPr>
          <w:rFonts w:hint="eastAsia" w:ascii="宋体" w:hAnsi="宋体" w:eastAsia="宋体" w:cs="仿宋"/>
          <w:highlight w:val="none"/>
          <w:lang w:eastAsia="zh-CN"/>
        </w:rPr>
        <w:t>按设备折旧率进行相应</w:t>
      </w:r>
      <w:r>
        <w:rPr>
          <w:rFonts w:hint="eastAsia" w:ascii="宋体" w:hAnsi="宋体" w:eastAsia="宋体" w:cs="仿宋"/>
          <w:highlight w:val="none"/>
        </w:rPr>
        <w:t>赔偿。合同终止时，</w:t>
      </w:r>
      <w:r>
        <w:rPr>
          <w:rFonts w:hint="eastAsia" w:ascii="宋体" w:hAnsi="宋体" w:cs="仿宋"/>
          <w:highlight w:val="none"/>
          <w:lang w:val="en-US" w:eastAsia="zh-CN"/>
        </w:rPr>
        <w:t>中标单位</w:t>
      </w:r>
      <w:r>
        <w:rPr>
          <w:rFonts w:hint="eastAsia" w:ascii="宋体" w:hAnsi="宋体" w:eastAsia="宋体" w:cs="仿宋"/>
          <w:highlight w:val="none"/>
        </w:rPr>
        <w:t>应将</w:t>
      </w:r>
      <w:r>
        <w:rPr>
          <w:rFonts w:hint="eastAsia" w:ascii="宋体" w:hAnsi="宋体" w:cs="仿宋"/>
          <w:highlight w:val="none"/>
          <w:lang w:val="en-US" w:eastAsia="zh-CN"/>
        </w:rPr>
        <w:t>采购人</w:t>
      </w:r>
      <w:r>
        <w:rPr>
          <w:rFonts w:hint="eastAsia" w:ascii="宋体" w:hAnsi="宋体" w:eastAsia="宋体" w:cs="仿宋"/>
          <w:highlight w:val="none"/>
        </w:rPr>
        <w:t>提供的设施设备基本完好如数移交给甲方</w:t>
      </w:r>
      <w:r>
        <w:rPr>
          <w:rFonts w:hint="eastAsia" w:ascii="宋体" w:hAnsi="宋体" w:eastAsia="宋体" w:cs="仿宋"/>
          <w:highlight w:val="none"/>
          <w:lang w:eastAsia="zh-CN"/>
        </w:rPr>
        <w:t>。</w:t>
      </w:r>
    </w:p>
    <w:p>
      <w:pPr>
        <w:snapToGrid w:val="0"/>
        <w:spacing w:after="0" w:line="360" w:lineRule="auto"/>
        <w:ind w:firstLine="420" w:firstLineChars="200"/>
        <w:jc w:val="both"/>
        <w:rPr>
          <w:rFonts w:ascii="宋体" w:hAnsi="宋体" w:eastAsia="宋体" w:cs="仿宋"/>
          <w:highlight w:val="none"/>
        </w:rPr>
      </w:pPr>
      <w:r>
        <w:rPr>
          <w:rFonts w:hint="eastAsia" w:ascii="宋体" w:hAnsi="宋体" w:eastAsia="宋体" w:cs="仿宋"/>
          <w:highlight w:val="none"/>
        </w:rPr>
        <w:t>4、食堂一般为每周一至周五（国家规定工作日），特殊情况需在公休日加班的提前一天通知。但如遇特殊情况，根据省市区统一安排需要加班，</w:t>
      </w:r>
      <w:r>
        <w:rPr>
          <w:rFonts w:hint="eastAsia" w:ascii="宋体" w:hAnsi="宋体" w:cs="仿宋"/>
          <w:highlight w:val="none"/>
          <w:lang w:eastAsia="zh-CN"/>
        </w:rPr>
        <w:t>中标单位</w:t>
      </w:r>
      <w:r>
        <w:rPr>
          <w:rFonts w:hint="eastAsia" w:ascii="宋体" w:hAnsi="宋体" w:eastAsia="宋体" w:cs="仿宋"/>
          <w:highlight w:val="none"/>
        </w:rPr>
        <w:t>不得另外收取服务费。</w:t>
      </w:r>
    </w:p>
    <w:p>
      <w:pPr>
        <w:snapToGrid w:val="0"/>
        <w:spacing w:after="0" w:line="360" w:lineRule="auto"/>
        <w:ind w:firstLine="420" w:firstLineChars="200"/>
        <w:jc w:val="both"/>
        <w:rPr>
          <w:rFonts w:ascii="宋体" w:hAnsi="宋体" w:eastAsia="宋体" w:cs="仿宋"/>
          <w:b/>
          <w:bCs/>
          <w:highlight w:val="none"/>
        </w:rPr>
      </w:pPr>
      <w:r>
        <w:rPr>
          <w:rFonts w:hint="eastAsia" w:ascii="宋体" w:hAnsi="宋体" w:eastAsia="宋体" w:cs="仿宋"/>
          <w:highlight w:val="none"/>
        </w:rPr>
        <w:t>5、</w:t>
      </w:r>
      <w:r>
        <w:rPr>
          <w:rFonts w:hint="eastAsia" w:ascii="宋体" w:hAnsi="宋体" w:cs="仿宋"/>
          <w:highlight w:val="none"/>
          <w:lang w:eastAsia="zh-CN"/>
        </w:rPr>
        <w:t>中标单位</w:t>
      </w:r>
      <w:r>
        <w:rPr>
          <w:rFonts w:hint="eastAsia" w:ascii="宋体" w:hAnsi="宋体" w:eastAsia="宋体" w:cs="仿宋"/>
          <w:highlight w:val="none"/>
        </w:rPr>
        <w:t>不经</w:t>
      </w:r>
      <w:r>
        <w:rPr>
          <w:rFonts w:hint="eastAsia" w:ascii="宋体" w:hAnsi="宋体" w:cs="仿宋"/>
          <w:highlight w:val="none"/>
          <w:lang w:eastAsia="zh-CN"/>
        </w:rPr>
        <w:t>采购人</w:t>
      </w:r>
      <w:r>
        <w:rPr>
          <w:rFonts w:hint="eastAsia" w:ascii="宋体" w:hAnsi="宋体" w:eastAsia="宋体" w:cs="仿宋"/>
          <w:highlight w:val="none"/>
        </w:rPr>
        <w:t>同意，不得转让外包服务。</w:t>
      </w:r>
    </w:p>
    <w:p>
      <w:pPr>
        <w:snapToGrid w:val="0"/>
        <w:spacing w:after="0" w:line="360" w:lineRule="auto"/>
        <w:ind w:firstLine="422" w:firstLineChars="200"/>
        <w:jc w:val="both"/>
        <w:rPr>
          <w:rFonts w:cs="仿宋" w:asciiTheme="minorEastAsia" w:hAnsiTheme="minorEastAsia" w:eastAsiaTheme="minorEastAsia"/>
          <w:b/>
          <w:highlight w:val="none"/>
        </w:rPr>
      </w:pPr>
    </w:p>
    <w:p>
      <w:pPr>
        <w:snapToGrid w:val="0"/>
        <w:spacing w:after="0" w:line="360" w:lineRule="auto"/>
        <w:ind w:firstLine="422" w:firstLineChars="200"/>
        <w:jc w:val="both"/>
        <w:rPr>
          <w:rFonts w:hint="eastAsia" w:cs="仿宋" w:asciiTheme="minorEastAsia" w:hAnsiTheme="minorEastAsia" w:eastAsiaTheme="minorEastAsia"/>
          <w:b/>
          <w:highlight w:val="none"/>
          <w:lang w:eastAsia="zh-CN"/>
        </w:rPr>
      </w:pPr>
      <w:r>
        <w:rPr>
          <w:rFonts w:hint="eastAsia" w:cs="仿宋" w:asciiTheme="minorEastAsia" w:hAnsiTheme="minorEastAsia" w:eastAsiaTheme="minorEastAsia"/>
          <w:b/>
          <w:highlight w:val="none"/>
          <w:lang w:eastAsia="zh-CN"/>
        </w:rPr>
        <w:t>十</w:t>
      </w:r>
      <w:r>
        <w:rPr>
          <w:rFonts w:hint="eastAsia" w:cs="仿宋" w:asciiTheme="minorEastAsia" w:hAnsiTheme="minorEastAsia" w:eastAsiaTheme="minorEastAsia"/>
          <w:b/>
          <w:highlight w:val="none"/>
        </w:rPr>
        <w:t>、商务</w:t>
      </w:r>
      <w:r>
        <w:rPr>
          <w:rFonts w:hint="eastAsia" w:cs="仿宋" w:asciiTheme="minorEastAsia" w:hAnsiTheme="minorEastAsia" w:eastAsiaTheme="minorEastAsia"/>
          <w:b/>
          <w:highlight w:val="none"/>
          <w:lang w:eastAsia="zh-CN"/>
        </w:rPr>
        <w:t>要求</w:t>
      </w:r>
    </w:p>
    <w:p>
      <w:pPr>
        <w:snapToGrid w:val="0"/>
        <w:spacing w:after="0" w:line="360" w:lineRule="auto"/>
        <w:ind w:firstLine="422" w:firstLineChars="200"/>
        <w:jc w:val="both"/>
        <w:rPr>
          <w:rFonts w:hint="eastAsia" w:cs="仿宋" w:asciiTheme="minorEastAsia" w:hAnsiTheme="minorEastAsia" w:eastAsiaTheme="minorEastAsia"/>
          <w:b/>
          <w:highlight w:val="none"/>
          <w:lang w:eastAsia="zh-CN"/>
        </w:rPr>
      </w:pPr>
      <w:r>
        <w:rPr>
          <w:rFonts w:hint="eastAsia" w:cs="仿宋" w:asciiTheme="minorEastAsia" w:hAnsiTheme="minorEastAsia" w:eastAsiaTheme="minorEastAsia"/>
          <w:b/>
          <w:highlight w:val="none"/>
        </w:rPr>
        <w:t>1.▲服务期限：</w:t>
      </w:r>
      <w:r>
        <w:rPr>
          <w:rFonts w:hint="eastAsia" w:ascii="宋体" w:hAnsi="宋体" w:cs="宋体"/>
          <w:b/>
          <w:bCs w:val="0"/>
          <w:color w:val="auto"/>
          <w:sz w:val="21"/>
          <w:szCs w:val="21"/>
          <w:highlight w:val="none"/>
          <w:lang w:val="en-US" w:eastAsia="zh-CN"/>
        </w:rPr>
        <w:t>服务期3年，合同一年一签。</w:t>
      </w:r>
    </w:p>
    <w:p>
      <w:pPr>
        <w:snapToGrid w:val="0"/>
        <w:spacing w:after="0" w:line="360" w:lineRule="auto"/>
        <w:ind w:firstLine="420" w:firstLineChars="200"/>
        <w:jc w:val="both"/>
        <w:rPr>
          <w:rFonts w:cs="仿宋" w:asciiTheme="minorEastAsia" w:hAnsiTheme="minorEastAsia" w:eastAsiaTheme="minorEastAsia"/>
          <w:highlight w:val="none"/>
        </w:rPr>
      </w:pPr>
      <w:r>
        <w:rPr>
          <w:rFonts w:hint="eastAsia" w:cs="仿宋" w:asciiTheme="minorEastAsia" w:hAnsiTheme="minorEastAsia" w:eastAsiaTheme="minorEastAsia"/>
          <w:highlight w:val="none"/>
        </w:rPr>
        <w:t>2.付款方式</w:t>
      </w:r>
    </w:p>
    <w:p>
      <w:pPr>
        <w:spacing w:after="0" w:line="360" w:lineRule="auto"/>
        <w:ind w:firstLine="420" w:firstLineChars="200"/>
        <w:jc w:val="both"/>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付款方式：</w:t>
      </w:r>
      <w:r>
        <w:rPr>
          <w:rFonts w:hint="eastAsia" w:asciiTheme="minorEastAsia" w:hAnsiTheme="minorEastAsia" w:eastAsiaTheme="minorEastAsia"/>
          <w:highlight w:val="none"/>
          <w:lang w:eastAsia="zh-CN"/>
        </w:rPr>
        <w:t>采购人</w:t>
      </w:r>
      <w:r>
        <w:rPr>
          <w:rFonts w:hint="eastAsia" w:asciiTheme="minorEastAsia" w:hAnsiTheme="minorEastAsia" w:eastAsiaTheme="minorEastAsia"/>
          <w:highlight w:val="none"/>
        </w:rPr>
        <w:t>定期对食堂后勤服务工作进行考核</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服务费付款</w:t>
      </w:r>
      <w:r>
        <w:rPr>
          <w:rFonts w:hint="eastAsia" w:asciiTheme="minorEastAsia" w:hAnsiTheme="minorEastAsia" w:eastAsiaTheme="minorEastAsia"/>
          <w:highlight w:val="none"/>
          <w:lang w:eastAsia="zh-CN"/>
        </w:rPr>
        <w:t>采购人</w:t>
      </w:r>
      <w:r>
        <w:rPr>
          <w:rFonts w:hint="eastAsia" w:asciiTheme="minorEastAsia" w:hAnsiTheme="minorEastAsia" w:eastAsiaTheme="minorEastAsia"/>
          <w:highlight w:val="none"/>
        </w:rPr>
        <w:t>每月15日前通过转帐或电汇的形式支付上个月</w:t>
      </w:r>
      <w:r>
        <w:rPr>
          <w:rFonts w:hint="eastAsia" w:asciiTheme="minorEastAsia" w:hAnsiTheme="minorEastAsia" w:eastAsiaTheme="minorEastAsia"/>
          <w:highlight w:val="none"/>
          <w:lang w:eastAsia="zh-CN"/>
        </w:rPr>
        <w:t>服务费（扣除考核费）</w:t>
      </w:r>
      <w:r>
        <w:rPr>
          <w:rFonts w:hint="eastAsia" w:asciiTheme="minorEastAsia" w:hAnsiTheme="minorEastAsia" w:eastAsiaTheme="minorEastAsia"/>
          <w:highlight w:val="none"/>
        </w:rPr>
        <w:t>给</w:t>
      </w:r>
      <w:r>
        <w:rPr>
          <w:rFonts w:hint="eastAsia" w:asciiTheme="minorEastAsia" w:hAnsiTheme="minorEastAsia" w:eastAsiaTheme="minorEastAsia"/>
          <w:highlight w:val="none"/>
          <w:lang w:eastAsia="zh-CN"/>
        </w:rPr>
        <w:t>中标单位。</w:t>
      </w:r>
    </w:p>
    <w:p>
      <w:pPr>
        <w:spacing w:after="0" w:line="360" w:lineRule="auto"/>
        <w:ind w:firstLine="420" w:firstLineChars="200"/>
        <w:jc w:val="both"/>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月服务费</w:t>
      </w:r>
      <w:r>
        <w:rPr>
          <w:rFonts w:hint="eastAsia" w:asciiTheme="minorEastAsia" w:hAnsiTheme="minorEastAsia" w:eastAsiaTheme="minorEastAsia"/>
          <w:highlight w:val="none"/>
          <w:lang w:val="en-US" w:eastAsia="zh-CN"/>
        </w:rPr>
        <w:t>=（总服务费/12）*95%=(大写：           小写：       )</w:t>
      </w:r>
    </w:p>
    <w:p>
      <w:pPr>
        <w:spacing w:after="0" w:line="360" w:lineRule="auto"/>
        <w:ind w:firstLine="420" w:firstLineChars="200"/>
        <w:jc w:val="both"/>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每季度前</w:t>
      </w:r>
      <w:r>
        <w:rPr>
          <w:rFonts w:hint="eastAsia" w:asciiTheme="minorEastAsia" w:hAnsiTheme="minorEastAsia" w:eastAsiaTheme="minorEastAsia"/>
          <w:highlight w:val="none"/>
          <w:lang w:val="en-US" w:eastAsia="zh-CN"/>
        </w:rPr>
        <w:t>2个月正常支付服务费，最后一个月根据食堂监管</w:t>
      </w:r>
      <w:r>
        <w:rPr>
          <w:rFonts w:hint="eastAsia" w:asciiTheme="minorEastAsia" w:hAnsiTheme="minorEastAsia" w:eastAsiaTheme="minorEastAsia"/>
          <w:highlight w:val="none"/>
          <w:lang w:eastAsia="zh-CN"/>
        </w:rPr>
        <w:t>季度考核支付相应服务费，</w:t>
      </w:r>
      <w:r>
        <w:rPr>
          <w:rFonts w:hint="eastAsia" w:asciiTheme="minorEastAsia" w:hAnsiTheme="minorEastAsia" w:eastAsiaTheme="minorEastAsia"/>
          <w:highlight w:val="none"/>
        </w:rPr>
        <w:t>考核分90分</w:t>
      </w:r>
      <w:r>
        <w:rPr>
          <w:rFonts w:hint="eastAsia" w:asciiTheme="minorEastAsia" w:hAnsiTheme="minorEastAsia" w:eastAsiaTheme="minorEastAsia"/>
          <w:highlight w:val="none"/>
          <w:lang w:val="en-US" w:eastAsia="zh-CN"/>
        </w:rPr>
        <w:t>及</w:t>
      </w:r>
      <w:r>
        <w:rPr>
          <w:rFonts w:hint="eastAsia" w:asciiTheme="minorEastAsia" w:hAnsiTheme="minorEastAsia" w:eastAsiaTheme="minorEastAsia"/>
          <w:highlight w:val="none"/>
        </w:rPr>
        <w:t>以上</w:t>
      </w:r>
      <w:r>
        <w:rPr>
          <w:rFonts w:hint="eastAsia" w:asciiTheme="minorEastAsia" w:hAnsiTheme="minorEastAsia" w:eastAsiaTheme="minorEastAsia"/>
          <w:highlight w:val="none"/>
          <w:lang w:eastAsia="zh-CN"/>
        </w:rPr>
        <w:t>正常支付该月服务费</w:t>
      </w:r>
      <w:r>
        <w:rPr>
          <w:rFonts w:hint="eastAsia" w:asciiTheme="minorEastAsia" w:hAnsiTheme="minorEastAsia" w:eastAsiaTheme="minorEastAsia"/>
          <w:highlight w:val="none"/>
        </w:rPr>
        <w:t>；如</w:t>
      </w:r>
      <w:r>
        <w:rPr>
          <w:rFonts w:hint="eastAsia" w:asciiTheme="minorEastAsia" w:hAnsiTheme="minorEastAsia" w:eastAsiaTheme="minorEastAsia"/>
          <w:highlight w:val="none"/>
          <w:lang w:eastAsia="zh-CN"/>
        </w:rPr>
        <w:t>季</w:t>
      </w:r>
      <w:r>
        <w:rPr>
          <w:rFonts w:hint="eastAsia" w:asciiTheme="minorEastAsia" w:hAnsiTheme="minorEastAsia" w:eastAsiaTheme="minorEastAsia"/>
          <w:highlight w:val="none"/>
        </w:rPr>
        <w:t>度监管考评分数</w:t>
      </w:r>
      <w:r>
        <w:rPr>
          <w:rFonts w:hint="eastAsia" w:asciiTheme="minorEastAsia" w:hAnsiTheme="minorEastAsia" w:eastAsiaTheme="minorEastAsia"/>
          <w:highlight w:val="none"/>
          <w:lang w:val="en-US" w:eastAsia="zh-CN"/>
        </w:rPr>
        <w:t>85分</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90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不含90分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，食堂监管人员提醒劳务外包公司项目负责人，并指出服务存在问题的改进建议；</w:t>
      </w:r>
      <w:r>
        <w:rPr>
          <w:rFonts w:hint="eastAsia" w:asciiTheme="minorEastAsia" w:hAnsiTheme="minorEastAsia" w:eastAsiaTheme="minorEastAsia"/>
          <w:highlight w:val="none"/>
          <w:lang w:eastAsia="zh-CN"/>
        </w:rPr>
        <w:t>若考核在</w:t>
      </w:r>
      <w:r>
        <w:rPr>
          <w:rFonts w:hint="eastAsia" w:asciiTheme="minorEastAsia" w:hAnsiTheme="minorEastAsia" w:eastAsiaTheme="minorEastAsia"/>
          <w:highlight w:val="none"/>
          <w:lang w:val="en-US" w:eastAsia="zh-CN"/>
        </w:rPr>
        <w:t>85分以下的，根据以下规则扣除相应费用后支付当月剩余金额：</w:t>
      </w:r>
    </w:p>
    <w:p>
      <w:pPr>
        <w:spacing w:after="0" w:line="360" w:lineRule="auto"/>
        <w:ind w:firstLine="420" w:firstLineChars="200"/>
        <w:jc w:val="both"/>
        <w:rPr>
          <w:rFonts w:hint="eastAsia" w:asciiTheme="minorEastAsia" w:hAnsiTheme="minorEastAsia" w:eastAsiaTheme="minorEastAsia"/>
          <w:highlight w:val="none"/>
        </w:rPr>
      </w:pPr>
      <w:r>
        <w:rPr>
          <w:rFonts w:hint="eastAsia" w:asciiTheme="minorEastAsia" w:hAnsiTheme="minorEastAsia" w:eastAsiaTheme="minorEastAsia"/>
          <w:highlight w:val="none"/>
        </w:rPr>
        <w:t>监管</w:t>
      </w:r>
      <w:r>
        <w:rPr>
          <w:rFonts w:hint="eastAsia" w:asciiTheme="minorEastAsia" w:hAnsiTheme="minorEastAsia" w:eastAsiaTheme="minorEastAsia"/>
          <w:highlight w:val="none"/>
          <w:lang w:eastAsia="zh-CN"/>
        </w:rPr>
        <w:t>季度</w:t>
      </w:r>
      <w:r>
        <w:rPr>
          <w:rFonts w:hint="eastAsia" w:asciiTheme="minorEastAsia" w:hAnsiTheme="minorEastAsia" w:eastAsiaTheme="minorEastAsia"/>
          <w:highlight w:val="none"/>
        </w:rPr>
        <w:t>考核分</w:t>
      </w:r>
      <w:r>
        <w:rPr>
          <w:rFonts w:hint="eastAsia" w:asciiTheme="minorEastAsia" w:hAnsiTheme="minorEastAsia" w:eastAsiaTheme="minorEastAsia"/>
          <w:highlight w:val="none"/>
          <w:lang w:val="en-US" w:eastAsia="zh-CN"/>
        </w:rPr>
        <w:t>80分</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85</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不含85分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扣款</w:t>
      </w:r>
      <w:r>
        <w:rPr>
          <w:rFonts w:hint="eastAsia" w:asciiTheme="minorEastAsia" w:hAnsiTheme="minorEastAsia" w:eastAsiaTheme="minorEastAsia"/>
          <w:highlight w:val="none"/>
          <w:lang w:eastAsia="zh-CN"/>
        </w:rPr>
        <w:t>当季度服务费的</w:t>
      </w:r>
      <w:r>
        <w:rPr>
          <w:rFonts w:hint="eastAsia" w:asciiTheme="minorEastAsia" w:hAnsiTheme="minorEastAsia" w:eastAsiaTheme="minorEastAsia"/>
          <w:highlight w:val="none"/>
          <w:lang w:val="en-US" w:eastAsia="zh-CN"/>
        </w:rPr>
        <w:t>0.5</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监管</w:t>
      </w:r>
      <w:r>
        <w:rPr>
          <w:rFonts w:hint="eastAsia" w:asciiTheme="minorEastAsia" w:hAnsiTheme="minorEastAsia" w:eastAsiaTheme="minorEastAsia"/>
          <w:highlight w:val="none"/>
          <w:lang w:eastAsia="zh-CN"/>
        </w:rPr>
        <w:t>季度</w:t>
      </w:r>
      <w:r>
        <w:rPr>
          <w:rFonts w:hint="eastAsia" w:asciiTheme="minorEastAsia" w:hAnsiTheme="minorEastAsia" w:eastAsiaTheme="minorEastAsia"/>
          <w:highlight w:val="none"/>
        </w:rPr>
        <w:t>考核分</w:t>
      </w:r>
      <w:r>
        <w:rPr>
          <w:rFonts w:hint="eastAsia" w:asciiTheme="minorEastAsia" w:hAnsiTheme="minorEastAsia" w:eastAsiaTheme="minorEastAsia"/>
          <w:highlight w:val="none"/>
          <w:lang w:val="en-US" w:eastAsia="zh-CN"/>
        </w:rPr>
        <w:t>70分</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80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不含80分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扣款</w:t>
      </w:r>
      <w:r>
        <w:rPr>
          <w:rFonts w:hint="eastAsia" w:asciiTheme="minorEastAsia" w:hAnsiTheme="minorEastAsia" w:eastAsiaTheme="minorEastAsia"/>
          <w:highlight w:val="none"/>
          <w:lang w:eastAsia="zh-CN"/>
        </w:rPr>
        <w:t>当季度服务费的</w:t>
      </w:r>
      <w:r>
        <w:rPr>
          <w:rFonts w:hint="eastAsia" w:asciiTheme="minorEastAsia" w:hAnsiTheme="minorEastAsia" w:eastAsiaTheme="minorEastAsia"/>
          <w:highlight w:val="none"/>
        </w:rPr>
        <w:t>1%；</w:t>
      </w:r>
      <w:r>
        <w:rPr>
          <w:rFonts w:hint="eastAsia" w:asciiTheme="minorEastAsia" w:hAnsiTheme="minorEastAsia" w:eastAsiaTheme="minorEastAsia"/>
          <w:highlight w:val="none"/>
          <w:lang w:eastAsia="zh-CN"/>
        </w:rPr>
        <w:t>季度</w:t>
      </w:r>
      <w:r>
        <w:rPr>
          <w:rFonts w:hint="eastAsia" w:asciiTheme="minorEastAsia" w:hAnsiTheme="minorEastAsia" w:eastAsiaTheme="minorEastAsia"/>
          <w:highlight w:val="none"/>
        </w:rPr>
        <w:t>考核分数6</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分～7</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不含70分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的，扣减当</w:t>
      </w:r>
      <w:r>
        <w:rPr>
          <w:rFonts w:hint="eastAsia" w:asciiTheme="minorEastAsia" w:hAnsiTheme="minorEastAsia" w:eastAsiaTheme="minorEastAsia"/>
          <w:highlight w:val="none"/>
          <w:lang w:eastAsia="zh-CN"/>
        </w:rPr>
        <w:t>季度</w:t>
      </w:r>
      <w:r>
        <w:rPr>
          <w:rFonts w:hint="eastAsia" w:asciiTheme="minorEastAsia" w:hAnsiTheme="minorEastAsia" w:eastAsiaTheme="minorEastAsia"/>
          <w:highlight w:val="none"/>
        </w:rPr>
        <w:t>服务费的</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%，并给予严重警告，</w:t>
      </w:r>
      <w:r>
        <w:rPr>
          <w:rFonts w:hint="eastAsia" w:asciiTheme="minorEastAsia" w:hAnsiTheme="minorEastAsia" w:eastAsiaTheme="minorEastAsia"/>
          <w:highlight w:val="none"/>
          <w:lang w:eastAsia="zh-CN"/>
        </w:rPr>
        <w:t>中标单位</w:t>
      </w:r>
      <w:r>
        <w:rPr>
          <w:rFonts w:hint="eastAsia" w:asciiTheme="minorEastAsia" w:hAnsiTheme="minorEastAsia" w:eastAsiaTheme="minorEastAsia"/>
          <w:highlight w:val="none"/>
        </w:rPr>
        <w:t>应针对服务中的不足提出整改方案并付诸实施；当</w:t>
      </w:r>
      <w:r>
        <w:rPr>
          <w:rFonts w:hint="eastAsia" w:asciiTheme="minorEastAsia" w:hAnsiTheme="minorEastAsia" w:eastAsiaTheme="minorEastAsia"/>
          <w:highlight w:val="none"/>
          <w:lang w:eastAsia="zh-CN"/>
        </w:rPr>
        <w:t>季</w:t>
      </w:r>
      <w:r>
        <w:rPr>
          <w:rFonts w:hint="eastAsia" w:asciiTheme="minorEastAsia" w:hAnsiTheme="minorEastAsia" w:eastAsiaTheme="minorEastAsia"/>
          <w:highlight w:val="none"/>
        </w:rPr>
        <w:t>考核分数不足6</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分或连续三个</w:t>
      </w:r>
      <w:r>
        <w:rPr>
          <w:rFonts w:hint="eastAsia" w:asciiTheme="minorEastAsia" w:hAnsiTheme="minorEastAsia" w:eastAsiaTheme="minorEastAsia"/>
          <w:highlight w:val="none"/>
          <w:lang w:eastAsia="zh-CN"/>
        </w:rPr>
        <w:t>季度</w:t>
      </w:r>
      <w:r>
        <w:rPr>
          <w:rFonts w:hint="eastAsia" w:asciiTheme="minorEastAsia" w:hAnsiTheme="minorEastAsia" w:eastAsiaTheme="minorEastAsia"/>
          <w:highlight w:val="none"/>
        </w:rPr>
        <w:t>考核得分低于7</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采购人</w:t>
      </w:r>
      <w:r>
        <w:rPr>
          <w:rFonts w:hint="eastAsia" w:asciiTheme="minorEastAsia" w:hAnsiTheme="minorEastAsia" w:eastAsiaTheme="minorEastAsia"/>
          <w:highlight w:val="none"/>
        </w:rPr>
        <w:t>可以解除合同，且无须承担任何责任。</w:t>
      </w:r>
    </w:p>
    <w:p>
      <w:pPr>
        <w:spacing w:after="0" w:line="360" w:lineRule="auto"/>
        <w:ind w:firstLine="420" w:firstLineChars="200"/>
        <w:jc w:val="both"/>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剩余合同总额的</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作为年度考核费，</w:t>
      </w:r>
      <w:r>
        <w:rPr>
          <w:rFonts w:hint="eastAsia" w:asciiTheme="minorEastAsia" w:hAnsiTheme="minorEastAsia" w:eastAsiaTheme="minorEastAsia"/>
          <w:highlight w:val="none"/>
        </w:rPr>
        <w:t>留存至年度考核后，视考核结果相应支付。年度考核以</w:t>
      </w:r>
      <w:r>
        <w:rPr>
          <w:rFonts w:hint="eastAsia" w:asciiTheme="minorEastAsia" w:hAnsiTheme="minorEastAsia" w:eastAsiaTheme="minorEastAsia"/>
          <w:highlight w:val="none"/>
          <w:lang w:eastAsia="zh-CN"/>
        </w:rPr>
        <w:t>季度考核</w:t>
      </w:r>
      <w:r>
        <w:rPr>
          <w:rFonts w:hint="eastAsia" w:asciiTheme="minorEastAsia" w:hAnsiTheme="minorEastAsia" w:eastAsiaTheme="minorEastAsia"/>
          <w:highlight w:val="none"/>
        </w:rPr>
        <w:t>为基础，结合年终考核评价。年度平均考核分数</w:t>
      </w:r>
      <w:r>
        <w:rPr>
          <w:rFonts w:hint="eastAsia" w:asciiTheme="minorEastAsia" w:hAnsiTheme="minorEastAsia" w:eastAsiaTheme="minorEastAsia"/>
          <w:highlight w:val="none"/>
          <w:lang w:val="en-US" w:eastAsia="zh-CN"/>
        </w:rPr>
        <w:t>85</w:t>
      </w:r>
      <w:r>
        <w:rPr>
          <w:rFonts w:hint="eastAsia" w:asciiTheme="minorEastAsia" w:hAnsiTheme="minorEastAsia" w:eastAsiaTheme="minorEastAsia"/>
          <w:highlight w:val="none"/>
        </w:rPr>
        <w:t>分及以上的，</w:t>
      </w:r>
      <w:r>
        <w:rPr>
          <w:rFonts w:hint="eastAsia" w:asciiTheme="minorEastAsia" w:hAnsiTheme="minorEastAsia" w:eastAsiaTheme="minorEastAsia"/>
          <w:highlight w:val="none"/>
          <w:lang w:eastAsia="zh-CN"/>
        </w:rPr>
        <w:t>年度考核费</w:t>
      </w:r>
      <w:r>
        <w:rPr>
          <w:rFonts w:hint="eastAsia" w:asciiTheme="minorEastAsia" w:hAnsiTheme="minorEastAsia" w:eastAsiaTheme="minorEastAsia"/>
          <w:highlight w:val="none"/>
        </w:rPr>
        <w:t>全额拨付；年度平均考核分数</w:t>
      </w:r>
      <w:r>
        <w:rPr>
          <w:rFonts w:hint="eastAsia" w:asciiTheme="minorEastAsia" w:hAnsiTheme="minorEastAsia" w:eastAsiaTheme="minorEastAsia"/>
          <w:highlight w:val="none"/>
          <w:lang w:val="en-US" w:eastAsia="zh-CN"/>
        </w:rPr>
        <w:t>80</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85</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不含85分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的，</w:t>
      </w:r>
      <w:r>
        <w:rPr>
          <w:rFonts w:hint="eastAsia" w:asciiTheme="minorEastAsia" w:hAnsiTheme="minorEastAsia" w:eastAsiaTheme="minorEastAsia"/>
          <w:highlight w:val="none"/>
          <w:lang w:eastAsia="zh-CN"/>
        </w:rPr>
        <w:t>扣减年度考核费的</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%；年度平均考核分数</w:t>
      </w:r>
      <w:r>
        <w:rPr>
          <w:rFonts w:hint="eastAsia" w:asciiTheme="minorEastAsia" w:hAnsiTheme="minorEastAsia" w:eastAsiaTheme="minorEastAsia"/>
          <w:highlight w:val="none"/>
          <w:lang w:val="en-US" w:eastAsia="zh-CN"/>
        </w:rPr>
        <w:t>70</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80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不含80分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的，</w:t>
      </w:r>
      <w:r>
        <w:rPr>
          <w:rFonts w:hint="eastAsia" w:asciiTheme="minorEastAsia" w:hAnsiTheme="minorEastAsia" w:eastAsiaTheme="minorEastAsia"/>
          <w:highlight w:val="none"/>
          <w:lang w:eastAsia="zh-CN"/>
        </w:rPr>
        <w:t>扣减年度考核费的</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%；年度平均考核分数</w:t>
      </w:r>
      <w:r>
        <w:rPr>
          <w:rFonts w:hint="eastAsia" w:asciiTheme="minorEastAsia" w:hAnsiTheme="minorEastAsia" w:eastAsiaTheme="minorEastAsia"/>
          <w:highlight w:val="none"/>
          <w:lang w:val="en-US" w:eastAsia="zh-CN"/>
        </w:rPr>
        <w:t>60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val="en-US" w:eastAsia="zh-CN"/>
        </w:rPr>
        <w:t>70</w:t>
      </w:r>
      <w:r>
        <w:rPr>
          <w:rFonts w:hint="eastAsia" w:asciiTheme="minorEastAsia" w:hAnsiTheme="minorEastAsia" w:eastAsiaTheme="minorEastAsia"/>
          <w:highlight w:val="none"/>
        </w:rPr>
        <w:t>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不含70分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的，扣减</w:t>
      </w:r>
      <w:r>
        <w:rPr>
          <w:rFonts w:hint="eastAsia" w:asciiTheme="minorEastAsia" w:hAnsiTheme="minorEastAsia" w:eastAsiaTheme="minorEastAsia"/>
          <w:highlight w:val="none"/>
          <w:lang w:eastAsia="zh-CN"/>
        </w:rPr>
        <w:t>年度考核费的</w:t>
      </w:r>
      <w:r>
        <w:rPr>
          <w:rFonts w:hint="eastAsia" w:asciiTheme="minorEastAsia" w:hAnsiTheme="minorEastAsia" w:eastAsiaTheme="minorEastAsia"/>
          <w:highlight w:val="none"/>
          <w:lang w:val="en-US" w:eastAsia="zh-CN"/>
        </w:rPr>
        <w:t>30</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60分以下的</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则不支付年度考核费用。</w:t>
      </w:r>
    </w:p>
    <w:p>
      <w:pPr>
        <w:spacing w:after="0" w:line="360" w:lineRule="auto"/>
        <w:ind w:firstLine="42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《餐饮服务监管考核评分表》与《职工满意度评分表》附后。</w:t>
      </w:r>
    </w:p>
    <w:p>
      <w:pPr>
        <w:spacing w:after="0" w:line="360" w:lineRule="auto"/>
        <w:ind w:firstLine="420" w:firstLineChars="200"/>
        <w:jc w:val="both"/>
        <w:rPr>
          <w:rFonts w:asciiTheme="minorEastAsia" w:hAnsiTheme="minorEastAsia" w:eastAsiaTheme="minorEastAsia"/>
          <w:highlight w:val="none"/>
        </w:rPr>
      </w:pPr>
      <w:r>
        <w:rPr>
          <w:rFonts w:asciiTheme="minorEastAsia" w:hAnsiTheme="minorEastAsia" w:eastAsiaTheme="minorEastAsia"/>
          <w:highlight w:val="none"/>
        </w:rPr>
        <w:t>3.服务期内考核</w:t>
      </w:r>
    </w:p>
    <w:p>
      <w:pPr>
        <w:spacing w:after="0" w:line="360" w:lineRule="auto"/>
        <w:ind w:firstLine="420" w:firstLineChars="200"/>
        <w:jc w:val="both"/>
        <w:rPr>
          <w:rFonts w:hint="eastAsia" w:cs="仿宋" w:asciiTheme="minorEastAsia" w:hAnsiTheme="minorEastAsia" w:eastAsiaTheme="minorEastAsia"/>
          <w:highlight w:val="none"/>
        </w:rPr>
      </w:pPr>
      <w:r>
        <w:rPr>
          <w:rFonts w:hint="eastAsia" w:cs="仿宋" w:asciiTheme="minorEastAsia" w:hAnsiTheme="minorEastAsia" w:eastAsiaTheme="minorEastAsia"/>
          <w:highlight w:val="none"/>
          <w:lang w:val="en-US" w:eastAsia="zh-CN"/>
        </w:rPr>
        <w:t>单次合同</w:t>
      </w:r>
      <w:r>
        <w:rPr>
          <w:rFonts w:hint="eastAsia" w:cs="仿宋" w:asciiTheme="minorEastAsia" w:hAnsiTheme="minorEastAsia" w:eastAsiaTheme="minorEastAsia"/>
          <w:highlight w:val="none"/>
        </w:rPr>
        <w:t>服务总期限为</w:t>
      </w:r>
      <w:r>
        <w:rPr>
          <w:rFonts w:hint="eastAsia" w:cs="仿宋" w:asciiTheme="minorEastAsia" w:hAnsiTheme="minorEastAsia" w:eastAsiaTheme="minorEastAsia"/>
          <w:highlight w:val="none"/>
          <w:lang w:val="en-US" w:eastAsia="zh-CN"/>
        </w:rPr>
        <w:t>12</w:t>
      </w:r>
      <w:r>
        <w:rPr>
          <w:rFonts w:hint="eastAsia" w:cs="仿宋" w:asciiTheme="minorEastAsia" w:hAnsiTheme="minorEastAsia" w:eastAsiaTheme="minorEastAsia"/>
          <w:highlight w:val="none"/>
        </w:rPr>
        <w:t>个月，</w:t>
      </w:r>
      <w:r>
        <w:rPr>
          <w:rFonts w:hint="eastAsia" w:cs="仿宋" w:asciiTheme="minorEastAsia" w:hAnsiTheme="minorEastAsia" w:eastAsiaTheme="minorEastAsia"/>
          <w:highlight w:val="none"/>
          <w:lang w:val="en-US" w:eastAsia="zh-CN"/>
        </w:rPr>
        <w:t>即</w:t>
      </w:r>
      <w:r>
        <w:rPr>
          <w:rFonts w:hint="eastAsia" w:cs="仿宋" w:asciiTheme="minorEastAsia" w:hAnsiTheme="minorEastAsia" w:eastAsiaTheme="minorEastAsia"/>
          <w:highlight w:val="none"/>
        </w:rPr>
        <w:t>合同签订之日起</w:t>
      </w:r>
      <w:r>
        <w:rPr>
          <w:rFonts w:hint="eastAsia" w:cs="仿宋" w:asciiTheme="minorEastAsia" w:hAnsiTheme="minorEastAsia" w:eastAsiaTheme="minorEastAsia"/>
          <w:highlight w:val="none"/>
          <w:lang w:val="en-US" w:eastAsia="zh-CN"/>
        </w:rPr>
        <w:t>12</w:t>
      </w:r>
      <w:r>
        <w:rPr>
          <w:rFonts w:hint="eastAsia" w:cs="仿宋" w:asciiTheme="minorEastAsia" w:hAnsiTheme="minorEastAsia" w:eastAsiaTheme="minorEastAsia"/>
          <w:highlight w:val="none"/>
        </w:rPr>
        <w:t>个月。</w:t>
      </w:r>
    </w:p>
    <w:p>
      <w:pPr>
        <w:spacing w:after="0" w:line="360" w:lineRule="auto"/>
        <w:ind w:firstLine="420" w:firstLineChars="200"/>
        <w:jc w:val="both"/>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在合同到期前2个月内会根据考核情况确认是否续签还是重新招标。如供应商服务质量优良，职工测评满意，可根据政府采购政策及</w:t>
      </w: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考评结果，再决定是否续签。</w:t>
      </w:r>
    </w:p>
    <w:p>
      <w:pPr>
        <w:spacing w:after="0" w:line="360" w:lineRule="auto"/>
        <w:ind w:firstLine="420" w:firstLineChars="200"/>
        <w:jc w:val="both"/>
        <w:rPr>
          <w:rFonts w:hint="eastAsia" w:cs="仿宋" w:asciiTheme="minorEastAsia" w:hAnsiTheme="minorEastAsia" w:eastAsiaTheme="minorEastAsia"/>
          <w:highlight w:val="none"/>
        </w:rPr>
      </w:pPr>
      <w:r>
        <w:rPr>
          <w:rFonts w:hint="eastAsia" w:cs="仿宋" w:asciiTheme="minorEastAsia" w:hAnsiTheme="minorEastAsia" w:eastAsiaTheme="minorEastAsia"/>
          <w:highlight w:val="none"/>
        </w:rPr>
        <w:t>综合考核得分由餐饮服务日常监管考核评分与职工满意度得分两部分组成，餐饮服务日常监管考核评分总分100分占比70%，食堂与管理人员每月不定期进行</w:t>
      </w:r>
      <w:r>
        <w:rPr>
          <w:rFonts w:hint="eastAsia" w:cs="仿宋" w:asciiTheme="minorEastAsia" w:hAnsiTheme="minorEastAsia" w:eastAsiaTheme="minorEastAsia"/>
          <w:highlight w:val="none"/>
          <w:lang w:eastAsia="zh-CN"/>
        </w:rPr>
        <w:t>一</w:t>
      </w:r>
      <w:r>
        <w:rPr>
          <w:rFonts w:hint="eastAsia" w:cs="仿宋" w:asciiTheme="minorEastAsia" w:hAnsiTheme="minorEastAsia" w:eastAsiaTheme="minorEastAsia"/>
          <w:highlight w:val="none"/>
        </w:rPr>
        <w:t>次检查，每次检查后给以打分，每月最后一日将本月考评表交到办公室</w:t>
      </w:r>
      <w:r>
        <w:rPr>
          <w:rFonts w:hint="eastAsia" w:cs="仿宋" w:asciiTheme="minorEastAsia" w:hAnsiTheme="minorEastAsia" w:eastAsiaTheme="minorEastAsia"/>
          <w:highlight w:val="none"/>
          <w:lang w:eastAsia="zh-CN"/>
        </w:rPr>
        <w:t>，</w:t>
      </w:r>
      <w:r>
        <w:rPr>
          <w:rFonts w:hint="eastAsia" w:cs="仿宋" w:asciiTheme="minorEastAsia" w:hAnsiTheme="minorEastAsia" w:eastAsiaTheme="minorEastAsia"/>
          <w:highlight w:val="none"/>
          <w:lang w:val="en-US" w:eastAsia="zh-CN"/>
        </w:rPr>
        <w:t>最后按季进行考核</w:t>
      </w:r>
      <w:r>
        <w:rPr>
          <w:rFonts w:hint="eastAsia" w:cs="仿宋" w:asciiTheme="minorEastAsia" w:hAnsiTheme="minorEastAsia" w:eastAsiaTheme="minorEastAsia"/>
          <w:highlight w:val="none"/>
        </w:rPr>
        <w:t>。职工满意度总分100分占比30%，每季度职工满意度打分一次。具体打分表见附表。</w:t>
      </w:r>
    </w:p>
    <w:p>
      <w:pPr>
        <w:adjustRightInd w:val="0"/>
        <w:snapToGrid w:val="0"/>
        <w:spacing w:line="360" w:lineRule="auto"/>
        <w:ind w:firstLine="602" w:firstLineChars="250"/>
        <w:rPr>
          <w:rFonts w:ascii="宋体" w:hAnsi="宋体" w:cs="宋体"/>
          <w:b/>
          <w:color w:val="auto"/>
          <w:sz w:val="24"/>
          <w:highlight w:val="none"/>
        </w:rPr>
      </w:pPr>
      <w:r>
        <w:rPr>
          <w:rFonts w:hint="eastAsia" w:ascii="宋体" w:hAnsi="宋体" w:cs="宋体"/>
          <w:b/>
          <w:color w:val="auto"/>
          <w:sz w:val="24"/>
          <w:highlight w:val="none"/>
        </w:rPr>
        <w:t>附1《餐饮服务日常监管考核评分表》</w:t>
      </w:r>
    </w:p>
    <w:tbl>
      <w:tblPr>
        <w:tblStyle w:val="12"/>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5"/>
        <w:gridCol w:w="676"/>
        <w:gridCol w:w="6038"/>
        <w:gridCol w:w="543"/>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tblHeader/>
          <w:jc w:val="center"/>
        </w:trPr>
        <w:tc>
          <w:tcPr>
            <w:tcW w:w="1341" w:type="dxa"/>
            <w:gridSpan w:val="2"/>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评分内容</w:t>
            </w:r>
          </w:p>
        </w:tc>
        <w:tc>
          <w:tcPr>
            <w:tcW w:w="6038"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评分标准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分值</w:t>
            </w:r>
          </w:p>
        </w:tc>
        <w:tc>
          <w:tcPr>
            <w:tcW w:w="567" w:type="dxa"/>
            <w:noWrap w:val="0"/>
            <w:vAlign w:val="top"/>
          </w:tcPr>
          <w:p>
            <w:pPr>
              <w:widowControl/>
              <w:adjustRightInd w:val="0"/>
              <w:snapToGrid w:val="0"/>
              <w:jc w:val="center"/>
              <w:textAlignment w:val="center"/>
              <w:rPr>
                <w:rFonts w:ascii="仿宋" w:hAnsi="仿宋" w:eastAsia="仿宋" w:cs="微软雅黑"/>
                <w:color w:val="auto"/>
                <w:kern w:val="0"/>
                <w:sz w:val="24"/>
                <w:highlight w:val="none"/>
                <w:lang w:bidi="ar"/>
              </w:rPr>
            </w:pPr>
          </w:p>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val="en-US" w:eastAsia="zh-CN" w:bidi="ar"/>
              </w:rPr>
              <w:t>扣分</w:t>
            </w:r>
          </w:p>
        </w:tc>
        <w:tc>
          <w:tcPr>
            <w:tcW w:w="1134"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扣分说明（时间、扣分原因）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基础</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管理</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18分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组织</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架构</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和规</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范</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组织架构按标书承诺配置，组织架构调整或人员增减，应先报备情况，以不影响经营和服务质量为原则。</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如需更替人员，要征得甲方管理人员同意并应在约定时间内完成。</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建立健全各项管理制度（经营、仓储、员工奖罚等），制订各岗位职责和考核标准。</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建立内部沟通机制，定期组织会议（班组会每周一次；全员会议每周一次）。</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培训</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制订培训计划，做好培训记录。</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素质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团队及个人都应自觉维护形象，遵守甲方的相关规定和纪律。员工不得私自吃、拿甲方的物品或者食材。</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11</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员工应每年体检，持有健康证。</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员工上岗前应掌握必备的职业技能和职业道德素质，熟练操作、文明礼貌。</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注重个人卫生是每个员工的必备素养。工作中保持服装干净，不披散头发、不涂指甲油、不留长指甲，不戴首饰。</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员工应按要求着装，并佩戴工帽、口罩、手套、工号牌等。</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工作时间，不做与本职工作无关的事情。</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应急</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管理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针对突发事件（水、电、气、消防）建立应急预案和台账，并组织培训、演习，面临突发事件及时通知相关部门并采取相应措施。</w:t>
            </w:r>
          </w:p>
        </w:tc>
        <w:tc>
          <w:tcPr>
            <w:tcW w:w="543"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eastAsia="zh-CN" w:bidi="ar"/>
              </w:rPr>
            </w:pPr>
            <w:r>
              <w:rPr>
                <w:rFonts w:hint="eastAsia" w:ascii="仿宋" w:hAnsi="仿宋" w:eastAsia="仿宋" w:cs="微软雅黑"/>
                <w:color w:val="auto"/>
                <w:kern w:val="0"/>
                <w:sz w:val="24"/>
                <w:highlight w:val="none"/>
                <w:lang w:val="en-US" w:eastAsia="zh-CN"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hint="default" w:ascii="仿宋" w:hAnsi="仿宋" w:eastAsia="仿宋" w:cs="微软雅黑"/>
                <w:color w:val="auto"/>
                <w:kern w:val="0"/>
                <w:sz w:val="24"/>
                <w:highlight w:val="none"/>
                <w:lang w:val="en-US" w:eastAsia="zh-CN" w:bidi="ar"/>
              </w:rPr>
            </w:pPr>
            <w:r>
              <w:rPr>
                <w:rFonts w:hint="eastAsia" w:ascii="仿宋" w:hAnsi="仿宋" w:eastAsia="仿宋" w:cs="微软雅黑"/>
                <w:color w:val="auto"/>
                <w:kern w:val="0"/>
                <w:sz w:val="24"/>
                <w:highlight w:val="none"/>
                <w:lang w:val="en-US" w:eastAsia="zh-CN" w:bidi="ar"/>
              </w:rPr>
              <w:t>符合采购人提出要求的响应效率，按招标文件要求做好临时检查应对。</w:t>
            </w:r>
          </w:p>
        </w:tc>
        <w:tc>
          <w:tcPr>
            <w:tcW w:w="543"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val="en-US" w:eastAsia="zh-CN" w:bidi="ar"/>
              </w:rPr>
            </w:pPr>
            <w:r>
              <w:rPr>
                <w:rFonts w:hint="eastAsia" w:ascii="仿宋" w:hAnsi="仿宋" w:eastAsia="仿宋" w:cs="微软雅黑"/>
                <w:color w:val="auto"/>
                <w:kern w:val="0"/>
                <w:sz w:val="24"/>
                <w:highlight w:val="none"/>
                <w:lang w:val="en-US" w:eastAsia="zh-CN" w:bidi="ar"/>
              </w:rPr>
              <w:t>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和服</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务质</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量9</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菜品研发及品质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定期做好新菜品的研发及推出，</w:t>
            </w:r>
            <w:r>
              <w:rPr>
                <w:rFonts w:hint="eastAsia" w:ascii="仿宋" w:hAnsi="仿宋" w:eastAsia="仿宋" w:cs="微软雅黑"/>
                <w:color w:val="auto"/>
                <w:kern w:val="0"/>
                <w:sz w:val="24"/>
                <w:highlight w:val="none"/>
                <w:lang w:val="en-US" w:eastAsia="zh-CN" w:bidi="ar"/>
              </w:rPr>
              <w:t>每周至少推出1个新菜品，</w:t>
            </w:r>
            <w:r>
              <w:rPr>
                <w:rFonts w:hint="eastAsia" w:ascii="仿宋" w:hAnsi="仿宋" w:eastAsia="仿宋" w:cs="微软雅黑"/>
                <w:color w:val="auto"/>
                <w:kern w:val="0"/>
                <w:sz w:val="24"/>
                <w:highlight w:val="none"/>
                <w:lang w:bidi="ar"/>
              </w:rPr>
              <w:t>并做好记录。</w:t>
            </w:r>
            <w:r>
              <w:rPr>
                <w:rFonts w:hint="eastAsia" w:ascii="仿宋" w:hAnsi="仿宋" w:eastAsia="仿宋" w:cs="微软雅黑"/>
                <w:color w:val="auto"/>
                <w:kern w:val="0"/>
                <w:sz w:val="24"/>
                <w:highlight w:val="none"/>
                <w:lang w:val="en-US" w:eastAsia="zh-CN" w:bidi="ar"/>
              </w:rPr>
              <w:t>每天同类菜品不重复；两</w:t>
            </w:r>
            <w:r>
              <w:rPr>
                <w:rFonts w:hint="eastAsia" w:ascii="仿宋" w:hAnsi="仿宋" w:eastAsia="仿宋" w:cs="微软雅黑"/>
                <w:color w:val="auto"/>
                <w:kern w:val="0"/>
                <w:sz w:val="24"/>
                <w:highlight w:val="none"/>
                <w:lang w:bidi="ar"/>
              </w:rPr>
              <w:t>周内，菜品保持</w:t>
            </w:r>
            <w:r>
              <w:rPr>
                <w:rFonts w:hint="eastAsia" w:ascii="仿宋" w:hAnsi="仿宋" w:eastAsia="仿宋" w:cs="微软雅黑"/>
                <w:color w:val="auto"/>
                <w:kern w:val="0"/>
                <w:sz w:val="24"/>
                <w:highlight w:val="none"/>
                <w:lang w:val="en-US" w:eastAsia="zh-CN" w:bidi="ar"/>
              </w:rPr>
              <w:t>5</w:t>
            </w:r>
            <w:r>
              <w:rPr>
                <w:rFonts w:hint="eastAsia" w:ascii="仿宋" w:hAnsi="仿宋" w:eastAsia="仿宋" w:cs="微软雅黑"/>
                <w:color w:val="auto"/>
                <w:kern w:val="0"/>
                <w:sz w:val="24"/>
                <w:highlight w:val="none"/>
                <w:lang w:bidi="ar"/>
              </w:rPr>
              <w:t>0%</w:t>
            </w:r>
            <w:r>
              <w:rPr>
                <w:rFonts w:hint="eastAsia" w:ascii="仿宋" w:hAnsi="仿宋" w:eastAsia="仿宋" w:cs="微软雅黑"/>
                <w:color w:val="auto"/>
                <w:kern w:val="0"/>
                <w:sz w:val="24"/>
                <w:highlight w:val="none"/>
                <w:lang w:val="en-US" w:eastAsia="zh-CN" w:bidi="ar"/>
              </w:rPr>
              <w:t>样式</w:t>
            </w:r>
            <w:r>
              <w:rPr>
                <w:rFonts w:hint="eastAsia" w:ascii="仿宋" w:hAnsi="仿宋" w:eastAsia="仿宋" w:cs="微软雅黑"/>
                <w:color w:val="auto"/>
                <w:kern w:val="0"/>
                <w:sz w:val="24"/>
                <w:highlight w:val="none"/>
                <w:lang w:bidi="ar"/>
              </w:rPr>
              <w:t>不重样。</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7</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确保食物出品检验合格。每餐菜品必须留样48小时待查。</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餐厅</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服务</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品质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主动热情，尽职尽责，耐心周到，文明礼貌，服务品质达到三星以上标准。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jc w:val="center"/>
        </w:trPr>
        <w:tc>
          <w:tcPr>
            <w:tcW w:w="665" w:type="dxa"/>
            <w:vMerge w:val="restart"/>
            <w:tcBorders>
              <w:bottom w:val="single" w:color="auto" w:sz="4" w:space="0"/>
            </w:tcBorders>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经济</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指标</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考核</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13分</w:t>
            </w:r>
          </w:p>
        </w:tc>
        <w:tc>
          <w:tcPr>
            <w:tcW w:w="676" w:type="dxa"/>
            <w:vMerge w:val="restart"/>
            <w:tcBorders>
              <w:bottom w:val="single" w:color="auto" w:sz="4" w:space="0"/>
            </w:tcBorders>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原材</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料及低值易耗品</w:t>
            </w:r>
          </w:p>
        </w:tc>
        <w:tc>
          <w:tcPr>
            <w:tcW w:w="6038" w:type="dxa"/>
            <w:tcBorders>
              <w:bottom w:val="single" w:color="auto" w:sz="4" w:space="0"/>
            </w:tcBorders>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按采购付款的金额和数量（三方核实后）进行填报，采购单和入库要一致。</w:t>
            </w:r>
          </w:p>
        </w:tc>
        <w:tc>
          <w:tcPr>
            <w:tcW w:w="543" w:type="dxa"/>
            <w:vMerge w:val="restart"/>
            <w:tcBorders>
              <w:bottom w:val="single" w:color="auto" w:sz="4" w:space="0"/>
            </w:tcBorders>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tcBorders>
              <w:bottom w:val="single" w:color="auto" w:sz="4" w:space="0"/>
            </w:tcBorders>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tcBorders>
              <w:bottom w:val="single" w:color="auto" w:sz="4" w:space="0"/>
            </w:tcBorders>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合理制定原材料和采购计划，满足生产需求且不浪费；不出现以下情形；不合理的零散采购、生鲜类当日采购结余过多、库存足量仍采购等。</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 xml:space="preserve">杜绝不符合采购要求的原材料入库。原料要隔墙离地、分类分架、生熟分开、易腐败食品要冷藏。 </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明确物料采购与管理的三方责任，出入库均应有相应责任人的签字确认。</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节能</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减排</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用电量、用水量、用气量根据实际用量做每月分析，与上年度同月份进行综合对比，提出相应节能减排措施，并能有效落实。</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空调使用符合节能减排的要求，设定合理温度，开启时应关闭窗户。</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电灯使用符合节能减排要求，营业结束时关闭。</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财务</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统计</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配合</w:t>
            </w:r>
            <w:r>
              <w:rPr>
                <w:rFonts w:hint="eastAsia" w:ascii="仿宋" w:hAnsi="仿宋" w:eastAsia="仿宋" w:cs="微软雅黑"/>
                <w:color w:val="auto"/>
                <w:kern w:val="0"/>
                <w:sz w:val="24"/>
                <w:highlight w:val="none"/>
                <w:lang w:eastAsia="zh-CN" w:bidi="ar"/>
              </w:rPr>
              <w:t>采购人</w:t>
            </w:r>
            <w:r>
              <w:rPr>
                <w:rFonts w:hint="eastAsia" w:ascii="仿宋" w:hAnsi="仿宋" w:eastAsia="仿宋" w:cs="微软雅黑"/>
                <w:color w:val="auto"/>
                <w:kern w:val="0"/>
                <w:sz w:val="24"/>
                <w:highlight w:val="none"/>
                <w:lang w:bidi="ar"/>
              </w:rPr>
              <w:t>建立合理的价格体系，保障盈亏平衡。</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6</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每日经营情况要求日清月结，账目清晰。</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生产费用按需申报，不应先产生再核销，严禁自行采购。</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疫情防控安全、食品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安全和消防安全1</w:t>
            </w:r>
            <w:r>
              <w:rPr>
                <w:rFonts w:ascii="仿宋" w:hAnsi="仿宋" w:eastAsia="仿宋" w:cs="微软雅黑"/>
                <w:color w:val="auto"/>
                <w:kern w:val="0"/>
                <w:sz w:val="24"/>
                <w:highlight w:val="none"/>
                <w:lang w:bidi="ar"/>
              </w:rPr>
              <w:t>5</w:t>
            </w:r>
            <w:r>
              <w:rPr>
                <w:rFonts w:hint="eastAsia" w:ascii="仿宋" w:hAnsi="仿宋" w:eastAsia="仿宋" w:cs="微软雅黑"/>
                <w:color w:val="auto"/>
                <w:kern w:val="0"/>
                <w:sz w:val="24"/>
                <w:highlight w:val="none"/>
                <w:lang w:bidi="ar"/>
              </w:rPr>
              <w:t>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原材料储存</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按不同种类，区分常温、冷藏和冷冻，干货、调料、各类生鲜原材料，根据原材料保存要求使用不同箱框，进行分区存放。</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明确仓库中每一种原材料的入库和使用期限，先进先出。厨房、餐厅、库房内无私人物品，无有毒有害物品及杂物。操作间、粮库等房间要专室专用，不得存放其它物品。</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成品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半成品储存</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食物成品、半成品（含洗切后的原材料)隔夜存放，需密封后放进冷柜或冷库，分区存放。</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食物成品、半成品（含洗切后的原材料)短时存放，需做防尘措施（加盖、保鲜膜等），并分开存放。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禁限</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规定</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限用相关食品调料。</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厨房</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设施设备安全管理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建立厨房设施设备台账，按设备登记表定期进行检查和记录，按规定进行维修和保养，确保安全。</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定期进行电路检查和记录，排除隐患。</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每日生产后进行岗位消防自查（水、电）消除消防隐患。</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消防安全管理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消防通道不得作其他用途，不得堆放杂物。</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消防设备要定点摆放，不得随意移动，或做其他用途。</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疫情防控安全</w:t>
            </w:r>
          </w:p>
        </w:tc>
        <w:tc>
          <w:tcPr>
            <w:tcW w:w="6038" w:type="dxa"/>
            <w:noWrap w:val="0"/>
            <w:vAlign w:val="center"/>
          </w:tcPr>
          <w:p>
            <w:pPr>
              <w:widowControl/>
              <w:adjustRightInd w:val="0"/>
              <w:snapToGrid w:val="0"/>
              <w:jc w:val="left"/>
              <w:textAlignment w:val="center"/>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val="en-US" w:eastAsia="zh-CN" w:bidi="ar"/>
              </w:rPr>
              <w:t>如遇流行性疾病爆发，需</w:t>
            </w:r>
            <w:r>
              <w:rPr>
                <w:rFonts w:hint="eastAsia" w:ascii="仿宋" w:hAnsi="仿宋" w:eastAsia="仿宋" w:cs="微软雅黑"/>
                <w:color w:val="auto"/>
                <w:kern w:val="0"/>
                <w:sz w:val="24"/>
                <w:highlight w:val="none"/>
                <w:lang w:bidi="ar"/>
              </w:rPr>
              <w:t>制定人员疫情管控措施，制定每天上班人员测温登记、场地消毒等疫情防控制度。</w:t>
            </w:r>
          </w:p>
        </w:tc>
        <w:tc>
          <w:tcPr>
            <w:tcW w:w="543"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安全意识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发现消防隐患，要及时上报、及时处理、及时整改。</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向每位员工普及消防知识和消防器材使用方法，每位员工应掌握80%以上消防知识。</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每年进行一次全员消防模拟演习或专题培训，应至少有90%以上的员工参与。</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清洁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卫生16分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厅</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用餐前搞好餐前卫生工作，保持餐厅环境整洁，保证餐具部件等清洁完好，了解每餐客人预订和桌位安排情况。</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用餐后卫生清洁及下一餐的餐前准备。</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营业结束后关闭包厢，锁好门窗。</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后厨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洗菜筐、食物器皿、砧板、刀具等用完即时清理并按指定位置摆放有序，以供分类使用。</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ascii="仿宋" w:hAnsi="仿宋" w:eastAsia="仿宋" w:cs="微软雅黑"/>
                <w:color w:val="auto"/>
                <w:kern w:val="0"/>
                <w:sz w:val="24"/>
                <w:highlight w:val="none"/>
                <w:lang w:bidi="ar"/>
              </w:rPr>
              <w:t>10</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卫生工具用完要即时清洗，并按指定位置摆放有序，以供分类使用。</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定点堆放垃圾，垃圾做相应密封处理（扎袋子、加盖）。</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每日疏通清理排水沟，每周两次大扫除。</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各操作间相应工作完成后，即时打扫，保持“一干三关”：地面干，门、窗、水电气关；每周进行大扫除，清理卫生死角。</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未经许可，外部人员不得进入厨房；相关工作人员进入厨房要按规定着装。</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冷藏、冷冻柜和库每周进行除霜，定期消毒、除臭，每日清洁、整理，无血水、无冰渣，并记录当日运行温度。门窗、地面、货架清洁整齐、无蝇无鼠，无蟑螂。</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仓库</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各常温（干货、调料）仓库，按标线摆放物品，每日清点和整理，保持整洁干净，无安全隐患。</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垃圾</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处理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厨余垃圾和泔水走相应的通道进入定点堆放处。</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做好垃圾分类且垃圾必须当日清运，避免产生异味。</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厨房</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精细化管理25分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切配</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原材料要走相应通道，进入切配间。</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7.5</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蔬菜、肉类要进行分区清洗。</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粗加工工序：一摘二洗三浸泡四清五切，抽样或普检无泥沙及异物。</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蔬菜、肉类要使用不同的砧板和刀具。</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洗净蔬菜、肉类要按规定使用不同器具盛放。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面食</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面食间用具要和其他操作间用具分开。</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4.5</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馅料类半成品要按规定密封，和其他原材料分开存放。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生、熟食品进行分区存放。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灶台</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调料按指定区域存放，拆封调料隔夜存放要进行密封处理（加盖或保鲜膜）。</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 xml:space="preserve">操作期间保持灶台整洁清洁、无油垢，炉台水沟每餐要清洁干净，地面无泥水， </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制作菜肴符合健康饮食要求，低盐低油，不加工变质食品。</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冷菜</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间、水果间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室温控制在22度以下。</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4.5</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人进入冷菜间要进行二次洗手、消毒，并更衣。</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冷菜间制作要求：五专原则--专人、专室、专用工具、专用消毒设备、专用冷藏设备。</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洗碗</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餐具按规定分区进行清洁。</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餐具洗消要求：一刮二刷三冲四消五保洁，抽检或普检，干净合格。</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半成品和成品器皿的洗消要求：一刮二刷三冲四消五保洁，抽检或普检干净合格。</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各餐具按标识摆放区域进行存放，并做防尘处理，避免二次污染。</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餐厅形象和</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投诉4分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定期巡检前厅各处及门、窗、餐椅等，餐桌椅和物品摆放整齐干净，如发现问题及时报修或采取相应措施。</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不得在任何墙体、桌面等明显的地方张贴纸张。</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危及人身安全的区域要设置明显标志，并有防范措施。做好危险警告标志及防范措施。</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甲方接到重要投诉。</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合计</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备注：</w:t>
            </w:r>
            <w:r>
              <w:rPr>
                <w:rFonts w:hint="eastAsia" w:ascii="仿宋" w:hAnsi="仿宋" w:eastAsia="仿宋" w:cs="微软雅黑"/>
                <w:color w:val="auto"/>
                <w:kern w:val="0"/>
                <w:sz w:val="24"/>
                <w:highlight w:val="none"/>
                <w:lang w:val="en-US" w:eastAsia="zh-CN" w:bidi="ar"/>
              </w:rPr>
              <w:t>本考核采取倒扣模式，从100分起扣，</w:t>
            </w:r>
            <w:r>
              <w:rPr>
                <w:rFonts w:hint="eastAsia" w:ascii="仿宋" w:hAnsi="仿宋" w:eastAsia="仿宋" w:cs="微软雅黑"/>
                <w:color w:val="auto"/>
                <w:kern w:val="0"/>
                <w:sz w:val="24"/>
                <w:highlight w:val="none"/>
                <w:lang w:bidi="ar"/>
              </w:rPr>
              <w:t>同一扣分点出现问题，可重复扣分，直至该模块分值扣完为止。</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100</w:t>
            </w:r>
          </w:p>
        </w:tc>
        <w:tc>
          <w:tcPr>
            <w:tcW w:w="567" w:type="dxa"/>
            <w:noWrap w:val="0"/>
            <w:vAlign w:val="top"/>
          </w:tcPr>
          <w:p>
            <w:pPr>
              <w:widowControl/>
              <w:adjustRightInd w:val="0"/>
              <w:snapToGrid w:val="0"/>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加减分项</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食堂经营范围内的服务，委托方收到用餐人的表扬，每次加1分。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经营范围外的行为（如见义勇为、拾金不昧），委托方收到用餐人的表扬，每次加2分。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本项目得到市级以上的荣誉，每次加5分。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菜品中有石子、叶菜有菜虫、头发扣1分。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菜品中有苍蝇，飞虫类扣2分。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菜品中有铁丝、烟头、创可贴、蟑螂等异物，扣5分。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 w:hRule="atLeast"/>
          <w:jc w:val="center"/>
        </w:trPr>
        <w:tc>
          <w:tcPr>
            <w:tcW w:w="1341" w:type="dxa"/>
            <w:gridSpan w:val="2"/>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总计</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备注：加减分项，同一加分或扣分点可累计加减分，最高可加10分，最高可减20</w:t>
            </w:r>
            <w:r>
              <w:rPr>
                <w:rFonts w:hint="eastAsia" w:ascii="仿宋" w:hAnsi="仿宋" w:eastAsia="仿宋" w:cs="微软雅黑"/>
                <w:color w:val="auto"/>
                <w:kern w:val="0"/>
                <w:sz w:val="24"/>
                <w:highlight w:val="none"/>
                <w:lang w:val="en-US" w:eastAsia="zh-CN" w:bidi="ar"/>
              </w:rPr>
              <w:t>分</w:t>
            </w:r>
            <w:r>
              <w:rPr>
                <w:rFonts w:hint="eastAsia" w:ascii="仿宋" w:hAnsi="仿宋" w:eastAsia="仿宋" w:cs="微软雅黑"/>
                <w:color w:val="auto"/>
                <w:kern w:val="0"/>
                <w:sz w:val="24"/>
                <w:highlight w:val="none"/>
                <w:lang w:bidi="ar"/>
              </w:rPr>
              <w:t>。</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bl>
    <w:p>
      <w:pPr>
        <w:adjustRightInd w:val="0"/>
        <w:snapToGrid w:val="0"/>
        <w:spacing w:line="360" w:lineRule="auto"/>
        <w:ind w:firstLine="602" w:firstLineChars="250"/>
        <w:rPr>
          <w:rFonts w:hint="eastAsia" w:ascii="宋体" w:hAnsi="宋体" w:cs="宋体"/>
          <w:b/>
          <w:color w:val="auto"/>
          <w:sz w:val="24"/>
          <w:highlight w:val="none"/>
        </w:rPr>
      </w:pPr>
    </w:p>
    <w:p>
      <w:pPr>
        <w:adjustRightInd w:val="0"/>
        <w:snapToGrid w:val="0"/>
        <w:spacing w:line="360" w:lineRule="auto"/>
        <w:ind w:firstLine="602" w:firstLineChars="250"/>
        <w:rPr>
          <w:rFonts w:ascii="宋体" w:hAnsi="宋体" w:cs="宋体"/>
          <w:b/>
          <w:color w:val="auto"/>
          <w:sz w:val="24"/>
          <w:highlight w:val="none"/>
        </w:rPr>
      </w:pPr>
      <w:r>
        <w:rPr>
          <w:rFonts w:hint="eastAsia" w:ascii="宋体" w:hAnsi="宋体" w:cs="宋体"/>
          <w:b/>
          <w:color w:val="auto"/>
          <w:sz w:val="24"/>
          <w:highlight w:val="none"/>
        </w:rPr>
        <w:t>附件2：职工满意度调查表</w:t>
      </w:r>
    </w:p>
    <w:p>
      <w:pPr>
        <w:pStyle w:val="2"/>
        <w:spacing w:line="500" w:lineRule="exact"/>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您好！您的满意是我们的追求！为使我们所提供的产品和服务能更好地满足您和其他就餐员工的需求，感谢您能配合我们进行此次就餐员工满意度调查！请根据您的意见填写在意见栏中打上“√”。</w:t>
      </w:r>
    </w:p>
    <w:p>
      <w:pPr>
        <w:pStyle w:val="2"/>
        <w:spacing w:line="240" w:lineRule="exact"/>
        <w:ind w:firstLine="480" w:firstLineChars="200"/>
        <w:rPr>
          <w:rFonts w:ascii="仿宋" w:hAnsi="仿宋" w:eastAsia="仿宋"/>
          <w:color w:val="auto"/>
          <w:szCs w:val="28"/>
          <w:highlight w:val="none"/>
        </w:rPr>
      </w:pPr>
    </w:p>
    <w:p>
      <w:pPr>
        <w:rPr>
          <w:rFonts w:ascii="仿宋" w:hAnsi="仿宋" w:eastAsia="仿宋"/>
          <w:color w:val="auto"/>
          <w:sz w:val="28"/>
          <w:szCs w:val="28"/>
          <w:highlight w:val="none"/>
        </w:rPr>
      </w:pPr>
      <w:r>
        <w:rPr>
          <w:rFonts w:hint="eastAsia" w:ascii="仿宋" w:hAnsi="仿宋" w:eastAsia="仿宋"/>
          <w:color w:val="auto"/>
          <w:sz w:val="28"/>
          <w:szCs w:val="28"/>
          <w:highlight w:val="none"/>
        </w:rPr>
        <w:t>身份：在职职工□   退休职工□     派遣人员□        其他□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787"/>
        <w:gridCol w:w="789"/>
        <w:gridCol w:w="789"/>
        <w:gridCol w:w="789"/>
        <w:gridCol w:w="78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958" w:type="dxa"/>
            <w:tcBorders>
              <w:tl2br w:val="single" w:color="auto" w:sz="4" w:space="0"/>
            </w:tcBorders>
            <w:noWrap w:val="0"/>
            <w:vAlign w:val="center"/>
          </w:tcPr>
          <w:p>
            <w:pPr>
              <w:adjustRightInd w:val="0"/>
              <w:snapToGrid w:val="0"/>
              <w:ind w:firstLine="54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意见栏</w:t>
            </w:r>
          </w:p>
          <w:p>
            <w:pPr>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调查项目</w:t>
            </w:r>
          </w:p>
        </w:tc>
        <w:tc>
          <w:tcPr>
            <w:tcW w:w="787"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非常</w:t>
            </w:r>
          </w:p>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比较</w:t>
            </w:r>
          </w:p>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基本满意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不</w:t>
            </w:r>
          </w:p>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很不满意</w:t>
            </w:r>
          </w:p>
        </w:tc>
        <w:tc>
          <w:tcPr>
            <w:tcW w:w="2670"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1、对餐厅总体评价</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2、菜肴卫生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3、餐具(碗筷)卫生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4、餐厅卫生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5、员工卫生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6、菜肴品种</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7、菜肴口味</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8、菜肴份量</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9、员工服务态度</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10、就餐环境</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bl>
    <w:p>
      <w:pPr>
        <w:rPr>
          <w:rFonts w:hint="eastAsia" w:ascii="仿宋" w:hAnsi="仿宋" w:eastAsia="仿宋"/>
          <w:color w:val="auto"/>
          <w:sz w:val="28"/>
          <w:szCs w:val="28"/>
          <w:highlight w:val="none"/>
        </w:rPr>
      </w:pPr>
    </w:p>
    <w:p>
      <w:pPr>
        <w:rPr>
          <w:rFonts w:ascii="仿宋" w:hAnsi="仿宋" w:eastAsia="仿宋"/>
          <w:color w:val="auto"/>
          <w:sz w:val="24"/>
          <w:highlight w:val="none"/>
        </w:rPr>
      </w:pPr>
      <w:r>
        <w:rPr>
          <w:rFonts w:hint="eastAsia" w:ascii="仿宋" w:hAnsi="仿宋" w:eastAsia="仿宋"/>
          <w:color w:val="auto"/>
          <w:sz w:val="24"/>
          <w:highlight w:val="none"/>
        </w:rPr>
        <w:t>姓名：                   联系电话：</w:t>
      </w:r>
    </w:p>
    <w:p>
      <w:pPr>
        <w:adjustRightInd w:val="0"/>
        <w:snapToGrid w:val="0"/>
        <w:spacing w:line="360" w:lineRule="auto"/>
        <w:rPr>
          <w:rFonts w:hint="eastAsia" w:ascii="仿宋" w:hAnsi="仿宋" w:eastAsia="仿宋" w:cs="微软雅黑"/>
          <w:color w:val="auto"/>
          <w:kern w:val="0"/>
          <w:sz w:val="24"/>
          <w:highlight w:val="none"/>
          <w:lang w:bidi="ar"/>
        </w:rPr>
      </w:pPr>
    </w:p>
    <w:p>
      <w:pPr>
        <w:adjustRightInd w:val="0"/>
        <w:snapToGrid w:val="0"/>
        <w:spacing w:line="360" w:lineRule="auto"/>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 满意度测评总分100分，每</w:t>
      </w:r>
      <w:r>
        <w:rPr>
          <w:rFonts w:hint="eastAsia" w:ascii="仿宋" w:hAnsi="仿宋" w:eastAsia="仿宋" w:cs="微软雅黑"/>
          <w:color w:val="auto"/>
          <w:kern w:val="0"/>
          <w:sz w:val="24"/>
          <w:highlight w:val="none"/>
          <w:lang w:val="en-US" w:eastAsia="zh-CN" w:bidi="ar"/>
        </w:rPr>
        <w:t>季度</w:t>
      </w:r>
      <w:r>
        <w:rPr>
          <w:rFonts w:hint="eastAsia" w:ascii="仿宋" w:hAnsi="仿宋" w:eastAsia="仿宋" w:cs="微软雅黑"/>
          <w:color w:val="auto"/>
          <w:kern w:val="0"/>
          <w:sz w:val="24"/>
          <w:highlight w:val="none"/>
          <w:lang w:bidi="ar"/>
        </w:rPr>
        <w:t>职工满意度打分一次。（计分标准：非常满意10分，每降1级减少2分）</w:t>
      </w:r>
    </w:p>
    <w:p>
      <w:pPr>
        <w:rPr>
          <w:color w:val="auto"/>
          <w:highlight w:val="none"/>
        </w:rPr>
      </w:pPr>
      <w:r>
        <w:rPr>
          <w:rFonts w:hint="eastAsia" w:ascii="仿宋" w:hAnsi="仿宋" w:eastAsia="仿宋" w:cs="微软雅黑"/>
          <w:color w:val="auto"/>
          <w:kern w:val="0"/>
          <w:sz w:val="24"/>
          <w:highlight w:val="none"/>
          <w:lang w:bidi="ar"/>
        </w:rPr>
        <w:t>2. 本项考评占比30%。</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17" w:name="_Toc184313308"/>
      <w:bookmarkEnd w:id="17"/>
      <w:bookmarkStart w:id="18" w:name="_Toc184312097"/>
      <w:bookmarkEnd w:id="18"/>
      <w:bookmarkStart w:id="19" w:name="_Toc184310333"/>
      <w:bookmarkEnd w:id="19"/>
      <w:bookmarkStart w:id="20" w:name="_Toc184313280"/>
      <w:bookmarkEnd w:id="20"/>
      <w:bookmarkStart w:id="21" w:name="_Toc184310342"/>
      <w:bookmarkEnd w:id="21"/>
      <w:bookmarkStart w:id="22" w:name="_Toc184310337"/>
      <w:bookmarkEnd w:id="22"/>
      <w:bookmarkStart w:id="23" w:name="_Toc184308039"/>
      <w:bookmarkEnd w:id="23"/>
      <w:bookmarkStart w:id="24" w:name="_Toc184308065"/>
      <w:bookmarkEnd w:id="24"/>
      <w:bookmarkStart w:id="25" w:name="_Toc184312071"/>
      <w:bookmarkEnd w:id="25"/>
      <w:bookmarkStart w:id="26" w:name="_Toc184312127"/>
      <w:bookmarkEnd w:id="26"/>
      <w:bookmarkStart w:id="27" w:name="_Toc184310309"/>
      <w:bookmarkEnd w:id="27"/>
      <w:bookmarkStart w:id="28" w:name="_Toc184313259"/>
      <w:bookmarkEnd w:id="28"/>
      <w:bookmarkStart w:id="29" w:name="_Toc184313310"/>
      <w:bookmarkEnd w:id="29"/>
      <w:bookmarkStart w:id="30" w:name="_Toc184312136"/>
      <w:bookmarkEnd w:id="30"/>
      <w:bookmarkStart w:id="31" w:name="_Toc184314452"/>
      <w:bookmarkEnd w:id="31"/>
      <w:bookmarkStart w:id="32" w:name="_Toc184310340"/>
      <w:bookmarkEnd w:id="32"/>
      <w:bookmarkStart w:id="33" w:name="_Toc184313287"/>
      <w:bookmarkEnd w:id="33"/>
      <w:bookmarkStart w:id="34" w:name="_Toc184310325"/>
      <w:bookmarkEnd w:id="34"/>
      <w:bookmarkStart w:id="35" w:name="_Toc184310294"/>
      <w:bookmarkEnd w:id="35"/>
      <w:bookmarkStart w:id="36" w:name="_Toc184314450"/>
      <w:bookmarkEnd w:id="36"/>
      <w:bookmarkStart w:id="37" w:name="_Toc184314437"/>
      <w:bookmarkEnd w:id="37"/>
      <w:bookmarkStart w:id="38" w:name="_Toc184308070"/>
      <w:bookmarkEnd w:id="38"/>
      <w:bookmarkStart w:id="39" w:name="_Toc184313304"/>
      <w:bookmarkEnd w:id="39"/>
      <w:bookmarkStart w:id="40" w:name="_Toc184314417"/>
      <w:bookmarkEnd w:id="40"/>
      <w:bookmarkStart w:id="41" w:name="_Toc184312075"/>
      <w:bookmarkEnd w:id="41"/>
      <w:bookmarkStart w:id="42" w:name="_Toc184312105"/>
      <w:bookmarkEnd w:id="42"/>
      <w:bookmarkStart w:id="43" w:name="_Toc184314482"/>
      <w:bookmarkEnd w:id="43"/>
      <w:bookmarkStart w:id="44" w:name="_Toc184308066"/>
      <w:bookmarkEnd w:id="44"/>
      <w:bookmarkStart w:id="45" w:name="_Toc184310291"/>
      <w:bookmarkEnd w:id="45"/>
      <w:bookmarkStart w:id="46" w:name="_Toc184313265"/>
      <w:bookmarkEnd w:id="46"/>
      <w:bookmarkStart w:id="47" w:name="_Toc184313303"/>
      <w:bookmarkEnd w:id="47"/>
      <w:bookmarkStart w:id="48" w:name="_Toc184308089"/>
      <w:bookmarkEnd w:id="48"/>
      <w:bookmarkStart w:id="49" w:name="_Toc184310289"/>
      <w:bookmarkEnd w:id="49"/>
      <w:bookmarkStart w:id="50" w:name="_Toc184314470"/>
      <w:bookmarkEnd w:id="50"/>
      <w:bookmarkStart w:id="51" w:name="_Toc184308087"/>
      <w:bookmarkEnd w:id="51"/>
      <w:bookmarkStart w:id="52" w:name="_Toc184314414"/>
      <w:bookmarkEnd w:id="52"/>
      <w:bookmarkStart w:id="53" w:name="_Toc184312137"/>
      <w:bookmarkEnd w:id="53"/>
      <w:bookmarkStart w:id="54" w:name="_Toc184312082"/>
      <w:bookmarkEnd w:id="54"/>
      <w:bookmarkStart w:id="55" w:name="_Toc184314423"/>
      <w:bookmarkEnd w:id="55"/>
      <w:bookmarkStart w:id="56" w:name="_Toc184314445"/>
      <w:bookmarkEnd w:id="56"/>
      <w:bookmarkStart w:id="57" w:name="_Toc184312079"/>
      <w:bookmarkEnd w:id="57"/>
      <w:bookmarkStart w:id="58" w:name="_Toc184314453"/>
      <w:bookmarkEnd w:id="58"/>
      <w:bookmarkStart w:id="59" w:name="_Toc184308048"/>
      <w:bookmarkEnd w:id="59"/>
      <w:bookmarkStart w:id="60" w:name="_Toc184308051"/>
      <w:bookmarkEnd w:id="60"/>
      <w:bookmarkStart w:id="61" w:name="_Toc184312110"/>
      <w:bookmarkEnd w:id="61"/>
      <w:bookmarkStart w:id="62" w:name="_Toc184312139"/>
      <w:bookmarkEnd w:id="62"/>
      <w:bookmarkStart w:id="63" w:name="_Toc184310280"/>
      <w:bookmarkEnd w:id="63"/>
      <w:bookmarkStart w:id="64" w:name="_Toc184310328"/>
      <w:bookmarkEnd w:id="64"/>
      <w:bookmarkStart w:id="65" w:name="_Toc184314431"/>
      <w:bookmarkEnd w:id="65"/>
      <w:bookmarkStart w:id="66" w:name="_Toc184312100"/>
      <w:bookmarkEnd w:id="66"/>
      <w:bookmarkStart w:id="67" w:name="_Toc184308054"/>
      <w:bookmarkEnd w:id="67"/>
      <w:bookmarkStart w:id="68" w:name="_Toc184312115"/>
      <w:bookmarkEnd w:id="68"/>
      <w:bookmarkStart w:id="69" w:name="_Toc184313275"/>
      <w:bookmarkEnd w:id="69"/>
      <w:bookmarkStart w:id="70" w:name="_Toc184312099"/>
      <w:bookmarkEnd w:id="70"/>
      <w:bookmarkStart w:id="71" w:name="_Toc184308041"/>
      <w:bookmarkEnd w:id="71"/>
      <w:bookmarkStart w:id="72" w:name="_Toc184310329"/>
      <w:bookmarkEnd w:id="72"/>
      <w:bookmarkStart w:id="73" w:name="_Toc184310314"/>
      <w:bookmarkEnd w:id="73"/>
      <w:bookmarkStart w:id="74" w:name="_Toc184314416"/>
      <w:bookmarkEnd w:id="74"/>
      <w:bookmarkStart w:id="75" w:name="_Toc184314432"/>
      <w:bookmarkEnd w:id="75"/>
      <w:bookmarkStart w:id="76" w:name="_Toc184310282"/>
      <w:bookmarkEnd w:id="76"/>
      <w:bookmarkStart w:id="77" w:name="_Toc184308062"/>
      <w:bookmarkEnd w:id="77"/>
      <w:bookmarkStart w:id="78" w:name="_Toc184314480"/>
      <w:bookmarkEnd w:id="78"/>
      <w:bookmarkStart w:id="79" w:name="_Toc184310281"/>
      <w:bookmarkEnd w:id="79"/>
      <w:bookmarkStart w:id="80" w:name="_Toc184314477"/>
      <w:bookmarkEnd w:id="80"/>
      <w:bookmarkStart w:id="81" w:name="_Toc184313279"/>
      <w:bookmarkEnd w:id="81"/>
      <w:bookmarkStart w:id="82" w:name="_Toc184313288"/>
      <w:bookmarkEnd w:id="82"/>
      <w:bookmarkStart w:id="83" w:name="_Toc184308075"/>
      <w:bookmarkEnd w:id="83"/>
      <w:bookmarkStart w:id="84" w:name="_Toc184313276"/>
      <w:bookmarkEnd w:id="84"/>
      <w:bookmarkStart w:id="85" w:name="_Toc184314451"/>
      <w:bookmarkEnd w:id="85"/>
      <w:bookmarkStart w:id="86" w:name="_Toc184314459"/>
      <w:bookmarkEnd w:id="86"/>
      <w:bookmarkStart w:id="87" w:name="_Toc184314440"/>
      <w:bookmarkEnd w:id="87"/>
      <w:bookmarkStart w:id="88" w:name="_Toc184308083"/>
      <w:bookmarkEnd w:id="88"/>
      <w:bookmarkStart w:id="89" w:name="_Toc184308040"/>
      <w:bookmarkEnd w:id="89"/>
      <w:bookmarkStart w:id="90" w:name="_Toc184312093"/>
      <w:bookmarkEnd w:id="90"/>
      <w:bookmarkStart w:id="91" w:name="_Toc184308067"/>
      <w:bookmarkEnd w:id="91"/>
      <w:bookmarkStart w:id="92" w:name="_Toc184308042"/>
      <w:bookmarkEnd w:id="92"/>
      <w:bookmarkStart w:id="93" w:name="_Toc184314446"/>
      <w:bookmarkEnd w:id="93"/>
      <w:bookmarkStart w:id="94" w:name="_Toc184312089"/>
      <w:bookmarkEnd w:id="94"/>
      <w:bookmarkStart w:id="95" w:name="_Toc184310274"/>
      <w:bookmarkEnd w:id="95"/>
      <w:bookmarkStart w:id="96" w:name="_Toc184308059"/>
      <w:bookmarkEnd w:id="96"/>
      <w:bookmarkStart w:id="97" w:name="_Toc184308058"/>
      <w:bookmarkEnd w:id="97"/>
      <w:bookmarkStart w:id="98" w:name="_Toc184310324"/>
      <w:bookmarkEnd w:id="98"/>
      <w:bookmarkStart w:id="99" w:name="_Toc184313285"/>
      <w:bookmarkEnd w:id="99"/>
      <w:bookmarkStart w:id="100" w:name="_Toc184308064"/>
      <w:bookmarkEnd w:id="100"/>
      <w:bookmarkStart w:id="101" w:name="_Toc184312138"/>
      <w:bookmarkEnd w:id="101"/>
      <w:bookmarkStart w:id="102" w:name="_Toc184308044"/>
      <w:bookmarkEnd w:id="102"/>
      <w:bookmarkStart w:id="103" w:name="_Toc184308080"/>
      <w:bookmarkEnd w:id="103"/>
      <w:bookmarkStart w:id="104" w:name="_Toc184310284"/>
      <w:bookmarkEnd w:id="104"/>
      <w:bookmarkStart w:id="105" w:name="_Toc184313301"/>
      <w:bookmarkEnd w:id="105"/>
      <w:bookmarkStart w:id="106" w:name="_Toc184310285"/>
      <w:bookmarkEnd w:id="106"/>
      <w:bookmarkStart w:id="107" w:name="_Toc184313260"/>
      <w:bookmarkEnd w:id="107"/>
      <w:bookmarkStart w:id="108" w:name="_Toc184308098"/>
      <w:bookmarkEnd w:id="108"/>
      <w:bookmarkStart w:id="109" w:name="_Toc184314441"/>
      <w:bookmarkEnd w:id="109"/>
      <w:bookmarkStart w:id="110" w:name="_Toc184308061"/>
      <w:bookmarkEnd w:id="110"/>
      <w:bookmarkStart w:id="111" w:name="_Toc184314411"/>
      <w:bookmarkEnd w:id="111"/>
      <w:bookmarkStart w:id="112" w:name="_Toc184312104"/>
      <w:bookmarkEnd w:id="112"/>
      <w:bookmarkStart w:id="113" w:name="_Toc184314447"/>
      <w:bookmarkEnd w:id="113"/>
      <w:bookmarkStart w:id="114" w:name="_Toc184314468"/>
      <w:bookmarkEnd w:id="114"/>
      <w:bookmarkStart w:id="115" w:name="_Toc184314415"/>
      <w:bookmarkEnd w:id="115"/>
      <w:bookmarkStart w:id="116" w:name="_Toc184312128"/>
      <w:bookmarkEnd w:id="116"/>
      <w:bookmarkStart w:id="117" w:name="_Toc184308053"/>
      <w:bookmarkEnd w:id="117"/>
      <w:bookmarkStart w:id="118" w:name="_Toc184312132"/>
      <w:bookmarkEnd w:id="118"/>
      <w:bookmarkStart w:id="119" w:name="_Toc184313295"/>
      <w:bookmarkEnd w:id="119"/>
      <w:bookmarkStart w:id="120" w:name="_Toc184310287"/>
      <w:bookmarkEnd w:id="120"/>
      <w:bookmarkStart w:id="121" w:name="_Toc184312073"/>
      <w:bookmarkEnd w:id="121"/>
      <w:bookmarkStart w:id="122" w:name="_Toc184313278"/>
      <w:bookmarkEnd w:id="122"/>
      <w:bookmarkStart w:id="123" w:name="_Toc184312109"/>
      <w:bookmarkEnd w:id="123"/>
      <w:bookmarkStart w:id="124" w:name="_Toc184313291"/>
      <w:bookmarkEnd w:id="124"/>
      <w:bookmarkStart w:id="125" w:name="_Toc184310310"/>
      <w:bookmarkEnd w:id="125"/>
      <w:bookmarkStart w:id="126" w:name="_Toc184310311"/>
      <w:bookmarkEnd w:id="126"/>
      <w:bookmarkStart w:id="127" w:name="_Toc184308078"/>
      <w:bookmarkEnd w:id="127"/>
      <w:bookmarkStart w:id="128" w:name="_Toc184310338"/>
      <w:bookmarkEnd w:id="128"/>
      <w:bookmarkStart w:id="129" w:name="_Toc184312098"/>
      <w:bookmarkEnd w:id="129"/>
      <w:bookmarkStart w:id="130" w:name="_Toc184313273"/>
      <w:bookmarkEnd w:id="130"/>
      <w:bookmarkStart w:id="131" w:name="_Toc184313240"/>
      <w:bookmarkEnd w:id="131"/>
      <w:bookmarkStart w:id="132" w:name="_Toc184314426"/>
      <w:bookmarkEnd w:id="132"/>
      <w:bookmarkStart w:id="133" w:name="_Toc184308105"/>
      <w:bookmarkEnd w:id="133"/>
      <w:bookmarkStart w:id="134" w:name="_Toc184313293"/>
      <w:bookmarkEnd w:id="134"/>
      <w:bookmarkStart w:id="135" w:name="_Toc184314433"/>
      <w:bookmarkEnd w:id="135"/>
      <w:bookmarkStart w:id="136" w:name="_Toc184310319"/>
      <w:bookmarkEnd w:id="136"/>
      <w:bookmarkStart w:id="137" w:name="_Toc184314479"/>
      <w:bookmarkEnd w:id="137"/>
      <w:bookmarkStart w:id="138" w:name="_Toc184314418"/>
      <w:bookmarkEnd w:id="138"/>
      <w:bookmarkStart w:id="139" w:name="_Toc184312083"/>
      <w:bookmarkEnd w:id="139"/>
      <w:bookmarkStart w:id="140" w:name="_Toc184314420"/>
      <w:bookmarkEnd w:id="140"/>
      <w:bookmarkStart w:id="141" w:name="_Toc184314465"/>
      <w:bookmarkEnd w:id="141"/>
      <w:bookmarkStart w:id="142" w:name="_Toc184312126"/>
      <w:bookmarkEnd w:id="142"/>
      <w:bookmarkStart w:id="143" w:name="_Toc184313251"/>
      <w:bookmarkEnd w:id="143"/>
      <w:bookmarkStart w:id="144" w:name="_Toc184312120"/>
      <w:bookmarkEnd w:id="144"/>
      <w:bookmarkStart w:id="145" w:name="_Toc184313262"/>
      <w:bookmarkEnd w:id="145"/>
      <w:bookmarkStart w:id="146" w:name="_Toc184312118"/>
      <w:bookmarkEnd w:id="146"/>
      <w:bookmarkStart w:id="147" w:name="_Toc184314466"/>
      <w:bookmarkEnd w:id="147"/>
      <w:bookmarkStart w:id="148" w:name="_Toc184313242"/>
      <w:bookmarkEnd w:id="148"/>
      <w:bookmarkStart w:id="149" w:name="_Toc184314410"/>
      <w:bookmarkEnd w:id="149"/>
      <w:bookmarkStart w:id="150" w:name="_Toc184310308"/>
      <w:bookmarkEnd w:id="150"/>
      <w:bookmarkStart w:id="151" w:name="_Toc184310279"/>
      <w:bookmarkEnd w:id="151"/>
      <w:bookmarkStart w:id="152" w:name="_Toc184308096"/>
      <w:bookmarkEnd w:id="152"/>
      <w:bookmarkStart w:id="153" w:name="_Toc184310318"/>
      <w:bookmarkEnd w:id="153"/>
      <w:bookmarkStart w:id="154" w:name="_Toc184308043"/>
      <w:bookmarkEnd w:id="154"/>
      <w:bookmarkStart w:id="155" w:name="_Toc184308049"/>
      <w:bookmarkEnd w:id="155"/>
      <w:bookmarkStart w:id="156" w:name="_Toc184313258"/>
      <w:bookmarkEnd w:id="156"/>
      <w:bookmarkStart w:id="157" w:name="_Toc184312114"/>
      <w:bookmarkEnd w:id="157"/>
      <w:bookmarkStart w:id="158" w:name="_Toc184314460"/>
      <w:bookmarkEnd w:id="158"/>
      <w:bookmarkStart w:id="159" w:name="_Toc184310283"/>
      <w:bookmarkEnd w:id="159"/>
      <w:bookmarkStart w:id="160" w:name="_Toc184308069"/>
      <w:bookmarkEnd w:id="160"/>
      <w:bookmarkStart w:id="161" w:name="_Toc184313309"/>
      <w:bookmarkEnd w:id="161"/>
      <w:bookmarkStart w:id="162" w:name="_Toc184313254"/>
      <w:bookmarkEnd w:id="162"/>
      <w:bookmarkStart w:id="163" w:name="_Toc184313272"/>
      <w:bookmarkEnd w:id="163"/>
      <w:bookmarkStart w:id="164" w:name="_Toc184313243"/>
      <w:bookmarkEnd w:id="164"/>
      <w:bookmarkStart w:id="165" w:name="_Toc184314422"/>
      <w:bookmarkEnd w:id="165"/>
      <w:bookmarkStart w:id="166" w:name="_Toc184308050"/>
      <w:bookmarkEnd w:id="166"/>
      <w:bookmarkStart w:id="167" w:name="_Toc184314458"/>
      <w:bookmarkEnd w:id="167"/>
      <w:bookmarkStart w:id="168" w:name="_Toc184312086"/>
      <w:bookmarkEnd w:id="168"/>
      <w:bookmarkStart w:id="169" w:name="_Toc184312131"/>
      <w:bookmarkEnd w:id="169"/>
      <w:bookmarkStart w:id="170" w:name="_Toc184310313"/>
      <w:bookmarkEnd w:id="170"/>
      <w:bookmarkStart w:id="171" w:name="_Toc184313241"/>
      <w:bookmarkEnd w:id="171"/>
      <w:bookmarkStart w:id="172" w:name="_Toc184308091"/>
      <w:bookmarkEnd w:id="172"/>
      <w:bookmarkStart w:id="173" w:name="_Toc184308092"/>
      <w:bookmarkEnd w:id="173"/>
      <w:bookmarkStart w:id="174" w:name="_Toc184310316"/>
      <w:bookmarkEnd w:id="174"/>
      <w:bookmarkStart w:id="175" w:name="_Toc184314481"/>
      <w:bookmarkEnd w:id="175"/>
      <w:bookmarkStart w:id="176" w:name="_Toc184314419"/>
      <w:bookmarkEnd w:id="176"/>
      <w:bookmarkStart w:id="177" w:name="_Toc184312067"/>
      <w:bookmarkEnd w:id="177"/>
      <w:bookmarkStart w:id="178" w:name="_Toc184313247"/>
      <w:bookmarkEnd w:id="178"/>
      <w:bookmarkStart w:id="179" w:name="_Toc184308102"/>
      <w:bookmarkEnd w:id="179"/>
      <w:bookmarkStart w:id="180" w:name="_Toc184313238"/>
      <w:bookmarkEnd w:id="180"/>
      <w:bookmarkStart w:id="181" w:name="_Toc184314476"/>
      <w:bookmarkEnd w:id="181"/>
      <w:bookmarkStart w:id="182" w:name="_Toc184310307"/>
      <w:bookmarkEnd w:id="182"/>
      <w:bookmarkStart w:id="183" w:name="_Toc184313282"/>
      <w:bookmarkEnd w:id="183"/>
      <w:bookmarkStart w:id="184" w:name="_Toc184310273"/>
      <w:bookmarkEnd w:id="184"/>
      <w:bookmarkStart w:id="185" w:name="_Toc184313257"/>
      <w:bookmarkEnd w:id="185"/>
      <w:bookmarkStart w:id="186" w:name="_Toc184308063"/>
      <w:bookmarkEnd w:id="186"/>
      <w:bookmarkStart w:id="187" w:name="_Toc184312133"/>
      <w:bookmarkEnd w:id="187"/>
      <w:bookmarkStart w:id="188" w:name="_Toc184310315"/>
      <w:bookmarkEnd w:id="188"/>
      <w:bookmarkStart w:id="189" w:name="_Toc184313296"/>
      <w:bookmarkEnd w:id="189"/>
      <w:bookmarkStart w:id="190" w:name="_Toc184310336"/>
      <w:bookmarkEnd w:id="190"/>
      <w:bookmarkStart w:id="191" w:name="_Toc184312134"/>
      <w:bookmarkEnd w:id="191"/>
      <w:bookmarkStart w:id="192" w:name="_Toc184314478"/>
      <w:bookmarkEnd w:id="192"/>
      <w:bookmarkStart w:id="193" w:name="_Toc184310296"/>
      <w:bookmarkEnd w:id="193"/>
      <w:bookmarkStart w:id="194" w:name="_Toc184314428"/>
      <w:bookmarkEnd w:id="194"/>
      <w:bookmarkStart w:id="195" w:name="_Toc184312108"/>
      <w:bookmarkEnd w:id="195"/>
      <w:bookmarkStart w:id="196" w:name="_Toc184312106"/>
      <w:bookmarkEnd w:id="196"/>
      <w:bookmarkStart w:id="197" w:name="_Toc184310323"/>
      <w:bookmarkEnd w:id="197"/>
      <w:bookmarkStart w:id="198" w:name="_Toc184313264"/>
      <w:bookmarkEnd w:id="198"/>
      <w:bookmarkStart w:id="199" w:name="_Toc184312096"/>
      <w:bookmarkEnd w:id="199"/>
      <w:bookmarkStart w:id="200" w:name="_Toc184313245"/>
      <w:bookmarkEnd w:id="200"/>
      <w:bookmarkStart w:id="201" w:name="_Toc184314443"/>
      <w:bookmarkEnd w:id="201"/>
      <w:bookmarkStart w:id="202" w:name="_Toc184313290"/>
      <w:bookmarkEnd w:id="202"/>
      <w:bookmarkStart w:id="203" w:name="_Toc184314456"/>
      <w:bookmarkEnd w:id="203"/>
      <w:bookmarkStart w:id="204" w:name="_Toc184310306"/>
      <w:bookmarkEnd w:id="204"/>
      <w:bookmarkStart w:id="205" w:name="_Toc184312069"/>
      <w:bookmarkEnd w:id="205"/>
      <w:bookmarkStart w:id="206" w:name="_Toc184313261"/>
      <w:bookmarkEnd w:id="206"/>
      <w:bookmarkStart w:id="207" w:name="_Toc184314454"/>
      <w:bookmarkEnd w:id="207"/>
      <w:bookmarkStart w:id="208" w:name="_Toc184310322"/>
      <w:bookmarkEnd w:id="208"/>
      <w:bookmarkStart w:id="209" w:name="_Toc184310320"/>
      <w:bookmarkEnd w:id="209"/>
      <w:bookmarkStart w:id="210" w:name="_Toc184313299"/>
      <w:bookmarkEnd w:id="210"/>
      <w:bookmarkStart w:id="211" w:name="_Toc184308108"/>
      <w:bookmarkEnd w:id="211"/>
      <w:bookmarkStart w:id="212" w:name="_Toc184308073"/>
      <w:bookmarkEnd w:id="212"/>
      <w:bookmarkStart w:id="213" w:name="_Toc184313250"/>
      <w:bookmarkEnd w:id="213"/>
      <w:bookmarkStart w:id="214" w:name="_Toc184312095"/>
      <w:bookmarkEnd w:id="214"/>
      <w:bookmarkStart w:id="215" w:name="_Toc184312084"/>
      <w:bookmarkEnd w:id="215"/>
      <w:bookmarkStart w:id="216" w:name="_Toc184313306"/>
      <w:bookmarkEnd w:id="216"/>
      <w:bookmarkStart w:id="217" w:name="_Toc184314462"/>
      <w:bookmarkEnd w:id="217"/>
      <w:bookmarkStart w:id="218" w:name="_Toc184312119"/>
      <w:bookmarkEnd w:id="218"/>
      <w:bookmarkStart w:id="219" w:name="_Toc184313294"/>
      <w:bookmarkEnd w:id="219"/>
      <w:bookmarkStart w:id="220" w:name="_Toc184310298"/>
      <w:bookmarkEnd w:id="220"/>
      <w:bookmarkStart w:id="221" w:name="_Toc184313248"/>
      <w:bookmarkEnd w:id="221"/>
      <w:bookmarkStart w:id="222" w:name="_Toc184312123"/>
      <w:bookmarkEnd w:id="222"/>
      <w:bookmarkStart w:id="223" w:name="_Toc184308072"/>
      <w:bookmarkEnd w:id="223"/>
      <w:bookmarkStart w:id="224" w:name="_Toc184308090"/>
      <w:bookmarkEnd w:id="224"/>
      <w:bookmarkStart w:id="225" w:name="_Toc184313271"/>
      <w:bookmarkEnd w:id="225"/>
      <w:bookmarkStart w:id="226" w:name="_Toc184308055"/>
      <w:bookmarkEnd w:id="226"/>
      <w:bookmarkStart w:id="227" w:name="_Toc184313305"/>
      <w:bookmarkEnd w:id="227"/>
      <w:bookmarkStart w:id="228" w:name="_Toc184314413"/>
      <w:bookmarkEnd w:id="228"/>
      <w:bookmarkStart w:id="229" w:name="_Toc184308037"/>
      <w:bookmarkEnd w:id="229"/>
      <w:bookmarkStart w:id="230" w:name="_Toc184313269"/>
      <w:bookmarkEnd w:id="230"/>
      <w:bookmarkStart w:id="231" w:name="_Toc184312103"/>
      <w:bookmarkEnd w:id="231"/>
      <w:bookmarkStart w:id="232" w:name="_Toc184313302"/>
      <w:bookmarkEnd w:id="232"/>
      <w:bookmarkStart w:id="233" w:name="_Toc184310275"/>
      <w:bookmarkEnd w:id="233"/>
      <w:bookmarkStart w:id="234" w:name="_Toc184314434"/>
      <w:bookmarkEnd w:id="234"/>
      <w:bookmarkStart w:id="235" w:name="_Toc184313268"/>
      <w:bookmarkEnd w:id="235"/>
      <w:bookmarkStart w:id="236" w:name="_Toc184312125"/>
      <w:bookmarkEnd w:id="236"/>
      <w:bookmarkStart w:id="237" w:name="_Toc184313298"/>
      <w:bookmarkEnd w:id="237"/>
      <w:bookmarkStart w:id="238" w:name="_Toc184312102"/>
      <w:bookmarkEnd w:id="238"/>
      <w:bookmarkStart w:id="239" w:name="_Toc184314461"/>
      <w:bookmarkEnd w:id="239"/>
      <w:bookmarkStart w:id="240" w:name="_Toc184308084"/>
      <w:bookmarkEnd w:id="240"/>
      <w:bookmarkStart w:id="241" w:name="_Toc184313281"/>
      <w:bookmarkEnd w:id="241"/>
      <w:bookmarkStart w:id="242" w:name="_Toc184314449"/>
      <w:bookmarkEnd w:id="242"/>
      <w:bookmarkStart w:id="243" w:name="_Toc184310295"/>
      <w:bookmarkEnd w:id="243"/>
      <w:bookmarkStart w:id="244" w:name="_Toc184312068"/>
      <w:bookmarkEnd w:id="244"/>
      <w:bookmarkStart w:id="245" w:name="_Toc184312129"/>
      <w:bookmarkEnd w:id="245"/>
      <w:bookmarkStart w:id="246" w:name="_Toc184308052"/>
      <w:bookmarkEnd w:id="246"/>
      <w:bookmarkStart w:id="247" w:name="_Toc184312077"/>
      <w:bookmarkEnd w:id="247"/>
      <w:bookmarkStart w:id="248" w:name="_Toc184310330"/>
      <w:bookmarkEnd w:id="248"/>
      <w:bookmarkStart w:id="249" w:name="_Toc184314444"/>
      <w:bookmarkEnd w:id="249"/>
      <w:bookmarkStart w:id="250" w:name="_Toc184308106"/>
      <w:bookmarkEnd w:id="250"/>
      <w:bookmarkStart w:id="251" w:name="_Toc184314475"/>
      <w:bookmarkEnd w:id="251"/>
      <w:bookmarkStart w:id="252" w:name="_Toc184308047"/>
      <w:bookmarkEnd w:id="252"/>
      <w:bookmarkStart w:id="253" w:name="_Toc184308081"/>
      <w:bookmarkEnd w:id="253"/>
      <w:bookmarkStart w:id="254" w:name="_Toc184314438"/>
      <w:bookmarkEnd w:id="254"/>
      <w:bookmarkStart w:id="255" w:name="_Toc184308104"/>
      <w:bookmarkEnd w:id="255"/>
      <w:bookmarkStart w:id="256" w:name="_Toc184312090"/>
      <w:bookmarkEnd w:id="256"/>
      <w:bookmarkStart w:id="257" w:name="_Toc184308107"/>
      <w:bookmarkEnd w:id="257"/>
      <w:bookmarkStart w:id="258" w:name="_Toc184313255"/>
      <w:bookmarkEnd w:id="258"/>
      <w:bookmarkStart w:id="259" w:name="_Toc184314471"/>
      <w:bookmarkEnd w:id="259"/>
      <w:bookmarkStart w:id="260" w:name="_Toc184312101"/>
      <w:bookmarkEnd w:id="260"/>
      <w:bookmarkStart w:id="261" w:name="_Toc184310276"/>
      <w:bookmarkEnd w:id="261"/>
      <w:bookmarkStart w:id="262" w:name="_Toc184310327"/>
      <w:bookmarkEnd w:id="262"/>
      <w:bookmarkStart w:id="263" w:name="_Toc184312085"/>
      <w:bookmarkEnd w:id="263"/>
      <w:bookmarkStart w:id="264" w:name="_Toc184312121"/>
      <w:bookmarkEnd w:id="264"/>
      <w:bookmarkStart w:id="265" w:name="_Toc184310297"/>
      <w:bookmarkEnd w:id="265"/>
      <w:bookmarkStart w:id="266" w:name="_Toc184313249"/>
      <w:bookmarkEnd w:id="266"/>
      <w:bookmarkStart w:id="267" w:name="_Toc184310277"/>
      <w:bookmarkEnd w:id="267"/>
      <w:bookmarkStart w:id="268" w:name="_Toc184310302"/>
      <w:bookmarkEnd w:id="268"/>
      <w:bookmarkStart w:id="269" w:name="_Toc184312078"/>
      <w:bookmarkEnd w:id="269"/>
      <w:bookmarkStart w:id="270" w:name="_Toc184314469"/>
      <w:bookmarkEnd w:id="270"/>
      <w:bookmarkStart w:id="271" w:name="_Toc184314474"/>
      <w:bookmarkEnd w:id="271"/>
      <w:bookmarkStart w:id="272" w:name="_Toc184314412"/>
      <w:bookmarkEnd w:id="272"/>
      <w:bookmarkStart w:id="273" w:name="_Toc184310332"/>
      <w:bookmarkEnd w:id="273"/>
      <w:bookmarkStart w:id="274" w:name="_Toc184313307"/>
      <w:bookmarkEnd w:id="274"/>
      <w:bookmarkStart w:id="275" w:name="_Toc184314429"/>
      <w:bookmarkEnd w:id="275"/>
      <w:bookmarkStart w:id="276" w:name="_Toc184313246"/>
      <w:bookmarkEnd w:id="276"/>
      <w:bookmarkStart w:id="277" w:name="_Toc184312111"/>
      <w:bookmarkEnd w:id="277"/>
      <w:bookmarkStart w:id="278" w:name="_Toc184312112"/>
      <w:bookmarkEnd w:id="278"/>
      <w:bookmarkStart w:id="279" w:name="_Toc184310339"/>
      <w:bookmarkEnd w:id="279"/>
      <w:bookmarkStart w:id="280" w:name="_Toc184312091"/>
      <w:bookmarkEnd w:id="280"/>
      <w:bookmarkStart w:id="281" w:name="_Toc184308056"/>
      <w:bookmarkEnd w:id="281"/>
      <w:bookmarkStart w:id="282" w:name="_Toc184310312"/>
      <w:bookmarkEnd w:id="282"/>
      <w:bookmarkStart w:id="283" w:name="_Toc184313263"/>
      <w:bookmarkEnd w:id="283"/>
      <w:bookmarkStart w:id="284" w:name="_Toc184313292"/>
      <w:bookmarkEnd w:id="284"/>
      <w:bookmarkStart w:id="285" w:name="_Toc184310321"/>
      <w:bookmarkEnd w:id="285"/>
      <w:bookmarkStart w:id="286" w:name="_Toc184313274"/>
      <w:bookmarkEnd w:id="286"/>
      <w:bookmarkStart w:id="287" w:name="_Toc184313277"/>
      <w:bookmarkEnd w:id="287"/>
      <w:bookmarkStart w:id="288" w:name="_Toc184314427"/>
      <w:bookmarkEnd w:id="288"/>
      <w:bookmarkStart w:id="289" w:name="_Toc184314442"/>
      <w:bookmarkEnd w:id="289"/>
      <w:bookmarkStart w:id="290" w:name="_Toc184308068"/>
      <w:bookmarkEnd w:id="290"/>
      <w:bookmarkStart w:id="291" w:name="_Toc184314430"/>
      <w:bookmarkEnd w:id="291"/>
      <w:bookmarkStart w:id="292" w:name="_Toc184308060"/>
      <w:bookmarkEnd w:id="292"/>
      <w:bookmarkStart w:id="293" w:name="_Toc184313284"/>
      <w:bookmarkEnd w:id="293"/>
      <w:bookmarkStart w:id="294" w:name="_Toc184314421"/>
      <w:bookmarkEnd w:id="294"/>
      <w:bookmarkStart w:id="295" w:name="_Toc184313286"/>
      <w:bookmarkEnd w:id="295"/>
      <w:bookmarkStart w:id="296" w:name="_Toc184314473"/>
      <w:bookmarkEnd w:id="296"/>
      <w:bookmarkStart w:id="297" w:name="_Toc184312094"/>
      <w:bookmarkEnd w:id="297"/>
      <w:bookmarkStart w:id="298" w:name="_Toc184313283"/>
      <w:bookmarkEnd w:id="298"/>
      <w:bookmarkStart w:id="299" w:name="_Toc184314455"/>
      <w:bookmarkEnd w:id="299"/>
      <w:bookmarkStart w:id="300" w:name="_Toc184308057"/>
      <w:bookmarkEnd w:id="300"/>
      <w:bookmarkStart w:id="301" w:name="_Toc184308085"/>
      <w:bookmarkEnd w:id="301"/>
      <w:bookmarkStart w:id="302" w:name="_Toc184310300"/>
      <w:bookmarkEnd w:id="302"/>
      <w:bookmarkStart w:id="303" w:name="_Toc184310299"/>
      <w:bookmarkEnd w:id="303"/>
      <w:bookmarkStart w:id="304" w:name="_Toc184312070"/>
      <w:bookmarkEnd w:id="304"/>
      <w:bookmarkStart w:id="305" w:name="_Toc184312122"/>
      <w:bookmarkEnd w:id="305"/>
      <w:bookmarkStart w:id="306" w:name="_Toc184310286"/>
      <w:bookmarkEnd w:id="306"/>
      <w:bookmarkStart w:id="307" w:name="_Toc184310293"/>
      <w:bookmarkEnd w:id="307"/>
      <w:bookmarkStart w:id="308" w:name="_Toc184312117"/>
      <w:bookmarkEnd w:id="308"/>
      <w:bookmarkStart w:id="309" w:name="_Toc184310331"/>
      <w:bookmarkEnd w:id="309"/>
      <w:bookmarkStart w:id="310" w:name="_Toc184314425"/>
      <w:bookmarkEnd w:id="310"/>
      <w:bookmarkStart w:id="311" w:name="_Toc184310335"/>
      <w:bookmarkEnd w:id="311"/>
      <w:bookmarkStart w:id="312" w:name="_Toc184308076"/>
      <w:bookmarkEnd w:id="312"/>
      <w:bookmarkStart w:id="313" w:name="_Toc184308099"/>
      <w:bookmarkEnd w:id="313"/>
      <w:bookmarkStart w:id="314" w:name="_Toc184313256"/>
      <w:bookmarkEnd w:id="314"/>
      <w:bookmarkStart w:id="315" w:name="_Toc184314457"/>
      <w:bookmarkEnd w:id="315"/>
      <w:bookmarkStart w:id="316" w:name="_Toc184310341"/>
      <w:bookmarkEnd w:id="316"/>
      <w:bookmarkStart w:id="317" w:name="_Toc184313244"/>
      <w:bookmarkEnd w:id="317"/>
      <w:bookmarkStart w:id="318" w:name="_Toc184308038"/>
      <w:bookmarkEnd w:id="318"/>
      <w:bookmarkStart w:id="319" w:name="_Toc184312080"/>
      <w:bookmarkEnd w:id="319"/>
      <w:bookmarkStart w:id="320" w:name="_Toc184314436"/>
      <w:bookmarkEnd w:id="320"/>
      <w:bookmarkStart w:id="321" w:name="_Toc184310305"/>
      <w:bookmarkEnd w:id="321"/>
      <w:bookmarkStart w:id="322" w:name="_Toc184313252"/>
      <w:bookmarkEnd w:id="322"/>
      <w:bookmarkStart w:id="323" w:name="_Toc184308093"/>
      <w:bookmarkEnd w:id="323"/>
      <w:bookmarkStart w:id="324" w:name="_Toc184310303"/>
      <w:bookmarkEnd w:id="324"/>
      <w:bookmarkStart w:id="325" w:name="_Toc184308036"/>
      <w:bookmarkEnd w:id="325"/>
      <w:bookmarkStart w:id="326" w:name="_Toc184308103"/>
      <w:bookmarkEnd w:id="326"/>
      <w:bookmarkStart w:id="327" w:name="_Toc184313239"/>
      <w:bookmarkEnd w:id="327"/>
      <w:bookmarkStart w:id="328" w:name="_Toc184308045"/>
      <w:bookmarkEnd w:id="328"/>
      <w:bookmarkStart w:id="329" w:name="_Toc184313253"/>
      <w:bookmarkEnd w:id="329"/>
      <w:bookmarkStart w:id="330" w:name="_Toc184312135"/>
      <w:bookmarkEnd w:id="330"/>
      <w:bookmarkStart w:id="331" w:name="_Toc184310326"/>
      <w:bookmarkEnd w:id="331"/>
      <w:bookmarkStart w:id="332" w:name="_Toc184308074"/>
      <w:bookmarkEnd w:id="332"/>
      <w:bookmarkStart w:id="333" w:name="_Toc184314435"/>
      <w:bookmarkEnd w:id="333"/>
      <w:bookmarkStart w:id="334" w:name="_Toc184308100"/>
      <w:bookmarkEnd w:id="334"/>
      <w:bookmarkStart w:id="335" w:name="_Toc184308077"/>
      <w:bookmarkEnd w:id="335"/>
      <w:bookmarkStart w:id="336" w:name="_Toc184312113"/>
      <w:bookmarkEnd w:id="336"/>
      <w:bookmarkStart w:id="337" w:name="_Toc184314448"/>
      <w:bookmarkEnd w:id="337"/>
      <w:bookmarkStart w:id="338" w:name="_Toc184308101"/>
      <w:bookmarkEnd w:id="338"/>
      <w:bookmarkStart w:id="339" w:name="_Toc184313266"/>
      <w:bookmarkEnd w:id="339"/>
      <w:bookmarkStart w:id="340" w:name="_Toc184312092"/>
      <w:bookmarkEnd w:id="340"/>
      <w:bookmarkStart w:id="341" w:name="_Toc184314464"/>
      <w:bookmarkEnd w:id="341"/>
      <w:bookmarkStart w:id="342" w:name="_Toc184308095"/>
      <w:bookmarkEnd w:id="342"/>
      <w:bookmarkStart w:id="343" w:name="_Toc184312116"/>
      <w:bookmarkEnd w:id="343"/>
      <w:bookmarkStart w:id="344" w:name="_Toc184310272"/>
      <w:bookmarkEnd w:id="344"/>
      <w:bookmarkStart w:id="345" w:name="_Toc184312076"/>
      <w:bookmarkEnd w:id="345"/>
      <w:bookmarkStart w:id="346" w:name="_Toc184313270"/>
      <w:bookmarkEnd w:id="346"/>
      <w:bookmarkStart w:id="347" w:name="_Toc184312088"/>
      <w:bookmarkEnd w:id="347"/>
      <w:bookmarkStart w:id="348" w:name="_Toc184314424"/>
      <w:bookmarkEnd w:id="348"/>
      <w:bookmarkStart w:id="349" w:name="_Toc184308086"/>
      <w:bookmarkEnd w:id="349"/>
      <w:bookmarkStart w:id="350" w:name="_Toc184310334"/>
      <w:bookmarkEnd w:id="350"/>
      <w:bookmarkStart w:id="351" w:name="_Toc184308046"/>
      <w:bookmarkEnd w:id="351"/>
      <w:bookmarkStart w:id="352" w:name="_Toc184314472"/>
      <w:bookmarkEnd w:id="352"/>
      <w:bookmarkStart w:id="353" w:name="_Toc184308079"/>
      <w:bookmarkEnd w:id="353"/>
      <w:bookmarkStart w:id="354" w:name="_Toc184310301"/>
      <w:bookmarkEnd w:id="354"/>
      <w:bookmarkStart w:id="355" w:name="_Toc184313297"/>
      <w:bookmarkEnd w:id="355"/>
      <w:bookmarkStart w:id="356" w:name="_Toc184308094"/>
      <w:bookmarkEnd w:id="356"/>
      <w:bookmarkStart w:id="357" w:name="_Toc184313289"/>
      <w:bookmarkEnd w:id="357"/>
      <w:bookmarkStart w:id="358" w:name="_Toc184308097"/>
      <w:bookmarkEnd w:id="358"/>
      <w:bookmarkStart w:id="359" w:name="_Toc184312081"/>
      <w:bookmarkEnd w:id="359"/>
      <w:bookmarkStart w:id="360" w:name="_Toc184308071"/>
      <w:bookmarkEnd w:id="360"/>
      <w:bookmarkStart w:id="361" w:name="_Toc184312072"/>
      <w:bookmarkEnd w:id="361"/>
      <w:bookmarkStart w:id="362" w:name="_Toc184310304"/>
      <w:bookmarkEnd w:id="362"/>
      <w:bookmarkStart w:id="363" w:name="_Toc184312130"/>
      <w:bookmarkEnd w:id="363"/>
      <w:bookmarkStart w:id="364" w:name="_Toc184310343"/>
      <w:bookmarkEnd w:id="364"/>
      <w:bookmarkStart w:id="365" w:name="_Toc184308082"/>
      <w:bookmarkEnd w:id="365"/>
      <w:bookmarkStart w:id="366" w:name="_Toc184314439"/>
      <w:bookmarkEnd w:id="366"/>
      <w:bookmarkStart w:id="367" w:name="_Toc184312107"/>
      <w:bookmarkEnd w:id="367"/>
      <w:bookmarkStart w:id="368" w:name="_Toc184312087"/>
      <w:bookmarkEnd w:id="368"/>
      <w:bookmarkStart w:id="369" w:name="_Toc184308088"/>
      <w:bookmarkEnd w:id="369"/>
      <w:bookmarkStart w:id="370" w:name="_Toc184314463"/>
      <w:bookmarkEnd w:id="370"/>
      <w:bookmarkStart w:id="371" w:name="_Toc184313267"/>
      <w:bookmarkEnd w:id="371"/>
      <w:bookmarkStart w:id="372" w:name="_Toc184310317"/>
      <w:bookmarkEnd w:id="372"/>
      <w:bookmarkStart w:id="373" w:name="_Toc184313300"/>
      <w:bookmarkEnd w:id="373"/>
      <w:bookmarkStart w:id="374" w:name="_Toc184310278"/>
      <w:bookmarkEnd w:id="374"/>
      <w:bookmarkStart w:id="375" w:name="_Toc184312074"/>
      <w:bookmarkEnd w:id="375"/>
      <w:bookmarkStart w:id="376" w:name="_Toc184310344"/>
      <w:bookmarkEnd w:id="376"/>
      <w:bookmarkStart w:id="377" w:name="_Toc184310292"/>
      <w:bookmarkEnd w:id="377"/>
      <w:bookmarkStart w:id="378" w:name="_Toc184310288"/>
      <w:bookmarkEnd w:id="378"/>
      <w:bookmarkStart w:id="379" w:name="_Toc184314467"/>
      <w:bookmarkEnd w:id="379"/>
      <w:bookmarkStart w:id="380" w:name="_Toc184312124"/>
      <w:bookmarkEnd w:id="380"/>
      <w:bookmarkStart w:id="381" w:name="_Toc184310290"/>
      <w:bookmarkEnd w:id="381"/>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3"/>
        <w:tblW w:w="9097"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721"/>
        <w:gridCol w:w="52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评审因素</w:t>
            </w:r>
          </w:p>
        </w:tc>
        <w:tc>
          <w:tcPr>
            <w:tcW w:w="5260"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评分标准</w:t>
            </w:r>
          </w:p>
        </w:tc>
        <w:tc>
          <w:tcPr>
            <w:tcW w:w="1259" w:type="dxa"/>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1721" w:type="dxa"/>
            <w:vAlign w:val="center"/>
          </w:tcPr>
          <w:p>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价格分</w:t>
            </w:r>
          </w:p>
        </w:tc>
        <w:tc>
          <w:tcPr>
            <w:tcW w:w="5260"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价格分采用低价优先法计算，有效最后报价的最低价作为评审基准价，其最低报价为满分；按［最后报价得分=（评审基准价/最后报价）*10］的计算公式计算。</w:t>
            </w:r>
          </w:p>
        </w:tc>
        <w:tc>
          <w:tcPr>
            <w:tcW w:w="1259"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21"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w:t>
            </w:r>
          </w:p>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认证</w:t>
            </w:r>
          </w:p>
        </w:tc>
        <w:tc>
          <w:tcPr>
            <w:tcW w:w="5260" w:type="dxa"/>
            <w:vAlign w:val="center"/>
          </w:tcPr>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具有有效期内的：</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质量管理体系认证证书得1分；</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职业健康安全管理体系认证证书得1分；</w:t>
            </w:r>
          </w:p>
          <w:p>
            <w:pPr>
              <w:spacing w:line="360" w:lineRule="auto"/>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食品安全管理体系认证证书得1分</w:t>
            </w:r>
            <w:r>
              <w:rPr>
                <w:rFonts w:hint="eastAsia" w:ascii="宋体" w:hAnsi="宋体" w:cs="宋体"/>
                <w:color w:val="auto"/>
                <w:sz w:val="21"/>
                <w:szCs w:val="21"/>
                <w:highlight w:val="none"/>
                <w:lang w:eastAsia="zh-CN"/>
              </w:rPr>
              <w:t>；</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环境管理体系认证证书得1分</w:t>
            </w:r>
            <w:r>
              <w:rPr>
                <w:rFonts w:hint="eastAsia" w:ascii="宋体" w:hAnsi="宋体" w:cs="宋体"/>
                <w:color w:val="auto"/>
                <w:szCs w:val="21"/>
                <w:highlight w:val="none"/>
                <w:lang w:eastAsia="zh-CN"/>
              </w:rPr>
              <w:t>。</w:t>
            </w:r>
          </w:p>
        </w:tc>
        <w:tc>
          <w:tcPr>
            <w:tcW w:w="1259"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21"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业绩</w:t>
            </w:r>
          </w:p>
        </w:tc>
        <w:tc>
          <w:tcPr>
            <w:tcW w:w="5260" w:type="dxa"/>
            <w:vAlign w:val="center"/>
          </w:tcPr>
          <w:p>
            <w:p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年1月1日以来（以合同签订时间为准）</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lang w:eastAsia="zh-CN"/>
              </w:rPr>
              <w:t>合同业绩（最高得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分）：每提供1份（以</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lang w:val="en-US" w:eastAsia="zh-CN"/>
              </w:rPr>
              <w:t>扫描件及合同期限内任一发票</w:t>
            </w:r>
            <w:r>
              <w:rPr>
                <w:rFonts w:hint="eastAsia" w:ascii="宋体" w:hAnsi="宋体" w:eastAsia="宋体" w:cs="宋体"/>
                <w:color w:val="auto"/>
                <w:sz w:val="21"/>
                <w:szCs w:val="21"/>
                <w:highlight w:val="none"/>
                <w:lang w:eastAsia="zh-CN"/>
              </w:rPr>
              <w:t>为准）得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tc>
        <w:tc>
          <w:tcPr>
            <w:tcW w:w="1259"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7"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721"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满意度评价</w:t>
            </w:r>
          </w:p>
        </w:tc>
        <w:tc>
          <w:tcPr>
            <w:tcW w:w="5260" w:type="dxa"/>
            <w:vAlign w:val="center"/>
          </w:tcPr>
          <w:p>
            <w:pPr>
              <w:pStyle w:val="6"/>
              <w:spacing w:line="360" w:lineRule="auto"/>
              <w:ind w:firstLine="0" w:firstLineChars="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hAnsi="宋体" w:cs="宋体"/>
                <w:color w:val="auto"/>
                <w:spacing w:val="0"/>
                <w:sz w:val="21"/>
                <w:szCs w:val="21"/>
                <w:highlight w:val="none"/>
              </w:rPr>
              <w:t>提供</w:t>
            </w:r>
            <w:r>
              <w:rPr>
                <w:rFonts w:hint="eastAsia" w:hAnsi="宋体" w:cs="宋体"/>
                <w:color w:val="auto"/>
                <w:spacing w:val="0"/>
                <w:sz w:val="21"/>
                <w:szCs w:val="21"/>
                <w:highlight w:val="none"/>
                <w:lang w:val="en-US" w:eastAsia="zh-CN"/>
              </w:rPr>
              <w:t>同类</w:t>
            </w:r>
            <w:r>
              <w:rPr>
                <w:rFonts w:hint="eastAsia" w:hAnsi="宋体" w:cs="宋体"/>
                <w:color w:val="auto"/>
                <w:spacing w:val="0"/>
                <w:sz w:val="21"/>
                <w:szCs w:val="21"/>
                <w:highlight w:val="none"/>
              </w:rPr>
              <w:t>业绩的</w:t>
            </w:r>
            <w:r>
              <w:rPr>
                <w:rFonts w:hint="eastAsia" w:hAnsi="宋体" w:cs="宋体"/>
                <w:color w:val="auto"/>
                <w:spacing w:val="0"/>
                <w:sz w:val="21"/>
                <w:szCs w:val="21"/>
                <w:highlight w:val="none"/>
                <w:lang w:val="en-US" w:eastAsia="zh-CN"/>
              </w:rPr>
              <w:t>甲方</w:t>
            </w:r>
            <w:r>
              <w:rPr>
                <w:rFonts w:hint="eastAsia" w:hAnsi="宋体" w:cs="宋体"/>
                <w:color w:val="auto"/>
                <w:spacing w:val="0"/>
                <w:sz w:val="21"/>
                <w:szCs w:val="21"/>
                <w:highlight w:val="none"/>
              </w:rPr>
              <w:t>满意度评价表(需</w:t>
            </w:r>
            <w:r>
              <w:rPr>
                <w:rFonts w:hint="eastAsia" w:hAnsi="宋体" w:cs="宋体"/>
                <w:color w:val="auto"/>
                <w:spacing w:val="0"/>
                <w:sz w:val="21"/>
                <w:szCs w:val="21"/>
                <w:highlight w:val="none"/>
                <w:lang w:val="en-US" w:eastAsia="zh-CN"/>
              </w:rPr>
              <w:t>甲方</w:t>
            </w:r>
            <w:r>
              <w:rPr>
                <w:rFonts w:hint="eastAsia" w:hAnsi="宋体" w:cs="宋体"/>
                <w:color w:val="auto"/>
                <w:spacing w:val="0"/>
                <w:sz w:val="21"/>
                <w:szCs w:val="21"/>
                <w:highlight w:val="none"/>
              </w:rPr>
              <w:t>盖章证明），评价为优秀或满意（或相当）的，1个得</w:t>
            </w:r>
            <w:r>
              <w:rPr>
                <w:rFonts w:hint="eastAsia" w:hAnsi="宋体" w:cs="宋体"/>
                <w:color w:val="auto"/>
                <w:spacing w:val="0"/>
                <w:sz w:val="21"/>
                <w:szCs w:val="21"/>
                <w:highlight w:val="none"/>
                <w:lang w:val="en-US" w:eastAsia="zh-CN"/>
              </w:rPr>
              <w:t>0.5</w:t>
            </w:r>
            <w:r>
              <w:rPr>
                <w:rFonts w:hint="eastAsia" w:hAnsi="宋体" w:cs="宋体"/>
                <w:color w:val="auto"/>
                <w:spacing w:val="0"/>
                <w:sz w:val="21"/>
                <w:szCs w:val="21"/>
                <w:highlight w:val="none"/>
              </w:rPr>
              <w:t>分，同一</w:t>
            </w:r>
            <w:r>
              <w:rPr>
                <w:rFonts w:hint="eastAsia" w:hAnsi="宋体" w:cs="宋体"/>
                <w:color w:val="auto"/>
                <w:spacing w:val="0"/>
                <w:sz w:val="21"/>
                <w:szCs w:val="21"/>
                <w:highlight w:val="none"/>
                <w:lang w:val="en-US" w:eastAsia="zh-CN"/>
              </w:rPr>
              <w:t>甲方</w:t>
            </w:r>
            <w:r>
              <w:rPr>
                <w:rFonts w:hint="eastAsia" w:hAnsi="宋体" w:cs="宋体"/>
                <w:color w:val="auto"/>
                <w:spacing w:val="0"/>
                <w:sz w:val="21"/>
                <w:szCs w:val="21"/>
                <w:highlight w:val="none"/>
              </w:rPr>
              <w:t>不同合同只能算1项，本项最高得</w:t>
            </w:r>
            <w:r>
              <w:rPr>
                <w:rFonts w:hint="eastAsia" w:hAnsi="宋体" w:cs="宋体"/>
                <w:color w:val="auto"/>
                <w:spacing w:val="0"/>
                <w:sz w:val="21"/>
                <w:szCs w:val="21"/>
                <w:highlight w:val="none"/>
                <w:lang w:val="en-US" w:eastAsia="zh-CN"/>
              </w:rPr>
              <w:t>2</w:t>
            </w:r>
            <w:r>
              <w:rPr>
                <w:rFonts w:hint="eastAsia" w:hAnsi="宋体" w:cs="宋体"/>
                <w:color w:val="auto"/>
                <w:spacing w:val="0"/>
                <w:sz w:val="21"/>
                <w:szCs w:val="21"/>
                <w:highlight w:val="none"/>
              </w:rPr>
              <w:t>分。</w:t>
            </w:r>
          </w:p>
        </w:tc>
        <w:tc>
          <w:tcPr>
            <w:tcW w:w="1259" w:type="dxa"/>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57"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721"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rPr>
              <w:t>响应程度</w:t>
            </w:r>
          </w:p>
        </w:tc>
        <w:tc>
          <w:tcPr>
            <w:tcW w:w="5260" w:type="dxa"/>
            <w:vAlign w:val="center"/>
          </w:tcPr>
          <w:p>
            <w:pPr>
              <w:spacing w:line="360" w:lineRule="auto"/>
              <w:rPr>
                <w:rFonts w:ascii="宋体" w:hAnsi="宋体" w:cs="宋体"/>
                <w:color w:val="auto"/>
                <w:spacing w:val="-6"/>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cs="宋体"/>
                <w:color w:val="auto"/>
                <w:spacing w:val="-6"/>
                <w:sz w:val="21"/>
                <w:szCs w:val="21"/>
                <w:highlight w:val="none"/>
              </w:rPr>
              <w:t>全部满足采购文件明确的采购需求要求的，得</w:t>
            </w:r>
            <w:r>
              <w:rPr>
                <w:rFonts w:hint="eastAsia" w:ascii="宋体" w:hAnsi="宋体" w:cs="宋体"/>
                <w:color w:val="auto"/>
                <w:spacing w:val="-6"/>
                <w:sz w:val="21"/>
                <w:szCs w:val="21"/>
                <w:highlight w:val="none"/>
                <w:lang w:val="en-US" w:eastAsia="zh-CN"/>
              </w:rPr>
              <w:t>15</w:t>
            </w:r>
            <w:r>
              <w:rPr>
                <w:rFonts w:hint="eastAsia" w:ascii="宋体" w:hAnsi="宋体" w:cs="宋体"/>
                <w:color w:val="auto"/>
                <w:spacing w:val="-6"/>
                <w:sz w:val="21"/>
                <w:szCs w:val="21"/>
                <w:highlight w:val="none"/>
              </w:rPr>
              <w:t>分；</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6"/>
                <w:sz w:val="21"/>
                <w:szCs w:val="21"/>
                <w:highlight w:val="none"/>
              </w:rPr>
              <w:t>允许偏离的采购需求条款低于采购需求要求（负偏离）的，每条扣1分（1</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分，扣完为止），允许偏离的采购需求条款低于采购需求要求（负偏离）达到1</w:t>
            </w:r>
            <w:r>
              <w:rPr>
                <w:rFonts w:hint="eastAsia" w:ascii="宋体" w:hAnsi="宋体" w:cs="宋体"/>
                <w:color w:val="auto"/>
                <w:spacing w:val="-6"/>
                <w:sz w:val="21"/>
                <w:szCs w:val="21"/>
                <w:highlight w:val="none"/>
                <w:lang w:val="en-US" w:eastAsia="zh-CN"/>
              </w:rPr>
              <w:t>5</w:t>
            </w:r>
            <w:r>
              <w:rPr>
                <w:rFonts w:hint="eastAsia" w:ascii="宋体" w:hAnsi="宋体" w:cs="宋体"/>
                <w:color w:val="auto"/>
                <w:spacing w:val="-6"/>
                <w:sz w:val="21"/>
                <w:szCs w:val="21"/>
                <w:highlight w:val="none"/>
              </w:rPr>
              <w:t>条及以上的</w:t>
            </w:r>
            <w:r>
              <w:rPr>
                <w:rFonts w:hint="eastAsia" w:ascii="宋体" w:hAnsi="宋体" w:cs="宋体"/>
                <w:color w:val="auto"/>
                <w:spacing w:val="-6"/>
                <w:sz w:val="21"/>
                <w:szCs w:val="21"/>
                <w:highlight w:val="none"/>
                <w:lang w:val="en-US" w:eastAsia="zh-CN"/>
              </w:rPr>
              <w:t>投标</w:t>
            </w:r>
            <w:r>
              <w:rPr>
                <w:rFonts w:hint="eastAsia" w:ascii="宋体" w:hAnsi="宋体" w:cs="宋体"/>
                <w:color w:val="auto"/>
                <w:spacing w:val="-6"/>
                <w:sz w:val="21"/>
                <w:szCs w:val="21"/>
                <w:highlight w:val="none"/>
              </w:rPr>
              <w:t>无效。</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要求在投标文件中提供方案未提供的视为负偏离，涉及无效条款，视为投标无效</w:t>
            </w:r>
            <w:r>
              <w:rPr>
                <w:rFonts w:hint="eastAsia" w:ascii="宋体" w:hAnsi="宋体" w:cs="宋体"/>
                <w:color w:val="auto"/>
                <w:spacing w:val="-6"/>
                <w:sz w:val="21"/>
                <w:szCs w:val="21"/>
                <w:highlight w:val="none"/>
                <w:lang w:eastAsia="zh-CN"/>
              </w:rPr>
              <w:t>）</w:t>
            </w:r>
          </w:p>
        </w:tc>
        <w:tc>
          <w:tcPr>
            <w:tcW w:w="1259" w:type="dxa"/>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1721"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整体方案</w:t>
            </w:r>
          </w:p>
        </w:tc>
        <w:tc>
          <w:tcPr>
            <w:tcW w:w="5260" w:type="dxa"/>
            <w:vAlign w:val="center"/>
          </w:tcPr>
          <w:p>
            <w:pPr>
              <w:spacing w:line="360" w:lineRule="auto"/>
              <w:jc w:val="left"/>
              <w:rPr>
                <w:rFonts w:hint="eastAsia"/>
                <w:color w:val="auto"/>
                <w:highlight w:val="none"/>
                <w:lang w:val="en-US" w:eastAsia="zh-CN"/>
              </w:rPr>
            </w:pPr>
            <w:r>
              <w:rPr>
                <w:rFonts w:hint="eastAsia"/>
                <w:color w:val="auto"/>
                <w:highlight w:val="none"/>
                <w:lang w:val="en-US" w:eastAsia="zh-CN"/>
              </w:rPr>
              <w:t>【主观分】供应商针对本项目提供的：①</w:t>
            </w:r>
            <w:r>
              <w:rPr>
                <w:rFonts w:hint="eastAsia"/>
                <w:color w:val="auto"/>
                <w:highlight w:val="none"/>
              </w:rPr>
              <w:t>食堂经营定位</w:t>
            </w:r>
            <w:r>
              <w:rPr>
                <w:rFonts w:hint="eastAsia" w:ascii="宋体" w:hAnsi="宋体" w:eastAsia="宋体"/>
                <w:color w:val="auto"/>
                <w:spacing w:val="-6"/>
                <w:highlight w:val="none"/>
              </w:rPr>
              <w:t>经营措施、经营的流程设计</w:t>
            </w:r>
            <w:r>
              <w:rPr>
                <w:rFonts w:hint="eastAsia"/>
                <w:color w:val="auto"/>
                <w:highlight w:val="none"/>
                <w:lang w:val="en-US" w:eastAsia="zh-CN"/>
              </w:rPr>
              <w:t>，②</w:t>
            </w:r>
            <w:r>
              <w:rPr>
                <w:rFonts w:hint="eastAsia"/>
                <w:color w:val="auto"/>
                <w:highlight w:val="none"/>
              </w:rPr>
              <w:t>服务重点与难点及应对</w:t>
            </w:r>
            <w:r>
              <w:rPr>
                <w:rFonts w:hint="eastAsia"/>
                <w:color w:val="auto"/>
                <w:highlight w:val="none"/>
                <w:lang w:eastAsia="zh-CN"/>
              </w:rPr>
              <w:t>方案（</w:t>
            </w:r>
            <w:r>
              <w:rPr>
                <w:rFonts w:hint="eastAsia"/>
                <w:color w:val="auto"/>
                <w:highlight w:val="none"/>
                <w:lang w:val="en-US" w:eastAsia="zh-CN"/>
              </w:rPr>
              <w:t>包括但不限于响应服务效率、临时检查应对措施等</w:t>
            </w:r>
            <w:r>
              <w:rPr>
                <w:rFonts w:hint="eastAsia"/>
                <w:color w:val="auto"/>
                <w:highlight w:val="none"/>
                <w:lang w:eastAsia="zh-CN"/>
              </w:rPr>
              <w:t>）</w:t>
            </w:r>
            <w:r>
              <w:rPr>
                <w:rFonts w:hint="eastAsia"/>
                <w:color w:val="auto"/>
                <w:highlight w:val="none"/>
                <w:lang w:val="en-US" w:eastAsia="zh-CN"/>
              </w:rPr>
              <w:t>，根据提供的方案、重难点内容的完整性、可行性、针对性进行评分，每项最高得3分，共6分。</w:t>
            </w:r>
          </w:p>
          <w:p>
            <w:pPr>
              <w:pStyle w:val="5"/>
              <w:spacing w:line="360" w:lineRule="auto"/>
              <w:ind w:left="0" w:leftChars="0" w:firstLine="0" w:firstLineChars="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每项</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完整可行、针对性强的得3分；方案内容基本全面、基本合理可行、有针对性的得2分；方案完整性可行性一般的、针对性较差的1分；不提供不得分。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7</w:t>
            </w:r>
          </w:p>
        </w:tc>
        <w:tc>
          <w:tcPr>
            <w:tcW w:w="1721" w:type="dxa"/>
            <w:vMerge w:val="restar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菜单安排</w:t>
            </w:r>
          </w:p>
        </w:tc>
        <w:tc>
          <w:tcPr>
            <w:tcW w:w="5260" w:type="dxa"/>
            <w:vAlign w:val="center"/>
          </w:tcPr>
          <w:p>
            <w:pPr>
              <w:numPr>
                <w:ilvl w:val="0"/>
                <w:numId w:val="0"/>
              </w:numPr>
              <w:spacing w:line="360" w:lineRule="auto"/>
              <w:rPr>
                <w:rFonts w:hint="default"/>
                <w:color w:val="auto"/>
                <w:highlight w:val="none"/>
                <w:lang w:val="en-US" w:eastAsia="zh-CN"/>
              </w:rPr>
            </w:pPr>
            <w:r>
              <w:rPr>
                <w:rFonts w:hint="eastAsia"/>
                <w:color w:val="auto"/>
                <w:highlight w:val="none"/>
                <w:lang w:val="en-US" w:eastAsia="zh-CN"/>
              </w:rPr>
              <w:t>结合招标文件采购需求提供投标截止时间后一个月的菜单，根据菜品数量、种类、花色、创新程度等和采购需求的匹配程度进行评分，</w:t>
            </w:r>
          </w:p>
          <w:p>
            <w:pPr>
              <w:numPr>
                <w:ilvl w:val="0"/>
                <w:numId w:val="0"/>
              </w:numPr>
              <w:spacing w:line="360" w:lineRule="auto"/>
              <w:rPr>
                <w:rFonts w:hint="default" w:hAnsi="宋体" w:cs="宋体"/>
                <w:color w:val="auto"/>
                <w:sz w:val="21"/>
                <w:szCs w:val="21"/>
                <w:highlight w:val="none"/>
                <w:lang w:val="en-US" w:eastAsia="zh-CN"/>
              </w:rPr>
            </w:pPr>
            <w:r>
              <w:rPr>
                <w:rFonts w:hint="eastAsia"/>
                <w:color w:val="auto"/>
                <w:highlight w:val="none"/>
                <w:lang w:val="en-US" w:eastAsia="zh-CN"/>
              </w:rPr>
              <w:t>菜单完全满足采购需求、创新程度好、匹配程度高的得5分；菜单基本满足采购需求（数量、种类、花色）、创新程度一般的得3分；菜单与采购需求较为匹配的得2分；菜单与采购需求匹配程度一般的得1分；不提供的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p>
        </w:tc>
        <w:tc>
          <w:tcPr>
            <w:tcW w:w="1721" w:type="dxa"/>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260" w:type="dxa"/>
            <w:vAlign w:val="center"/>
          </w:tcPr>
          <w:p>
            <w:pPr>
              <w:numPr>
                <w:ilvl w:val="0"/>
                <w:numId w:val="0"/>
              </w:numPr>
              <w:spacing w:line="360" w:lineRule="auto"/>
              <w:rPr>
                <w:rFonts w:hint="eastAsia"/>
                <w:color w:val="auto"/>
                <w:szCs w:val="21"/>
                <w:highlight w:val="none"/>
                <w:lang w:val="en-US" w:eastAsia="zh-CN"/>
              </w:rPr>
            </w:pPr>
            <w:r>
              <w:rPr>
                <w:rFonts w:hint="eastAsia"/>
                <w:color w:val="auto"/>
                <w:highlight w:val="none"/>
                <w:lang w:val="en-US" w:eastAsia="zh-CN"/>
              </w:rPr>
              <w:t>结合招标文件采购需求提供小吃档口各地相关美食方案，方案包括但不限于小吃数量、种类、做法的完整、</w:t>
            </w:r>
            <w:r>
              <w:rPr>
                <w:rFonts w:hint="eastAsia"/>
                <w:color w:val="auto"/>
                <w:szCs w:val="21"/>
                <w:highlight w:val="none"/>
                <w:lang w:val="en-US" w:eastAsia="zh-CN"/>
              </w:rPr>
              <w:t>合理、针对性（0-5分）及方案的创新程度（0-2分），</w:t>
            </w:r>
          </w:p>
          <w:p>
            <w:pPr>
              <w:pStyle w:val="2"/>
              <w:rPr>
                <w:rFonts w:hint="default"/>
                <w:color w:val="auto"/>
                <w:sz w:val="21"/>
                <w:lang w:val="en-US" w:eastAsia="zh-CN"/>
              </w:rPr>
            </w:pPr>
            <w:r>
              <w:rPr>
                <w:rFonts w:hint="default"/>
                <w:color w:val="auto"/>
                <w:sz w:val="21"/>
                <w:lang w:val="en-US" w:eastAsia="zh-CN"/>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p>
            <w:pPr>
              <w:pStyle w:val="2"/>
              <w:rPr>
                <w:rFonts w:hint="default"/>
                <w:color w:val="auto"/>
                <w:lang w:val="en-US" w:eastAsia="zh-CN"/>
              </w:rPr>
            </w:pPr>
            <w:r>
              <w:rPr>
                <w:rFonts w:hint="default"/>
                <w:color w:val="auto"/>
                <w:sz w:val="21"/>
                <w:lang w:val="en-US" w:eastAsia="zh-CN"/>
              </w:rPr>
              <w:t>方案创新性好，且可实施性强的得2分；方案有一定创新性且有一定实施性的得1分；方案常规不具备创新性的不得分。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食品安全保障措施</w:t>
            </w:r>
          </w:p>
        </w:tc>
        <w:tc>
          <w:tcPr>
            <w:tcW w:w="5260" w:type="dxa"/>
            <w:vAlign w:val="center"/>
          </w:tcPr>
          <w:p>
            <w:pPr>
              <w:snapToGrid w:val="0"/>
              <w:spacing w:line="360" w:lineRule="auto"/>
              <w:jc w:val="left"/>
              <w:rPr>
                <w:rFonts w:hint="eastAsia" w:cs="仿宋_GB2312" w:asciiTheme="minorEastAsia" w:hAnsiTheme="minorEastAsia" w:eastAsiaTheme="minorEastAsia"/>
                <w:color w:val="auto"/>
                <w:sz w:val="21"/>
                <w:szCs w:val="21"/>
                <w:highlight w:val="none"/>
                <w:lang w:val="en-US" w:eastAsia="zh-CN"/>
              </w:rPr>
            </w:pPr>
            <w:r>
              <w:rPr>
                <w:rFonts w:hint="eastAsia"/>
                <w:color w:val="auto"/>
                <w:highlight w:val="none"/>
                <w:lang w:val="en-US" w:eastAsia="zh-CN"/>
              </w:rPr>
              <w:t>【主观分】</w:t>
            </w:r>
            <w:r>
              <w:rPr>
                <w:rFonts w:hint="eastAsia" w:cs="仿宋_GB2312" w:asciiTheme="minorEastAsia" w:hAnsiTheme="minorEastAsia" w:eastAsiaTheme="minorEastAsia"/>
                <w:color w:val="auto"/>
                <w:sz w:val="21"/>
                <w:szCs w:val="21"/>
                <w:highlight w:val="none"/>
                <w:lang w:val="en-US" w:eastAsia="zh-CN"/>
              </w:rPr>
              <w:t>供应商针对本项目提出的食品安全保障措施：</w:t>
            </w:r>
          </w:p>
          <w:p>
            <w:pPr>
              <w:snapToGrid w:val="0"/>
              <w:spacing w:line="360" w:lineRule="auto"/>
              <w:jc w:val="left"/>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①严格的食品安全管理制度，②完善的食品原料管理方案，③食品加工操作措施，每项最高得</w:t>
            </w:r>
            <w:r>
              <w:rPr>
                <w:rFonts w:hint="default" w:cs="仿宋_GB2312" w:asciiTheme="minorEastAsia" w:hAnsiTheme="minorEastAsia" w:eastAsiaTheme="minorEastAsia"/>
                <w:color w:val="auto"/>
                <w:sz w:val="21"/>
                <w:szCs w:val="21"/>
                <w:highlight w:val="none"/>
                <w:lang w:val="en-US" w:eastAsia="zh-CN"/>
              </w:rPr>
              <w:t>2</w:t>
            </w:r>
            <w:r>
              <w:rPr>
                <w:rFonts w:hint="eastAsia" w:cs="仿宋_GB2312" w:asciiTheme="minorEastAsia" w:hAnsiTheme="minorEastAsia" w:eastAsiaTheme="minorEastAsia"/>
                <w:color w:val="auto"/>
                <w:sz w:val="21"/>
                <w:szCs w:val="21"/>
                <w:highlight w:val="none"/>
                <w:lang w:val="en-US" w:eastAsia="zh-CN"/>
              </w:rPr>
              <w:t>分，共</w:t>
            </w:r>
            <w:r>
              <w:rPr>
                <w:rFonts w:hint="default" w:cs="仿宋_GB2312" w:asciiTheme="minorEastAsia" w:hAnsiTheme="minorEastAsia" w:eastAsiaTheme="minorEastAsia"/>
                <w:color w:val="auto"/>
                <w:sz w:val="21"/>
                <w:szCs w:val="21"/>
                <w:highlight w:val="none"/>
                <w:lang w:val="en-US" w:eastAsia="zh-CN"/>
              </w:rPr>
              <w:t>6</w:t>
            </w:r>
            <w:r>
              <w:rPr>
                <w:rFonts w:hint="eastAsia" w:cs="仿宋_GB2312" w:asciiTheme="minorEastAsia" w:hAnsiTheme="minorEastAsia" w:eastAsiaTheme="minorEastAsia"/>
                <w:color w:val="auto"/>
                <w:sz w:val="21"/>
                <w:szCs w:val="21"/>
                <w:highlight w:val="none"/>
                <w:lang w:val="en-US" w:eastAsia="zh-CN"/>
              </w:rPr>
              <w:t>分，根据提供方案措施的完整性、可行性、针对性打分，</w:t>
            </w:r>
            <w:r>
              <w:rPr>
                <w:rFonts w:hint="eastAsia" w:hAnsi="宋体" w:cs="宋体"/>
                <w:color w:val="auto"/>
                <w:sz w:val="21"/>
                <w:szCs w:val="21"/>
                <w:highlight w:val="none"/>
                <w:lang w:val="en-US" w:eastAsia="zh-CN"/>
              </w:rPr>
              <w:t>每项</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w:t>
            </w:r>
            <w:r>
              <w:rPr>
                <w:rFonts w:hint="default" w:hAnsi="宋体" w:cs="宋体"/>
                <w:color w:val="auto"/>
                <w:sz w:val="21"/>
                <w:szCs w:val="21"/>
                <w:highlight w:val="none"/>
                <w:lang w:val="en-US" w:eastAsia="zh-CN"/>
              </w:rPr>
              <w:t>2</w:t>
            </w:r>
            <w:r>
              <w:rPr>
                <w:rFonts w:hint="eastAsia" w:hAnsi="宋体" w:cs="宋体"/>
                <w:color w:val="auto"/>
                <w:sz w:val="21"/>
                <w:szCs w:val="21"/>
                <w:highlight w:val="none"/>
                <w:lang w:val="en-US" w:eastAsia="zh-CN"/>
              </w:rPr>
              <w:t>分；方案完整性可行性一般的、针对性较差的</w:t>
            </w:r>
            <w:r>
              <w:rPr>
                <w:rFonts w:hint="default" w:hAnsi="宋体" w:cs="宋体"/>
                <w:color w:val="auto"/>
                <w:sz w:val="21"/>
                <w:szCs w:val="21"/>
                <w:highlight w:val="none"/>
                <w:lang w:val="en-US" w:eastAsia="zh-CN"/>
              </w:rPr>
              <w:t>1</w:t>
            </w:r>
            <w:r>
              <w:rPr>
                <w:rFonts w:hint="eastAsia" w:hAnsi="宋体" w:cs="宋体"/>
                <w:color w:val="auto"/>
                <w:sz w:val="21"/>
                <w:szCs w:val="21"/>
                <w:highlight w:val="none"/>
                <w:lang w:val="en-US" w:eastAsia="zh-CN"/>
              </w:rPr>
              <w:t>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w:t>
            </w:r>
            <w:r>
              <w:rPr>
                <w:rFonts w:hint="default" w:cs="仿宋_GB2312" w:asciiTheme="minorEastAsia" w:hAnsiTheme="minorEastAsia" w:eastAsiaTheme="minorEastAsia"/>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9</w:t>
            </w:r>
          </w:p>
        </w:tc>
        <w:tc>
          <w:tcPr>
            <w:tcW w:w="1721"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成本控制、反食品浪费方案</w:t>
            </w:r>
          </w:p>
        </w:tc>
        <w:tc>
          <w:tcPr>
            <w:tcW w:w="5260" w:type="dxa"/>
            <w:vAlign w:val="center"/>
          </w:tcPr>
          <w:p>
            <w:pPr>
              <w:snapToGrid w:val="0"/>
              <w:spacing w:line="360" w:lineRule="auto"/>
              <w:jc w:val="left"/>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【主观分】根据供应商提供的原料节约、成本控制方案及反食品浪费测算方案等综合评审。</w:t>
            </w:r>
          </w:p>
          <w:p>
            <w:pPr>
              <w:snapToGrid w:val="0"/>
              <w:spacing w:line="360" w:lineRule="auto"/>
              <w:jc w:val="left"/>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10</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服务质量控制方案</w:t>
            </w:r>
          </w:p>
        </w:tc>
        <w:tc>
          <w:tcPr>
            <w:tcW w:w="5260" w:type="dxa"/>
            <w:vAlign w:val="center"/>
          </w:tcPr>
          <w:p>
            <w:pPr>
              <w:snapToGrid w:val="0"/>
              <w:spacing w:line="360" w:lineRule="auto"/>
              <w:jc w:val="left"/>
              <w:rPr>
                <w:rFonts w:hint="eastAsia" w:cs="仿宋_GB2312" w:asciiTheme="minorEastAsia" w:hAnsiTheme="minorEastAsia" w:eastAsiaTheme="minorEastAsia"/>
                <w:color w:val="auto"/>
                <w:sz w:val="21"/>
                <w:szCs w:val="21"/>
                <w:highlight w:val="none"/>
                <w:lang w:val="en-US" w:eastAsia="zh-CN"/>
              </w:rPr>
            </w:pPr>
            <w:r>
              <w:rPr>
                <w:rFonts w:hint="eastAsia"/>
                <w:color w:val="auto"/>
                <w:highlight w:val="none"/>
                <w:lang w:val="en-US" w:eastAsia="zh-CN"/>
              </w:rPr>
              <w:t>【主观分】</w:t>
            </w:r>
            <w:r>
              <w:rPr>
                <w:rFonts w:hint="eastAsia" w:cs="仿宋_GB2312" w:asciiTheme="minorEastAsia" w:hAnsiTheme="minorEastAsia" w:eastAsiaTheme="minorEastAsia"/>
                <w:color w:val="auto"/>
                <w:sz w:val="21"/>
                <w:szCs w:val="21"/>
                <w:highlight w:val="none"/>
                <w:lang w:val="en-US" w:eastAsia="zh-CN"/>
              </w:rPr>
              <w:t>供应商针对本项目提出的服务质量控制方案，</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完整可行、有针对性的得3分；方案比较完整可行的、比较有针对性的得2分；方案完整性可行性一般的、针对性较差的1分；不提供不得分。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11</w:t>
            </w:r>
          </w:p>
        </w:tc>
        <w:tc>
          <w:tcPr>
            <w:tcW w:w="1721"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卫生管理方案</w:t>
            </w: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【主观分】</w:t>
            </w:r>
            <w:r>
              <w:rPr>
                <w:rFonts w:hint="eastAsia" w:cs="仿宋_GB2312" w:asciiTheme="minorEastAsia" w:hAnsiTheme="minorEastAsia" w:eastAsiaTheme="minorEastAsia"/>
                <w:color w:val="auto"/>
                <w:sz w:val="21"/>
                <w:szCs w:val="21"/>
                <w:highlight w:val="none"/>
                <w:lang w:val="en-US" w:eastAsia="zh-CN"/>
              </w:rPr>
              <w:t>供应商针对本项目提出的卫生管理方案,包括但不限于餐厅卫生、员工卫生、餐具卫生等，</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完整可行、有针对性的得3分；方案比较完整可行的、比较有针对性的得2分；方案完整性可行性一般的、针对性较差的1分；不提供不得分。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12</w:t>
            </w:r>
          </w:p>
        </w:tc>
        <w:tc>
          <w:tcPr>
            <w:tcW w:w="1721"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应急预案</w:t>
            </w: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主观分】应急预案：①临时性保障任务（含加班、包厢等）预案，②消防、临时停水停电停气、恶劣天气等预案，③出现食品安全的应对预案，④人员临时变动、替换预案，根据提供的预案内容进行评分，科学、可靠且贴合实际的，每一项最高得3分，未提供或不可行的不得分，最高得12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p>
        </w:tc>
        <w:tc>
          <w:tcPr>
            <w:tcW w:w="1721"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p>
        </w:tc>
        <w:tc>
          <w:tcPr>
            <w:tcW w:w="5260" w:type="dxa"/>
            <w:vAlign w:val="center"/>
          </w:tcPr>
          <w:p>
            <w:pPr>
              <w:snapToGrid w:val="0"/>
              <w:spacing w:line="360" w:lineRule="auto"/>
              <w:jc w:val="left"/>
              <w:rPr>
                <w:rFonts w:hint="eastAsia"/>
                <w:color w:val="auto"/>
                <w:highlight w:val="none"/>
                <w:lang w:val="en-US" w:eastAsia="zh-CN"/>
              </w:rPr>
            </w:pPr>
            <w:r>
              <w:rPr>
                <w:rFonts w:hint="eastAsia" w:ascii="Times New Roman"/>
                <w:snapToGrid/>
                <w:color w:val="auto"/>
                <w:kern w:val="2"/>
                <w:sz w:val="21"/>
                <w:szCs w:val="24"/>
                <w:highlight w:val="none"/>
                <w:lang w:eastAsia="zh-CN"/>
              </w:rPr>
              <w:t>【客观分】</w:t>
            </w:r>
            <w:r>
              <w:rPr>
                <w:rFonts w:hint="eastAsia" w:ascii="Times New Roman"/>
                <w:snapToGrid/>
                <w:color w:val="auto"/>
                <w:kern w:val="2"/>
                <w:sz w:val="21"/>
                <w:szCs w:val="24"/>
                <w:highlight w:val="none"/>
              </w:rPr>
              <w:t>承诺中标后为本项目投保公共责任保险、食品安全保险，且金额不少于</w:t>
            </w:r>
            <w:r>
              <w:rPr>
                <w:rFonts w:hint="eastAsia" w:ascii="Times New Roman"/>
                <w:snapToGrid/>
                <w:color w:val="auto"/>
                <w:kern w:val="2"/>
                <w:sz w:val="21"/>
                <w:szCs w:val="24"/>
                <w:highlight w:val="none"/>
                <w:lang w:val="en-US" w:eastAsia="zh-CN"/>
              </w:rPr>
              <w:t>1</w:t>
            </w:r>
            <w:r>
              <w:rPr>
                <w:rFonts w:ascii="Times New Roman"/>
                <w:snapToGrid/>
                <w:color w:val="auto"/>
                <w:kern w:val="2"/>
                <w:sz w:val="21"/>
                <w:szCs w:val="24"/>
                <w:highlight w:val="none"/>
              </w:rPr>
              <w:t>000</w:t>
            </w:r>
            <w:r>
              <w:rPr>
                <w:rFonts w:hint="eastAsia" w:ascii="Times New Roman"/>
                <w:snapToGrid/>
                <w:color w:val="auto"/>
                <w:kern w:val="2"/>
                <w:sz w:val="21"/>
                <w:szCs w:val="24"/>
                <w:highlight w:val="none"/>
              </w:rPr>
              <w:t>万元的，各1分，共2分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13</w:t>
            </w:r>
          </w:p>
        </w:tc>
        <w:tc>
          <w:tcPr>
            <w:tcW w:w="1721" w:type="dxa"/>
            <w:vAlign w:val="center"/>
          </w:tcPr>
          <w:p>
            <w:pPr>
              <w:snapToGrid w:val="0"/>
              <w:spacing w:line="360" w:lineRule="auto"/>
              <w:jc w:val="center"/>
              <w:rPr>
                <w:rFonts w:hint="eastAsia" w:ascii="Times New Roman" w:hAnsi="宋体" w:eastAsia="宋体" w:cs="宋体"/>
                <w:color w:val="auto"/>
                <w:sz w:val="21"/>
                <w:szCs w:val="21"/>
                <w:highlight w:val="none"/>
                <w:lang w:val="en-US" w:eastAsia="zh-CN"/>
              </w:rPr>
            </w:pPr>
            <w:r>
              <w:rPr>
                <w:rFonts w:hint="eastAsia" w:ascii="Times New Roman" w:hAnsi="宋体" w:eastAsia="宋体" w:cs="宋体"/>
                <w:color w:val="auto"/>
                <w:sz w:val="21"/>
                <w:szCs w:val="21"/>
                <w:highlight w:val="none"/>
                <w:lang w:val="en-US" w:eastAsia="zh-CN"/>
              </w:rPr>
              <w:t>培训方案</w:t>
            </w:r>
          </w:p>
        </w:tc>
        <w:tc>
          <w:tcPr>
            <w:tcW w:w="5260" w:type="dxa"/>
            <w:vAlign w:val="center"/>
          </w:tcPr>
          <w:p>
            <w:pPr>
              <w:snapToGrid w:val="0"/>
              <w:spacing w:line="360" w:lineRule="auto"/>
              <w:jc w:val="left"/>
              <w:rPr>
                <w:rFonts w:hint="eastAsia" w:ascii="Times New Roman" w:hAnsi="宋体" w:eastAsia="宋体" w:cs="宋体"/>
                <w:color w:val="auto"/>
                <w:sz w:val="21"/>
                <w:szCs w:val="21"/>
                <w:highlight w:val="none"/>
                <w:lang w:val="en-US" w:eastAsia="zh-CN"/>
              </w:rPr>
            </w:pPr>
            <w:r>
              <w:rPr>
                <w:rFonts w:hint="eastAsia"/>
                <w:color w:val="auto"/>
                <w:highlight w:val="none"/>
                <w:lang w:val="en-US" w:eastAsia="zh-CN"/>
              </w:rPr>
              <w:t>【主观分】</w:t>
            </w:r>
            <w:r>
              <w:rPr>
                <w:rFonts w:hint="eastAsia" w:ascii="Times New Roman" w:hAnsi="宋体" w:eastAsia="宋体" w:cs="宋体"/>
                <w:color w:val="auto"/>
                <w:sz w:val="21"/>
                <w:szCs w:val="21"/>
                <w:highlight w:val="none"/>
                <w:lang w:val="en-US" w:eastAsia="zh-CN"/>
              </w:rPr>
              <w:t>针对本项目的培训方案：供应商对于服务人员的岗位培训计划的完整性、针对性，包括但不限于规章制度、操作流程、服务标准、岗位技能等，方案合理、可行得3分；方案较合理、较可行得2分；方案一般、可行性一般得1分；方案欠佳、可行性欠佳得0分；不提供或不合理的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14</w:t>
            </w:r>
          </w:p>
        </w:tc>
        <w:tc>
          <w:tcPr>
            <w:tcW w:w="1721" w:type="dxa"/>
            <w:vAlign w:val="center"/>
          </w:tcPr>
          <w:p>
            <w:pPr>
              <w:snapToGrid w:val="0"/>
              <w:spacing w:line="360" w:lineRule="auto"/>
              <w:jc w:val="center"/>
              <w:rPr>
                <w:rFonts w:hint="default" w:ascii="Times New Roman"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创新性餐饮服务活动方案</w:t>
            </w:r>
          </w:p>
        </w:tc>
        <w:tc>
          <w:tcPr>
            <w:tcW w:w="5260" w:type="dxa"/>
            <w:vAlign w:val="center"/>
          </w:tcPr>
          <w:p>
            <w:pPr>
              <w:snapToGrid w:val="0"/>
              <w:spacing w:line="360" w:lineRule="auto"/>
              <w:jc w:val="left"/>
              <w:rPr>
                <w:rFonts w:hint="default"/>
                <w:color w:val="auto"/>
                <w:highlight w:val="none"/>
                <w:lang w:val="en-US" w:eastAsia="zh-CN"/>
              </w:rPr>
            </w:pPr>
            <w:r>
              <w:rPr>
                <w:rFonts w:hint="eastAsia"/>
                <w:color w:val="auto"/>
                <w:highlight w:val="none"/>
                <w:lang w:val="en-US" w:eastAsia="zh-CN"/>
              </w:rPr>
              <w:t>【主观分】针对本项目提供的</w:t>
            </w:r>
            <w:r>
              <w:rPr>
                <w:rFonts w:hint="eastAsia" w:hAnsi="宋体" w:cs="宋体"/>
                <w:color w:val="auto"/>
                <w:sz w:val="21"/>
                <w:szCs w:val="21"/>
                <w:highlight w:val="none"/>
                <w:lang w:val="en-US" w:eastAsia="zh-CN"/>
              </w:rPr>
              <w:t>创新性餐饮服务活动</w:t>
            </w:r>
            <w:r>
              <w:rPr>
                <w:rFonts w:hint="eastAsia"/>
                <w:color w:val="auto"/>
                <w:highlight w:val="none"/>
                <w:lang w:val="en-US" w:eastAsia="zh-CN"/>
              </w:rPr>
              <w:t>方案的创新性、可实施性以及和本项目的匹配程度。提供的特色服务创新、可实施性高且与本项目匹配的得5分，提供的特色服务创新性较好的、可实施性较高的、与本项目较为匹配的得3分，特色服务创新性一般、可实施性一般、与本项目匹配程度一般的得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15</w:t>
            </w:r>
          </w:p>
        </w:tc>
        <w:tc>
          <w:tcPr>
            <w:tcW w:w="1721" w:type="dxa"/>
            <w:vMerge w:val="restart"/>
            <w:vAlign w:val="center"/>
          </w:tcPr>
          <w:p>
            <w:pPr>
              <w:snapToGrid w:val="0"/>
              <w:spacing w:line="360" w:lineRule="auto"/>
              <w:jc w:val="center"/>
              <w:rPr>
                <w:rFonts w:hint="default" w:ascii="Times New Roman" w:hAnsi="宋体" w:eastAsia="宋体" w:cs="宋体"/>
                <w:color w:val="auto"/>
                <w:sz w:val="21"/>
                <w:szCs w:val="21"/>
                <w:highlight w:val="none"/>
                <w:lang w:val="en-US" w:eastAsia="zh-CN"/>
              </w:rPr>
            </w:pPr>
            <w:r>
              <w:rPr>
                <w:rFonts w:hint="eastAsia" w:ascii="Times New Roman" w:hAnsi="宋体" w:eastAsia="宋体" w:cs="宋体"/>
                <w:color w:val="auto"/>
                <w:sz w:val="21"/>
                <w:szCs w:val="21"/>
                <w:highlight w:val="none"/>
                <w:lang w:val="en-US" w:eastAsia="zh-CN"/>
              </w:rPr>
              <w:t>投入团队</w:t>
            </w:r>
          </w:p>
        </w:tc>
        <w:tc>
          <w:tcPr>
            <w:tcW w:w="5260" w:type="dxa"/>
            <w:vAlign w:val="center"/>
          </w:tcPr>
          <w:p>
            <w:pPr>
              <w:snapToGrid w:val="0"/>
              <w:spacing w:line="360" w:lineRule="auto"/>
              <w:jc w:val="left"/>
              <w:rPr>
                <w:rFonts w:hint="default"/>
                <w:color w:val="auto"/>
                <w:highlight w:val="none"/>
                <w:lang w:val="en-US" w:eastAsia="zh-CN"/>
              </w:rPr>
            </w:pPr>
            <w:r>
              <w:rPr>
                <w:rFonts w:hint="eastAsia"/>
                <w:color w:val="auto"/>
                <w:highlight w:val="none"/>
                <w:lang w:val="en-US" w:eastAsia="zh-CN"/>
              </w:rPr>
              <w:t>【主观分】针对本项目提供的厨师长、服务主管的相关情况，包括但不限于相关在岗经验、证书等，负责人相关与项目匹配成熟高的得3分，匹配程度较好的得2分，匹配程度一般的得1分，无相关经验或不提供的不得分。需提供近6个月的社保证明材料。</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rPr>
            </w:pPr>
          </w:p>
        </w:tc>
        <w:tc>
          <w:tcPr>
            <w:tcW w:w="1721" w:type="dxa"/>
            <w:vMerge w:val="continue"/>
            <w:vAlign w:val="center"/>
          </w:tcPr>
          <w:p>
            <w:pPr>
              <w:snapToGrid w:val="0"/>
              <w:spacing w:line="360" w:lineRule="auto"/>
              <w:jc w:val="center"/>
              <w:rPr>
                <w:rFonts w:hint="eastAsia" w:ascii="Times New Roman" w:hAnsi="宋体" w:eastAsia="宋体" w:cs="宋体"/>
                <w:color w:val="auto"/>
                <w:sz w:val="21"/>
                <w:szCs w:val="21"/>
                <w:highlight w:val="none"/>
                <w:lang w:val="en-US" w:eastAsia="zh-CN"/>
              </w:rPr>
            </w:pPr>
          </w:p>
        </w:tc>
        <w:tc>
          <w:tcPr>
            <w:tcW w:w="5260" w:type="dxa"/>
            <w:vAlign w:val="center"/>
          </w:tcPr>
          <w:p>
            <w:pPr>
              <w:snapToGrid w:val="0"/>
              <w:spacing w:line="360" w:lineRule="auto"/>
              <w:jc w:val="left"/>
              <w:rPr>
                <w:rFonts w:hint="default"/>
                <w:color w:val="auto"/>
                <w:highlight w:val="none"/>
                <w:lang w:val="en-US" w:eastAsia="zh-CN"/>
              </w:rPr>
            </w:pPr>
            <w:r>
              <w:rPr>
                <w:rFonts w:hint="eastAsia"/>
                <w:color w:val="auto"/>
                <w:highlight w:val="none"/>
                <w:lang w:val="en-US" w:eastAsia="zh-CN"/>
              </w:rPr>
              <w:t>【主观分】针对本项目提出的服务团队的配置与本项目的匹配程度，提供团队人员组成结构、学历证书、相关技能证书等。团队与项目匹配成熟高的得2分，匹配程度一般的得1分，不满足招标文件基本人员要求的不得分。拟投入人员均需提供健康证及近6个月的社保证明材料。</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p>
        </w:tc>
        <w:tc>
          <w:tcPr>
            <w:tcW w:w="1721" w:type="dxa"/>
            <w:vMerge w:val="continue"/>
            <w:vAlign w:val="center"/>
          </w:tcPr>
          <w:p>
            <w:pPr>
              <w:snapToGrid w:val="0"/>
              <w:spacing w:line="360" w:lineRule="auto"/>
              <w:jc w:val="center"/>
              <w:rPr>
                <w:rFonts w:hint="eastAsia" w:ascii="Times New Roman" w:hAnsi="宋体" w:eastAsia="宋体" w:cs="宋体"/>
                <w:color w:val="auto"/>
                <w:sz w:val="21"/>
                <w:szCs w:val="21"/>
                <w:highlight w:val="none"/>
                <w:lang w:val="en-US" w:eastAsia="zh-CN"/>
              </w:rPr>
            </w:pP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【客观分】针对本项目提供的主要岗位人员（厨师长、厨师、面点师）证书高于采购需求基本要求的，每提供一个人员（需提供相关证书及近3个月的社保证书），加1分，最多加3分。</w:t>
            </w:r>
          </w:p>
          <w:p>
            <w:pPr>
              <w:pStyle w:val="2"/>
              <w:rPr>
                <w:rFonts w:hint="default"/>
                <w:color w:val="auto"/>
                <w:highlight w:val="none"/>
                <w:lang w:val="en-US" w:eastAsia="zh-CN"/>
              </w:rPr>
            </w:pPr>
            <w:r>
              <w:rPr>
                <w:rFonts w:hint="eastAsia" w:ascii="Times New Roman" w:hAnsi="Times New Roman" w:eastAsia="宋体" w:cs="Times New Roman"/>
                <w:snapToGrid/>
                <w:color w:val="auto"/>
                <w:sz w:val="21"/>
                <w:szCs w:val="24"/>
                <w:highlight w:val="none"/>
                <w:lang w:val="en-US" w:eastAsia="zh-CN"/>
              </w:rPr>
              <w:t>例：</w:t>
            </w:r>
            <w:r>
              <w:rPr>
                <w:rFonts w:hint="eastAsia" w:ascii="Times New Roman" w:hAnsi="Times New Roman" w:cs="Times New Roman"/>
                <w:snapToGrid/>
                <w:color w:val="auto"/>
                <w:sz w:val="21"/>
                <w:szCs w:val="24"/>
                <w:highlight w:val="none"/>
                <w:lang w:val="en-US" w:eastAsia="zh-CN"/>
              </w:rPr>
              <w:t>一名厨师</w:t>
            </w:r>
            <w:r>
              <w:rPr>
                <w:rFonts w:hint="eastAsia" w:ascii="Times New Roman" w:hAnsi="Times New Roman" w:eastAsia="宋体" w:cs="Times New Roman"/>
                <w:snapToGrid/>
                <w:color w:val="auto"/>
                <w:sz w:val="21"/>
                <w:szCs w:val="24"/>
                <w:highlight w:val="none"/>
                <w:lang w:val="en-US" w:eastAsia="zh-CN"/>
              </w:rPr>
              <w:t>采购需求为具备高级（三级）及以上厨师证，即高于</w:t>
            </w:r>
            <w:r>
              <w:rPr>
                <w:rFonts w:hint="eastAsia" w:ascii="Times New Roman" w:hAnsi="Times New Roman" w:cs="Times New Roman"/>
                <w:snapToGrid/>
                <w:color w:val="auto"/>
                <w:sz w:val="21"/>
                <w:szCs w:val="24"/>
                <w:highlight w:val="none"/>
                <w:lang w:val="en-US" w:eastAsia="zh-CN"/>
              </w:rPr>
              <w:t>三</w:t>
            </w:r>
            <w:r>
              <w:rPr>
                <w:rFonts w:hint="eastAsia" w:ascii="Times New Roman" w:hAnsi="Times New Roman" w:eastAsia="宋体" w:cs="Times New Roman"/>
                <w:snapToGrid/>
                <w:color w:val="auto"/>
                <w:sz w:val="21"/>
                <w:szCs w:val="24"/>
                <w:highlight w:val="none"/>
                <w:lang w:val="en-US" w:eastAsia="zh-CN"/>
              </w:rPr>
              <w:t>级的证书视为高于采购基本要求</w:t>
            </w:r>
            <w:r>
              <w:rPr>
                <w:rFonts w:hint="eastAsia" w:ascii="Times New Roman" w:hAnsi="Times New Roman" w:cs="Times New Roman"/>
                <w:snapToGrid/>
                <w:color w:val="auto"/>
                <w:sz w:val="21"/>
                <w:szCs w:val="24"/>
                <w:highlight w:val="none"/>
                <w:lang w:val="en-US" w:eastAsia="zh-CN"/>
              </w:rPr>
              <w:t>；其余厨师证书未作要求的，达到高级（三级）即为高于采购需求</w:t>
            </w:r>
            <w:r>
              <w:rPr>
                <w:rFonts w:hint="eastAsia" w:ascii="Times New Roman" w:hAnsi="Times New Roman" w:eastAsia="宋体" w:cs="Times New Roman"/>
                <w:snapToGrid/>
                <w:color w:val="auto"/>
                <w:sz w:val="21"/>
                <w:szCs w:val="24"/>
                <w:highlight w:val="none"/>
                <w:lang w:val="en-US" w:eastAsia="zh-CN"/>
              </w:rPr>
              <w:t>。</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16</w:t>
            </w:r>
          </w:p>
        </w:tc>
        <w:tc>
          <w:tcPr>
            <w:tcW w:w="1721" w:type="dxa"/>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服务承诺、</w:t>
            </w:r>
            <w:r>
              <w:rPr>
                <w:rFonts w:hint="eastAsia" w:ascii="宋体" w:hAnsi="宋体"/>
                <w:color w:val="auto"/>
                <w:szCs w:val="21"/>
                <w:highlight w:val="none"/>
              </w:rPr>
              <w:t>优惠条件</w:t>
            </w:r>
          </w:p>
        </w:tc>
        <w:tc>
          <w:tcPr>
            <w:tcW w:w="5260" w:type="dxa"/>
            <w:vAlign w:val="center"/>
          </w:tcPr>
          <w:p>
            <w:pPr>
              <w:pStyle w:val="6"/>
              <w:spacing w:before="120" w:beforeLines="50" w:after="120" w:afterLines="50" w:line="360" w:lineRule="auto"/>
              <w:ind w:firstLine="0" w:firstLineChars="0"/>
              <w:rPr>
                <w:rFonts w:hint="eastAsia" w:ascii="宋体" w:hAnsi="宋体"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【主观分】</w:t>
            </w:r>
            <w:r>
              <w:rPr>
                <w:rFonts w:hint="eastAsia" w:ascii="Times New Roman" w:hAnsi="Times New Roman" w:cs="Times New Roman"/>
                <w:color w:val="auto"/>
                <w:spacing w:val="0"/>
                <w:kern w:val="2"/>
                <w:sz w:val="21"/>
                <w:szCs w:val="24"/>
                <w:highlight w:val="none"/>
                <w:lang w:val="en-US" w:eastAsia="zh-CN" w:bidi="ar-SA"/>
              </w:rPr>
              <w:t>供应商</w:t>
            </w:r>
            <w:r>
              <w:rPr>
                <w:rFonts w:hint="eastAsia" w:ascii="Times New Roman" w:hAnsi="Times New Roman" w:eastAsia="宋体" w:cs="Times New Roman"/>
                <w:color w:val="auto"/>
                <w:spacing w:val="0"/>
                <w:kern w:val="2"/>
                <w:sz w:val="21"/>
                <w:szCs w:val="24"/>
                <w:highlight w:val="none"/>
                <w:lang w:val="en-US" w:eastAsia="zh-CN" w:bidi="ar-SA"/>
              </w:rPr>
              <w:t>承诺给予</w:t>
            </w:r>
            <w:r>
              <w:rPr>
                <w:rFonts w:hint="eastAsia" w:ascii="Times New Roman" w:hAnsi="Times New Roman" w:cs="Times New Roman"/>
                <w:color w:val="auto"/>
                <w:spacing w:val="0"/>
                <w:kern w:val="2"/>
                <w:sz w:val="21"/>
                <w:szCs w:val="24"/>
                <w:highlight w:val="none"/>
                <w:lang w:val="en-US" w:eastAsia="zh-CN" w:bidi="ar-SA"/>
              </w:rPr>
              <w:t>采购人</w:t>
            </w:r>
            <w:r>
              <w:rPr>
                <w:rFonts w:hAnsi="宋体"/>
                <w:bCs/>
                <w:color w:val="auto"/>
                <w:spacing w:val="0"/>
                <w:sz w:val="21"/>
                <w:szCs w:val="21"/>
                <w:highlight w:val="none"/>
              </w:rPr>
              <w:t>的</w:t>
            </w:r>
            <w:r>
              <w:rPr>
                <w:rFonts w:hint="eastAsia" w:hAnsi="宋体"/>
                <w:bCs/>
                <w:color w:val="auto"/>
                <w:spacing w:val="0"/>
                <w:sz w:val="21"/>
                <w:szCs w:val="21"/>
                <w:highlight w:val="none"/>
                <w:lang w:val="en-US" w:eastAsia="zh-CN"/>
              </w:rPr>
              <w:t>实质性服务承诺、</w:t>
            </w:r>
            <w:r>
              <w:rPr>
                <w:rFonts w:hint="eastAsia" w:hAnsi="宋体"/>
                <w:bCs/>
                <w:color w:val="auto"/>
                <w:spacing w:val="0"/>
                <w:sz w:val="21"/>
                <w:szCs w:val="21"/>
                <w:highlight w:val="none"/>
              </w:rPr>
              <w:t>优惠条件，</w:t>
            </w:r>
            <w:r>
              <w:rPr>
                <w:rFonts w:hint="eastAsia" w:hAnsi="宋体"/>
                <w:bCs/>
                <w:color w:val="auto"/>
                <w:spacing w:val="0"/>
                <w:sz w:val="21"/>
                <w:szCs w:val="21"/>
                <w:highlight w:val="none"/>
                <w:lang w:val="en-US" w:eastAsia="zh-CN"/>
              </w:rPr>
              <w:t>每项</w:t>
            </w:r>
            <w:r>
              <w:rPr>
                <w:rFonts w:hint="eastAsia" w:hAnsi="宋体"/>
                <w:bCs/>
                <w:color w:val="auto"/>
                <w:spacing w:val="0"/>
                <w:sz w:val="21"/>
                <w:szCs w:val="21"/>
                <w:highlight w:val="none"/>
              </w:rPr>
              <w:t>1项得</w:t>
            </w:r>
            <w:r>
              <w:rPr>
                <w:rFonts w:hint="eastAsia" w:hAnsi="宋体"/>
                <w:bCs/>
                <w:color w:val="auto"/>
                <w:spacing w:val="0"/>
                <w:sz w:val="21"/>
                <w:szCs w:val="21"/>
                <w:highlight w:val="none"/>
                <w:lang w:val="en-US" w:eastAsia="zh-CN"/>
              </w:rPr>
              <w:t>2</w:t>
            </w:r>
            <w:r>
              <w:rPr>
                <w:rFonts w:hint="eastAsia" w:hAnsi="宋体"/>
                <w:bCs/>
                <w:color w:val="auto"/>
                <w:spacing w:val="0"/>
                <w:sz w:val="21"/>
                <w:szCs w:val="21"/>
                <w:highlight w:val="none"/>
              </w:rPr>
              <w:t>分，最多</w:t>
            </w:r>
            <w:r>
              <w:rPr>
                <w:rFonts w:hint="eastAsia" w:hAnsi="宋体"/>
                <w:bCs/>
                <w:color w:val="auto"/>
                <w:spacing w:val="0"/>
                <w:sz w:val="21"/>
                <w:szCs w:val="21"/>
                <w:highlight w:val="none"/>
                <w:lang w:val="en-US" w:eastAsia="zh-CN"/>
              </w:rPr>
              <w:t>2</w:t>
            </w:r>
            <w:r>
              <w:rPr>
                <w:rFonts w:hint="eastAsia" w:hAnsi="宋体"/>
                <w:bCs/>
                <w:color w:val="auto"/>
                <w:spacing w:val="0"/>
                <w:sz w:val="21"/>
                <w:szCs w:val="21"/>
                <w:highlight w:val="none"/>
              </w:rPr>
              <w:t>分。</w:t>
            </w:r>
          </w:p>
        </w:tc>
        <w:tc>
          <w:tcPr>
            <w:tcW w:w="1259"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17</w:t>
            </w:r>
          </w:p>
        </w:tc>
        <w:tc>
          <w:tcPr>
            <w:tcW w:w="1721" w:type="dxa"/>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合理化建议</w:t>
            </w:r>
          </w:p>
        </w:tc>
        <w:tc>
          <w:tcPr>
            <w:tcW w:w="5260" w:type="dxa"/>
            <w:vAlign w:val="center"/>
          </w:tcPr>
          <w:p>
            <w:pPr>
              <w:pStyle w:val="6"/>
              <w:spacing w:before="120" w:beforeLines="50" w:after="120" w:afterLines="50" w:line="360" w:lineRule="auto"/>
              <w:ind w:firstLine="0" w:firstLineChars="0"/>
              <w:rPr>
                <w:rFonts w:hint="eastAsia" w:ascii="宋体" w:hAnsi="宋体" w:eastAsia="宋体" w:cs="Times New Roman"/>
                <w:color w:val="auto"/>
                <w:spacing w:val="0"/>
                <w:kern w:val="2"/>
                <w:sz w:val="21"/>
                <w:szCs w:val="21"/>
                <w:highlight w:val="none"/>
                <w:lang w:val="en-US" w:eastAsia="zh-CN" w:bidi="ar-SA"/>
              </w:rPr>
            </w:pPr>
            <w:r>
              <w:rPr>
                <w:rFonts w:hint="eastAsia" w:ascii="Times New Roman" w:hAnsi="Times New Roman" w:cs="Times New Roman"/>
                <w:color w:val="auto"/>
                <w:spacing w:val="0"/>
                <w:kern w:val="2"/>
                <w:sz w:val="21"/>
                <w:szCs w:val="24"/>
                <w:highlight w:val="none"/>
                <w:lang w:val="en-US" w:eastAsia="zh-CN" w:bidi="ar-SA"/>
              </w:rPr>
              <w:t>针对本项目提出合理化建议，根据合理化建议的针对性、合理性进行评分。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0-2</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6"/>
        <w:snapToGrid w:val="0"/>
        <w:spacing w:line="360" w:lineRule="auto"/>
        <w:rPr>
          <w:rFonts w:cs="宋体"/>
          <w:color w:val="auto"/>
          <w:highlight w:val="none"/>
        </w:rPr>
      </w:pPr>
      <w:r>
        <w:rPr>
          <w:rFonts w:hint="eastAsia" w:cs="宋体"/>
          <w:color w:val="auto"/>
          <w:highlight w:val="none"/>
        </w:rPr>
        <w:t>5.4因重大变故，采购任务取消的。</w:t>
      </w:r>
    </w:p>
    <w:p>
      <w:pPr>
        <w:pStyle w:val="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bidi w:val="0"/>
        <w:rPr>
          <w:color w:val="auto"/>
          <w:highlight w:val="none"/>
        </w:rPr>
      </w:pPr>
    </w:p>
    <w:bookmarkEnd w:id="15"/>
    <w:p>
      <w:pPr>
        <w:widowControl/>
        <w:adjustRightInd/>
        <w:jc w:val="left"/>
        <w:rPr>
          <w:rFonts w:ascii="宋体" w:hAnsi="宋体" w:cs="宋体"/>
          <w:b/>
          <w:color w:val="auto"/>
          <w:sz w:val="36"/>
          <w:szCs w:val="36"/>
          <w:highlight w:val="none"/>
        </w:rPr>
      </w:pPr>
      <w:bookmarkStart w:id="382" w:name="第五部分"/>
      <w:bookmarkStart w:id="383"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bidi w:val="0"/>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2024年西湖区机关大院三食堂服务外包</w:t>
      </w:r>
      <w:r>
        <w:rPr>
          <w:rFonts w:hint="eastAsia" w:ascii="宋体" w:hAnsi="宋体" w:cs="宋体"/>
          <w:color w:val="auto"/>
          <w:sz w:val="24"/>
          <w:highlight w:val="none"/>
          <w:u w:val="single"/>
        </w:rPr>
        <w:t xml:space="preserve">    </w:t>
      </w:r>
    </w:p>
    <w:p>
      <w:pPr>
        <w:pStyle w:val="25"/>
        <w:spacing w:before="120" w:line="22" w:lineRule="atLeast"/>
        <w:rPr>
          <w:rFonts w:ascii="宋体" w:hAnsi="宋体" w:eastAsia="宋体" w:cs="宋体"/>
          <w:color w:val="auto"/>
          <w:szCs w:val="24"/>
          <w:highlight w:val="none"/>
        </w:rPr>
      </w:pPr>
    </w:p>
    <w:p>
      <w:pPr>
        <w:pStyle w:val="25"/>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杭州市西湖区区级机关事务服务中心</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杭州市西湖区区级机关事务服务中心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2024年西湖区机关大院三食堂服务外包</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w:t>
      </w:r>
      <w:r>
        <w:rPr>
          <w:rFonts w:hint="eastAsia" w:ascii="宋体" w:hAnsi="宋体"/>
          <w:color w:val="auto"/>
          <w:sz w:val="24"/>
          <w:highlight w:val="none"/>
          <w:u w:val="single"/>
          <w:lang w:eastAsia="zh-CN"/>
        </w:rPr>
        <w:t>中标单位</w:t>
      </w:r>
      <w:r>
        <w:rPr>
          <w:rFonts w:ascii="宋体" w:hAnsi="宋体"/>
          <w:color w:val="auto"/>
          <w:sz w:val="24"/>
          <w:highlight w:val="none"/>
          <w:u w:val="single"/>
        </w:rPr>
        <w:t xml:space="preserve">名称） </w:t>
      </w:r>
      <w:r>
        <w:rPr>
          <w:rFonts w:hint="eastAsia" w:ascii="宋体" w:hAnsi="宋体"/>
          <w:color w:val="auto"/>
          <w:sz w:val="24"/>
          <w:highlight w:val="none"/>
        </w:rPr>
        <w:t>为该项目</w:t>
      </w:r>
      <w:r>
        <w:rPr>
          <w:rFonts w:hint="eastAsia" w:ascii="宋体" w:hAnsi="宋体" w:cs="宋体"/>
          <w:color w:val="auto"/>
          <w:sz w:val="24"/>
          <w:highlight w:val="none"/>
        </w:rPr>
        <w:t>中标或者</w:t>
      </w:r>
      <w:r>
        <w:rPr>
          <w:rFonts w:hint="eastAsia" w:ascii="宋体" w:hAnsi="宋体" w:cs="宋体"/>
          <w:color w:val="auto"/>
          <w:sz w:val="24"/>
          <w:highlight w:val="none"/>
          <w:lang w:eastAsia="zh-CN"/>
        </w:rPr>
        <w:t>中标单位</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杭州市西湖区区级机关事务服务中心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84" w:name="_Toc28855"/>
      <w:bookmarkStart w:id="385" w:name="_Toc22967"/>
      <w:bookmarkStart w:id="386" w:name="_Toc19273"/>
      <w:bookmarkStart w:id="387" w:name="_Toc20421"/>
      <w:bookmarkStart w:id="388"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4"/>
      <w:bookmarkEnd w:id="385"/>
      <w:bookmarkEnd w:id="386"/>
      <w:bookmarkEnd w:id="387"/>
      <w:bookmarkEnd w:id="38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89" w:name="_Toc6311"/>
      <w:bookmarkStart w:id="390" w:name="_Toc18585"/>
      <w:bookmarkStart w:id="391" w:name="_Toc2918"/>
      <w:bookmarkStart w:id="392" w:name="_Toc6773"/>
      <w:bookmarkStart w:id="393"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89"/>
      <w:bookmarkEnd w:id="390"/>
      <w:bookmarkEnd w:id="391"/>
      <w:bookmarkEnd w:id="392"/>
      <w:bookmarkEnd w:id="39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s="宋体"/>
          <w:color w:val="auto"/>
          <w:sz w:val="24"/>
          <w:highlight w:val="none"/>
          <w:u w:val="single"/>
          <w:lang w:eastAsia="zh-CN"/>
        </w:rPr>
        <w:t>西湖区机关大院</w:t>
      </w:r>
      <w:r>
        <w:rPr>
          <w:rFonts w:hint="eastAsia" w:ascii="宋体" w:hAnsi="宋体" w:cs="宋体"/>
          <w:color w:val="auto"/>
          <w:sz w:val="24"/>
          <w:highlight w:val="none"/>
          <w:u w:val="single"/>
          <w:lang w:val="en-US" w:eastAsia="zh-CN"/>
        </w:rPr>
        <w:t>三</w:t>
      </w:r>
      <w:r>
        <w:rPr>
          <w:rFonts w:hint="eastAsia" w:ascii="宋体" w:hAnsi="宋体" w:cs="宋体"/>
          <w:color w:val="auto"/>
          <w:sz w:val="24"/>
          <w:highlight w:val="none"/>
          <w:u w:val="single"/>
          <w:lang w:eastAsia="zh-CN"/>
        </w:rPr>
        <w:t>食堂服务外包</w:t>
      </w:r>
      <w:r>
        <w:rPr>
          <w:rFonts w:hint="eastAsia" w:ascii="宋体" w:hAnsi="宋体" w:cs="宋体"/>
          <w:color w:val="auto"/>
          <w:sz w:val="24"/>
          <w:highlight w:val="none"/>
          <w:u w:val="single"/>
          <w:lang w:val="en-US" w:eastAsia="zh-CN"/>
        </w:rPr>
        <w:t>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按招标文件要求</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按招标文件要求及投标文件内容</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按招标文件要求提供具备相关资质的人员，投入服务的猿人必须和投标文件人员保持一致，否则甲方有权拒绝签订或终止合同，且将其列入黑名单并上报财政</w:t>
      </w:r>
      <w:r>
        <w:rPr>
          <w:rFonts w:ascii="宋体" w:hAnsi="宋体"/>
          <w:color w:val="auto"/>
          <w:sz w:val="24"/>
          <w:highlight w:val="none"/>
          <w:u w:val="single"/>
        </w:rPr>
        <w:t xml:space="preserve"> </w:t>
      </w:r>
      <w:r>
        <w:rPr>
          <w:rFonts w:hint="eastAsia" w:ascii="宋体" w:hAnsi="宋体"/>
          <w:color w:val="auto"/>
          <w:sz w:val="24"/>
          <w:highlight w:val="none"/>
        </w:rPr>
        <w:t>；</w:t>
      </w:r>
    </w:p>
    <w:p>
      <w:pPr>
        <w:pStyle w:val="2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394" w:name="_Toc1386"/>
      <w:bookmarkStart w:id="395" w:name="_Toc4929"/>
      <w:bookmarkStart w:id="396" w:name="_Toc13918"/>
      <w:bookmarkStart w:id="397" w:name="_Toc5635"/>
      <w:bookmarkStart w:id="398"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4"/>
      <w:bookmarkEnd w:id="395"/>
      <w:bookmarkEnd w:id="396"/>
      <w:bookmarkEnd w:id="397"/>
      <w:bookmarkEnd w:id="398"/>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2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2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7"/>
              <w:spacing w:line="560" w:lineRule="exact"/>
              <w:ind w:firstLine="200"/>
              <w:jc w:val="center"/>
              <w:rPr>
                <w:rFonts w:hAnsi="宋体"/>
                <w:color w:val="auto"/>
                <w:sz w:val="24"/>
                <w:szCs w:val="24"/>
                <w:highlight w:val="none"/>
              </w:rPr>
            </w:pPr>
          </w:p>
        </w:tc>
        <w:tc>
          <w:tcPr>
            <w:tcW w:w="3402" w:type="dxa"/>
            <w:vAlign w:val="center"/>
          </w:tcPr>
          <w:p>
            <w:pPr>
              <w:pStyle w:val="27"/>
              <w:spacing w:line="560" w:lineRule="exact"/>
              <w:ind w:firstLine="200"/>
              <w:jc w:val="center"/>
              <w:rPr>
                <w:rFonts w:hAnsi="宋体"/>
                <w:color w:val="auto"/>
                <w:sz w:val="24"/>
                <w:szCs w:val="24"/>
                <w:highlight w:val="none"/>
              </w:rPr>
            </w:pPr>
          </w:p>
        </w:tc>
        <w:tc>
          <w:tcPr>
            <w:tcW w:w="2552" w:type="dxa"/>
            <w:vAlign w:val="center"/>
          </w:tcPr>
          <w:p>
            <w:pPr>
              <w:pStyle w:val="2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7"/>
              <w:spacing w:line="560" w:lineRule="exact"/>
              <w:ind w:firstLine="200"/>
              <w:jc w:val="center"/>
              <w:rPr>
                <w:rFonts w:hAnsi="宋体"/>
                <w:color w:val="auto"/>
                <w:sz w:val="24"/>
                <w:szCs w:val="24"/>
                <w:highlight w:val="none"/>
              </w:rPr>
            </w:pPr>
          </w:p>
        </w:tc>
        <w:tc>
          <w:tcPr>
            <w:tcW w:w="3402" w:type="dxa"/>
            <w:vAlign w:val="center"/>
          </w:tcPr>
          <w:p>
            <w:pPr>
              <w:pStyle w:val="27"/>
              <w:spacing w:line="560" w:lineRule="exact"/>
              <w:ind w:firstLine="200"/>
              <w:jc w:val="center"/>
              <w:rPr>
                <w:rFonts w:hAnsi="宋体"/>
                <w:color w:val="auto"/>
                <w:sz w:val="24"/>
                <w:szCs w:val="24"/>
                <w:highlight w:val="none"/>
              </w:rPr>
            </w:pPr>
          </w:p>
        </w:tc>
        <w:tc>
          <w:tcPr>
            <w:tcW w:w="2552" w:type="dxa"/>
            <w:vAlign w:val="center"/>
          </w:tcPr>
          <w:p>
            <w:pPr>
              <w:pStyle w:val="2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7"/>
              <w:spacing w:line="560" w:lineRule="exact"/>
              <w:ind w:firstLine="200"/>
              <w:jc w:val="center"/>
              <w:rPr>
                <w:rFonts w:hAnsi="宋体"/>
                <w:color w:val="auto"/>
                <w:sz w:val="24"/>
                <w:szCs w:val="24"/>
                <w:highlight w:val="none"/>
              </w:rPr>
            </w:pPr>
          </w:p>
        </w:tc>
        <w:tc>
          <w:tcPr>
            <w:tcW w:w="3402" w:type="dxa"/>
            <w:vAlign w:val="center"/>
          </w:tcPr>
          <w:p>
            <w:pPr>
              <w:pStyle w:val="27"/>
              <w:spacing w:line="560" w:lineRule="exact"/>
              <w:ind w:firstLine="200"/>
              <w:jc w:val="center"/>
              <w:rPr>
                <w:rFonts w:hAnsi="宋体"/>
                <w:color w:val="auto"/>
                <w:sz w:val="24"/>
                <w:szCs w:val="24"/>
                <w:highlight w:val="none"/>
              </w:rPr>
            </w:pPr>
          </w:p>
        </w:tc>
        <w:tc>
          <w:tcPr>
            <w:tcW w:w="2552" w:type="dxa"/>
            <w:vAlign w:val="center"/>
          </w:tcPr>
          <w:p>
            <w:pPr>
              <w:pStyle w:val="2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7"/>
              <w:spacing w:line="560" w:lineRule="exact"/>
              <w:ind w:firstLine="200"/>
              <w:jc w:val="center"/>
              <w:rPr>
                <w:rFonts w:hAnsi="宋体"/>
                <w:color w:val="auto"/>
                <w:sz w:val="24"/>
                <w:szCs w:val="24"/>
                <w:highlight w:val="none"/>
              </w:rPr>
            </w:pPr>
          </w:p>
        </w:tc>
        <w:tc>
          <w:tcPr>
            <w:tcW w:w="3402" w:type="dxa"/>
            <w:vAlign w:val="center"/>
          </w:tcPr>
          <w:p>
            <w:pPr>
              <w:pStyle w:val="27"/>
              <w:spacing w:line="560" w:lineRule="exact"/>
              <w:ind w:firstLine="200"/>
              <w:jc w:val="center"/>
              <w:rPr>
                <w:rFonts w:hAnsi="宋体"/>
                <w:color w:val="auto"/>
                <w:sz w:val="24"/>
                <w:szCs w:val="24"/>
                <w:highlight w:val="none"/>
              </w:rPr>
            </w:pPr>
          </w:p>
        </w:tc>
        <w:tc>
          <w:tcPr>
            <w:tcW w:w="2552" w:type="dxa"/>
            <w:vAlign w:val="center"/>
          </w:tcPr>
          <w:p>
            <w:pPr>
              <w:pStyle w:val="2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2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399" w:name="_Toc3654"/>
      <w:bookmarkStart w:id="400" w:name="_Toc30158"/>
      <w:bookmarkStart w:id="401" w:name="_Toc14993"/>
      <w:bookmarkStart w:id="402" w:name="_Toc30506"/>
      <w:bookmarkStart w:id="403"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9"/>
    <w:bookmarkEnd w:id="400"/>
    <w:bookmarkEnd w:id="401"/>
    <w:bookmarkEnd w:id="402"/>
    <w:bookmarkEnd w:id="403"/>
    <w:p>
      <w:pPr>
        <w:pStyle w:val="26"/>
        <w:spacing w:before="0" w:beforeAutospacing="0" w:after="0" w:afterAutospacing="0" w:line="360" w:lineRule="auto"/>
        <w:ind w:firstLine="480"/>
        <w:rPr>
          <w:b/>
          <w:color w:val="auto"/>
          <w:highlight w:val="none"/>
        </w:rPr>
      </w:pPr>
      <w:bookmarkStart w:id="404" w:name="_Toc10340"/>
      <w:bookmarkStart w:id="405" w:name="_Toc22618"/>
      <w:bookmarkStart w:id="406" w:name="_Toc1814"/>
      <w:bookmarkStart w:id="407" w:name="_Toc8772"/>
      <w:bookmarkStart w:id="408" w:name="_Toc31421"/>
      <w:bookmarkStart w:id="409" w:name="_Toc11108"/>
      <w:bookmarkStart w:id="410" w:name="_Toc3625"/>
      <w:bookmarkStart w:id="411" w:name="_Toc4760"/>
      <w:r>
        <w:rPr>
          <w:rFonts w:hint="eastAsia"/>
          <w:b/>
          <w:color w:val="auto"/>
          <w:highlight w:val="none"/>
        </w:rPr>
        <w:t>1.4履约保证金</w:t>
      </w:r>
    </w:p>
    <w:p>
      <w:pPr>
        <w:pStyle w:val="2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pPr>
        <w:pStyle w:val="2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2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26"/>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2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7"/>
      <w:bookmarkEnd w:id="408"/>
      <w:bookmarkEnd w:id="409"/>
      <w:bookmarkEnd w:id="410"/>
      <w:bookmarkEnd w:id="411"/>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12" w:name="_Toc2375"/>
      <w:bookmarkStart w:id="413" w:name="_Toc5698"/>
      <w:bookmarkStart w:id="414" w:name="_Toc8586"/>
      <w:bookmarkStart w:id="415" w:name="_Toc24662"/>
      <w:bookmarkStart w:id="416"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2"/>
      <w:bookmarkEnd w:id="413"/>
      <w:bookmarkEnd w:id="414"/>
      <w:bookmarkEnd w:id="415"/>
      <w:bookmarkEnd w:id="416"/>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17" w:name="_Toc26807"/>
      <w:bookmarkStart w:id="418" w:name="_Toc9497"/>
      <w:bookmarkStart w:id="419" w:name="_Toc30329"/>
      <w:bookmarkStart w:id="420" w:name="_Toc18683"/>
      <w:bookmarkStart w:id="421"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7"/>
    <w:bookmarkEnd w:id="418"/>
    <w:bookmarkEnd w:id="419"/>
    <w:bookmarkEnd w:id="420"/>
    <w:bookmarkEnd w:id="421"/>
    <w:p>
      <w:pPr>
        <w:spacing w:line="560" w:lineRule="exact"/>
        <w:ind w:firstLine="482" w:firstLineChars="200"/>
        <w:outlineLvl w:val="0"/>
        <w:rPr>
          <w:rFonts w:ascii="宋体" w:hAnsi="宋体" w:cs="宋体"/>
          <w:b/>
          <w:color w:val="auto"/>
          <w:sz w:val="24"/>
          <w:highlight w:val="none"/>
        </w:rPr>
      </w:pPr>
      <w:bookmarkStart w:id="422" w:name="_Toc16021"/>
      <w:bookmarkStart w:id="423" w:name="_Toc15583"/>
      <w:bookmarkStart w:id="424" w:name="_Toc28375"/>
      <w:r>
        <w:rPr>
          <w:rFonts w:hint="eastAsia" w:ascii="宋体" w:hAnsi="宋体" w:cs="宋体"/>
          <w:b/>
          <w:color w:val="auto"/>
          <w:sz w:val="24"/>
          <w:highlight w:val="none"/>
        </w:rPr>
        <w:t>1.9合同争议的解决</w:t>
      </w:r>
      <w:bookmarkEnd w:id="422"/>
      <w:bookmarkEnd w:id="423"/>
      <w:bookmarkEnd w:id="424"/>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5" w:name="_Toc15322"/>
      <w:bookmarkStart w:id="426" w:name="_Toc11173"/>
      <w:bookmarkStart w:id="427" w:name="_Toc7245"/>
      <w:r>
        <w:rPr>
          <w:rFonts w:hint="eastAsia" w:ascii="宋体" w:hAnsi="宋体" w:cs="宋体"/>
          <w:b/>
          <w:color w:val="auto"/>
          <w:sz w:val="24"/>
          <w:highlight w:val="none"/>
        </w:rPr>
        <w:t>2.0 合同生效</w:t>
      </w:r>
      <w:bookmarkEnd w:id="425"/>
      <w:bookmarkEnd w:id="426"/>
      <w:bookmarkEnd w:id="427"/>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hint="eastAsia" w:asciiTheme="minorEastAsia" w:hAnsiTheme="minorEastAsia" w:eastAsiaTheme="minorEastAsia"/>
          <w:color w:val="auto"/>
          <w:sz w:val="24"/>
          <w:highlight w:val="none"/>
        </w:rPr>
        <w:t xml:space="preserve"> </w:t>
      </w:r>
      <w:r>
        <w:rPr>
          <w:rFonts w:hint="eastAsia" w:ascii="宋体" w:hAnsi="宋体" w:cs="宋体" w:eastAsiaTheme="minorEastAsia"/>
          <w:color w:val="auto"/>
          <w:sz w:val="24"/>
          <w:highlight w:val="none"/>
          <w:lang w:eastAsia="zh-CN"/>
        </w:rPr>
        <w:t>杭州市西湖区区级机关事务服务中心</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28" w:name="_Toc19680"/>
      <w:bookmarkStart w:id="429" w:name="_Toc14021"/>
      <w:bookmarkStart w:id="430" w:name="_Toc31297"/>
      <w:bookmarkStart w:id="431" w:name="_Toc25079"/>
      <w:bookmarkStart w:id="432" w:name="_Toc5228"/>
      <w:r>
        <w:rPr>
          <w:rFonts w:ascii="宋体" w:hAnsi="宋体"/>
          <w:b/>
          <w:color w:val="auto"/>
          <w:sz w:val="24"/>
          <w:highlight w:val="none"/>
        </w:rPr>
        <w:t>2.1 定义</w:t>
      </w:r>
      <w:bookmarkEnd w:id="428"/>
      <w:bookmarkEnd w:id="429"/>
      <w:bookmarkEnd w:id="430"/>
      <w:bookmarkEnd w:id="431"/>
      <w:bookmarkEnd w:id="432"/>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33" w:name="_Toc16752"/>
      <w:bookmarkStart w:id="434" w:name="_Toc31402"/>
      <w:bookmarkStart w:id="435" w:name="_Toc3769"/>
      <w:bookmarkStart w:id="436" w:name="_Toc23289"/>
      <w:bookmarkStart w:id="437" w:name="_Toc19539"/>
      <w:r>
        <w:rPr>
          <w:rFonts w:ascii="宋体" w:hAnsi="宋体"/>
          <w:b/>
          <w:color w:val="auto"/>
          <w:sz w:val="24"/>
          <w:highlight w:val="none"/>
        </w:rPr>
        <w:t>2.2 技术规范</w:t>
      </w:r>
      <w:bookmarkEnd w:id="433"/>
      <w:bookmarkEnd w:id="434"/>
      <w:bookmarkEnd w:id="435"/>
      <w:bookmarkEnd w:id="436"/>
      <w:bookmarkEnd w:id="43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38" w:name="_Toc13673"/>
      <w:bookmarkStart w:id="439" w:name="_Toc9161"/>
      <w:bookmarkStart w:id="440" w:name="_Toc12412"/>
      <w:bookmarkStart w:id="441" w:name="_Toc4133"/>
      <w:bookmarkStart w:id="442" w:name="_Toc27945"/>
      <w:r>
        <w:rPr>
          <w:rFonts w:ascii="宋体" w:hAnsi="宋体"/>
          <w:b/>
          <w:color w:val="auto"/>
          <w:sz w:val="24"/>
          <w:highlight w:val="none"/>
        </w:rPr>
        <w:t>2.3 知识产权</w:t>
      </w:r>
      <w:bookmarkEnd w:id="438"/>
      <w:bookmarkEnd w:id="439"/>
      <w:bookmarkEnd w:id="440"/>
      <w:bookmarkEnd w:id="441"/>
      <w:bookmarkEnd w:id="44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43" w:name="_Toc26555"/>
      <w:bookmarkStart w:id="444" w:name="_Toc32670"/>
      <w:bookmarkStart w:id="445" w:name="_Toc15447"/>
      <w:bookmarkStart w:id="446" w:name="_Toc22011"/>
      <w:bookmarkStart w:id="447" w:name="_Toc31233"/>
      <w:r>
        <w:rPr>
          <w:rFonts w:ascii="宋体" w:hAnsi="宋体"/>
          <w:b/>
          <w:color w:val="auto"/>
          <w:sz w:val="24"/>
          <w:highlight w:val="none"/>
        </w:rPr>
        <w:t>2.5 结算方式和付款条件</w:t>
      </w:r>
      <w:bookmarkEnd w:id="443"/>
      <w:bookmarkEnd w:id="444"/>
      <w:bookmarkEnd w:id="445"/>
      <w:bookmarkEnd w:id="446"/>
      <w:bookmarkEnd w:id="447"/>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48" w:name="_Toc13467"/>
      <w:bookmarkStart w:id="449" w:name="_Toc16163"/>
      <w:bookmarkStart w:id="450" w:name="_Toc13154"/>
      <w:bookmarkStart w:id="451" w:name="_Toc30507"/>
      <w:bookmarkStart w:id="452" w:name="_Toc18990"/>
      <w:r>
        <w:rPr>
          <w:rFonts w:ascii="宋体" w:hAnsi="宋体"/>
          <w:b/>
          <w:color w:val="auto"/>
          <w:sz w:val="24"/>
          <w:highlight w:val="none"/>
        </w:rPr>
        <w:t>2.6 技术资料和保密义务</w:t>
      </w:r>
      <w:bookmarkEnd w:id="448"/>
      <w:bookmarkEnd w:id="449"/>
      <w:bookmarkEnd w:id="450"/>
      <w:bookmarkEnd w:id="451"/>
      <w:bookmarkEnd w:id="452"/>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56" w:name="_Toc42"/>
      <w:bookmarkStart w:id="457" w:name="_Toc26689"/>
      <w:bookmarkStart w:id="458" w:name="_Toc21830"/>
      <w:bookmarkStart w:id="459" w:name="_Toc23368"/>
      <w:bookmarkStart w:id="460" w:name="_Toc10663"/>
      <w:r>
        <w:rPr>
          <w:rFonts w:ascii="宋体" w:hAnsi="宋体"/>
          <w:b/>
          <w:color w:val="auto"/>
          <w:sz w:val="24"/>
          <w:highlight w:val="none"/>
        </w:rPr>
        <w:t>2.10 合同转让和分包</w:t>
      </w:r>
      <w:bookmarkEnd w:id="456"/>
      <w:bookmarkEnd w:id="457"/>
      <w:bookmarkEnd w:id="458"/>
      <w:bookmarkEnd w:id="459"/>
      <w:bookmarkEnd w:id="460"/>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61" w:name="_Toc26633"/>
      <w:bookmarkStart w:id="462" w:name="_Toc14371"/>
      <w:bookmarkStart w:id="463" w:name="_Toc32494"/>
      <w:bookmarkStart w:id="464" w:name="_Toc25571"/>
      <w:bookmarkStart w:id="465" w:name="_Toc4720"/>
      <w:r>
        <w:rPr>
          <w:rFonts w:ascii="宋体" w:hAnsi="宋体"/>
          <w:b/>
          <w:color w:val="auto"/>
          <w:sz w:val="24"/>
          <w:highlight w:val="none"/>
        </w:rPr>
        <w:t>2.11 不可抗力</w:t>
      </w:r>
      <w:bookmarkEnd w:id="461"/>
      <w:bookmarkEnd w:id="462"/>
      <w:bookmarkEnd w:id="463"/>
      <w:bookmarkEnd w:id="464"/>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6" w:name="_Toc14115"/>
      <w:bookmarkStart w:id="467" w:name="_Toc23854"/>
      <w:bookmarkStart w:id="468" w:name="_Toc25783"/>
      <w:bookmarkStart w:id="469" w:name="_Toc24465"/>
      <w:bookmarkStart w:id="470" w:name="_Toc3638"/>
      <w:r>
        <w:rPr>
          <w:rFonts w:ascii="宋体" w:hAnsi="宋体"/>
          <w:b/>
          <w:color w:val="auto"/>
          <w:sz w:val="24"/>
          <w:highlight w:val="none"/>
        </w:rPr>
        <w:t>2.12 税费</w:t>
      </w:r>
      <w:bookmarkEnd w:id="466"/>
      <w:bookmarkEnd w:id="467"/>
      <w:bookmarkEnd w:id="468"/>
      <w:bookmarkEnd w:id="469"/>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71" w:name="_Toc25525"/>
      <w:bookmarkStart w:id="472" w:name="_Toc14814"/>
      <w:bookmarkStart w:id="473" w:name="_Toc26883"/>
      <w:bookmarkStart w:id="474" w:name="_Toc7315"/>
      <w:bookmarkStart w:id="475" w:name="_Toc30105"/>
      <w:r>
        <w:rPr>
          <w:rFonts w:ascii="宋体" w:hAnsi="宋体"/>
          <w:b/>
          <w:color w:val="auto"/>
          <w:sz w:val="24"/>
          <w:highlight w:val="none"/>
        </w:rPr>
        <w:t>2.13 乙方破产</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6" w:name="_Toc1123"/>
      <w:bookmarkStart w:id="477" w:name="_Toc2016"/>
      <w:bookmarkStart w:id="478" w:name="_Toc23323"/>
      <w:r>
        <w:rPr>
          <w:rFonts w:ascii="宋体" w:hAnsi="宋体"/>
          <w:b/>
          <w:color w:val="auto"/>
          <w:sz w:val="24"/>
          <w:highlight w:val="none"/>
        </w:rPr>
        <w:t>2.14 合同中止、终止</w:t>
      </w:r>
      <w:bookmarkEnd w:id="476"/>
      <w:bookmarkEnd w:id="477"/>
      <w:bookmarkEnd w:id="47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9" w:name="_Toc1969"/>
      <w:bookmarkStart w:id="480" w:name="_Toc17363"/>
      <w:bookmarkStart w:id="481" w:name="_Toc14525"/>
      <w:r>
        <w:rPr>
          <w:rFonts w:ascii="宋体" w:hAnsi="宋体"/>
          <w:b/>
          <w:color w:val="auto"/>
          <w:sz w:val="24"/>
          <w:highlight w:val="none"/>
        </w:rPr>
        <w:t>2.15 检验和验收</w:t>
      </w:r>
      <w:bookmarkEnd w:id="479"/>
      <w:bookmarkEnd w:id="480"/>
      <w:bookmarkEnd w:id="481"/>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2308"/>
      <w:bookmarkStart w:id="483" w:name="_Toc31892"/>
      <w:bookmarkStart w:id="484" w:name="_Toc12666"/>
      <w:bookmarkStart w:id="485" w:name="_Toc25198"/>
      <w:bookmarkStart w:id="486" w:name="_Toc9808"/>
      <w:r>
        <w:rPr>
          <w:rFonts w:ascii="宋体" w:hAnsi="宋体"/>
          <w:b/>
          <w:color w:val="auto"/>
          <w:sz w:val="24"/>
          <w:highlight w:val="none"/>
        </w:rPr>
        <w:t>2.16 通知和送达</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bookmarkStart w:id="487" w:name="_Toc18401"/>
      <w:bookmarkStart w:id="48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pPr>
        <w:spacing w:line="560" w:lineRule="exact"/>
        <w:ind w:firstLine="482" w:firstLineChars="200"/>
        <w:outlineLvl w:val="0"/>
        <w:rPr>
          <w:rFonts w:ascii="宋体" w:hAnsi="宋体"/>
          <w:b/>
          <w:color w:val="auto"/>
          <w:sz w:val="24"/>
          <w:highlight w:val="none"/>
        </w:rPr>
      </w:pPr>
      <w:bookmarkStart w:id="489" w:name="_Toc27644"/>
      <w:bookmarkStart w:id="490" w:name="_Toc12254"/>
      <w:bookmarkStart w:id="491" w:name="_Toc5063"/>
      <w:bookmarkStart w:id="492" w:name="_Toc28906"/>
      <w:bookmarkStart w:id="493"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494" w:name="_Toc4355"/>
      <w:bookmarkStart w:id="495" w:name="_Toc18540"/>
      <w:bookmarkStart w:id="496" w:name="_Toc30599"/>
      <w:r>
        <w:rPr>
          <w:rFonts w:hint="eastAsia" w:ascii="宋体" w:hAnsi="宋体" w:cs="宋体"/>
          <w:b/>
          <w:color w:val="auto"/>
          <w:sz w:val="24"/>
          <w:highlight w:val="none"/>
        </w:rPr>
        <w:t>2.18 计量单位</w:t>
      </w:r>
      <w:bookmarkEnd w:id="494"/>
      <w:bookmarkEnd w:id="495"/>
      <w:bookmarkEnd w:id="49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7" w:name="_Toc331685784"/>
      <w:r>
        <w:rPr>
          <w:rFonts w:hint="eastAsia" w:ascii="宋体" w:hAnsi="宋体" w:cs="宋体"/>
          <w:b/>
          <w:color w:val="auto"/>
          <w:sz w:val="24"/>
          <w:highlight w:val="none"/>
        </w:rPr>
        <w:t xml:space="preserve"> </w:t>
      </w:r>
      <w:bookmarkEnd w:id="497"/>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本项目不设置履约保证金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after="0" w:line="360" w:lineRule="auto"/>
              <w:ind w:firstLine="480" w:firstLineChars="200"/>
              <w:jc w:val="both"/>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付款方式：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定期对食堂后勤服务工作进行考核</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服务费付款</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每月15日前通过转帐或电汇的形式支付上个月</w:t>
            </w:r>
            <w:r>
              <w:rPr>
                <w:rFonts w:hint="eastAsia" w:asciiTheme="minorEastAsia" w:hAnsiTheme="minorEastAsia" w:eastAsiaTheme="minorEastAsia"/>
                <w:color w:val="auto"/>
                <w:sz w:val="24"/>
                <w:szCs w:val="24"/>
                <w:highlight w:val="none"/>
                <w:lang w:eastAsia="zh-CN"/>
              </w:rPr>
              <w:t>服务费（扣除考核费）</w:t>
            </w:r>
            <w:r>
              <w:rPr>
                <w:rFonts w:hint="eastAsia" w:asciiTheme="minorEastAsia" w:hAnsiTheme="minorEastAsia" w:eastAsiaTheme="minorEastAsia"/>
                <w:color w:val="auto"/>
                <w:sz w:val="24"/>
                <w:szCs w:val="24"/>
                <w:highlight w:val="none"/>
              </w:rPr>
              <w:t>给</w:t>
            </w:r>
            <w:r>
              <w:rPr>
                <w:rFonts w:hint="eastAsia" w:asciiTheme="minorEastAsia" w:hAnsiTheme="minorEastAsia" w:eastAsiaTheme="minorEastAsia"/>
                <w:color w:val="auto"/>
                <w:sz w:val="24"/>
                <w:szCs w:val="24"/>
                <w:highlight w:val="none"/>
                <w:lang w:eastAsia="zh-CN"/>
              </w:rPr>
              <w:t>中标单位。</w:t>
            </w:r>
          </w:p>
          <w:p>
            <w:pPr>
              <w:spacing w:after="0" w:line="360" w:lineRule="auto"/>
              <w:ind w:firstLine="480" w:firstLineChars="200"/>
              <w:jc w:val="both"/>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月服务费</w:t>
            </w:r>
            <w:r>
              <w:rPr>
                <w:rFonts w:hint="eastAsia" w:asciiTheme="minorEastAsia" w:hAnsiTheme="minorEastAsia" w:eastAsiaTheme="minorEastAsia"/>
                <w:color w:val="auto"/>
                <w:sz w:val="24"/>
                <w:szCs w:val="24"/>
                <w:highlight w:val="none"/>
                <w:lang w:val="en-US" w:eastAsia="zh-CN"/>
              </w:rPr>
              <w:t>=（总服务费/12）*95%=(大写：           小写：       )</w:t>
            </w:r>
          </w:p>
          <w:p>
            <w:pPr>
              <w:spacing w:after="0" w:line="360" w:lineRule="auto"/>
              <w:ind w:firstLine="480" w:firstLineChars="200"/>
              <w:jc w:val="both"/>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每季度前</w:t>
            </w:r>
            <w:r>
              <w:rPr>
                <w:rFonts w:hint="eastAsia" w:asciiTheme="minorEastAsia" w:hAnsiTheme="minorEastAsia" w:eastAsiaTheme="minorEastAsia"/>
                <w:color w:val="auto"/>
                <w:sz w:val="24"/>
                <w:szCs w:val="24"/>
                <w:highlight w:val="none"/>
                <w:lang w:val="en-US" w:eastAsia="zh-CN"/>
              </w:rPr>
              <w:t>2个月正常支付服务费，最后一个月根据食堂监管</w:t>
            </w:r>
            <w:r>
              <w:rPr>
                <w:rFonts w:hint="eastAsia" w:asciiTheme="minorEastAsia" w:hAnsiTheme="minorEastAsia" w:eastAsiaTheme="minorEastAsia"/>
                <w:color w:val="auto"/>
                <w:sz w:val="24"/>
                <w:szCs w:val="24"/>
                <w:highlight w:val="none"/>
                <w:lang w:eastAsia="zh-CN"/>
              </w:rPr>
              <w:t>季度考核支付相应服务费，</w:t>
            </w:r>
            <w:r>
              <w:rPr>
                <w:rFonts w:hint="eastAsia" w:asciiTheme="minorEastAsia" w:hAnsiTheme="minorEastAsia" w:eastAsiaTheme="minorEastAsia"/>
                <w:color w:val="auto"/>
                <w:sz w:val="24"/>
                <w:szCs w:val="24"/>
                <w:highlight w:val="none"/>
              </w:rPr>
              <w:t>考核分90分</w:t>
            </w:r>
            <w:r>
              <w:rPr>
                <w:rFonts w:hint="eastAsia" w:asciiTheme="minorEastAsia" w:hAnsiTheme="minorEastAsia" w:eastAsiaTheme="minorEastAsia"/>
                <w:color w:val="auto"/>
                <w:sz w:val="24"/>
                <w:szCs w:val="24"/>
                <w:highlight w:val="none"/>
                <w:lang w:val="en-US" w:eastAsia="zh-CN"/>
              </w:rPr>
              <w:t>及</w:t>
            </w:r>
            <w:r>
              <w:rPr>
                <w:rFonts w:hint="eastAsia" w:asciiTheme="minorEastAsia" w:hAnsiTheme="minorEastAsia" w:eastAsiaTheme="minorEastAsia"/>
                <w:color w:val="auto"/>
                <w:sz w:val="24"/>
                <w:szCs w:val="24"/>
                <w:highlight w:val="none"/>
              </w:rPr>
              <w:t>以上</w:t>
            </w:r>
            <w:r>
              <w:rPr>
                <w:rFonts w:hint="eastAsia" w:asciiTheme="minorEastAsia" w:hAnsiTheme="minorEastAsia" w:eastAsiaTheme="minorEastAsia"/>
                <w:color w:val="auto"/>
                <w:sz w:val="24"/>
                <w:szCs w:val="24"/>
                <w:highlight w:val="none"/>
                <w:lang w:eastAsia="zh-CN"/>
              </w:rPr>
              <w:t>正常支付该月服务费</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eastAsia="zh-CN"/>
              </w:rPr>
              <w:t>季</w:t>
            </w:r>
            <w:r>
              <w:rPr>
                <w:rFonts w:hint="eastAsia" w:asciiTheme="minorEastAsia" w:hAnsiTheme="minorEastAsia" w:eastAsiaTheme="minorEastAsia"/>
                <w:color w:val="auto"/>
                <w:sz w:val="24"/>
                <w:szCs w:val="24"/>
                <w:highlight w:val="none"/>
              </w:rPr>
              <w:t>度监管考评分数</w:t>
            </w:r>
            <w:r>
              <w:rPr>
                <w:rFonts w:hint="eastAsia" w:asciiTheme="minorEastAsia" w:hAnsiTheme="minorEastAsia" w:eastAsiaTheme="minorEastAsia"/>
                <w:color w:val="auto"/>
                <w:sz w:val="24"/>
                <w:szCs w:val="24"/>
                <w:highlight w:val="none"/>
                <w:lang w:val="en-US" w:eastAsia="zh-CN"/>
              </w:rPr>
              <w:t>85分</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不含90分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，食堂监管人员提醒劳务外包公司项目负责人，并指出服务存在问题的改进建议；</w:t>
            </w:r>
            <w:r>
              <w:rPr>
                <w:rFonts w:hint="eastAsia" w:asciiTheme="minorEastAsia" w:hAnsiTheme="minorEastAsia" w:eastAsiaTheme="minorEastAsia"/>
                <w:color w:val="auto"/>
                <w:sz w:val="24"/>
                <w:szCs w:val="24"/>
                <w:highlight w:val="none"/>
                <w:lang w:eastAsia="zh-CN"/>
              </w:rPr>
              <w:t>若考核在</w:t>
            </w:r>
            <w:r>
              <w:rPr>
                <w:rFonts w:hint="eastAsia" w:asciiTheme="minorEastAsia" w:hAnsiTheme="minorEastAsia" w:eastAsiaTheme="minorEastAsia"/>
                <w:color w:val="auto"/>
                <w:sz w:val="24"/>
                <w:szCs w:val="24"/>
                <w:highlight w:val="none"/>
                <w:lang w:val="en-US" w:eastAsia="zh-CN"/>
              </w:rPr>
              <w:t>85分以下的，根据以下规则扣除相应费用后支付当月剩余金额：</w:t>
            </w:r>
          </w:p>
          <w:p>
            <w:pPr>
              <w:spacing w:after="0" w:line="360" w:lineRule="auto"/>
              <w:ind w:firstLine="480" w:firstLineChars="200"/>
              <w:jc w:val="both"/>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监管</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考核分</w:t>
            </w:r>
            <w:r>
              <w:rPr>
                <w:rFonts w:hint="eastAsia" w:asciiTheme="minorEastAsia" w:hAnsiTheme="minorEastAsia" w:eastAsiaTheme="minorEastAsia"/>
                <w:color w:val="auto"/>
                <w:sz w:val="24"/>
                <w:szCs w:val="24"/>
                <w:highlight w:val="none"/>
                <w:lang w:val="en-US" w:eastAsia="zh-CN"/>
              </w:rPr>
              <w:t>80分</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85</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不含85分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扣款</w:t>
            </w:r>
            <w:r>
              <w:rPr>
                <w:rFonts w:hint="eastAsia" w:asciiTheme="minorEastAsia" w:hAnsiTheme="minorEastAsia" w:eastAsiaTheme="minorEastAsia"/>
                <w:color w:val="auto"/>
                <w:sz w:val="24"/>
                <w:szCs w:val="24"/>
                <w:highlight w:val="none"/>
                <w:lang w:eastAsia="zh-CN"/>
              </w:rPr>
              <w:t>当季度服务费的</w:t>
            </w:r>
            <w:r>
              <w:rPr>
                <w:rFonts w:hint="eastAsia" w:asciiTheme="minorEastAsia" w:hAnsiTheme="minorEastAsia" w:eastAsiaTheme="minorEastAsia"/>
                <w:color w:val="auto"/>
                <w:sz w:val="24"/>
                <w:szCs w:val="24"/>
                <w:highlight w:val="none"/>
                <w:lang w:val="en-US" w:eastAsia="zh-CN"/>
              </w:rPr>
              <w:t>0.5</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监管</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考核分</w:t>
            </w:r>
            <w:r>
              <w:rPr>
                <w:rFonts w:hint="eastAsia" w:asciiTheme="minorEastAsia" w:hAnsiTheme="minorEastAsia" w:eastAsiaTheme="minorEastAsia"/>
                <w:color w:val="auto"/>
                <w:sz w:val="24"/>
                <w:szCs w:val="24"/>
                <w:highlight w:val="none"/>
                <w:lang w:val="en-US" w:eastAsia="zh-CN"/>
              </w:rPr>
              <w:t>70分</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扣款</w:t>
            </w:r>
            <w:r>
              <w:rPr>
                <w:rFonts w:hint="eastAsia" w:asciiTheme="minorEastAsia" w:hAnsiTheme="minorEastAsia" w:eastAsiaTheme="minorEastAsia"/>
                <w:color w:val="auto"/>
                <w:sz w:val="24"/>
                <w:szCs w:val="24"/>
                <w:highlight w:val="none"/>
                <w:lang w:eastAsia="zh-CN"/>
              </w:rPr>
              <w:t>当季度服务费的</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考核分数6</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分～7</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不含70分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的，扣减当</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服务费的</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%，并给予严重警告，</w:t>
            </w:r>
            <w:r>
              <w:rPr>
                <w:rFonts w:hint="eastAsia" w:asciiTheme="minorEastAsia" w:hAnsiTheme="minorEastAsia" w:eastAsiaTheme="minorEastAsia"/>
                <w:color w:val="auto"/>
                <w:sz w:val="24"/>
                <w:szCs w:val="24"/>
                <w:highlight w:val="none"/>
                <w:lang w:eastAsia="zh-CN"/>
              </w:rPr>
              <w:t>中标单位</w:t>
            </w:r>
            <w:r>
              <w:rPr>
                <w:rFonts w:hint="eastAsia" w:asciiTheme="minorEastAsia" w:hAnsiTheme="minorEastAsia" w:eastAsiaTheme="minorEastAsia"/>
                <w:color w:val="auto"/>
                <w:sz w:val="24"/>
                <w:szCs w:val="24"/>
                <w:highlight w:val="none"/>
              </w:rPr>
              <w:t>应针对服务中的不足提出整改方案并付诸实施；当</w:t>
            </w:r>
            <w:r>
              <w:rPr>
                <w:rFonts w:hint="eastAsia" w:asciiTheme="minorEastAsia" w:hAnsiTheme="minorEastAsia" w:eastAsiaTheme="minorEastAsia"/>
                <w:color w:val="auto"/>
                <w:sz w:val="24"/>
                <w:szCs w:val="24"/>
                <w:highlight w:val="none"/>
                <w:lang w:eastAsia="zh-CN"/>
              </w:rPr>
              <w:t>季</w:t>
            </w:r>
            <w:r>
              <w:rPr>
                <w:rFonts w:hint="eastAsia" w:asciiTheme="minorEastAsia" w:hAnsiTheme="minorEastAsia" w:eastAsiaTheme="minorEastAsia"/>
                <w:color w:val="auto"/>
                <w:sz w:val="24"/>
                <w:szCs w:val="24"/>
                <w:highlight w:val="none"/>
              </w:rPr>
              <w:t>考核分数不足6</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分或连续三个</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考核得分低于7</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可以解除合同，且无须承担任何责任。</w:t>
            </w:r>
          </w:p>
          <w:p>
            <w:pPr>
              <w:spacing w:after="0" w:line="360" w:lineRule="auto"/>
              <w:ind w:firstLine="480" w:firstLineChars="200"/>
              <w:jc w:val="both"/>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lang w:eastAsia="zh-CN"/>
              </w:rPr>
              <w:t>剩余合同总额的</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作为年度考核费，</w:t>
            </w:r>
            <w:r>
              <w:rPr>
                <w:rFonts w:hint="eastAsia" w:asciiTheme="minorEastAsia" w:hAnsiTheme="minorEastAsia" w:eastAsiaTheme="minorEastAsia"/>
                <w:color w:val="auto"/>
                <w:sz w:val="24"/>
                <w:szCs w:val="24"/>
                <w:highlight w:val="none"/>
              </w:rPr>
              <w:t>留存至年度考核后，视考核结果相应支付。年度考核以</w:t>
            </w:r>
            <w:r>
              <w:rPr>
                <w:rFonts w:hint="eastAsia" w:asciiTheme="minorEastAsia" w:hAnsiTheme="minorEastAsia" w:eastAsiaTheme="minorEastAsia"/>
                <w:color w:val="auto"/>
                <w:sz w:val="24"/>
                <w:szCs w:val="24"/>
                <w:highlight w:val="none"/>
                <w:lang w:eastAsia="zh-CN"/>
              </w:rPr>
              <w:t>季度考核</w:t>
            </w:r>
            <w:r>
              <w:rPr>
                <w:rFonts w:hint="eastAsia" w:asciiTheme="minorEastAsia" w:hAnsiTheme="minorEastAsia" w:eastAsiaTheme="minorEastAsia"/>
                <w:color w:val="auto"/>
                <w:sz w:val="24"/>
                <w:szCs w:val="24"/>
                <w:highlight w:val="none"/>
              </w:rPr>
              <w:t>为基础，结合年终考核评价。年度平均考核分数</w:t>
            </w:r>
            <w:r>
              <w:rPr>
                <w:rFonts w:hint="eastAsia" w:asciiTheme="minorEastAsia" w:hAnsiTheme="minorEastAsia" w:eastAsiaTheme="minorEastAsia"/>
                <w:color w:val="auto"/>
                <w:sz w:val="24"/>
                <w:szCs w:val="24"/>
                <w:highlight w:val="none"/>
                <w:lang w:val="en-US" w:eastAsia="zh-CN"/>
              </w:rPr>
              <w:t>85</w:t>
            </w:r>
            <w:r>
              <w:rPr>
                <w:rFonts w:hint="eastAsia" w:asciiTheme="minorEastAsia" w:hAnsiTheme="minorEastAsia" w:eastAsiaTheme="minorEastAsia"/>
                <w:color w:val="auto"/>
                <w:sz w:val="24"/>
                <w:szCs w:val="24"/>
                <w:highlight w:val="none"/>
              </w:rPr>
              <w:t>分及以上的，</w:t>
            </w:r>
            <w:r>
              <w:rPr>
                <w:rFonts w:hint="eastAsia" w:asciiTheme="minorEastAsia" w:hAnsiTheme="minorEastAsia" w:eastAsiaTheme="minorEastAsia"/>
                <w:color w:val="auto"/>
                <w:sz w:val="24"/>
                <w:szCs w:val="24"/>
                <w:highlight w:val="none"/>
                <w:lang w:eastAsia="zh-CN"/>
              </w:rPr>
              <w:t>年度考核费</w:t>
            </w:r>
            <w:r>
              <w:rPr>
                <w:rFonts w:hint="eastAsia" w:asciiTheme="minorEastAsia" w:hAnsiTheme="minorEastAsia" w:eastAsiaTheme="minorEastAsia"/>
                <w:color w:val="auto"/>
                <w:sz w:val="24"/>
                <w:szCs w:val="24"/>
                <w:highlight w:val="none"/>
              </w:rPr>
              <w:t>全额拨付；年度平均考核分数</w:t>
            </w:r>
            <w:r>
              <w:rPr>
                <w:rFonts w:hint="eastAsia" w:asciiTheme="minorEastAsia" w:hAnsiTheme="minorEastAsia" w:eastAsiaTheme="minorEastAsia"/>
                <w:color w:val="auto"/>
                <w:sz w:val="24"/>
                <w:szCs w:val="24"/>
                <w:highlight w:val="none"/>
                <w:lang w:val="en-US" w:eastAsia="zh-CN"/>
              </w:rPr>
              <w:t>80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85</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不含85分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lang w:eastAsia="zh-CN"/>
              </w:rPr>
              <w:t>扣减年度考核费的</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%；年度平均考核分数</w:t>
            </w:r>
            <w:r>
              <w:rPr>
                <w:rFonts w:hint="eastAsia" w:asciiTheme="minorEastAsia" w:hAnsiTheme="minorEastAsia" w:eastAsiaTheme="minorEastAsia"/>
                <w:color w:val="auto"/>
                <w:sz w:val="24"/>
                <w:szCs w:val="24"/>
                <w:highlight w:val="none"/>
                <w:lang w:val="en-US" w:eastAsia="zh-CN"/>
              </w:rPr>
              <w:t>70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lang w:eastAsia="zh-CN"/>
              </w:rPr>
              <w:t>扣减年度考核费的</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%；年度平均考核分数</w:t>
            </w:r>
            <w:r>
              <w:rPr>
                <w:rFonts w:hint="eastAsia" w:asciiTheme="minorEastAsia" w:hAnsiTheme="minorEastAsia" w:eastAsiaTheme="minorEastAsia"/>
                <w:color w:val="auto"/>
                <w:sz w:val="24"/>
                <w:szCs w:val="24"/>
                <w:highlight w:val="none"/>
                <w:lang w:val="en-US" w:eastAsia="zh-CN"/>
              </w:rPr>
              <w:t>60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val="en-US" w:eastAsia="zh-CN"/>
              </w:rPr>
              <w:t>70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不含70分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的，扣减</w:t>
            </w:r>
            <w:r>
              <w:rPr>
                <w:rFonts w:hint="eastAsia" w:asciiTheme="minorEastAsia" w:hAnsiTheme="minorEastAsia" w:eastAsiaTheme="minorEastAsia"/>
                <w:color w:val="auto"/>
                <w:sz w:val="24"/>
                <w:szCs w:val="24"/>
                <w:highlight w:val="none"/>
                <w:lang w:eastAsia="zh-CN"/>
              </w:rPr>
              <w:t>年度考核费的</w:t>
            </w:r>
            <w:r>
              <w:rPr>
                <w:rFonts w:hint="eastAsia" w:asciiTheme="minorEastAsia" w:hAnsiTheme="minorEastAsia" w:eastAsiaTheme="minorEastAsia"/>
                <w:color w:val="auto"/>
                <w:sz w:val="24"/>
                <w:szCs w:val="24"/>
                <w:highlight w:val="none"/>
                <w:lang w:val="en-US" w:eastAsia="zh-CN"/>
              </w:rPr>
              <w:t>30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60分以下的</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则不支付年度考核费用。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自合同签订之日起一年,当季考核分数不足60分或连续三个季度考核得分低于70分，采购人可以直接解除合同，且无须承担任何责任。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主要为区机关大院三食堂，不排除特殊外派、应急情形。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按招标文件及投标响应文件执行。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hint="default"/>
                <w:color w:val="auto"/>
                <w:highlight w:val="none"/>
                <w:lang w:val="en-US" w:eastAsia="zh-CN"/>
              </w:rPr>
            </w:pPr>
            <w:r>
              <w:rPr>
                <w:rFonts w:hint="eastAsia" w:ascii="宋体" w:hAnsi="宋体" w:cs="宋体"/>
                <w:color w:val="auto"/>
                <w:sz w:val="24"/>
                <w:highlight w:val="none"/>
                <w:lang w:val="en-US" w:eastAsia="zh-CN"/>
              </w:rPr>
              <w:t>按照考核细则按季度、年度扣款或提前终止合同。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全部归甲方所有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结算方式和付款条件同合同条款</w:t>
            </w:r>
            <w:r>
              <w:rPr>
                <w:rFonts w:hint="eastAsia" w:ascii="宋体" w:hAnsi="宋体" w:cs="宋体"/>
                <w:color w:val="auto"/>
                <w:sz w:val="24"/>
                <w:highlight w:val="none"/>
              </w:rPr>
              <w:t>1.6.2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且在甲方付款前乙方需提供服务费</w:t>
            </w:r>
          </w:p>
          <w:p>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等额发票。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hint="default" w:ascii="宋体" w:hAnsi="宋体" w:eastAsia="宋体" w:cs="宋体"/>
                <w:i w:val="0"/>
                <w:iCs w:val="0"/>
                <w:color w:val="auto"/>
                <w:sz w:val="24"/>
                <w:highlight w:val="none"/>
                <w:lang w:val="en-US" w:eastAsia="zh-CN"/>
              </w:rPr>
            </w:pPr>
            <w:r>
              <w:rPr>
                <w:rFonts w:ascii="宋体" w:hAnsi="宋体"/>
                <w:i w:val="0"/>
                <w:iCs w:val="0"/>
                <w:color w:val="auto"/>
                <w:sz w:val="24"/>
                <w:highlight w:val="none"/>
              </w:rPr>
              <w:t xml:space="preserve"> </w:t>
            </w:r>
            <w:r>
              <w:rPr>
                <w:rFonts w:hint="eastAsia" w:ascii="宋体" w:hAnsi="宋体"/>
                <w:i w:val="0"/>
                <w:iCs w:val="0"/>
                <w:color w:val="auto"/>
                <w:sz w:val="24"/>
                <w:highlight w:val="none"/>
              </w:rPr>
              <w:t>因</w:t>
            </w:r>
            <w:r>
              <w:rPr>
                <w:rFonts w:ascii="宋体" w:hAnsi="宋体"/>
                <w:i w:val="0"/>
                <w:iCs w:val="0"/>
                <w:color w:val="auto"/>
                <w:sz w:val="24"/>
                <w:highlight w:val="none"/>
              </w:rPr>
              <w:t>不可抗力致使合同有变更必要的，双方当事人应在</w:t>
            </w:r>
            <w:r>
              <w:rPr>
                <w:rFonts w:hint="eastAsia" w:ascii="宋体" w:hAnsi="宋体"/>
                <w:b/>
                <w:i w:val="0"/>
                <w:iCs w:val="0"/>
                <w:color w:val="auto"/>
                <w:sz w:val="24"/>
                <w:highlight w:val="none"/>
                <w:u w:val="single"/>
                <w:lang w:val="en-US" w:eastAsia="zh-CN"/>
              </w:rPr>
              <w:t>30天</w:t>
            </w:r>
            <w:r>
              <w:rPr>
                <w:rFonts w:ascii="宋体" w:hAnsi="宋体"/>
                <w:i w:val="0"/>
                <w:iCs w:val="0"/>
                <w:color w:val="auto"/>
                <w:sz w:val="24"/>
                <w:highlight w:val="none"/>
              </w:rPr>
              <w:t>内以书面形式变更合同</w:t>
            </w:r>
            <w:r>
              <w:rPr>
                <w:rFonts w:hint="eastAsia" w:ascii="宋体" w:hAnsi="宋体"/>
                <w:i w:val="0"/>
                <w:i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6"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hint="default" w:ascii="宋体" w:hAnsi="宋体" w:eastAsia="宋体" w:cs="宋体"/>
                <w:i w:val="0"/>
                <w:iCs w:val="0"/>
                <w:color w:val="auto"/>
                <w:sz w:val="24"/>
                <w:highlight w:val="none"/>
                <w:lang w:val="en-US" w:eastAsia="zh-CN"/>
              </w:rPr>
            </w:pPr>
            <w:r>
              <w:rPr>
                <w:rFonts w:ascii="宋体" w:hAnsi="宋体"/>
                <w:i w:val="0"/>
                <w:iCs w:val="0"/>
                <w:color w:val="auto"/>
                <w:sz w:val="24"/>
                <w:highlight w:val="none"/>
              </w:rPr>
              <w:t>受</w:t>
            </w:r>
            <w:r>
              <w:rPr>
                <w:rFonts w:hint="eastAsia" w:ascii="宋体" w:hAnsi="宋体"/>
                <w:i w:val="0"/>
                <w:iCs w:val="0"/>
                <w:color w:val="auto"/>
                <w:sz w:val="24"/>
                <w:highlight w:val="none"/>
              </w:rPr>
              <w:t>不可抗力</w:t>
            </w:r>
            <w:r>
              <w:rPr>
                <w:rFonts w:ascii="宋体" w:hAnsi="宋体"/>
                <w:i w:val="0"/>
                <w:iCs w:val="0"/>
                <w:color w:val="auto"/>
                <w:sz w:val="24"/>
                <w:highlight w:val="none"/>
              </w:rPr>
              <w:t>影响的一方在不可抗力发生后</w:t>
            </w:r>
            <w:r>
              <w:rPr>
                <w:rFonts w:hint="eastAsia" w:ascii="宋体" w:hAnsi="宋体"/>
                <w:i w:val="0"/>
                <w:iCs w:val="0"/>
                <w:color w:val="auto"/>
                <w:sz w:val="24"/>
                <w:highlight w:val="none"/>
              </w:rPr>
              <w:t>，</w:t>
            </w:r>
            <w:r>
              <w:rPr>
                <w:rFonts w:ascii="宋体" w:hAnsi="宋体"/>
                <w:i w:val="0"/>
                <w:iCs w:val="0"/>
                <w:color w:val="auto"/>
                <w:sz w:val="24"/>
                <w:highlight w:val="none"/>
              </w:rPr>
              <w:t>应在</w:t>
            </w:r>
            <w:r>
              <w:rPr>
                <w:rFonts w:hint="eastAsia" w:ascii="宋体" w:hAnsi="宋体"/>
                <w:b/>
                <w:i w:val="0"/>
                <w:iCs w:val="0"/>
                <w:color w:val="auto"/>
                <w:sz w:val="24"/>
                <w:highlight w:val="none"/>
                <w:u w:val="single"/>
                <w:lang w:val="en-US" w:eastAsia="zh-CN"/>
              </w:rPr>
              <w:t>7天</w:t>
            </w:r>
            <w:r>
              <w:rPr>
                <w:rFonts w:ascii="宋体" w:hAnsi="宋体"/>
                <w:i w:val="0"/>
                <w:iCs w:val="0"/>
                <w:color w:val="auto"/>
                <w:sz w:val="24"/>
                <w:highlight w:val="none"/>
              </w:rPr>
              <w:t>内以书面形式通知</w:t>
            </w:r>
            <w:r>
              <w:rPr>
                <w:rFonts w:hint="eastAsia" w:ascii="宋体" w:hAnsi="宋体"/>
                <w:i w:val="0"/>
                <w:iCs w:val="0"/>
                <w:color w:val="auto"/>
                <w:sz w:val="24"/>
                <w:highlight w:val="none"/>
              </w:rPr>
              <w:t>对</w:t>
            </w:r>
            <w:r>
              <w:rPr>
                <w:rFonts w:ascii="宋体" w:hAnsi="宋体"/>
                <w:i w:val="0"/>
                <w:iCs w:val="0"/>
                <w:color w:val="auto"/>
                <w:sz w:val="24"/>
                <w:highlight w:val="none"/>
              </w:rPr>
              <w:t>方当事人，并在</w:t>
            </w:r>
            <w:r>
              <w:rPr>
                <w:rFonts w:hint="eastAsia" w:ascii="宋体" w:hAnsi="宋体"/>
                <w:b/>
                <w:i w:val="0"/>
                <w:iCs w:val="0"/>
                <w:color w:val="auto"/>
                <w:sz w:val="24"/>
                <w:highlight w:val="none"/>
                <w:u w:val="single"/>
                <w:lang w:val="en-US" w:eastAsia="zh-CN"/>
              </w:rPr>
              <w:t>30天内</w:t>
            </w:r>
            <w:r>
              <w:rPr>
                <w:rFonts w:ascii="宋体" w:hAnsi="宋体"/>
                <w:i w:val="0"/>
                <w:iCs w:val="0"/>
                <w:color w:val="auto"/>
                <w:sz w:val="24"/>
                <w:highlight w:val="none"/>
              </w:rPr>
              <w:t>约定时间内，将有关部门出具的证明文件送达</w:t>
            </w:r>
            <w:r>
              <w:rPr>
                <w:rFonts w:hint="eastAsia" w:ascii="宋体" w:hAnsi="宋体"/>
                <w:i w:val="0"/>
                <w:iCs w:val="0"/>
                <w:color w:val="auto"/>
                <w:sz w:val="24"/>
                <w:highlight w:val="none"/>
              </w:rPr>
              <w:t>对方当事人</w:t>
            </w:r>
            <w:r>
              <w:rPr>
                <w:rFonts w:ascii="宋体" w:hAnsi="宋体"/>
                <w:i w:val="0"/>
                <w:i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hint="default" w:ascii="宋体" w:hAnsi="宋体" w:eastAsia="宋体" w:cs="宋体"/>
                <w:i w:val="0"/>
                <w:iCs w:val="0"/>
                <w:color w:val="auto"/>
                <w:sz w:val="24"/>
                <w:highlight w:val="none"/>
                <w:lang w:val="en-US" w:eastAsia="zh-CN"/>
              </w:rPr>
            </w:pPr>
            <w:r>
              <w:rPr>
                <w:rFonts w:hint="eastAsia" w:ascii="宋体" w:hAnsi="宋体"/>
                <w:i w:val="0"/>
                <w:iCs w:val="0"/>
                <w:color w:val="auto"/>
                <w:sz w:val="24"/>
                <w:highlight w:val="none"/>
              </w:rPr>
              <w:t>乙方按照</w:t>
            </w:r>
            <w:r>
              <w:rPr>
                <w:rFonts w:hint="eastAsia" w:ascii="宋体" w:hAnsi="宋体"/>
                <w:b/>
                <w:bCs/>
                <w:i w:val="0"/>
                <w:iCs w:val="0"/>
                <w:color w:val="auto"/>
                <w:sz w:val="24"/>
                <w:highlight w:val="none"/>
                <w:u w:val="single"/>
                <w:lang w:val="en-US" w:eastAsia="zh-CN"/>
              </w:rPr>
              <w:t>招标文件</w:t>
            </w:r>
            <w:r>
              <w:rPr>
                <w:rFonts w:ascii="宋体" w:hAnsi="宋体"/>
                <w:i w:val="0"/>
                <w:iCs w:val="0"/>
                <w:color w:val="auto"/>
                <w:sz w:val="24"/>
                <w:highlight w:val="none"/>
              </w:rPr>
              <w:t>的约定</w:t>
            </w:r>
            <w:r>
              <w:rPr>
                <w:rFonts w:hint="eastAsia" w:ascii="宋体" w:hAnsi="宋体"/>
                <w:i w:val="0"/>
                <w:iCs w:val="0"/>
                <w:color w:val="auto"/>
                <w:sz w:val="24"/>
                <w:highlight w:val="none"/>
              </w:rPr>
              <w:t>，</w:t>
            </w:r>
            <w:r>
              <w:rPr>
                <w:rFonts w:ascii="宋体" w:hAnsi="宋体"/>
                <w:i w:val="0"/>
                <w:iCs w:val="0"/>
                <w:color w:val="auto"/>
                <w:sz w:val="24"/>
                <w:highlight w:val="none"/>
              </w:rPr>
              <w:t>定期提交服务报告</w:t>
            </w:r>
            <w:r>
              <w:rPr>
                <w:rFonts w:hint="eastAsia" w:ascii="宋体" w:hAnsi="宋体"/>
                <w:i w:val="0"/>
                <w:iCs w:val="0"/>
                <w:color w:val="auto"/>
                <w:sz w:val="24"/>
                <w:highlight w:val="none"/>
              </w:rPr>
              <w:t>，甲方按照</w:t>
            </w:r>
            <w:r>
              <w:rPr>
                <w:rFonts w:hint="eastAsia" w:ascii="宋体" w:hAnsi="宋体"/>
                <w:b/>
                <w:i w:val="0"/>
                <w:iCs w:val="0"/>
                <w:color w:val="auto"/>
                <w:sz w:val="24"/>
                <w:highlight w:val="none"/>
                <w:u w:val="single"/>
                <w:lang w:val="en-US" w:eastAsia="zh-CN"/>
              </w:rPr>
              <w:t>招标文件</w:t>
            </w:r>
            <w:r>
              <w:rPr>
                <w:rFonts w:ascii="宋体" w:hAnsi="宋体"/>
                <w:i w:val="0"/>
                <w:iCs w:val="0"/>
                <w:color w:val="auto"/>
                <w:sz w:val="24"/>
                <w:highlight w:val="none"/>
              </w:rPr>
              <w:t>的约定进行定期验收</w:t>
            </w:r>
            <w:r>
              <w:rPr>
                <w:rFonts w:hint="eastAsia" w:ascii="宋体" w:hAnsi="宋体"/>
                <w:i w:val="0"/>
                <w:i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检验和验收标准、程序等具体内容以及前述验收书的效力详见</w:t>
            </w:r>
            <w:r>
              <w:rPr>
                <w:rFonts w:hint="eastAsia" w:ascii="宋体" w:hAnsi="宋体" w:cs="宋体"/>
                <w:color w:val="auto"/>
                <w:sz w:val="24"/>
                <w:highlight w:val="none"/>
                <w:u w:val="single"/>
                <w:lang w:val="en-US" w:eastAsia="zh-CN"/>
              </w:rPr>
              <w:t>招标文件</w:t>
            </w:r>
            <w:r>
              <w:rPr>
                <w:rFonts w:hint="eastAsia" w:ascii="宋体" w:hAnsi="宋体" w:cs="宋体"/>
                <w:color w:val="auto"/>
                <w:sz w:val="24"/>
                <w:highlight w:val="none"/>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甲方两份，乙方两份，代理机构一份。</w:t>
            </w:r>
          </w:p>
        </w:tc>
      </w:tr>
    </w:tbl>
    <w:p>
      <w:pPr>
        <w:spacing w:line="360" w:lineRule="auto"/>
        <w:ind w:left="-420" w:leftChars="-200" w:right="-420" w:rightChars="-200" w:firstLine="480" w:firstLineChars="200"/>
        <w:rPr>
          <w:rFonts w:ascii="宋体" w:hAnsi="宋体" w:cs="宋体"/>
          <w:color w:val="auto"/>
          <w:sz w:val="24"/>
          <w:highlight w:val="none"/>
        </w:rPr>
      </w:pPr>
    </w:p>
    <w:p>
      <w:pPr>
        <w:bidi w:val="0"/>
        <w:rPr>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2"/>
      <w:r>
        <w:rPr>
          <w:rFonts w:hint="eastAsia" w:ascii="宋体" w:hAnsi="宋体" w:cs="宋体"/>
          <w:b/>
          <w:color w:val="auto"/>
          <w:sz w:val="36"/>
          <w:szCs w:val="20"/>
          <w:highlight w:val="none"/>
        </w:rPr>
        <w:t xml:space="preserve"> </w:t>
      </w:r>
      <w:bookmarkEnd w:id="383"/>
      <w:r>
        <w:rPr>
          <w:rFonts w:hint="eastAsia" w:ascii="宋体" w:hAnsi="宋体" w:cs="宋体"/>
          <w:b/>
          <w:color w:val="auto"/>
          <w:sz w:val="36"/>
          <w:szCs w:val="20"/>
          <w:highlight w:val="none"/>
        </w:rPr>
        <w:t>应提交的有关格式范例</w:t>
      </w:r>
    </w:p>
    <w:p>
      <w:pPr>
        <w:bidi w:val="0"/>
        <w:rPr>
          <w:color w:val="auto"/>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bidi w:val="0"/>
        <w:rPr>
          <w:color w:val="auto"/>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8" w:name="_Hlk101257010"/>
      <w:r>
        <w:rPr>
          <w:rFonts w:hint="eastAsia" w:ascii="宋体" w:hAnsi="宋体" w:cs="宋体"/>
          <w:color w:val="auto"/>
          <w:sz w:val="24"/>
          <w:highlight w:val="none"/>
        </w:rPr>
        <w:t>（如果有)</w:t>
      </w:r>
      <w:bookmarkEnd w:id="49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2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bidi w:val="0"/>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2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2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53"/>
        <w:gridCol w:w="1272"/>
        <w:gridCol w:w="1177"/>
        <w:gridCol w:w="1566"/>
        <w:gridCol w:w="148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2024年西湖区机关大院三食堂服务外包</w:t>
            </w: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按招标文件要求</w:t>
            </w: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pStyle w:val="2"/>
        <w:spacing w:line="360" w:lineRule="auto"/>
        <w:rPr>
          <w:rFonts w:hint="eastAsia" w:hAnsi="宋体" w:cs="宋体"/>
          <w:color w:val="auto"/>
          <w:kern w:val="0"/>
          <w:sz w:val="24"/>
          <w:highlight w:val="none"/>
          <w:lang w:val="en-US" w:eastAsia="zh-CN"/>
        </w:rPr>
      </w:pPr>
    </w:p>
    <w:p>
      <w:pPr>
        <w:pStyle w:val="2"/>
        <w:spacing w:line="360" w:lineRule="auto"/>
        <w:rPr>
          <w:rFonts w:hint="default" w:eastAsia="宋体"/>
          <w:color w:val="auto"/>
          <w:highlight w:val="none"/>
          <w:lang w:val="en-US" w:eastAsia="zh-CN"/>
        </w:rPr>
      </w:pPr>
      <w:r>
        <w:rPr>
          <w:rFonts w:hint="eastAsia" w:hAnsi="宋体" w:cs="宋体"/>
          <w:color w:val="auto"/>
          <w:kern w:val="0"/>
          <w:sz w:val="24"/>
          <w:highlight w:val="none"/>
          <w:lang w:val="en-US" w:eastAsia="zh-CN"/>
        </w:rPr>
        <w:t>注：采购人在招标文件需求中要求提供方案但投标人未按要求提供的（需在投标文件中标注页码便于评标委员会查找，若因未做标识导致扣分或无效的，由投标单位自行负责），按招标文件要求视为无效或者负偏离。</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rPr>
          <w:color w:val="auto"/>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22"/>
        <w:rPr>
          <w:rFonts w:hint="eastAsia"/>
          <w:color w:val="auto"/>
          <w:highlight w:val="none"/>
        </w:rPr>
      </w:pPr>
    </w:p>
    <w:p>
      <w:pPr>
        <w:pStyle w:val="2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61"/>
        <w:gridCol w:w="1399"/>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99"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2024年西湖区机关大院三食堂服务外包</w:t>
            </w:r>
          </w:p>
        </w:tc>
        <w:tc>
          <w:tcPr>
            <w:tcW w:w="139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410"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12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127" w:type="dxa"/>
          </w:tcPr>
          <w:p>
            <w:pPr>
              <w:spacing w:line="360" w:lineRule="auto"/>
              <w:jc w:val="center"/>
              <w:rPr>
                <w:rFonts w:hint="eastAsia" w:ascii="宋体" w:hAnsi="宋体" w:cs="宋体"/>
                <w:color w:val="auto"/>
                <w:sz w:val="24"/>
                <w:highlight w:val="none"/>
                <w:lang w:val="en-US" w:eastAsia="zh-CN"/>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861"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861"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861"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元/年</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3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0"/>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3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2"/>
        <w:rPr>
          <w:rFonts w:hint="eastAsia" w:ascii="宋体" w:hAnsi="宋体" w:cs="宋体"/>
          <w:b/>
          <w:color w:val="auto"/>
          <w:sz w:val="24"/>
          <w:highlight w:val="none"/>
        </w:rPr>
      </w:pPr>
    </w:p>
    <w:p>
      <w:pPr>
        <w:pStyle w:val="22"/>
        <w:rPr>
          <w:rFonts w:hint="eastAsia" w:ascii="宋体" w:hAnsi="宋体" w:cs="宋体"/>
          <w:b/>
          <w:color w:val="auto"/>
          <w:sz w:val="24"/>
          <w:highlight w:val="none"/>
        </w:rPr>
      </w:pPr>
    </w:p>
    <w:p>
      <w:pPr>
        <w:pStyle w:val="3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pStyle w:val="3"/>
        <w:keepNext w:val="0"/>
        <w:keepLines w:val="0"/>
        <w:pageBreakBefore/>
        <w:widowControl/>
        <w:spacing w:before="100" w:beforeAutospacing="1" w:after="100" w:afterAutospacing="1" w:line="360" w:lineRule="auto"/>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99" w:name="OLE_LINK13"/>
      <w:bookmarkStart w:id="500" w:name="OLE_LINK14"/>
      <w:r>
        <w:rPr>
          <w:rFonts w:hint="eastAsia" w:ascii="宋体" w:hAnsi="宋体" w:cs="宋体"/>
          <w:b/>
          <w:color w:val="auto"/>
          <w:spacing w:val="6"/>
          <w:sz w:val="32"/>
          <w:szCs w:val="32"/>
          <w:highlight w:val="none"/>
        </w:rPr>
        <w:t>残疾人福利性单位声明函</w:t>
      </w:r>
    </w:p>
    <w:bookmarkEnd w:id="499"/>
    <w:bookmarkEnd w:id="50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2024年西湖区机关大院三食堂服务外包</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杭州市西湖区区级机关事务服务中心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浙江建友城乡发展规划设计有限公司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2024年西湖区机关大院三食堂服务外包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pStyle w:val="2"/>
        <w:rPr>
          <w:color w:val="auto"/>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杭州市西湖区区级机关事务服务中心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2024年西湖区机关大院三食堂服务外包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p>
      <w:pPr>
        <w:rPr>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4" w:name="_Toc36110187"/>
    <w:bookmarkStart w:id="505" w:name="_Toc164085800"/>
    <w:bookmarkStart w:id="506" w:name="_Toc91899912"/>
    <w:bookmarkStart w:id="507" w:name="_Toc131845147"/>
    <w:r>
      <w:rPr>
        <w:rFonts w:hint="eastAsia" w:ascii="仿宋_GB2312" w:eastAsia="仿宋_GB2312"/>
        <w:kern w:val="0"/>
        <w:szCs w:val="21"/>
      </w:rPr>
      <w:t xml:space="preserve"> 页</w:t>
    </w:r>
    <w:bookmarkEnd w:id="504"/>
    <w:bookmarkEnd w:id="505"/>
    <w:bookmarkEnd w:id="506"/>
    <w:bookmarkEnd w:id="5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4"/>
      </w:pBdr>
      <w:jc w:val="right"/>
    </w:pPr>
    <w:r>
      <w:t></w:t>
    </w:r>
    <w:r>
      <w:rPr>
        <w:rFonts w:hint="eastAsia"/>
      </w:rPr>
      <w:t xml:space="preserve">             </w:t>
    </w:r>
    <w:r>
      <w:t>杭州市政府采购公开招标文件</w:t>
    </w:r>
  </w:p>
  <w:p>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p>
  <w:p>
    <w:pPr>
      <w:pStyle w:val="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50874569"/>
    <w:rsid w:val="068B4749"/>
    <w:rsid w:val="11B75431"/>
    <w:rsid w:val="1E826315"/>
    <w:rsid w:val="1FEF4E1F"/>
    <w:rsid w:val="20F177EA"/>
    <w:rsid w:val="2B5B432E"/>
    <w:rsid w:val="3462279F"/>
    <w:rsid w:val="390E2634"/>
    <w:rsid w:val="3D151FD4"/>
    <w:rsid w:val="41143F6D"/>
    <w:rsid w:val="50874569"/>
    <w:rsid w:val="5266005A"/>
    <w:rsid w:val="56E658F4"/>
    <w:rsid w:val="5B073BDD"/>
    <w:rsid w:val="5D4B0B80"/>
    <w:rsid w:val="675A0F47"/>
    <w:rsid w:val="6D115B28"/>
    <w:rsid w:val="710F63E8"/>
    <w:rsid w:val="73F7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autoRedefine/>
    <w:qFormat/>
    <w:uiPriority w:val="0"/>
    <w:pPr>
      <w:spacing w:line="480" w:lineRule="exact"/>
      <w:ind w:firstLine="480" w:firstLineChars="200"/>
    </w:pPr>
    <w:rPr>
      <w:rFonts w:ascii="宋体" w:hAnsi="宋体"/>
      <w:sz w:val="24"/>
    </w:rPr>
  </w:style>
  <w:style w:type="paragraph" w:styleId="7">
    <w:name w:val="Plain Text"/>
    <w:basedOn w:val="1"/>
    <w:autoRedefine/>
    <w:qFormat/>
    <w:uiPriority w:val="0"/>
    <w:rPr>
      <w:rFonts w:ascii="宋体" w:hAnsi="Courier New" w:cs="Arial"/>
      <w:snapToGrid w:val="0"/>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1">
    <w:name w:val="Body Text First Indent"/>
    <w:basedOn w:val="2"/>
    <w:next w:val="1"/>
    <w:autoRedefine/>
    <w:qFormat/>
    <w:uiPriority w:val="0"/>
    <w:pPr>
      <w:ind w:firstLine="420"/>
    </w:pPr>
    <w:rPr>
      <w:rFonts w:hAnsi="Calibri" w:cs="Times New Roman"/>
      <w:snapToGrid/>
      <w:szCs w:val="2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rPr>
      <w:rFonts w:ascii="Arial" w:hAnsi="Arial" w:eastAsia="黑体" w:cs="Arial"/>
      <w:snapToGrid w:val="0"/>
      <w:kern w:val="0"/>
      <w:szCs w:val="21"/>
    </w:rPr>
  </w:style>
  <w:style w:type="character" w:styleId="16">
    <w:name w:val="Hyperlink"/>
    <w:autoRedefine/>
    <w:qFormat/>
    <w:uiPriority w:val="99"/>
    <w:rPr>
      <w:rFonts w:ascii="Arial" w:hAnsi="Arial" w:eastAsia="黑体" w:cs="Arial"/>
      <w:snapToGrid w:val="0"/>
      <w:color w:val="000000"/>
      <w:kern w:val="0"/>
      <w:sz w:val="18"/>
      <w:szCs w:val="18"/>
      <w:u w:val="none"/>
    </w:rPr>
  </w:style>
  <w:style w:type="character" w:styleId="17">
    <w:name w:val="annotation reference"/>
    <w:autoRedefine/>
    <w:qFormat/>
    <w:uiPriority w:val="99"/>
    <w:rPr>
      <w:sz w:val="21"/>
      <w:szCs w:val="21"/>
    </w:rPr>
  </w:style>
  <w:style w:type="paragraph" w:customStyle="1" w:styleId="1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19">
    <w:name w:val="正文2"/>
    <w:basedOn w:val="1"/>
    <w:autoRedefine/>
    <w:qFormat/>
    <w:uiPriority w:val="0"/>
    <w:pPr>
      <w:spacing w:before="156" w:line="360" w:lineRule="auto"/>
      <w:ind w:firstLine="510" w:firstLineChars="200"/>
    </w:pPr>
    <w:rPr>
      <w:sz w:val="24"/>
      <w:szCs w:val="20"/>
    </w:rPr>
  </w:style>
  <w:style w:type="paragraph" w:customStyle="1" w:styleId="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空2字"/>
    <w:basedOn w:val="2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autoRedefine/>
    <w:qFormat/>
    <w:uiPriority w:val="99"/>
    <w:rPr>
      <w:rFonts w:ascii="Calibri" w:hAnsi="Calibri" w:eastAsia="仿宋_GB2312" w:cs="Calibri"/>
      <w:kern w:val="2"/>
      <w:sz w:val="32"/>
      <w:szCs w:val="32"/>
      <w:lang w:val="en-US" w:eastAsia="zh-CN" w:bidi="ar-SA"/>
    </w:rPr>
  </w:style>
  <w:style w:type="paragraph" w:customStyle="1" w:styleId="24">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pPr>
      <w:adjustRightInd/>
    </w:pPr>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2024-04-28T12:11:00Z</dcterms:created>
  <dc:creator>yzm</dc:creator>
  <cp:lastModifiedBy>yzm</cp:lastModifiedBy>
  <dcterms:modified xsi:type="dcterms:W3CDTF">2024-05-03T07:20:05Z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78D8DAA6BEAA41329A5E18867E018731_13</vt:lpwstr>
  </property>
</Properties>
</file>